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893422" w14:paraId="3A3384A5" w14:textId="77777777" w:rsidTr="00B37B73">
        <w:trPr>
          <w:cantSplit/>
          <w:trHeight w:val="1702"/>
        </w:trPr>
        <w:tc>
          <w:tcPr>
            <w:tcW w:w="2127" w:type="dxa"/>
          </w:tcPr>
          <w:p w14:paraId="698CAB0F" w14:textId="62CE28A5" w:rsidR="00AA7095" w:rsidRPr="00893422" w:rsidRDefault="007A40D1" w:rsidP="00F92361">
            <w:pPr>
              <w:tabs>
                <w:tab w:val="clear" w:pos="1191"/>
                <w:tab w:val="clear" w:pos="1588"/>
                <w:tab w:val="clear" w:pos="1985"/>
              </w:tabs>
              <w:spacing w:after="40"/>
              <w:ind w:left="34"/>
              <w:rPr>
                <w:b/>
                <w:bCs/>
                <w:sz w:val="32"/>
                <w:szCs w:val="32"/>
                <w:lang w:val="es-ES_tradnl"/>
              </w:rPr>
            </w:pPr>
            <w:r w:rsidRPr="00893422">
              <w:rPr>
                <w:b/>
                <w:bCs/>
                <w:noProof/>
                <w:sz w:val="32"/>
                <w:szCs w:val="32"/>
                <w:lang w:val="es-ES_tradnl"/>
              </w:rPr>
              <w:drawing>
                <wp:inline distT="0" distB="0" distL="0" distR="0" wp14:anchorId="7084AD5F" wp14:editId="6399FE58">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Pr="00893422" w:rsidRDefault="00AA7095" w:rsidP="00162707">
            <w:pPr>
              <w:tabs>
                <w:tab w:val="clear" w:pos="1191"/>
                <w:tab w:val="clear" w:pos="1588"/>
                <w:tab w:val="clear" w:pos="1985"/>
              </w:tabs>
              <w:spacing w:before="240" w:after="240"/>
              <w:ind w:left="34"/>
              <w:rPr>
                <w:b/>
                <w:bCs/>
                <w:sz w:val="32"/>
                <w:szCs w:val="32"/>
                <w:lang w:val="es-ES_tradnl"/>
              </w:rPr>
            </w:pPr>
            <w:r w:rsidRPr="00893422">
              <w:rPr>
                <w:b/>
                <w:bCs/>
                <w:sz w:val="32"/>
                <w:szCs w:val="32"/>
                <w:lang w:val="es-ES_tradnl"/>
              </w:rPr>
              <w:t>Grupo Asesor de Desarrollo de las Telecomunicaciones (GADT)</w:t>
            </w:r>
          </w:p>
          <w:p w14:paraId="583FD72F" w14:textId="29B5B4BE" w:rsidR="00AA7095" w:rsidRPr="00893422" w:rsidRDefault="00AA7095" w:rsidP="009716D1">
            <w:pPr>
              <w:tabs>
                <w:tab w:val="clear" w:pos="1191"/>
                <w:tab w:val="clear" w:pos="1588"/>
                <w:tab w:val="clear" w:pos="1985"/>
              </w:tabs>
              <w:spacing w:after="120"/>
              <w:ind w:left="34"/>
              <w:rPr>
                <w:rFonts w:ascii="Verdana" w:hAnsi="Verdana"/>
                <w:sz w:val="28"/>
                <w:szCs w:val="28"/>
                <w:lang w:val="es-ES_tradnl"/>
              </w:rPr>
            </w:pPr>
            <w:r w:rsidRPr="00893422">
              <w:rPr>
                <w:b/>
                <w:bCs/>
                <w:sz w:val="26"/>
                <w:szCs w:val="26"/>
                <w:lang w:val="es-ES_tradnl"/>
              </w:rPr>
              <w:t>32ª reunión, Ginebra, Suiza, 12-16 de mayo de 2025</w:t>
            </w:r>
          </w:p>
        </w:tc>
        <w:tc>
          <w:tcPr>
            <w:tcW w:w="1372" w:type="dxa"/>
          </w:tcPr>
          <w:p w14:paraId="242F0084" w14:textId="77777777" w:rsidR="00AA7095" w:rsidRPr="00893422" w:rsidRDefault="00AA7095" w:rsidP="00CF6D4A">
            <w:pPr>
              <w:spacing w:before="240" w:after="120"/>
              <w:ind w:right="142"/>
              <w:jc w:val="right"/>
              <w:rPr>
                <w:lang w:val="es-ES_tradnl"/>
              </w:rPr>
            </w:pPr>
            <w:r w:rsidRPr="00893422">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893422" w14:paraId="2AF11DB1" w14:textId="77777777" w:rsidTr="00F92361">
        <w:trPr>
          <w:cantSplit/>
        </w:trPr>
        <w:tc>
          <w:tcPr>
            <w:tcW w:w="6404" w:type="dxa"/>
            <w:gridSpan w:val="2"/>
            <w:tcBorders>
              <w:top w:val="single" w:sz="12" w:space="0" w:color="auto"/>
            </w:tcBorders>
          </w:tcPr>
          <w:p w14:paraId="65748CB9" w14:textId="77777777" w:rsidR="00683C32" w:rsidRPr="00893422" w:rsidRDefault="00683C32" w:rsidP="00107E85">
            <w:pPr>
              <w:spacing w:before="0"/>
              <w:rPr>
                <w:rFonts w:cs="Arial"/>
                <w:b/>
                <w:bCs/>
                <w:sz w:val="20"/>
                <w:lang w:val="es-ES_tradnl"/>
              </w:rPr>
            </w:pPr>
          </w:p>
        </w:tc>
        <w:tc>
          <w:tcPr>
            <w:tcW w:w="3484" w:type="dxa"/>
            <w:gridSpan w:val="2"/>
            <w:tcBorders>
              <w:top w:val="single" w:sz="12" w:space="0" w:color="auto"/>
            </w:tcBorders>
          </w:tcPr>
          <w:p w14:paraId="43478CCB" w14:textId="77777777" w:rsidR="00683C32" w:rsidRPr="00893422" w:rsidRDefault="00683C32" w:rsidP="00107E85">
            <w:pPr>
              <w:spacing w:before="0"/>
              <w:rPr>
                <w:b/>
                <w:bCs/>
                <w:sz w:val="20"/>
                <w:lang w:val="es-ES_tradnl"/>
              </w:rPr>
            </w:pPr>
          </w:p>
        </w:tc>
      </w:tr>
      <w:tr w:rsidR="00683C32" w:rsidRPr="00893422" w14:paraId="1A41C910" w14:textId="77777777" w:rsidTr="00F92361">
        <w:trPr>
          <w:cantSplit/>
        </w:trPr>
        <w:tc>
          <w:tcPr>
            <w:tcW w:w="6404" w:type="dxa"/>
            <w:gridSpan w:val="2"/>
          </w:tcPr>
          <w:p w14:paraId="7F0CCFE3" w14:textId="77777777" w:rsidR="00683C32" w:rsidRPr="00893422" w:rsidRDefault="00683C32" w:rsidP="00400CCF">
            <w:pPr>
              <w:pStyle w:val="Committee"/>
              <w:spacing w:before="0"/>
              <w:rPr>
                <w:bCs/>
                <w:szCs w:val="24"/>
                <w:lang w:val="es-ES_tradnl"/>
              </w:rPr>
            </w:pPr>
          </w:p>
        </w:tc>
        <w:tc>
          <w:tcPr>
            <w:tcW w:w="3484" w:type="dxa"/>
            <w:gridSpan w:val="2"/>
          </w:tcPr>
          <w:p w14:paraId="29902756" w14:textId="63405508" w:rsidR="00683C32" w:rsidRPr="00893422" w:rsidRDefault="0096201B" w:rsidP="00B648C7">
            <w:pPr>
              <w:spacing w:before="0"/>
              <w:jc w:val="both"/>
              <w:rPr>
                <w:bCs/>
                <w:szCs w:val="24"/>
                <w:lang w:val="es-ES_tradnl"/>
              </w:rPr>
            </w:pPr>
            <w:r w:rsidRPr="00893422">
              <w:rPr>
                <w:b/>
                <w:bCs/>
                <w:lang w:val="es-ES_tradnl"/>
              </w:rPr>
              <w:t>Document</w:t>
            </w:r>
            <w:r w:rsidR="00B42366" w:rsidRPr="00893422">
              <w:rPr>
                <w:b/>
                <w:bCs/>
                <w:lang w:val="es-ES_tradnl"/>
              </w:rPr>
              <w:t>o</w:t>
            </w:r>
            <w:r w:rsidRPr="00893422">
              <w:rPr>
                <w:b/>
                <w:bCs/>
                <w:lang w:val="es-ES_tradnl"/>
              </w:rPr>
              <w:t xml:space="preserve"> </w:t>
            </w:r>
            <w:bookmarkStart w:id="0" w:name="DocRef1"/>
            <w:bookmarkEnd w:id="0"/>
            <w:r w:rsidRPr="00893422">
              <w:rPr>
                <w:b/>
                <w:bCs/>
                <w:lang w:val="es-ES_tradnl"/>
              </w:rPr>
              <w:t>TDAG</w:t>
            </w:r>
            <w:r w:rsidR="003242AB" w:rsidRPr="00893422">
              <w:rPr>
                <w:b/>
                <w:bCs/>
                <w:lang w:val="es-ES_tradnl"/>
              </w:rPr>
              <w:t>-</w:t>
            </w:r>
            <w:r w:rsidR="00B648C7" w:rsidRPr="00893422">
              <w:rPr>
                <w:b/>
                <w:bCs/>
                <w:lang w:val="es-ES_tradnl"/>
              </w:rPr>
              <w:t>2</w:t>
            </w:r>
            <w:bookmarkStart w:id="1" w:name="DocNo1"/>
            <w:bookmarkEnd w:id="1"/>
            <w:r w:rsidR="004010E2" w:rsidRPr="00893422">
              <w:rPr>
                <w:b/>
                <w:bCs/>
                <w:lang w:val="es-ES_tradnl"/>
              </w:rPr>
              <w:t>5</w:t>
            </w:r>
            <w:r w:rsidR="0009076F" w:rsidRPr="00893422">
              <w:rPr>
                <w:b/>
                <w:bCs/>
                <w:lang w:val="es-ES_tradnl"/>
              </w:rPr>
              <w:t>/</w:t>
            </w:r>
            <w:r w:rsidR="005905B6" w:rsidRPr="00893422">
              <w:rPr>
                <w:b/>
                <w:bCs/>
                <w:lang w:val="es-ES_tradnl"/>
              </w:rPr>
              <w:t>62</w:t>
            </w:r>
            <w:r w:rsidR="004010E2" w:rsidRPr="00893422">
              <w:rPr>
                <w:b/>
                <w:bCs/>
                <w:lang w:val="es-ES_tradnl"/>
              </w:rPr>
              <w:t>-S</w:t>
            </w:r>
          </w:p>
        </w:tc>
      </w:tr>
      <w:tr w:rsidR="00683C32" w:rsidRPr="00893422" w14:paraId="46AC7811" w14:textId="77777777" w:rsidTr="00F92361">
        <w:trPr>
          <w:cantSplit/>
        </w:trPr>
        <w:tc>
          <w:tcPr>
            <w:tcW w:w="6404" w:type="dxa"/>
            <w:gridSpan w:val="2"/>
          </w:tcPr>
          <w:p w14:paraId="68CB34D7" w14:textId="77777777" w:rsidR="00683C32" w:rsidRPr="00893422" w:rsidRDefault="00683C32" w:rsidP="00400CCF">
            <w:pPr>
              <w:spacing w:before="0"/>
              <w:rPr>
                <w:b/>
                <w:bCs/>
                <w:smallCaps/>
                <w:szCs w:val="24"/>
                <w:lang w:val="es-ES_tradnl"/>
              </w:rPr>
            </w:pPr>
          </w:p>
        </w:tc>
        <w:tc>
          <w:tcPr>
            <w:tcW w:w="3484" w:type="dxa"/>
            <w:gridSpan w:val="2"/>
          </w:tcPr>
          <w:p w14:paraId="56B707A0" w14:textId="0887CEBD" w:rsidR="00683C32" w:rsidRPr="00893422" w:rsidRDefault="005905B6" w:rsidP="00B648C7">
            <w:pPr>
              <w:spacing w:before="0"/>
              <w:rPr>
                <w:b/>
                <w:szCs w:val="24"/>
                <w:lang w:val="es-ES_tradnl"/>
              </w:rPr>
            </w:pPr>
            <w:bookmarkStart w:id="2" w:name="CreationDate"/>
            <w:bookmarkEnd w:id="2"/>
            <w:r w:rsidRPr="00893422">
              <w:rPr>
                <w:b/>
                <w:bCs/>
                <w:szCs w:val="28"/>
                <w:lang w:val="es-ES_tradnl"/>
              </w:rPr>
              <w:t>9 de junio de 2025</w:t>
            </w:r>
          </w:p>
        </w:tc>
      </w:tr>
      <w:tr w:rsidR="00683C32" w:rsidRPr="00893422" w14:paraId="0C2E025B" w14:textId="77777777" w:rsidTr="00F92361">
        <w:trPr>
          <w:cantSplit/>
        </w:trPr>
        <w:tc>
          <w:tcPr>
            <w:tcW w:w="6404" w:type="dxa"/>
            <w:gridSpan w:val="2"/>
          </w:tcPr>
          <w:p w14:paraId="6186F014" w14:textId="77777777" w:rsidR="00683C32" w:rsidRPr="00893422" w:rsidRDefault="00683C32" w:rsidP="00400CCF">
            <w:pPr>
              <w:spacing w:before="0"/>
              <w:rPr>
                <w:smallCaps/>
                <w:szCs w:val="24"/>
                <w:lang w:val="es-ES_tradnl"/>
              </w:rPr>
            </w:pPr>
          </w:p>
        </w:tc>
        <w:tc>
          <w:tcPr>
            <w:tcW w:w="3484" w:type="dxa"/>
            <w:gridSpan w:val="2"/>
          </w:tcPr>
          <w:p w14:paraId="10B5092F" w14:textId="77777777" w:rsidR="00514D2F" w:rsidRPr="00893422" w:rsidRDefault="0096201B" w:rsidP="00400CCF">
            <w:pPr>
              <w:spacing w:before="0"/>
              <w:rPr>
                <w:szCs w:val="24"/>
                <w:lang w:val="es-ES_tradnl"/>
              </w:rPr>
            </w:pPr>
            <w:r w:rsidRPr="00893422">
              <w:rPr>
                <w:b/>
                <w:lang w:val="es-ES_tradnl"/>
              </w:rPr>
              <w:t>Original:</w:t>
            </w:r>
            <w:bookmarkStart w:id="3" w:name="Original"/>
            <w:bookmarkEnd w:id="3"/>
            <w:r w:rsidR="00CE0422" w:rsidRPr="00893422">
              <w:rPr>
                <w:b/>
                <w:lang w:val="es-ES_tradnl"/>
              </w:rPr>
              <w:t xml:space="preserve"> </w:t>
            </w:r>
            <w:r w:rsidR="00B42366" w:rsidRPr="00893422">
              <w:rPr>
                <w:b/>
                <w:lang w:val="es-ES_tradnl"/>
              </w:rPr>
              <w:t>inglés</w:t>
            </w:r>
          </w:p>
        </w:tc>
      </w:tr>
      <w:tr w:rsidR="00A13162" w:rsidRPr="00893422" w14:paraId="6160D154" w14:textId="77777777" w:rsidTr="00107E85">
        <w:trPr>
          <w:cantSplit/>
          <w:trHeight w:val="852"/>
        </w:trPr>
        <w:tc>
          <w:tcPr>
            <w:tcW w:w="9888" w:type="dxa"/>
            <w:gridSpan w:val="4"/>
          </w:tcPr>
          <w:p w14:paraId="5C1D0BF6" w14:textId="7475C24A" w:rsidR="00A13162" w:rsidRPr="00893422" w:rsidRDefault="005905B6" w:rsidP="0030353C">
            <w:pPr>
              <w:pStyle w:val="Source"/>
              <w:rPr>
                <w:lang w:val="es-ES_tradnl"/>
              </w:rPr>
            </w:pPr>
            <w:bookmarkStart w:id="4" w:name="Source"/>
            <w:bookmarkEnd w:id="4"/>
            <w:r w:rsidRPr="00893422">
              <w:rPr>
                <w:lang w:val="es-ES_tradnl"/>
              </w:rPr>
              <w:t>Presidenta del Grupo Asesor de Desarrollo de las Telecomunicaciones (GADT)</w:t>
            </w:r>
          </w:p>
        </w:tc>
      </w:tr>
      <w:tr w:rsidR="00AC6F14" w:rsidRPr="00893422" w14:paraId="1B6579E9" w14:textId="77777777" w:rsidTr="00107E85">
        <w:trPr>
          <w:cantSplit/>
        </w:trPr>
        <w:tc>
          <w:tcPr>
            <w:tcW w:w="9888" w:type="dxa"/>
            <w:gridSpan w:val="4"/>
          </w:tcPr>
          <w:p w14:paraId="5A4B721C" w14:textId="2A79729E" w:rsidR="00AC6F14" w:rsidRPr="00893422" w:rsidRDefault="005905B6" w:rsidP="0030353C">
            <w:pPr>
              <w:pStyle w:val="Title1"/>
              <w:rPr>
                <w:lang w:val="es-ES_tradnl"/>
              </w:rPr>
            </w:pPr>
            <w:bookmarkStart w:id="5" w:name="Title"/>
            <w:bookmarkEnd w:id="5"/>
            <w:r w:rsidRPr="00893422">
              <w:rPr>
                <w:lang w:val="es-ES_tradnl"/>
              </w:rPr>
              <w:t>Informe de la 32.ª reunión del GADT</w:t>
            </w:r>
          </w:p>
        </w:tc>
      </w:tr>
      <w:tr w:rsidR="00A721F4" w:rsidRPr="00893422" w14:paraId="4228EE8B" w14:textId="77777777" w:rsidTr="00A721F4">
        <w:trPr>
          <w:cantSplit/>
        </w:trPr>
        <w:tc>
          <w:tcPr>
            <w:tcW w:w="9888" w:type="dxa"/>
            <w:gridSpan w:val="4"/>
            <w:tcBorders>
              <w:bottom w:val="single" w:sz="4" w:space="0" w:color="auto"/>
            </w:tcBorders>
          </w:tcPr>
          <w:p w14:paraId="1F029C0A" w14:textId="77777777" w:rsidR="00A721F4" w:rsidRPr="00893422" w:rsidRDefault="00A721F4" w:rsidP="00BC06EA">
            <w:pPr>
              <w:spacing w:after="120"/>
              <w:rPr>
                <w:lang w:val="es-ES_tradnl"/>
              </w:rPr>
            </w:pPr>
          </w:p>
        </w:tc>
      </w:tr>
    </w:tbl>
    <w:p w14:paraId="19BDB019" w14:textId="77777777" w:rsidR="00923CF1" w:rsidRPr="00893422" w:rsidRDefault="00923CF1" w:rsidP="00935FF0">
      <w:pPr>
        <w:rPr>
          <w:lang w:val="es-ES_tradnl"/>
        </w:rPr>
      </w:pPr>
    </w:p>
    <w:p w14:paraId="1D19608A" w14:textId="77777777" w:rsidR="00923CF1" w:rsidRPr="00893422"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893422">
        <w:rPr>
          <w:lang w:val="es-ES_tradnl"/>
        </w:rPr>
        <w:br w:type="page"/>
      </w:r>
    </w:p>
    <w:p w14:paraId="1256DC5C" w14:textId="77777777" w:rsidR="005905B6" w:rsidRPr="00893422" w:rsidRDefault="005905B6" w:rsidP="00976CD2">
      <w:pPr>
        <w:pStyle w:val="Headingb"/>
        <w:rPr>
          <w:rFonts w:cstheme="minorBidi"/>
          <w:lang w:val="es-ES_tradnl"/>
        </w:rPr>
      </w:pPr>
      <w:r w:rsidRPr="00893422">
        <w:rPr>
          <w:lang w:val="es-ES_tradnl"/>
        </w:rPr>
        <w:lastRenderedPageBreak/>
        <w:t>Introducción y aspectos destacados</w:t>
      </w:r>
    </w:p>
    <w:p w14:paraId="2950605C" w14:textId="6B38D06B" w:rsidR="005905B6" w:rsidRPr="00893422" w:rsidRDefault="005905B6" w:rsidP="00976CD2">
      <w:pPr>
        <w:rPr>
          <w:rFonts w:cstheme="minorBidi"/>
          <w:lang w:val="es-ES_tradnl"/>
        </w:rPr>
      </w:pPr>
      <w:r w:rsidRPr="00893422">
        <w:rPr>
          <w:lang w:val="es-ES_tradnl"/>
        </w:rPr>
        <w:t>El Grupo Asesor de Desarrollo de las Telecomunicaciones (GADT) celebró su reunión anual bajo la presidencia de Roxanne McElvane Webber (Estados Unidos) del 12 al 16 de mayo de 2025. La reunión contó con 224 participantes, de los cuales 101 mujeres y 123 hombres, procedentes de 73 países: 123 participaron presencialmente para examinar 60 contribuciones. A la Sra. Webber se sumaron 10 Vicepresidentes en representación de las diferentes Regiones:</w:t>
      </w:r>
      <w:r w:rsidRPr="00893422">
        <w:rPr>
          <w:rStyle w:val="FootnoteReference"/>
          <w:rFonts w:cstheme="minorBidi"/>
          <w:lang w:val="es-ES_tradnl"/>
        </w:rPr>
        <w:footnoteReference w:id="1"/>
      </w:r>
      <w:r w:rsidRPr="00893422">
        <w:rPr>
          <w:lang w:val="es-ES_tradnl"/>
        </w:rPr>
        <w:t xml:space="preserve"> por África, Abdulkarim Oloyede (Nigeria); por las Américas, Augustina Brizio (Argentina) y Andrea Grippa (Brasil); por Asia y el Pacífico, Ke Wang (China) y Ahmad Sharafat (Irán); por los Estados Árabes, Ahmed Abd El Aziz Gad (Egipto) y Shahad Albalawi (Arabia Saudita); por Europa,</w:t>
      </w:r>
      <w:r w:rsidRPr="00893422">
        <w:rPr>
          <w:rStyle w:val="FootnoteReference"/>
          <w:lang w:val="es-ES_tradnl"/>
        </w:rPr>
        <w:footnoteReference w:id="2"/>
      </w:r>
      <w:r w:rsidRPr="00893422">
        <w:rPr>
          <w:lang w:val="es-ES_tradnl"/>
        </w:rPr>
        <w:t xml:space="preserve"> Inga Rimkevičienė, y los Presidentes de las Comisiones de Estudio 1 y 2 del UIT-D, Regina Fleur Assoumou Besso y el Dr. Fadel Digham, respectivamente.</w:t>
      </w:r>
      <w:r w:rsidRPr="00893422">
        <w:rPr>
          <w:rStyle w:val="FootnoteReference"/>
          <w:rFonts w:cstheme="minorBidi"/>
          <w:lang w:val="es-ES_tradnl"/>
        </w:rPr>
        <w:footnoteReference w:id="3"/>
      </w:r>
      <w:r w:rsidRPr="00893422">
        <w:rPr>
          <w:lang w:val="es-ES_tradnl"/>
        </w:rPr>
        <w:t xml:space="preserve"> La lista definitiva de participantes puede consultarse </w:t>
      </w:r>
      <w:hyperlink r:id="rId13" w:history="1">
        <w:r w:rsidRPr="00893422">
          <w:rPr>
            <w:rStyle w:val="Hyperlink"/>
            <w:lang w:val="es-ES_tradnl"/>
          </w:rPr>
          <w:t>aquí</w:t>
        </w:r>
      </w:hyperlink>
      <w:r w:rsidRPr="00893422">
        <w:rPr>
          <w:lang w:val="es-ES_tradnl"/>
        </w:rPr>
        <w:t>.</w:t>
      </w:r>
      <w:hyperlink r:id="rId14" w:history="1"/>
    </w:p>
    <w:p w14:paraId="0B8D5FF9" w14:textId="400CDF27" w:rsidR="005905B6" w:rsidRPr="00893422" w:rsidRDefault="005905B6" w:rsidP="00475402">
      <w:pPr>
        <w:rPr>
          <w:rFonts w:cstheme="minorBidi"/>
          <w:lang w:val="es-ES_tradnl"/>
        </w:rPr>
      </w:pPr>
      <w:r w:rsidRPr="00893422">
        <w:rPr>
          <w:lang w:val="es-ES_tradnl"/>
        </w:rPr>
        <w:t>El GADT proporcionó un tablero dinámico e interactivo para deliberar sobre cuestiones estratégicas, operacionales y políticas fundamentales del Sector de Desarrollo de las Telecomunicaciones de la UIT (UIT-D). Durante los cinco días de la reunión, el orden del día estuvo marcado por una estructura inclusiva y participativa, con sesiones plenarias temáticas, reuniones de Grupos de Trabajo específicos, entrevistas de alto nivel e interesantes intercambios en mesas</w:t>
      </w:r>
      <w:r w:rsidR="00E66A04" w:rsidRPr="00893422">
        <w:rPr>
          <w:lang w:val="es-ES_tradnl"/>
        </w:rPr>
        <w:t> </w:t>
      </w:r>
      <w:r w:rsidRPr="00893422">
        <w:rPr>
          <w:lang w:val="es-ES_tradnl"/>
        </w:rPr>
        <w:t>redondas.</w:t>
      </w:r>
    </w:p>
    <w:p w14:paraId="49A78FED" w14:textId="77777777" w:rsidR="005905B6" w:rsidRPr="00893422" w:rsidRDefault="005905B6" w:rsidP="00475402">
      <w:pPr>
        <w:rPr>
          <w:rFonts w:cstheme="minorHAnsi"/>
          <w:szCs w:val="24"/>
          <w:lang w:val="es-ES_tradnl"/>
        </w:rPr>
      </w:pPr>
      <w:bookmarkStart w:id="6" w:name="_Hlk198646087"/>
      <w:r w:rsidRPr="00893422">
        <w:rPr>
          <w:lang w:val="es-ES_tradnl"/>
        </w:rPr>
        <w:t xml:space="preserve">En particular, el GADT refrendó el </w:t>
      </w:r>
      <w:r w:rsidRPr="00893422">
        <w:rPr>
          <w:b/>
          <w:bCs/>
          <w:lang w:val="es-ES_tradnl"/>
        </w:rPr>
        <w:t>Plan Operacional del UIT-D para 2025</w:t>
      </w:r>
      <w:r w:rsidRPr="00893422">
        <w:rPr>
          <w:lang w:val="es-ES_tradnl"/>
        </w:rPr>
        <w:t xml:space="preserve"> y nombró a la Sra. Inga Rimkevičienė Representante del GADT ante el GCIS para la Participación de la Industria del UIT-D. En lo que respecta a la CMDT-25, el GADT aprobó el tema elaborado por el Grupo de Trabajo del GADT sobre la Declaración de la CMDT: "</w:t>
      </w:r>
      <w:r w:rsidRPr="00893422">
        <w:rPr>
          <w:b/>
          <w:bCs/>
          <w:i/>
          <w:lang w:val="es-ES_tradnl"/>
        </w:rPr>
        <w:t>Conectividad universal, efectiva y asequible para un futuro digital inclusivo y sostenible</w:t>
      </w:r>
      <w:r w:rsidRPr="00893422">
        <w:rPr>
          <w:lang w:val="es-ES_tradnl"/>
        </w:rPr>
        <w:t>", y aprobó los productos producidos por los Grupos de Trabajo del GADT sobre cuatro productos principales de la CMDT-25 que se finalizarán en la Conferencia:</w:t>
      </w:r>
      <w:bookmarkEnd w:id="6"/>
    </w:p>
    <w:p w14:paraId="3C4940FA" w14:textId="73D20453" w:rsidR="005905B6" w:rsidRPr="00893422" w:rsidRDefault="00475402" w:rsidP="00475402">
      <w:pPr>
        <w:pStyle w:val="enumlev1"/>
        <w:rPr>
          <w:rFonts w:cstheme="minorHAnsi"/>
          <w:szCs w:val="24"/>
          <w:lang w:val="es-ES_tradnl"/>
        </w:rPr>
      </w:pPr>
      <w:r w:rsidRPr="00893422">
        <w:rPr>
          <w:lang w:val="es-ES_tradnl"/>
        </w:rPr>
        <w:t>–</w:t>
      </w:r>
      <w:r w:rsidRPr="00893422">
        <w:rPr>
          <w:lang w:val="es-ES_tradnl"/>
        </w:rPr>
        <w:tab/>
      </w:r>
      <w:r w:rsidR="005905B6" w:rsidRPr="00893422">
        <w:rPr>
          <w:lang w:val="es-ES_tradnl"/>
        </w:rPr>
        <w:t>Prioridades del UIT-D/Plan de Acción de Baku</w:t>
      </w:r>
      <w:r w:rsidR="00FB2BD2">
        <w:rPr>
          <w:lang w:val="es-ES_tradnl"/>
        </w:rPr>
        <w:t>;</w:t>
      </w:r>
    </w:p>
    <w:p w14:paraId="614E9467" w14:textId="32446F38" w:rsidR="005905B6" w:rsidRPr="00893422" w:rsidRDefault="00475402" w:rsidP="00475402">
      <w:pPr>
        <w:pStyle w:val="enumlev1"/>
        <w:rPr>
          <w:rFonts w:cstheme="minorHAnsi"/>
          <w:szCs w:val="24"/>
          <w:lang w:val="es-ES_tradnl"/>
        </w:rPr>
      </w:pPr>
      <w:r w:rsidRPr="00893422">
        <w:rPr>
          <w:lang w:val="es-ES_tradnl"/>
        </w:rPr>
        <w:t>–</w:t>
      </w:r>
      <w:r w:rsidRPr="00893422">
        <w:rPr>
          <w:lang w:val="es-ES_tradnl"/>
        </w:rPr>
        <w:tab/>
      </w:r>
      <w:r w:rsidR="00FB2BD2">
        <w:rPr>
          <w:lang w:val="es-ES_tradnl"/>
        </w:rPr>
        <w:t>L</w:t>
      </w:r>
      <w:r w:rsidR="005905B6" w:rsidRPr="00893422">
        <w:rPr>
          <w:lang w:val="es-ES_tradnl"/>
        </w:rPr>
        <w:t>a Declaración de Bakú;</w:t>
      </w:r>
    </w:p>
    <w:p w14:paraId="1EA02E9A" w14:textId="6602BFA8" w:rsidR="005905B6" w:rsidRPr="00893422" w:rsidRDefault="00475402" w:rsidP="00475402">
      <w:pPr>
        <w:pStyle w:val="enumlev1"/>
        <w:rPr>
          <w:rFonts w:cstheme="minorHAnsi"/>
          <w:szCs w:val="24"/>
          <w:lang w:val="es-ES_tradnl"/>
        </w:rPr>
      </w:pPr>
      <w:r w:rsidRPr="00893422">
        <w:rPr>
          <w:lang w:val="es-ES_tradnl"/>
        </w:rPr>
        <w:t>–</w:t>
      </w:r>
      <w:r w:rsidRPr="00893422">
        <w:rPr>
          <w:lang w:val="es-ES_tradnl"/>
        </w:rPr>
        <w:tab/>
      </w:r>
      <w:r w:rsidR="005905B6" w:rsidRPr="00893422">
        <w:rPr>
          <w:lang w:val="es-ES_tradnl"/>
        </w:rPr>
        <w:t>Futuras Cuestiones de las Comisiones de Estudio, y</w:t>
      </w:r>
    </w:p>
    <w:p w14:paraId="0228951A" w14:textId="76EFD4D7" w:rsidR="005905B6" w:rsidRPr="00893422" w:rsidRDefault="00475402" w:rsidP="00475402">
      <w:pPr>
        <w:pStyle w:val="enumlev1"/>
        <w:rPr>
          <w:rFonts w:cstheme="minorHAnsi"/>
          <w:szCs w:val="24"/>
          <w:lang w:val="es-ES_tradnl"/>
        </w:rPr>
      </w:pPr>
      <w:r w:rsidRPr="00893422">
        <w:rPr>
          <w:lang w:val="es-ES_tradnl"/>
        </w:rPr>
        <w:t>–</w:t>
      </w:r>
      <w:r w:rsidRPr="00893422">
        <w:rPr>
          <w:lang w:val="es-ES_tradnl"/>
        </w:rPr>
        <w:tab/>
      </w:r>
      <w:r w:rsidR="005905B6" w:rsidRPr="00893422">
        <w:rPr>
          <w:lang w:val="es-ES_tradnl"/>
        </w:rPr>
        <w:t>Propuestas para Racionalizar las Resoluciones del UIT-D.</w:t>
      </w:r>
    </w:p>
    <w:p w14:paraId="69ECC109" w14:textId="42D98304" w:rsidR="005905B6" w:rsidRPr="00893422" w:rsidRDefault="005905B6" w:rsidP="00E66A04">
      <w:pPr>
        <w:keepNext/>
        <w:keepLines/>
        <w:rPr>
          <w:rFonts w:cstheme="minorHAnsi"/>
          <w:szCs w:val="24"/>
          <w:lang w:val="es-ES_tradnl"/>
        </w:rPr>
      </w:pPr>
      <w:r w:rsidRPr="00893422">
        <w:rPr>
          <w:lang w:val="es-ES_tradnl"/>
        </w:rPr>
        <w:lastRenderedPageBreak/>
        <w:t>Los Grupos de Trabajo del GADT estuvieron dirigidos por los Vicepresidentes del GADT y en ellos pudieron participar todos los miembros. Los mencionados productos del GADT son documentos de base no vinculantes que los miembros pueden consultar en su preparación para la CMDT</w:t>
      </w:r>
      <w:r w:rsidR="00213B1C" w:rsidRPr="00893422">
        <w:rPr>
          <w:lang w:val="es-ES_tradnl"/>
        </w:rPr>
        <w:noBreakHyphen/>
      </w:r>
      <w:r w:rsidRPr="00893422">
        <w:rPr>
          <w:lang w:val="es-ES_tradnl"/>
        </w:rPr>
        <w:t>25;</w:t>
      </w:r>
      <w:r w:rsidR="00213B1C" w:rsidRPr="00893422">
        <w:rPr>
          <w:lang w:val="es-ES_tradnl"/>
        </w:rPr>
        <w:t xml:space="preserve"> r</w:t>
      </w:r>
      <w:r w:rsidRPr="00893422">
        <w:rPr>
          <w:lang w:val="es-ES_tradnl"/>
        </w:rPr>
        <w:t>epresentan el estado de las negociaciones a mayo de 2025</w:t>
      </w:r>
      <w:r w:rsidRPr="00893422">
        <w:rPr>
          <w:rStyle w:val="FootnoteReference"/>
          <w:lang w:val="es-ES_tradnl"/>
        </w:rPr>
        <w:footnoteReference w:id="4"/>
      </w:r>
      <w:r w:rsidRPr="00893422">
        <w:rPr>
          <w:lang w:val="es-ES_tradnl"/>
        </w:rPr>
        <w:t xml:space="preserve"> y pueden consultarse en los </w:t>
      </w:r>
      <w:r w:rsidRPr="00893422">
        <w:rPr>
          <w:b/>
          <w:bCs/>
          <w:lang w:val="es-ES_tradnl"/>
        </w:rPr>
        <w:t>Anexos C a F</w:t>
      </w:r>
      <w:r w:rsidRPr="00893422">
        <w:rPr>
          <w:lang w:val="es-ES_tradnl"/>
        </w:rPr>
        <w:t xml:space="preserve"> del presente informe. Los Grupos de Trabajo del GADT fueron los siguientes:</w:t>
      </w:r>
    </w:p>
    <w:p w14:paraId="3AB67820" w14:textId="04C698EB" w:rsidR="005905B6" w:rsidRPr="00893422" w:rsidRDefault="00E66A04" w:rsidP="00E66A04">
      <w:pPr>
        <w:pStyle w:val="enumlev1"/>
        <w:rPr>
          <w:rFonts w:cstheme="minorBidi"/>
          <w:lang w:val="es-ES_tradnl"/>
        </w:rPr>
      </w:pPr>
      <w:r w:rsidRPr="00893422">
        <w:rPr>
          <w:lang w:val="es-ES_tradnl"/>
        </w:rPr>
        <w:t>–</w:t>
      </w:r>
      <w:r w:rsidRPr="00893422">
        <w:rPr>
          <w:lang w:val="es-ES_tradnl"/>
        </w:rPr>
        <w:tab/>
      </w:r>
      <w:r w:rsidR="005905B6" w:rsidRPr="00893422">
        <w:rPr>
          <w:b/>
          <w:bCs/>
          <w:lang w:val="es-ES_tradnl"/>
        </w:rPr>
        <w:t xml:space="preserve">Grupo de Trabajo del GADT sobre las Prioridades del UIT-D </w:t>
      </w:r>
      <w:r w:rsidR="005905B6" w:rsidRPr="00893422">
        <w:rPr>
          <w:lang w:val="es-ES_tradnl"/>
        </w:rPr>
        <w:t xml:space="preserve">(GT-GADT-PUITD) (Presidencia: Inga Rimkeviciene (Lituania) </w:t>
      </w:r>
      <w:r w:rsidR="00517ABF" w:rsidRPr="00893422">
        <w:rPr>
          <w:lang w:val="es-ES_tradnl"/>
        </w:rPr>
        <w:t>–</w:t>
      </w:r>
      <w:r w:rsidR="005905B6" w:rsidRPr="00893422">
        <w:rPr>
          <w:lang w:val="es-ES_tradnl"/>
        </w:rPr>
        <w:t xml:space="preserve"> 2025 y Christopher Kemei (Kenya) 2024; Vicepresidencia: Blanca González (España) y Ahmad Sharafat (Irán)</w:t>
      </w:r>
      <w:r w:rsidR="00D070BD">
        <w:rPr>
          <w:lang w:val="es-ES_tradnl"/>
        </w:rPr>
        <w:t>.</w:t>
      </w:r>
    </w:p>
    <w:p w14:paraId="052B25CA" w14:textId="52CE036F" w:rsidR="005905B6" w:rsidRPr="00893422" w:rsidRDefault="00E66A04" w:rsidP="00E66A04">
      <w:pPr>
        <w:pStyle w:val="enumlev1"/>
        <w:rPr>
          <w:rFonts w:cstheme="minorBidi"/>
          <w:lang w:val="es-ES_tradnl"/>
        </w:rPr>
      </w:pPr>
      <w:r w:rsidRPr="00893422">
        <w:rPr>
          <w:lang w:val="es-ES_tradnl"/>
        </w:rPr>
        <w:t>–</w:t>
      </w:r>
      <w:r w:rsidRPr="00893422">
        <w:rPr>
          <w:lang w:val="es-ES_tradnl"/>
        </w:rPr>
        <w:tab/>
      </w:r>
      <w:r w:rsidR="005905B6" w:rsidRPr="00893422">
        <w:rPr>
          <w:b/>
          <w:bCs/>
          <w:lang w:val="es-ES_tradnl"/>
        </w:rPr>
        <w:t>Grupo de Trabajo del GADT sobre el Futuro de las Cuestiones de las Comisiones de Estudio</w:t>
      </w:r>
      <w:r w:rsidR="005905B6" w:rsidRPr="00893422">
        <w:rPr>
          <w:lang w:val="es-ES_tradnl"/>
        </w:rPr>
        <w:t xml:space="preserve"> (Presidencia: Dr. Ahmed R. Sharafat (Irán); Vicepresidencia: Regina Fleur Assoumou Bessou (Côte d'Ivoire) y Fadel Digham (Egipto)</w:t>
      </w:r>
      <w:r w:rsidR="00D070BD">
        <w:rPr>
          <w:lang w:val="es-ES_tradnl"/>
        </w:rPr>
        <w:t>.</w:t>
      </w:r>
    </w:p>
    <w:p w14:paraId="635578C4" w14:textId="2DAA099F" w:rsidR="005905B6" w:rsidRPr="00893422" w:rsidRDefault="00E66A04" w:rsidP="00E66A04">
      <w:pPr>
        <w:pStyle w:val="enumlev1"/>
        <w:rPr>
          <w:rFonts w:ascii="Calibri" w:hAnsi="Calibri" w:cstheme="minorBidi"/>
          <w:color w:val="000000"/>
          <w:lang w:val="es-ES_tradnl"/>
        </w:rPr>
      </w:pPr>
      <w:r w:rsidRPr="00893422">
        <w:rPr>
          <w:lang w:val="es-ES_tradnl"/>
        </w:rPr>
        <w:t>–</w:t>
      </w:r>
      <w:r w:rsidRPr="00893422">
        <w:rPr>
          <w:lang w:val="es-ES_tradnl"/>
        </w:rPr>
        <w:tab/>
      </w:r>
      <w:r w:rsidR="005905B6" w:rsidRPr="00893422">
        <w:rPr>
          <w:b/>
          <w:bCs/>
          <w:lang w:val="es-ES_tradnl"/>
        </w:rPr>
        <w:t>Grupo de Trabajo del GADT sobre la Declaración de la CMDT</w:t>
      </w:r>
      <w:r w:rsidR="005905B6" w:rsidRPr="00893422">
        <w:rPr>
          <w:lang w:val="es-ES_tradnl"/>
        </w:rPr>
        <w:t xml:space="preserve"> (GT-GADT-DEC), (Presidencia: Dr. Abdulkarim Oloyede (Nigeria); Vicepresidencia: Ahmed Gad (Egipto) y Ke</w:t>
      </w:r>
      <w:r w:rsidR="00517ABF" w:rsidRPr="00893422">
        <w:rPr>
          <w:lang w:val="es-ES_tradnl"/>
        </w:rPr>
        <w:t> </w:t>
      </w:r>
      <w:r w:rsidR="005905B6" w:rsidRPr="00893422">
        <w:rPr>
          <w:lang w:val="es-ES_tradnl"/>
        </w:rPr>
        <w:t>Wang (China))</w:t>
      </w:r>
      <w:r w:rsidR="00D070BD">
        <w:rPr>
          <w:lang w:val="es-ES_tradnl"/>
        </w:rPr>
        <w:t>.</w:t>
      </w:r>
    </w:p>
    <w:p w14:paraId="6106F4DB" w14:textId="01A72281" w:rsidR="005905B6" w:rsidRPr="00893422" w:rsidRDefault="00E66A04" w:rsidP="00E66A04">
      <w:pPr>
        <w:pStyle w:val="enumlev1"/>
        <w:rPr>
          <w:rFonts w:cstheme="minorBidi"/>
          <w:lang w:val="es-ES_tradnl"/>
        </w:rPr>
      </w:pPr>
      <w:r w:rsidRPr="00893422">
        <w:rPr>
          <w:lang w:val="es-ES_tradnl"/>
        </w:rPr>
        <w:t>–</w:t>
      </w:r>
      <w:r w:rsidRPr="00893422">
        <w:rPr>
          <w:lang w:val="es-ES_tradnl"/>
        </w:rPr>
        <w:tab/>
      </w:r>
      <w:r w:rsidR="005905B6" w:rsidRPr="00893422">
        <w:rPr>
          <w:b/>
          <w:bCs/>
          <w:lang w:val="es-ES_tradnl"/>
        </w:rPr>
        <w:t>Grupo de Trabajo del GADT sobre la Racionalización de las Resoluciones</w:t>
      </w:r>
      <w:r w:rsidR="005905B6" w:rsidRPr="00893422">
        <w:rPr>
          <w:lang w:val="es-ES_tradnl"/>
        </w:rPr>
        <w:t xml:space="preserve"> (Presidencia: Andrea Grippa (Brasil)). Vicepresidencia: Blanca González (España) y Agustina Brizo (Argentina)</w:t>
      </w:r>
      <w:r w:rsidR="00D070BD">
        <w:rPr>
          <w:lang w:val="es-ES_tradnl"/>
        </w:rPr>
        <w:t>.</w:t>
      </w:r>
    </w:p>
    <w:p w14:paraId="62EC66D9" w14:textId="089414CB" w:rsidR="005905B6" w:rsidRPr="00893422" w:rsidRDefault="00E66A04" w:rsidP="00E66A04">
      <w:pPr>
        <w:pStyle w:val="enumlev1"/>
        <w:rPr>
          <w:rStyle w:val="Hyperlink"/>
          <w:rFonts w:cstheme="minorBidi"/>
          <w:color w:val="auto"/>
          <w:u w:val="none"/>
          <w:lang w:val="es-ES_tradnl"/>
        </w:rPr>
      </w:pPr>
      <w:r w:rsidRPr="00893422">
        <w:rPr>
          <w:lang w:val="es-ES_tradnl"/>
        </w:rPr>
        <w:t>–</w:t>
      </w:r>
      <w:r w:rsidRPr="00893422">
        <w:rPr>
          <w:lang w:val="es-ES_tradnl"/>
        </w:rPr>
        <w:tab/>
      </w:r>
      <w:r w:rsidR="005905B6" w:rsidRPr="00893422">
        <w:rPr>
          <w:b/>
          <w:bCs/>
          <w:lang w:val="es-ES_tradnl"/>
        </w:rPr>
        <w:t>Grupo de Coordinación Informal del GADT sobre la Cumbre Mundial de la Juventud</w:t>
      </w:r>
      <w:r w:rsidR="005905B6" w:rsidRPr="00893422">
        <w:rPr>
          <w:lang w:val="es-ES_tradnl"/>
        </w:rPr>
        <w:t xml:space="preserve"> (GCI-GADT-GYS) </w:t>
      </w:r>
      <w:r w:rsidR="00185B7B" w:rsidRPr="00185B7B">
        <w:rPr>
          <w:lang w:val="es-ES_tradnl"/>
        </w:rPr>
        <w:t>–</w:t>
      </w:r>
      <w:r w:rsidR="005905B6" w:rsidRPr="00893422">
        <w:rPr>
          <w:lang w:val="es-ES_tradnl"/>
        </w:rPr>
        <w:t xml:space="preserve"> Marzo de 2025 en Varadero, Cuba. (Coordinadores: Agustina BRIZIO (Argentina), Ke WANG (China), Dr. Abdoulkarim OLOYEDE (Nigeria) y Shahad ALBALAWI (Arabia Saudita).</w:t>
      </w:r>
    </w:p>
    <w:p w14:paraId="22328540" w14:textId="77777777" w:rsidR="005905B6" w:rsidRPr="00893422" w:rsidRDefault="005905B6" w:rsidP="00517ABF">
      <w:pPr>
        <w:rPr>
          <w:rFonts w:cstheme="minorBidi"/>
          <w:szCs w:val="24"/>
          <w:lang w:val="es-ES_tradnl"/>
        </w:rPr>
      </w:pPr>
      <w:r w:rsidRPr="00893422">
        <w:rPr>
          <w:lang w:val="es-ES_tradnl"/>
        </w:rPr>
        <w:t xml:space="preserve">Por último, tomando nota del informe de la primera reunión de coordinación de las Organizaciones Regionales de Telecomunicaciones (ORT), el GADT refrendó la celebración de </w:t>
      </w:r>
      <w:r w:rsidRPr="00893422">
        <w:rPr>
          <w:b/>
          <w:bCs/>
          <w:lang w:val="es-ES_tradnl"/>
        </w:rPr>
        <w:t>dos reuniones interregionales virtuales</w:t>
      </w:r>
      <w:r w:rsidRPr="00893422">
        <w:rPr>
          <w:lang w:val="es-ES_tradnl"/>
        </w:rPr>
        <w:t xml:space="preserve"> para preparar la CMDT-25: la RIR-1 (14-15 de julio de 2025) y la RIR-2 (29-30 de septiembre de 2025), así como la estructura de la CMDT-25, que contará con participación a distancia.</w:t>
      </w:r>
    </w:p>
    <w:p w14:paraId="072EA9BE" w14:textId="77777777" w:rsidR="005905B6" w:rsidRPr="00893422" w:rsidRDefault="005905B6" w:rsidP="00517ABF">
      <w:pPr>
        <w:rPr>
          <w:rFonts w:cstheme="minorBidi"/>
          <w:szCs w:val="24"/>
          <w:lang w:val="es-ES_tradnl"/>
        </w:rPr>
      </w:pPr>
      <w:r w:rsidRPr="00893422">
        <w:rPr>
          <w:lang w:val="es-ES_tradnl"/>
        </w:rPr>
        <w:t xml:space="preserve">Uno de los momentos más destacados de la semana fue la </w:t>
      </w:r>
      <w:r w:rsidRPr="00893422">
        <w:rPr>
          <w:b/>
          <w:bCs/>
          <w:lang w:val="es-ES_tradnl"/>
        </w:rPr>
        <w:t>sesión de entrevistas con los Directores Regionales de la UIT</w:t>
      </w:r>
      <w:r w:rsidRPr="00893422">
        <w:rPr>
          <w:lang w:val="es-ES_tradnl"/>
        </w:rPr>
        <w:t xml:space="preserve">, que permitió a los participantes conocer de primera mano las circunstancias regionales, las iniciativas estratégicas y el estado de aplicación del Plan de Acción de Kigali (PAK) en diferentes partes del mundo. Mediante este formato interactivo se fomentó un intercambio provechoso entre la Sede y las Oficinas Regionales y se reforzó de este modo la importancia de una acción coordinada a todos los niveles. En el </w:t>
      </w:r>
      <w:r w:rsidRPr="00893422">
        <w:rPr>
          <w:b/>
          <w:bCs/>
          <w:lang w:val="es-ES_tradnl"/>
        </w:rPr>
        <w:t>Anexo A</w:t>
      </w:r>
      <w:r w:rsidRPr="00893422">
        <w:rPr>
          <w:lang w:val="es-ES_tradnl"/>
        </w:rPr>
        <w:t xml:space="preserve"> al presente informe figuran más detalles sobre esta sesión, junto con </w:t>
      </w:r>
      <w:r w:rsidRPr="00893422">
        <w:rPr>
          <w:b/>
          <w:bCs/>
          <w:lang w:val="es-ES_tradnl"/>
        </w:rPr>
        <w:t>vídeos ilustrativos de los trabajos en curso en cada región</w:t>
      </w:r>
      <w:r w:rsidRPr="00893422">
        <w:rPr>
          <w:lang w:val="es-ES_tradnl"/>
        </w:rPr>
        <w:t>.</w:t>
      </w:r>
    </w:p>
    <w:p w14:paraId="2432880F" w14:textId="55135006" w:rsidR="005905B6" w:rsidRPr="00893422" w:rsidRDefault="005905B6" w:rsidP="00517ABF">
      <w:pPr>
        <w:keepNext/>
        <w:keepLines/>
        <w:rPr>
          <w:rFonts w:cstheme="minorBidi"/>
          <w:szCs w:val="24"/>
          <w:lang w:val="es-ES_tradnl"/>
        </w:rPr>
      </w:pPr>
      <w:r w:rsidRPr="00893422">
        <w:rPr>
          <w:lang w:val="es-ES_tradnl"/>
        </w:rPr>
        <w:lastRenderedPageBreak/>
        <w:t xml:space="preserve">Para fortalecer aún más el diálogo con las partes interesadas, el GADT organizó una </w:t>
      </w:r>
      <w:r w:rsidRPr="00893422">
        <w:rPr>
          <w:b/>
          <w:bCs/>
          <w:lang w:val="es-ES_tradnl"/>
        </w:rPr>
        <w:t>mesa redonda con representantes de las Organizaciones Regionales de Telecomunicaciones (ORT)</w:t>
      </w:r>
      <w:r w:rsidRPr="00893422">
        <w:rPr>
          <w:lang w:val="es-ES_tradnl"/>
        </w:rPr>
        <w:t>. Esta sesión sirvió de foro estratégico para explorar sinergias y debatir perspectivas regionales sobre la preparación de la próxima Conferencia Mundial de Desarrollo de las Telecomunicaciones (CMDT</w:t>
      </w:r>
      <w:r w:rsidR="00517ABF" w:rsidRPr="00893422">
        <w:rPr>
          <w:lang w:val="es-ES_tradnl"/>
        </w:rPr>
        <w:noBreakHyphen/>
      </w:r>
      <w:r w:rsidRPr="00893422">
        <w:rPr>
          <w:lang w:val="es-ES_tradnl"/>
        </w:rPr>
        <w:t xml:space="preserve">25). También permitió a las ORT dar a conocer sus prioridades y expectativas con miras a mejorar la colaboración con la UIT. El </w:t>
      </w:r>
      <w:r w:rsidRPr="00893422">
        <w:rPr>
          <w:b/>
          <w:bCs/>
          <w:lang w:val="es-ES_tradnl"/>
        </w:rPr>
        <w:t>Anexo B</w:t>
      </w:r>
      <w:r w:rsidRPr="00893422">
        <w:rPr>
          <w:lang w:val="es-ES_tradnl"/>
        </w:rPr>
        <w:t xml:space="preserve"> al presente informe contiene un resumen de esa sesión.</w:t>
      </w:r>
    </w:p>
    <w:p w14:paraId="419A7D78" w14:textId="77777777" w:rsidR="005905B6" w:rsidRPr="00893422" w:rsidRDefault="005905B6" w:rsidP="00517ABF">
      <w:pPr>
        <w:rPr>
          <w:rFonts w:cstheme="minorBidi"/>
          <w:szCs w:val="24"/>
          <w:lang w:val="es-ES_tradnl"/>
        </w:rPr>
      </w:pPr>
      <w:r w:rsidRPr="00893422">
        <w:rPr>
          <w:lang w:val="es-ES_tradnl"/>
        </w:rPr>
        <w:t xml:space="preserve">Además de estos diálogos, se organizaron </w:t>
      </w:r>
      <w:r w:rsidRPr="00893422">
        <w:rPr>
          <w:b/>
          <w:bCs/>
          <w:lang w:val="es-ES_tradnl"/>
        </w:rPr>
        <w:t>dos sesiones informativas</w:t>
      </w:r>
      <w:r w:rsidRPr="00893422">
        <w:rPr>
          <w:lang w:val="es-ES_tradnl"/>
        </w:rPr>
        <w:t xml:space="preserve"> durante las pausas para el almuerzo a fin de garantizar una amplia participación. La primera se centró en el próximo </w:t>
      </w:r>
      <w:r w:rsidRPr="00893422">
        <w:rPr>
          <w:b/>
          <w:bCs/>
          <w:lang w:val="es-ES_tradnl"/>
        </w:rPr>
        <w:t>proceso de examen de la CMSI+20</w:t>
      </w:r>
      <w:r w:rsidRPr="00893422">
        <w:rPr>
          <w:lang w:val="es-ES_tradnl"/>
        </w:rPr>
        <w:t xml:space="preserve">, en el que se dio a conocer información actualizada sobre la hoja de ruta y las expectativas para el evento de alto nivel. En la segunda se abordaron los </w:t>
      </w:r>
      <w:r w:rsidRPr="00893422">
        <w:rPr>
          <w:b/>
          <w:bCs/>
          <w:lang w:val="es-ES_tradnl"/>
        </w:rPr>
        <w:t>preparativos de la CMDT-25</w:t>
      </w:r>
      <w:r w:rsidRPr="00893422">
        <w:rPr>
          <w:lang w:val="es-ES_tradnl"/>
        </w:rPr>
        <w:t>, ofreciendo actualizaciones sobre su estructura, orden del día e información práctica al respecto.</w:t>
      </w:r>
    </w:p>
    <w:p w14:paraId="5ECC2C26" w14:textId="5B80F1F4" w:rsidR="005905B6" w:rsidRPr="00893422" w:rsidRDefault="005905B6" w:rsidP="00517ABF">
      <w:pPr>
        <w:rPr>
          <w:rFonts w:cstheme="minorBidi"/>
          <w:szCs w:val="24"/>
          <w:lang w:val="es-ES_tradnl"/>
        </w:rPr>
      </w:pPr>
      <w:r w:rsidRPr="00893422">
        <w:rPr>
          <w:lang w:val="es-ES_tradnl"/>
        </w:rPr>
        <w:t>Durante la semana también se celebró un evento especial titulado "</w:t>
      </w:r>
      <w:r w:rsidRPr="00893422">
        <w:rPr>
          <w:b/>
          <w:bCs/>
          <w:lang w:val="es-ES_tradnl"/>
        </w:rPr>
        <w:t>Red de Mujeres en el UIT-D</w:t>
      </w:r>
      <w:r w:rsidRPr="00893422">
        <w:rPr>
          <w:lang w:val="es-ES_tradnl"/>
        </w:rPr>
        <w:t>". Esta sesión sirvió de plataforma para destacar la importancia del liderazgo y el empoderamiento de las mujeres en el desarrollo digital y en ella se mostraron iniciativas y compromisos para integrar las perspectivas de género tanto de las mujeres como de los hombres en toda la labor del</w:t>
      </w:r>
      <w:r w:rsidR="00185B7B">
        <w:rPr>
          <w:lang w:val="es-ES_tradnl"/>
        </w:rPr>
        <w:t> </w:t>
      </w:r>
      <w:r w:rsidRPr="00893422">
        <w:rPr>
          <w:lang w:val="es-ES_tradnl"/>
        </w:rPr>
        <w:t>UIT-D, lo que reafirma el compromiso de la Unión con una transformación digital inclusiva para todos.</w:t>
      </w:r>
    </w:p>
    <w:p w14:paraId="59C6998D" w14:textId="77777777" w:rsidR="005905B6" w:rsidRPr="00893422" w:rsidRDefault="005905B6" w:rsidP="00517ABF">
      <w:pPr>
        <w:rPr>
          <w:rFonts w:cstheme="minorBidi"/>
          <w:szCs w:val="24"/>
          <w:lang w:val="es-ES_tradnl"/>
        </w:rPr>
      </w:pPr>
      <w:r w:rsidRPr="00893422">
        <w:rPr>
          <w:lang w:val="es-ES_tradnl"/>
        </w:rPr>
        <w:t xml:space="preserve">También se alentó a los participantes en el GADT a tener en cuenta las perspectivas de los jóvenes recogidas en los </w:t>
      </w:r>
      <w:r w:rsidRPr="00893422">
        <w:rPr>
          <w:b/>
          <w:bCs/>
          <w:lang w:val="es-ES_tradnl"/>
        </w:rPr>
        <w:t>resultados de la Cumbre Mundial de la Juventud</w:t>
      </w:r>
      <w:r w:rsidRPr="00893422">
        <w:rPr>
          <w:lang w:val="es-ES_tradnl"/>
        </w:rPr>
        <w:t xml:space="preserve"> elaborados por los Enviados de la Cumbre al preparar sus contribuciones a la CMDT-25.</w:t>
      </w:r>
      <w:r w:rsidRPr="00893422">
        <w:rPr>
          <w:rStyle w:val="FootnoteReference"/>
          <w:lang w:val="es-ES_tradnl"/>
        </w:rPr>
        <w:footnoteReference w:id="5"/>
      </w:r>
    </w:p>
    <w:p w14:paraId="32FD97B5" w14:textId="77777777" w:rsidR="005905B6" w:rsidRPr="00893422" w:rsidRDefault="005905B6" w:rsidP="00517ABF">
      <w:pPr>
        <w:rPr>
          <w:rFonts w:cstheme="minorBidi"/>
          <w:szCs w:val="24"/>
          <w:lang w:val="es-ES_tradnl"/>
        </w:rPr>
      </w:pPr>
      <w:r w:rsidRPr="00893422">
        <w:rPr>
          <w:lang w:val="es-ES_tradnl"/>
        </w:rPr>
        <w:t xml:space="preserve">A lo largo de la semana, los miembros del GADT examinaron una amplia gama de documentos e informes sobre las actividades de las Comisiones de Estudio, las asociaciones con el sector privado, la participación de los jóvenes, la colaboración intersectorial y los resultados de las últimas conferencias de la UIT más importantes. La reunión culminó con la adopción de varios documentos finales clave, como se ha indicado anteriormente, que reflejan el consenso sobre las orientaciones estratégicas y los métodos de trabajo de cara al futuro. </w:t>
      </w:r>
    </w:p>
    <w:p w14:paraId="45B1BA4B" w14:textId="77777777" w:rsidR="005905B6" w:rsidRPr="00893422" w:rsidRDefault="005905B6" w:rsidP="00517ABF">
      <w:pPr>
        <w:rPr>
          <w:rFonts w:cstheme="minorBidi"/>
          <w:szCs w:val="24"/>
          <w:lang w:val="es-ES_tradnl"/>
        </w:rPr>
      </w:pPr>
      <w:r w:rsidRPr="00893422">
        <w:rPr>
          <w:lang w:val="es-ES_tradnl"/>
        </w:rPr>
        <w:t xml:space="preserve">En resumen, el GADT-25 fijó un rumbo claro hacia la CMDT-25 al finalizar el calendario preparatorio, confirmar las modalidades de conferencia y aprobar un tema unificador, al tiempo que reforzó los cimientos institucionales y operativos de la labor regional del UIT-D. El GADT también observó y recibió información sobre los once premios de la BDT del Libro Guinness de los Récords Mundiales por su labor en materia de ciberseguridad. Animado e inspirado por los debates celebrados en el GADT-24, el GADT también disfrutó y aprobó una versión francesa y otra anglofrancesa de </w:t>
      </w:r>
      <w:r w:rsidRPr="00893422">
        <w:rPr>
          <w:b/>
          <w:bCs/>
          <w:i/>
          <w:iCs/>
          <w:lang w:val="es-ES_tradnl"/>
        </w:rPr>
        <w:t>With the ITU</w:t>
      </w:r>
      <w:r w:rsidRPr="00893422">
        <w:rPr>
          <w:lang w:val="es-ES_tradnl"/>
        </w:rPr>
        <w:t xml:space="preserve">, una canción para la CMDT-25 compuesta y presentada por el Sr. Soule Youssouf, Jefe del Departamento de Desarrollo y Promoción de las TIC del Organismo de Reglamentación de las TIC de las Comoras, que, junto con </w:t>
      </w:r>
      <w:r w:rsidRPr="00893422">
        <w:rPr>
          <w:b/>
          <w:bCs/>
          <w:i/>
          <w:iCs/>
          <w:lang w:val="es-ES_tradnl"/>
        </w:rPr>
        <w:t>Connected Youth in the Digital Future</w:t>
      </w:r>
      <w:r w:rsidRPr="00893422">
        <w:rPr>
          <w:lang w:val="es-ES_tradnl"/>
        </w:rPr>
        <w:t>, otra canción producida en este caso para la CMDT-25 por los participantes en la Cumbre Mundial de la Juventud de 2025, se presentará en la Celebración de la Juventud de la CMDT en Bakú (Azerbaiyán) y en la CMDT-25.</w:t>
      </w:r>
    </w:p>
    <w:p w14:paraId="4E44AA49" w14:textId="3BBB5B5D" w:rsidR="005905B6" w:rsidRPr="00893422" w:rsidRDefault="00517ABF" w:rsidP="00517ABF">
      <w:pPr>
        <w:pStyle w:val="Heading1"/>
        <w:rPr>
          <w:rFonts w:cstheme="minorHAnsi"/>
          <w:szCs w:val="24"/>
          <w:lang w:val="es-ES_tradnl"/>
        </w:rPr>
      </w:pPr>
      <w:r w:rsidRPr="00893422">
        <w:rPr>
          <w:lang w:val="es-ES_tradnl"/>
        </w:rPr>
        <w:lastRenderedPageBreak/>
        <w:t>1</w:t>
      </w:r>
      <w:r w:rsidRPr="00893422">
        <w:rPr>
          <w:lang w:val="es-ES_tradnl"/>
        </w:rPr>
        <w:tab/>
      </w:r>
      <w:r w:rsidR="005905B6" w:rsidRPr="00893422">
        <w:rPr>
          <w:lang w:val="es-ES_tradnl"/>
        </w:rPr>
        <w:t>Discurso de la Secretaria General</w:t>
      </w:r>
    </w:p>
    <w:p w14:paraId="3B458098" w14:textId="56202838" w:rsidR="005905B6" w:rsidRPr="00893422" w:rsidRDefault="005905B6" w:rsidP="00517ABF">
      <w:pPr>
        <w:rPr>
          <w:rFonts w:ascii="Calibri" w:eastAsia="Calibri" w:hAnsi="Calibri" w:cs="Calibri"/>
          <w:szCs w:val="24"/>
          <w:lang w:val="es-ES_tradnl"/>
        </w:rPr>
      </w:pPr>
      <w:r w:rsidRPr="00893422">
        <w:rPr>
          <w:lang w:val="es-ES_tradnl"/>
        </w:rPr>
        <w:t>La Secretaria General, la Sra. Doreen Bogdan-Martin, inauguró la 32.ª reunión del Grupo Asesor de Desarrollo de las Telecomunicaciones dando la bienvenida a los delegados en una semana histórica que marcó el 160.º aniversario de la UIT —dieciséis décadas conectando el mundo— y justo 188 días antes de la Conferencia Mundial de Desarrollo de las Telecomunicaciones de 2025 en Bakú.</w:t>
      </w:r>
    </w:p>
    <w:p w14:paraId="74632B65" w14:textId="77777777" w:rsidR="005905B6" w:rsidRPr="00893422" w:rsidRDefault="005905B6" w:rsidP="00517ABF">
      <w:pPr>
        <w:rPr>
          <w:szCs w:val="24"/>
          <w:lang w:val="es-ES_tradnl"/>
        </w:rPr>
      </w:pPr>
      <w:r w:rsidRPr="00893422">
        <w:rPr>
          <w:lang w:val="es-ES_tradnl"/>
        </w:rPr>
        <w:t>Recordó que las cuestiones digitales ocupaban ahora el núcleo de las agendas multilaterales. Las recientes deliberaciones de la Junta de los Jefes Ejecutivos del Sistema de las Naciones Unidas, la próxima Conferencia de las Naciones Unidas sobre la Financiación para el Desarrollo en España, en la que la UIT presentará su Iniciativa de Inversión en Infraestructura Digital, y la presidencia sudafricana del G-20, que da prioridad a las infraestructuras digitales resilientes y a los sistemas de alerta temprana, ponen de relieve este cambio. Estos procesos, junto con el examen de la CMSI+20, reflejan el creciente consenso internacional de que la creación de capacidad digital es indispensable para lograr un desarrollo sostenible.</w:t>
      </w:r>
    </w:p>
    <w:p w14:paraId="1B84BC47" w14:textId="77777777" w:rsidR="005905B6" w:rsidRPr="00893422" w:rsidRDefault="005905B6" w:rsidP="00517ABF">
      <w:pPr>
        <w:rPr>
          <w:szCs w:val="24"/>
          <w:lang w:val="es-ES_tradnl"/>
        </w:rPr>
      </w:pPr>
      <w:r w:rsidRPr="00893422">
        <w:rPr>
          <w:lang w:val="es-ES_tradnl"/>
        </w:rPr>
        <w:t>En cuanto a los progresos concretos, la Secretaria General destacó las iniciativas emblemáticas de la UIT para traducir esta visión en resultados. Mediante la Coalición Partner2Connect se ha prometido movilizar más de USD 73 000 millones; la asociación de GIGA con UNICEF está ayudando a extender la banda ancha a todas las escuelas del mundo, y el programa Alertas Tempranas para Todos ha ayudado a más de 40 gobiernos a desplegar sistemas de radiodifusión celular de emergencia. La Secretaria General subrayó el papel fundamental de la creación de capacidad a través de la Academia de la UIT y la formación sobre el terreno. Agradeciendo su repercusión diaria en todo el mundo, hizo un llamamiento a todas las partes interesadas para que siguieran colaborando en pro del desarrollo digital universal, inclusivo y centrado en el ser humano.</w:t>
      </w:r>
    </w:p>
    <w:p w14:paraId="4E37A990" w14:textId="77777777" w:rsidR="005905B6" w:rsidRPr="00893422" w:rsidRDefault="005905B6" w:rsidP="00517ABF">
      <w:pPr>
        <w:rPr>
          <w:rFonts w:cstheme="minorBidi"/>
          <w:szCs w:val="24"/>
          <w:lang w:val="es-ES_tradnl"/>
        </w:rPr>
      </w:pPr>
      <w:r w:rsidRPr="00893422">
        <w:rPr>
          <w:lang w:val="es-ES_tradnl"/>
        </w:rPr>
        <w:t>Concluyó su intervención dando las gracias a todos por su presencia en el GADT y por los resultados que se estaban logrando cada día en todas las partes del mundo.</w:t>
      </w:r>
    </w:p>
    <w:p w14:paraId="4870D4E0" w14:textId="703A4E2F" w:rsidR="005905B6" w:rsidRPr="00893422" w:rsidRDefault="00517ABF" w:rsidP="00517ABF">
      <w:pPr>
        <w:pStyle w:val="Heading1"/>
        <w:rPr>
          <w:rFonts w:cstheme="minorBidi"/>
          <w:szCs w:val="24"/>
          <w:lang w:val="es-ES_tradnl"/>
        </w:rPr>
      </w:pPr>
      <w:r w:rsidRPr="00893422">
        <w:rPr>
          <w:lang w:val="es-ES_tradnl"/>
        </w:rPr>
        <w:t>2</w:t>
      </w:r>
      <w:r w:rsidRPr="00893422">
        <w:rPr>
          <w:lang w:val="es-ES_tradnl"/>
        </w:rPr>
        <w:tab/>
      </w:r>
      <w:r w:rsidR="005905B6" w:rsidRPr="00893422">
        <w:rPr>
          <w:lang w:val="es-ES_tradnl"/>
        </w:rPr>
        <w:t>Discurso de otros funcionarios de elección</w:t>
      </w:r>
    </w:p>
    <w:p w14:paraId="2BA36DDE" w14:textId="77777777" w:rsidR="005905B6" w:rsidRPr="00893422" w:rsidRDefault="005905B6" w:rsidP="00517ABF">
      <w:pPr>
        <w:rPr>
          <w:rFonts w:ascii="Calibri" w:hAnsi="Calibri" w:cs="Calibri"/>
          <w:szCs w:val="24"/>
          <w:lang w:val="es-ES_tradnl"/>
        </w:rPr>
      </w:pPr>
      <w:r w:rsidRPr="00893422">
        <w:rPr>
          <w:lang w:val="es-ES_tradnl"/>
        </w:rPr>
        <w:t>El Director de la TSB, el Sr. Seizo Onoe, se dirigió al GADT. En su discurso dio la bienvenida a los delegados y afirmó que los Sectores de Normalización (TSB) y de Desarrollo (BDT) de la UIT eran "compañeros naturales", ya que proporcionaban juntos las bases técnicas y los enfoques orientados al mercado que sustentaban el progreso mundial de las TIC. Señaló que la labor de la TSB complementaba las prioridades fundamentales del Plan de Acción de Kigali, a saber, la conectividad asequible, un entorno político y reglamentario propicio, la capacitación, la transformación digital sostenible, la inclusión social y financiera y el empoderamiento de las empresas emergentes y las pymes.</w:t>
      </w:r>
    </w:p>
    <w:p w14:paraId="37BAA4FB" w14:textId="77777777" w:rsidR="005905B6" w:rsidRPr="00893422" w:rsidRDefault="005905B6" w:rsidP="00517ABF">
      <w:pPr>
        <w:rPr>
          <w:rFonts w:cstheme="minorHAnsi"/>
          <w:szCs w:val="24"/>
          <w:lang w:val="es-ES_tradnl"/>
        </w:rPr>
      </w:pPr>
      <w:r w:rsidRPr="00893422">
        <w:rPr>
          <w:lang w:val="es-ES_tradnl"/>
        </w:rPr>
        <w:t>El Director subrayó el objetivo común de conectar a los 2600 millones de personas que seguían sin conexión. Las contribuciones de la TSB incluyen el desarrollo de las normas necesarias para ampliar infraestructuras y la promoción de la capacitación en esferas como la inteligencia artificial y el desarrollo de habilidades digitales para equipar a la fuerza laboral del mañana y estimular un crecimiento económico más amplio. El Director pidió una colaboración más estrecha e instó a expertos de diversas disciplinas y economías en diferentes etapas de desarrollo a trabajar sinérgicamente para que las ramas de normalización y desarrollo de la UIT pudiesen lograr efectos mundiales duraderos.</w:t>
      </w:r>
    </w:p>
    <w:p w14:paraId="0E580807" w14:textId="46A68F3B" w:rsidR="005905B6" w:rsidRPr="00893422" w:rsidRDefault="00517ABF" w:rsidP="00517ABF">
      <w:pPr>
        <w:pStyle w:val="Heading1"/>
        <w:rPr>
          <w:rFonts w:cstheme="minorHAnsi"/>
          <w:szCs w:val="24"/>
          <w:lang w:val="es-ES_tradnl"/>
        </w:rPr>
      </w:pPr>
      <w:r w:rsidRPr="00893422">
        <w:rPr>
          <w:lang w:val="es-ES_tradnl"/>
        </w:rPr>
        <w:lastRenderedPageBreak/>
        <w:t>3</w:t>
      </w:r>
      <w:r w:rsidRPr="00893422">
        <w:rPr>
          <w:lang w:val="es-ES_tradnl"/>
        </w:rPr>
        <w:tab/>
      </w:r>
      <w:r w:rsidR="005905B6" w:rsidRPr="00893422">
        <w:rPr>
          <w:lang w:val="es-ES_tradnl"/>
        </w:rPr>
        <w:t>Discurso del Director de la Oficina de Desarrollo de las Telecomunicaciones</w:t>
      </w:r>
    </w:p>
    <w:p w14:paraId="6238BC06" w14:textId="77777777" w:rsidR="005905B6" w:rsidRPr="00893422" w:rsidRDefault="005905B6" w:rsidP="00517ABF">
      <w:pPr>
        <w:rPr>
          <w:rFonts w:cstheme="minorBidi"/>
          <w:szCs w:val="24"/>
          <w:lang w:val="es-ES_tradnl"/>
        </w:rPr>
      </w:pPr>
      <w:r w:rsidRPr="00893422">
        <w:rPr>
          <w:lang w:val="es-ES_tradnl"/>
        </w:rPr>
        <w:t>El Dr. Cosmas Luckyson Zavazava, Director de la BDT, agradeció en primer lugar a los Estados Miembros la financiación de los programas de desarrollo y la organización de las reuniones del UIT-D. Recordó que la CMDT-22 estableció cinco prioridades —conectividad asequible; transformación digital; entorno político y reglamentario propicio; movilización de recursos y cooperación internacional, y telecomunicaciones/TIC inclusivas y seguras para el desarrollo sostenible— y señaló que el Plan Estratégico de la UIT las reducía a dos objetivos generales: conectividad universal y transformación digital sostenible. Expresó su confianza en los 160 años de resiliencia de la Unión frente a guerras, catástrofes y epidemias.</w:t>
      </w:r>
    </w:p>
    <w:p w14:paraId="359216F6" w14:textId="77777777" w:rsidR="005905B6" w:rsidRPr="00893422" w:rsidRDefault="005905B6" w:rsidP="00517ABF">
      <w:pPr>
        <w:rPr>
          <w:szCs w:val="24"/>
          <w:lang w:val="es-ES_tradnl"/>
        </w:rPr>
      </w:pPr>
      <w:r w:rsidRPr="00893422">
        <w:rPr>
          <w:lang w:val="es-ES_tradnl"/>
        </w:rPr>
        <w:t>Informó de que, desde que asumiese el cargo dos años y medio antes, había perseguido la visión de cerrar la brecha digital y de competencias a través de tres pilares (inversión en infraestructuras resilientes, innovación e inclusión), para impulsar así el Plan de Acción de Kigali. Entre los resultados concretos figuraba el establecimiento de correspondencias entre la infraestructura de banda ancha y la asistencia en el diseño (como el African Broadband Mapping Project [proyecto de cartografía de la banda ancha africana] de 15 millones EUR firmado en 2024), el apoyo a la reducción del riesgo de catástrofes a través de la iniciativa de las Naciones Unidas "Alertas tempranas para todos", la preparación de planes nacionales de telecomunicaciones de emergencia y las medidas conexas adoptadas para preposicionar los terminales de satélite con miras a reducir los tiempos de respuesta en caso de emergencia.</w:t>
      </w:r>
    </w:p>
    <w:p w14:paraId="40879A9B" w14:textId="77777777" w:rsidR="005905B6" w:rsidRPr="00893422" w:rsidRDefault="005905B6" w:rsidP="00517ABF">
      <w:pPr>
        <w:rPr>
          <w:szCs w:val="24"/>
          <w:lang w:val="es-ES_tradnl"/>
        </w:rPr>
      </w:pPr>
      <w:r w:rsidRPr="00893422">
        <w:rPr>
          <w:lang w:val="es-ES_tradnl"/>
        </w:rPr>
        <w:t>En cuanto a la transformación digital, destacó la Innovation and Entrepreneurship Alliance (alianza para la innovación y la iniciativa empresarial) puesta en marcha en enero de 2023, gracias a la cual se habían creado 17 centros de aceleración en todo el mundo y se había organizado un Foro Mundial de Innovación. Señaló que a través del Digital Transformation Lab (laboratorio de transformación digital) se estaban fomentando nuevas ideas, y que los proyectos "Aldeas Inteligentes" e "Islas Inteligentes" estaban llevando la telemedicina, la educación en CTIM y las alertas marítimas en tiempo real a las comunidades del Pakistán, el Pacífico, el Caribe y África, ejemplos tangibles de cómo la tecnología mejoraba la vida cotidiana de las personas.</w:t>
      </w:r>
    </w:p>
    <w:p w14:paraId="2D4311D7" w14:textId="166870CC" w:rsidR="005905B6" w:rsidRPr="00893422" w:rsidRDefault="005905B6" w:rsidP="00517ABF">
      <w:pPr>
        <w:rPr>
          <w:szCs w:val="24"/>
          <w:lang w:val="es-ES_tradnl"/>
        </w:rPr>
      </w:pPr>
      <w:r w:rsidRPr="00893422">
        <w:rPr>
          <w:lang w:val="es-ES_tradnl"/>
        </w:rPr>
        <w:t>Por último, el Dr. Zavazava repasó los progresos realizados en relación con las prioridades pendientes. En el Simposio Mundial para Organismos Reguladores celebrado en Fiji (2023) y Uganda (2024) se había fomentado la celebración de debates y puesto en marcha la iniciativa Digital Regulatory Networks (redes de regulación digital), al tiempo que se había mejorado la presentación de informes estadísticos para respaldar una política basada en pruebas. La Coalición Digital Partner2Connect estaba convirtiendo sus contribuciones prometidas por valor de USD</w:t>
      </w:r>
      <w:r w:rsidR="00844DB3">
        <w:rPr>
          <w:lang w:val="es-ES_tradnl"/>
        </w:rPr>
        <w:t> </w:t>
      </w:r>
      <w:r w:rsidRPr="00893422">
        <w:rPr>
          <w:lang w:val="es-ES_tradnl"/>
        </w:rPr>
        <w:t>73</w:t>
      </w:r>
      <w:r w:rsidR="00844DB3">
        <w:rPr>
          <w:lang w:val="es-ES_tradnl"/>
        </w:rPr>
        <w:t> </w:t>
      </w:r>
      <w:r w:rsidRPr="00893422">
        <w:rPr>
          <w:lang w:val="es-ES_tradnl"/>
        </w:rPr>
        <w:t>000 millones en proyectos financiables a través de foros regionales y mesas redondas para el establecimiento de contactos. Se había reforzado la capacidad de ciberseguridad mediante cibersimulacros nunca vistos a nivel mundial, con el apoyo de los EAU, la GIZ de Alemania y asociados privados, y el programa "Cyber for Good" para los PMA.</w:t>
      </w:r>
    </w:p>
    <w:p w14:paraId="01101D4E" w14:textId="77777777" w:rsidR="005905B6" w:rsidRPr="00893422" w:rsidRDefault="005905B6" w:rsidP="00517ABF">
      <w:pPr>
        <w:rPr>
          <w:szCs w:val="24"/>
          <w:lang w:val="es-ES_tradnl"/>
        </w:rPr>
      </w:pPr>
      <w:r w:rsidRPr="00893422">
        <w:rPr>
          <w:lang w:val="es-ES_tradnl"/>
        </w:rPr>
        <w:t>El Director de la BDT destacó los importantes progresos realizados en la ejecución de proyectos y destacó el aumento significativo en el número de proyectos ejecutados a lo largo del tiempo. El éxito se atribuyó al apoyo inquebrantable de asociados, Estados Miembros y organismos de regulación.</w:t>
      </w:r>
    </w:p>
    <w:p w14:paraId="6240F5A7" w14:textId="77777777" w:rsidR="005905B6" w:rsidRPr="00893422" w:rsidRDefault="005905B6" w:rsidP="006C7DE5">
      <w:pPr>
        <w:keepNext/>
        <w:keepLines/>
        <w:rPr>
          <w:szCs w:val="24"/>
          <w:lang w:val="es-ES_tradnl"/>
        </w:rPr>
      </w:pPr>
      <w:r w:rsidRPr="00893422">
        <w:rPr>
          <w:lang w:val="es-ES_tradnl"/>
        </w:rPr>
        <w:lastRenderedPageBreak/>
        <w:t>De cara a la CMDT, el Director expresó su agradecimiento a los Estados Miembros que habían organizado los Foros de Desarrollo Regional y las Reuniones Preparatorias Regionales (Jordania, Hungría, Tailandia, Paraguay, Kenya y Kirguistán) y reconoció su papel esencial en el éxito de estos eventos. También subrayó que la dedicación y el compromiso de los Estados Miembros habían sido fundamentales para alcanzar esos logros.</w:t>
      </w:r>
    </w:p>
    <w:p w14:paraId="711CE9F9" w14:textId="77777777" w:rsidR="005905B6" w:rsidRPr="00893422" w:rsidRDefault="005905B6" w:rsidP="00517ABF">
      <w:pPr>
        <w:rPr>
          <w:rFonts w:cstheme="minorBidi"/>
          <w:szCs w:val="24"/>
          <w:lang w:val="es-ES_tradnl"/>
        </w:rPr>
      </w:pPr>
      <w:r w:rsidRPr="00893422">
        <w:rPr>
          <w:lang w:val="es-ES_tradnl"/>
        </w:rPr>
        <w:t xml:space="preserve">Concluyó mostrando los resultados logrados a través de historias de empresarios, estudiantes y jóvenes indígenas cuyos medios de vida se habían transformado positivamente, y agradeció a los delegados el compromiso constante por no dejar a nadie atrás. El texto íntegro del discurso del Director de la BDT puede consultarse </w:t>
      </w:r>
      <w:r w:rsidRPr="00893422">
        <w:rPr>
          <w:lang w:val="es-ES_tradnl"/>
        </w:rPr>
        <w:fldChar w:fldCharType="begin"/>
      </w:r>
      <w:r w:rsidRPr="00893422">
        <w:rPr>
          <w:lang w:val="es-ES_tradnl"/>
        </w:rPr>
        <w:instrText xml:space="preserve"> HYPERLINK "https://www.itu.int/en/ITU-D/bdt-director/Pages/Speeches.aspx?ItemID=579" </w:instrText>
      </w:r>
      <w:r w:rsidRPr="00893422">
        <w:rPr>
          <w:lang w:val="es-ES_tradnl"/>
        </w:rPr>
        <w:fldChar w:fldCharType="separate"/>
      </w:r>
      <w:r w:rsidRPr="00893422">
        <w:rPr>
          <w:rStyle w:val="Hyperlink"/>
          <w:lang w:val="es-ES_tradnl"/>
        </w:rPr>
        <w:t>aquí</w:t>
      </w:r>
      <w:r w:rsidRPr="00893422">
        <w:rPr>
          <w:rStyle w:val="Hyperlink"/>
          <w:lang w:val="es-ES_tradnl"/>
        </w:rPr>
        <w:fldChar w:fldCharType="end"/>
      </w:r>
      <w:r w:rsidRPr="00893422">
        <w:rPr>
          <w:lang w:val="es-ES_tradnl"/>
        </w:rPr>
        <w:t>.</w:t>
      </w:r>
      <w:hyperlink r:id="rId15"/>
    </w:p>
    <w:p w14:paraId="7D48E6BF" w14:textId="19145AD0" w:rsidR="005905B6" w:rsidRPr="00893422" w:rsidRDefault="00517ABF" w:rsidP="00517ABF">
      <w:pPr>
        <w:pStyle w:val="Heading1"/>
        <w:rPr>
          <w:rFonts w:cstheme="minorHAnsi"/>
          <w:szCs w:val="24"/>
          <w:lang w:val="es-ES_tradnl"/>
        </w:rPr>
      </w:pPr>
      <w:r w:rsidRPr="00893422">
        <w:rPr>
          <w:lang w:val="es-ES_tradnl"/>
        </w:rPr>
        <w:t>4</w:t>
      </w:r>
      <w:r w:rsidRPr="00893422">
        <w:rPr>
          <w:lang w:val="es-ES_tradnl"/>
        </w:rPr>
        <w:tab/>
      </w:r>
      <w:r w:rsidR="005905B6" w:rsidRPr="00893422">
        <w:rPr>
          <w:lang w:val="es-ES_tradnl"/>
        </w:rPr>
        <w:t>Observaciones preliminares de la Presidenta del GADT</w:t>
      </w:r>
    </w:p>
    <w:p w14:paraId="70C91FCD" w14:textId="77777777" w:rsidR="005905B6" w:rsidRPr="00893422" w:rsidRDefault="005905B6" w:rsidP="00600EA5">
      <w:pPr>
        <w:rPr>
          <w:rFonts w:ascii="Calibri" w:hAnsi="Calibri" w:cs="Calibri"/>
          <w:szCs w:val="24"/>
          <w:lang w:val="es-ES_tradnl"/>
        </w:rPr>
      </w:pPr>
      <w:r w:rsidRPr="00893422">
        <w:rPr>
          <w:lang w:val="es-ES_tradnl"/>
        </w:rPr>
        <w:t>La Sra. Roxanne McElvane Webber, Presidenta del GADT, dio la bienvenida a los delegados y dio las gracias a los funcionarios de elección de la UIT antes de calificar la reunión de "especial" por muchos motivos: el 160.º aniversario de la Unión, el hito de los 30 años de las Comisiones de Estudio del UIT-D y la próxima CMDT. Recordó las iniciativas emblemáticas que habían surgido en el seno del Sector de Desarrollo —como la CMSI, la Comisión de la Banda Ancha y el Simposio Mundial para Organismos Reguladores— y señaló que los récords mundiales Guinness de la Unión, los premios Emmy y nuevos emblemas como Partner2Connect y GIGA eran prueba de la repercusión mundial única de la organización.</w:t>
      </w:r>
    </w:p>
    <w:p w14:paraId="6ED5E365" w14:textId="77777777" w:rsidR="005905B6" w:rsidRPr="00893422" w:rsidRDefault="005905B6" w:rsidP="00600EA5">
      <w:pPr>
        <w:rPr>
          <w:rFonts w:ascii="Calibri" w:hAnsi="Calibri" w:cs="Calibri"/>
          <w:szCs w:val="24"/>
          <w:lang w:val="es-ES_tradnl"/>
        </w:rPr>
      </w:pPr>
      <w:r w:rsidRPr="00893422">
        <w:rPr>
          <w:lang w:val="es-ES_tradnl"/>
        </w:rPr>
        <w:t>Subrayó la importancia de la misión de "conectar a los que carecen de conexión" y recordó a los participantes que ningún otro organismo trabajaba tan incansablemente en favor de los países menos adelantados, los pequeños Estados insulares en desarrollo y los jóvenes. Subrayó que la reunión del GADT proporcionaría un volumen excepcional de información: informes exhaustivos sobre actividades de la BDT, sesiones informativas regionales detalladas (y acceso directo a los seis Directores Regionales, cuya presencia deberían aprovechar las delegaciones para dialogar e intercambiar información).</w:t>
      </w:r>
    </w:p>
    <w:p w14:paraId="1E819780" w14:textId="77777777" w:rsidR="005905B6" w:rsidRPr="00893422" w:rsidRDefault="005905B6" w:rsidP="00600EA5">
      <w:pPr>
        <w:rPr>
          <w:rFonts w:ascii="Calibri" w:hAnsi="Calibri" w:cs="Calibri"/>
          <w:szCs w:val="24"/>
          <w:lang w:val="es-ES_tradnl"/>
        </w:rPr>
      </w:pPr>
      <w:r w:rsidRPr="00893422">
        <w:rPr>
          <w:lang w:val="es-ES_tradnl"/>
        </w:rPr>
        <w:t>La Presidenta describió la carga de trabajo que se avecinaba, citando el número de documentos que examinaría el GADT, los amplios informes de la CMDT y los productos de los cuatro Grupos de Trabajo del GADT activos sobre prioridades, declaración, racionalización de las resoluciones y futuras Cuestiones de las Comisiones de Estudio, complementados con los resultados de la Cumbre Mundial de la Juventud. Dio expresamente las gracias a toda la Oficina del GADT y presentó a cada uno de los Vicepresidentes y Presidentes de las Comisiones de Estudio, además de elogiar su ardua labor en la dirección de los Grupos de Trabajo, la coordinación de las reuniones y la preparación de las contribuciones para la CMDT.</w:t>
      </w:r>
    </w:p>
    <w:p w14:paraId="6C9DBC13" w14:textId="0CAF71BD" w:rsidR="005905B6" w:rsidRPr="00893422" w:rsidRDefault="005905B6" w:rsidP="00600EA5">
      <w:pPr>
        <w:rPr>
          <w:rFonts w:ascii="Calibri" w:hAnsi="Calibri" w:cs="Calibri"/>
          <w:szCs w:val="24"/>
          <w:lang w:val="es-ES_tradnl"/>
        </w:rPr>
      </w:pPr>
      <w:r w:rsidRPr="00893422">
        <w:rPr>
          <w:lang w:val="es-ES_tradnl"/>
        </w:rPr>
        <w:t>Para concluir, la Sra. McElvane Webber invitó a todos los delegados a mantener en primer plano el objetivo común de mejorar las vidas de las personas a través de la conectividad y declaró abierta la reunión.</w:t>
      </w:r>
    </w:p>
    <w:p w14:paraId="7A45160A" w14:textId="5E78D0C8" w:rsidR="005905B6" w:rsidRPr="00893422" w:rsidRDefault="00517ABF" w:rsidP="00517ABF">
      <w:pPr>
        <w:pStyle w:val="Heading1"/>
        <w:rPr>
          <w:rFonts w:cstheme="minorHAnsi"/>
          <w:szCs w:val="24"/>
          <w:lang w:val="es-ES_tradnl"/>
        </w:rPr>
      </w:pPr>
      <w:r w:rsidRPr="00893422">
        <w:rPr>
          <w:lang w:val="es-ES_tradnl"/>
        </w:rPr>
        <w:t>5</w:t>
      </w:r>
      <w:r w:rsidRPr="00893422">
        <w:rPr>
          <w:lang w:val="es-ES_tradnl"/>
        </w:rPr>
        <w:tab/>
      </w:r>
      <w:r w:rsidR="005905B6" w:rsidRPr="00893422">
        <w:rPr>
          <w:lang w:val="es-ES_tradnl"/>
        </w:rPr>
        <w:t>Adopción del orden del día y del plan de gestión del tiempo</w:t>
      </w:r>
    </w:p>
    <w:p w14:paraId="476B88A0" w14:textId="63BB9EFF" w:rsidR="005905B6" w:rsidRPr="00893422" w:rsidRDefault="005905B6" w:rsidP="009B72EE">
      <w:pPr>
        <w:pStyle w:val="Headingb"/>
        <w:rPr>
          <w:rStyle w:val="Hyperlink"/>
          <w:rFonts w:cstheme="minorBidi"/>
          <w:b w:val="0"/>
          <w:bCs/>
          <w:color w:val="auto"/>
          <w:szCs w:val="24"/>
          <w:u w:val="none"/>
          <w:lang w:val="es-ES_tradnl"/>
        </w:rPr>
      </w:pPr>
      <w:r w:rsidRPr="00893422">
        <w:rPr>
          <w:bCs/>
          <w:lang w:val="es-ES_tradnl"/>
        </w:rPr>
        <w:t xml:space="preserve">Documento </w:t>
      </w:r>
      <w:hyperlink r:id="rId16" w:history="1">
        <w:r w:rsidRPr="00893422">
          <w:rPr>
            <w:rStyle w:val="Hyperlink"/>
            <w:bCs/>
            <w:lang w:val="es-ES_tradnl"/>
          </w:rPr>
          <w:t>1</w:t>
        </w:r>
      </w:hyperlink>
      <w:r w:rsidRPr="00893422">
        <w:rPr>
          <w:bCs/>
          <w:lang w:val="es-ES_tradnl"/>
        </w:rPr>
        <w:t xml:space="preserve"> (Director de la BDT) </w:t>
      </w:r>
      <w:r w:rsidR="006E3301" w:rsidRPr="00893422">
        <w:rPr>
          <w:bCs/>
          <w:lang w:val="es-ES_tradnl"/>
        </w:rPr>
        <w:t>–</w:t>
      </w:r>
      <w:r w:rsidRPr="00893422">
        <w:rPr>
          <w:bCs/>
          <w:lang w:val="es-ES_tradnl"/>
        </w:rPr>
        <w:t xml:space="preserve"> Proyecto de orden del día</w:t>
      </w:r>
      <w:hyperlink r:id="rId17"/>
    </w:p>
    <w:p w14:paraId="036539DF" w14:textId="77777777" w:rsidR="005905B6" w:rsidRPr="00893422" w:rsidRDefault="005905B6" w:rsidP="005905B6">
      <w:pPr>
        <w:tabs>
          <w:tab w:val="clear" w:pos="794"/>
          <w:tab w:val="clear" w:pos="1191"/>
          <w:tab w:val="clear" w:pos="1588"/>
          <w:tab w:val="clear" w:pos="1985"/>
          <w:tab w:val="left" w:pos="567"/>
          <w:tab w:val="left" w:pos="1134"/>
          <w:tab w:val="left" w:pos="1701"/>
          <w:tab w:val="left" w:pos="2268"/>
        </w:tabs>
        <w:spacing w:after="120"/>
        <w:rPr>
          <w:rFonts w:ascii="Calibri" w:hAnsi="Calibri" w:cs="Calibri"/>
          <w:lang w:val="es-ES_tradnl"/>
        </w:rPr>
      </w:pPr>
      <w:r w:rsidRPr="00893422">
        <w:rPr>
          <w:lang w:val="es-ES_tradnl"/>
        </w:rPr>
        <w:t>Se adopta sin modificaciones el orden del día contenido en el documento 1.</w:t>
      </w:r>
    </w:p>
    <w:p w14:paraId="5D69C806" w14:textId="0B066000" w:rsidR="005905B6" w:rsidRPr="00893422" w:rsidRDefault="005905B6" w:rsidP="005905B6">
      <w:pPr>
        <w:pBdr>
          <w:top w:val="single" w:sz="4" w:space="4" w:color="000000"/>
          <w:left w:val="single" w:sz="4" w:space="4" w:color="000000"/>
          <w:bottom w:val="single" w:sz="4" w:space="4" w:color="000000"/>
          <w:right w:val="single" w:sz="4" w:space="4" w:color="000000"/>
        </w:pBdr>
        <w:tabs>
          <w:tab w:val="clear" w:pos="794"/>
          <w:tab w:val="clear" w:pos="1191"/>
          <w:tab w:val="clear" w:pos="1588"/>
          <w:tab w:val="clear" w:pos="1985"/>
          <w:tab w:val="left" w:pos="567"/>
          <w:tab w:val="left" w:pos="1134"/>
          <w:tab w:val="left" w:pos="1701"/>
          <w:tab w:val="left" w:pos="2268"/>
        </w:tabs>
        <w:spacing w:after="120"/>
        <w:rPr>
          <w:rFonts w:ascii="Calibri" w:hAnsi="Calibri" w:cs="Calibri"/>
          <w:lang w:val="es-ES_tradnl"/>
        </w:rPr>
      </w:pPr>
      <w:r w:rsidRPr="00893422">
        <w:rPr>
          <w:lang w:val="es-ES_tradnl"/>
        </w:rPr>
        <w:t>El GADT aceptó el orden del día propuesto.</w:t>
      </w:r>
    </w:p>
    <w:p w14:paraId="3E2B67DF" w14:textId="588EC672" w:rsidR="005905B6" w:rsidRPr="00893422" w:rsidRDefault="005905B6" w:rsidP="009B72EE">
      <w:pPr>
        <w:pStyle w:val="Headingb"/>
        <w:keepLines/>
        <w:rPr>
          <w:rStyle w:val="Hyperlink"/>
          <w:rFonts w:cstheme="minorBidi"/>
          <w:b w:val="0"/>
          <w:bCs/>
          <w:color w:val="auto"/>
          <w:u w:val="none"/>
          <w:lang w:val="es-ES_tradnl"/>
        </w:rPr>
      </w:pPr>
      <w:r w:rsidRPr="00893422">
        <w:rPr>
          <w:bCs/>
          <w:lang w:val="es-ES_tradnl"/>
        </w:rPr>
        <w:lastRenderedPageBreak/>
        <w:t xml:space="preserve">Documento </w:t>
      </w:r>
      <w:hyperlink r:id="rId18" w:history="1">
        <w:r w:rsidRPr="00893422">
          <w:rPr>
            <w:rStyle w:val="Hyperlink"/>
            <w:bCs/>
            <w:lang w:val="es-ES_tradnl"/>
          </w:rPr>
          <w:t>DT/1</w:t>
        </w:r>
      </w:hyperlink>
      <w:r w:rsidRPr="00893422">
        <w:rPr>
          <w:bCs/>
          <w:lang w:val="es-ES_tradnl"/>
        </w:rPr>
        <w:t xml:space="preserve"> (Director de la BDT) </w:t>
      </w:r>
      <w:r w:rsidR="009B72EE" w:rsidRPr="00893422">
        <w:rPr>
          <w:bCs/>
          <w:lang w:val="es-ES_tradnl"/>
        </w:rPr>
        <w:t>–</w:t>
      </w:r>
      <w:r w:rsidRPr="00893422">
        <w:rPr>
          <w:bCs/>
          <w:lang w:val="es-ES_tradnl"/>
        </w:rPr>
        <w:t xml:space="preserve"> Time Management Plan (Plan de gestión del tiempo)</w:t>
      </w:r>
      <w:hyperlink r:id="rId19"/>
    </w:p>
    <w:p w14:paraId="223C99C0" w14:textId="77777777" w:rsidR="005905B6" w:rsidRPr="00893422" w:rsidRDefault="005905B6" w:rsidP="009B72EE">
      <w:pPr>
        <w:keepNext/>
        <w:keepLines/>
        <w:rPr>
          <w:rFonts w:cstheme="minorBidi"/>
          <w:lang w:val="es-ES_tradnl"/>
        </w:rPr>
      </w:pPr>
      <w:r w:rsidRPr="00893422">
        <w:rPr>
          <w:lang w:val="es-ES_tradnl"/>
        </w:rPr>
        <w:t>También se presentó el plan de gestión del tiempo incluido en el documento DT/1 (Rev. 1). La Secretaría de la BDT informó a los participantes de que se habían recibido dos Declaraciones de Coordinación sobre la terminología utilizada en las Comisiones de Estudio que se incluirían en la próxima revisión del plan de gestión del tiempo.</w:t>
      </w:r>
    </w:p>
    <w:p w14:paraId="09E31606" w14:textId="77777777" w:rsidR="005905B6" w:rsidRPr="00893422" w:rsidRDefault="005905B6" w:rsidP="009B72EE">
      <w:pPr>
        <w:spacing w:after="120"/>
        <w:rPr>
          <w:rFonts w:cstheme="minorBidi"/>
          <w:lang w:val="es-ES_tradnl"/>
        </w:rPr>
      </w:pPr>
      <w:r w:rsidRPr="00893422">
        <w:rPr>
          <w:lang w:val="es-ES_tradnl"/>
        </w:rPr>
        <w:t>El representante de la Federación de Rusia pidió aclaraciones sobre la utilización de los seis idiomas oficiales en el sitio web y la presentación de informes. La Secretaría de la BDT indicó que no se habían recibido contribuciones sobre el tema, aunque teniendo en cuenta la solicitud de la Federación de Rusia, prepararía un documento para la reunión (véase el Documento 60).</w:t>
      </w:r>
    </w:p>
    <w:tbl>
      <w:tblPr>
        <w:tblStyle w:val="TableGrid"/>
        <w:tblW w:w="0" w:type="auto"/>
        <w:tblLayout w:type="fixed"/>
        <w:tblLook w:val="04A0" w:firstRow="1" w:lastRow="0" w:firstColumn="1" w:lastColumn="0" w:noHBand="0" w:noVBand="1"/>
      </w:tblPr>
      <w:tblGrid>
        <w:gridCol w:w="9629"/>
      </w:tblGrid>
      <w:tr w:rsidR="005905B6" w:rsidRPr="00893422" w14:paraId="467C8F0B" w14:textId="77777777" w:rsidTr="00D04740">
        <w:tc>
          <w:tcPr>
            <w:tcW w:w="9629" w:type="dxa"/>
          </w:tcPr>
          <w:p w14:paraId="67D08B4A" w14:textId="77777777" w:rsidR="005905B6" w:rsidRPr="00893422" w:rsidRDefault="005905B6" w:rsidP="00D04740">
            <w:pPr>
              <w:tabs>
                <w:tab w:val="clear" w:pos="794"/>
                <w:tab w:val="clear" w:pos="1191"/>
                <w:tab w:val="clear" w:pos="1588"/>
                <w:tab w:val="clear" w:pos="1985"/>
                <w:tab w:val="left" w:pos="1701"/>
              </w:tabs>
              <w:spacing w:after="120"/>
              <w:rPr>
                <w:rFonts w:cstheme="minorBidi"/>
                <w:lang w:val="es-ES_tradnl"/>
              </w:rPr>
            </w:pPr>
            <w:r w:rsidRPr="00893422">
              <w:rPr>
                <w:color w:val="000000"/>
                <w:lang w:val="es-ES_tradnl"/>
              </w:rPr>
              <w:t>El GADT tomó nota del plan de gestión del tiempo y acordó que las Declaraciones de Coordinación enviadas por el CCT se incluirían en el orden del día y en la próxima revisión del plan de gestión del tiempo.</w:t>
            </w:r>
          </w:p>
        </w:tc>
      </w:tr>
    </w:tbl>
    <w:p w14:paraId="338867D2" w14:textId="5ACF22EB" w:rsidR="005905B6" w:rsidRPr="00893422" w:rsidRDefault="006E3301" w:rsidP="006E3301">
      <w:pPr>
        <w:pStyle w:val="Heading1"/>
        <w:rPr>
          <w:rFonts w:cstheme="minorHAnsi"/>
          <w:szCs w:val="24"/>
          <w:lang w:val="es-ES_tradnl"/>
        </w:rPr>
      </w:pPr>
      <w:r w:rsidRPr="00893422">
        <w:rPr>
          <w:lang w:val="es-ES_tradnl"/>
        </w:rPr>
        <w:t>6</w:t>
      </w:r>
      <w:r w:rsidRPr="00893422">
        <w:rPr>
          <w:lang w:val="es-ES_tradnl"/>
        </w:rPr>
        <w:tab/>
      </w:r>
      <w:r w:rsidR="005905B6" w:rsidRPr="00893422">
        <w:rPr>
          <w:lang w:val="es-ES_tradnl"/>
        </w:rPr>
        <w:t>Información relativa a la aplicación de los Planes de Acción del UIT-D</w:t>
      </w:r>
    </w:p>
    <w:p w14:paraId="1303C06E" w14:textId="47A4F9F6" w:rsidR="005905B6" w:rsidRPr="00893422" w:rsidRDefault="006E3301" w:rsidP="006E3301">
      <w:pPr>
        <w:pStyle w:val="Heading2"/>
        <w:rPr>
          <w:lang w:val="es-ES_tradnl"/>
        </w:rPr>
      </w:pPr>
      <w:r w:rsidRPr="00893422">
        <w:rPr>
          <w:lang w:val="es-ES_tradnl"/>
        </w:rPr>
        <w:t>6.1</w:t>
      </w:r>
      <w:r w:rsidRPr="00893422">
        <w:rPr>
          <w:lang w:val="es-ES_tradnl"/>
        </w:rPr>
        <w:tab/>
      </w:r>
      <w:r w:rsidR="005905B6" w:rsidRPr="00893422">
        <w:rPr>
          <w:lang w:val="es-ES_tradnl"/>
        </w:rPr>
        <w:t>Aplicación del Plan de Acción de Kigali (PAK) e Informe sobre las Iniciativas Regionales</w:t>
      </w:r>
    </w:p>
    <w:p w14:paraId="11F9E6F9" w14:textId="4707FF0E" w:rsidR="005905B6" w:rsidRPr="00893422" w:rsidRDefault="005905B6" w:rsidP="006E3301">
      <w:pPr>
        <w:pStyle w:val="Headingb"/>
        <w:rPr>
          <w:rStyle w:val="Hyperlink"/>
          <w:rFonts w:cstheme="minorBidi"/>
          <w:b w:val="0"/>
          <w:bCs/>
          <w:color w:val="auto"/>
          <w:u w:val="none"/>
          <w:lang w:val="es-ES_tradnl"/>
        </w:rPr>
      </w:pPr>
      <w:r w:rsidRPr="00893422">
        <w:rPr>
          <w:bCs/>
          <w:lang w:val="es-ES_tradnl"/>
        </w:rPr>
        <w:t xml:space="preserve">Documento </w:t>
      </w:r>
      <w:r w:rsidRPr="00893422">
        <w:rPr>
          <w:lang w:val="es-ES_tradnl"/>
        </w:rPr>
        <w:fldChar w:fldCharType="begin"/>
      </w:r>
      <w:r w:rsidR="00867B04">
        <w:rPr>
          <w:lang w:val="es-ES_tradnl"/>
        </w:rPr>
        <w:instrText>HYPERLINK "https://www.itu.int/md/D22-TDAG32-C-0002/es"</w:instrText>
      </w:r>
      <w:r w:rsidR="00867B04" w:rsidRPr="00893422">
        <w:rPr>
          <w:lang w:val="es-ES_tradnl"/>
        </w:rPr>
      </w:r>
      <w:r w:rsidRPr="00893422">
        <w:rPr>
          <w:lang w:val="es-ES_tradnl"/>
        </w:rPr>
        <w:fldChar w:fldCharType="separate"/>
      </w:r>
      <w:r w:rsidRPr="00893422">
        <w:rPr>
          <w:rStyle w:val="Hyperlink"/>
          <w:bCs/>
          <w:lang w:val="es-ES_tradnl"/>
        </w:rPr>
        <w:t>2</w:t>
      </w:r>
      <w:r w:rsidRPr="00893422">
        <w:rPr>
          <w:rStyle w:val="Hyperlink"/>
          <w:bCs/>
          <w:lang w:val="es-ES_tradnl"/>
        </w:rPr>
        <w:fldChar w:fldCharType="end"/>
      </w:r>
      <w:r w:rsidRPr="00893422">
        <w:rPr>
          <w:bCs/>
          <w:lang w:val="es-ES_tradnl"/>
        </w:rPr>
        <w:t xml:space="preserve"> (Director de la BDT) </w:t>
      </w:r>
      <w:r w:rsidR="006E3301" w:rsidRPr="00893422">
        <w:rPr>
          <w:bCs/>
          <w:lang w:val="es-ES_tradnl"/>
        </w:rPr>
        <w:t>–</w:t>
      </w:r>
      <w:r w:rsidRPr="00893422">
        <w:rPr>
          <w:bCs/>
          <w:lang w:val="es-ES_tradnl"/>
        </w:rPr>
        <w:t xml:space="preserve"> Informe sobre la aplicación del Plan de Acción d</w:t>
      </w:r>
      <w:r w:rsidR="00111964" w:rsidRPr="00893422">
        <w:rPr>
          <w:bCs/>
          <w:lang w:val="es-ES_tradnl"/>
        </w:rPr>
        <w:t>e </w:t>
      </w:r>
      <w:r w:rsidRPr="00893422">
        <w:rPr>
          <w:bCs/>
          <w:lang w:val="es-ES_tradnl"/>
        </w:rPr>
        <w:t>Kigali</w:t>
      </w:r>
      <w:r w:rsidR="00111964" w:rsidRPr="00893422">
        <w:rPr>
          <w:bCs/>
          <w:lang w:val="es-ES_tradnl"/>
        </w:rPr>
        <w:t> </w:t>
      </w:r>
      <w:r w:rsidRPr="00893422">
        <w:rPr>
          <w:bCs/>
          <w:lang w:val="es-ES_tradnl"/>
        </w:rPr>
        <w:t>(PAK)</w:t>
      </w:r>
      <w:hyperlink r:id="rId20"/>
    </w:p>
    <w:p w14:paraId="3B1E9BF9" w14:textId="77777777" w:rsidR="005905B6" w:rsidRPr="00893422" w:rsidRDefault="005905B6" w:rsidP="009B72EE">
      <w:pPr>
        <w:rPr>
          <w:rStyle w:val="Hyperlink"/>
          <w:rFonts w:cstheme="minorBidi"/>
          <w:color w:val="auto"/>
          <w:u w:val="none"/>
          <w:lang w:val="es-ES_tradnl"/>
        </w:rPr>
      </w:pPr>
      <w:r w:rsidRPr="00893422">
        <w:rPr>
          <w:lang w:val="es-ES_tradnl"/>
        </w:rPr>
        <w:t xml:space="preserve">El informe, presentado por la Secretaría de la BDT, contiene información actualizada sobre la aplicación del Plan de Acción de Kigali (PAK) desde mayo de 2024 hasta abril de 2025, y en él se destacan los principales logros alcanzados en las seis Regiones, en consonancia con los objetivos del PAK y con las prioridades y factores facilitadores del UIT-D. En el informe se describen los logros por esfera temática, se presenta una lista con el número de países a los que se ha prestado asistencia y de las herramientas desarrolladas, todo ello acompañado de un tablero diseñado para ayudar a los miembros a visualizar fácilmente los progresos. Para que el voluminoso material fuese más fácil de resumir, la Secretaría también proyectó un </w:t>
      </w:r>
      <w:hyperlink r:id="rId21" w:history="1">
        <w:r w:rsidRPr="00893422">
          <w:rPr>
            <w:rStyle w:val="Hyperlink"/>
            <w:lang w:val="es-ES_tradnl"/>
          </w:rPr>
          <w:t>vídeo</w:t>
        </w:r>
      </w:hyperlink>
      <w:r w:rsidRPr="00893422">
        <w:rPr>
          <w:lang w:val="es-ES_tradnl"/>
        </w:rPr>
        <w:t xml:space="preserve"> en el que se resumían los principales resultados y las repercusiones sobre el terreno. </w:t>
      </w:r>
      <w:hyperlink r:id="rId22"/>
    </w:p>
    <w:p w14:paraId="20527E2B" w14:textId="77777777" w:rsidR="005905B6" w:rsidRPr="00893422" w:rsidRDefault="005905B6" w:rsidP="00111964">
      <w:pPr>
        <w:rPr>
          <w:lang w:val="es-ES_tradnl"/>
        </w:rPr>
      </w:pPr>
      <w:r w:rsidRPr="00893422">
        <w:rPr>
          <w:lang w:val="es-ES_tradnl"/>
        </w:rPr>
        <w:t xml:space="preserve">En el </w:t>
      </w:r>
      <w:hyperlink r:id="rId23" w:history="1">
        <w:r w:rsidRPr="00893422">
          <w:rPr>
            <w:rStyle w:val="Hyperlink"/>
            <w:lang w:val="es-ES_tradnl"/>
          </w:rPr>
          <w:t>vídeo</w:t>
        </w:r>
      </w:hyperlink>
      <w:r w:rsidRPr="00893422">
        <w:rPr>
          <w:lang w:val="es-ES_tradnl"/>
        </w:rPr>
        <w:t xml:space="preserve"> se destacaban diversas iniciativas de promoción de la conectividad asequible, incluidos proyectos en varios países de África, en Montenegro, Armenia, Mongolia, Jordania, Guatemala y en otras regiones, centrados en las competencias digitales, la respuesta de emergencia y la ciberseguridad. Los proyectos pusieron de relieve el efecto de estos esfuerzos en el progreso socioeconómico, la transformación digital y la importancia de una conectividad efectiva para construir un futuro mejor. </w:t>
      </w:r>
      <w:hyperlink r:id="rId24"/>
    </w:p>
    <w:p w14:paraId="17BF01E1" w14:textId="77777777" w:rsidR="005905B6" w:rsidRPr="00893422" w:rsidRDefault="005905B6" w:rsidP="00111964">
      <w:pPr>
        <w:rPr>
          <w:lang w:val="es-ES_tradnl"/>
        </w:rPr>
      </w:pPr>
      <w:r w:rsidRPr="00893422">
        <w:rPr>
          <w:lang w:val="es-ES_tradnl"/>
        </w:rPr>
        <w:t xml:space="preserve">El GADT expresó su agradecimiento por el informe tan detallado y bien organizado. Durante el debate sobre el informe exhaustivo en el que se describen las medidas adoptadas para aplicar el Plan de Acción de Kigali (Documento 2), los delegados acogieron con beneplácito la amplitud del informe, si bien observaron que su densa presentación y su nivel de detalle en la información dificultaban reconocer cuáles eran cada uno de los efectos. La Secretaría reconoció estas recomendaciones y, aunque en los hipervínculos del tablero ya se presentaban medidas detalladas, prometió un diseño más consolidado y fácil de leer en la próxima versión. </w:t>
      </w:r>
    </w:p>
    <w:p w14:paraId="15B7C871" w14:textId="77777777" w:rsidR="005905B6" w:rsidRPr="00893422" w:rsidRDefault="005905B6" w:rsidP="00111964">
      <w:pPr>
        <w:keepNext/>
        <w:keepLines/>
        <w:rPr>
          <w:lang w:val="es-ES_tradnl"/>
        </w:rPr>
      </w:pPr>
      <w:r w:rsidRPr="00893422">
        <w:rPr>
          <w:lang w:val="es-ES_tradnl"/>
        </w:rPr>
        <w:lastRenderedPageBreak/>
        <w:t xml:space="preserve">En otra intervención se elogió el tablero y se preguntó cómo podía ofrecerse una visión única que combinara los gastos del presupuesto ordinario con los proyectos de fondos extrapresupuestarios. La Secretaría explicó que, aunque según las normas internacionales de contabilidad era obligatorio hacer un seguimiento de las dos corrientes de financiación por separado, ambas alimentaban un marco unificado de gestión basada en los resultados y el tablero de resultados. </w:t>
      </w:r>
    </w:p>
    <w:p w14:paraId="46915744" w14:textId="18D092C8" w:rsidR="005905B6" w:rsidRPr="00893422" w:rsidRDefault="005905B6" w:rsidP="00111964">
      <w:pPr>
        <w:rPr>
          <w:lang w:val="es-ES_tradnl"/>
        </w:rPr>
      </w:pPr>
      <w:r w:rsidRPr="00893422">
        <w:rPr>
          <w:lang w:val="es-ES_tradnl"/>
        </w:rPr>
        <w:t>Los delegados también destacaron la creciente participación de los miembros del sector privado y reconocieron que eso mejoraría la sostenibilidad y la innovación de la labor del Sector de Desarrollo.</w:t>
      </w:r>
    </w:p>
    <w:p w14:paraId="50CD98BB" w14:textId="149BBC34" w:rsidR="005905B6" w:rsidRPr="00893422" w:rsidRDefault="005905B6" w:rsidP="00111964">
      <w:pPr>
        <w:rPr>
          <w:lang w:val="es-ES_tradnl"/>
        </w:rPr>
      </w:pPr>
      <w:r w:rsidRPr="00893422">
        <w:rPr>
          <w:lang w:val="es-ES_tradnl"/>
        </w:rPr>
        <w:t>Con respecto a los asuntos temáticos, un orador elogió los progresos logrados en relación con la iniciativa de Alertas Tempranas para Todos e instó a que se estrecharan los vínculos entre las Comisiones de Estudio que se ocupaban de la reducción del riesgo de catástrofes y los asuntos ambientales, de modo que los productos técnicos pudieran reforzar las Iniciativas Regionales. Otro hizo hincapié en la necesidad de fomentar ecosistemas de innovación inclusivos, especialmente para las microempresas y pequeñas empresas, y pidió que los programas futuros, en particular los alineados con la próxima agenda del G20, continuasen empoderando a los emprendedores y a los jóvenes locales.</w:t>
      </w:r>
    </w:p>
    <w:p w14:paraId="7A690D48" w14:textId="77777777" w:rsidR="005905B6" w:rsidRPr="00893422" w:rsidRDefault="005905B6" w:rsidP="00111964">
      <w:pPr>
        <w:spacing w:after="120"/>
        <w:rPr>
          <w:lang w:val="es-ES_tradnl"/>
        </w:rPr>
      </w:pPr>
      <w:r w:rsidRPr="00893422">
        <w:rPr>
          <w:lang w:val="es-ES_tradnl"/>
        </w:rPr>
        <w:t>Para concluir, el Director de la BDT reiteró que todos los proyectos, independientemente de su fuente de financiación, se regían por un marco de resultados común y que los tableros y páginas en los que se mostraban los resultados se actualizarían para que los miembros pudiesen acceder más rápido a los datos. Confirmó que la Secretaría incorporaría propuestas sobre formato, presentación de indicadores clave del rendimiento y visibilidad de las Comisiones de Estudio antes del próximo ciclo de presentación de informes y alentó a las delegaciones a mantener un estrecho diálogo con las Oficinas Regionales con miras a que las prioridades nacionales y regionales siguiesen siendo el centro de la aplicación.</w:t>
      </w:r>
    </w:p>
    <w:tbl>
      <w:tblPr>
        <w:tblStyle w:val="TableGrid"/>
        <w:tblW w:w="0" w:type="auto"/>
        <w:tblLayout w:type="fixed"/>
        <w:tblLook w:val="04A0" w:firstRow="1" w:lastRow="0" w:firstColumn="1" w:lastColumn="0" w:noHBand="0" w:noVBand="1"/>
      </w:tblPr>
      <w:tblGrid>
        <w:gridCol w:w="9629"/>
      </w:tblGrid>
      <w:tr w:rsidR="005905B6" w:rsidRPr="00893422" w14:paraId="674945D2" w14:textId="77777777" w:rsidTr="00D04740">
        <w:tc>
          <w:tcPr>
            <w:tcW w:w="9629" w:type="dxa"/>
          </w:tcPr>
          <w:p w14:paraId="2B2F6AB5" w14:textId="099BC29B" w:rsidR="005905B6" w:rsidRPr="00893422" w:rsidRDefault="005905B6" w:rsidP="00D04740">
            <w:pPr>
              <w:tabs>
                <w:tab w:val="clear" w:pos="794"/>
                <w:tab w:val="clear" w:pos="1191"/>
                <w:tab w:val="clear" w:pos="1588"/>
                <w:tab w:val="clear" w:pos="1985"/>
                <w:tab w:val="left" w:pos="567"/>
                <w:tab w:val="left" w:pos="1134"/>
                <w:tab w:val="left" w:pos="1701"/>
                <w:tab w:val="left" w:pos="2268"/>
              </w:tabs>
              <w:spacing w:after="120"/>
              <w:textAlignment w:val="auto"/>
              <w:rPr>
                <w:lang w:val="es-ES_tradnl"/>
              </w:rPr>
            </w:pPr>
            <w:r w:rsidRPr="00893422">
              <w:rPr>
                <w:color w:val="000000"/>
                <w:lang w:val="es-ES_tradnl"/>
              </w:rPr>
              <w:t>El GADT tomó nota del informe con satisfacción. Los Estados Miembros elogiaron la labor de la BDT y reconocieron las mejoras realizadas en la obtención de resultados y la presentación de informes.</w:t>
            </w:r>
          </w:p>
          <w:p w14:paraId="551D7CCA" w14:textId="77777777" w:rsidR="005905B6" w:rsidRPr="00893422" w:rsidRDefault="005905B6" w:rsidP="00D04740">
            <w:pPr>
              <w:tabs>
                <w:tab w:val="clear" w:pos="794"/>
                <w:tab w:val="clear" w:pos="1191"/>
                <w:tab w:val="clear" w:pos="1588"/>
                <w:tab w:val="clear" w:pos="1985"/>
                <w:tab w:val="left" w:pos="567"/>
                <w:tab w:val="left" w:pos="1134"/>
                <w:tab w:val="left" w:pos="1701"/>
                <w:tab w:val="left" w:pos="2268"/>
              </w:tabs>
              <w:spacing w:after="120"/>
              <w:textAlignment w:val="auto"/>
              <w:rPr>
                <w:lang w:val="es-ES_tradnl"/>
              </w:rPr>
            </w:pPr>
            <w:r w:rsidRPr="00893422">
              <w:rPr>
                <w:color w:val="000000"/>
                <w:lang w:val="es-ES_tradnl"/>
              </w:rPr>
              <w:t>El vídeo fue un medio eficaz para presentar los logros y las acciones de mayor efecto; algunos miembros también recomendaron que en futuras versiones del informe se describiesen las actividades y los proyectos sobre la base de los resultados obtenidos.</w:t>
            </w:r>
          </w:p>
        </w:tc>
      </w:tr>
    </w:tbl>
    <w:p w14:paraId="01086D79" w14:textId="77777777" w:rsidR="005905B6" w:rsidRPr="00893422" w:rsidRDefault="005905B6" w:rsidP="00111964">
      <w:pPr>
        <w:pStyle w:val="Headingb"/>
        <w:rPr>
          <w:rStyle w:val="Hyperlink"/>
          <w:rFonts w:cstheme="minorBidi"/>
          <w:b w:val="0"/>
          <w:bCs/>
          <w:color w:val="auto"/>
          <w:u w:val="none"/>
          <w:lang w:val="es-ES_tradnl"/>
        </w:rPr>
      </w:pPr>
      <w:r w:rsidRPr="00893422">
        <w:rPr>
          <w:lang w:val="es-ES_tradnl"/>
        </w:rPr>
        <w:t xml:space="preserve">Documento </w:t>
      </w:r>
      <w:hyperlink r:id="rId25" w:history="1">
        <w:r w:rsidRPr="00893422">
          <w:rPr>
            <w:rStyle w:val="Hyperlink"/>
            <w:bCs/>
            <w:lang w:val="es-ES_tradnl"/>
          </w:rPr>
          <w:t>3</w:t>
        </w:r>
      </w:hyperlink>
      <w:r w:rsidRPr="00893422">
        <w:rPr>
          <w:lang w:val="es-ES_tradnl"/>
        </w:rPr>
        <w:t xml:space="preserve"> (Director de la BDT) - Informe sobre las Iniciativas Regionales: Implementación y correspondencia de proyectos con las IR</w:t>
      </w:r>
      <w:hyperlink r:id="rId26"/>
    </w:p>
    <w:p w14:paraId="3B5C68D0" w14:textId="77777777" w:rsidR="005905B6" w:rsidRPr="00893422" w:rsidRDefault="005905B6" w:rsidP="00111964">
      <w:pPr>
        <w:rPr>
          <w:rFonts w:ascii="Calibri" w:hAnsi="Calibri" w:cs="Calibri"/>
          <w:lang w:val="es-ES_tradnl"/>
        </w:rPr>
      </w:pPr>
      <w:r w:rsidRPr="00893422">
        <w:rPr>
          <w:lang w:val="es-ES_tradnl"/>
        </w:rPr>
        <w:t>La Secretaría presentó el Documento 3, en el que figura un informe detallado sobre la aplicación de las Iniciativas Regionales de la CMDT-22. En el informe se hace un seguimiento de cómo mediante el Plan Operacional y los proyectos de la UIT se trabaja en las esferas prioritarias de cada región. El informe se complementa con un tablero y el Documento Informativo 4, que muestra una correspondencia separada entre los proyectos multirregionales, regionales y nacionales y los objetivos de las iniciativas.</w:t>
      </w:r>
    </w:p>
    <w:p w14:paraId="632DD3B2" w14:textId="77777777" w:rsidR="005905B6" w:rsidRPr="00893422" w:rsidRDefault="005905B6" w:rsidP="00111964">
      <w:pPr>
        <w:rPr>
          <w:rFonts w:ascii="Calibri" w:hAnsi="Calibri" w:cs="Calibri"/>
          <w:lang w:val="es-ES_tradnl"/>
        </w:rPr>
      </w:pPr>
      <w:r w:rsidRPr="00893422">
        <w:rPr>
          <w:lang w:val="es-ES_tradnl"/>
        </w:rPr>
        <w:t xml:space="preserve">Durante los debates, varias delegaciones expresaron su agradecimiento por el material presentado y solicitaron conexiones más explícitas entre los títulos de los proyectos y los resultados mensurables previstos. Un orador propuso que en futuras ediciones se detallasen los resultados previstos e incluyesen indicadores clave del rendimiento para cada iniciativa a fin de mejorar la claridad de la descripción. Otros abogaron por un resumen refundido que combinara la </w:t>
      </w:r>
      <w:r w:rsidRPr="00893422">
        <w:rPr>
          <w:lang w:val="es-ES_tradnl"/>
        </w:rPr>
        <w:lastRenderedPageBreak/>
        <w:t>financiación del presupuesto ordinario y de los fondos extrapresupuestarios, lo que permitiría evaluar colectivamente las aportaciones financieras y los efectos del desarrollo.</w:t>
      </w:r>
    </w:p>
    <w:p w14:paraId="701F3AB0" w14:textId="77777777" w:rsidR="005905B6" w:rsidRPr="00893422" w:rsidRDefault="005905B6" w:rsidP="005905B6">
      <w:pPr>
        <w:tabs>
          <w:tab w:val="clear" w:pos="794"/>
          <w:tab w:val="clear" w:pos="1191"/>
          <w:tab w:val="clear" w:pos="1588"/>
          <w:tab w:val="clear" w:pos="1985"/>
          <w:tab w:val="left" w:pos="567"/>
          <w:tab w:val="left" w:pos="1134"/>
          <w:tab w:val="left" w:pos="1701"/>
          <w:tab w:val="left" w:pos="2268"/>
        </w:tabs>
        <w:spacing w:after="120"/>
        <w:textAlignment w:val="auto"/>
        <w:rPr>
          <w:rFonts w:ascii="Calibri" w:hAnsi="Calibri" w:cs="Calibri"/>
          <w:lang w:val="es-ES_tradnl"/>
        </w:rPr>
      </w:pPr>
      <w:r w:rsidRPr="00893422">
        <w:rPr>
          <w:lang w:val="es-ES_tradnl"/>
        </w:rPr>
        <w:t>En su respuesta, la Oficina confirmó que, en su forma actual, el Documento 3 vinculaba cada iniciativa con su documento de proyecto subyacente, donde se encontraban las medidas detalladas de efecto, los presupuestos y las declaraciones de resultados, y que el tablero en línea presentaba un conjunto unificado de resultados con independencia de la fuente de financiación. Con todo, la Secretaría convino en perfeccionar el diseño, reforzar la columna de indicadores clave del rendimiento y mejorar el panorama financiero antes del próximo ciclo de presentación de informes, invitando a que se siguieran presentando comentarios para que el establecimiento de correspondencias de las Iniciativas Regionales siguiera siendo transparente y fácil de utilizar.</w:t>
      </w:r>
    </w:p>
    <w:tbl>
      <w:tblPr>
        <w:tblStyle w:val="TableGrid"/>
        <w:tblW w:w="0" w:type="auto"/>
        <w:tblLayout w:type="fixed"/>
        <w:tblLook w:val="04A0" w:firstRow="1" w:lastRow="0" w:firstColumn="1" w:lastColumn="0" w:noHBand="0" w:noVBand="1"/>
      </w:tblPr>
      <w:tblGrid>
        <w:gridCol w:w="9629"/>
      </w:tblGrid>
      <w:tr w:rsidR="005905B6" w:rsidRPr="00893422" w14:paraId="2B8F5111" w14:textId="77777777" w:rsidTr="00D04740">
        <w:tc>
          <w:tcPr>
            <w:tcW w:w="9629" w:type="dxa"/>
          </w:tcPr>
          <w:p w14:paraId="791B68C5" w14:textId="77777777" w:rsidR="005905B6" w:rsidRPr="00893422" w:rsidRDefault="005905B6" w:rsidP="00D04740">
            <w:pPr>
              <w:spacing w:after="120"/>
              <w:textAlignment w:val="auto"/>
              <w:rPr>
                <w:rFonts w:ascii="Calibri" w:hAnsi="Calibri"/>
                <w:color w:val="000000" w:themeColor="text1"/>
                <w:lang w:val="es-ES_tradnl"/>
              </w:rPr>
            </w:pPr>
            <w:r w:rsidRPr="00893422">
              <w:rPr>
                <w:color w:val="000000"/>
                <w:lang w:val="es-ES_tradnl"/>
              </w:rPr>
              <w:t xml:space="preserve">El GADT tomó nota con satisfacción del informe y reconoció que el establecimiento de correspondencias presentado había sido solicitado en la sesión anterior del GADT, en la que los Estados Miembros habían destacado la importancia de establecer correspondencias entre los proyectos del UIT-D y las correspondientes Iniciativas Regionales y sus resultados previstos. El GADT también tomó nota con satisfacción del tablero especial en el que se relacionaban las Iniciativas Regionales con los proyectos y que podían consultar los Miembros del UIT-D para obtener más información. </w:t>
            </w:r>
          </w:p>
        </w:tc>
      </w:tr>
    </w:tbl>
    <w:p w14:paraId="3425CAA0" w14:textId="4C8A363B" w:rsidR="005905B6" w:rsidRPr="00893422" w:rsidRDefault="00111964" w:rsidP="00111964">
      <w:pPr>
        <w:pStyle w:val="Heading2"/>
        <w:rPr>
          <w:rFonts w:cstheme="minorHAnsi"/>
          <w:szCs w:val="24"/>
          <w:lang w:val="es-ES_tradnl"/>
        </w:rPr>
      </w:pPr>
      <w:r w:rsidRPr="00893422">
        <w:rPr>
          <w:lang w:val="es-ES_tradnl"/>
        </w:rPr>
        <w:t>6.2</w:t>
      </w:r>
      <w:r w:rsidRPr="00893422">
        <w:rPr>
          <w:lang w:val="es-ES_tradnl"/>
        </w:rPr>
        <w:tab/>
      </w:r>
      <w:r w:rsidR="005905B6" w:rsidRPr="00893422">
        <w:rPr>
          <w:lang w:val="es-ES_tradnl"/>
        </w:rPr>
        <w:t>Plan Operacional de 2025</w:t>
      </w:r>
    </w:p>
    <w:p w14:paraId="28DB209C" w14:textId="7D6C45EB" w:rsidR="005905B6" w:rsidRPr="00893422" w:rsidRDefault="005905B6" w:rsidP="00111964">
      <w:pPr>
        <w:pStyle w:val="Headingb"/>
        <w:rPr>
          <w:rStyle w:val="Hyperlink"/>
          <w:rFonts w:cstheme="minorBidi"/>
          <w:b w:val="0"/>
          <w:bCs/>
          <w:color w:val="auto"/>
          <w:u w:val="none"/>
          <w:lang w:val="es-ES_tradnl"/>
        </w:rPr>
      </w:pPr>
      <w:r w:rsidRPr="00893422">
        <w:rPr>
          <w:bCs/>
          <w:lang w:val="es-ES_tradnl"/>
        </w:rPr>
        <w:t xml:space="preserve">Documento </w:t>
      </w:r>
      <w:hyperlink r:id="rId27" w:history="1">
        <w:r w:rsidRPr="00893422">
          <w:rPr>
            <w:rStyle w:val="Hyperlink"/>
            <w:bCs/>
            <w:lang w:val="es-ES_tradnl"/>
          </w:rPr>
          <w:t>4</w:t>
        </w:r>
      </w:hyperlink>
      <w:r w:rsidRPr="00893422">
        <w:rPr>
          <w:bCs/>
          <w:lang w:val="es-ES_tradnl"/>
        </w:rPr>
        <w:t xml:space="preserve"> (Director de la BDT) -Plan Operacional del UIT-D para 2025.</w:t>
      </w:r>
      <w:r w:rsidRPr="00893422">
        <w:rPr>
          <w:lang w:val="es-ES_tradnl"/>
        </w:rPr>
        <w:t xml:space="preserve"> </w:t>
      </w:r>
      <w:hyperlink r:id="rId28"/>
    </w:p>
    <w:p w14:paraId="797EDB42" w14:textId="77777777" w:rsidR="005905B6" w:rsidRPr="00893422" w:rsidRDefault="005905B6" w:rsidP="005905B6">
      <w:pPr>
        <w:tabs>
          <w:tab w:val="clear" w:pos="794"/>
          <w:tab w:val="clear" w:pos="1191"/>
          <w:tab w:val="clear" w:pos="1588"/>
          <w:tab w:val="clear" w:pos="1985"/>
          <w:tab w:val="left" w:pos="1701"/>
        </w:tabs>
        <w:spacing w:after="120"/>
        <w:rPr>
          <w:rStyle w:val="Hyperlink"/>
          <w:rFonts w:cstheme="minorBidi"/>
          <w:color w:val="auto"/>
          <w:u w:val="none"/>
          <w:lang w:val="es-ES_tradnl"/>
        </w:rPr>
      </w:pPr>
      <w:r w:rsidRPr="00893422">
        <w:rPr>
          <w:lang w:val="es-ES_tradnl"/>
        </w:rPr>
        <w:t>La Secretaría de la BDT presentó el Plan Operacional del UIT-D para 2025 en el que figura una visión general de su asignación de fondos por región beneficiaria y por prioridades y factores facilitadores del UIT-D, con miras a generar efecto a escala mundial y en todas las Regiones.</w:t>
      </w:r>
    </w:p>
    <w:tbl>
      <w:tblPr>
        <w:tblStyle w:val="TableGrid"/>
        <w:tblW w:w="0" w:type="auto"/>
        <w:tblLayout w:type="fixed"/>
        <w:tblLook w:val="04A0" w:firstRow="1" w:lastRow="0" w:firstColumn="1" w:lastColumn="0" w:noHBand="0" w:noVBand="1"/>
      </w:tblPr>
      <w:tblGrid>
        <w:gridCol w:w="9629"/>
      </w:tblGrid>
      <w:tr w:rsidR="005905B6" w:rsidRPr="00893422" w14:paraId="473DF7A3" w14:textId="77777777" w:rsidTr="00D04740">
        <w:tc>
          <w:tcPr>
            <w:tcW w:w="9629" w:type="dxa"/>
          </w:tcPr>
          <w:p w14:paraId="12AE63F9" w14:textId="77777777" w:rsidR="005905B6" w:rsidRPr="00893422" w:rsidRDefault="005905B6" w:rsidP="00D04740">
            <w:pPr>
              <w:widowControl w:val="0"/>
              <w:tabs>
                <w:tab w:val="clear" w:pos="794"/>
                <w:tab w:val="clear" w:pos="1191"/>
                <w:tab w:val="clear" w:pos="1588"/>
                <w:tab w:val="clear" w:pos="1985"/>
                <w:tab w:val="left" w:pos="1701"/>
              </w:tabs>
              <w:spacing w:after="120"/>
              <w:rPr>
                <w:rStyle w:val="Hyperlink"/>
                <w:rFonts w:cstheme="minorBidi"/>
                <w:color w:val="auto"/>
                <w:u w:val="none"/>
                <w:lang w:val="es-ES_tradnl"/>
              </w:rPr>
            </w:pPr>
            <w:r w:rsidRPr="00893422">
              <w:rPr>
                <w:color w:val="000000"/>
                <w:lang w:val="es-ES_tradnl"/>
              </w:rPr>
              <w:t xml:space="preserve">El GADT examinó y refrendó el Plan Operacional del UIT-D para 2025. </w:t>
            </w:r>
          </w:p>
        </w:tc>
      </w:tr>
    </w:tbl>
    <w:p w14:paraId="2F51FA30" w14:textId="098109A3" w:rsidR="005905B6" w:rsidRPr="00893422" w:rsidRDefault="005905B6" w:rsidP="00111964">
      <w:pPr>
        <w:pStyle w:val="Headingb"/>
        <w:rPr>
          <w:rStyle w:val="Hyperlink"/>
          <w:rFonts w:cstheme="minorHAnsi"/>
          <w:b w:val="0"/>
          <w:bCs/>
          <w:color w:val="auto"/>
          <w:szCs w:val="24"/>
          <w:u w:val="none"/>
          <w:lang w:val="es-ES_tradnl"/>
        </w:rPr>
      </w:pPr>
      <w:r w:rsidRPr="00893422">
        <w:rPr>
          <w:lang w:val="es-ES_tradnl"/>
        </w:rPr>
        <w:t xml:space="preserve">Documento </w:t>
      </w:r>
      <w:hyperlink r:id="rId29" w:history="1">
        <w:r w:rsidRPr="00893422">
          <w:rPr>
            <w:rStyle w:val="Hyperlink"/>
            <w:bCs/>
            <w:lang w:val="es-ES_tradnl"/>
          </w:rPr>
          <w:t>4</w:t>
        </w:r>
        <w:r w:rsidRPr="00893422">
          <w:rPr>
            <w:rStyle w:val="Hyperlink"/>
            <w:bCs/>
            <w:lang w:val="es-ES_tradnl"/>
          </w:rPr>
          <w:t>0</w:t>
        </w:r>
      </w:hyperlink>
      <w:r w:rsidRPr="00893422">
        <w:rPr>
          <w:lang w:val="es-ES_tradnl"/>
        </w:rPr>
        <w:t xml:space="preserve"> (Informe del Secretario General) – Proyecto de Plan Operacional del UIT-D para el periodo 2026-2029 e Informe de rendimiento de 2024</w:t>
      </w:r>
      <w:hyperlink r:id="rId30"/>
    </w:p>
    <w:p w14:paraId="76F7D255" w14:textId="77777777" w:rsidR="005905B6" w:rsidRPr="00893422" w:rsidRDefault="005905B6" w:rsidP="00111964">
      <w:pPr>
        <w:rPr>
          <w:rFonts w:ascii="Calibri" w:eastAsia="Calibri" w:hAnsi="Calibri" w:cs="Calibri"/>
          <w:lang w:val="es-ES_tradnl"/>
        </w:rPr>
      </w:pPr>
      <w:r w:rsidRPr="00893422">
        <w:rPr>
          <w:lang w:val="es-ES_tradnl"/>
        </w:rPr>
        <w:t>La Secretaría presentó el Documento 40 en el que figuraba el proyecto de Plan Operacional del Sector de Desarrollo de las Telecomunicaciones de la UIT para 2026-2029. En el documento se presentaba someramente la programación estratégica y la planificación de recursos para el próximo periodo, en consonancia con el Plan Estratégico 2024-2027 y los resultados de la CMDT. En él se detallaban 14 productos, resultados previstos, indicadores del rendimiento, riesgos asociados y un desglose pormenorizado de las asignaciones de recursos humanos expresadas en meses de trabajo. Se hizo hincapié en que el plan estaba concebido para proporcionar una hoja de ruta clara y completa con la que llevar a cabo las actividades del Sector de Desarrollo.</w:t>
      </w:r>
    </w:p>
    <w:p w14:paraId="1C4D1159" w14:textId="77777777" w:rsidR="005905B6" w:rsidRPr="00893422" w:rsidRDefault="005905B6" w:rsidP="00111964">
      <w:pPr>
        <w:rPr>
          <w:lang w:val="es-ES_tradnl"/>
        </w:rPr>
      </w:pPr>
      <w:r w:rsidRPr="00893422">
        <w:rPr>
          <w:lang w:val="es-ES_tradnl"/>
        </w:rPr>
        <w:t>Las delegaciones formularon propuestas editoriales para mejorar la claridad del texto, como la de definir terminología de la UIT y distinguir entre decisiones y resultados de la CMDT. Se formularon preguntas sobre las cifras de recursos humanos, los problemas de contratación de expertos, las limitaciones financieras y la capacidad de gestión de proyectos. El Director de la BDT respondió a estas preocupaciones destacando los esfuerzos realizados para racionalizar la contratación, armonizar los resultados con la financiación y mejorar la eficiencia operativa. El debate sentó las bases para seguir examinando la reorganización de la BDT (Documento 43(Rev.1)), lo que reflejó el interés compartido por mejorar la ejecución de los programas.</w:t>
      </w:r>
    </w:p>
    <w:p w14:paraId="539F5095" w14:textId="77777777" w:rsidR="005905B6" w:rsidRPr="00893422" w:rsidRDefault="005905B6" w:rsidP="005905B6">
      <w:pPr>
        <w:spacing w:after="120"/>
        <w:rPr>
          <w:rFonts w:ascii="Calibri" w:eastAsia="Calibri" w:hAnsi="Calibri" w:cs="Calibri"/>
          <w:szCs w:val="24"/>
          <w:lang w:val="es-ES_tradnl"/>
        </w:rPr>
      </w:pPr>
      <w:r w:rsidRPr="00893422">
        <w:rPr>
          <w:lang w:val="es-ES_tradnl"/>
        </w:rPr>
        <w:lastRenderedPageBreak/>
        <w:t>La Presidenta reconoció el valor de las propuestas y confirmó que se tendrían en cuenta para mejorar el documento. No se formularon objeciones ni opiniones alternativas, y la plenaria tomó nota del documento.</w:t>
      </w:r>
    </w:p>
    <w:tbl>
      <w:tblPr>
        <w:tblStyle w:val="TableGrid"/>
        <w:tblW w:w="0" w:type="auto"/>
        <w:tblLayout w:type="fixed"/>
        <w:tblLook w:val="04A0" w:firstRow="1" w:lastRow="0" w:firstColumn="1" w:lastColumn="0" w:noHBand="0" w:noVBand="1"/>
      </w:tblPr>
      <w:tblGrid>
        <w:gridCol w:w="9629"/>
      </w:tblGrid>
      <w:tr w:rsidR="005905B6" w:rsidRPr="00893422" w14:paraId="275CB2CB" w14:textId="77777777" w:rsidTr="00D04740">
        <w:tc>
          <w:tcPr>
            <w:tcW w:w="9629" w:type="dxa"/>
          </w:tcPr>
          <w:p w14:paraId="21E34863" w14:textId="77777777" w:rsidR="005905B6" w:rsidRPr="00893422" w:rsidRDefault="005905B6" w:rsidP="00D04740">
            <w:pPr>
              <w:widowControl w:val="0"/>
              <w:tabs>
                <w:tab w:val="clear" w:pos="794"/>
                <w:tab w:val="clear" w:pos="1191"/>
                <w:tab w:val="clear" w:pos="1588"/>
                <w:tab w:val="clear" w:pos="1985"/>
                <w:tab w:val="left" w:pos="1701"/>
              </w:tabs>
              <w:spacing w:after="120"/>
              <w:rPr>
                <w:rStyle w:val="Hyperlink"/>
                <w:rFonts w:cstheme="minorBidi"/>
                <w:color w:val="auto"/>
                <w:u w:val="none"/>
                <w:lang w:val="es-ES_tradnl"/>
              </w:rPr>
            </w:pPr>
            <w:r w:rsidRPr="00893422">
              <w:rPr>
                <w:color w:val="000000"/>
                <w:lang w:val="es-ES_tradnl"/>
              </w:rPr>
              <w:t>El GADT tomó nota del documento.</w:t>
            </w:r>
          </w:p>
        </w:tc>
      </w:tr>
    </w:tbl>
    <w:p w14:paraId="2A43CB65" w14:textId="60EE5372" w:rsidR="005905B6" w:rsidRPr="00893422" w:rsidRDefault="005905B6" w:rsidP="00111964">
      <w:pPr>
        <w:pStyle w:val="Headingb"/>
        <w:rPr>
          <w:rStyle w:val="Hyperlink"/>
          <w:rFonts w:cstheme="minorBidi"/>
          <w:b w:val="0"/>
          <w:bCs/>
          <w:color w:val="auto"/>
          <w:u w:val="none"/>
          <w:lang w:val="es-ES_tradnl"/>
        </w:rPr>
      </w:pPr>
      <w:r w:rsidRPr="00893422">
        <w:rPr>
          <w:bCs/>
          <w:lang w:val="es-ES_tradnl"/>
        </w:rPr>
        <w:t xml:space="preserve">Documento </w:t>
      </w:r>
      <w:hyperlink r:id="rId31" w:history="1">
        <w:r w:rsidRPr="00893422">
          <w:rPr>
            <w:rStyle w:val="Hyperlink"/>
            <w:bCs/>
            <w:lang w:val="es-ES_tradnl"/>
          </w:rPr>
          <w:t>43(Rev.1)</w:t>
        </w:r>
      </w:hyperlink>
      <w:r w:rsidRPr="00893422">
        <w:rPr>
          <w:bCs/>
          <w:lang w:val="es-ES_tradnl"/>
        </w:rPr>
        <w:t xml:space="preserve"> (Director de la BDT) </w:t>
      </w:r>
      <w:r w:rsidR="00111964" w:rsidRPr="00893422">
        <w:rPr>
          <w:bCs/>
          <w:lang w:val="es-ES_tradnl"/>
        </w:rPr>
        <w:t>–</w:t>
      </w:r>
      <w:r w:rsidRPr="00893422">
        <w:rPr>
          <w:bCs/>
          <w:lang w:val="es-ES_tradnl"/>
        </w:rPr>
        <w:t xml:space="preserve"> Reestructuración de la Oficina de Desarrollo de las Telecomunicaciones (BDT)</w:t>
      </w:r>
      <w:hyperlink r:id="rId32"/>
    </w:p>
    <w:p w14:paraId="05DEBDA2" w14:textId="77777777" w:rsidR="005905B6" w:rsidRPr="00893422" w:rsidRDefault="005905B6" w:rsidP="00111964">
      <w:pPr>
        <w:rPr>
          <w:lang w:val="es-ES_tradnl"/>
        </w:rPr>
      </w:pPr>
      <w:r w:rsidRPr="00893422">
        <w:rPr>
          <w:lang w:val="es-ES_tradnl"/>
        </w:rPr>
        <w:t>El Director de la BDT presentó el Documento 43(Rev.1), en el que se detalla la reestructuración y reorganización de la Oficina de Desarrollo de las Telecomunicaciones (BDT) en respuesta a las prioridades descritas a grandes rasgos en el nuevo Plan de Acción de la CMDT. Explicó que la reestructuración no afectaba a ningún puesto de categoría D y, por lo tanto, no requería la aprobación del Consejo. La nueva estructura, aprobada en 2024 por el Comité de Coordinación de la UIT dirigido por el Vicesecretario General de la UIT, había sido concebida para reflejar mejor las cinco esferas temáticas del Plan de Acción. Para hacer frente a las ineficiencias, en particular en la ejecución de proyectos, la BDT introdujo reformas internas centradas en el fortalecimiento de las capacidades de gestión de proyectos y la capacidad de respuesta a las necesidades de los países menos adelantados, los pequeños Estados insulares en desarrollo y los países en desarrollo sin litoral. Se crearon o reestructuraron varias unidades especializadas y divisiones de apoyo, incluidos equipos dedicados al apoyo a proyectos, la coordinación de adquisiciones, el seguimiento y la evaluación y la participación regional.</w:t>
      </w:r>
    </w:p>
    <w:p w14:paraId="4D1D9E75" w14:textId="77777777" w:rsidR="005905B6" w:rsidRPr="00893422" w:rsidRDefault="005905B6" w:rsidP="00111964">
      <w:pPr>
        <w:rPr>
          <w:lang w:val="es-ES_tradnl"/>
        </w:rPr>
      </w:pPr>
      <w:r w:rsidRPr="00893422">
        <w:rPr>
          <w:lang w:val="es-ES_tradnl"/>
        </w:rPr>
        <w:t>Las delegaciones acogieron con beneplácito los cambios y solicitaron más información sobre logros tangibles. El Director mencionó que los resultados iniciales mostraban una mejora del rendimiento de los proyectos y de la coherencia entre los equipos: la formación exhaustiva mejoraba las competencias de ejecución de los proyectos sin restar prioridad a otras esferas. Se formularon propuestas para integrar mejor las iniciativas de juventud y las herramientas mundiales en la nueva estructura, y el Director hizo hincapié en las actividades de coordinación y creación de capacidades en curso.</w:t>
      </w:r>
    </w:p>
    <w:p w14:paraId="0454C799" w14:textId="77777777" w:rsidR="005905B6" w:rsidRPr="00893422" w:rsidRDefault="005905B6" w:rsidP="005905B6">
      <w:pPr>
        <w:spacing w:after="120"/>
        <w:textAlignment w:val="auto"/>
        <w:rPr>
          <w:lang w:val="es-ES_tradnl"/>
        </w:rPr>
      </w:pPr>
      <w:r w:rsidRPr="00893422">
        <w:rPr>
          <w:lang w:val="es-ES_tradnl"/>
        </w:rPr>
        <w:t>El debate concluyó con una solicitud de un organigrama visual de la nueva estructura de la BDT, que la BDT presentó posteriormente en una versión revisada del Documento 43 en su revisión 1.</w:t>
      </w:r>
    </w:p>
    <w:tbl>
      <w:tblPr>
        <w:tblStyle w:val="TableGrid"/>
        <w:tblW w:w="0" w:type="auto"/>
        <w:tblLayout w:type="fixed"/>
        <w:tblLook w:val="06A0" w:firstRow="1" w:lastRow="0" w:firstColumn="1" w:lastColumn="0" w:noHBand="1" w:noVBand="1"/>
      </w:tblPr>
      <w:tblGrid>
        <w:gridCol w:w="9630"/>
      </w:tblGrid>
      <w:tr w:rsidR="005905B6" w:rsidRPr="00893422" w14:paraId="3736AF10" w14:textId="77777777" w:rsidTr="00D04740">
        <w:trPr>
          <w:trHeight w:val="300"/>
        </w:trPr>
        <w:tc>
          <w:tcPr>
            <w:tcW w:w="9630" w:type="dxa"/>
          </w:tcPr>
          <w:p w14:paraId="4379EAEF" w14:textId="77777777" w:rsidR="005905B6" w:rsidRPr="00893422" w:rsidRDefault="005905B6" w:rsidP="00D04740">
            <w:pPr>
              <w:spacing w:after="120"/>
              <w:rPr>
                <w:rFonts w:ascii="Calibri" w:hAnsi="Calibri" w:cs="Calibri"/>
                <w:lang w:val="es-ES_tradnl"/>
              </w:rPr>
            </w:pPr>
            <w:r w:rsidRPr="00893422">
              <w:rPr>
                <w:color w:val="000000"/>
                <w:lang w:val="es-ES_tradnl"/>
              </w:rPr>
              <w:t xml:space="preserve">El GADT tomó nota de este informe e insistió en que se estaba prestando una mayor atención a la gestión de proyectos, la capacidad de respuesta regional y la coherencia interna en el ejercicio de reorganización. </w:t>
            </w:r>
          </w:p>
        </w:tc>
      </w:tr>
    </w:tbl>
    <w:p w14:paraId="47E6C34B" w14:textId="77777777" w:rsidR="005905B6" w:rsidRPr="00893422" w:rsidRDefault="005905B6" w:rsidP="00E01DCC">
      <w:pPr>
        <w:pStyle w:val="Headingb"/>
        <w:rPr>
          <w:rFonts w:ascii="Calibri" w:hAnsi="Calibri" w:cs="Calibri"/>
          <w:szCs w:val="24"/>
          <w:lang w:val="es-ES_tradnl"/>
        </w:rPr>
      </w:pPr>
      <w:r w:rsidRPr="00893422">
        <w:rPr>
          <w:lang w:val="es-ES_tradnl"/>
        </w:rPr>
        <w:t xml:space="preserve">Documento </w:t>
      </w:r>
      <w:hyperlink r:id="rId33" w:history="1">
        <w:r w:rsidRPr="00893422">
          <w:rPr>
            <w:rStyle w:val="Hyperlink"/>
            <w:bCs/>
            <w:lang w:val="es-ES_tradnl"/>
          </w:rPr>
          <w:t>41</w:t>
        </w:r>
      </w:hyperlink>
      <w:r w:rsidRPr="00893422">
        <w:rPr>
          <w:lang w:val="es-ES_tradnl"/>
        </w:rPr>
        <w:t xml:space="preserve"> (Presidente, GTC-PEF) – Liaison statement from the Council Working Group on the Strategic and Financial Plans (Declaración de Coordinación del Grupo de Trabajo del Consejo sobre los Planes Estratégico y Financiero)</w:t>
      </w:r>
      <w:hyperlink r:id="rId34"/>
    </w:p>
    <w:p w14:paraId="7ADEDCD9" w14:textId="2194C0BE" w:rsidR="005905B6" w:rsidRPr="00893422" w:rsidRDefault="005905B6" w:rsidP="00111964">
      <w:pPr>
        <w:rPr>
          <w:lang w:val="es-ES_tradnl"/>
        </w:rPr>
      </w:pPr>
      <w:r w:rsidRPr="00893422">
        <w:rPr>
          <w:lang w:val="es-ES_tradnl"/>
        </w:rPr>
        <w:t>El Documento 41, una declaración de coordinación del Grupo de Trabajo del Consejo sobre los Planes Estratégico y Financiero, fue presentado por la Secretaría en nombre del Presidente del</w:t>
      </w:r>
      <w:r w:rsidR="00E01DCC">
        <w:rPr>
          <w:lang w:val="es-ES_tradnl"/>
        </w:rPr>
        <w:t> </w:t>
      </w:r>
      <w:r w:rsidRPr="00893422">
        <w:rPr>
          <w:lang w:val="es-ES_tradnl"/>
        </w:rPr>
        <w:t xml:space="preserve">Grupo. En la declaración de coordinación se explicaba que el Grupo había sido creado en virtud de la Resolución 1428 del Consejo y que tenía la tarea de elaborar los Planes Estratégico y Financiero de la UIT para 2028-2031, que se presentarían a la Conferencia de Plenipotenciarios de 2026. En la presentación se describía someramente el mandato, el calendario y la metodología del Grupo, y se hacía hincapié en la necesidad de armonizar los Planes Estratégico, Financiero y Operacional, así como de integrar el concepto de "Una UIT". En la presentación también se </w:t>
      </w:r>
      <w:r w:rsidRPr="00893422">
        <w:rPr>
          <w:lang w:val="es-ES_tradnl"/>
        </w:rPr>
        <w:lastRenderedPageBreak/>
        <w:t>destacaba la importancia de los Grupos Asesores como el GADT para configurar la agenda de desarrollo, se alentaba a seguir haciendo aportaciones y se señalaba que se había celebrado un taller sobre gestión basada en los resultados a modo de orientación para mejorar el marco de planificación. El Presidente también describió cómo se estaban perfeccionando los resultados y los indicadores para garantizar la coherencia entre la visión estratégica y las medidas a nivel sectorial.</w:t>
      </w:r>
    </w:p>
    <w:p w14:paraId="52CB7168" w14:textId="77777777" w:rsidR="005905B6" w:rsidRPr="00893422" w:rsidRDefault="005905B6" w:rsidP="00111964">
      <w:pPr>
        <w:rPr>
          <w:lang w:val="es-ES_tradnl"/>
        </w:rPr>
      </w:pPr>
      <w:r w:rsidRPr="00893422">
        <w:rPr>
          <w:lang w:val="es-ES_tradnl"/>
        </w:rPr>
        <w:t xml:space="preserve">La Presidenta del GADT acogió con beneplácito esta información y destacó la importancia de que continuase la coordinación entre el GADT y el Grupo de Trabajo del Consejo, y recordó la eficacia de la colaboración entre estos dos Grupos en el último ciclo, la cual había conducido a la racionalización de la estructura del actual Plan Estratégico. Varios delegados también elogiaron los esfuerzos de armonización y expresaron su agradecimiento por las orientaciones proporcionadas en el Documento 41. Varias delegaciones se hicieron eco de la importancia de mantener sinergias entre los Sectores e incorporar perspectivas de jóvenes y prioridades regionales en un proceso de planificación más amplio. </w:t>
      </w:r>
    </w:p>
    <w:p w14:paraId="61CA974B" w14:textId="77777777" w:rsidR="005905B6" w:rsidRPr="00893422" w:rsidRDefault="005905B6" w:rsidP="005905B6">
      <w:pPr>
        <w:spacing w:after="120"/>
        <w:rPr>
          <w:lang w:val="es-ES_tradnl"/>
        </w:rPr>
      </w:pPr>
      <w:r w:rsidRPr="00893422">
        <w:rPr>
          <w:lang w:val="es-ES_tradnl"/>
        </w:rPr>
        <w:t>La Presidenta concluyó reafirmando que los productos del Grupo de Trabajo del GADT sobre las prioridades constituirían valiosas contribuciones a la elaboración del siguiente plan estratégico e insistió en el objetivo compartido de garantizar que las medidas sectoriales se guiasen efectivamente por las metas estratégicas generales de la Unión.</w:t>
      </w:r>
    </w:p>
    <w:tbl>
      <w:tblPr>
        <w:tblStyle w:val="TableGrid"/>
        <w:tblW w:w="0" w:type="auto"/>
        <w:tblLayout w:type="fixed"/>
        <w:tblLook w:val="06A0" w:firstRow="1" w:lastRow="0" w:firstColumn="1" w:lastColumn="0" w:noHBand="1" w:noVBand="1"/>
      </w:tblPr>
      <w:tblGrid>
        <w:gridCol w:w="9630"/>
      </w:tblGrid>
      <w:tr w:rsidR="005905B6" w:rsidRPr="00893422" w14:paraId="0B5E09CB" w14:textId="77777777" w:rsidTr="00D04740">
        <w:trPr>
          <w:trHeight w:val="300"/>
        </w:trPr>
        <w:tc>
          <w:tcPr>
            <w:tcW w:w="9630" w:type="dxa"/>
          </w:tcPr>
          <w:p w14:paraId="341B0365" w14:textId="77777777" w:rsidR="005905B6" w:rsidRPr="00893422" w:rsidRDefault="005905B6" w:rsidP="00D04740">
            <w:pPr>
              <w:spacing w:after="120"/>
              <w:rPr>
                <w:rFonts w:ascii="Calibri" w:eastAsia="Calibri" w:hAnsi="Calibri" w:cs="Calibri"/>
                <w:color w:val="000000" w:themeColor="text1"/>
                <w:lang w:val="es-ES_tradnl"/>
              </w:rPr>
            </w:pPr>
            <w:r w:rsidRPr="00893422">
              <w:rPr>
                <w:color w:val="000000"/>
                <w:lang w:val="es-ES_tradnl"/>
              </w:rPr>
              <w:t>El GADT tomó nota del informe e hizo hincapié en que los productos del Grupo de Trabajo del GADT sobre las prioridades del UIT-D fomentarían el inicio y el desarrollo de valiosas contribuciones para la elaboración del próximo plan estratégico de la UIT.</w:t>
            </w:r>
          </w:p>
        </w:tc>
      </w:tr>
    </w:tbl>
    <w:p w14:paraId="31AA6AE4" w14:textId="27350E61" w:rsidR="005905B6" w:rsidRPr="00893422" w:rsidRDefault="00111964" w:rsidP="00111964">
      <w:pPr>
        <w:pStyle w:val="Heading2"/>
        <w:rPr>
          <w:rFonts w:cstheme="minorHAnsi"/>
          <w:szCs w:val="24"/>
          <w:lang w:val="es-ES_tradnl"/>
        </w:rPr>
      </w:pPr>
      <w:r w:rsidRPr="00893422">
        <w:rPr>
          <w:lang w:val="es-ES_tradnl"/>
        </w:rPr>
        <w:t>6.3</w:t>
      </w:r>
      <w:r w:rsidRPr="00893422">
        <w:rPr>
          <w:lang w:val="es-ES_tradnl"/>
        </w:rPr>
        <w:tab/>
      </w:r>
      <w:r w:rsidR="005905B6" w:rsidRPr="00893422">
        <w:rPr>
          <w:lang w:val="es-ES_tradnl"/>
        </w:rPr>
        <w:t>Proyectos del UIT-T</w:t>
      </w:r>
    </w:p>
    <w:p w14:paraId="71D384DE" w14:textId="77160AFD" w:rsidR="005905B6" w:rsidRPr="00893422" w:rsidRDefault="005905B6" w:rsidP="00111964">
      <w:pPr>
        <w:pStyle w:val="Headingb"/>
        <w:rPr>
          <w:rStyle w:val="Hyperlink"/>
          <w:rFonts w:cstheme="minorHAnsi"/>
          <w:b w:val="0"/>
          <w:bCs/>
          <w:color w:val="auto"/>
          <w:szCs w:val="24"/>
          <w:u w:val="none"/>
          <w:lang w:val="es-ES_tradnl"/>
        </w:rPr>
      </w:pPr>
      <w:r w:rsidRPr="00893422">
        <w:rPr>
          <w:bCs/>
          <w:lang w:val="es-ES_tradnl"/>
        </w:rPr>
        <w:t xml:space="preserve">Documento </w:t>
      </w:r>
      <w:r w:rsidRPr="00893422">
        <w:rPr>
          <w:lang w:val="es-ES_tradnl"/>
        </w:rPr>
        <w:fldChar w:fldCharType="begin"/>
      </w:r>
      <w:r w:rsidR="00B96396">
        <w:rPr>
          <w:lang w:val="es-ES_tradnl"/>
        </w:rPr>
        <w:instrText>HYPERLINK "https://www.itu.int/md/D22-TDAG32-C-0005/es"</w:instrText>
      </w:r>
      <w:r w:rsidR="00B96396" w:rsidRPr="00893422">
        <w:rPr>
          <w:lang w:val="es-ES_tradnl"/>
        </w:rPr>
      </w:r>
      <w:r w:rsidRPr="00893422">
        <w:rPr>
          <w:lang w:val="es-ES_tradnl"/>
        </w:rPr>
        <w:fldChar w:fldCharType="separate"/>
      </w:r>
      <w:r w:rsidRPr="00893422">
        <w:rPr>
          <w:rStyle w:val="Hyperlink"/>
          <w:bCs/>
          <w:lang w:val="es-ES_tradnl"/>
        </w:rPr>
        <w:t>5</w:t>
      </w:r>
      <w:r w:rsidRPr="00893422">
        <w:rPr>
          <w:rStyle w:val="Hyperlink"/>
          <w:bCs/>
          <w:lang w:val="es-ES_tradnl"/>
        </w:rPr>
        <w:fldChar w:fldCharType="end"/>
      </w:r>
      <w:r w:rsidRPr="00893422">
        <w:rPr>
          <w:bCs/>
          <w:lang w:val="es-ES_tradnl"/>
        </w:rPr>
        <w:t xml:space="preserve"> (Director de la BDT) </w:t>
      </w:r>
      <w:r w:rsidR="00111964" w:rsidRPr="00893422">
        <w:rPr>
          <w:bCs/>
          <w:lang w:val="es-ES_tradnl"/>
        </w:rPr>
        <w:t>–</w:t>
      </w:r>
      <w:r w:rsidRPr="00893422">
        <w:rPr>
          <w:bCs/>
          <w:lang w:val="es-ES_tradnl"/>
        </w:rPr>
        <w:t xml:space="preserve"> Proyectos del UIT-D</w:t>
      </w:r>
      <w:hyperlink r:id="rId35"/>
    </w:p>
    <w:p w14:paraId="5A9D22E5" w14:textId="23B07124" w:rsidR="005905B6" w:rsidRPr="00893422" w:rsidRDefault="005905B6" w:rsidP="00235831">
      <w:pPr>
        <w:rPr>
          <w:lang w:val="es-ES_tradnl"/>
        </w:rPr>
      </w:pPr>
      <w:r w:rsidRPr="00893422">
        <w:rPr>
          <w:lang w:val="es-ES_tradnl"/>
        </w:rPr>
        <w:t>La Secretaría expuso los avances y logros de los proyectos de la UIT ejecutados por la BDT en 2024, así como los 37 nuevos proyectos firmados ese año por un valor de CHF 28,6 millones, el mayor nivel de fondos recaudados por proyectos del UIT-D en los últimos diez años. La Secretaría destacó que en el informe también se exponía cómo se estaban utilizando los CHF 3 millones asignados por la reunión de 2023 del Consejo para apoyar proyectos que ayudasen a aplicar Iniciativas Regionales. Por último, la Secretaría destacó las medidas aplicadas por la BDT en 2024 para seguir fortaleciendo los proyectos del UIT-D, incluida la creación de la nueva Unidad de Ejecución de Proyectos, el fortalecimiento de la presentación de informes a los asociados y la Junta de Proyectos. La Secretaría explicó que esas medidas tenían por objeto garantizar la selección y ejecución transparentes de los proyectos y permitir una toma de decisiones basada en datos.</w:t>
      </w:r>
    </w:p>
    <w:p w14:paraId="59509AE9" w14:textId="77777777" w:rsidR="005905B6" w:rsidRPr="00893422" w:rsidRDefault="005905B6" w:rsidP="005905B6">
      <w:pPr>
        <w:tabs>
          <w:tab w:val="left" w:pos="567"/>
          <w:tab w:val="left" w:pos="1701"/>
        </w:tabs>
        <w:spacing w:after="120"/>
        <w:rPr>
          <w:szCs w:val="24"/>
          <w:lang w:val="es-ES_tradnl"/>
        </w:rPr>
      </w:pPr>
      <w:r w:rsidRPr="00893422">
        <w:rPr>
          <w:lang w:val="es-ES_tradnl"/>
        </w:rPr>
        <w:t>Tras la presentación de la Secretaría, un delegado y la Presidenta del GADT formularon preguntas sobre la función de la nueva Unidad de Ejecución de Proyectos y el funcionamiento de la Junta de Proyectos. El Director de la BDT respondió a estas preguntas y proporcionó más información sobre la nueva Unidad de Ejecución de Proyectos que se describe en el Documento 43 (Reorganización de la BDT) y sobre la Junta de Proyectos.</w:t>
      </w:r>
    </w:p>
    <w:tbl>
      <w:tblPr>
        <w:tblStyle w:val="TableGrid"/>
        <w:tblW w:w="0" w:type="auto"/>
        <w:tblLayout w:type="fixed"/>
        <w:tblLook w:val="04A0" w:firstRow="1" w:lastRow="0" w:firstColumn="1" w:lastColumn="0" w:noHBand="0" w:noVBand="1"/>
      </w:tblPr>
      <w:tblGrid>
        <w:gridCol w:w="9629"/>
      </w:tblGrid>
      <w:tr w:rsidR="005905B6" w:rsidRPr="00893422" w14:paraId="198CB03B" w14:textId="77777777" w:rsidTr="00D04740">
        <w:tc>
          <w:tcPr>
            <w:tcW w:w="9629" w:type="dxa"/>
          </w:tcPr>
          <w:p w14:paraId="0453AFD2" w14:textId="77777777" w:rsidR="005905B6" w:rsidRPr="00893422" w:rsidRDefault="005905B6" w:rsidP="00D04740">
            <w:pPr>
              <w:widowControl w:val="0"/>
              <w:tabs>
                <w:tab w:val="clear" w:pos="794"/>
                <w:tab w:val="clear" w:pos="1191"/>
                <w:tab w:val="clear" w:pos="1588"/>
                <w:tab w:val="clear" w:pos="1985"/>
                <w:tab w:val="left" w:pos="1701"/>
              </w:tabs>
              <w:spacing w:after="120"/>
              <w:rPr>
                <w:rFonts w:ascii="Calibri" w:hAnsi="Calibri" w:cs="Calibri"/>
                <w:lang w:val="es-ES_tradnl"/>
              </w:rPr>
            </w:pPr>
            <w:r w:rsidRPr="00893422">
              <w:rPr>
                <w:color w:val="000000"/>
                <w:lang w:val="es-ES_tradnl"/>
              </w:rPr>
              <w:t>El GADT tomó nota del informe en el que se ofrecía un panorama general de los trabajos realizados por la BDT en materia de desarrollo y ejecución de proyectos en las seis Regiones del UIT</w:t>
            </w:r>
            <w:r w:rsidRPr="00893422">
              <w:rPr>
                <w:color w:val="000000"/>
                <w:lang w:val="es-ES_tradnl"/>
              </w:rPr>
              <w:noBreakHyphen/>
              <w:t xml:space="preserve">D, así como a nivel multirregional. Los Miembros valoraron positivamente que los 37 nuevos proyectos firmados en 2024 por un valor de CHF 28,6 millones supusieran el mayor nivel de financiación recaudado por proyectos del UIT-D en los últimos diez años. El GADT también </w:t>
            </w:r>
            <w:r w:rsidRPr="00893422">
              <w:rPr>
                <w:color w:val="000000"/>
                <w:lang w:val="es-ES_tradnl"/>
              </w:rPr>
              <w:lastRenderedPageBreak/>
              <w:t>acogió con beneplácito otras medidas que reforzaron la ejecución de proyectos, incluida la creación de una unidad de ejecución de proyectos. La BDT acordó proporcionar un informe actualizado en el que se estableciesen las correspondencias entre los proyectos y los resultados previstos en el marco de cada iniciativa regional, según lo solicitado por los miembros.</w:t>
            </w:r>
          </w:p>
        </w:tc>
      </w:tr>
    </w:tbl>
    <w:p w14:paraId="45518FF7" w14:textId="0495E727" w:rsidR="005905B6" w:rsidRPr="00893422" w:rsidRDefault="004551B2" w:rsidP="004551B2">
      <w:pPr>
        <w:pStyle w:val="Heading2"/>
        <w:rPr>
          <w:rFonts w:cstheme="minorHAnsi"/>
          <w:szCs w:val="24"/>
          <w:lang w:val="es-ES_tradnl"/>
        </w:rPr>
      </w:pPr>
      <w:r w:rsidRPr="00893422">
        <w:rPr>
          <w:lang w:val="es-ES_tradnl"/>
        </w:rPr>
        <w:lastRenderedPageBreak/>
        <w:t>6.4</w:t>
      </w:r>
      <w:r w:rsidRPr="00893422">
        <w:rPr>
          <w:lang w:val="es-ES_tradnl"/>
        </w:rPr>
        <w:tab/>
      </w:r>
      <w:r w:rsidR="005905B6" w:rsidRPr="00893422">
        <w:rPr>
          <w:lang w:val="es-ES_tradnl"/>
        </w:rPr>
        <w:t>Actividades de las Comisiones de Estudio</w:t>
      </w:r>
    </w:p>
    <w:p w14:paraId="650CC9F9" w14:textId="54DC63D0" w:rsidR="005905B6" w:rsidRPr="00893422" w:rsidRDefault="005905B6" w:rsidP="004551B2">
      <w:pPr>
        <w:pStyle w:val="Headingb"/>
        <w:rPr>
          <w:rFonts w:cstheme="minorBidi"/>
          <w:lang w:val="es-ES_tradnl"/>
        </w:rPr>
      </w:pPr>
      <w:r w:rsidRPr="00893422">
        <w:rPr>
          <w:lang w:val="es-ES_tradnl"/>
        </w:rPr>
        <w:t xml:space="preserve">Documento </w:t>
      </w:r>
      <w:r w:rsidRPr="00893422">
        <w:rPr>
          <w:lang w:val="es-ES_tradnl"/>
        </w:rPr>
        <w:fldChar w:fldCharType="begin"/>
      </w:r>
      <w:r w:rsidR="00B96396">
        <w:rPr>
          <w:lang w:val="es-ES_tradnl"/>
        </w:rPr>
        <w:instrText>HYPERLINK "https://www.itu.int/md/D22-TDAG32-C-0006/es"</w:instrText>
      </w:r>
      <w:r w:rsidR="00B96396" w:rsidRPr="00893422">
        <w:rPr>
          <w:lang w:val="es-ES_tradnl"/>
        </w:rPr>
      </w:r>
      <w:r w:rsidRPr="00893422">
        <w:rPr>
          <w:lang w:val="es-ES_tradnl"/>
        </w:rPr>
        <w:fldChar w:fldCharType="separate"/>
      </w:r>
      <w:r w:rsidRPr="00893422">
        <w:rPr>
          <w:rStyle w:val="Hyperlink"/>
          <w:bCs/>
          <w:lang w:val="es-ES_tradnl"/>
        </w:rPr>
        <w:t>6</w:t>
      </w:r>
      <w:r w:rsidRPr="00893422">
        <w:rPr>
          <w:rStyle w:val="Hyperlink"/>
          <w:bCs/>
          <w:lang w:val="es-ES_tradnl"/>
        </w:rPr>
        <w:fldChar w:fldCharType="end"/>
      </w:r>
      <w:r w:rsidRPr="00893422">
        <w:rPr>
          <w:lang w:val="es-ES_tradnl"/>
        </w:rPr>
        <w:t xml:space="preserve"> (Presidenta de la Comisión de Estudio 1 del UIT</w:t>
      </w:r>
      <w:r w:rsidRPr="00893422">
        <w:rPr>
          <w:lang w:val="es-ES_tradnl"/>
        </w:rPr>
        <w:noBreakHyphen/>
        <w:t xml:space="preserve">D) - Comisión de Estudio 1 </w:t>
      </w:r>
      <w:r w:rsidR="004551B2" w:rsidRPr="00893422">
        <w:rPr>
          <w:lang w:val="es-ES_tradnl"/>
        </w:rPr>
        <w:br/>
      </w:r>
      <w:r w:rsidRPr="00893422">
        <w:rPr>
          <w:lang w:val="es-ES_tradnl"/>
        </w:rPr>
        <w:t>del UIT</w:t>
      </w:r>
      <w:r w:rsidR="004551B2" w:rsidRPr="00893422">
        <w:rPr>
          <w:lang w:val="es-ES_tradnl"/>
        </w:rPr>
        <w:noBreakHyphen/>
      </w:r>
      <w:r w:rsidRPr="00893422">
        <w:rPr>
          <w:lang w:val="es-ES_tradnl"/>
        </w:rPr>
        <w:t xml:space="preserve">D </w:t>
      </w:r>
      <w:r w:rsidR="00B96396" w:rsidRPr="00B96396">
        <w:rPr>
          <w:lang w:val="es-ES_tradnl"/>
        </w:rPr>
        <w:t>–</w:t>
      </w:r>
      <w:r w:rsidRPr="00893422">
        <w:rPr>
          <w:lang w:val="es-ES_tradnl"/>
        </w:rPr>
        <w:t xml:space="preserve"> Actividades y avances</w:t>
      </w:r>
      <w:hyperlink r:id="rId36"/>
    </w:p>
    <w:p w14:paraId="36AD4E18" w14:textId="4B25BC01" w:rsidR="005905B6" w:rsidRPr="00893422" w:rsidRDefault="005905B6" w:rsidP="004551B2">
      <w:pPr>
        <w:rPr>
          <w:lang w:val="es-ES_tradnl"/>
        </w:rPr>
      </w:pPr>
      <w:r w:rsidRPr="00893422">
        <w:rPr>
          <w:lang w:val="es-ES_tradnl"/>
        </w:rPr>
        <w:t>La Sra. Regina Fleur Assoumou Bessou, Presidenta de la Comisión de Estudio 1, presentó el Documento 6(Rev.2), en el que se describe la labor del Grupo durante el ciclo de estudios 2022-2025. Hizo hincapié en que, a pesar de haberse reducido el mandato de cuatro a tres años, la Comisión había logrado cumplir sus objetivos y elaborado siete informes finales y cuatro productos provisionales y revisado un informe del ciclo anterior. Los productos cubrían esferas clave como las herramientas de regulación digital, los fondos de servicio universal, la conectividad satelital y la sensibilización del consumidor. Destacó la colaboración estructurada de la Comisión que se había plasmado en la realización de talleres conjuntos, Declaraciones de Coordinación y asociaciones con la Comisión de Estudio 2 y otros Sectores de la UIT. Un logro notable fue el aumento de la participación femenina, hasta un 45%, que se logró entre otras cosas gracias al establecimiento de RIFEN, una red de mujeres profesionales que contribuían al trabajo de las Comisiones de Estudio.</w:t>
      </w:r>
    </w:p>
    <w:p w14:paraId="3199B321" w14:textId="77777777" w:rsidR="005905B6" w:rsidRPr="00893422" w:rsidRDefault="005905B6" w:rsidP="004551B2">
      <w:pPr>
        <w:rPr>
          <w:lang w:val="es-ES_tradnl"/>
        </w:rPr>
      </w:pPr>
      <w:r w:rsidRPr="00893422">
        <w:rPr>
          <w:lang w:val="es-ES_tradnl"/>
        </w:rPr>
        <w:t>En la presentación también se ofrecieron datos estadísticos detallados sobre participación, contribuciones y distribución por género. La Presidenta también presentó dos proyectos prácticos de directrices que figuran en el Anexo 6 del informe, uno sobre el nombramiento y la selección de Relatores y otro sobre la mejora de la promoción de los productos de las Comisiones de Estudio. Por último, alentó a que se ampliase la divulgación y utilización de los productos de la Comisión y recomendó que las directrices se adoptaran como textos dinámicos para el próximo periodo de estudios.</w:t>
      </w:r>
    </w:p>
    <w:p w14:paraId="7079CC9B" w14:textId="77777777" w:rsidR="005905B6" w:rsidRPr="00893422" w:rsidRDefault="005905B6" w:rsidP="004551B2">
      <w:pPr>
        <w:rPr>
          <w:lang w:val="es-ES_tradnl"/>
        </w:rPr>
      </w:pPr>
      <w:r w:rsidRPr="00893422">
        <w:rPr>
          <w:lang w:val="es-ES_tradnl"/>
        </w:rPr>
        <w:t xml:space="preserve">Tras la presentación, numerosas delegaciones expresaron su admiración por el amplio trabajo y el liderazgo demostrados durante el ciclo. Los participantes elogiaron el enfoque inclusivo y colaborativo, en particular el apoyo a las mujeres, los jóvenes y las personas con discapacidad. También se elogió la labor realizada en el marco de la Resolución 9, la pertinencia práctica de los informes provisionales y la participación de la Comisión en las labores de otros Sectores de la UIT. </w:t>
      </w:r>
    </w:p>
    <w:p w14:paraId="0BAB4B6D" w14:textId="7F5F3FDC" w:rsidR="005905B6" w:rsidRPr="00893422" w:rsidRDefault="005905B6" w:rsidP="004551B2">
      <w:pPr>
        <w:rPr>
          <w:lang w:val="es-ES_tradnl"/>
        </w:rPr>
      </w:pPr>
      <w:r w:rsidRPr="00893422">
        <w:rPr>
          <w:lang w:val="es-ES_tradnl"/>
        </w:rPr>
        <w:t>Varios Estados Miembros pidieron una mayor visibilidad y accesibilidad de los productos, y propusieron su divulgación entre las instituciones académicas y la comunidad de las TIC en general. La sesión reflejó el reconocimiento generalizado por los logros de la Comisión de Estudio</w:t>
      </w:r>
      <w:r w:rsidR="00376B64">
        <w:rPr>
          <w:lang w:val="es-ES_tradnl"/>
        </w:rPr>
        <w:t> </w:t>
      </w:r>
      <w:r w:rsidRPr="00893422">
        <w:rPr>
          <w:lang w:val="es-ES_tradnl"/>
        </w:rPr>
        <w:t>1 y el firme apoyo a la utilización de sus productos en futuras actividades de desarrollo.</w:t>
      </w:r>
    </w:p>
    <w:p w14:paraId="4579447A" w14:textId="77777777" w:rsidR="005905B6" w:rsidRPr="00893422" w:rsidRDefault="005905B6" w:rsidP="004551B2">
      <w:pPr>
        <w:rPr>
          <w:lang w:val="es-ES_tradnl"/>
        </w:rPr>
      </w:pPr>
      <w:r w:rsidRPr="00893422">
        <w:rPr>
          <w:lang w:val="es-ES_tradnl"/>
        </w:rPr>
        <w:t xml:space="preserve">La Presidenta abrió el debate sobre los Documentos 6A y 6B anexos al Documento 6(Rev.2), señalando que habían sido remitidos por las Comisiones de Estudio para su aprobación por el GADT. En el Documento 6A, presentado por el Reino Unido, se describían en líneas generales directrices para la composición y el funcionamiento de los Equipos de Relator. El representante del Reino Unido explicó que en el documento se formalizaban las prácticas informales existentes a modo de orientación suplementaria para los Presidentes de las Comisiones de Estudio, sin alterar ningún texto vinculante de la UIT. El objetivo era aportar coherencia y claridad al próximo ciclo de estudios. Australia presentó el Documento 6B y aclaró que Israel y el Japón habían elaborado las directrices para promover una mejor difusión y visibilidad de los productos de las Comisiones de </w:t>
      </w:r>
      <w:r w:rsidRPr="00893422">
        <w:rPr>
          <w:lang w:val="es-ES_tradnl"/>
        </w:rPr>
        <w:lastRenderedPageBreak/>
        <w:t>Estudio. En el documento se destacan las dificultades y se proponen soluciones para mejorar la divulgación, la participación de expertos y la integración de los resultados mediante plantillas actualizadas y una mejor utilización del sitio web y los eventos de la UIT.</w:t>
      </w:r>
    </w:p>
    <w:p w14:paraId="5844D8C8" w14:textId="77777777" w:rsidR="005905B6" w:rsidRPr="00893422" w:rsidRDefault="005905B6" w:rsidP="005905B6">
      <w:pPr>
        <w:spacing w:after="120"/>
        <w:rPr>
          <w:lang w:val="es-ES_tradnl"/>
        </w:rPr>
      </w:pPr>
      <w:r w:rsidRPr="00893422">
        <w:rPr>
          <w:lang w:val="es-ES_tradnl"/>
        </w:rPr>
        <w:t>Tras las presentaciones, tanto la Presidenta como varios Estados Miembros, incluidos representantes de las Comisiones de Estudio 1 y 2, expresaron su apoyo a los documentos y valoraron positivamente su armonización con las prácticas actuales y el énfasis por mejorar los métodos de trabajo. Los delegados señalaron la importancia de la inclusión, la transparencia en la selección de equipos y la renovación anual de compromisos para reflejar la evolución de la participación. No se presentaron objeciones y la Presidenta concluyó que el GADT aconsejaría al Director que facilitara la aplicación de las directrices en el próximo periodo de estudios e informara sobre los progresos realizados en la siguiente reunión del GADT.</w:t>
      </w:r>
    </w:p>
    <w:tbl>
      <w:tblPr>
        <w:tblStyle w:val="TableGrid"/>
        <w:tblW w:w="0" w:type="auto"/>
        <w:tblLayout w:type="fixed"/>
        <w:tblLook w:val="04A0" w:firstRow="1" w:lastRow="0" w:firstColumn="1" w:lastColumn="0" w:noHBand="0" w:noVBand="1"/>
      </w:tblPr>
      <w:tblGrid>
        <w:gridCol w:w="9629"/>
      </w:tblGrid>
      <w:tr w:rsidR="005905B6" w:rsidRPr="00893422" w14:paraId="3A0F6980" w14:textId="77777777" w:rsidTr="00D04740">
        <w:tc>
          <w:tcPr>
            <w:tcW w:w="9629" w:type="dxa"/>
          </w:tcPr>
          <w:p w14:paraId="643D500A" w14:textId="77777777" w:rsidR="005905B6" w:rsidRPr="00893422" w:rsidRDefault="005905B6" w:rsidP="00D04740">
            <w:pPr>
              <w:widowControl w:val="0"/>
              <w:spacing w:after="120"/>
              <w:rPr>
                <w:rFonts w:ascii="Calibri" w:eastAsia="Calibri" w:hAnsi="Calibri" w:cs="Calibri"/>
                <w:color w:val="000000" w:themeColor="text1"/>
                <w:szCs w:val="24"/>
                <w:lang w:val="es-ES_tradnl"/>
              </w:rPr>
            </w:pPr>
            <w:r w:rsidRPr="00893422">
              <w:rPr>
                <w:color w:val="000000"/>
                <w:lang w:val="es-ES_tradnl"/>
              </w:rPr>
              <w:t>El GADT tomó nota del informe, mostró su amplio reconocimiento por los esfuerzos de la Comisión de Estudio y destacó cómo el Grupo había llevado a cabo su trabajo de manera dinámica e inclusiva. La labor de la Comisión de Estudio 1 se consideró muy valiosa para avanzar en los objetivos del UIT-D.</w:t>
            </w:r>
          </w:p>
          <w:p w14:paraId="1F34723E" w14:textId="77777777" w:rsidR="005905B6" w:rsidRPr="00893422" w:rsidRDefault="005905B6" w:rsidP="00D04740">
            <w:pPr>
              <w:widowControl w:val="0"/>
              <w:spacing w:after="120"/>
              <w:rPr>
                <w:szCs w:val="24"/>
                <w:lang w:val="es-ES_tradnl"/>
              </w:rPr>
            </w:pPr>
            <w:r w:rsidRPr="00893422">
              <w:rPr>
                <w:color w:val="000000"/>
                <w:lang w:val="es-ES_tradnl"/>
              </w:rPr>
              <w:t xml:space="preserve">El GADT también examinó los Anexos al Documento 6(Rev.2) y aconsejó a la BDT que facilitara la utilización de las directrices del </w:t>
            </w:r>
            <w:hyperlink r:id="rId37" w:history="1">
              <w:r w:rsidRPr="00893422">
                <w:rPr>
                  <w:rStyle w:val="Hyperlink"/>
                  <w:lang w:val="es-ES_tradnl"/>
                </w:rPr>
                <w:t>Ane</w:t>
              </w:r>
              <w:r w:rsidRPr="00893422">
                <w:rPr>
                  <w:rStyle w:val="Hyperlink"/>
                  <w:lang w:val="es-ES_tradnl"/>
                </w:rPr>
                <w:t>x</w:t>
              </w:r>
              <w:r w:rsidRPr="00893422">
                <w:rPr>
                  <w:rStyle w:val="Hyperlink"/>
                  <w:lang w:val="es-ES_tradnl"/>
                </w:rPr>
                <w:t>o 6A</w:t>
              </w:r>
            </w:hyperlink>
            <w:r w:rsidRPr="00893422">
              <w:rPr>
                <w:color w:val="000000"/>
                <w:lang w:val="es-ES_tradnl"/>
              </w:rPr>
              <w:t xml:space="preserve"> (proyecto de directrices para la composición de los Equipos de Relator) y del </w:t>
            </w:r>
            <w:hyperlink r:id="rId38" w:history="1">
              <w:r w:rsidRPr="00893422">
                <w:rPr>
                  <w:rStyle w:val="Hyperlink"/>
                  <w:lang w:val="es-ES_tradnl"/>
                </w:rPr>
                <w:t>Anexo 6B</w:t>
              </w:r>
            </w:hyperlink>
            <w:r w:rsidRPr="00893422">
              <w:rPr>
                <w:color w:val="000000"/>
                <w:lang w:val="es-ES_tradnl"/>
              </w:rPr>
              <w:t xml:space="preserve"> (mejor utilización de los productos de las Comisiones de Estudio del UIT-D) en el próximo periodo de estudios después de la CMDT, y que informara a la próxima reunión del GADT sobre su aplicación.</w:t>
            </w:r>
            <w:hyperlink r:id="rId39"/>
            <w:hyperlink r:id="rId40"/>
          </w:p>
        </w:tc>
      </w:tr>
    </w:tbl>
    <w:p w14:paraId="7C4F1715" w14:textId="4E50E1E9" w:rsidR="005905B6" w:rsidRPr="00893422" w:rsidRDefault="005905B6" w:rsidP="004551B2">
      <w:pPr>
        <w:pStyle w:val="Headingb"/>
        <w:rPr>
          <w:szCs w:val="24"/>
          <w:lang w:val="es-ES_tradnl"/>
        </w:rPr>
      </w:pPr>
      <w:r w:rsidRPr="00893422">
        <w:rPr>
          <w:lang w:val="es-ES_tradnl"/>
        </w:rPr>
        <w:t xml:space="preserve">Documento </w:t>
      </w:r>
      <w:hyperlink r:id="rId41" w:history="1">
        <w:r w:rsidRPr="00893422">
          <w:rPr>
            <w:rStyle w:val="Hyperlink"/>
            <w:bCs/>
            <w:lang w:val="es-ES_tradnl"/>
          </w:rPr>
          <w:t>7</w:t>
        </w:r>
      </w:hyperlink>
      <w:r w:rsidRPr="00893422">
        <w:rPr>
          <w:lang w:val="es-ES_tradnl"/>
        </w:rPr>
        <w:t xml:space="preserve"> (Presidente de la Comisión de Estudio 2 del UIT</w:t>
      </w:r>
      <w:r w:rsidRPr="00893422">
        <w:rPr>
          <w:lang w:val="es-ES_tradnl"/>
        </w:rPr>
        <w:noBreakHyphen/>
        <w:t>D) - Actividades de la Comisión de Estudio 2 del UIT-D durante el octavo periodo de estudios</w:t>
      </w:r>
      <w:hyperlink r:id="rId42"/>
    </w:p>
    <w:p w14:paraId="01357AB1" w14:textId="77777777" w:rsidR="005905B6" w:rsidRPr="00893422" w:rsidRDefault="005905B6" w:rsidP="004551B2">
      <w:pPr>
        <w:rPr>
          <w:lang w:val="es-ES_tradnl"/>
        </w:rPr>
      </w:pPr>
      <w:r w:rsidRPr="00893422">
        <w:rPr>
          <w:lang w:val="es-ES_tradnl"/>
        </w:rPr>
        <w:t>El Documento 7(Rev.1) fue presentado por el Dr. Fadel Digham, Presidente de la Comisión de Estudio 2, quien resumió los logros del Grupo durante el ciclo de estudios 2022-2025. Destacó que, mientras que la Comisión de Estudio 1 se centraba en lograr una conectividad de calidad, la Comisión de Estudio 2 la complementaba abordando la transformación digital, incluidos los servicios, las aplicaciones y los entornos propicios. La presentación se centró en los trabajos de la Comisión a través de cuatro reuniones plenarias y dos reuniones de Relator, junto con diecisiete talleres y eventos. El Dr. Digham destacó las fuertes sinergias con la Comisión de Estudio 1 y los proyectos de campo de la BDT, especialmente en ámbitos como la ciberseguridad, las competencias digitales y la sostenibilidad medioambiental. Señaló que los jóvenes y las mujeres participaban activamente en diversas sesiones y talleres, y que la Cuestión 5/2 sobre competencias digitales había recibido el mayor número de contribuciones, lo que reflejaba la pertinencia del tema.</w:t>
      </w:r>
    </w:p>
    <w:p w14:paraId="7BB087BA" w14:textId="77777777" w:rsidR="005905B6" w:rsidRPr="00893422" w:rsidRDefault="005905B6" w:rsidP="004551B2">
      <w:pPr>
        <w:rPr>
          <w:lang w:val="es-ES_tradnl"/>
        </w:rPr>
      </w:pPr>
      <w:r w:rsidRPr="00893422">
        <w:rPr>
          <w:lang w:val="es-ES_tradnl"/>
        </w:rPr>
        <w:t>Informó de la elaboración de dos informes provisionales sobre ciberseguridad y siete informes finales sobre ciudades inteligentes, ciberservicios, ciberseguridad, equipos y dispositivos, competencias digitales, TIC para el medio ambiente y exposición a los CEM. El Dr. Digham también presentó un informe resumido refundido titulado "Enablement of Digital Transformation" (Habilitación de la transformación digital), en el que se resumían los productos de la Comisión, aunque no pudo adoptarse como resultado formal debido a las limitaciones de procedimiento actuales.</w:t>
      </w:r>
    </w:p>
    <w:p w14:paraId="3E53E9F3" w14:textId="77777777" w:rsidR="005905B6" w:rsidRPr="00893422" w:rsidRDefault="005905B6" w:rsidP="004551B2">
      <w:pPr>
        <w:rPr>
          <w:lang w:val="es-ES_tradnl"/>
        </w:rPr>
      </w:pPr>
      <w:r w:rsidRPr="00893422">
        <w:rPr>
          <w:lang w:val="es-ES_tradnl"/>
        </w:rPr>
        <w:t xml:space="preserve">Tras la presentación, numerosas delegaciones expresaron su agradecimiento por la labor de la Comisión y destacaron su importancia práctica, especialmente para los países en desarrollo. En </w:t>
      </w:r>
      <w:r w:rsidRPr="00893422">
        <w:rPr>
          <w:lang w:val="es-ES_tradnl"/>
        </w:rPr>
        <w:lastRenderedPageBreak/>
        <w:t xml:space="preserve">varias intervenciones se pidió una mayor visibilidad de los productos de las Comisiones de Estudio y se propuso su publicación a través de plataformas del mundo académico y de acceso abierto. Se formularon propuestas tanto para mejorar la accesibilidad, por ejemplo utilizando la lengua de signos y herramientas para personas con discapacidad, como para garantizar la participación constante de los jóvenes y los grupos subrepresentados. Se expresó un fuerte apoyo a los Anexos relacionados con la mejora del nombramiento de Relatores y la mejora de la repercusión de los futuros productos de las Comisiones de Estudio presentados en relación con el Informe sobre la Comisión de Estudio 1. </w:t>
      </w:r>
    </w:p>
    <w:p w14:paraId="3442EC90" w14:textId="77777777" w:rsidR="005905B6" w:rsidRPr="00893422" w:rsidRDefault="005905B6" w:rsidP="005905B6">
      <w:pPr>
        <w:tabs>
          <w:tab w:val="clear" w:pos="794"/>
          <w:tab w:val="clear" w:pos="1191"/>
          <w:tab w:val="clear" w:pos="1588"/>
          <w:tab w:val="clear" w:pos="1985"/>
          <w:tab w:val="left" w:pos="567"/>
          <w:tab w:val="left" w:pos="1134"/>
          <w:tab w:val="left" w:pos="1701"/>
          <w:tab w:val="left" w:pos="2268"/>
        </w:tabs>
        <w:spacing w:after="120"/>
        <w:rPr>
          <w:lang w:val="es-ES_tradnl"/>
        </w:rPr>
      </w:pPr>
      <w:r w:rsidRPr="00893422">
        <w:rPr>
          <w:lang w:val="es-ES_tradnl"/>
        </w:rPr>
        <w:t>El Director de la BDT y la Presidenta del GADT elogiaron los logros de la Comisión de Estudio 2 y afirmaron que su labor serviría de base para los futuros programas de la BDT y los preparativos para la CMDT. La sesión concluyó con un amplio reconocimiento de las contribuciones de la Comisión de Estudio y el valor de proseguir su labor de manera dinámica e inclusiva.</w:t>
      </w:r>
    </w:p>
    <w:tbl>
      <w:tblPr>
        <w:tblStyle w:val="TableGrid"/>
        <w:tblW w:w="0" w:type="auto"/>
        <w:tblLayout w:type="fixed"/>
        <w:tblLook w:val="04A0" w:firstRow="1" w:lastRow="0" w:firstColumn="1" w:lastColumn="0" w:noHBand="0" w:noVBand="1"/>
      </w:tblPr>
      <w:tblGrid>
        <w:gridCol w:w="9629"/>
      </w:tblGrid>
      <w:tr w:rsidR="005905B6" w:rsidRPr="00893422" w14:paraId="1881C267" w14:textId="77777777" w:rsidTr="00D04740">
        <w:tc>
          <w:tcPr>
            <w:tcW w:w="9629" w:type="dxa"/>
          </w:tcPr>
          <w:p w14:paraId="067A2FA0" w14:textId="77777777" w:rsidR="005905B6" w:rsidRPr="00893422" w:rsidRDefault="005905B6" w:rsidP="004551B2">
            <w:pPr>
              <w:rPr>
                <w:rFonts w:cstheme="minorBidi"/>
                <w:szCs w:val="24"/>
                <w:lang w:val="es-ES_tradnl"/>
              </w:rPr>
            </w:pPr>
            <w:r w:rsidRPr="00893422">
              <w:rPr>
                <w:lang w:val="es-ES_tradnl"/>
              </w:rPr>
              <w:t>El GADT tomó nota del informe con amplio reconocimiento por los esfuerzos de la Comisión de Estudio y destacó cómo el Grupo había llevado a cabo su trabajo de manera dinámica e inclusiva. La labor de la Comisión de Estudio 2 se consideró muy valiosa para avanzar en los objetivos del UIT-D.</w:t>
            </w:r>
          </w:p>
        </w:tc>
      </w:tr>
    </w:tbl>
    <w:p w14:paraId="450BA283" w14:textId="1779E385" w:rsidR="005905B6" w:rsidRPr="00893422" w:rsidRDefault="005905B6" w:rsidP="004551B2">
      <w:pPr>
        <w:pStyle w:val="Headingb"/>
        <w:rPr>
          <w:lang w:val="es-ES_tradnl"/>
        </w:rPr>
      </w:pPr>
      <w:r w:rsidRPr="00893422">
        <w:rPr>
          <w:lang w:val="es-ES_tradnl"/>
        </w:rPr>
        <w:t xml:space="preserve">Documento </w:t>
      </w:r>
      <w:hyperlink r:id="rId43" w:history="1">
        <w:r w:rsidRPr="00893422">
          <w:rPr>
            <w:rStyle w:val="Hyperlink"/>
            <w:bCs/>
            <w:lang w:val="es-ES_tradnl"/>
          </w:rPr>
          <w:t>36(</w:t>
        </w:r>
        <w:r w:rsidRPr="00893422">
          <w:rPr>
            <w:rStyle w:val="Hyperlink"/>
            <w:bCs/>
            <w:lang w:val="es-ES_tradnl"/>
          </w:rPr>
          <w:t>R</w:t>
        </w:r>
        <w:r w:rsidRPr="00893422">
          <w:rPr>
            <w:rStyle w:val="Hyperlink"/>
            <w:bCs/>
            <w:lang w:val="es-ES_tradnl"/>
          </w:rPr>
          <w:t>ev.1)</w:t>
        </w:r>
      </w:hyperlink>
      <w:r w:rsidRPr="00893422">
        <w:rPr>
          <w:lang w:val="es-ES_tradnl"/>
        </w:rPr>
        <w:t xml:space="preserve"> (Canadá, Bahamas) </w:t>
      </w:r>
      <w:r w:rsidR="00CB1353" w:rsidRPr="00CB1353">
        <w:rPr>
          <w:lang w:val="es-ES_tradnl"/>
        </w:rPr>
        <w:t>–</w:t>
      </w:r>
      <w:r w:rsidRPr="00893422">
        <w:rPr>
          <w:lang w:val="es-ES_tradnl"/>
        </w:rPr>
        <w:t xml:space="preserve"> Fomento de la participación de los jóvenes en las Comisiones de Estudio 1 y 2 del UIT-D</w:t>
      </w:r>
      <w:hyperlink r:id="rId44"/>
    </w:p>
    <w:p w14:paraId="6A666529" w14:textId="1ED52091" w:rsidR="005905B6" w:rsidRPr="00893422" w:rsidRDefault="005905B6" w:rsidP="004551B2">
      <w:pPr>
        <w:rPr>
          <w:lang w:val="es-ES_tradnl"/>
        </w:rPr>
      </w:pPr>
      <w:r w:rsidRPr="00893422">
        <w:rPr>
          <w:lang w:val="es-ES_tradnl"/>
        </w:rPr>
        <w:t>Se presentó el Documento 36(Rev.1), una contribución conjunta del Canadá y las Bahamas, en la que se proponen medidas para mejorar la participación de los jóvenes en las Comisiones de Estudio del UIT-D. En ella se destacaba que la iniciativa estaría basada en mecanismos existentes y que no requeriría recursos financieros adicionales de la BDT. La propuesta se centraba en la participación estructurada a través de tutorías, capacitación en liderazgo y asociaciones académicas.</w:t>
      </w:r>
    </w:p>
    <w:p w14:paraId="7543D379" w14:textId="77777777" w:rsidR="005905B6" w:rsidRPr="00893422" w:rsidRDefault="005905B6" w:rsidP="004551B2">
      <w:pPr>
        <w:rPr>
          <w:lang w:val="es-ES_tradnl"/>
        </w:rPr>
      </w:pPr>
      <w:r w:rsidRPr="00893422">
        <w:rPr>
          <w:lang w:val="es-ES_tradnl"/>
        </w:rPr>
        <w:t>Durante el debate, varias delegaciones expresaron su apoyo a la iniciativa y elogiaron que se centrase en la inclusión y la sostenibilidad. Muchos reconocieron la importancia de la participación de los jóvenes en la configuración del futuro digital y propusieron integrar la propuesta con las iniciativas existentes de la UIT, como Generation Connect, para evitar duplicaciones y garantizar la coherencia. También se presentó la recomendación de explorar enfoques voluntarios a través de los Grupos de Relator y considerar la posibilidad de mejorar los mecanismos de participación virtual.</w:t>
      </w:r>
    </w:p>
    <w:p w14:paraId="4614B348" w14:textId="714F20F5" w:rsidR="005905B6" w:rsidRPr="00893422" w:rsidRDefault="005905B6" w:rsidP="005905B6">
      <w:pPr>
        <w:spacing w:after="120"/>
        <w:textAlignment w:val="auto"/>
        <w:rPr>
          <w:rFonts w:ascii="Calibri" w:eastAsia="Calibri" w:hAnsi="Calibri" w:cs="Calibri"/>
          <w:i/>
          <w:iCs/>
          <w:lang w:val="es-ES_tradnl"/>
        </w:rPr>
      </w:pPr>
      <w:r w:rsidRPr="00893422">
        <w:rPr>
          <w:lang w:val="es-ES_tradnl"/>
        </w:rPr>
        <w:t>El Director de la BDT acogió con satisfacción la propuesta e instó a los Estados Miembros a incluir a jóvenes en sus delegaciones. Confirmó que la BDT examinaría las propuestas y consideraría las medidas viables sin imponer cargas financieras. Por otra parte, y en respuesta a estos debates, la BDT preparó y publicó el Documento INF/15(Rev.1), para proporcionar información sobre las iniciativas en curso en la UIT para la juventud.</w:t>
      </w:r>
    </w:p>
    <w:tbl>
      <w:tblPr>
        <w:tblStyle w:val="TableGrid"/>
        <w:tblW w:w="0" w:type="auto"/>
        <w:tblLayout w:type="fixed"/>
        <w:tblLook w:val="06A0" w:firstRow="1" w:lastRow="0" w:firstColumn="1" w:lastColumn="0" w:noHBand="1" w:noVBand="1"/>
      </w:tblPr>
      <w:tblGrid>
        <w:gridCol w:w="9630"/>
      </w:tblGrid>
      <w:tr w:rsidR="005905B6" w:rsidRPr="00893422" w14:paraId="4EF2DADD" w14:textId="77777777" w:rsidTr="00D04740">
        <w:trPr>
          <w:trHeight w:val="300"/>
        </w:trPr>
        <w:tc>
          <w:tcPr>
            <w:tcW w:w="9630" w:type="dxa"/>
          </w:tcPr>
          <w:p w14:paraId="232EA168" w14:textId="77777777" w:rsidR="005905B6" w:rsidRPr="00893422" w:rsidRDefault="005905B6" w:rsidP="00D04740">
            <w:pPr>
              <w:spacing w:after="120"/>
              <w:rPr>
                <w:rFonts w:ascii="Calibri" w:hAnsi="Calibri"/>
                <w:lang w:val="es-ES_tradnl"/>
              </w:rPr>
            </w:pPr>
            <w:r w:rsidRPr="00893422">
              <w:rPr>
                <w:color w:val="000000"/>
                <w:lang w:val="es-ES_tradnl"/>
              </w:rPr>
              <w:t xml:space="preserve">El GADT tomó nota de la contribución con satisfacción, reconociendo que sería conveniente que la BDT estudiase y considerase en el futuro la posibilidad de aplicar medidas viables sin imponer cargas financieras a la BDT. </w:t>
            </w:r>
          </w:p>
        </w:tc>
      </w:tr>
    </w:tbl>
    <w:p w14:paraId="55C32015" w14:textId="5244B5C2" w:rsidR="005905B6" w:rsidRPr="00893422" w:rsidRDefault="004551B2" w:rsidP="004551B2">
      <w:pPr>
        <w:pStyle w:val="Heading2"/>
        <w:rPr>
          <w:rFonts w:cstheme="minorHAnsi"/>
          <w:szCs w:val="24"/>
          <w:lang w:val="es-ES_tradnl"/>
        </w:rPr>
      </w:pPr>
      <w:r w:rsidRPr="00893422">
        <w:rPr>
          <w:lang w:val="es-ES_tradnl"/>
        </w:rPr>
        <w:lastRenderedPageBreak/>
        <w:t>6.5</w:t>
      </w:r>
      <w:r w:rsidRPr="00893422">
        <w:rPr>
          <w:lang w:val="es-ES_tradnl"/>
        </w:rPr>
        <w:tab/>
      </w:r>
      <w:r w:rsidR="005905B6" w:rsidRPr="00893422">
        <w:rPr>
          <w:lang w:val="es-ES_tradnl"/>
        </w:rPr>
        <w:t>Asuntos relacionados con los miembros, las asociaciones y el sector privado</w:t>
      </w:r>
    </w:p>
    <w:p w14:paraId="39B2B0A1" w14:textId="5F69260C" w:rsidR="005905B6" w:rsidRPr="00893422" w:rsidRDefault="005905B6" w:rsidP="004551B2">
      <w:pPr>
        <w:pStyle w:val="Headingb"/>
        <w:rPr>
          <w:bCs/>
          <w:szCs w:val="24"/>
          <w:lang w:val="es-ES_tradnl"/>
        </w:rPr>
      </w:pPr>
      <w:r w:rsidRPr="00893422">
        <w:rPr>
          <w:bCs/>
          <w:lang w:val="es-ES_tradnl"/>
        </w:rPr>
        <w:t xml:space="preserve">Documento </w:t>
      </w:r>
      <w:hyperlink r:id="rId45" w:history="1">
        <w:r w:rsidRPr="00893422">
          <w:rPr>
            <w:rStyle w:val="Hyperlink"/>
            <w:bCs/>
            <w:lang w:val="es-ES_tradnl"/>
          </w:rPr>
          <w:t>8(Rev.1)</w:t>
        </w:r>
      </w:hyperlink>
      <w:r w:rsidRPr="00893422">
        <w:rPr>
          <w:bCs/>
          <w:lang w:val="es-ES_tradnl"/>
        </w:rPr>
        <w:t xml:space="preserve"> (Director, BDT) </w:t>
      </w:r>
      <w:r w:rsidR="004551B2" w:rsidRPr="00893422">
        <w:rPr>
          <w:bCs/>
          <w:lang w:val="es-ES_tradnl"/>
        </w:rPr>
        <w:t>–</w:t>
      </w:r>
      <w:r w:rsidRPr="00893422">
        <w:rPr>
          <w:bCs/>
          <w:lang w:val="es-ES_tradnl"/>
        </w:rPr>
        <w:t xml:space="preserve"> Miembros de Sector, Asociados e Instituciones Académicas del UIT-D</w:t>
      </w:r>
      <w:hyperlink r:id="rId46"/>
    </w:p>
    <w:p w14:paraId="172ED2A7" w14:textId="0F734286" w:rsidR="005905B6" w:rsidRPr="00893422" w:rsidRDefault="005905B6" w:rsidP="00391233">
      <w:pPr>
        <w:rPr>
          <w:rFonts w:cstheme="minorBidi"/>
          <w:lang w:val="es-ES_tradnl"/>
        </w:rPr>
      </w:pPr>
      <w:r w:rsidRPr="00893422">
        <w:rPr>
          <w:lang w:val="es-ES_tradnl"/>
        </w:rPr>
        <w:t>La Secretaría de la BDT presentó una visión general de la evolución de la membresía del UIT-D y destacó su crecimiento desde enero de 2024 hasta mediados de 2025. Durante este periodo, el</w:t>
      </w:r>
      <w:r w:rsidR="003C48FA">
        <w:rPr>
          <w:lang w:val="es-ES_tradnl"/>
        </w:rPr>
        <w:t> </w:t>
      </w:r>
      <w:r w:rsidRPr="00893422">
        <w:rPr>
          <w:lang w:val="es-ES_tradnl"/>
        </w:rPr>
        <w:t xml:space="preserve">UIT-D había logrado atraer a 67 nuevos Miembros de Sector, Asociados e Instituciones Académicas. Se presentaron las medidas recomendadas para seguir fortaleciendo los esfuerzos destinados a captar y retener a más miembros. </w:t>
      </w:r>
    </w:p>
    <w:p w14:paraId="7A54130D" w14:textId="77777777" w:rsidR="005905B6" w:rsidRPr="00893422" w:rsidRDefault="005905B6" w:rsidP="00391233">
      <w:pPr>
        <w:rPr>
          <w:rFonts w:cstheme="minorBidi"/>
          <w:lang w:val="es-ES_tradnl"/>
        </w:rPr>
      </w:pPr>
      <w:r w:rsidRPr="00893422">
        <w:rPr>
          <w:lang w:val="es-ES_tradnl"/>
        </w:rPr>
        <w:t>El Presidente del Grupo Asesor de la Industria para los Problemas del Desarrollo y los Directores de Reglamentación del Sector Privado (IAGDI-CRO), constituido en virtud de la Resolución 71 (Rev. Kigali, 2022), elogió el hecho de que el Director y la Secretaría de la BDT trabajasen estrechamente con partes interesadas de la industria y el sector privado. Destacó el importante papel de la industria en la labor del UIT-D y destacó el éxito y el crecimiento del IAGD-CRO, en particular gracias al éxito destacable de las TECH TALKS, en línea con la labor de las Comisiones de Estudio 1 y 2 del UIT-D.</w:t>
      </w:r>
    </w:p>
    <w:p w14:paraId="066BD762" w14:textId="4CCFD417" w:rsidR="005905B6" w:rsidRPr="00893422" w:rsidRDefault="005905B6" w:rsidP="005905B6">
      <w:pPr>
        <w:tabs>
          <w:tab w:val="left" w:pos="567"/>
          <w:tab w:val="left" w:pos="1701"/>
        </w:tabs>
        <w:spacing w:after="120"/>
        <w:textAlignment w:val="auto"/>
        <w:rPr>
          <w:rFonts w:cstheme="minorBidi"/>
          <w:lang w:val="es-ES_tradnl"/>
        </w:rPr>
      </w:pPr>
      <w:r w:rsidRPr="00893422">
        <w:rPr>
          <w:lang w:val="es-ES_tradnl"/>
        </w:rPr>
        <w:t>La Presidenta del GADT, el Vicepresidente del GADT para África y el Presidente de la Comisión de Estudio 2 agradecieron la importante labor realizada por el Director de la BDT y la Secretaría de la</w:t>
      </w:r>
      <w:r w:rsidR="003C48FA">
        <w:rPr>
          <w:lang w:val="es-ES_tradnl"/>
        </w:rPr>
        <w:t> </w:t>
      </w:r>
      <w:r w:rsidRPr="00893422">
        <w:rPr>
          <w:lang w:val="es-ES_tradnl"/>
        </w:rPr>
        <w:t>BDT para aumentar el número de miembros, indicaron su interés en aumentar el número de, en particular, las Instituciones Académicas y su participación en los trabajos de las Comisiones de Estudio del UIT-D, y alentaron a la Secretaría de la BDT a seguir divulgando información sobre el valor que suponía convertirse en miembro.</w:t>
      </w:r>
    </w:p>
    <w:tbl>
      <w:tblPr>
        <w:tblStyle w:val="TableGrid"/>
        <w:tblW w:w="0" w:type="auto"/>
        <w:tblLayout w:type="fixed"/>
        <w:tblLook w:val="04A0" w:firstRow="1" w:lastRow="0" w:firstColumn="1" w:lastColumn="0" w:noHBand="0" w:noVBand="1"/>
      </w:tblPr>
      <w:tblGrid>
        <w:gridCol w:w="9629"/>
      </w:tblGrid>
      <w:tr w:rsidR="005905B6" w:rsidRPr="00893422" w14:paraId="71046839" w14:textId="77777777" w:rsidTr="00D04740">
        <w:tc>
          <w:tcPr>
            <w:tcW w:w="9629" w:type="dxa"/>
          </w:tcPr>
          <w:p w14:paraId="72326F3D" w14:textId="31AA9D45" w:rsidR="005905B6" w:rsidRPr="00893422" w:rsidRDefault="005905B6" w:rsidP="00391233">
            <w:pPr>
              <w:rPr>
                <w:lang w:val="es-ES_tradnl"/>
              </w:rPr>
            </w:pPr>
            <w:r w:rsidRPr="00893422">
              <w:rPr>
                <w:lang w:val="es-ES_tradnl"/>
              </w:rPr>
              <w:t>El GADT tomó nota del informe y valoró positivamente el aumento del número de miembros del UIT-D entre enero de 2024 y mediados de 2025: 67 nuevos Miembros de Sector, Asociados e Instituciones Académicas.</w:t>
            </w:r>
          </w:p>
          <w:p w14:paraId="13E2708C" w14:textId="64AD16EC" w:rsidR="005905B6" w:rsidRPr="00893422" w:rsidRDefault="005905B6" w:rsidP="00391233">
            <w:pPr>
              <w:rPr>
                <w:lang w:val="es-ES_tradnl"/>
              </w:rPr>
            </w:pPr>
            <w:r w:rsidRPr="00893422">
              <w:rPr>
                <w:color w:val="000000"/>
                <w:lang w:val="es-ES_tradnl"/>
              </w:rPr>
              <w:t xml:space="preserve">El GADT también tomó nota de los Documentos </w:t>
            </w:r>
            <w:hyperlink r:id="rId47" w:history="1">
              <w:r w:rsidRPr="00893422">
                <w:rPr>
                  <w:rStyle w:val="Hyperlink"/>
                  <w:lang w:val="es-ES_tradnl"/>
                </w:rPr>
                <w:t>IN</w:t>
              </w:r>
              <w:r w:rsidRPr="00893422">
                <w:rPr>
                  <w:rStyle w:val="Hyperlink"/>
                  <w:lang w:val="es-ES_tradnl"/>
                </w:rPr>
                <w:t>F</w:t>
              </w:r>
              <w:r w:rsidRPr="00893422">
                <w:rPr>
                  <w:rStyle w:val="Hyperlink"/>
                  <w:lang w:val="es-ES_tradnl"/>
                </w:rPr>
                <w:t>/1</w:t>
              </w:r>
            </w:hyperlink>
            <w:r w:rsidRPr="00893422">
              <w:rPr>
                <w:color w:val="000000"/>
                <w:lang w:val="es-ES_tradnl"/>
              </w:rPr>
              <w:t xml:space="preserve"> e </w:t>
            </w:r>
            <w:hyperlink r:id="rId48" w:history="1">
              <w:r w:rsidRPr="00893422">
                <w:rPr>
                  <w:rStyle w:val="Hyperlink"/>
                  <w:lang w:val="es-ES_tradnl"/>
                </w:rPr>
                <w:t>INF</w:t>
              </w:r>
              <w:r w:rsidRPr="00893422">
                <w:rPr>
                  <w:rStyle w:val="Hyperlink"/>
                  <w:lang w:val="es-ES_tradnl"/>
                </w:rPr>
                <w:t>/</w:t>
              </w:r>
              <w:r w:rsidRPr="00893422">
                <w:rPr>
                  <w:rStyle w:val="Hyperlink"/>
                  <w:lang w:val="es-ES_tradnl"/>
                </w:rPr>
                <w:t>2</w:t>
              </w:r>
            </w:hyperlink>
            <w:r w:rsidRPr="00893422">
              <w:rPr>
                <w:color w:val="000000"/>
                <w:lang w:val="es-ES_tradnl"/>
              </w:rPr>
              <w:t xml:space="preserve"> del Documento 8 sobre los miembros del UIT-D y el establecimiento de correspondencias entre las medidas de colaboración con las instituciones académicas.</w:t>
            </w:r>
            <w:hyperlink r:id="rId49"/>
            <w:hyperlink r:id="rId50"/>
          </w:p>
        </w:tc>
      </w:tr>
    </w:tbl>
    <w:p w14:paraId="511F49D8" w14:textId="0D70EE37" w:rsidR="005905B6" w:rsidRPr="00893422" w:rsidRDefault="005905B6" w:rsidP="00391233">
      <w:pPr>
        <w:pStyle w:val="Headingb"/>
        <w:rPr>
          <w:bCs/>
          <w:szCs w:val="24"/>
          <w:lang w:val="es-ES_tradnl"/>
        </w:rPr>
      </w:pPr>
      <w:r w:rsidRPr="00893422">
        <w:rPr>
          <w:bCs/>
          <w:lang w:val="es-ES_tradnl"/>
        </w:rPr>
        <w:t xml:space="preserve">Documento </w:t>
      </w:r>
      <w:hyperlink r:id="rId51" w:history="1">
        <w:r w:rsidRPr="00893422">
          <w:rPr>
            <w:rStyle w:val="Hyperlink"/>
            <w:bCs/>
            <w:lang w:val="es-ES_tradnl"/>
          </w:rPr>
          <w:t>9</w:t>
        </w:r>
      </w:hyperlink>
      <w:r w:rsidRPr="00893422">
        <w:rPr>
          <w:bCs/>
          <w:lang w:val="es-ES_tradnl"/>
        </w:rPr>
        <w:t xml:space="preserve"> (Director de la BDT) </w:t>
      </w:r>
      <w:r w:rsidR="00E15AF8" w:rsidRPr="00893422">
        <w:rPr>
          <w:bCs/>
          <w:lang w:val="es-ES_tradnl"/>
        </w:rPr>
        <w:t>–</w:t>
      </w:r>
      <w:r w:rsidRPr="00893422">
        <w:rPr>
          <w:bCs/>
          <w:lang w:val="es-ES_tradnl"/>
        </w:rPr>
        <w:t xml:space="preserve"> Asociaciones y movilización de recursos en el UIT-D</w:t>
      </w:r>
      <w:r w:rsidRPr="00893422">
        <w:rPr>
          <w:lang w:val="es-ES_tradnl"/>
        </w:rPr>
        <w:t xml:space="preserve"> </w:t>
      </w:r>
      <w:hyperlink r:id="rId52"/>
    </w:p>
    <w:p w14:paraId="3860B61E" w14:textId="77777777" w:rsidR="005905B6" w:rsidRPr="00893422" w:rsidRDefault="005905B6" w:rsidP="005905B6">
      <w:pPr>
        <w:tabs>
          <w:tab w:val="left" w:pos="567"/>
          <w:tab w:val="left" w:pos="1701"/>
        </w:tabs>
        <w:spacing w:after="120"/>
        <w:rPr>
          <w:rFonts w:ascii="Calibri" w:hAnsi="Calibri"/>
          <w:szCs w:val="24"/>
          <w:lang w:val="es-ES_tradnl"/>
        </w:rPr>
      </w:pPr>
      <w:r w:rsidRPr="00893422">
        <w:rPr>
          <w:lang w:val="es-ES_tradnl"/>
        </w:rPr>
        <w:t>La Secretaría de la BDT informó en el Documento 9 que en 2024 se habían firmado 89 acuerdos por un total de USD 33,8 millones. Entre enero y abril de 2025 se firmaron 24 acuerdos por un total de USD 1,5 millones. La Secretaría describió a grandes rasgos una estrategia centrada en mantener las relaciones con los asociados actuales, colaborar con los organismos de las Naciones Unidas y llegar a nuevos asociados potenciales. La Presidenta señaló que los miembros del GADT apoyaban en general las mejoras de gobernanza y alentó al equipo a proseguir estos progresos ahora que se estaban realizando los preparativos para la CMDT-25.</w:t>
      </w:r>
    </w:p>
    <w:tbl>
      <w:tblPr>
        <w:tblStyle w:val="TableGrid"/>
        <w:tblW w:w="0" w:type="auto"/>
        <w:tblLayout w:type="fixed"/>
        <w:tblLook w:val="04A0" w:firstRow="1" w:lastRow="0" w:firstColumn="1" w:lastColumn="0" w:noHBand="0" w:noVBand="1"/>
      </w:tblPr>
      <w:tblGrid>
        <w:gridCol w:w="9629"/>
      </w:tblGrid>
      <w:tr w:rsidR="005905B6" w:rsidRPr="00893422" w14:paraId="7415CD65" w14:textId="77777777" w:rsidTr="00D04740">
        <w:tc>
          <w:tcPr>
            <w:tcW w:w="9629" w:type="dxa"/>
          </w:tcPr>
          <w:p w14:paraId="71375DC9" w14:textId="77777777" w:rsidR="005905B6" w:rsidRPr="00893422" w:rsidRDefault="005905B6" w:rsidP="00D04740">
            <w:pPr>
              <w:widowControl w:val="0"/>
              <w:spacing w:after="120"/>
              <w:rPr>
                <w:lang w:val="es-ES_tradnl"/>
              </w:rPr>
            </w:pPr>
            <w:r w:rsidRPr="00893422">
              <w:rPr>
                <w:color w:val="000000"/>
                <w:lang w:val="es-ES_tradnl"/>
              </w:rPr>
              <w:t>El GADT tomó nota del informe con satisfacción, reconociendo la importancia de las asociaciones y la movilización de recursos con todas las partes interesadas para llevar a cabo los proyectos, programas e iniciativas de la CMDT.</w:t>
            </w:r>
          </w:p>
        </w:tc>
      </w:tr>
    </w:tbl>
    <w:p w14:paraId="037592C2" w14:textId="5078E783" w:rsidR="005905B6" w:rsidRPr="00893422" w:rsidRDefault="005905B6" w:rsidP="00391233">
      <w:pPr>
        <w:pStyle w:val="Headingb"/>
        <w:rPr>
          <w:szCs w:val="24"/>
          <w:lang w:val="es-ES_tradnl"/>
        </w:rPr>
      </w:pPr>
      <w:r w:rsidRPr="00893422">
        <w:rPr>
          <w:lang w:val="es-ES_tradnl"/>
        </w:rPr>
        <w:lastRenderedPageBreak/>
        <w:t xml:space="preserve">Documento </w:t>
      </w:r>
      <w:hyperlink r:id="rId53" w:history="1">
        <w:r w:rsidRPr="00893422">
          <w:rPr>
            <w:rStyle w:val="Hyperlink"/>
            <w:bCs/>
            <w:lang w:val="es-ES_tradnl"/>
          </w:rPr>
          <w:t>10</w:t>
        </w:r>
      </w:hyperlink>
      <w:r w:rsidRPr="00893422">
        <w:rPr>
          <w:lang w:val="es-ES_tradnl"/>
        </w:rPr>
        <w:t xml:space="preserve"> (Director de la BDT) - Alianza sobre Innovación e Iniciativa Empresarial en aras del Desarrollo Digital</w:t>
      </w:r>
      <w:hyperlink r:id="rId54"/>
    </w:p>
    <w:p w14:paraId="508BC1B7" w14:textId="77777777" w:rsidR="005905B6" w:rsidRPr="00893422" w:rsidRDefault="005905B6" w:rsidP="00F921F5">
      <w:pPr>
        <w:rPr>
          <w:lang w:val="es-ES_tradnl"/>
        </w:rPr>
      </w:pPr>
      <w:r w:rsidRPr="00893422">
        <w:rPr>
          <w:lang w:val="es-ES_tradnl"/>
        </w:rPr>
        <w:t>La Secretaría presentó el Documento 10, en el que se describe cómo la Alianza sobre Innovación e Iniciativa Empresarial ha evolucionado hasta convertirse en una plataforma estructurada de apoyo al Plan de Acción de Kigali a través de tres vehículos complementarios: una junta de innovación digital, una red creciente de centros de aceleración nacionales y regionales y un laboratorio de transformación digital. Desde la última reunión del GADT, la Junta ha refrendado un plan de trabajo para 2024-2026 en cuyo marco se publicará una serie de informes de "previsión" para los encargados de la formulación de políticas y se creará un ecosistema de alianzas mundiales; dos centros de aceleración adicionales, en Sudáfrica y la Arabia Saudita, que se habían unido a la primera cohorte, y el laboratorio, financiado por el Ministerio de Asuntos Internos y Comunicaciones del Japón, que había comenzado a elaborar "manuales" operativos y a poner a prueba un modelo de acelerador en Montenegro y China para sistematizar el apoyo a la innovación en todas las Regiones del UIT-D.</w:t>
      </w:r>
    </w:p>
    <w:p w14:paraId="1C936DE3" w14:textId="77777777" w:rsidR="005905B6" w:rsidRPr="00893422" w:rsidRDefault="005905B6" w:rsidP="00F921F5">
      <w:pPr>
        <w:rPr>
          <w:rFonts w:ascii="Calibri" w:eastAsia="Calibri" w:hAnsi="Calibri" w:cs="Calibri"/>
          <w:lang w:val="es-ES_tradnl"/>
        </w:rPr>
      </w:pPr>
      <w:r w:rsidRPr="00893422">
        <w:rPr>
          <w:lang w:val="es-ES_tradnl"/>
        </w:rPr>
        <w:t xml:space="preserve">En las siguientes conversaciones se anunció que dos instituciones habían sido calificadas recientemente como centros de aceleración y se instó a la Oficina a acelerar la cooperación entre centros. Se plantearon preguntas sobre la forma en que los centros generaban resultados locales concretos, y se explicó que, aunque los procesos de aprobación nacionales podían retrasar la puesta en marcha de nuevos centros, los ya establecidos proporcionaban a los empresarios una potencia informática asequible, formación profesional y acceso a financiación, y se citaron ejemplos en los que se habían conseguido inversiones significativas. Se alentó el hermanamiento entre homólogos entre centros nuevos y ya establecidos para fomentar el desarrollo. </w:t>
      </w:r>
    </w:p>
    <w:p w14:paraId="5EEB6039" w14:textId="77777777" w:rsidR="005905B6" w:rsidRPr="00893422" w:rsidRDefault="005905B6" w:rsidP="005905B6">
      <w:pPr>
        <w:spacing w:after="120"/>
        <w:rPr>
          <w:rFonts w:ascii="Calibri" w:eastAsia="Calibri" w:hAnsi="Calibri" w:cs="Calibri"/>
          <w:szCs w:val="24"/>
          <w:lang w:val="es-ES_tradnl"/>
        </w:rPr>
      </w:pPr>
      <w:r w:rsidRPr="00893422">
        <w:rPr>
          <w:lang w:val="es-ES_tradnl"/>
        </w:rPr>
        <w:t xml:space="preserve">La Presidenta concluyó que los miembros apoyaban ampliamente el enfoque sistémico de la Alianza, reconocían positivamente sus primeros resultados y esperaban con interés una estrategia de expansión perfeccionada una vez que se completara la evaluación actual del rendimiento de los centros de aceleración. </w:t>
      </w:r>
    </w:p>
    <w:tbl>
      <w:tblPr>
        <w:tblStyle w:val="TableGrid"/>
        <w:tblW w:w="0" w:type="auto"/>
        <w:tblLayout w:type="fixed"/>
        <w:tblLook w:val="04A0" w:firstRow="1" w:lastRow="0" w:firstColumn="1" w:lastColumn="0" w:noHBand="0" w:noVBand="1"/>
      </w:tblPr>
      <w:tblGrid>
        <w:gridCol w:w="9629"/>
      </w:tblGrid>
      <w:tr w:rsidR="005905B6" w:rsidRPr="00893422" w14:paraId="104468CC" w14:textId="77777777" w:rsidTr="00D04740">
        <w:tc>
          <w:tcPr>
            <w:tcW w:w="9629" w:type="dxa"/>
          </w:tcPr>
          <w:p w14:paraId="06D764D8" w14:textId="77777777" w:rsidR="005905B6" w:rsidRPr="00893422" w:rsidRDefault="005905B6" w:rsidP="00545C24">
            <w:pPr>
              <w:rPr>
                <w:rFonts w:cstheme="minorBidi"/>
                <w:szCs w:val="24"/>
                <w:lang w:val="es-ES_tradnl"/>
              </w:rPr>
            </w:pPr>
            <w:r w:rsidRPr="00893422">
              <w:rPr>
                <w:lang w:val="es-ES_tradnl"/>
              </w:rPr>
              <w:t xml:space="preserve">El GADT tomó nota del informe y apoyó el enfoque sistémico y los resultados iniciales. Una vez concluida la evaluación actual del rendimiento del centro de aceleración se espera la elaboración de una estrategia de expansión detallada. </w:t>
            </w:r>
          </w:p>
        </w:tc>
      </w:tr>
    </w:tbl>
    <w:p w14:paraId="2B7501AC" w14:textId="4E5D20DF" w:rsidR="005905B6" w:rsidRPr="00893422" w:rsidRDefault="005905B6" w:rsidP="00F921F5">
      <w:pPr>
        <w:pStyle w:val="Headingb"/>
        <w:rPr>
          <w:rFonts w:cstheme="minorBidi"/>
          <w:lang w:val="es-ES_tradnl"/>
        </w:rPr>
      </w:pPr>
      <w:r w:rsidRPr="00893422">
        <w:rPr>
          <w:lang w:val="es-ES_tradnl"/>
        </w:rPr>
        <w:t xml:space="preserve">Documento </w:t>
      </w:r>
      <w:hyperlink r:id="rId55" w:history="1">
        <w:r w:rsidRPr="00893422">
          <w:rPr>
            <w:rStyle w:val="Hyperlink"/>
            <w:bCs/>
            <w:lang w:val="es-ES_tradnl"/>
          </w:rPr>
          <w:t>49</w:t>
        </w:r>
      </w:hyperlink>
      <w:r w:rsidRPr="00893422">
        <w:rPr>
          <w:lang w:val="es-ES_tradnl"/>
        </w:rPr>
        <w:t xml:space="preserve"> (China (República Popular de)) </w:t>
      </w:r>
      <w:r w:rsidR="00545C24" w:rsidRPr="00545C24">
        <w:rPr>
          <w:lang w:val="es-ES_tradnl"/>
        </w:rPr>
        <w:t>–</w:t>
      </w:r>
      <w:r w:rsidRPr="00893422">
        <w:rPr>
          <w:lang w:val="es-ES_tradnl"/>
        </w:rPr>
        <w:t xml:space="preserve"> Proposals to encourage relevant organizations to actively participate in the work of the ITU-D as Sector Member (Propuestas para alentar a las organizaciones pertinentes a participar activamente en los trabajos del UIT-D como Miembros de Sector)</w:t>
      </w:r>
      <w:hyperlink r:id="rId56"/>
    </w:p>
    <w:p w14:paraId="42CDF9BA" w14:textId="65C2DCE8" w:rsidR="005905B6" w:rsidRPr="00893422" w:rsidRDefault="005905B6" w:rsidP="00F921F5">
      <w:pPr>
        <w:rPr>
          <w:rFonts w:cstheme="minorBidi"/>
          <w:lang w:val="es-ES_tradnl"/>
        </w:rPr>
      </w:pPr>
      <w:r w:rsidRPr="00893422">
        <w:rPr>
          <w:lang w:val="es-ES_tradnl"/>
        </w:rPr>
        <w:t>En esta contribución se formulan propuestas para alentar a las organizaciones pertinentes a participar activamente en los trabajos del UIT-D como Miembros de Sector. China ha promovido activamente la participación de entidades nacionales del sector de la información y la comunicación con miembros de la UIT, lo que ha contribuido positivamente a incrementar los ingresos y a una evolución innovadora de la UIT. Un total de 124 entidades chinas se han adherido a la UIT como Miembros de Sector, Asociados e Instituciones Académicas, y sus contribuciones anuales superan los 2,15 millones de francos suizos. En 2024 y 2025, varias entidades chinas han solicitado convertirse en Miembros del UIT-D.</w:t>
      </w:r>
    </w:p>
    <w:p w14:paraId="72F23107" w14:textId="77777777" w:rsidR="005905B6" w:rsidRPr="00893422" w:rsidRDefault="005905B6" w:rsidP="005905B6">
      <w:pPr>
        <w:tabs>
          <w:tab w:val="left" w:pos="567"/>
          <w:tab w:val="left" w:pos="1701"/>
        </w:tabs>
        <w:spacing w:after="120"/>
        <w:rPr>
          <w:rFonts w:cstheme="minorBidi"/>
          <w:i/>
          <w:iCs/>
          <w:lang w:val="es-ES_tradnl"/>
        </w:rPr>
      </w:pPr>
      <w:r w:rsidRPr="00893422">
        <w:rPr>
          <w:lang w:val="es-ES_tradnl"/>
        </w:rPr>
        <w:t xml:space="preserve">A fin de alentar aún más a las entidades de los Estados Miembros a adherirse al UIT-D como Miembros de Sector o Asociados y a participar activamente en las actividades de este sector, se formularon las siguientes propuestas: a) impartir formación regional en materia de creación de </w:t>
      </w:r>
      <w:r w:rsidRPr="00893422">
        <w:rPr>
          <w:lang w:val="es-ES_tradnl"/>
        </w:rPr>
        <w:lastRenderedPageBreak/>
        <w:t>capacidades a los miembros, especialmente a los miembros recién incorporados, b) alentar a la Secretaría del UIT-D a aprovechar plenamente las oportunidades que ofrecen las reuniones de alto nivel del UIT-D, las reuniones de las Comisiones de Estudio, y otros eventos importantes mediante la organización de seminarios/talleres, eventos paralelos, exposiciones y otros formatos, c) fortalecer la comunicación entre el UIT</w:t>
      </w:r>
      <w:r w:rsidRPr="00893422">
        <w:rPr>
          <w:lang w:val="es-ES_tradnl"/>
        </w:rPr>
        <w:noBreakHyphen/>
        <w:t>D y todos los tipos de Miembros, velando por que se tengan plenamente en cuenta sus intereses y necesidades, en particular los de los Miembros de Sector; d) fomentar la inclusión de más tecnologías, soluciones y prácticas idóneas digitales de los Miembros de Sector y entidades conexas en los productos de las Comisiones de Estudio para aumentar el valor práctico de estos productos.</w:t>
      </w:r>
    </w:p>
    <w:tbl>
      <w:tblPr>
        <w:tblStyle w:val="TableGrid"/>
        <w:tblW w:w="0" w:type="auto"/>
        <w:tblLayout w:type="fixed"/>
        <w:tblLook w:val="04A0" w:firstRow="1" w:lastRow="0" w:firstColumn="1" w:lastColumn="0" w:noHBand="0" w:noVBand="1"/>
      </w:tblPr>
      <w:tblGrid>
        <w:gridCol w:w="9629"/>
      </w:tblGrid>
      <w:tr w:rsidR="005905B6" w:rsidRPr="00893422" w14:paraId="2335FC91" w14:textId="77777777" w:rsidTr="00D04740">
        <w:tc>
          <w:tcPr>
            <w:tcW w:w="9629" w:type="dxa"/>
          </w:tcPr>
          <w:p w14:paraId="504FDF4A" w14:textId="77777777" w:rsidR="005905B6" w:rsidRPr="00893422" w:rsidRDefault="005905B6" w:rsidP="00545C24">
            <w:pPr>
              <w:rPr>
                <w:rFonts w:cstheme="minorBidi"/>
                <w:szCs w:val="24"/>
                <w:lang w:val="es-ES_tradnl"/>
              </w:rPr>
            </w:pPr>
            <w:r w:rsidRPr="00893422">
              <w:rPr>
                <w:lang w:val="es-ES_tradnl"/>
              </w:rPr>
              <w:t>El GADT tomó nota de esta contribución y valoró positivamente las propuestas para alentar a las organizaciones pertinentes a participar activamente en los trabajos del UIT-D como Miembros de Sector.</w:t>
            </w:r>
          </w:p>
        </w:tc>
      </w:tr>
    </w:tbl>
    <w:p w14:paraId="6927029E" w14:textId="6D4B3B8E" w:rsidR="005905B6" w:rsidRPr="00893422" w:rsidRDefault="005905B6" w:rsidP="00F921F5">
      <w:pPr>
        <w:pStyle w:val="Headingb"/>
        <w:rPr>
          <w:lang w:val="es-ES_tradnl"/>
        </w:rPr>
      </w:pPr>
      <w:r w:rsidRPr="00893422">
        <w:rPr>
          <w:lang w:val="es-ES_tradnl"/>
        </w:rPr>
        <w:t xml:space="preserve">Documento </w:t>
      </w:r>
      <w:hyperlink r:id="rId57" w:history="1">
        <w:r w:rsidRPr="00893422">
          <w:rPr>
            <w:rStyle w:val="Hyperlink"/>
            <w:bCs/>
            <w:lang w:val="es-ES_tradnl"/>
          </w:rPr>
          <w:t>50</w:t>
        </w:r>
      </w:hyperlink>
      <w:r w:rsidRPr="00893422">
        <w:rPr>
          <w:lang w:val="es-ES_tradnl"/>
        </w:rPr>
        <w:t xml:space="preserve"> (Centro de Información de Red de Internet de China) </w:t>
      </w:r>
      <w:r w:rsidR="00545C24" w:rsidRPr="00545C24">
        <w:rPr>
          <w:lang w:val="es-ES_tradnl"/>
        </w:rPr>
        <w:t>–</w:t>
      </w:r>
      <w:r w:rsidRPr="00893422">
        <w:rPr>
          <w:lang w:val="es-ES_tradnl"/>
        </w:rPr>
        <w:t xml:space="preserve"> Introduction of the new sector member and its consideration for participation in the work of ITU-D (Presentación del nuevo Miembro de Sector y consideración de su participación en los trabajos del UIT-D)</w:t>
      </w:r>
      <w:hyperlink r:id="rId58"/>
    </w:p>
    <w:p w14:paraId="189C4D3B" w14:textId="77777777" w:rsidR="005905B6" w:rsidRPr="00893422" w:rsidRDefault="005905B6" w:rsidP="005905B6">
      <w:pPr>
        <w:keepNext/>
        <w:tabs>
          <w:tab w:val="left" w:pos="567"/>
          <w:tab w:val="left" w:pos="1701"/>
        </w:tabs>
        <w:spacing w:after="120"/>
        <w:textAlignment w:val="auto"/>
        <w:rPr>
          <w:lang w:val="es-ES_tradnl"/>
        </w:rPr>
      </w:pPr>
      <w:r w:rsidRPr="00893422">
        <w:rPr>
          <w:lang w:val="es-ES_tradnl"/>
        </w:rPr>
        <w:t>En este documento se presenta al nuevo Miembro de Sector del UIT-D (abril de 2025), el Centro de Información de Red de Internet de China (CNNIC), institución de investigación científica directamente dependiente del Ministerio de Industria y Tecnología de la Información (MIIT) de China, que ejerce las funciones de Centro Nacional de Información de Red de Internet. El CNNIC se encarga de la gestión del desarrollo de los recursos básicos nacionales de Internet, del funcionamiento y la seguridad de la infraestructura nacional de Internet, de la investigación y el desarrollo de tecnologías clave de los recursos básicos de Internet, de la investigación sobre el desarrollo de Internet y de la economía digital, y de la gobernanza mundial de Internet y la cooperación internacional. En los últimos años, el CNNIC ha participado activamente en las reuniones pertinentes de la UIT y ha llevado a cabo profundos intercambios e investigaciones sobre los indicadores de las TIC. El CNNIC participará en la investigación digital del UIT</w:t>
      </w:r>
      <w:r w:rsidRPr="00893422">
        <w:rPr>
          <w:lang w:val="es-ES_tradnl"/>
        </w:rPr>
        <w:noBreakHyphen/>
        <w:t>D y en otros temas conexos y contribuirá continuamente a construir una ecología digital mundial inclusiva y mutuamente beneficiosa mediante el intercambio de experiencias, la divulgación de la tecnología y la cooperación mutuamente beneficiosa.</w:t>
      </w:r>
    </w:p>
    <w:tbl>
      <w:tblPr>
        <w:tblStyle w:val="TableGrid"/>
        <w:tblW w:w="0" w:type="auto"/>
        <w:tblLayout w:type="fixed"/>
        <w:tblLook w:val="04A0" w:firstRow="1" w:lastRow="0" w:firstColumn="1" w:lastColumn="0" w:noHBand="0" w:noVBand="1"/>
      </w:tblPr>
      <w:tblGrid>
        <w:gridCol w:w="9629"/>
      </w:tblGrid>
      <w:tr w:rsidR="005905B6" w:rsidRPr="00893422" w14:paraId="4E32FD46" w14:textId="77777777" w:rsidTr="00D04740">
        <w:tc>
          <w:tcPr>
            <w:tcW w:w="9629" w:type="dxa"/>
          </w:tcPr>
          <w:p w14:paraId="3F4B7E24" w14:textId="77777777" w:rsidR="005905B6" w:rsidRPr="00893422" w:rsidRDefault="005905B6" w:rsidP="00545C24">
            <w:pPr>
              <w:rPr>
                <w:rFonts w:ascii="Calibri" w:hAnsi="Calibri" w:cs="Calibri"/>
                <w:color w:val="000000" w:themeColor="text1"/>
                <w:szCs w:val="24"/>
                <w:lang w:val="es-ES_tradnl"/>
              </w:rPr>
            </w:pPr>
            <w:r w:rsidRPr="00893422">
              <w:rPr>
                <w:lang w:val="es-ES_tradnl"/>
              </w:rPr>
              <w:t>El GADT tomó nota de la contribución en la que se presentaba al Centro de Información de Red de Internet de China (CNNIC) como nuevo Miembro de Sector y se esbozaban sus funciones y actividades. El GADT alentó a todos los nuevos Miembros que se incorporan al UIT-D a seguir este ejemplo y a presentar a sus Miembros de Sector en las próximas reuniones del GADT.</w:t>
            </w:r>
          </w:p>
        </w:tc>
      </w:tr>
    </w:tbl>
    <w:p w14:paraId="152B4A3D" w14:textId="28D3EB06" w:rsidR="005905B6" w:rsidRPr="00893422" w:rsidRDefault="005905B6" w:rsidP="00F921F5">
      <w:pPr>
        <w:pStyle w:val="Headingb"/>
        <w:rPr>
          <w:szCs w:val="24"/>
          <w:lang w:val="es-ES_tradnl"/>
        </w:rPr>
      </w:pPr>
      <w:r w:rsidRPr="00893422">
        <w:rPr>
          <w:lang w:val="es-ES_tradnl"/>
        </w:rPr>
        <w:t xml:space="preserve">Documento </w:t>
      </w:r>
      <w:hyperlink r:id="rId59" w:history="1">
        <w:r w:rsidRPr="00893422">
          <w:rPr>
            <w:rStyle w:val="Hyperlink"/>
            <w:bCs/>
            <w:lang w:val="es-ES_tradnl"/>
          </w:rPr>
          <w:t>51</w:t>
        </w:r>
      </w:hyperlink>
      <w:r w:rsidRPr="00893422">
        <w:rPr>
          <w:lang w:val="es-ES_tradnl"/>
        </w:rPr>
        <w:t xml:space="preserve"> (China (República Popular de)) </w:t>
      </w:r>
      <w:r w:rsidR="00545C24" w:rsidRPr="00545C24">
        <w:rPr>
          <w:lang w:val="es-ES_tradnl"/>
        </w:rPr>
        <w:t>–</w:t>
      </w:r>
      <w:r w:rsidRPr="00893422">
        <w:rPr>
          <w:lang w:val="es-ES_tradnl"/>
        </w:rPr>
        <w:t xml:space="preserve"> Introduction of New Sector Member and Vision for Participating in ITU-D (Presentación del nuevo Miembro de Sector y perspectivas para participar en el UIT-D)</w:t>
      </w:r>
      <w:hyperlink r:id="rId60"/>
    </w:p>
    <w:p w14:paraId="38CBB78A" w14:textId="77777777" w:rsidR="005905B6" w:rsidRPr="00893422" w:rsidRDefault="005905B6" w:rsidP="005905B6">
      <w:pPr>
        <w:keepNext/>
        <w:tabs>
          <w:tab w:val="left" w:pos="567"/>
          <w:tab w:val="left" w:pos="1701"/>
        </w:tabs>
        <w:spacing w:after="120"/>
        <w:rPr>
          <w:lang w:val="es-ES_tradnl"/>
        </w:rPr>
      </w:pPr>
      <w:r w:rsidRPr="00893422">
        <w:rPr>
          <w:lang w:val="es-ES_tradnl"/>
        </w:rPr>
        <w:t xml:space="preserve">En esta contribución se presentó al nuevo Miembro de Sector del UIT-D (abril de 2025), el Centro de Cooperación Económica y Tecnológica Internacional (CIETC), que está directamente afiliado al Ministerio de Industria y Tecnología de la Información (MIIT) de China y se centra en dos esferas fundamentales: construir una plataforma de cooperación internacional de alto nivel y servir como grupo de reflexión especializado en el sector de la industria y la tecnología de la información. Algunas de las principales tareas del CIETC son la investigación sobre la cooperación económica, tecnológica e industrial internacional en los campos relacionados con el MIIT, la difusión de información sobre intercambios y colaboraciones internacionales, y el apoyo a iniciativas afines de </w:t>
      </w:r>
      <w:r w:rsidRPr="00893422">
        <w:rPr>
          <w:lang w:val="es-ES_tradnl"/>
        </w:rPr>
        <w:lastRenderedPageBreak/>
        <w:t>cooperación externa. El CIETC tiene la intención de profundizar la colaboración y los intercambios con otros miembros para contribuir a los Objetivos de Desarrollo Sostenible de las Naciones Unidas y a la Agenda "Conectar 2030" de la UIT, reduciendo la brecha digital y fomentando los beneficios compartidos en el desarrollo digital.</w:t>
      </w:r>
    </w:p>
    <w:tbl>
      <w:tblPr>
        <w:tblStyle w:val="TableGrid"/>
        <w:tblW w:w="0" w:type="auto"/>
        <w:tblLayout w:type="fixed"/>
        <w:tblLook w:val="04A0" w:firstRow="1" w:lastRow="0" w:firstColumn="1" w:lastColumn="0" w:noHBand="0" w:noVBand="1"/>
      </w:tblPr>
      <w:tblGrid>
        <w:gridCol w:w="9629"/>
      </w:tblGrid>
      <w:tr w:rsidR="005905B6" w:rsidRPr="00893422" w14:paraId="75C00FEA" w14:textId="77777777" w:rsidTr="00D04740">
        <w:trPr>
          <w:trHeight w:val="300"/>
        </w:trPr>
        <w:tc>
          <w:tcPr>
            <w:tcW w:w="9629" w:type="dxa"/>
          </w:tcPr>
          <w:p w14:paraId="7A4CF781" w14:textId="77777777" w:rsidR="005905B6" w:rsidRPr="00893422" w:rsidRDefault="005905B6" w:rsidP="00545C24">
            <w:pPr>
              <w:rPr>
                <w:rFonts w:ascii="Calibri" w:hAnsi="Calibri" w:cs="Calibri"/>
                <w:szCs w:val="24"/>
                <w:lang w:val="es-ES_tradnl"/>
              </w:rPr>
            </w:pPr>
            <w:r w:rsidRPr="00893422">
              <w:rPr>
                <w:lang w:val="es-ES_tradnl"/>
              </w:rPr>
              <w:t>El GADT tomó nota de la contribución en la que se presentaba al Centro de Cooperación Económica y Tecnológica Internacional (CIETC) como nuevo Miembro de Sector y se describían someramente sus funciones y actividades.</w:t>
            </w:r>
          </w:p>
        </w:tc>
      </w:tr>
    </w:tbl>
    <w:p w14:paraId="642F6E2E" w14:textId="24E3F7FD" w:rsidR="005905B6" w:rsidRPr="00893422" w:rsidRDefault="005905B6" w:rsidP="00177AE6">
      <w:pPr>
        <w:pStyle w:val="Headingb"/>
        <w:rPr>
          <w:rFonts w:cstheme="minorHAnsi"/>
          <w:szCs w:val="24"/>
          <w:lang w:val="es-ES_tradnl"/>
        </w:rPr>
      </w:pPr>
      <w:r w:rsidRPr="00893422">
        <w:rPr>
          <w:lang w:val="es-ES_tradnl"/>
        </w:rPr>
        <w:t xml:space="preserve">Documento </w:t>
      </w:r>
      <w:hyperlink r:id="rId61" w:history="1">
        <w:r w:rsidRPr="00893422">
          <w:rPr>
            <w:rStyle w:val="Hyperlink"/>
            <w:bCs/>
            <w:lang w:val="es-ES_tradnl"/>
          </w:rPr>
          <w:t>52</w:t>
        </w:r>
      </w:hyperlink>
      <w:r w:rsidRPr="00893422">
        <w:rPr>
          <w:lang w:val="es-ES_tradnl"/>
        </w:rPr>
        <w:t xml:space="preserve"> (China (República Popular de)) – The Brief Introduction of CAICT and Participation Considerations in ITU-D (Breve introducción del CAICT y consideraciones relativas a la participación en el UIT-D)</w:t>
      </w:r>
      <w:hyperlink r:id="rId62"/>
    </w:p>
    <w:p w14:paraId="0AA2C364" w14:textId="32D21527" w:rsidR="005905B6" w:rsidRPr="00893422" w:rsidRDefault="005905B6" w:rsidP="00177AE6">
      <w:pPr>
        <w:rPr>
          <w:rFonts w:cstheme="minorBidi"/>
          <w:lang w:val="es-ES_tradnl"/>
        </w:rPr>
      </w:pPr>
      <w:r w:rsidRPr="00893422">
        <w:rPr>
          <w:lang w:val="es-ES_tradnl"/>
        </w:rPr>
        <w:t>En esta contribución se presentaba al nuevo Miembro de Sector del UIT-D, la Academia de Tecnologías de la Información y las Comunicaciones de China (CAICT), un grupo de reflexión e instituto de investigación dependiente directamente del Ministerio de Industria y Tecnología de la Información (MIIT) de China. A través de una amplia gama de actividades, incluida la investigación de políticas, el desarrollo de normas, las pruebas y verificación, y las consultas industriales, la CAICT indica que está comprometida con el avance de la innovación en las TIC, la promoción de la transformación digital en toda la economía y la sociedad, especialmente en el sector industrial, y la garantía de la seguridad de las redes y los datos. Desempeña un papel activo en el desarrollo de políticas, leyes, normas y progreso industrial pertinentes en China. La CAICT ha establecido un sistema de pruebas y certificación de clase mundial y posee numerosas calificaciones internacionales. Al ser una de las instituciones de investigación más comprometidas internacionalmente en China, ha establecido asociaciones a largo plazo con grupos de reflexión, organismos de estandarización, organizaciones industriales y empresas multinacionales a nivel</w:t>
      </w:r>
      <w:r w:rsidR="00545C24">
        <w:rPr>
          <w:lang w:val="es-ES_tradnl"/>
        </w:rPr>
        <w:t> </w:t>
      </w:r>
      <w:r w:rsidRPr="00893422">
        <w:rPr>
          <w:lang w:val="es-ES_tradnl"/>
        </w:rPr>
        <w:t>mundial.</w:t>
      </w:r>
    </w:p>
    <w:p w14:paraId="212E7D4A" w14:textId="77777777" w:rsidR="005905B6" w:rsidRPr="00893422" w:rsidRDefault="005905B6" w:rsidP="005905B6">
      <w:pPr>
        <w:keepNext/>
        <w:tabs>
          <w:tab w:val="left" w:pos="567"/>
          <w:tab w:val="left" w:pos="1701"/>
        </w:tabs>
        <w:spacing w:after="120"/>
        <w:rPr>
          <w:rFonts w:cstheme="minorBidi"/>
          <w:lang w:val="es-ES_tradnl"/>
        </w:rPr>
      </w:pPr>
      <w:r w:rsidRPr="00893422">
        <w:rPr>
          <w:lang w:val="es-ES_tradnl"/>
        </w:rPr>
        <w:t>Durante muchos años, la CAICT ha participado activamente en los trabajos del UIT-D. Actúa como Centro de Formación de la Academia de la UIT y como Centro de Aceleración de la Alianza sobre Innovación e Iniciativa Empresarial en aras del Desarrollo Digital de la UIT. Su objetivo en el futuro es seguir profundizando la colaboración con el UIT-D en ámbitos como la capacitación, la innovación y el emprendimiento, la transformación digital y el desarrollo de tecnologías emergentes, y contribuyendo activamente al cumplimiento del mandato del UIT-D y a la consecución de los Objetivos de Desarrollo Sostenible de las Naciones Unidas.</w:t>
      </w:r>
    </w:p>
    <w:tbl>
      <w:tblPr>
        <w:tblStyle w:val="TableGrid"/>
        <w:tblW w:w="0" w:type="auto"/>
        <w:tblLayout w:type="fixed"/>
        <w:tblLook w:val="04A0" w:firstRow="1" w:lastRow="0" w:firstColumn="1" w:lastColumn="0" w:noHBand="0" w:noVBand="1"/>
      </w:tblPr>
      <w:tblGrid>
        <w:gridCol w:w="9629"/>
      </w:tblGrid>
      <w:tr w:rsidR="005905B6" w:rsidRPr="00893422" w14:paraId="21A5F281" w14:textId="77777777" w:rsidTr="00D04740">
        <w:tc>
          <w:tcPr>
            <w:tcW w:w="9629" w:type="dxa"/>
          </w:tcPr>
          <w:p w14:paraId="0F894EEF" w14:textId="77777777" w:rsidR="005905B6" w:rsidRPr="00893422" w:rsidRDefault="005905B6" w:rsidP="00177AE6">
            <w:pPr>
              <w:rPr>
                <w:rFonts w:ascii="Calibri" w:hAnsi="Calibri" w:cs="Calibri"/>
                <w:szCs w:val="24"/>
                <w:lang w:val="es-ES_tradnl"/>
              </w:rPr>
            </w:pPr>
            <w:r w:rsidRPr="00893422">
              <w:rPr>
                <w:lang w:val="es-ES_tradnl"/>
              </w:rPr>
              <w:t>El GADT tomó nota de la contribución, que valoró positivamente, en la que se presentaba a la Academia de Tecnologías de la Información y las Comunicaciones de China (CAICT) como nuevo Miembro de Sector y describió someramente sus funciones y actividades.</w:t>
            </w:r>
          </w:p>
        </w:tc>
      </w:tr>
    </w:tbl>
    <w:p w14:paraId="765503DF" w14:textId="4E6F4E22" w:rsidR="005905B6" w:rsidRPr="00893422" w:rsidRDefault="00177AE6" w:rsidP="00177AE6">
      <w:pPr>
        <w:pStyle w:val="Heading20"/>
        <w:rPr>
          <w:rFonts w:cstheme="minorHAnsi"/>
          <w:szCs w:val="24"/>
        </w:rPr>
      </w:pPr>
      <w:r w:rsidRPr="00893422">
        <w:t>6.</w:t>
      </w:r>
      <w:r w:rsidR="00545C24">
        <w:t>6</w:t>
      </w:r>
      <w:r w:rsidRPr="00893422">
        <w:tab/>
      </w:r>
      <w:r w:rsidR="005905B6" w:rsidRPr="00893422">
        <w:t>Informe del Presidente del Grupo sobre Iniciativas de Capacitación (GIC)</w:t>
      </w:r>
    </w:p>
    <w:p w14:paraId="36826704" w14:textId="1F155E39" w:rsidR="005905B6" w:rsidRPr="00893422" w:rsidRDefault="005905B6" w:rsidP="00177AE6">
      <w:pPr>
        <w:pStyle w:val="Headingb"/>
        <w:rPr>
          <w:szCs w:val="24"/>
          <w:lang w:val="es-ES_tradnl"/>
        </w:rPr>
      </w:pPr>
      <w:r w:rsidRPr="00893422">
        <w:rPr>
          <w:lang w:val="es-ES_tradnl"/>
        </w:rPr>
        <w:t xml:space="preserve">Documento </w:t>
      </w:r>
      <w:hyperlink r:id="rId63" w:history="1">
        <w:r w:rsidRPr="00893422">
          <w:rPr>
            <w:rStyle w:val="Hyperlink"/>
            <w:bCs/>
            <w:lang w:val="es-ES_tradnl"/>
          </w:rPr>
          <w:t>11</w:t>
        </w:r>
      </w:hyperlink>
      <w:r w:rsidRPr="00893422">
        <w:rPr>
          <w:lang w:val="es-ES_tradnl"/>
        </w:rPr>
        <w:t xml:space="preserve"> (Presidente del GIC) </w:t>
      </w:r>
      <w:r w:rsidR="00177AE6" w:rsidRPr="00893422">
        <w:rPr>
          <w:lang w:val="es-ES_tradnl"/>
        </w:rPr>
        <w:t>–</w:t>
      </w:r>
      <w:r w:rsidRPr="00893422">
        <w:rPr>
          <w:lang w:val="es-ES_tradnl"/>
        </w:rPr>
        <w:t xml:space="preserve"> Informe sobre los trabajos del Grupo sobre Iniciativas de Capacitación (GIC) al GADT</w:t>
      </w:r>
      <w:hyperlink r:id="rId64"/>
    </w:p>
    <w:p w14:paraId="43B6D899" w14:textId="66D89270" w:rsidR="005905B6" w:rsidRPr="00893422" w:rsidRDefault="005905B6" w:rsidP="005905B6">
      <w:pPr>
        <w:tabs>
          <w:tab w:val="left" w:pos="567"/>
          <w:tab w:val="left" w:pos="1701"/>
        </w:tabs>
        <w:spacing w:after="120"/>
        <w:rPr>
          <w:rFonts w:cstheme="minorBidi"/>
          <w:b/>
          <w:bCs/>
          <w:lang w:val="es-ES_tradnl"/>
        </w:rPr>
      </w:pPr>
      <w:r w:rsidRPr="00893422">
        <w:rPr>
          <w:lang w:val="es-ES_tradnl"/>
        </w:rPr>
        <w:t xml:space="preserve">El Presidente del GIC presentó el informe del Grupo y destacó las principales actividades realizadas durante el año pasado. El Grupo fue creado en virtud de la Resolución 40, adoptada por la Conferencia Mundial de Desarrollo de las Telecomunicaciones de 2010 (CMDT-10) y revisada por la CMDT-22, con objeto de prestar asesoramiento al Director de la Oficina de Desarrollo de las Telecomunicaciones (BDT) sobre cuestiones relacionadas con la capacitación. A lo largo del año, los miembros del GIC participaron activamente y fueron consultados en el proceso de revisión del </w:t>
      </w:r>
      <w:r w:rsidRPr="00893422">
        <w:rPr>
          <w:lang w:val="es-ES_tradnl"/>
        </w:rPr>
        <w:lastRenderedPageBreak/>
        <w:t>conjunto de herramientas de aptitudes digitales de la UIT, proporcionando valiosas contribuciones sobre su estructura y contenido. El Grupo también contribuyó al cuestionario de la BDT sobre evaluación de las necesidades de formación (TNA), ofreciendo información destinada a conocer las prioridades de capacitación de los Estados Miembros. Además, los miembros llevaron a cabo una investigación documental para recopilar información sobre las estrategias nacionales de competencias digitales en sus Regiones. Durante la última reunión anual celebrada en abril de</w:t>
      </w:r>
      <w:r w:rsidR="00545C24">
        <w:rPr>
          <w:lang w:val="es-ES_tradnl"/>
        </w:rPr>
        <w:t> </w:t>
      </w:r>
      <w:r w:rsidRPr="00893422">
        <w:rPr>
          <w:lang w:val="es-ES_tradnl"/>
        </w:rPr>
        <w:t>2025, el Grupo examinó los resultados de estas actividades y compartió aportaciones sobre la elaboración de un nuevo curso de formación para los delegados del UIT-D. El Grupo reiteró su apoyo firme a los esfuerzos de capacitación dirigidos por la BDT. Los miembros del GADT expresaron su agradecimiento por el liderazgo de la Presidenta y la labor del Grupo. Los Estados Miembros destacaron la importancia de las actividades de capacitación de la BDT y agradecieron la labor de la Academia de la UIT. Acogieron con beneplácito la iniciativa de desarrollar la capacitación de los delegados para que comprendieran y participasen en las actividades y eventos del UIT-D (por ejemplo, la CMDT-25). También se propuso explorar sinergias y oportunidades de colaboración entre el GIC y la Comisión de Estudio 2, especialmente con la Cuestión 5/2, que se centraba en las competencias digitales. La Secretaría acogió con satisfacción las propuestas, que se tomarían en consideración en coordinación con el GIC, las Comisiones de Estudio del UIT-D, las</w:t>
      </w:r>
      <w:r w:rsidR="00545C24">
        <w:rPr>
          <w:lang w:val="es-ES_tradnl"/>
        </w:rPr>
        <w:t> </w:t>
      </w:r>
      <w:r w:rsidRPr="00893422">
        <w:rPr>
          <w:lang w:val="es-ES_tradnl"/>
        </w:rPr>
        <w:t>ORT y las Oficinas Regionales de la UIT.</w:t>
      </w:r>
    </w:p>
    <w:tbl>
      <w:tblPr>
        <w:tblStyle w:val="TableGrid"/>
        <w:tblW w:w="0" w:type="auto"/>
        <w:tblLayout w:type="fixed"/>
        <w:tblLook w:val="04A0" w:firstRow="1" w:lastRow="0" w:firstColumn="1" w:lastColumn="0" w:noHBand="0" w:noVBand="1"/>
      </w:tblPr>
      <w:tblGrid>
        <w:gridCol w:w="9629"/>
      </w:tblGrid>
      <w:tr w:rsidR="005905B6" w:rsidRPr="00893422" w14:paraId="16940513" w14:textId="77777777" w:rsidTr="00D04740">
        <w:tc>
          <w:tcPr>
            <w:tcW w:w="9629" w:type="dxa"/>
          </w:tcPr>
          <w:p w14:paraId="58A03EBF" w14:textId="77777777" w:rsidR="005905B6" w:rsidRPr="00893422" w:rsidRDefault="005905B6" w:rsidP="00D04740">
            <w:pPr>
              <w:widowControl w:val="0"/>
              <w:spacing w:after="120"/>
              <w:rPr>
                <w:lang w:val="es-ES_tradnl"/>
              </w:rPr>
            </w:pPr>
            <w:r w:rsidRPr="00893422">
              <w:rPr>
                <w:color w:val="000000"/>
                <w:lang w:val="es-ES_tradnl"/>
              </w:rPr>
              <w:t>El GADT tomó nota de la contribución con satisfacción.</w:t>
            </w:r>
          </w:p>
        </w:tc>
      </w:tr>
    </w:tbl>
    <w:p w14:paraId="47935BA8" w14:textId="213074A8" w:rsidR="005905B6" w:rsidRPr="00893422" w:rsidRDefault="00177AE6" w:rsidP="00177AE6">
      <w:pPr>
        <w:pStyle w:val="Heading1"/>
        <w:rPr>
          <w:rFonts w:cstheme="minorHAnsi"/>
          <w:szCs w:val="24"/>
          <w:lang w:val="es-ES_tradnl"/>
        </w:rPr>
      </w:pPr>
      <w:r w:rsidRPr="00893422">
        <w:rPr>
          <w:lang w:val="es-ES_tradnl"/>
        </w:rPr>
        <w:t>7</w:t>
      </w:r>
      <w:r w:rsidRPr="00893422">
        <w:rPr>
          <w:lang w:val="es-ES_tradnl"/>
        </w:rPr>
        <w:tab/>
      </w:r>
      <w:r w:rsidR="005905B6" w:rsidRPr="00893422">
        <w:rPr>
          <w:lang w:val="es-ES_tradnl"/>
        </w:rPr>
        <w:t>Preparativos para la CMDT-25</w:t>
      </w:r>
    </w:p>
    <w:p w14:paraId="7B3006E2" w14:textId="0751AF23" w:rsidR="005905B6" w:rsidRPr="00893422" w:rsidRDefault="00177AE6" w:rsidP="00177AE6">
      <w:pPr>
        <w:pStyle w:val="Heading2"/>
        <w:rPr>
          <w:rFonts w:cstheme="minorHAnsi"/>
          <w:szCs w:val="24"/>
          <w:lang w:val="es-ES_tradnl"/>
        </w:rPr>
      </w:pPr>
      <w:r w:rsidRPr="00893422">
        <w:rPr>
          <w:lang w:val="es-ES_tradnl"/>
        </w:rPr>
        <w:t>7.1</w:t>
      </w:r>
      <w:r w:rsidRPr="00893422">
        <w:rPr>
          <w:lang w:val="es-ES_tradnl"/>
        </w:rPr>
        <w:tab/>
      </w:r>
      <w:r w:rsidR="005905B6" w:rsidRPr="00893422">
        <w:rPr>
          <w:lang w:val="es-ES_tradnl"/>
        </w:rPr>
        <w:t>Actualización de los preparativos para la CMDT-25</w:t>
      </w:r>
    </w:p>
    <w:p w14:paraId="7C84F78C" w14:textId="7DE37B23" w:rsidR="005905B6" w:rsidRPr="00893422" w:rsidRDefault="005905B6" w:rsidP="00177AE6">
      <w:pPr>
        <w:pStyle w:val="Headingb"/>
        <w:rPr>
          <w:rFonts w:cstheme="minorBidi"/>
          <w:lang w:val="es-ES_tradnl"/>
        </w:rPr>
      </w:pPr>
      <w:r w:rsidRPr="00893422">
        <w:rPr>
          <w:lang w:val="es-ES_tradnl"/>
        </w:rPr>
        <w:t xml:space="preserve">Documento </w:t>
      </w:r>
      <w:hyperlink r:id="rId65" w:history="1">
        <w:r w:rsidRPr="00893422">
          <w:rPr>
            <w:rStyle w:val="Hyperlink"/>
            <w:bCs/>
            <w:lang w:val="es-ES_tradnl"/>
          </w:rPr>
          <w:t>12(Rev.3) (Anexos 1 y 2)</w:t>
        </w:r>
      </w:hyperlink>
      <w:r w:rsidRPr="00893422">
        <w:rPr>
          <w:lang w:val="es-ES_tradnl"/>
        </w:rPr>
        <w:t xml:space="preserve"> (Director de la BDT) </w:t>
      </w:r>
      <w:r w:rsidR="00545C24" w:rsidRPr="00545C24">
        <w:rPr>
          <w:lang w:val="es-ES_tradnl"/>
        </w:rPr>
        <w:t>–</w:t>
      </w:r>
      <w:r w:rsidRPr="00893422">
        <w:rPr>
          <w:lang w:val="es-ES_tradnl"/>
        </w:rPr>
        <w:t xml:space="preserve"> Preparativos para la Conferencia Mundial de Desarrollo de las Telecomunicaciones</w:t>
      </w:r>
      <w:hyperlink r:id="rId66"/>
    </w:p>
    <w:p w14:paraId="1419A1FC" w14:textId="09C17D21" w:rsidR="005905B6" w:rsidRPr="00893422" w:rsidRDefault="005905B6" w:rsidP="00177AE6">
      <w:pPr>
        <w:rPr>
          <w:lang w:val="es-ES_tradnl"/>
        </w:rPr>
      </w:pPr>
      <w:r w:rsidRPr="00893422">
        <w:rPr>
          <w:lang w:val="es-ES_tradnl"/>
        </w:rPr>
        <w:t>En el Documento 12</w:t>
      </w:r>
      <w:r w:rsidR="00960F42">
        <w:rPr>
          <w:lang w:val="es-ES_tradnl"/>
        </w:rPr>
        <w:t>(</w:t>
      </w:r>
      <w:r w:rsidRPr="00893422">
        <w:rPr>
          <w:lang w:val="es-ES_tradnl"/>
        </w:rPr>
        <w:t>Rev.3</w:t>
      </w:r>
      <w:r w:rsidR="00960F42">
        <w:rPr>
          <w:lang w:val="es-ES_tradnl"/>
        </w:rPr>
        <w:t>)</w:t>
      </w:r>
      <w:r w:rsidRPr="00893422">
        <w:rPr>
          <w:lang w:val="es-ES_tradnl"/>
        </w:rPr>
        <w:t xml:space="preserve"> se describen los preparativos para la Conferencia Mundial de Desarrollo de las Telecomunicaciones (CMDT-25). En la presentación se detallaron las disposiciones logísticas y organizativas y se confirmó que la CMDT se celebraría en Bakú (Azerbaiyán) del 17 al 28 de noviembre de 2025. También se describió de forma general el lugar de celebración, los procesos de inscripción, la facilitación de visados, el alojamiento y los eventos paralelos.</w:t>
      </w:r>
    </w:p>
    <w:p w14:paraId="3667F838" w14:textId="1AF7FB08" w:rsidR="005905B6" w:rsidRPr="00893422" w:rsidRDefault="005905B6" w:rsidP="00177AE6">
      <w:pPr>
        <w:rPr>
          <w:lang w:val="es-ES_tradnl"/>
        </w:rPr>
      </w:pPr>
      <w:r w:rsidRPr="00893422">
        <w:rPr>
          <w:lang w:val="es-ES_tradnl"/>
        </w:rPr>
        <w:t>Por otra parte, la Secretaría de la BDT informó al GADT sobre los planes propuestos para celebrar dos reuniones interregionales (RIR) antes de la CMDT-25: la RIR-1 prevista para los días 14 y 15 de julio de 2025 (virtual) y la RIR-2 prevista para los días 29 y 30 de septiembre de 2025 (virtual).</w:t>
      </w:r>
    </w:p>
    <w:p w14:paraId="4DAA549C" w14:textId="77777777" w:rsidR="005905B6" w:rsidRPr="00893422" w:rsidRDefault="005905B6" w:rsidP="00177AE6">
      <w:pPr>
        <w:rPr>
          <w:lang w:val="es-ES_tradnl"/>
        </w:rPr>
      </w:pPr>
      <w:r w:rsidRPr="00893422">
        <w:rPr>
          <w:lang w:val="es-ES_tradnl"/>
        </w:rPr>
        <w:t>Durante el debate, varias delegaciones expresaron su agradecimiento por la claridad de los preparativos y solicitaron que se comunicaran actualizaciones periódicas a través de los canales oficiales.</w:t>
      </w:r>
    </w:p>
    <w:p w14:paraId="1A7CBD77" w14:textId="7112EC88" w:rsidR="005905B6" w:rsidRPr="00893422" w:rsidRDefault="005905B6" w:rsidP="00177AE6">
      <w:pPr>
        <w:rPr>
          <w:rFonts w:ascii="Calibri" w:eastAsia="Calibri" w:hAnsi="Calibri" w:cs="Calibri"/>
          <w:szCs w:val="24"/>
          <w:lang w:val="es-ES_tradnl"/>
        </w:rPr>
      </w:pPr>
      <w:r w:rsidRPr="00893422">
        <w:rPr>
          <w:lang w:val="es-ES_tradnl"/>
        </w:rPr>
        <w:t xml:space="preserve">Tras la presentación, el país anfitrión, Azerbaiyán, hizo su propia presentación. A través de videoconferencia, el representante de Azerbaiyán hizo hincapié en el compromiso del país de celebrar un evento exitoso e inclusivo. Ofreció una visión general de las cuestionas logísticas, incluida la facilitación de visados electrónicos a través de plataformas especiales, la amplia disponibilidad hotelera (con más de 11 000 habitaciones reservadas), los servicios de transporte desde el aeropuerto y el transporte público sin interrupciones. También indicó que se ofrecerían </w:t>
      </w:r>
      <w:r w:rsidRPr="00893422">
        <w:rPr>
          <w:lang w:val="es-ES_tradnl"/>
        </w:rPr>
        <w:lastRenderedPageBreak/>
        <w:t>descuentos en las tarifas de alojamiento y de otros servicios a través del sitio web dedicado a la</w:t>
      </w:r>
      <w:r w:rsidR="00545C24">
        <w:rPr>
          <w:lang w:val="es-ES_tradnl"/>
        </w:rPr>
        <w:t> </w:t>
      </w:r>
      <w:r w:rsidRPr="00893422">
        <w:rPr>
          <w:lang w:val="es-ES_tradnl"/>
        </w:rPr>
        <w:t>CMDT.</w:t>
      </w:r>
    </w:p>
    <w:p w14:paraId="3E7D3B13" w14:textId="77777777" w:rsidR="005905B6" w:rsidRPr="00893422" w:rsidRDefault="005905B6" w:rsidP="005905B6">
      <w:pPr>
        <w:spacing w:after="120"/>
        <w:rPr>
          <w:lang w:val="es-ES_tradnl"/>
        </w:rPr>
      </w:pPr>
      <w:r w:rsidRPr="00893422">
        <w:rPr>
          <w:lang w:val="es-ES_tradnl"/>
        </w:rPr>
        <w:t>Para concluir la presentación, Azerbaiyán proyectó un vídeo promocional sobre la ciudad de Bakú, su hospitalidad, cultura, infraestructura y disposición para recibir a los delegados. El vídeo tuvo una buena acogida y contribuyó al tono positivo del debate. Las delegaciones expresaron su agradecimiento por los preparativos del país anfitrión.</w:t>
      </w:r>
    </w:p>
    <w:tbl>
      <w:tblPr>
        <w:tblStyle w:val="TableGrid"/>
        <w:tblW w:w="0" w:type="auto"/>
        <w:tblLayout w:type="fixed"/>
        <w:tblLook w:val="04A0" w:firstRow="1" w:lastRow="0" w:firstColumn="1" w:lastColumn="0" w:noHBand="0" w:noVBand="1"/>
      </w:tblPr>
      <w:tblGrid>
        <w:gridCol w:w="9629"/>
      </w:tblGrid>
      <w:tr w:rsidR="005905B6" w:rsidRPr="00893422" w14:paraId="4B3FE952" w14:textId="77777777" w:rsidTr="00D04740">
        <w:tc>
          <w:tcPr>
            <w:tcW w:w="9629" w:type="dxa"/>
          </w:tcPr>
          <w:p w14:paraId="65500E42" w14:textId="77777777" w:rsidR="005905B6" w:rsidRPr="00893422" w:rsidRDefault="005905B6" w:rsidP="00D04740">
            <w:pPr>
              <w:widowControl w:val="0"/>
              <w:spacing w:after="120"/>
              <w:rPr>
                <w:rFonts w:ascii="Calibri" w:hAnsi="Calibri" w:cs="Calibri"/>
                <w:lang w:val="es-ES_tradnl"/>
              </w:rPr>
            </w:pPr>
            <w:r w:rsidRPr="00893422">
              <w:rPr>
                <w:color w:val="000000"/>
                <w:lang w:val="es-ES_tradnl"/>
              </w:rPr>
              <w:t>El GADT acogió positivamente el informe y refrendó la celebración de las dos reuniones interregionales (RIR): la RIR</w:t>
            </w:r>
            <w:r w:rsidRPr="00893422">
              <w:rPr>
                <w:color w:val="000000"/>
                <w:lang w:val="es-ES_tradnl"/>
              </w:rPr>
              <w:noBreakHyphen/>
              <w:t>1 prevista para los días 14 y 15 de julio de 2025 (virtual) y la RIR</w:t>
            </w:r>
            <w:r w:rsidRPr="00893422">
              <w:rPr>
                <w:color w:val="000000"/>
                <w:lang w:val="es-ES_tradnl"/>
              </w:rPr>
              <w:noBreakHyphen/>
              <w:t xml:space="preserve">2 prevista para los días 29 y 30 de septiembre de 2025 (virtual). La información y el </w:t>
            </w:r>
            <w:hyperlink r:id="rId67" w:history="1">
              <w:r w:rsidRPr="00893422">
                <w:rPr>
                  <w:rStyle w:val="Hyperlink"/>
                  <w:lang w:val="es-ES_tradnl"/>
                </w:rPr>
                <w:t>vídeo</w:t>
              </w:r>
            </w:hyperlink>
            <w:r w:rsidRPr="00893422">
              <w:rPr>
                <w:color w:val="000000"/>
                <w:lang w:val="es-ES_tradnl"/>
              </w:rPr>
              <w:t xml:space="preserve"> de bienvenida sobre los preparativos de la CMDT-25 presentados por Azerbaiyán recibieron una buena acogida por el GADT.</w:t>
            </w:r>
            <w:hyperlink r:id="rId68" w:history="1"/>
          </w:p>
        </w:tc>
      </w:tr>
    </w:tbl>
    <w:p w14:paraId="6DE6C57B" w14:textId="3D009E41" w:rsidR="005905B6" w:rsidRPr="00893422" w:rsidRDefault="005905B6" w:rsidP="00B15CAE">
      <w:pPr>
        <w:pStyle w:val="Headingb"/>
        <w:rPr>
          <w:rFonts w:cstheme="minorHAnsi"/>
          <w:szCs w:val="24"/>
          <w:lang w:val="es-ES_tradnl"/>
        </w:rPr>
      </w:pPr>
      <w:r w:rsidRPr="00893422">
        <w:rPr>
          <w:lang w:val="es-ES_tradnl"/>
        </w:rPr>
        <w:t xml:space="preserve">Documento </w:t>
      </w:r>
      <w:hyperlink r:id="rId69" w:history="1">
        <w:r w:rsidRPr="00893422">
          <w:rPr>
            <w:rStyle w:val="Hyperlink"/>
            <w:bCs/>
            <w:lang w:val="es-ES_tradnl"/>
          </w:rPr>
          <w:t>13</w:t>
        </w:r>
      </w:hyperlink>
      <w:r w:rsidRPr="00893422">
        <w:rPr>
          <w:lang w:val="es-ES_tradnl"/>
        </w:rPr>
        <w:t xml:space="preserve"> (Secretaría General) </w:t>
      </w:r>
      <w:r w:rsidR="00B15CAE" w:rsidRPr="00893422">
        <w:rPr>
          <w:lang w:val="es-ES_tradnl"/>
        </w:rPr>
        <w:t>–</w:t>
      </w:r>
      <w:r w:rsidRPr="00893422">
        <w:rPr>
          <w:lang w:val="es-ES_tradnl"/>
        </w:rPr>
        <w:t xml:space="preserve"> Proyecto de orden del día de la Conferencia Mundial de Desarrollo de las Telecomunicaciones (CMDT)</w:t>
      </w:r>
      <w:hyperlink r:id="rId70"/>
    </w:p>
    <w:p w14:paraId="4932DF97" w14:textId="77777777" w:rsidR="005905B6" w:rsidRPr="00893422" w:rsidRDefault="005905B6" w:rsidP="00B15CAE">
      <w:pPr>
        <w:rPr>
          <w:lang w:val="es-ES_tradnl"/>
        </w:rPr>
      </w:pPr>
      <w:r w:rsidRPr="00893422">
        <w:rPr>
          <w:lang w:val="es-ES_tradnl"/>
        </w:rPr>
        <w:t>El Documento 13, un proyecto de orden del día de la Conferencia Mundial de Desarrollo de las Telecomunicaciones 2025, fue presentado por la Secretaría de la BDT. El orden del día había sido aprobado por el Consejo de la UIT de conformidad con la Resolución 77 y en él se describía en líneas generales la estructura y el alcance de la CMDT-25, que se celebraría del 17 al 28 de noviembre de 2025 en Bakú (Azerbaiyán). En la presentación se destacaba que el orden del día estaba diseñado para garantizar el uso eficiente del tiempo y la cobertura de todos los temas clave, incluida la planificación estratégica, las Iniciativas Regionales y los asuntos administrativos.</w:t>
      </w:r>
    </w:p>
    <w:p w14:paraId="3FB890E0" w14:textId="77777777" w:rsidR="005905B6" w:rsidRPr="00893422" w:rsidRDefault="005905B6" w:rsidP="005905B6">
      <w:pPr>
        <w:spacing w:after="120"/>
        <w:rPr>
          <w:lang w:val="es-ES_tradnl"/>
        </w:rPr>
      </w:pPr>
      <w:r w:rsidRPr="00893422">
        <w:rPr>
          <w:lang w:val="es-ES_tradnl"/>
        </w:rPr>
        <w:t>Durante el debate, hubo un apoyo general al orden del día propuesto. Un delegado propuso que se añadiera la referencia "CMDT" a la "Resolución 24 Rev. Dubái" para evitar confusiones con resoluciones de números similares de otros Sectores de la UIT. Ninguna otra delegación formuló comentarios ni objeciones, y se tomó nota del orden del día sin más modificaciones.</w:t>
      </w:r>
    </w:p>
    <w:tbl>
      <w:tblPr>
        <w:tblStyle w:val="TableGrid"/>
        <w:tblW w:w="0" w:type="auto"/>
        <w:tblLayout w:type="fixed"/>
        <w:tblLook w:val="04A0" w:firstRow="1" w:lastRow="0" w:firstColumn="1" w:lastColumn="0" w:noHBand="0" w:noVBand="1"/>
      </w:tblPr>
      <w:tblGrid>
        <w:gridCol w:w="9629"/>
      </w:tblGrid>
      <w:tr w:rsidR="005905B6" w:rsidRPr="00893422" w14:paraId="1AB38BA5" w14:textId="77777777" w:rsidTr="00D04740">
        <w:tc>
          <w:tcPr>
            <w:tcW w:w="9629" w:type="dxa"/>
          </w:tcPr>
          <w:p w14:paraId="269AC63B" w14:textId="77777777" w:rsidR="005905B6" w:rsidRPr="00893422" w:rsidRDefault="005905B6" w:rsidP="00D04740">
            <w:pPr>
              <w:widowControl w:val="0"/>
              <w:spacing w:after="120"/>
              <w:rPr>
                <w:rStyle w:val="Hyperlink"/>
                <w:rFonts w:cstheme="minorBidi"/>
                <w:color w:val="auto"/>
                <w:u w:val="none"/>
                <w:lang w:val="es-ES_tradnl"/>
              </w:rPr>
            </w:pPr>
            <w:r w:rsidRPr="00893422">
              <w:rPr>
                <w:color w:val="000000"/>
                <w:lang w:val="es-ES_tradnl"/>
              </w:rPr>
              <w:t>El GADT tomó nota con satisfacción del informe y la Secretaría de la BDT indicó que introduciría el cambio propuesto para incluir "CMDT" entre los paréntesis del punto 11 a) del orden del día.</w:t>
            </w:r>
          </w:p>
        </w:tc>
      </w:tr>
    </w:tbl>
    <w:p w14:paraId="7500F3FB" w14:textId="68ECB616" w:rsidR="005905B6" w:rsidRPr="00893422" w:rsidRDefault="005905B6" w:rsidP="00B15CAE">
      <w:pPr>
        <w:pStyle w:val="Headingb"/>
        <w:rPr>
          <w:rFonts w:cstheme="minorHAnsi"/>
          <w:szCs w:val="24"/>
          <w:lang w:val="es-ES_tradnl"/>
        </w:rPr>
      </w:pPr>
      <w:r w:rsidRPr="00893422">
        <w:rPr>
          <w:lang w:val="es-ES_tradnl"/>
        </w:rPr>
        <w:t xml:space="preserve">Documento </w:t>
      </w:r>
      <w:hyperlink r:id="rId71" w:history="1">
        <w:r w:rsidRPr="00893422">
          <w:rPr>
            <w:rStyle w:val="Hyperlink"/>
            <w:bCs/>
            <w:lang w:val="es-ES_tradnl"/>
          </w:rPr>
          <w:t>14</w:t>
        </w:r>
      </w:hyperlink>
      <w:r w:rsidRPr="00893422">
        <w:rPr>
          <w:lang w:val="es-ES_tradnl"/>
        </w:rPr>
        <w:t xml:space="preserve"> (Director de la BDT) </w:t>
      </w:r>
      <w:r w:rsidR="00B15CAE" w:rsidRPr="00893422">
        <w:rPr>
          <w:lang w:val="es-ES_tradnl"/>
        </w:rPr>
        <w:t>–</w:t>
      </w:r>
      <w:r w:rsidRPr="00893422">
        <w:rPr>
          <w:lang w:val="es-ES_tradnl"/>
        </w:rPr>
        <w:t xml:space="preserve"> Informe sobre la organización de la Celebración de la Juventud en la configuración del futuro del desarrollo digital: Escuchar las voces del mañana en el preludio de la Conferencia Mundial de Desarrollo de las Telecomunicaciones de 2025 (CMDT</w:t>
      </w:r>
      <w:r w:rsidR="00B15CAE" w:rsidRPr="00893422">
        <w:rPr>
          <w:lang w:val="es-ES_tradnl"/>
        </w:rPr>
        <w:noBreakHyphen/>
      </w:r>
      <w:r w:rsidRPr="00893422">
        <w:rPr>
          <w:lang w:val="es-ES_tradnl"/>
        </w:rPr>
        <w:t>25)</w:t>
      </w:r>
      <w:hyperlink r:id="rId72"/>
    </w:p>
    <w:p w14:paraId="409CE97B" w14:textId="62BA8474" w:rsidR="005905B6" w:rsidRPr="00893422" w:rsidRDefault="005905B6" w:rsidP="00B15CAE">
      <w:pPr>
        <w:rPr>
          <w:lang w:val="es-ES_tradnl"/>
        </w:rPr>
      </w:pPr>
      <w:r w:rsidRPr="00893422">
        <w:rPr>
          <w:lang w:val="es-ES_tradnl"/>
        </w:rPr>
        <w:t xml:space="preserve">En el informe se describen los esfuerzos en curso para organizar la Celebración de la Juventud en la configuración del futuro del desarrollo digital en el </w:t>
      </w:r>
      <w:r w:rsidR="00960F42">
        <w:rPr>
          <w:lang w:val="es-ES_tradnl"/>
        </w:rPr>
        <w:t>periodo</w:t>
      </w:r>
      <w:r w:rsidRPr="00893422">
        <w:rPr>
          <w:lang w:val="es-ES_tradnl"/>
        </w:rPr>
        <w:t xml:space="preserve"> previo a la CMDT-25. Se subrayó que la celebración tenía por objeto destacar el papel clave de la juventud en la configuración de la agenda de desarrollo digital e inspirar a los miembros de la UIT a integrar las perspectivas de la juventud en los debates centrales de la Conferencia. Con el apoyo de Azerbaiyán y sus asociados, la celebración contaría con diversas actividades, como visitas a sitios de tecnología avanzada, debates interactivos con actores tecnológicos clave y referentes de conducta, y diálogos intergeneracionales con responsables de la elaboración de políticas y de la toma de decisiones. Aunque no se elaboraría ningún documento final oficial, la celebración tendría como objetivo dinamizar la conferencia con las perspectivas de los jóvenes. En el documento también se pedía a los miembros de la UIT que apoyasen la participación de los Enviados de la Juventud de </w:t>
      </w:r>
      <w:r w:rsidRPr="00893422">
        <w:rPr>
          <w:lang w:val="es-ES_tradnl"/>
        </w:rPr>
        <w:lastRenderedPageBreak/>
        <w:t>Generation Connect, en particular los procedentes de los PMA, los PDSL y los PEID, para garantizar una representación diversa de los jóvenes en la celebración.</w:t>
      </w:r>
    </w:p>
    <w:p w14:paraId="5EB5F2EA" w14:textId="77777777" w:rsidR="005905B6" w:rsidRPr="00893422" w:rsidRDefault="005905B6" w:rsidP="003D4648">
      <w:pPr>
        <w:keepNext/>
        <w:keepLines/>
        <w:widowControl w:val="0"/>
        <w:spacing w:after="120"/>
        <w:rPr>
          <w:lang w:val="es-ES_tradnl"/>
        </w:rPr>
      </w:pPr>
      <w:r w:rsidRPr="00893422">
        <w:rPr>
          <w:lang w:val="es-ES_tradnl"/>
        </w:rPr>
        <w:t>Tras la presentación, un Estado Miembro expresó su apoyo a que los jóvenes participasen en la CMDT y solicitó más información sobre el orden del día y las necesidades del evento. El Director de la BDT agradeció las aportaciones e hizo hincapié en la importancia de apoyar la participación de estos enviados en el evento, en particular los procedentes de los PMA, los PDSL y los PEID. El Director alentó a los Estados Miembros a incluir a jóvenes participantes en sus delegaciones y destacó que el evento era una valiosa oportunidad de aprendizaje. Aunque la duración de su participación podía ser flexible, debían tenerse en cuenta las limitaciones financieras. Participar en una delegación nacional les brindaría una excelente oportunidad para conocer mejor los trabajos de la Conferencia y la dinámica de las negociaciones multilaterales. Los miembros de la UIT felicitaron a la BDT por los esfuerzos desplegados para organizar actividades y eventos relacionados con la juventud.</w:t>
      </w:r>
    </w:p>
    <w:tbl>
      <w:tblPr>
        <w:tblStyle w:val="TableGrid"/>
        <w:tblW w:w="0" w:type="auto"/>
        <w:tblLayout w:type="fixed"/>
        <w:tblLook w:val="04A0" w:firstRow="1" w:lastRow="0" w:firstColumn="1" w:lastColumn="0" w:noHBand="0" w:noVBand="1"/>
      </w:tblPr>
      <w:tblGrid>
        <w:gridCol w:w="9629"/>
      </w:tblGrid>
      <w:tr w:rsidR="005905B6" w:rsidRPr="00893422" w14:paraId="5BCFC136" w14:textId="77777777" w:rsidTr="00D04740">
        <w:tc>
          <w:tcPr>
            <w:tcW w:w="9629" w:type="dxa"/>
          </w:tcPr>
          <w:p w14:paraId="0534F60B" w14:textId="77777777" w:rsidR="005905B6" w:rsidRPr="00893422" w:rsidRDefault="005905B6" w:rsidP="00D04740">
            <w:pPr>
              <w:widowControl w:val="0"/>
              <w:spacing w:after="120"/>
              <w:rPr>
                <w:rFonts w:ascii="Calibri" w:eastAsia="Calibri" w:hAnsi="Calibri" w:cs="Calibri"/>
                <w:lang w:val="es-ES_tradnl"/>
              </w:rPr>
            </w:pPr>
            <w:r w:rsidRPr="00893422">
              <w:rPr>
                <w:color w:val="000000"/>
                <w:lang w:val="es-ES_tradnl"/>
              </w:rPr>
              <w:t>El GADT recibió el informe con un fuerte apoyo a la celebración propuesta y sus objetivos.</w:t>
            </w:r>
          </w:p>
        </w:tc>
      </w:tr>
    </w:tbl>
    <w:p w14:paraId="4C341DD1" w14:textId="2530F9BC" w:rsidR="005905B6" w:rsidRPr="00893422" w:rsidRDefault="005905B6" w:rsidP="00B15CAE">
      <w:pPr>
        <w:pStyle w:val="Headingb"/>
        <w:rPr>
          <w:rFonts w:cstheme="minorBidi"/>
          <w:lang w:val="es-ES_tradnl"/>
        </w:rPr>
      </w:pPr>
      <w:r w:rsidRPr="00893422">
        <w:rPr>
          <w:lang w:val="es-ES_tradnl"/>
        </w:rPr>
        <w:t xml:space="preserve">Documento </w:t>
      </w:r>
      <w:hyperlink r:id="rId73" w:history="1">
        <w:r w:rsidRPr="00893422">
          <w:rPr>
            <w:rStyle w:val="Hyperlink"/>
            <w:bCs/>
            <w:lang w:val="es-ES_tradnl"/>
          </w:rPr>
          <w:t>15</w:t>
        </w:r>
      </w:hyperlink>
      <w:r w:rsidRPr="00893422">
        <w:rPr>
          <w:lang w:val="es-ES_tradnl"/>
        </w:rPr>
        <w:t xml:space="preserve"> (Presidenta del GADT) </w:t>
      </w:r>
      <w:r w:rsidR="00B15CAE" w:rsidRPr="00893422">
        <w:rPr>
          <w:lang w:val="es-ES_tradnl"/>
        </w:rPr>
        <w:t>–</w:t>
      </w:r>
      <w:r w:rsidRPr="00893422">
        <w:rPr>
          <w:lang w:val="es-ES_tradnl"/>
        </w:rPr>
        <w:t xml:space="preserve"> Informe sobre las actividades del Grupo Asesor de Desarrollo de las Telecomunicaciones (GADT) a la CMDT, conforme a lo estipulado en la Resolución 24 de la CMDT</w:t>
      </w:r>
      <w:hyperlink r:id="rId74"/>
    </w:p>
    <w:p w14:paraId="0668B5AB" w14:textId="77777777" w:rsidR="005905B6" w:rsidRPr="00893422" w:rsidRDefault="005905B6" w:rsidP="00B15CAE">
      <w:pPr>
        <w:rPr>
          <w:lang w:val="es-ES_tradnl"/>
        </w:rPr>
      </w:pPr>
      <w:r w:rsidRPr="00893422">
        <w:rPr>
          <w:lang w:val="es-ES_tradnl"/>
        </w:rPr>
        <w:t>La Secretaría de la BDT presentó el Documento 15, el proyecto de informe del GADT a la CMDT, en forma de resumen exhaustivo de las actividades y logros del Grupo Asesor de Desarrollo de las Telecomunicaciones durante el periodo 2023</w:t>
      </w:r>
      <w:r w:rsidRPr="00893422">
        <w:rPr>
          <w:lang w:val="es-ES_tradnl"/>
        </w:rPr>
        <w:noBreakHyphen/>
        <w:t>2025. En la presentación se destacaron las principales contribuciones del GADT, entre ellas el apoyo a la aplicación del Plan de Acción de Kigali, la orientación sobre las iniciativas de transformación digital y la coordinación en todo el UIT-D. También se subrayó el papel del GADT en el asesoramiento al Director de la BDT, la mejora de la eficiencia operativa y la promoción de la participación inclusiva y la colaboración intersectorial. En el informe se estudió la labor de los Grupos de Trabajo del GADT, los resultados de los debates estratégicos y las principales decisiones adoptadas durante el ciclo.</w:t>
      </w:r>
    </w:p>
    <w:p w14:paraId="7A0E1352" w14:textId="77777777" w:rsidR="005905B6" w:rsidRPr="00893422" w:rsidRDefault="005905B6" w:rsidP="005905B6">
      <w:pPr>
        <w:spacing w:after="120"/>
        <w:rPr>
          <w:lang w:val="es-ES_tradnl"/>
        </w:rPr>
      </w:pPr>
      <w:r w:rsidRPr="00893422">
        <w:rPr>
          <w:lang w:val="es-ES_tradnl"/>
        </w:rPr>
        <w:t>La Presidenta señaló que la versión final del informe se actualizaría una vez concluida la reunión en curso del GADT para reflejar sus resultados y sus reflexiones personales al final de su mandato. La Presidenta informó al GADT de que se distribuiría una versión revisada en un plazo de 20 a 30 días, lo que dejaba dos semanas para presentar comentarios. Una delegación preguntó sobre el tratamiento de los resultados de los Grupos de Relator del GADT, y la Presidenta aclaró que se adjuntarían al informe y se pondrían a disposición de la CMDT como documentos informativos. Otro delegado pidió que se incluyera en el informe la Resolución 167 sobre la participación a distancia, y la Presidenta aseguró que se recogerían debidamente todos los debates y resultados pertinentes. No hubo objeciones al proceso, y se tomó nota del documento para su ulterior mejora y posterior distribución.</w:t>
      </w:r>
    </w:p>
    <w:tbl>
      <w:tblPr>
        <w:tblStyle w:val="TableGrid"/>
        <w:tblW w:w="0" w:type="auto"/>
        <w:tblLayout w:type="fixed"/>
        <w:tblLook w:val="04A0" w:firstRow="1" w:lastRow="0" w:firstColumn="1" w:lastColumn="0" w:noHBand="0" w:noVBand="1"/>
      </w:tblPr>
      <w:tblGrid>
        <w:gridCol w:w="9629"/>
      </w:tblGrid>
      <w:tr w:rsidR="005905B6" w:rsidRPr="00893422" w14:paraId="1891A5F0" w14:textId="77777777" w:rsidTr="00D04740">
        <w:tc>
          <w:tcPr>
            <w:tcW w:w="9629" w:type="dxa"/>
          </w:tcPr>
          <w:p w14:paraId="09082575" w14:textId="77777777" w:rsidR="005905B6" w:rsidRPr="00893422" w:rsidRDefault="005905B6" w:rsidP="00D04740">
            <w:pPr>
              <w:widowControl w:val="0"/>
              <w:spacing w:after="120"/>
              <w:rPr>
                <w:lang w:val="es-ES_tradnl"/>
              </w:rPr>
            </w:pPr>
            <w:r w:rsidRPr="00893422">
              <w:rPr>
                <w:color w:val="000000"/>
                <w:lang w:val="es-ES_tradnl"/>
              </w:rPr>
              <w:t xml:space="preserve">El GADT tomó nota del proyecto de Informe del GADT a la CMDT y expresó su deseo de que siguiese mejorándose. La Presidenta confirmó que el informe se actualizaría tras la clausura de la sesión del GADT para incorporar los resultados de la reunión de mayo de 2025 y sus reflexiones finales sobre el ciclo trienal. Se distribuiría una versión revisada en un plazo de 20 a 30 días, y los Estados Miembros dispondrían de dos semanas para formular observaciones. La versión definitiva, incluidos los anexos como los productos de los Grupos de Trabajo del GADT, se presentaría como parte de la documentación oficial de la CMDT-25. No se plantearon </w:t>
            </w:r>
            <w:r w:rsidRPr="00893422">
              <w:rPr>
                <w:color w:val="000000"/>
                <w:lang w:val="es-ES_tradnl"/>
              </w:rPr>
              <w:lastRenderedPageBreak/>
              <w:t>objeciones y el proceso propuesto fue aceptado por el GADT.</w:t>
            </w:r>
          </w:p>
        </w:tc>
      </w:tr>
    </w:tbl>
    <w:p w14:paraId="2697B704" w14:textId="2F685EF2" w:rsidR="005905B6" w:rsidRPr="00893422" w:rsidRDefault="005905B6" w:rsidP="00B15CAE">
      <w:pPr>
        <w:pStyle w:val="Headingb"/>
        <w:keepLines/>
        <w:rPr>
          <w:rFonts w:cstheme="minorBidi"/>
          <w:lang w:val="es-ES_tradnl"/>
        </w:rPr>
      </w:pPr>
      <w:r w:rsidRPr="00893422">
        <w:rPr>
          <w:lang w:val="es-ES_tradnl"/>
        </w:rPr>
        <w:lastRenderedPageBreak/>
        <w:t xml:space="preserve">Documento </w:t>
      </w:r>
      <w:hyperlink r:id="rId75" w:history="1">
        <w:r w:rsidRPr="00893422">
          <w:rPr>
            <w:rStyle w:val="Hyperlink"/>
            <w:bCs/>
            <w:lang w:val="es-ES_tradnl"/>
          </w:rPr>
          <w:t>48</w:t>
        </w:r>
      </w:hyperlink>
      <w:r w:rsidRPr="00893422">
        <w:rPr>
          <w:lang w:val="es-ES_tradnl"/>
        </w:rPr>
        <w:t xml:space="preserve"> (China (República Popular de)) </w:t>
      </w:r>
      <w:r w:rsidR="003D4648" w:rsidRPr="003D4648">
        <w:rPr>
          <w:lang w:val="es-ES_tradnl"/>
        </w:rPr>
        <w:t>–</w:t>
      </w:r>
      <w:r w:rsidRPr="00893422">
        <w:rPr>
          <w:lang w:val="es-ES_tradnl"/>
        </w:rPr>
        <w:t xml:space="preserve"> Reflections and Recommendations on the Active Participation of the ITU Telecommunication Development Sector (ITU-D) in Achieving the Digital Future (Reflexiones y recomendaciones sobre la participación activa del Sector de Desarrollo de las Telecomunicaciones de la UIT (UIT-D) en el logro de un futuro digital)</w:t>
      </w:r>
      <w:hyperlink r:id="rId76"/>
    </w:p>
    <w:p w14:paraId="2554CB3A" w14:textId="77777777" w:rsidR="005905B6" w:rsidRPr="00893422" w:rsidRDefault="005905B6" w:rsidP="00B15CAE">
      <w:pPr>
        <w:rPr>
          <w:rFonts w:ascii="Calibri" w:eastAsia="Calibri" w:hAnsi="Calibri" w:cs="Calibri"/>
          <w:szCs w:val="24"/>
          <w:lang w:val="es-ES_tradnl"/>
        </w:rPr>
      </w:pPr>
      <w:r w:rsidRPr="00893422">
        <w:rPr>
          <w:lang w:val="es-ES_tradnl"/>
        </w:rPr>
        <w:t>En esta contribución se proponen seis recomendaciones para que el UIT-D refuerce su papel en el logro de un futuro digital: a) fortalecer el intercambio de soluciones tecnológicas digitales emergentes, b) promover la adopción de tecnologías emergentes en los países en desarrollo, c) acelerar el desarrollo a través de las tecnologías digitales, d) fomentar el talento en las TIC, e) mejorar la formulación y promoción de las directrices del UIT</w:t>
      </w:r>
      <w:r w:rsidRPr="00893422">
        <w:rPr>
          <w:lang w:val="es-ES_tradnl"/>
        </w:rPr>
        <w:noBreakHyphen/>
        <w:t>D y f) ampliar las asociaciones industriales.</w:t>
      </w:r>
    </w:p>
    <w:p w14:paraId="41054171" w14:textId="77777777" w:rsidR="005905B6" w:rsidRPr="00893422" w:rsidRDefault="005905B6" w:rsidP="005905B6">
      <w:pPr>
        <w:widowControl w:val="0"/>
        <w:spacing w:after="120"/>
        <w:rPr>
          <w:rFonts w:cstheme="minorHAnsi"/>
          <w:szCs w:val="24"/>
          <w:lang w:val="es-ES_tradnl"/>
        </w:rPr>
      </w:pPr>
      <w:r w:rsidRPr="00893422">
        <w:rPr>
          <w:lang w:val="es-ES_tradnl"/>
        </w:rPr>
        <w:t>Se recomendó incluir las propuestas en el informe del GADT que se examinaría en la CMDT-25.</w:t>
      </w:r>
    </w:p>
    <w:tbl>
      <w:tblPr>
        <w:tblStyle w:val="TableGrid"/>
        <w:tblW w:w="0" w:type="auto"/>
        <w:tblLayout w:type="fixed"/>
        <w:tblLook w:val="04A0" w:firstRow="1" w:lastRow="0" w:firstColumn="1" w:lastColumn="0" w:noHBand="0" w:noVBand="1"/>
      </w:tblPr>
      <w:tblGrid>
        <w:gridCol w:w="9629"/>
      </w:tblGrid>
      <w:tr w:rsidR="005905B6" w:rsidRPr="00893422" w14:paraId="4F4EDC2B" w14:textId="77777777" w:rsidTr="00D04740">
        <w:tc>
          <w:tcPr>
            <w:tcW w:w="9629" w:type="dxa"/>
          </w:tcPr>
          <w:p w14:paraId="01AC6FEF" w14:textId="520F2508" w:rsidR="005905B6" w:rsidRPr="00893422" w:rsidRDefault="005905B6" w:rsidP="00D04740">
            <w:pPr>
              <w:widowControl w:val="0"/>
              <w:spacing w:after="120"/>
              <w:rPr>
                <w:rStyle w:val="Hyperlink"/>
                <w:rFonts w:cstheme="minorBidi"/>
                <w:color w:val="auto"/>
                <w:u w:val="none"/>
                <w:lang w:val="es-ES_tradnl"/>
              </w:rPr>
            </w:pPr>
            <w:r w:rsidRPr="00893422">
              <w:rPr>
                <w:color w:val="000000"/>
                <w:lang w:val="es-ES_tradnl"/>
              </w:rPr>
              <w:t>El GADT tomó nota de la contribución con satisfacción.</w:t>
            </w:r>
          </w:p>
        </w:tc>
      </w:tr>
    </w:tbl>
    <w:p w14:paraId="1F614E3E" w14:textId="5106F863" w:rsidR="005905B6" w:rsidRPr="00893422" w:rsidRDefault="005905B6" w:rsidP="00B15CAE">
      <w:pPr>
        <w:pStyle w:val="Headingb"/>
        <w:rPr>
          <w:lang w:val="es-ES_tradnl"/>
        </w:rPr>
      </w:pPr>
      <w:r w:rsidRPr="00893422">
        <w:rPr>
          <w:lang w:val="es-ES_tradnl"/>
        </w:rPr>
        <w:t xml:space="preserve">Documento </w:t>
      </w:r>
      <w:hyperlink r:id="rId77" w:history="1">
        <w:r w:rsidRPr="00893422">
          <w:rPr>
            <w:rStyle w:val="Hyperlink"/>
            <w:bCs/>
            <w:lang w:val="es-ES_tradnl"/>
          </w:rPr>
          <w:t>34</w:t>
        </w:r>
      </w:hyperlink>
      <w:r w:rsidRPr="00893422">
        <w:rPr>
          <w:lang w:val="es-ES_tradnl"/>
        </w:rPr>
        <w:t xml:space="preserve"> (GCIS sobre asuntos de interés mutuo) – Incoming Liaison statement on draft guidelines on the management of fully virtual and physical meetings with remote participation (Declaración de coordinación entrante sobre el proyecto de directrices sobre la gestión de reuniones íntegramente virtuales o físicas con participación a distancia)</w:t>
      </w:r>
      <w:hyperlink r:id="rId78"/>
    </w:p>
    <w:p w14:paraId="73036B39" w14:textId="77777777" w:rsidR="005905B6" w:rsidRPr="00893422" w:rsidRDefault="005905B6" w:rsidP="005905B6">
      <w:pPr>
        <w:widowControl w:val="0"/>
        <w:spacing w:after="120"/>
        <w:rPr>
          <w:lang w:val="es-ES_tradnl"/>
        </w:rPr>
      </w:pPr>
      <w:r w:rsidRPr="00893422">
        <w:rPr>
          <w:lang w:val="es-ES_tradnl"/>
        </w:rPr>
        <w:t>El Documento 34, una declaración de coordinación del Grupo de Coordinación Intersectorial (GCIS), fue presentado por el Presidente del GCIS, el Dr. Bigi, como informe sobre el proyecto de directrices elaborado para facilitar la coordinación entre los tres Sectores de la UIT: Radiocomunicación, Normalización y Desarrollo. Las directrices tienen por objeto garantizar la coherencia y la armonización mutua en los flujos de trabajo y evitar la duplicación de esfuerzos, especialmente en esferas de interés que se solapan. El Dr. Bigi hizo hincapié en la importancia de estas directrices en vista de los preparativos de la CMDT-25 y pidió al GADT que examinara el documento y formulara observaciones al respecto o señalara las discrepancias para lograr una coherencia de procedimientos de participación a distancia en todos los Sectores. También señaló que se habían formulado solicitudes similares al GAR y al GANT, y que las aportaciones de los tres Grupos Asesores reforzarían el marco propuesto. Durante la sesión no se formularon objeciones ni comentarios. La Presidenta concluyó que el GADT tomaría nota del documento y de su pertinencia para la coordinación intersectorial, especialmente a medida que se aproxima la CMDT.</w:t>
      </w:r>
    </w:p>
    <w:tbl>
      <w:tblPr>
        <w:tblStyle w:val="TableGrid"/>
        <w:tblW w:w="0" w:type="auto"/>
        <w:tblLayout w:type="fixed"/>
        <w:tblLook w:val="06A0" w:firstRow="1" w:lastRow="0" w:firstColumn="1" w:lastColumn="0" w:noHBand="1" w:noVBand="1"/>
      </w:tblPr>
      <w:tblGrid>
        <w:gridCol w:w="9630"/>
      </w:tblGrid>
      <w:tr w:rsidR="005905B6" w:rsidRPr="00893422" w14:paraId="4DB9BAFB" w14:textId="77777777" w:rsidTr="00D04740">
        <w:trPr>
          <w:trHeight w:val="300"/>
        </w:trPr>
        <w:tc>
          <w:tcPr>
            <w:tcW w:w="9630" w:type="dxa"/>
          </w:tcPr>
          <w:p w14:paraId="65356D94" w14:textId="77777777" w:rsidR="005905B6" w:rsidRPr="00893422" w:rsidRDefault="005905B6" w:rsidP="00D04740">
            <w:pPr>
              <w:spacing w:after="120"/>
              <w:rPr>
                <w:rFonts w:ascii="Calibri" w:hAnsi="Calibri" w:cs="Calibri"/>
                <w:color w:val="000000" w:themeColor="text1"/>
                <w:lang w:val="es-ES_tradnl"/>
              </w:rPr>
            </w:pPr>
            <w:r w:rsidRPr="00893422">
              <w:rPr>
                <w:color w:val="000000"/>
                <w:lang w:val="es-ES_tradnl"/>
              </w:rPr>
              <w:t xml:space="preserve">El GADT tomó nota de la declaración con satisfacción y reconoció la labor realizada por el Grupo de Coordinación Intersectorial sobre las directrices para la gestión de reuniones íntegramente virtuales o físicas con participación a distancia para la UIT, y aprobó su respuesta, que se detalla en el Documento </w:t>
            </w:r>
            <w:hyperlink r:id="rId79" w:history="1">
              <w:r w:rsidRPr="00893422">
                <w:rPr>
                  <w:rStyle w:val="Hyperlink"/>
                  <w:lang w:val="es-ES_tradnl"/>
                </w:rPr>
                <w:t>DT/6</w:t>
              </w:r>
            </w:hyperlink>
            <w:r w:rsidRPr="00893422">
              <w:rPr>
                <w:color w:val="000000"/>
                <w:lang w:val="es-ES_tradnl"/>
              </w:rPr>
              <w:t>.</w:t>
            </w:r>
            <w:hyperlink r:id="rId80"/>
          </w:p>
        </w:tc>
      </w:tr>
    </w:tbl>
    <w:p w14:paraId="6946FE75" w14:textId="168BFD4A" w:rsidR="005905B6" w:rsidRPr="00893422" w:rsidRDefault="005905B6" w:rsidP="00B15CAE">
      <w:pPr>
        <w:pStyle w:val="Headingb"/>
        <w:rPr>
          <w:rFonts w:cstheme="minorBidi"/>
          <w:lang w:val="es-ES_tradnl"/>
        </w:rPr>
      </w:pPr>
      <w:r w:rsidRPr="00893422">
        <w:rPr>
          <w:lang w:val="es-ES_tradnl"/>
        </w:rPr>
        <w:t xml:space="preserve">Documento </w:t>
      </w:r>
      <w:hyperlink r:id="rId81" w:history="1">
        <w:r w:rsidRPr="00893422">
          <w:rPr>
            <w:rStyle w:val="Hyperlink"/>
            <w:bCs/>
            <w:lang w:val="es-ES_tradnl"/>
          </w:rPr>
          <w:t>54</w:t>
        </w:r>
      </w:hyperlink>
      <w:r w:rsidRPr="00893422">
        <w:rPr>
          <w:lang w:val="es-ES_tradnl"/>
        </w:rPr>
        <w:t>(Rev.1) (Bulgaria, Francia, Hungría, Irlanda, Italia, Lituania, Polonia, Reino Unido, República Checa, Rumania, Suecia y Suiza) – Enabling remote participation at the World Telecommunication Development Conference 2025 (Habilitación de la participación a distancia en la Conferencia Mundial de Desarrollo de las Telecomunicaciones de 2025)</w:t>
      </w:r>
      <w:hyperlink r:id="rId82"/>
    </w:p>
    <w:p w14:paraId="639CAF16" w14:textId="4D678B55" w:rsidR="005905B6" w:rsidRPr="00893422" w:rsidRDefault="005905B6" w:rsidP="00B15CAE">
      <w:pPr>
        <w:rPr>
          <w:lang w:val="es-ES_tradnl"/>
        </w:rPr>
      </w:pPr>
      <w:r w:rsidRPr="00893422">
        <w:rPr>
          <w:lang w:val="es-ES_tradnl"/>
        </w:rPr>
        <w:t xml:space="preserve">En esta contribución, presentada por el representante del Reino Unido, se expresaba una posición compartida por varios Estados Miembros sobre la importancia de la participación a distancia en las reuniones de la UIT, incluida la Conferencia Mundial de Desarrollo de las Telecomunicaciones </w:t>
      </w:r>
      <w:r w:rsidRPr="00893422">
        <w:rPr>
          <w:lang w:val="es-ES_tradnl"/>
        </w:rPr>
        <w:lastRenderedPageBreak/>
        <w:t>de</w:t>
      </w:r>
      <w:r w:rsidR="003D4648">
        <w:rPr>
          <w:lang w:val="es-ES_tradnl"/>
        </w:rPr>
        <w:t> </w:t>
      </w:r>
      <w:r w:rsidRPr="00893422">
        <w:rPr>
          <w:lang w:val="es-ES_tradnl"/>
        </w:rPr>
        <w:t>2025. El ponente aclaró que la contribución no versaba sobre las normas de procedimiento, que eran competencia del Consejo, sino más bien sobre las disposiciones prácticas necesarias para facilitar una participación inclusiva. Hizo hincapié en el valor de la participación a distancia para ampliar el acceso y pidió claridad sobre tres puntos: una actualización inmediata de las capacidades actuales, un calendario para obtener más información y actualizaciones periódicas a través de las comunicaciones de la CMDT.</w:t>
      </w:r>
    </w:p>
    <w:p w14:paraId="0CF5BE01" w14:textId="77777777" w:rsidR="005905B6" w:rsidRPr="00893422" w:rsidRDefault="005905B6" w:rsidP="00B15CAE">
      <w:pPr>
        <w:rPr>
          <w:lang w:val="es-ES_tradnl"/>
        </w:rPr>
      </w:pPr>
      <w:r w:rsidRPr="00893422">
        <w:rPr>
          <w:lang w:val="es-ES_tradnl"/>
        </w:rPr>
        <w:t xml:space="preserve">En su respuesta, el Director de la BDT expresó su pleno apoyo a la participación a distancia y confirmó que todas las salas de reunión principales del lugar de celebración en Bakú estarían equipadas con medios para permitir el acceso a distancia. Con todo, señaló que las limitaciones jurídicas impedirían a los participantes a distancia votar y destacó la importancia de la coordinación dentro de las delegaciones para evitar intervenciones contradictorias de los participantes presenciales y en línea. La Secretaría aclaró además que sería posible la participación a distancia en salas con capacidad de entre 30 y 1500 personas y reafirmó la colaboración en curso con el país anfitrión para garantizar la preparación técnica. </w:t>
      </w:r>
    </w:p>
    <w:p w14:paraId="4A86EC20" w14:textId="72D3B6FD" w:rsidR="005905B6" w:rsidRPr="00893422" w:rsidRDefault="005905B6" w:rsidP="005905B6">
      <w:pPr>
        <w:widowControl w:val="0"/>
        <w:spacing w:after="120"/>
        <w:rPr>
          <w:lang w:val="es-ES_tradnl"/>
        </w:rPr>
      </w:pPr>
      <w:r w:rsidRPr="00893422">
        <w:rPr>
          <w:lang w:val="es-ES_tradnl"/>
        </w:rPr>
        <w:t>Las actualizaciones fueron bien recibidas y las delegaciones acogieron con beneplácito el compromiso con la transparencia y la accesibilidad. Israel reiteró su petición de que la Resolución</w:t>
      </w:r>
      <w:r w:rsidR="00B15CAE" w:rsidRPr="00893422">
        <w:rPr>
          <w:lang w:val="es-ES_tradnl"/>
        </w:rPr>
        <w:t> </w:t>
      </w:r>
      <w:r w:rsidRPr="00893422">
        <w:rPr>
          <w:lang w:val="es-ES_tradnl"/>
        </w:rPr>
        <w:t>167 sobre la participación a distancia quedase reflejada en el informe del GADT a la CMDT. La Presidenta confirmó que todos los debates y resultados pertinentes se recogerían adecuadamente.</w:t>
      </w:r>
    </w:p>
    <w:tbl>
      <w:tblPr>
        <w:tblStyle w:val="TableGrid"/>
        <w:tblW w:w="0" w:type="auto"/>
        <w:tblLayout w:type="fixed"/>
        <w:tblLook w:val="04A0" w:firstRow="1" w:lastRow="0" w:firstColumn="1" w:lastColumn="0" w:noHBand="0" w:noVBand="1"/>
      </w:tblPr>
      <w:tblGrid>
        <w:gridCol w:w="9629"/>
      </w:tblGrid>
      <w:tr w:rsidR="005905B6" w:rsidRPr="00893422" w14:paraId="4680DDC0" w14:textId="77777777" w:rsidTr="00D04740">
        <w:tc>
          <w:tcPr>
            <w:tcW w:w="9629" w:type="dxa"/>
          </w:tcPr>
          <w:p w14:paraId="351D7792" w14:textId="77777777" w:rsidR="005905B6" w:rsidRPr="00893422" w:rsidRDefault="005905B6" w:rsidP="00D04740">
            <w:pPr>
              <w:widowControl w:val="0"/>
              <w:tabs>
                <w:tab w:val="left" w:pos="1134"/>
                <w:tab w:val="left" w:pos="1871"/>
                <w:tab w:val="left" w:pos="2268"/>
              </w:tabs>
              <w:spacing w:after="120"/>
              <w:rPr>
                <w:rFonts w:ascii="Calibri" w:eastAsia="Calibri" w:hAnsi="Calibri" w:cs="Calibri"/>
                <w:lang w:val="es-ES_tradnl"/>
              </w:rPr>
            </w:pPr>
            <w:r w:rsidRPr="00893422">
              <w:rPr>
                <w:color w:val="000000"/>
                <w:lang w:val="es-ES_tradnl"/>
              </w:rPr>
              <w:t>El GADT tomó nota de la contribución y agradeció la confirmación del Director de la BDT de que la CMDT-25 se celebraría con participación a distancia. Esto se basaría en el proyecto de directrices sobre la gestión de reuniones íntegramente virtuales o físicas con participación a distancia en la UIT, en consonancia con la aplicación de la Resolución 167 (Rev. Bucarest, 2022), tal y como se debatió y determinó en la reunión de 2025 del Consejo, teniendo en cuenta, en particular, la aclaración de los derechos de las diferentes categorías de miembros que participaban a distancia en la toma de decisiones en diferentes tipos de reuniones (</w:t>
            </w:r>
            <w:hyperlink r:id="rId83" w:history="1">
              <w:r w:rsidRPr="00893422">
                <w:rPr>
                  <w:rStyle w:val="Hyperlink"/>
                  <w:lang w:val="es-ES_tradnl"/>
                </w:rPr>
                <w:t>S</w:t>
              </w:r>
              <w:r w:rsidRPr="00893422">
                <w:rPr>
                  <w:rStyle w:val="Hyperlink"/>
                  <w:lang w:val="es-ES_tradnl"/>
                </w:rPr>
                <w:t>2</w:t>
              </w:r>
              <w:r w:rsidRPr="00893422">
                <w:rPr>
                  <w:rStyle w:val="Hyperlink"/>
                  <w:lang w:val="es-ES_tradnl"/>
                </w:rPr>
                <w:t>5-CWGFHR20-C-0003!</w:t>
              </w:r>
              <w:r w:rsidRPr="00893422">
                <w:rPr>
                  <w:rStyle w:val="Hyperlink"/>
                  <w:i/>
                  <w:iCs/>
                  <w:lang w:val="es-ES_tradnl"/>
                </w:rPr>
                <w:t>R2MSW-E.docx</w:t>
              </w:r>
            </w:hyperlink>
            <w:r w:rsidRPr="00893422">
              <w:rPr>
                <w:i/>
                <w:iCs/>
                <w:color w:val="000000"/>
                <w:lang w:val="es-ES_tradnl"/>
              </w:rPr>
              <w:t>).</w:t>
            </w:r>
            <w:hyperlink r:id="rId84"/>
          </w:p>
        </w:tc>
      </w:tr>
    </w:tbl>
    <w:p w14:paraId="58C7F40D" w14:textId="4BC35612" w:rsidR="005905B6" w:rsidRPr="00893422" w:rsidRDefault="005905B6" w:rsidP="00B15CAE">
      <w:pPr>
        <w:pStyle w:val="Headingb"/>
        <w:rPr>
          <w:rFonts w:cstheme="minorBidi"/>
          <w:lang w:val="es-ES_tradnl"/>
        </w:rPr>
      </w:pPr>
      <w:r w:rsidRPr="00893422">
        <w:rPr>
          <w:lang w:val="es-ES_tradnl"/>
        </w:rPr>
        <w:t xml:space="preserve">Documento </w:t>
      </w:r>
      <w:hyperlink r:id="rId85" w:history="1">
        <w:r w:rsidRPr="00893422">
          <w:rPr>
            <w:rStyle w:val="Hyperlink"/>
            <w:bCs/>
            <w:lang w:val="es-ES_tradnl"/>
          </w:rPr>
          <w:t>56</w:t>
        </w:r>
      </w:hyperlink>
      <w:r w:rsidRPr="00893422">
        <w:rPr>
          <w:lang w:val="es-ES_tradnl"/>
        </w:rPr>
        <w:t xml:space="preserve"> (Estados Unidos) </w:t>
      </w:r>
      <w:r w:rsidR="00B15CAE" w:rsidRPr="00893422">
        <w:rPr>
          <w:lang w:val="es-ES_tradnl"/>
        </w:rPr>
        <w:t>–</w:t>
      </w:r>
      <w:r w:rsidRPr="00893422">
        <w:rPr>
          <w:lang w:val="es-ES_tradnl"/>
        </w:rPr>
        <w:t xml:space="preserve"> Initial U.S. Views in Advance of WTDC-25 (Opiniones iniciales de los Estados Unidos antes de la CMDT-25)</w:t>
      </w:r>
      <w:hyperlink r:id="rId86"/>
    </w:p>
    <w:p w14:paraId="09EA86BE" w14:textId="77777777" w:rsidR="005905B6" w:rsidRPr="00893422" w:rsidRDefault="005905B6" w:rsidP="00B15CAE">
      <w:pPr>
        <w:rPr>
          <w:lang w:val="es-ES_tradnl"/>
        </w:rPr>
      </w:pPr>
      <w:r w:rsidRPr="00893422">
        <w:rPr>
          <w:lang w:val="es-ES_tradnl"/>
        </w:rPr>
        <w:t>Los Estados Unidos presentaron el Documento 56, en el que se describían someramente sus primeras opiniones de cara a la Conferencia Mundial de Desarrollo de las Telecomunicaciones (CMDT-25). Hicieron hincapié además en la necesidad de que el UIT-D se reorientase hacia sus principales puntos fuertes, mejorase el efecto de sus productos y garantizase el uso eficiente de los recursos financieros y humanos. También destacaron la importancia de desarrollar competencias digitales, crear entornos políticos propicios y modernizar la reglamentación para promover la conectividad y la transformación digital. Aunque expresaron su apoyo al empoderamiento de las mujeres a través de iniciativas como la Red de Mujeres de la UIT, los Estados Unidos se opusieron a armonizar la programación con las políticas de diversidad, equidad e inclusión (DEI) y reafirmaron su postura en contra de hacer referencia a la Agenda 2030 para el Desarrollo Sostenible y los ODS, argumentando que tales referencias divergían de la misión técnica de la UIT.</w:t>
      </w:r>
    </w:p>
    <w:p w14:paraId="053FEFB5" w14:textId="77777777" w:rsidR="005905B6" w:rsidRPr="00893422" w:rsidRDefault="005905B6" w:rsidP="005905B6">
      <w:pPr>
        <w:spacing w:after="120"/>
        <w:rPr>
          <w:lang w:val="es-ES_tradnl"/>
        </w:rPr>
      </w:pPr>
      <w:r w:rsidRPr="00893422">
        <w:rPr>
          <w:lang w:val="es-ES_tradnl"/>
        </w:rPr>
        <w:t xml:space="preserve">La presentación dio lugar a un extenso debate. La primera de varias delegaciones que tomaron la palabra pidió aclaraciones sobre cómo la BDT apoyaría a los países en desarrollo en la transformación digital, a lo que el Director de la BDT reiteró que la asistencia de la BDT se ajustaría </w:t>
      </w:r>
      <w:r w:rsidRPr="00893422">
        <w:rPr>
          <w:lang w:val="es-ES_tradnl"/>
        </w:rPr>
        <w:lastRenderedPageBreak/>
        <w:t>a los mandatos de los Estados Miembros. Otra delegación señaló que las opiniones expresadas podrían requerir un debate más allá del UIT-D y cuestionó la hoja de ruta propuesta para ese diálogo. Otro delegado reconoció que la contribución invitaba a la reflexión, pero subrayó que no debían descuidarse las cuestiones sociales. Otros delegados subrayaron la importancia de mantener la armonización de la UIT con los ODS y los objetivos de desarrollo más amplios de las Naciones Unidas. También se expresó la necesidad de disponer de más tiempo para examinar y reflexionar sobre la propuesta, y se pidió equilibrio y cautela a la hora de redefinir lo que eran cuestiones básicas. Otras dos delegaciones expresaron su preocupación por la supresión de las referencias a los ODS y destacaron el papel de la UIT como organismo especializado de las Naciones Unidas. Varias delegaciones reafirmaron su apoyo a los derechos humanos, la igualdad de género, la diversidad, equidad e inclusión y la defensa del medio ambiente en las actividades de la UIT. Los Estados Unidos agradecieron todas las intervenciones y expresaron la esperanza de que sus opiniones sirvieran para reflexionar, así como de motor para seguir dialogando en el marco de los preparativos de la CMDT-25.</w:t>
      </w:r>
    </w:p>
    <w:tbl>
      <w:tblPr>
        <w:tblStyle w:val="TableGrid"/>
        <w:tblW w:w="0" w:type="auto"/>
        <w:tblLayout w:type="fixed"/>
        <w:tblLook w:val="04A0" w:firstRow="1" w:lastRow="0" w:firstColumn="1" w:lastColumn="0" w:noHBand="0" w:noVBand="1"/>
      </w:tblPr>
      <w:tblGrid>
        <w:gridCol w:w="9629"/>
      </w:tblGrid>
      <w:tr w:rsidR="005905B6" w:rsidRPr="00893422" w14:paraId="069EAA6F" w14:textId="77777777" w:rsidTr="00D04740">
        <w:tc>
          <w:tcPr>
            <w:tcW w:w="9629" w:type="dxa"/>
          </w:tcPr>
          <w:p w14:paraId="00DBAD94" w14:textId="77777777" w:rsidR="005905B6" w:rsidRPr="00893422" w:rsidRDefault="005905B6" w:rsidP="00D04740">
            <w:pPr>
              <w:widowControl w:val="0"/>
              <w:spacing w:after="120"/>
              <w:rPr>
                <w:rFonts w:ascii="Calibri" w:eastAsia="Calibri" w:hAnsi="Calibri" w:cs="Calibri"/>
                <w:lang w:val="es-ES_tradnl"/>
              </w:rPr>
            </w:pPr>
            <w:r w:rsidRPr="00893422">
              <w:rPr>
                <w:color w:val="000000"/>
                <w:lang w:val="es-ES_tradnl"/>
              </w:rPr>
              <w:t>El GADT tomó nota de la contribución para su examen y debate futuro en los preparativos de la CMDT.</w:t>
            </w:r>
          </w:p>
        </w:tc>
      </w:tr>
    </w:tbl>
    <w:p w14:paraId="0FFD297D" w14:textId="24494C58" w:rsidR="005905B6" w:rsidRPr="00893422" w:rsidRDefault="00B15CAE" w:rsidP="00B15CAE">
      <w:pPr>
        <w:pStyle w:val="Heading2"/>
        <w:rPr>
          <w:rFonts w:cstheme="minorHAnsi"/>
          <w:szCs w:val="24"/>
          <w:lang w:val="es-ES_tradnl"/>
        </w:rPr>
      </w:pPr>
      <w:r w:rsidRPr="00893422">
        <w:rPr>
          <w:lang w:val="es-ES_tradnl"/>
        </w:rPr>
        <w:t>7.2</w:t>
      </w:r>
      <w:r w:rsidRPr="00893422">
        <w:rPr>
          <w:lang w:val="es-ES_tradnl"/>
        </w:rPr>
        <w:tab/>
      </w:r>
      <w:r w:rsidR="005905B6" w:rsidRPr="00893422">
        <w:rPr>
          <w:lang w:val="es-ES_tradnl"/>
        </w:rPr>
        <w:t>Informe de la Reunión de Coordinación de las Reuniones Preparatorias Regionales (RPR)</w:t>
      </w:r>
    </w:p>
    <w:p w14:paraId="7E2D521E" w14:textId="5E4389CD" w:rsidR="005905B6" w:rsidRPr="00893422" w:rsidRDefault="005905B6" w:rsidP="00B15CAE">
      <w:pPr>
        <w:pStyle w:val="Headingb"/>
        <w:rPr>
          <w:szCs w:val="24"/>
          <w:lang w:val="es-ES_tradnl"/>
        </w:rPr>
      </w:pPr>
      <w:r w:rsidRPr="00893422">
        <w:rPr>
          <w:lang w:val="es-ES_tradnl"/>
        </w:rPr>
        <w:t xml:space="preserve">Documento </w:t>
      </w:r>
      <w:hyperlink r:id="rId87" w:history="1">
        <w:r w:rsidRPr="00893422">
          <w:rPr>
            <w:rStyle w:val="Hyperlink"/>
            <w:bCs/>
            <w:lang w:val="es-ES_tradnl"/>
          </w:rPr>
          <w:t>16</w:t>
        </w:r>
      </w:hyperlink>
      <w:r w:rsidRPr="00893422">
        <w:rPr>
          <w:lang w:val="es-ES_tradnl"/>
        </w:rPr>
        <w:t xml:space="preserve">(Rev.1) (Presidente de la Reunión de Coordinación de las RPR) </w:t>
      </w:r>
      <w:r w:rsidR="00B15CAE" w:rsidRPr="00893422">
        <w:rPr>
          <w:lang w:val="es-ES_tradnl"/>
        </w:rPr>
        <w:t>–</w:t>
      </w:r>
      <w:r w:rsidRPr="00893422">
        <w:rPr>
          <w:lang w:val="es-ES_tradnl"/>
        </w:rPr>
        <w:t xml:space="preserve"> Informe del Presidente de la Reunión de Coordinación de las RPR al GADT</w:t>
      </w:r>
      <w:hyperlink r:id="rId88"/>
    </w:p>
    <w:p w14:paraId="2BB44231" w14:textId="697C7BED" w:rsidR="005905B6" w:rsidRPr="00893422" w:rsidRDefault="005905B6" w:rsidP="00B15CAE">
      <w:pPr>
        <w:rPr>
          <w:lang w:val="es-ES_tradnl"/>
        </w:rPr>
      </w:pPr>
      <w:r w:rsidRPr="00893422">
        <w:rPr>
          <w:lang w:val="es-ES_tradnl"/>
        </w:rPr>
        <w:t xml:space="preserve">El Dr. Nooh Alshyab, Presidente de la Reunión de Coordinación de las RPR, presentó un informe refundido en el que se resumían los resultados de las seis Reuniones Preparatorias Regionales (RPR) celebradas en previsión de la CMDT-25. </w:t>
      </w:r>
    </w:p>
    <w:p w14:paraId="3D5C1011" w14:textId="77777777" w:rsidR="005905B6" w:rsidRPr="00893422" w:rsidRDefault="005905B6" w:rsidP="00B15CAE">
      <w:pPr>
        <w:rPr>
          <w:lang w:val="es-ES_tradnl"/>
        </w:rPr>
      </w:pPr>
      <w:r w:rsidRPr="00893422">
        <w:rPr>
          <w:lang w:val="es-ES_tradnl"/>
        </w:rPr>
        <w:t xml:space="preserve">Estas RPR habían tenido lugar entre febrero y abril de 2025 en todas las Regiones de la UIT: Estados Árabes, Europa, Asia-Pacífico, las Américas, África y la CEI. El informe fue adoptado por la Reunión de Coordinación de las RPR celebrada el 12 de mayo de 2025 y en él se resumen las prioridades de cada región, las Iniciativas Regionales propuestas y las esferas prioritarias. </w:t>
      </w:r>
    </w:p>
    <w:p w14:paraId="0FE133D8" w14:textId="77777777" w:rsidR="005905B6" w:rsidRPr="00893422" w:rsidRDefault="005905B6" w:rsidP="005905B6">
      <w:pPr>
        <w:widowControl w:val="0"/>
        <w:spacing w:after="120"/>
        <w:rPr>
          <w:rFonts w:ascii="Calibri" w:eastAsia="Calibri" w:hAnsi="Calibri" w:cs="Calibri"/>
          <w:szCs w:val="24"/>
          <w:lang w:val="es-ES_tradnl"/>
        </w:rPr>
      </w:pPr>
      <w:r w:rsidRPr="00893422">
        <w:rPr>
          <w:lang w:val="es-ES_tradnl"/>
        </w:rPr>
        <w:t>La Presidenta destacó que la reunión de coordinación de las RPR servía para dar coherencia a los productos regionales y para definir temas y propuestas comunes para su posterior consideración por la CMDT.</w:t>
      </w:r>
    </w:p>
    <w:tbl>
      <w:tblPr>
        <w:tblStyle w:val="TableGrid"/>
        <w:tblW w:w="0" w:type="auto"/>
        <w:tblLayout w:type="fixed"/>
        <w:tblLook w:val="04A0" w:firstRow="1" w:lastRow="0" w:firstColumn="1" w:lastColumn="0" w:noHBand="0" w:noVBand="1"/>
      </w:tblPr>
      <w:tblGrid>
        <w:gridCol w:w="9629"/>
      </w:tblGrid>
      <w:tr w:rsidR="005905B6" w:rsidRPr="00893422" w14:paraId="758AEB2F" w14:textId="77777777" w:rsidTr="00D04740">
        <w:tc>
          <w:tcPr>
            <w:tcW w:w="9629" w:type="dxa"/>
          </w:tcPr>
          <w:p w14:paraId="4D8EACE0" w14:textId="77777777" w:rsidR="005905B6" w:rsidRPr="00893422" w:rsidRDefault="005905B6" w:rsidP="00D04740">
            <w:pPr>
              <w:widowControl w:val="0"/>
              <w:spacing w:after="120"/>
              <w:rPr>
                <w:rFonts w:ascii="Calibri" w:eastAsia="Calibri" w:hAnsi="Calibri" w:cs="Calibri"/>
                <w:lang w:val="es-ES_tradnl"/>
              </w:rPr>
            </w:pPr>
            <w:r w:rsidRPr="00893422">
              <w:rPr>
                <w:color w:val="000000"/>
                <w:lang w:val="es-ES_tradnl"/>
              </w:rPr>
              <w:t>El GADT tomó nota del informe y reconoció su utilidad como guía para los preparativos de la CMDT. El GADT también reconoció los grandes esfuerzos realizados por los grupos regionales.</w:t>
            </w:r>
          </w:p>
        </w:tc>
      </w:tr>
    </w:tbl>
    <w:p w14:paraId="6D6D53CC" w14:textId="08FAB949" w:rsidR="005905B6" w:rsidRPr="00893422" w:rsidRDefault="00B15CAE" w:rsidP="00B15CAE">
      <w:pPr>
        <w:pStyle w:val="Heading2"/>
        <w:rPr>
          <w:rFonts w:cstheme="minorHAnsi"/>
          <w:szCs w:val="24"/>
          <w:lang w:val="es-ES_tradnl"/>
        </w:rPr>
      </w:pPr>
      <w:r w:rsidRPr="00893422">
        <w:rPr>
          <w:lang w:val="es-ES_tradnl"/>
        </w:rPr>
        <w:t>7.3</w:t>
      </w:r>
      <w:r w:rsidRPr="00893422">
        <w:rPr>
          <w:lang w:val="es-ES_tradnl"/>
        </w:rPr>
        <w:tab/>
      </w:r>
      <w:r w:rsidR="005905B6" w:rsidRPr="00893422">
        <w:rPr>
          <w:lang w:val="es-ES_tradnl"/>
        </w:rPr>
        <w:t>Estructura de la CMDT-25</w:t>
      </w:r>
    </w:p>
    <w:p w14:paraId="16349E57" w14:textId="163C03BB" w:rsidR="005905B6" w:rsidRPr="00893422" w:rsidRDefault="005905B6" w:rsidP="00B15CAE">
      <w:pPr>
        <w:pStyle w:val="Headingb"/>
        <w:rPr>
          <w:rFonts w:cstheme="minorBidi"/>
          <w:lang w:val="es-ES_tradnl"/>
        </w:rPr>
      </w:pPr>
      <w:r w:rsidRPr="00893422">
        <w:rPr>
          <w:lang w:val="es-ES_tradnl"/>
        </w:rPr>
        <w:t xml:space="preserve">Documento </w:t>
      </w:r>
      <w:hyperlink r:id="rId89" w:history="1">
        <w:r w:rsidRPr="00893422">
          <w:rPr>
            <w:rStyle w:val="Hyperlink"/>
            <w:bCs/>
            <w:lang w:val="es-ES_tradnl"/>
          </w:rPr>
          <w:t>17</w:t>
        </w:r>
      </w:hyperlink>
      <w:r w:rsidRPr="00893422">
        <w:rPr>
          <w:lang w:val="es-ES_tradnl"/>
        </w:rPr>
        <w:t xml:space="preserve"> (Director de la BDT) </w:t>
      </w:r>
      <w:r w:rsidR="00B15CAE" w:rsidRPr="00893422">
        <w:rPr>
          <w:lang w:val="es-ES_tradnl"/>
        </w:rPr>
        <w:t>–</w:t>
      </w:r>
      <w:r w:rsidRPr="00893422">
        <w:rPr>
          <w:lang w:val="es-ES_tradnl"/>
        </w:rPr>
        <w:t xml:space="preserve"> Proyecto de estructura de la Conferencia Mundial de Desarrollo de las Telecomunicaciones 2025</w:t>
      </w:r>
      <w:hyperlink r:id="rId90"/>
    </w:p>
    <w:p w14:paraId="7BAB325D" w14:textId="3E7E34A3" w:rsidR="005905B6" w:rsidRPr="00893422" w:rsidRDefault="005905B6" w:rsidP="00B15CAE">
      <w:pPr>
        <w:rPr>
          <w:rFonts w:ascii="Calibri" w:eastAsia="Calibri" w:hAnsi="Calibri" w:cs="Calibri"/>
          <w:color w:val="242424"/>
          <w:szCs w:val="24"/>
          <w:lang w:val="es-ES_tradnl"/>
        </w:rPr>
      </w:pPr>
      <w:r w:rsidRPr="00893422">
        <w:rPr>
          <w:lang w:val="es-ES_tradnl"/>
        </w:rPr>
        <w:t>El informe contiene una descripción en líneas generales de la estructura propuesta para la CMDT</w:t>
      </w:r>
      <w:r w:rsidR="00B15CAE" w:rsidRPr="00893422">
        <w:rPr>
          <w:lang w:val="es-ES_tradnl"/>
        </w:rPr>
        <w:noBreakHyphen/>
      </w:r>
      <w:r w:rsidRPr="00893422">
        <w:rPr>
          <w:lang w:val="es-ES_tradnl"/>
        </w:rPr>
        <w:t xml:space="preserve">25 y fue presentado por la Secretaría de la BDT para informar a las delegaciones sobre el marco organizativo previsto para la conferencia. La estructura cuenta con la organización de una sesión plenaria, cuatro Comisiones y el Grupo de Trabajo de la Plenaria, a semejanza de las disposiciones de anteriores CMDT. Sobre la base de la práctica establecida en las CMDT anteriores, se compartió con el GADT la organización de la conferencia, incluidas las funciones y </w:t>
      </w:r>
      <w:r w:rsidRPr="00893422">
        <w:rPr>
          <w:lang w:val="es-ES_tradnl"/>
        </w:rPr>
        <w:lastRenderedPageBreak/>
        <w:t xml:space="preserve">responsabilidades de cinco (5) Comisiones y el mandato del Grupo de Trabajo de la Plenaria para redactar la declaración de la CMDT y contribuir al Plan Estratégico de la UIT. </w:t>
      </w:r>
    </w:p>
    <w:p w14:paraId="71B813EA" w14:textId="77777777" w:rsidR="005905B6" w:rsidRPr="00893422" w:rsidRDefault="005905B6" w:rsidP="00B15CAE">
      <w:pPr>
        <w:rPr>
          <w:lang w:val="es-ES_tradnl"/>
        </w:rPr>
      </w:pPr>
      <w:r w:rsidRPr="00893422">
        <w:rPr>
          <w:lang w:val="es-ES_tradnl"/>
        </w:rPr>
        <w:t xml:space="preserve">Durante el debate, una delegación preguntó si la estructura propuesta reflejaba las lecciones aprendidas de la CMDT-22 y si se consideraban ajustes para mejorar el flujo de trabajo. El Director de la BDT respondió reafirmando que la estructura seguía en gran medida los precedentes establecidos, pero todavía era posible dar cabida a las propuestas de los Estados Miembros y tener en cuenta la evolución de las necesidades durante la Conferencia. </w:t>
      </w:r>
    </w:p>
    <w:p w14:paraId="3DE0FB35" w14:textId="77777777" w:rsidR="005905B6" w:rsidRPr="00893422" w:rsidRDefault="005905B6" w:rsidP="005905B6">
      <w:pPr>
        <w:spacing w:after="120"/>
        <w:rPr>
          <w:lang w:val="es-ES_tradnl"/>
        </w:rPr>
      </w:pPr>
      <w:r w:rsidRPr="00893422">
        <w:rPr>
          <w:lang w:val="es-ES_tradnl"/>
        </w:rPr>
        <w:t>No se formularon objeciones y la estructura propuesta recibió un amplio apoyo como base sólida para la próxima conferencia.</w:t>
      </w:r>
    </w:p>
    <w:tbl>
      <w:tblPr>
        <w:tblStyle w:val="TableGrid"/>
        <w:tblW w:w="0" w:type="auto"/>
        <w:tblLayout w:type="fixed"/>
        <w:tblLook w:val="04A0" w:firstRow="1" w:lastRow="0" w:firstColumn="1" w:lastColumn="0" w:noHBand="0" w:noVBand="1"/>
      </w:tblPr>
      <w:tblGrid>
        <w:gridCol w:w="9629"/>
      </w:tblGrid>
      <w:tr w:rsidR="005905B6" w:rsidRPr="00893422" w14:paraId="7C04B8C4" w14:textId="77777777" w:rsidTr="00D04740">
        <w:tc>
          <w:tcPr>
            <w:tcW w:w="9629" w:type="dxa"/>
          </w:tcPr>
          <w:p w14:paraId="7B11FC30" w14:textId="77777777" w:rsidR="005905B6" w:rsidRPr="00893422" w:rsidRDefault="005905B6" w:rsidP="00D04740">
            <w:pPr>
              <w:widowControl w:val="0"/>
              <w:spacing w:after="120"/>
              <w:rPr>
                <w:rStyle w:val="Hyperlink"/>
                <w:rFonts w:cstheme="minorBidi"/>
                <w:color w:val="auto"/>
                <w:u w:val="none"/>
                <w:lang w:val="es-ES_tradnl"/>
              </w:rPr>
            </w:pPr>
            <w:r w:rsidRPr="00893422">
              <w:rPr>
                <w:color w:val="000000"/>
                <w:lang w:val="es-ES_tradnl"/>
              </w:rPr>
              <w:t>El GADT tomó nota del proyecto de estructura de la CMDT-25.</w:t>
            </w:r>
          </w:p>
        </w:tc>
      </w:tr>
    </w:tbl>
    <w:p w14:paraId="5C3136CE" w14:textId="5022CFC7" w:rsidR="005905B6" w:rsidRPr="00893422" w:rsidRDefault="00B15CAE" w:rsidP="00B15CAE">
      <w:pPr>
        <w:pStyle w:val="Heading2"/>
        <w:rPr>
          <w:rFonts w:cstheme="minorHAnsi"/>
          <w:szCs w:val="24"/>
          <w:lang w:val="es-ES_tradnl"/>
        </w:rPr>
      </w:pPr>
      <w:r w:rsidRPr="00893422">
        <w:rPr>
          <w:lang w:val="es-ES_tradnl"/>
        </w:rPr>
        <w:t>7.4</w:t>
      </w:r>
      <w:r w:rsidRPr="00893422">
        <w:rPr>
          <w:lang w:val="es-ES_tradnl"/>
        </w:rPr>
        <w:tab/>
      </w:r>
      <w:r w:rsidR="005905B6" w:rsidRPr="00893422">
        <w:rPr>
          <w:lang w:val="es-ES_tradnl"/>
        </w:rPr>
        <w:t>Informe del Grupo de Trabajo del GADT sobre la Declaración (GT-GADT-DEC)</w:t>
      </w:r>
    </w:p>
    <w:p w14:paraId="67106390" w14:textId="4383A2CD" w:rsidR="005905B6" w:rsidRPr="00893422" w:rsidRDefault="005905B6" w:rsidP="00B15CAE">
      <w:pPr>
        <w:pStyle w:val="Headingb"/>
        <w:rPr>
          <w:lang w:val="es-ES_tradnl"/>
        </w:rPr>
      </w:pPr>
      <w:r w:rsidRPr="00893422">
        <w:rPr>
          <w:lang w:val="es-ES_tradnl"/>
        </w:rPr>
        <w:t xml:space="preserve">Documento </w:t>
      </w:r>
      <w:hyperlink r:id="rId91" w:history="1">
        <w:r w:rsidRPr="00893422">
          <w:rPr>
            <w:rStyle w:val="Hyperlink"/>
            <w:bCs/>
            <w:lang w:val="es-ES_tradnl"/>
          </w:rPr>
          <w:t>18(Rev.3)</w:t>
        </w:r>
      </w:hyperlink>
      <w:r w:rsidRPr="00893422">
        <w:rPr>
          <w:lang w:val="es-ES_tradnl"/>
        </w:rPr>
        <w:t xml:space="preserve"> (Presidente del GT-GADT-DEC) – Informe sobre los trabajos y resultados del Grupo de Trabajo del GADT sobre la Declaración</w:t>
      </w:r>
      <w:hyperlink r:id="rId92"/>
    </w:p>
    <w:p w14:paraId="7AC86646" w14:textId="77777777" w:rsidR="005905B6" w:rsidRPr="00893422" w:rsidRDefault="005905B6" w:rsidP="00B15CAE">
      <w:pPr>
        <w:rPr>
          <w:lang w:val="es-ES_tradnl"/>
        </w:rPr>
      </w:pPr>
      <w:r w:rsidRPr="00893422">
        <w:rPr>
          <w:lang w:val="es-ES_tradnl"/>
        </w:rPr>
        <w:t>El Documento 18, que contiene el proyecto de Declaración de Bakú preparado por el Grupo de Trabajo del GADT sobre la Declaración, fue presentado por el Presidente del Grupo, Dr. Abdukarim Oloyede. Como Vicepresidente del GADT en representación de la Región de África, el Dr. Oloyede también actuó como co-coordinador del Grupo de Trabajo Oficioso del GADT sobre el Foro Mundial de la Juventud. Con respecto al GT-GADT-DEC, informó sobre un proceso de redacción amplio e inclusivo sobre la base de cinco reuniones oficiales y numerosas consultas oficiosas entre diciembre de 2024 y abril de 2025. El proyecto se inspiraba en la Declaración de Kigali y hacía hincapié en la simplicidad, la claridad y valores compartidos como la inclusión, la asequibilidad y la sostenibilidad. Las aportaciones regionales se integraron mediante la participación activa en todas las RPR, y se hicieron esfuerzos para garantizar que quedaban reflejadas las principales prioridades de cada región. El proyecto de estructura incluía una introducción, una declaración, compromisos y un llamamiento a la acción. Aunque el Presidente destacó el fuerte consenso que había sobre el tema propuesto para la CMDT-25 —"</w:t>
      </w:r>
      <w:r w:rsidRPr="00373120">
        <w:rPr>
          <w:b/>
          <w:bCs/>
          <w:lang w:val="es-ES_tradnl"/>
        </w:rPr>
        <w:t>Conectividad universal, efectiva y asequible para un futuro digital inclusivo y sostenible</w:t>
      </w:r>
      <w:r w:rsidRPr="00893422">
        <w:rPr>
          <w:lang w:val="es-ES_tradnl"/>
        </w:rPr>
        <w:t>"—, también reconoció las esferas que requerían mayor debate, en particular el papel de las tecnologías espaciales y las referencias a los ODS. Durante la reunión se respondió a las inquietudes relativas al lenguaje relativo a la inteligencia artificial, que figuran en el proyecto de resultados acordado por el GADT.</w:t>
      </w:r>
    </w:p>
    <w:p w14:paraId="750878E6" w14:textId="77777777" w:rsidR="005905B6" w:rsidRPr="00893422" w:rsidRDefault="005905B6" w:rsidP="00B15CAE">
      <w:pPr>
        <w:rPr>
          <w:lang w:val="es-ES_tradnl"/>
        </w:rPr>
      </w:pPr>
      <w:r w:rsidRPr="00893422">
        <w:rPr>
          <w:lang w:val="es-ES_tradnl"/>
        </w:rPr>
        <w:t>En el debate, los Estados Unidos habían expresado su preocupación por la reintroducción de la inteligencia artificial en la declaración sin acuerdo previo y recomendaron su eliminación, haciendo hincapié en la armonización con la Resolución 214 de la Conferencia de Plenipotenciarios. Varios Estados Miembros apoyaron el mantenimiento de la neutralidad tecnológica y expresaron su preferencia por excluir las referencias a tecnologías específicas. Por el contrario, otros apoyaron el mantenimiento de las referencias a la IA, siempre que el lenguaje estuviese en consonancia con los mandatos existentes de la UIT.</w:t>
      </w:r>
    </w:p>
    <w:p w14:paraId="6112F7EE" w14:textId="033CE943" w:rsidR="005905B6" w:rsidRPr="00893422" w:rsidRDefault="005905B6" w:rsidP="005905B6">
      <w:pPr>
        <w:widowControl w:val="0"/>
        <w:spacing w:after="120"/>
        <w:rPr>
          <w:lang w:val="es-ES_tradnl"/>
        </w:rPr>
      </w:pPr>
      <w:r w:rsidRPr="00893422">
        <w:rPr>
          <w:lang w:val="es-ES_tradnl"/>
        </w:rPr>
        <w:t>Para conciliar las diferentes opiniones, se convocó a un pequeño grupo durante la pausa. A su regreso, se anunció que se había llegado a un consenso sobre la declaración y el informe que la acompañaba. Se acordó mantener la referencia a la IA, siempre que se ajustara a la Resolución</w:t>
      </w:r>
      <w:r w:rsidR="00C84F70">
        <w:rPr>
          <w:lang w:val="es-ES_tradnl"/>
        </w:rPr>
        <w:t> </w:t>
      </w:r>
      <w:r w:rsidRPr="00893422">
        <w:rPr>
          <w:lang w:val="es-ES_tradnl"/>
        </w:rPr>
        <w:t xml:space="preserve">214, y que las opiniones divergentes sobre diversos temas, incluida la transferencia de tecnología y la inclusión digital, quedaran reflejadas con precisión en el informe. Este resultado se acogió con satisfacción por ser un compromiso y una base sólida para proseguir las negociaciones </w:t>
      </w:r>
      <w:r w:rsidRPr="00893422">
        <w:rPr>
          <w:lang w:val="es-ES_tradnl"/>
        </w:rPr>
        <w:lastRenderedPageBreak/>
        <w:t xml:space="preserve">hasta la CMDT-25. La Presidenta presentó el documento como texto de referencia no vinculante para la declaración. </w:t>
      </w:r>
    </w:p>
    <w:tbl>
      <w:tblPr>
        <w:tblStyle w:val="TableGrid"/>
        <w:tblW w:w="0" w:type="auto"/>
        <w:tblLayout w:type="fixed"/>
        <w:tblLook w:val="04A0" w:firstRow="1" w:lastRow="0" w:firstColumn="1" w:lastColumn="0" w:noHBand="0" w:noVBand="1"/>
      </w:tblPr>
      <w:tblGrid>
        <w:gridCol w:w="9629"/>
      </w:tblGrid>
      <w:tr w:rsidR="005905B6" w:rsidRPr="00893422" w14:paraId="30B77CD6" w14:textId="77777777" w:rsidTr="00D04740">
        <w:tc>
          <w:tcPr>
            <w:tcW w:w="9629" w:type="dxa"/>
          </w:tcPr>
          <w:p w14:paraId="2FBE405A" w14:textId="77777777" w:rsidR="005905B6" w:rsidRPr="00893422" w:rsidRDefault="005905B6" w:rsidP="00D04740">
            <w:pPr>
              <w:widowControl w:val="0"/>
              <w:spacing w:after="120"/>
              <w:rPr>
                <w:rFonts w:ascii="Calibri" w:eastAsia="Calibri" w:hAnsi="Calibri" w:cs="Calibri"/>
                <w:sz w:val="32"/>
                <w:szCs w:val="32"/>
                <w:lang w:val="es-ES_tradnl"/>
              </w:rPr>
            </w:pPr>
            <w:r w:rsidRPr="00893422">
              <w:rPr>
                <w:color w:val="000000"/>
                <w:lang w:val="es-ES_tradnl"/>
              </w:rPr>
              <w:t>El GADT tomó nota del informe del Grupo de Trabajo sobre la Declaración y acordó poner el informe completo, incluido su anexo, a disposición de los Estados Miembros, de todos los miembros y de las organizaciones regionales de telecomunicaciones como referencia no vinculante en el marco de la preparación de la CMDT</w:t>
            </w:r>
            <w:r w:rsidRPr="00893422">
              <w:rPr>
                <w:color w:val="000000"/>
                <w:lang w:val="es-ES_tradnl"/>
              </w:rPr>
              <w:noBreakHyphen/>
              <w:t>25. El informe también se incluiría en el informe general de la Presidenta del GADT a la CMDT y se haría referencia a él para apoyar los preparativos de los Estados Miembros. El GADT también aprobó el tema de la CMDT-25 "</w:t>
            </w:r>
            <w:r w:rsidRPr="00893422">
              <w:rPr>
                <w:b/>
                <w:bCs/>
                <w:color w:val="000000"/>
                <w:lang w:val="es-ES_tradnl"/>
              </w:rPr>
              <w:t>Conectividad universal, efectiva y asequible para un futuro digital inclusivo y sostenible</w:t>
            </w:r>
            <w:r w:rsidRPr="00893422">
              <w:rPr>
                <w:color w:val="000000"/>
                <w:lang w:val="es-ES_tradnl"/>
              </w:rPr>
              <w:t>".</w:t>
            </w:r>
          </w:p>
        </w:tc>
      </w:tr>
    </w:tbl>
    <w:p w14:paraId="0A3CE3CE" w14:textId="179E69E7" w:rsidR="005905B6" w:rsidRPr="00893422" w:rsidRDefault="005905B6" w:rsidP="00B15CAE">
      <w:pPr>
        <w:pStyle w:val="Headingb"/>
        <w:rPr>
          <w:szCs w:val="24"/>
          <w:lang w:val="es-ES_tradnl"/>
        </w:rPr>
      </w:pPr>
      <w:r w:rsidRPr="00893422">
        <w:rPr>
          <w:lang w:val="es-ES_tradnl"/>
        </w:rPr>
        <w:t xml:space="preserve">Documento </w:t>
      </w:r>
      <w:hyperlink r:id="rId93" w:history="1">
        <w:r w:rsidRPr="00893422">
          <w:rPr>
            <w:rStyle w:val="Hyperlink"/>
            <w:bCs/>
            <w:lang w:val="es-ES_tradnl"/>
          </w:rPr>
          <w:t>44</w:t>
        </w:r>
      </w:hyperlink>
      <w:r w:rsidRPr="00893422">
        <w:rPr>
          <w:lang w:val="es-ES_tradnl"/>
        </w:rPr>
        <w:t xml:space="preserve"> (Liga de los Estados Árabes) – Arab Common Proposal for the Draft Revision of the Baku Declaration 2025 (Propuesta Común Árabe para el proyecto de revisión de la Declaración de Bakú de 2025)</w:t>
      </w:r>
      <w:hyperlink r:id="rId94"/>
    </w:p>
    <w:p w14:paraId="5CFC02F1" w14:textId="77777777" w:rsidR="005905B6" w:rsidRPr="00893422" w:rsidRDefault="005905B6" w:rsidP="005905B6">
      <w:pPr>
        <w:widowControl w:val="0"/>
        <w:spacing w:after="120"/>
        <w:rPr>
          <w:lang w:val="es-ES_tradnl"/>
        </w:rPr>
      </w:pPr>
      <w:r w:rsidRPr="00893422">
        <w:rPr>
          <w:lang w:val="es-ES_tradnl"/>
        </w:rPr>
        <w:t>Se informó al GADT de que el documento había sido examinado durante la reunión del GT-GADT-DEC en el proceso preparatorio de la Declaración.</w:t>
      </w:r>
    </w:p>
    <w:tbl>
      <w:tblPr>
        <w:tblStyle w:val="TableGrid"/>
        <w:tblW w:w="0" w:type="auto"/>
        <w:tblLayout w:type="fixed"/>
        <w:tblLook w:val="04A0" w:firstRow="1" w:lastRow="0" w:firstColumn="1" w:lastColumn="0" w:noHBand="0" w:noVBand="1"/>
      </w:tblPr>
      <w:tblGrid>
        <w:gridCol w:w="9629"/>
      </w:tblGrid>
      <w:tr w:rsidR="005905B6" w:rsidRPr="00893422" w14:paraId="4FE6C3FB" w14:textId="77777777" w:rsidTr="00D04740">
        <w:tc>
          <w:tcPr>
            <w:tcW w:w="9629" w:type="dxa"/>
          </w:tcPr>
          <w:p w14:paraId="4B09BEBA" w14:textId="129FBF2C" w:rsidR="005905B6" w:rsidRPr="00893422" w:rsidRDefault="005905B6" w:rsidP="00D04740">
            <w:pPr>
              <w:widowControl w:val="0"/>
              <w:spacing w:after="120"/>
              <w:rPr>
                <w:rStyle w:val="Hyperlink"/>
                <w:rFonts w:cstheme="minorBidi"/>
                <w:color w:val="auto"/>
                <w:u w:val="none"/>
                <w:lang w:val="es-ES_tradnl"/>
              </w:rPr>
            </w:pPr>
            <w:r w:rsidRPr="00893422">
              <w:rPr>
                <w:color w:val="000000"/>
                <w:lang w:val="es-ES_tradnl"/>
              </w:rPr>
              <w:t>El GADT tomó nota de esta contribución y dijo entender que las propuestas contenidas en ella se habían integrado en el informe del Grupo de Trabajo sobre la Declaración presentado en el Documento 18(Rev.3).</w:t>
            </w:r>
          </w:p>
        </w:tc>
      </w:tr>
    </w:tbl>
    <w:p w14:paraId="62F948ED" w14:textId="5EE0C3B7" w:rsidR="005905B6" w:rsidRPr="00893422" w:rsidRDefault="005905B6" w:rsidP="00B15CAE">
      <w:pPr>
        <w:pStyle w:val="Headingb"/>
        <w:rPr>
          <w:szCs w:val="24"/>
          <w:lang w:val="es-ES_tradnl"/>
        </w:rPr>
      </w:pPr>
      <w:r w:rsidRPr="00893422">
        <w:rPr>
          <w:lang w:val="es-ES_tradnl"/>
        </w:rPr>
        <w:t xml:space="preserve">Documento </w:t>
      </w:r>
      <w:hyperlink r:id="rId95" w:history="1">
        <w:r w:rsidRPr="00893422">
          <w:rPr>
            <w:rStyle w:val="Hyperlink"/>
            <w:bCs/>
            <w:lang w:val="es-ES_tradnl"/>
          </w:rPr>
          <w:t>53</w:t>
        </w:r>
      </w:hyperlink>
      <w:r w:rsidRPr="00893422">
        <w:rPr>
          <w:lang w:val="es-ES_tradnl"/>
        </w:rPr>
        <w:t xml:space="preserve"> (China (República Popular de)) – Draft proposal for the Baku Declaration 2025</w:t>
      </w:r>
      <w:r w:rsidR="00960F42">
        <w:rPr>
          <w:lang w:val="es-ES_tradnl"/>
        </w:rPr>
        <w:t xml:space="preserve"> </w:t>
      </w:r>
      <w:r w:rsidRPr="00893422">
        <w:rPr>
          <w:lang w:val="es-ES_tradnl"/>
        </w:rPr>
        <w:t>(Proyecto de propuesta para la Declaración de Bakú 2025)</w:t>
      </w:r>
      <w:hyperlink r:id="rId96"/>
    </w:p>
    <w:p w14:paraId="106F96A6" w14:textId="77777777" w:rsidR="005905B6" w:rsidRPr="00893422" w:rsidRDefault="005905B6" w:rsidP="005905B6">
      <w:pPr>
        <w:widowControl w:val="0"/>
        <w:spacing w:after="120"/>
        <w:rPr>
          <w:lang w:val="es-ES_tradnl"/>
        </w:rPr>
      </w:pPr>
      <w:r w:rsidRPr="00893422">
        <w:rPr>
          <w:lang w:val="es-ES_tradnl"/>
        </w:rPr>
        <w:t>Se informó al GADT de que el documento había sido examinado durante la reunión del GT-GADT-DEC en el proceso preparatorio de la Declaración.</w:t>
      </w:r>
    </w:p>
    <w:tbl>
      <w:tblPr>
        <w:tblStyle w:val="TableGrid"/>
        <w:tblW w:w="0" w:type="auto"/>
        <w:tblLayout w:type="fixed"/>
        <w:tblLook w:val="04A0" w:firstRow="1" w:lastRow="0" w:firstColumn="1" w:lastColumn="0" w:noHBand="0" w:noVBand="1"/>
      </w:tblPr>
      <w:tblGrid>
        <w:gridCol w:w="9629"/>
      </w:tblGrid>
      <w:tr w:rsidR="005905B6" w:rsidRPr="00893422" w14:paraId="40AD23EE" w14:textId="77777777" w:rsidTr="00D04740">
        <w:tc>
          <w:tcPr>
            <w:tcW w:w="9629" w:type="dxa"/>
          </w:tcPr>
          <w:p w14:paraId="23F31D06" w14:textId="39BFEACE" w:rsidR="005905B6" w:rsidRPr="00893422" w:rsidRDefault="005905B6" w:rsidP="00D04740">
            <w:pPr>
              <w:widowControl w:val="0"/>
              <w:spacing w:after="120"/>
              <w:rPr>
                <w:rStyle w:val="Hyperlink"/>
                <w:rFonts w:cstheme="minorBidi"/>
                <w:color w:val="auto"/>
                <w:u w:val="none"/>
                <w:lang w:val="es-ES_tradnl"/>
              </w:rPr>
            </w:pPr>
            <w:r w:rsidRPr="00893422">
              <w:rPr>
                <w:color w:val="000000"/>
                <w:lang w:val="es-ES_tradnl"/>
              </w:rPr>
              <w:t xml:space="preserve">El GADT tomó nota de esta contribución y dijo entender que las propuestas contenidas en ella se habían integrado en el Informe del Grupo de Trabajo sobre la Declaración presentado en el Documento 18(Rev.3). </w:t>
            </w:r>
          </w:p>
        </w:tc>
      </w:tr>
    </w:tbl>
    <w:p w14:paraId="4D483681" w14:textId="75AB212B" w:rsidR="005905B6" w:rsidRPr="00893422" w:rsidRDefault="005905B6" w:rsidP="00B15CAE">
      <w:pPr>
        <w:pStyle w:val="Headingb"/>
        <w:rPr>
          <w:rFonts w:cstheme="minorBidi"/>
          <w:lang w:val="es-ES_tradnl"/>
        </w:rPr>
      </w:pPr>
      <w:r w:rsidRPr="00893422">
        <w:rPr>
          <w:lang w:val="es-ES_tradnl"/>
        </w:rPr>
        <w:t xml:space="preserve">Documento </w:t>
      </w:r>
      <w:hyperlink r:id="rId97" w:history="1">
        <w:r w:rsidRPr="00893422">
          <w:rPr>
            <w:rStyle w:val="Hyperlink"/>
            <w:bCs/>
            <w:lang w:val="es-ES_tradnl"/>
          </w:rPr>
          <w:t>57</w:t>
        </w:r>
      </w:hyperlink>
      <w:r w:rsidRPr="00893422">
        <w:rPr>
          <w:lang w:val="es-ES_tradnl"/>
        </w:rPr>
        <w:t xml:space="preserve"> (Estados Unidos) – Proposed Revisions to Draft WTDC-25 Declaration (Propuestas de revisión del proyecto de Declaración de la CMDT-25)</w:t>
      </w:r>
      <w:hyperlink r:id="rId98"/>
    </w:p>
    <w:p w14:paraId="665FD2EB" w14:textId="77777777" w:rsidR="005905B6" w:rsidRPr="00893422" w:rsidRDefault="005905B6" w:rsidP="005905B6">
      <w:pPr>
        <w:widowControl w:val="0"/>
        <w:spacing w:after="120"/>
        <w:rPr>
          <w:lang w:val="es-ES_tradnl"/>
        </w:rPr>
      </w:pPr>
      <w:r w:rsidRPr="00893422">
        <w:rPr>
          <w:lang w:val="es-ES_tradnl"/>
        </w:rPr>
        <w:t>Se informó al GADT de que el documento había sido examinado durante la reunión del GT-GADT-DEC en el proceso preparatorio de la Declaración.</w:t>
      </w:r>
    </w:p>
    <w:tbl>
      <w:tblPr>
        <w:tblStyle w:val="TableGrid"/>
        <w:tblW w:w="0" w:type="auto"/>
        <w:tblLayout w:type="fixed"/>
        <w:tblLook w:val="04A0" w:firstRow="1" w:lastRow="0" w:firstColumn="1" w:lastColumn="0" w:noHBand="0" w:noVBand="1"/>
      </w:tblPr>
      <w:tblGrid>
        <w:gridCol w:w="9629"/>
      </w:tblGrid>
      <w:tr w:rsidR="005905B6" w:rsidRPr="00893422" w14:paraId="704D7F20" w14:textId="77777777" w:rsidTr="00D04740">
        <w:tc>
          <w:tcPr>
            <w:tcW w:w="9629" w:type="dxa"/>
          </w:tcPr>
          <w:p w14:paraId="052B7C55" w14:textId="2BCB8527" w:rsidR="005905B6" w:rsidRPr="00893422" w:rsidRDefault="005905B6" w:rsidP="00D04740">
            <w:pPr>
              <w:keepNext/>
              <w:keepLines/>
              <w:widowControl w:val="0"/>
              <w:spacing w:after="120"/>
              <w:rPr>
                <w:rStyle w:val="Hyperlink"/>
                <w:rFonts w:cstheme="minorBidi"/>
                <w:color w:val="auto"/>
                <w:u w:val="none"/>
                <w:lang w:val="es-ES_tradnl"/>
              </w:rPr>
            </w:pPr>
            <w:r w:rsidRPr="00893422">
              <w:rPr>
                <w:color w:val="000000"/>
                <w:lang w:val="es-ES_tradnl"/>
              </w:rPr>
              <w:t xml:space="preserve">El GADT tomó nota de esta contribución y dijo entender que las propuestas contenidas en ella se habían integrado en el informe del Grupo de Trabajo sobre la Declaración presentado en el Documento 18(Rev.3). </w:t>
            </w:r>
          </w:p>
        </w:tc>
      </w:tr>
    </w:tbl>
    <w:p w14:paraId="6812DBF1" w14:textId="27C36E12" w:rsidR="005905B6" w:rsidRPr="00893422" w:rsidRDefault="00B15CAE" w:rsidP="00B15CAE">
      <w:pPr>
        <w:pStyle w:val="Heading2"/>
        <w:rPr>
          <w:rFonts w:cstheme="minorHAnsi"/>
          <w:szCs w:val="24"/>
          <w:lang w:val="es-ES_tradnl"/>
        </w:rPr>
      </w:pPr>
      <w:r w:rsidRPr="00893422">
        <w:rPr>
          <w:lang w:val="es-ES_tradnl"/>
        </w:rPr>
        <w:t>7.5</w:t>
      </w:r>
      <w:r w:rsidRPr="00893422">
        <w:rPr>
          <w:lang w:val="es-ES_tradnl"/>
        </w:rPr>
        <w:tab/>
      </w:r>
      <w:r w:rsidR="005905B6" w:rsidRPr="00893422">
        <w:rPr>
          <w:lang w:val="es-ES_tradnl"/>
        </w:rPr>
        <w:t>Informe del Grupo de Trabajo del GADT sobre el Futuro de las Cuestiones de las Comisiones de Estudio (GT-GADT-futurasCCE)</w:t>
      </w:r>
    </w:p>
    <w:p w14:paraId="368CAD5A" w14:textId="3C9E9BCB" w:rsidR="005905B6" w:rsidRPr="00893422" w:rsidRDefault="005905B6" w:rsidP="00B15CAE">
      <w:pPr>
        <w:pStyle w:val="Headingb"/>
        <w:rPr>
          <w:lang w:val="es-ES_tradnl"/>
        </w:rPr>
      </w:pPr>
      <w:r w:rsidRPr="00893422">
        <w:rPr>
          <w:lang w:val="es-ES_tradnl"/>
        </w:rPr>
        <w:t xml:space="preserve">Documento </w:t>
      </w:r>
      <w:hyperlink r:id="rId99" w:history="1">
        <w:r w:rsidRPr="00893422">
          <w:rPr>
            <w:rStyle w:val="Hyperlink"/>
            <w:bCs/>
            <w:lang w:val="es-ES_tradnl"/>
          </w:rPr>
          <w:t>19(Rev.2)</w:t>
        </w:r>
      </w:hyperlink>
      <w:r w:rsidRPr="00893422">
        <w:rPr>
          <w:lang w:val="es-ES_tradnl"/>
        </w:rPr>
        <w:t xml:space="preserve"> (Presidente del GT-GADT-futurasCCE) </w:t>
      </w:r>
      <w:r w:rsidR="00B15CAE" w:rsidRPr="00893422">
        <w:rPr>
          <w:lang w:val="es-ES_tradnl"/>
        </w:rPr>
        <w:t xml:space="preserve">– </w:t>
      </w:r>
      <w:r w:rsidRPr="00893422">
        <w:rPr>
          <w:lang w:val="es-ES_tradnl"/>
        </w:rPr>
        <w:t>Informe relativo al Grupo de Trabajo del GADT sobre el futuro de las Cuestiones de las Comisiones de Estudio (GT-GADT-futurasCCE).</w:t>
      </w:r>
      <w:hyperlink r:id="rId100"/>
    </w:p>
    <w:p w14:paraId="4DE338C0" w14:textId="77777777" w:rsidR="005905B6" w:rsidRPr="00893422" w:rsidRDefault="005905B6" w:rsidP="00B15CAE">
      <w:pPr>
        <w:rPr>
          <w:rFonts w:ascii="Calibri" w:hAnsi="Calibri"/>
          <w:color w:val="000000" w:themeColor="text1"/>
          <w:szCs w:val="24"/>
          <w:lang w:val="es-ES_tradnl"/>
        </w:rPr>
      </w:pPr>
      <w:r w:rsidRPr="00893422">
        <w:rPr>
          <w:lang w:val="es-ES_tradnl"/>
        </w:rPr>
        <w:t xml:space="preserve">El Documento 19(Rev.2) fue presentado por el Presidente del GT-GADT-futurasCCE, el Dr. Ahmad Sharafat, como informe final de este Grupo de Trabajo del GADT. El Dr. Sharafat actuó como uno </w:t>
      </w:r>
      <w:r w:rsidRPr="00893422">
        <w:rPr>
          <w:lang w:val="es-ES_tradnl"/>
        </w:rPr>
        <w:lastRenderedPageBreak/>
        <w:t>de los dos Vicepresidente del GADT en representación de Asia y el Pacífico, y como representante del GADT en el GCIS y Vicepresidente del Grupo de Trabajo del GADT sobre las Prioridades del UIT-D. Con respecto al GT-GADT-futurasCCE, el Dr. Sharafat describió en líneas generales el mandato del grupo, el cual consistía en ayudar a los Estados Miembros a prepararse para la CMDT-25 examinando la estructura y el contenido de las Cuestiones de Estudio y armonizándolas con las prioridades del UIT-D, las Iniciativas Regionales y los Objetivos de Desarrollo Sostenible. En el informe se consolidaban amplias consultas, incluidas aportaciones de organizaciones regionales y Estados Miembros, y se culminaba con la propuesta de mantener dos Comisiones de Estudio, cada una con cinco cuestiones simplificadas. El Apéndice 4 del Informe contenía las revisiones propuestas a la Resolución 2, incluidos los alcances y títulos actualizados de las preguntas, mientras que en el Apéndice 5 se recopilaban las modificaciones propuestas al mandato, que no se debatieron en detalle durante las reuniones del Grupo.</w:t>
      </w:r>
    </w:p>
    <w:p w14:paraId="2104FC89" w14:textId="77777777" w:rsidR="005905B6" w:rsidRPr="00893422" w:rsidRDefault="005905B6" w:rsidP="005905B6">
      <w:pPr>
        <w:spacing w:after="120"/>
        <w:rPr>
          <w:rFonts w:ascii="Calibri" w:hAnsi="Calibri"/>
          <w:color w:val="000000" w:themeColor="text1"/>
          <w:szCs w:val="24"/>
          <w:lang w:val="es-ES_tradnl"/>
        </w:rPr>
      </w:pPr>
      <w:r w:rsidRPr="00893422">
        <w:rPr>
          <w:lang w:val="es-ES_tradnl"/>
        </w:rPr>
        <w:t>Durante el debate, los Estados Miembros elogiaron ampliamente el proceso transparente e inclusivo del Grupo de Trabajo. Un Estado Miembro pidió aclaraciones sobre cómo se tratarían los diversos anexos en el contexto de la CMDT, haciendo hincapié en la necesidad de distinguir entre las propuestas acordadas y el contenido informativo. El Presidente y el Director de la BDT aclararon que el Apéndice 4 podría servir de documento de base no vinculante para los preparativos de la CMDT, mientras que el informe completo, incluidos todos los apéndices, se pondría a disposición de los Estados Miembros para ayudarles a redactar sus propuestas. Varias delegaciones apoyaron este enfoque y destacaron el valor del informe para evitar duplicaciones y mejorar la coordinación regional. Se acordó que el GADT incluiría el informe en sus resultados oficiales y que establecería claramente la naturaleza y finalidad de cada apéndice, en particular para velar por la transparencia y la utilidad durante las reuniones interregionales y la propia CMDT. La Presidenta concluyó afirmando que la propuesta de tratar el documento quedaría reflejada en las conclusiones de la reunión.</w:t>
      </w:r>
    </w:p>
    <w:tbl>
      <w:tblPr>
        <w:tblStyle w:val="TableGrid"/>
        <w:tblW w:w="0" w:type="auto"/>
        <w:tblLayout w:type="fixed"/>
        <w:tblLook w:val="04A0" w:firstRow="1" w:lastRow="0" w:firstColumn="1" w:lastColumn="0" w:noHBand="0" w:noVBand="1"/>
      </w:tblPr>
      <w:tblGrid>
        <w:gridCol w:w="9629"/>
      </w:tblGrid>
      <w:tr w:rsidR="005905B6" w:rsidRPr="00893422" w14:paraId="0855BA38" w14:textId="77777777" w:rsidTr="00D04740">
        <w:tc>
          <w:tcPr>
            <w:tcW w:w="9629" w:type="dxa"/>
          </w:tcPr>
          <w:p w14:paraId="5758E4FE" w14:textId="77777777" w:rsidR="005905B6" w:rsidRPr="00893422" w:rsidRDefault="005905B6" w:rsidP="00D04740">
            <w:pPr>
              <w:widowControl w:val="0"/>
              <w:spacing w:after="120"/>
              <w:rPr>
                <w:rFonts w:ascii="Calibri" w:hAnsi="Calibri" w:cs="Calibri"/>
                <w:lang w:val="es-ES_tradnl"/>
              </w:rPr>
            </w:pPr>
            <w:r w:rsidRPr="00893422">
              <w:rPr>
                <w:color w:val="000000"/>
                <w:lang w:val="es-ES_tradnl"/>
              </w:rPr>
              <w:t>El GADT tomó nota del informe del Grupo de Trabajo sobre la Declaración y acordó poner el informe completo, incluido su anexo, a disposición de los Estados Miembros, de todos los miembros y de las organizaciones regionales de telecomunicaciones como referencia no vinculante en el marco de los preparativos de la CMDT</w:t>
            </w:r>
            <w:r w:rsidRPr="00893422">
              <w:rPr>
                <w:color w:val="000000"/>
                <w:lang w:val="es-ES_tradnl"/>
              </w:rPr>
              <w:noBreakHyphen/>
              <w:t>25. El informe del Grupo de Trabajo también se incluiría en el informe general de la Presidenta del GADT a la CMDT y se haría referencia a él para apoyar los preparativos de los Estados Miembros.</w:t>
            </w:r>
          </w:p>
        </w:tc>
      </w:tr>
    </w:tbl>
    <w:p w14:paraId="5BD5B6EE" w14:textId="1A21E4FE" w:rsidR="005905B6" w:rsidRPr="00893422" w:rsidRDefault="005905B6" w:rsidP="00B15CAE">
      <w:pPr>
        <w:pStyle w:val="Headingb"/>
        <w:rPr>
          <w:szCs w:val="24"/>
          <w:lang w:val="es-ES_tradnl"/>
        </w:rPr>
      </w:pPr>
      <w:r w:rsidRPr="00893422">
        <w:rPr>
          <w:lang w:val="es-ES_tradnl"/>
        </w:rPr>
        <w:t xml:space="preserve">Documento </w:t>
      </w:r>
      <w:hyperlink r:id="rId101" w:history="1">
        <w:r w:rsidRPr="00893422">
          <w:rPr>
            <w:rStyle w:val="Hyperlink"/>
            <w:bCs/>
            <w:lang w:val="es-ES_tradnl"/>
          </w:rPr>
          <w:t>42</w:t>
        </w:r>
      </w:hyperlink>
      <w:r w:rsidRPr="00893422">
        <w:rPr>
          <w:lang w:val="es-ES_tradnl"/>
        </w:rPr>
        <w:t xml:space="preserve"> (Telecomunidad Asia-Pacífico (APT)) </w:t>
      </w:r>
      <w:r w:rsidR="00B15CAE" w:rsidRPr="00893422">
        <w:rPr>
          <w:lang w:val="es-ES_tradnl"/>
        </w:rPr>
        <w:t>–</w:t>
      </w:r>
      <w:r w:rsidRPr="00893422">
        <w:rPr>
          <w:lang w:val="es-ES_tradnl"/>
        </w:rPr>
        <w:t xml:space="preserve"> APT view on Study Questions for 2025-2029 Study Period (Opinión de la APT sobre las Cuestiones de las Comisiones de Estudio para el Periodo de Estudios 2025-2029)</w:t>
      </w:r>
      <w:hyperlink r:id="rId102"/>
    </w:p>
    <w:p w14:paraId="30D7B855" w14:textId="77777777" w:rsidR="005905B6" w:rsidRPr="00893422" w:rsidRDefault="005905B6" w:rsidP="005905B6">
      <w:pPr>
        <w:spacing w:after="120"/>
        <w:rPr>
          <w:rFonts w:ascii="Calibri" w:hAnsi="Calibri"/>
          <w:color w:val="000000" w:themeColor="text1"/>
          <w:szCs w:val="24"/>
          <w:lang w:val="es-ES_tradnl"/>
        </w:rPr>
      </w:pPr>
      <w:r w:rsidRPr="00893422">
        <w:rPr>
          <w:lang w:val="es-ES_tradnl"/>
        </w:rPr>
        <w:t>El Documento 42, que contiene las opiniones de la Telecomunidad Asia-Pacífico (APT) para el periodo de estudios 2025-2029, no se presentó oficialmente durante la plenaria, pero fue reconocido por el Dr. Ahmad Sharafat, Presidente del Grupo de Trabajo sobre el Futuro de las Cuestiones de las Comisiones de Estudio. El Presidente confirmó que la contribución de la APT se había tenido plenamente en cuenta durante las consultas del Grupo y se había integrado en las propuestas consolidadas que figuraban en el Documento 19(Rev.2). El Vicepresidente del Grupo de Trabajo 1 de la APT también confirmó que las opiniones expresadas en el Documento 42 ya habían sido representadas en los debates del Grupo de Trabajo. En consecuencia, el GADT tomó nota del documento sin más debate, y lo reconoció como una importante contribución regional que había servido de base para la convergencia más amplia en torno a la reforma de las Cuestiones de Estudio antes de la CMDT-25.</w:t>
      </w:r>
    </w:p>
    <w:tbl>
      <w:tblPr>
        <w:tblStyle w:val="TableGrid"/>
        <w:tblW w:w="0" w:type="auto"/>
        <w:tblLayout w:type="fixed"/>
        <w:tblLook w:val="04A0" w:firstRow="1" w:lastRow="0" w:firstColumn="1" w:lastColumn="0" w:noHBand="0" w:noVBand="1"/>
      </w:tblPr>
      <w:tblGrid>
        <w:gridCol w:w="9629"/>
      </w:tblGrid>
      <w:tr w:rsidR="005905B6" w:rsidRPr="00893422" w14:paraId="1F467030" w14:textId="77777777" w:rsidTr="00D04740">
        <w:tc>
          <w:tcPr>
            <w:tcW w:w="9629" w:type="dxa"/>
          </w:tcPr>
          <w:p w14:paraId="5EC74F9F" w14:textId="77777777" w:rsidR="005905B6" w:rsidRPr="00893422" w:rsidRDefault="005905B6" w:rsidP="00B15CAE">
            <w:pPr>
              <w:keepNext/>
              <w:keepLines/>
              <w:spacing w:after="120"/>
              <w:rPr>
                <w:rStyle w:val="Hyperlink"/>
                <w:rFonts w:cstheme="minorBidi"/>
                <w:color w:val="auto"/>
                <w:u w:val="none"/>
                <w:lang w:val="es-ES_tradnl"/>
              </w:rPr>
            </w:pPr>
            <w:r w:rsidRPr="00893422">
              <w:rPr>
                <w:color w:val="000000"/>
                <w:lang w:val="es-ES_tradnl"/>
              </w:rPr>
              <w:lastRenderedPageBreak/>
              <w:t>El GADT tomó nota de la contribución y dijo entender que las propuestas contenidas en ella se habían integrado en el informe del Grupo de Trabajo sobre el Futuro de las Cuestiones de las Comisiones de Estudio presentado en el Documento 19(Rev.2).</w:t>
            </w:r>
          </w:p>
        </w:tc>
      </w:tr>
    </w:tbl>
    <w:p w14:paraId="6C4AAAB7" w14:textId="2428A7F4" w:rsidR="005905B6" w:rsidRPr="00893422" w:rsidRDefault="005905B6" w:rsidP="00B15CAE">
      <w:pPr>
        <w:pStyle w:val="Headingb"/>
        <w:rPr>
          <w:rFonts w:cstheme="minorBidi"/>
          <w:lang w:val="es-ES_tradnl"/>
        </w:rPr>
      </w:pPr>
      <w:r w:rsidRPr="00893422">
        <w:rPr>
          <w:lang w:val="es-ES_tradnl"/>
        </w:rPr>
        <w:t xml:space="preserve">Documento </w:t>
      </w:r>
      <w:hyperlink r:id="rId103" w:history="1">
        <w:r w:rsidRPr="00893422">
          <w:rPr>
            <w:rStyle w:val="Hyperlink"/>
            <w:bCs/>
            <w:lang w:val="es-ES_tradnl"/>
          </w:rPr>
          <w:t>47</w:t>
        </w:r>
      </w:hyperlink>
      <w:r w:rsidRPr="00893422">
        <w:rPr>
          <w:lang w:val="es-ES_tradnl"/>
        </w:rPr>
        <w:t xml:space="preserve"> (Egipto y Jordania) </w:t>
      </w:r>
      <w:r w:rsidR="00B15CAE" w:rsidRPr="00893422">
        <w:rPr>
          <w:lang w:val="es-ES_tradnl"/>
        </w:rPr>
        <w:t>–</w:t>
      </w:r>
      <w:r w:rsidRPr="00893422">
        <w:rPr>
          <w:lang w:val="es-ES_tradnl"/>
        </w:rPr>
        <w:t xml:space="preserve"> Future of Study Group Questions (Futuro de las Cuestiones de las Comisiones de Estudio)</w:t>
      </w:r>
      <w:hyperlink r:id="rId104"/>
    </w:p>
    <w:p w14:paraId="0784210D" w14:textId="77777777" w:rsidR="005905B6" w:rsidRPr="00893422" w:rsidRDefault="005905B6" w:rsidP="006E635C">
      <w:pPr>
        <w:rPr>
          <w:lang w:val="es-ES_tradnl"/>
        </w:rPr>
      </w:pPr>
      <w:r w:rsidRPr="00893422">
        <w:rPr>
          <w:lang w:val="es-ES_tradnl"/>
        </w:rPr>
        <w:t>Jordania presentó una contribución en nombre de la Liga de los Estados Árabes sobre el futuro de las Cuestiones de Estudio del UIT-D (Documento 47). En la presentación se expusieron en términos generales las consultas regionales que habían servido de base para la propuesta, incluida una reunión celebrada en Ammán, y se hizo hincapié en la necesidad de racionalizar y actualizar las Cuestiones de Estudio, manteniendo al mismo tiempo la coherencia con las prioridades regionales. La propuesta apoyaba la reducción del número de Cuestiones de siete a cinco por Comisión de Estudio e introducía cinco pilares temáticos para orientar la reestructuración. Entre las recomendaciones concretas figuraba la ampliación de la atención a la resiliencia y flexibilidad en las telecomunicaciones de emergencia, la integración de consideraciones relativas a los costes en los debates sobre accesibilidad y la actualización de las Cuestiones relacionadas con la ciberseguridad para reflejar las nuevas amenazas, como las violaciones de datos y los ataques selectivos. Los Estados Árabes también pidieron que se suprimiera el término "prácticas idóneas" del lenguaje de las Cuestiones y propusieron consolidar temas como la IA, el metaverso y la innovación reglamentaria en una cuestión más amplia sobre nuevas tendencias y tecnologías.</w:t>
      </w:r>
    </w:p>
    <w:p w14:paraId="72F498DB" w14:textId="77777777" w:rsidR="005905B6" w:rsidRPr="00893422" w:rsidRDefault="005905B6" w:rsidP="005905B6">
      <w:pPr>
        <w:spacing w:after="120"/>
        <w:rPr>
          <w:lang w:val="es-ES_tradnl"/>
        </w:rPr>
      </w:pPr>
      <w:r w:rsidRPr="00893422">
        <w:rPr>
          <w:lang w:val="es-ES_tradnl"/>
        </w:rPr>
        <w:t>Durante el debate, otro delegado expresó su apoyo a las actualizaciones propuestas y destacó la importancia de incluir las dimensiones de costos y reglamentarias en las futuras Cuestiones. El Dr. Sharafat, Presidente del Grupo de Trabajo sobre el Futuro de las Cuestiones de las Comisiones de Estudio, confirmó que las contribuciones de los Estados Árabes ya habían sido examinadas e incorporadas a las deliberaciones del Grupo de Trabajo, y que se reflejaban en el Apéndice 3 del Documento 19(Rev.2). La Presidenta dio las gracias a Jordania por compartir las opiniones de los Estados Árabes y reconoció que su contribución era una parte valiosa del esfuerzo más amplio de creación de consenso.</w:t>
      </w:r>
    </w:p>
    <w:tbl>
      <w:tblPr>
        <w:tblStyle w:val="TableGrid"/>
        <w:tblW w:w="0" w:type="auto"/>
        <w:tblLayout w:type="fixed"/>
        <w:tblLook w:val="04A0" w:firstRow="1" w:lastRow="0" w:firstColumn="1" w:lastColumn="0" w:noHBand="0" w:noVBand="1"/>
      </w:tblPr>
      <w:tblGrid>
        <w:gridCol w:w="9629"/>
      </w:tblGrid>
      <w:tr w:rsidR="005905B6" w:rsidRPr="00893422" w14:paraId="047D4202" w14:textId="77777777" w:rsidTr="00D04740">
        <w:tc>
          <w:tcPr>
            <w:tcW w:w="9629" w:type="dxa"/>
          </w:tcPr>
          <w:p w14:paraId="2C98FF0C" w14:textId="77777777" w:rsidR="005905B6" w:rsidRPr="00893422" w:rsidRDefault="005905B6" w:rsidP="00D04740">
            <w:pPr>
              <w:widowControl w:val="0"/>
              <w:spacing w:after="120"/>
              <w:rPr>
                <w:rStyle w:val="Hyperlink"/>
                <w:rFonts w:cstheme="minorBidi"/>
                <w:color w:val="auto"/>
                <w:u w:val="none"/>
                <w:lang w:val="es-ES_tradnl"/>
              </w:rPr>
            </w:pPr>
            <w:r w:rsidRPr="00893422">
              <w:rPr>
                <w:color w:val="000000"/>
                <w:lang w:val="es-ES_tradnl"/>
              </w:rPr>
              <w:t>El GADT tomó nota de esta contribución y dijo entender que las propuestas contenidas en ella se habían integrado en el Informe del Grupo de Trabajo sobre el Futuro de las Cuestiones de las Comisiones de Estudio presentado en el Documento 19(Rev.2).</w:t>
            </w:r>
          </w:p>
        </w:tc>
      </w:tr>
    </w:tbl>
    <w:p w14:paraId="545A079D" w14:textId="0DC6A1C9" w:rsidR="005905B6" w:rsidRPr="00893422" w:rsidRDefault="006E635C" w:rsidP="006E635C">
      <w:pPr>
        <w:pStyle w:val="Heading2"/>
        <w:rPr>
          <w:rFonts w:cstheme="minorHAnsi"/>
          <w:szCs w:val="24"/>
          <w:lang w:val="es-ES_tradnl"/>
        </w:rPr>
      </w:pPr>
      <w:r w:rsidRPr="00893422">
        <w:rPr>
          <w:lang w:val="es-ES_tradnl"/>
        </w:rPr>
        <w:t>7.6</w:t>
      </w:r>
      <w:r w:rsidRPr="00893422">
        <w:rPr>
          <w:lang w:val="es-ES_tradnl"/>
        </w:rPr>
        <w:tab/>
      </w:r>
      <w:r w:rsidR="005905B6" w:rsidRPr="00893422">
        <w:rPr>
          <w:lang w:val="es-ES_tradnl"/>
        </w:rPr>
        <w:t>Informe del Grupo de Trabajo del GADT sobre la Racionalización de las Resoluciones (GT-GADT-RR)</w:t>
      </w:r>
    </w:p>
    <w:p w14:paraId="1CE2F76A" w14:textId="2317E6FD" w:rsidR="005905B6" w:rsidRPr="00893422" w:rsidRDefault="005905B6" w:rsidP="006E635C">
      <w:pPr>
        <w:pStyle w:val="Headingb"/>
        <w:rPr>
          <w:lang w:val="es-ES_tradnl"/>
        </w:rPr>
      </w:pPr>
      <w:r w:rsidRPr="00893422">
        <w:rPr>
          <w:lang w:val="es-ES_tradnl"/>
        </w:rPr>
        <w:t xml:space="preserve">Documento </w:t>
      </w:r>
      <w:hyperlink r:id="rId105" w:history="1">
        <w:r w:rsidRPr="00893422">
          <w:rPr>
            <w:rStyle w:val="Hyperlink"/>
            <w:bCs/>
            <w:lang w:val="es-ES_tradnl"/>
          </w:rPr>
          <w:t>20(Rev.1)</w:t>
        </w:r>
      </w:hyperlink>
      <w:r w:rsidRPr="00893422">
        <w:rPr>
          <w:lang w:val="es-ES_tradnl"/>
        </w:rPr>
        <w:t xml:space="preserve"> (Presidenta del GT-GADT-RR) -Informe relativo al Grupo de Trabajo del GADT sobre la racionalización de las Resoluciones (GT-GADT-RR)</w:t>
      </w:r>
      <w:hyperlink r:id="rId106"/>
    </w:p>
    <w:p w14:paraId="4A3A6E21" w14:textId="77777777" w:rsidR="005905B6" w:rsidRPr="00893422" w:rsidRDefault="005905B6" w:rsidP="006E635C">
      <w:pPr>
        <w:rPr>
          <w:rFonts w:ascii="Calibri" w:eastAsia="Calibri" w:hAnsi="Calibri" w:cs="Calibri"/>
          <w:lang w:val="es-ES_tradnl"/>
        </w:rPr>
      </w:pPr>
      <w:r w:rsidRPr="00893422">
        <w:rPr>
          <w:lang w:val="es-ES_tradnl"/>
        </w:rPr>
        <w:t>La Presidenta del GT-GADT-RR, la Sra. Andrea Grippa, una de las dos Vicepresidentas del GADT para la región de las Américas, presentó un informe sobre las actividades del Grupo de Trabajo, el cual había celebrado seis reuniones a lo largo de unos 18 meses, incluida la última del 2 de mayo de 2025.</w:t>
      </w:r>
    </w:p>
    <w:p w14:paraId="3E9FD2E9" w14:textId="77777777" w:rsidR="005905B6" w:rsidRPr="00893422" w:rsidRDefault="005905B6" w:rsidP="006E635C">
      <w:pPr>
        <w:rPr>
          <w:rFonts w:ascii="Calibri" w:eastAsia="Calibri" w:hAnsi="Calibri" w:cs="Calibri"/>
          <w:lang w:val="es-ES_tradnl"/>
        </w:rPr>
      </w:pPr>
      <w:r w:rsidRPr="00893422">
        <w:rPr>
          <w:lang w:val="es-ES_tradnl"/>
        </w:rPr>
        <w:t xml:space="preserve">En el informe se describe el enfoque adoptado: las resoluciones se han agrupado en diez (10) grupos temáticos; Australia, el Brasil, el Canadá, Ghana, la Federación de Rusia, Malasia, la República Dominicana y el Sudán se ofrecieron voluntariamente para coordinar seis de ellos. Se presentaron varias contribuciones sobre las Resoluciones de la CMDT al GT-GADT-RR, que se </w:t>
      </w:r>
      <w:r w:rsidRPr="00893422">
        <w:rPr>
          <w:lang w:val="es-ES_tradnl"/>
        </w:rPr>
        <w:lastRenderedPageBreak/>
        <w:t xml:space="preserve">resumen en el Anexo al Documento 20. La Presidenta aconsejo poder presentar nuevas contribuciones en las próximas reuniones interregionales (RIR) virtuales que se celebrarían en julio y septiembre de 2025. Varias delegaciones comentaron que, al racionalizar las resoluciones, los miembros debían tener cuidado de no diluir o perder el contenido de una resolución de la CMDT, en particular en lo relativo a cuestiones específicas del Sector de Desarrollo. </w:t>
      </w:r>
    </w:p>
    <w:p w14:paraId="146B1634" w14:textId="77777777" w:rsidR="005905B6" w:rsidRPr="00893422" w:rsidRDefault="005905B6" w:rsidP="005905B6">
      <w:pPr>
        <w:spacing w:after="120"/>
        <w:rPr>
          <w:rFonts w:ascii="Calibri" w:eastAsia="Calibri" w:hAnsi="Calibri" w:cs="Calibri"/>
          <w:lang w:val="es-ES_tradnl"/>
        </w:rPr>
      </w:pPr>
      <w:r w:rsidRPr="00893422">
        <w:rPr>
          <w:lang w:val="es-ES_tradnl"/>
        </w:rPr>
        <w:t>Durante el GADT, Burundi se ofreció voluntario para contribuir a la racionalización de las resoluciones del grupo 8 sobre seguridad y conformidad y del grupo 10 sobre innovación. Se felicitó a la Presidenta del GT-GADT-RR por la buena organización y el trabajo de todo un año, y se agradeció a los participantes del Grupo de Trabajo las contribuciones recibidas.</w:t>
      </w:r>
    </w:p>
    <w:tbl>
      <w:tblPr>
        <w:tblStyle w:val="TableGrid"/>
        <w:tblW w:w="0" w:type="auto"/>
        <w:tblLayout w:type="fixed"/>
        <w:tblLook w:val="04A0" w:firstRow="1" w:lastRow="0" w:firstColumn="1" w:lastColumn="0" w:noHBand="0" w:noVBand="1"/>
      </w:tblPr>
      <w:tblGrid>
        <w:gridCol w:w="9629"/>
      </w:tblGrid>
      <w:tr w:rsidR="005905B6" w:rsidRPr="00893422" w14:paraId="006D12FA" w14:textId="77777777" w:rsidTr="00D04740">
        <w:tc>
          <w:tcPr>
            <w:tcW w:w="9629" w:type="dxa"/>
          </w:tcPr>
          <w:p w14:paraId="6B3F8F65" w14:textId="060D0EAD" w:rsidR="005905B6" w:rsidRPr="00893422" w:rsidRDefault="005905B6" w:rsidP="00D04740">
            <w:pPr>
              <w:widowControl w:val="0"/>
              <w:spacing w:after="120"/>
              <w:rPr>
                <w:rStyle w:val="Hyperlink"/>
                <w:rFonts w:cstheme="minorBidi"/>
                <w:color w:val="auto"/>
                <w:u w:val="none"/>
                <w:lang w:val="es-ES_tradnl"/>
              </w:rPr>
            </w:pPr>
            <w:r w:rsidRPr="00893422">
              <w:rPr>
                <w:color w:val="000000"/>
                <w:lang w:val="es-ES_tradnl"/>
              </w:rPr>
              <w:t>El GADT tomó nota del informe del Grupo de Trabajo sobre la Racionalización de las Resoluciones y acordó poner el informe completo, incluido su anexo, a disposición de los Estados Miembros, de todos los miembros y de las organizaciones regionales de telecomunicaciones como referencia no vinculante en el marco de los preparativos de la</w:t>
            </w:r>
            <w:r w:rsidR="00F1746F">
              <w:rPr>
                <w:color w:val="000000"/>
                <w:lang w:val="es-ES_tradnl"/>
              </w:rPr>
              <w:t> </w:t>
            </w:r>
            <w:r w:rsidRPr="00893422">
              <w:rPr>
                <w:color w:val="000000"/>
                <w:lang w:val="es-ES_tradnl"/>
              </w:rPr>
              <w:t>CMDT</w:t>
            </w:r>
            <w:r w:rsidRPr="00893422">
              <w:rPr>
                <w:color w:val="000000"/>
                <w:lang w:val="es-ES_tradnl"/>
              </w:rPr>
              <w:noBreakHyphen/>
              <w:t>25. El informe también se incluiría en el informe general de la Presidenta del GADT a la</w:t>
            </w:r>
            <w:r w:rsidR="00F1746F">
              <w:rPr>
                <w:color w:val="000000"/>
                <w:lang w:val="es-ES_tradnl"/>
              </w:rPr>
              <w:t> </w:t>
            </w:r>
            <w:r w:rsidRPr="00893422">
              <w:rPr>
                <w:color w:val="000000"/>
                <w:lang w:val="es-ES_tradnl"/>
              </w:rPr>
              <w:t>CMDT y se haría referencia a él para apoyar los preparativos de los Estados Miembros. Los voluntarios de los diversos grupos fueron Australia, el Brasil, el Canadá, la Federación de Rusia, Ghana, Malasia, la República Dominicana y el Sudán. Burundi se ofreció voluntario para contribuir en el grupo 8 sobre seguridad y conformidad y el grupo 10 sobre innovación. Podían presentarse a las RIR nuevas contribuciones de los miembros con propuestas de racionalización, ya que todos los Grupos de Trabajo del GADT habían concluido sus trabajos.</w:t>
            </w:r>
          </w:p>
        </w:tc>
      </w:tr>
    </w:tbl>
    <w:p w14:paraId="737DA8E7" w14:textId="412418EB" w:rsidR="005905B6" w:rsidRPr="00893422" w:rsidRDefault="006E635C" w:rsidP="006E635C">
      <w:pPr>
        <w:pStyle w:val="Heading2"/>
        <w:rPr>
          <w:rFonts w:cstheme="minorHAnsi"/>
          <w:szCs w:val="24"/>
          <w:lang w:val="es-ES_tradnl"/>
        </w:rPr>
      </w:pPr>
      <w:r w:rsidRPr="00893422">
        <w:rPr>
          <w:lang w:val="es-ES_tradnl"/>
        </w:rPr>
        <w:t>7.7</w:t>
      </w:r>
      <w:r w:rsidRPr="00893422">
        <w:rPr>
          <w:lang w:val="es-ES_tradnl"/>
        </w:rPr>
        <w:tab/>
      </w:r>
      <w:r w:rsidR="005905B6" w:rsidRPr="00893422">
        <w:rPr>
          <w:lang w:val="es-ES_tradnl"/>
        </w:rPr>
        <w:t>Informe del Grupo de Trabajo del GADT sobre las Prioridades del UIT-D (GT-GADT-PUITD)</w:t>
      </w:r>
    </w:p>
    <w:p w14:paraId="36C5ACF1" w14:textId="080925EB" w:rsidR="005905B6" w:rsidRPr="00893422" w:rsidRDefault="005905B6" w:rsidP="006E635C">
      <w:pPr>
        <w:pStyle w:val="Headingb"/>
        <w:rPr>
          <w:lang w:val="es-ES_tradnl"/>
        </w:rPr>
      </w:pPr>
      <w:r w:rsidRPr="00893422">
        <w:rPr>
          <w:lang w:val="es-ES_tradnl"/>
        </w:rPr>
        <w:t xml:space="preserve">Documento </w:t>
      </w:r>
      <w:hyperlink r:id="rId107" w:history="1">
        <w:r w:rsidRPr="00893422">
          <w:rPr>
            <w:rStyle w:val="Hyperlink"/>
            <w:bCs/>
            <w:lang w:val="es-ES_tradnl"/>
          </w:rPr>
          <w:t>21(Rev.3)</w:t>
        </w:r>
      </w:hyperlink>
      <w:r w:rsidRPr="00893422">
        <w:rPr>
          <w:lang w:val="es-ES_tradnl"/>
        </w:rPr>
        <w:t xml:space="preserve"> (Presidente del GT-GADT-PUITD) – Informe sobre la marcha de los trabajos del Grupo de Trabajo del GADT sobre las Prioridades del UIT-D</w:t>
      </w:r>
      <w:hyperlink r:id="rId108"/>
    </w:p>
    <w:p w14:paraId="588864B4" w14:textId="43FB580E" w:rsidR="005905B6" w:rsidRPr="00893422" w:rsidRDefault="005905B6" w:rsidP="006E635C">
      <w:pPr>
        <w:rPr>
          <w:rFonts w:ascii="Calibri" w:eastAsia="Calibri" w:hAnsi="Calibri" w:cs="Calibri"/>
          <w:lang w:val="es-ES_tradnl"/>
        </w:rPr>
      </w:pPr>
      <w:r w:rsidRPr="00893422">
        <w:rPr>
          <w:lang w:val="es-ES_tradnl"/>
        </w:rPr>
        <w:t>El Documento 21(Rev.3), el informe final del Grupo de Trabajo del GADT sobre las Prioridades del</w:t>
      </w:r>
      <w:r w:rsidR="00F1746F">
        <w:rPr>
          <w:lang w:val="es-ES_tradnl"/>
        </w:rPr>
        <w:t> </w:t>
      </w:r>
      <w:r w:rsidRPr="00893422">
        <w:rPr>
          <w:lang w:val="es-ES_tradnl"/>
        </w:rPr>
        <w:t xml:space="preserve">UIT-D, fue presentado por la Presidenta del Grupo, la Sra. Inga Rimkevičienė, una de las dos Vicepresidentas del GADT para Europa, que también fue nombrada Representante del GADT en el GCIS. En el informe del GADT-GT-PUITD se exponían en términos generales los resultados de cinco reuniones celebradas a lo largo del año. En esas reuniones se elaboraron propuestas para el Plan Estratégico 2028-2031, el nuevo Plan de Acción de Bakú, recomendaciones para el proyecto de plan operacional y un informe final al GADT. El Grupo acordó mantener como referencia las prioridades existentes del UIT-D: conectividad asequible, transformación digital, entornos políticos y reglamentarios propicios, movilización de recursos y telecomunicaciones/TIC inclusivas y seguras para el desarrollo sostenible. Durante la quinta reunión, se debatió la conveniencia de integrar el concepto de integración de la perspectiva de género en el Plan de Acción y las prioridades, y de qué manera. No se llegó a un consenso y algunos miembros expresaron su apoyo y otros formularon reservas. </w:t>
      </w:r>
    </w:p>
    <w:p w14:paraId="038C2E5A" w14:textId="77777777" w:rsidR="005905B6" w:rsidRPr="00893422" w:rsidRDefault="005905B6" w:rsidP="006E635C">
      <w:pPr>
        <w:rPr>
          <w:rFonts w:ascii="Calibri" w:eastAsia="Calibri" w:hAnsi="Calibri" w:cs="Calibri"/>
          <w:szCs w:val="24"/>
          <w:lang w:val="es-ES_tradnl"/>
        </w:rPr>
      </w:pPr>
      <w:r w:rsidRPr="00893422">
        <w:rPr>
          <w:lang w:val="es-ES_tradnl"/>
        </w:rPr>
        <w:t>Los Estados Unidos reiteraron su objeción a que se hiciese referencia a la Agenda 2030 y a los Objetivos de Desarrollo Sostenible, así como a las políticas de diversidad, equidad e inclusión, y propusieron un marco más neutral para la transformación digital en consonancia con el mandato de la UIT.</w:t>
      </w:r>
    </w:p>
    <w:p w14:paraId="33DAE7D2" w14:textId="77777777" w:rsidR="005905B6" w:rsidRPr="00893422" w:rsidRDefault="005905B6" w:rsidP="00673259">
      <w:pPr>
        <w:keepNext/>
        <w:keepLines/>
        <w:rPr>
          <w:rFonts w:ascii="Calibri" w:eastAsia="Calibri" w:hAnsi="Calibri" w:cs="Calibri"/>
          <w:szCs w:val="24"/>
          <w:lang w:val="es-ES_tradnl"/>
        </w:rPr>
      </w:pPr>
      <w:r w:rsidRPr="00893422">
        <w:rPr>
          <w:lang w:val="es-ES_tradnl"/>
        </w:rPr>
        <w:lastRenderedPageBreak/>
        <w:t>El Paraguay intervino para reafirmar la importancia de integrar una perspectiva de género en todos los trabajos del UIT-D. Citando la Resolución 70 de la Conferencia de Plenipotenciarios, el país enfatizó que la igualdad de género, la equidad y la inclusión debían servir como principios rectores para cerrar la brecha digital y garantizar una transformación digital significativa, inclusiva, efectiva y eficiente, sin dejar a nadie atrás. Pidieron que este principio quedara reflejado en el informe final.</w:t>
      </w:r>
    </w:p>
    <w:p w14:paraId="6FFC34CF" w14:textId="77777777" w:rsidR="005905B6" w:rsidRPr="00893422" w:rsidRDefault="005905B6" w:rsidP="005905B6">
      <w:pPr>
        <w:widowControl w:val="0"/>
        <w:spacing w:after="120"/>
        <w:rPr>
          <w:rFonts w:ascii="Calibri" w:eastAsia="Calibri" w:hAnsi="Calibri" w:cs="Calibri"/>
          <w:lang w:val="es-ES_tradnl"/>
        </w:rPr>
      </w:pPr>
      <w:r w:rsidRPr="00893422">
        <w:rPr>
          <w:lang w:val="es-ES_tradnl"/>
        </w:rPr>
        <w:t>Después de otras intervenciones y aclaraciones, se confirmó que se haría referencia a la declaración escrita de Paraguay por motivos de exactitud, pero que no se adjuntaría como enmienda. Con estas aclaraciones, el informe se aceptó como documento de referencia no vinculante para apoyar los preparativos de la CMDT-25, el cual se adjuntaría al informe de la reunión y se remitiría en consecuencia.</w:t>
      </w:r>
    </w:p>
    <w:tbl>
      <w:tblPr>
        <w:tblStyle w:val="TableGrid"/>
        <w:tblW w:w="0" w:type="auto"/>
        <w:tblLayout w:type="fixed"/>
        <w:tblLook w:val="04A0" w:firstRow="1" w:lastRow="0" w:firstColumn="1" w:lastColumn="0" w:noHBand="0" w:noVBand="1"/>
      </w:tblPr>
      <w:tblGrid>
        <w:gridCol w:w="9629"/>
      </w:tblGrid>
      <w:tr w:rsidR="005905B6" w:rsidRPr="00893422" w14:paraId="6C18FEFE" w14:textId="77777777" w:rsidTr="00D04740">
        <w:tc>
          <w:tcPr>
            <w:tcW w:w="9629" w:type="dxa"/>
          </w:tcPr>
          <w:p w14:paraId="3982DB04" w14:textId="77777777" w:rsidR="005905B6" w:rsidRPr="00893422" w:rsidRDefault="005905B6" w:rsidP="00D04740">
            <w:pPr>
              <w:widowControl w:val="0"/>
              <w:spacing w:after="120"/>
              <w:rPr>
                <w:rStyle w:val="Hyperlink"/>
                <w:rFonts w:cstheme="minorBidi"/>
                <w:color w:val="auto"/>
                <w:u w:val="none"/>
                <w:lang w:val="es-ES_tradnl"/>
              </w:rPr>
            </w:pPr>
            <w:r w:rsidRPr="00893422">
              <w:rPr>
                <w:color w:val="000000"/>
                <w:lang w:val="es-ES_tradnl"/>
              </w:rPr>
              <w:t>El GADT tomó nota del informe del Grupo de Trabajo sobre las Prioridades del UIT-D y acordó poner el informe completo, incluido su anexo, a disposición de los Estados Miembros y de las organizaciones regionales de telecomunicaciones como referencia no vinculante en el marco de los preparativos de la CMDT</w:t>
            </w:r>
            <w:r w:rsidRPr="00893422">
              <w:rPr>
                <w:color w:val="000000"/>
                <w:lang w:val="es-ES_tradnl"/>
              </w:rPr>
              <w:noBreakHyphen/>
              <w:t xml:space="preserve">25. El informe también se incluiría en el informe general de la Presidenta del GADT a la CMDT y se haría referencia a él para apoyar los preparativos de los Estados Miembros. </w:t>
            </w:r>
          </w:p>
        </w:tc>
      </w:tr>
    </w:tbl>
    <w:p w14:paraId="15FB4E9C" w14:textId="724199E1" w:rsidR="005905B6" w:rsidRPr="00893422" w:rsidRDefault="006E635C" w:rsidP="006E635C">
      <w:pPr>
        <w:pStyle w:val="Heading1"/>
        <w:rPr>
          <w:rFonts w:cstheme="minorHAnsi"/>
          <w:szCs w:val="24"/>
          <w:lang w:val="es-ES_tradnl"/>
        </w:rPr>
      </w:pPr>
      <w:r w:rsidRPr="00893422">
        <w:rPr>
          <w:lang w:val="es-ES_tradnl"/>
        </w:rPr>
        <w:t>8</w:t>
      </w:r>
      <w:r w:rsidRPr="00893422">
        <w:rPr>
          <w:lang w:val="es-ES_tradnl"/>
        </w:rPr>
        <w:tab/>
      </w:r>
      <w:r w:rsidR="005905B6" w:rsidRPr="00893422">
        <w:rPr>
          <w:lang w:val="es-ES_tradnl"/>
        </w:rPr>
        <w:t>Cumbre Mundial de la Juventud</w:t>
      </w:r>
    </w:p>
    <w:p w14:paraId="650385B8" w14:textId="1F59F192" w:rsidR="005905B6" w:rsidRPr="00893422" w:rsidRDefault="005905B6" w:rsidP="006E635C">
      <w:pPr>
        <w:pStyle w:val="Headingb"/>
        <w:rPr>
          <w:szCs w:val="24"/>
          <w:lang w:val="es-ES_tradnl"/>
        </w:rPr>
      </w:pPr>
      <w:r w:rsidRPr="00893422">
        <w:rPr>
          <w:lang w:val="es-ES_tradnl"/>
        </w:rPr>
        <w:t xml:space="preserve">Documento </w:t>
      </w:r>
      <w:hyperlink r:id="rId109" w:history="1">
        <w:r w:rsidRPr="00893422">
          <w:rPr>
            <w:rStyle w:val="Hyperlink"/>
            <w:bCs/>
            <w:lang w:val="es-ES_tradnl"/>
          </w:rPr>
          <w:t>22</w:t>
        </w:r>
      </w:hyperlink>
      <w:r w:rsidRPr="00893422">
        <w:rPr>
          <w:lang w:val="es-ES_tradnl"/>
        </w:rPr>
        <w:t xml:space="preserve"> (Director de la BDT) </w:t>
      </w:r>
      <w:r w:rsidR="00426AB5" w:rsidRPr="00893422">
        <w:rPr>
          <w:lang w:val="es-ES_tradnl"/>
        </w:rPr>
        <w:t>–</w:t>
      </w:r>
      <w:r w:rsidRPr="00893422">
        <w:rPr>
          <w:lang w:val="es-ES_tradnl"/>
        </w:rPr>
        <w:t xml:space="preserve"> Informe sobre la organización de la Cumbre Mundial de la Juventud de la UIT de 2025 (CMJ-25), en vísperas de la Conferencia Mundial de Desarrollo de</w:t>
      </w:r>
      <w:r w:rsidR="00F90EB1" w:rsidRPr="00893422">
        <w:rPr>
          <w:lang w:val="es-ES_tradnl"/>
        </w:rPr>
        <w:t> </w:t>
      </w:r>
      <w:r w:rsidRPr="00893422">
        <w:rPr>
          <w:lang w:val="es-ES_tradnl"/>
        </w:rPr>
        <w:t>2025 (CMDT-25)</w:t>
      </w:r>
      <w:hyperlink r:id="rId110"/>
    </w:p>
    <w:p w14:paraId="532DD5E2" w14:textId="77777777" w:rsidR="005905B6" w:rsidRPr="00893422" w:rsidRDefault="005905B6" w:rsidP="00F90EB1">
      <w:pPr>
        <w:rPr>
          <w:rFonts w:ascii="Calibri" w:eastAsia="Calibri" w:hAnsi="Calibri" w:cs="Calibri"/>
          <w:szCs w:val="24"/>
          <w:lang w:val="es-ES_tradnl"/>
        </w:rPr>
      </w:pPr>
      <w:r w:rsidRPr="00893422">
        <w:rPr>
          <w:lang w:val="es-ES_tradnl"/>
        </w:rPr>
        <w:t xml:space="preserve">La BDT resumió los aspectos más destacados y los resultados de la Cumbre Mundial de la Juventud de 2025 (CMJ-25), celebrada del 11 al 13 de marzo en Varadero (Cuba), bajo el lema "Amplificar la voz de los jóvenes en las TIC para un futuro inclusivo y conectado". Organizada por la BDT, la Cumbre reunió a cerca de 400 participantes de 31 países de las seis Regiones de la UIT, con jóvenes de 18 a 25 años, que contribuyeron activamente a los debates y a las exposiciones de innovación. En el informe se recogen las principales dificultades planteadas por los jóvenes, como la brecha digital, el bajo nivel de alfabetización digital y la escasa participación en cuestiones políticas, y se presentaron recomendaciones concretas para promover un desarrollo digital inclusivo, sostenible e impulsado por los jóvenes. Se proyectó un </w:t>
      </w:r>
      <w:hyperlink r:id="rId111" w:history="1">
        <w:r w:rsidRPr="00893422">
          <w:rPr>
            <w:rStyle w:val="Hyperlink"/>
            <w:lang w:val="es-ES_tradnl"/>
          </w:rPr>
          <w:t>vídeo</w:t>
        </w:r>
      </w:hyperlink>
      <w:r w:rsidRPr="00893422">
        <w:rPr>
          <w:lang w:val="es-ES_tradnl"/>
        </w:rPr>
        <w:t xml:space="preserve"> para mostrar el evento. </w:t>
      </w:r>
      <w:hyperlink r:id="rId112"/>
    </w:p>
    <w:p w14:paraId="20732A7A" w14:textId="238782CF" w:rsidR="005905B6" w:rsidRPr="00893422" w:rsidRDefault="005905B6" w:rsidP="00F90EB1">
      <w:pPr>
        <w:rPr>
          <w:lang w:val="es-ES_tradnl"/>
        </w:rPr>
      </w:pPr>
      <w:r w:rsidRPr="00893422">
        <w:rPr>
          <w:lang w:val="es-ES_tradnl"/>
        </w:rPr>
        <w:t>Tras la presentación, el Director de la BDT elogió el éxito de la Cumbre y agradeció al Gobierno de Cuba su generosa acogida. También presentó un tema musical creado por jóvenes para la CMDT</w:t>
      </w:r>
      <w:r w:rsidR="000C00B2">
        <w:rPr>
          <w:lang w:val="es-ES_tradnl"/>
        </w:rPr>
        <w:noBreakHyphen/>
      </w:r>
      <w:r w:rsidRPr="00893422">
        <w:rPr>
          <w:lang w:val="es-ES_tradnl"/>
        </w:rPr>
        <w:t>25, producido con el apoyo de la inteligencia artificial, para mostrar la creatividad y el compromiso de los participantes. La canción ganadora, producida por uno de los equipos de jóvenes combinando creatividad y herramientas de inteligencia artificial, se presentó durante la reunión y fue bien recibida por el GADT. La canción se presentará en la Celebración de la Juventud en Bakú y en la CMDT-25.</w:t>
      </w:r>
    </w:p>
    <w:p w14:paraId="7D3148F5" w14:textId="77777777" w:rsidR="005905B6" w:rsidRPr="00893422" w:rsidRDefault="005905B6" w:rsidP="005905B6">
      <w:pPr>
        <w:spacing w:after="120"/>
        <w:rPr>
          <w:lang w:val="es-ES_tradnl"/>
        </w:rPr>
      </w:pPr>
      <w:r w:rsidRPr="00893422">
        <w:rPr>
          <w:lang w:val="es-ES_tradnl"/>
        </w:rPr>
        <w:t xml:space="preserve">En el debate subsiguiente, algunos Estados Miembros, como Cuba, la Arabia Saudita, las Bahamas, expresaron su reconocimiento por la repercusión de la Cumbre y afirmaron la importancia de incluir a los jóvenes en las actividades de la UIT. Varias delegaciones mostraron ejemplos de cómo sus jóvenes delegados nacionales habían regresado a casa llenos de energía y preparados para contribuir a las iniciativas digitales en curso. Se formularon propuestas para que los jóvenes siguiesen participando en las Comisiones de Estudio de la UIT y en futuras cumbres de la Unión, </w:t>
      </w:r>
      <w:r w:rsidRPr="00893422">
        <w:rPr>
          <w:lang w:val="es-ES_tradnl"/>
        </w:rPr>
        <w:lastRenderedPageBreak/>
        <w:t>por ejemplo se pidió elaborar una lista consolidada de participantes y mecanismos de tutoría permanente. Al final de la reunión se expresó el firme apoyo a que los jóvenes siguiesen participando ya que ello era un componente fundamental de la labor del UIT-D y se solicitó a la BDT que elaborase un documento informativo en el que se resumieran las iniciativas y oportunidades existentes relacionadas con la juventud.</w:t>
      </w:r>
    </w:p>
    <w:tbl>
      <w:tblPr>
        <w:tblStyle w:val="TableGrid"/>
        <w:tblW w:w="0" w:type="auto"/>
        <w:tblLayout w:type="fixed"/>
        <w:tblLook w:val="04A0" w:firstRow="1" w:lastRow="0" w:firstColumn="1" w:lastColumn="0" w:noHBand="0" w:noVBand="1"/>
      </w:tblPr>
      <w:tblGrid>
        <w:gridCol w:w="9629"/>
      </w:tblGrid>
      <w:tr w:rsidR="005905B6" w:rsidRPr="00893422" w14:paraId="424D4FD4" w14:textId="77777777" w:rsidTr="00D04740">
        <w:tc>
          <w:tcPr>
            <w:tcW w:w="9629" w:type="dxa"/>
          </w:tcPr>
          <w:p w14:paraId="66C8D982" w14:textId="77777777" w:rsidR="005905B6" w:rsidRPr="00893422" w:rsidRDefault="005905B6" w:rsidP="00D04740">
            <w:pPr>
              <w:spacing w:after="120"/>
              <w:rPr>
                <w:rFonts w:ascii="Calibri" w:eastAsia="Calibri" w:hAnsi="Calibri" w:cs="Calibri"/>
                <w:lang w:val="es-ES_tradnl"/>
              </w:rPr>
            </w:pPr>
            <w:r w:rsidRPr="00893422">
              <w:rPr>
                <w:color w:val="000000"/>
                <w:lang w:val="es-ES_tradnl"/>
              </w:rPr>
              <w:t>El GADT tomó nota del informe, del amplio reconocimiento de los resultados de la Cumbre Mundial de la Juventud de 2025 y del apoyo firme a que los jóvenes siguiesen participando en las actividades de la UIT. El GADT también disfrutó y valoró positivamente la canción para la CMDT, "</w:t>
            </w:r>
            <w:r w:rsidRPr="00893422">
              <w:rPr>
                <w:b/>
                <w:bCs/>
                <w:color w:val="000000"/>
                <w:lang w:val="es-ES_tradnl"/>
              </w:rPr>
              <w:t>Connected Youth Digital Future</w:t>
            </w:r>
            <w:r w:rsidRPr="00893422">
              <w:rPr>
                <w:color w:val="000000"/>
                <w:lang w:val="es-ES_tradnl"/>
              </w:rPr>
              <w:t>", producida por los participantes en la CMJ-25, y mostró su deseo de poder presentarla en la Celebración de la Juventud de la CMDT y en la CMDT.</w:t>
            </w:r>
          </w:p>
        </w:tc>
      </w:tr>
    </w:tbl>
    <w:p w14:paraId="2AFC5EAB" w14:textId="5806FD26" w:rsidR="005905B6" w:rsidRPr="00893422" w:rsidRDefault="005905B6" w:rsidP="00F90EB1">
      <w:pPr>
        <w:pStyle w:val="Headingb"/>
        <w:rPr>
          <w:szCs w:val="24"/>
          <w:lang w:val="es-ES_tradnl"/>
        </w:rPr>
      </w:pPr>
      <w:r w:rsidRPr="00893422">
        <w:rPr>
          <w:lang w:val="es-ES_tradnl"/>
        </w:rPr>
        <w:t xml:space="preserve">Documento </w:t>
      </w:r>
      <w:hyperlink r:id="rId113" w:history="1">
        <w:r w:rsidRPr="00893422">
          <w:rPr>
            <w:rStyle w:val="Hyperlink"/>
            <w:bCs/>
            <w:lang w:val="es-ES_tradnl"/>
          </w:rPr>
          <w:t>38</w:t>
        </w:r>
      </w:hyperlink>
      <w:r w:rsidRPr="00893422">
        <w:rPr>
          <w:lang w:val="es-ES_tradnl"/>
        </w:rPr>
        <w:t xml:space="preserve"> (Uzbekistán) </w:t>
      </w:r>
      <w:r w:rsidR="000C00B2" w:rsidRPr="000C00B2">
        <w:rPr>
          <w:lang w:val="es-ES_tradnl"/>
        </w:rPr>
        <w:t>–</w:t>
      </w:r>
      <w:r w:rsidRPr="00893422">
        <w:rPr>
          <w:lang w:val="es-ES_tradnl"/>
        </w:rPr>
        <w:t xml:space="preserve"> Youth2Connect: Empowering Youth to Develop and Implement Digital Projects (Youth2Connect: Empoderamiento de los jóvenes para la elaboración e implementación de proyectos digitales)</w:t>
      </w:r>
      <w:hyperlink r:id="rId114"/>
    </w:p>
    <w:p w14:paraId="2EC89A1E" w14:textId="77777777" w:rsidR="005905B6" w:rsidRPr="00893422" w:rsidRDefault="005905B6" w:rsidP="00F90EB1">
      <w:pPr>
        <w:rPr>
          <w:lang w:val="es-ES_tradnl"/>
        </w:rPr>
      </w:pPr>
      <w:r w:rsidRPr="00893422">
        <w:rPr>
          <w:lang w:val="es-ES_tradnl"/>
        </w:rPr>
        <w:t xml:space="preserve">En la contribución presentada por Uzbekistán se propuso una iniciativa titulada "Youth to Connect: Empowering Youth to Develop and Implement Digital Projects" (Conectar a la juventud: empoderar a los jóvenes en el desarrollo y aplicación de proyectos digitales). Aunque la participación de los jóvenes en los foros internacionales estaba aumentando, el orador hizo hincapié en que a menudo seguía siendo más simbólica que efectiva. El objetivo de la iniciativa era revertir esta situación ofreciendo a los jóvenes, especialmente en regiones como la CEI y Asia Central, oportunidades útiles para diseñar y aplicar soluciones digitales. En ella se proponía establecer proyectos centrados en la juventud destinados a fomentar la alfabetización digital y la inclusión, con el apoyo de la financiación conjunta de los Estados Miembros y el sector privado. El delegado citó un </w:t>
      </w:r>
      <w:r w:rsidRPr="00893422">
        <w:rPr>
          <w:i/>
          <w:iCs/>
          <w:lang w:val="es-ES_tradnl"/>
        </w:rPr>
        <w:t>hackathon</w:t>
      </w:r>
      <w:r w:rsidRPr="00893422">
        <w:rPr>
          <w:lang w:val="es-ES_tradnl"/>
        </w:rPr>
        <w:t xml:space="preserve"> celebrado recientemente en colaboración con la UIT como ejemplo del alto nivel de preparación e innovación demostrado por los jóvenes participantes.</w:t>
      </w:r>
    </w:p>
    <w:p w14:paraId="60CD3C20" w14:textId="77777777" w:rsidR="005905B6" w:rsidRPr="00893422" w:rsidRDefault="005905B6" w:rsidP="005905B6">
      <w:pPr>
        <w:spacing w:after="120"/>
        <w:rPr>
          <w:lang w:val="es-ES_tradnl"/>
        </w:rPr>
      </w:pPr>
      <w:r w:rsidRPr="00893422">
        <w:rPr>
          <w:lang w:val="es-ES_tradnl"/>
        </w:rPr>
        <w:t>Tras la presentación, varias delegaciones acogieron con satisfacción la propuesta y expresaron su apoyo a que aumentase la participación de los jóvenes en las actividades de la UIT. La Presidenta de la Comisión de Estudio 1 y otros oradores destacaron la importancia de ir más allá de la representación simbólica, alentando a los Estados Miembros a orientar y apoyar activamente a los jóvenes para que contribuyesen de manera sustantiva en la labor de la UIT, y más en concreto en las actividades de las Comisiones de Estudio y el GADT. Aunque las limitaciones presupuestarias suponían un obstáculo, se indicó que la creatividad y las asociaciones estratégicas podían ayudar a promover la inclusión de los jóvenes. En el debate se subrayó el consenso general que existía sobre lo valioso que era permitir que los jóvenes fuesen partes interesadas activas en los esfuerzos de desarrollo digital, y se pidió que se estudiasen mecanismos prácticos para llevar a cabo esas iniciativas dentro de los marcos existentes.</w:t>
      </w:r>
    </w:p>
    <w:tbl>
      <w:tblPr>
        <w:tblStyle w:val="TableGrid"/>
        <w:tblW w:w="0" w:type="auto"/>
        <w:tblLayout w:type="fixed"/>
        <w:tblLook w:val="04A0" w:firstRow="1" w:lastRow="0" w:firstColumn="1" w:lastColumn="0" w:noHBand="0" w:noVBand="1"/>
      </w:tblPr>
      <w:tblGrid>
        <w:gridCol w:w="9629"/>
      </w:tblGrid>
      <w:tr w:rsidR="005905B6" w:rsidRPr="00893422" w14:paraId="5B921B96" w14:textId="77777777" w:rsidTr="00D04740">
        <w:tc>
          <w:tcPr>
            <w:tcW w:w="9629" w:type="dxa"/>
          </w:tcPr>
          <w:p w14:paraId="3C887F8D" w14:textId="77777777" w:rsidR="005905B6" w:rsidRPr="00893422" w:rsidRDefault="005905B6" w:rsidP="00D04740">
            <w:pPr>
              <w:spacing w:after="120"/>
              <w:rPr>
                <w:rFonts w:ascii="Calibri" w:eastAsia="Calibri" w:hAnsi="Calibri" w:cs="Calibri"/>
                <w:lang w:val="es-ES_tradnl"/>
              </w:rPr>
            </w:pPr>
            <w:r w:rsidRPr="00893422">
              <w:rPr>
                <w:color w:val="000000"/>
                <w:lang w:val="es-ES_tradnl"/>
              </w:rPr>
              <w:t>El GADT agradeció la contribución y destacó la importancia de que los jóvenes participasen activamente en las iniciativas de desarrollo digital.</w:t>
            </w:r>
          </w:p>
        </w:tc>
      </w:tr>
    </w:tbl>
    <w:p w14:paraId="0F3941C1" w14:textId="46A6C518" w:rsidR="005905B6" w:rsidRPr="00893422" w:rsidRDefault="005905B6" w:rsidP="00C32FA9">
      <w:pPr>
        <w:pStyle w:val="Headingb"/>
        <w:keepLines/>
        <w:rPr>
          <w:rStyle w:val="Hyperlink"/>
          <w:rFonts w:cstheme="minorBidi"/>
          <w:b w:val="0"/>
          <w:bCs/>
          <w:color w:val="auto"/>
          <w:u w:val="none"/>
          <w:lang w:val="es-ES_tradnl"/>
        </w:rPr>
      </w:pPr>
      <w:r w:rsidRPr="00893422">
        <w:rPr>
          <w:lang w:val="es-ES_tradnl"/>
        </w:rPr>
        <w:lastRenderedPageBreak/>
        <w:t xml:space="preserve">Documento </w:t>
      </w:r>
      <w:hyperlink r:id="rId115" w:history="1">
        <w:r w:rsidRPr="00893422">
          <w:rPr>
            <w:rStyle w:val="Hyperlink"/>
            <w:bCs/>
            <w:lang w:val="es-ES_tradnl"/>
          </w:rPr>
          <w:t>39</w:t>
        </w:r>
      </w:hyperlink>
      <w:r w:rsidRPr="00893422">
        <w:rPr>
          <w:lang w:val="es-ES_tradnl"/>
        </w:rPr>
        <w:t xml:space="preserve"> (Uzbekistán) </w:t>
      </w:r>
      <w:r w:rsidR="00F90EB1" w:rsidRPr="00893422">
        <w:rPr>
          <w:lang w:val="es-ES_tradnl"/>
        </w:rPr>
        <w:t>–</w:t>
      </w:r>
      <w:r w:rsidRPr="00893422">
        <w:rPr>
          <w:lang w:val="es-ES_tradnl"/>
        </w:rPr>
        <w:t xml:space="preserve"> ITU Youth Digital Magazine: A Platform for Young People to Contribute Scientific Ideas to Digital Transformation Projects (Revista de la UIT sobre la Juventud Digital: Una plataforma para que los jóvenes aporten ideas científicas a los proyectos de transformación digital)</w:t>
      </w:r>
      <w:hyperlink r:id="rId116"/>
    </w:p>
    <w:p w14:paraId="229C510C" w14:textId="21A2785F" w:rsidR="005905B6" w:rsidRPr="00893422" w:rsidRDefault="005905B6" w:rsidP="00C32FA9">
      <w:pPr>
        <w:keepNext/>
        <w:keepLines/>
        <w:rPr>
          <w:lang w:val="es-ES_tradnl"/>
        </w:rPr>
      </w:pPr>
      <w:r w:rsidRPr="00893422">
        <w:rPr>
          <w:lang w:val="es-ES_tradnl"/>
        </w:rPr>
        <w:t>El delegado de Uzbekistán presentó una contribución en la que se proponía crear una Revista de la</w:t>
      </w:r>
      <w:r w:rsidR="00017A0B">
        <w:rPr>
          <w:lang w:val="es-ES_tradnl"/>
        </w:rPr>
        <w:t> </w:t>
      </w:r>
      <w:r w:rsidRPr="00893422">
        <w:rPr>
          <w:lang w:val="es-ES_tradnl"/>
        </w:rPr>
        <w:t>UIT sobre la Juventud Digital como plataforma para que los jóvenes aportasen ideas y soluciones científicas relacionadas con la transformación digital. El delegado afirmó que a menudo se pasaban por alto las perspectivas de los jóvenes, a pesar de su potencial para ofrecer enfoques innovadores a las acuciantes cuestiones en materia digital, como la brecha digital y los problemas de ciberseguridad. El delegado explicó que la revista podría servir como medio interdisciplinario e internacional para estudiantes y jóvenes profesionales de hasta 30 años, permitiéndoles publicar trabajos científicos, ganar visibilidad y entrar en contacto con patrocinadores y asociados. El delegado señaló que la propuesta se ajustaba a la estrategia de la UIT para la juventud y a los objetivos más amplios de desarrollo digital sostenible.</w:t>
      </w:r>
    </w:p>
    <w:p w14:paraId="61DDFB38" w14:textId="77777777" w:rsidR="005905B6" w:rsidRPr="00893422" w:rsidRDefault="005905B6" w:rsidP="00C32FA9">
      <w:pPr>
        <w:spacing w:after="120"/>
        <w:rPr>
          <w:lang w:val="es-ES_tradnl"/>
        </w:rPr>
      </w:pPr>
      <w:r w:rsidRPr="00893422">
        <w:rPr>
          <w:lang w:val="es-ES_tradnl"/>
        </w:rPr>
        <w:t>En el debate subsiguiente, los Estados Miembros reconocieron el mérito de la iniciativa pero expresaron también su preocupación por las limitaciones de recursos. Algunas delegaciones propusieron aprovechar las plataformas existentes, como el podcast Generation Connect, la Gaceta de la UIT y la conferencia académica Caleidoscopio, posiblemente mediante ediciones dedicadas a los jóvenes, en lugar de crear una nueva publicación independiente. Los representantes de la BDT y de la Secretaría General señalaron que varias iniciativas existentes de la UIT ya facilitaban la participación de los jóvenes en la investigación y la innovación, como los proyectos dirigidos por los jóvenes en el marco de Generation Connect, como el Programa de Jóvenes Líderes, y los proyectos novedosos. Se acordó que estos mecanismos existentes podrían fortalecerse aún más y divulgarse mejor. La Presidenta concluyó solicitando a la BDT que preparara un documento de información refundido en el que se describiesen en líneas generales todas las iniciativas en curso relacionadas con la juventud, a fin de orientar los esfuerzos futuros y la participación de los Estados Miembros.</w:t>
      </w:r>
    </w:p>
    <w:tbl>
      <w:tblPr>
        <w:tblStyle w:val="TableGrid"/>
        <w:tblW w:w="0" w:type="auto"/>
        <w:tblLayout w:type="fixed"/>
        <w:tblLook w:val="04A0" w:firstRow="1" w:lastRow="0" w:firstColumn="1" w:lastColumn="0" w:noHBand="0" w:noVBand="1"/>
      </w:tblPr>
      <w:tblGrid>
        <w:gridCol w:w="9629"/>
      </w:tblGrid>
      <w:tr w:rsidR="005905B6" w:rsidRPr="00893422" w14:paraId="1B66E9E8" w14:textId="77777777" w:rsidTr="00D04740">
        <w:tc>
          <w:tcPr>
            <w:tcW w:w="9629" w:type="dxa"/>
          </w:tcPr>
          <w:p w14:paraId="1BFB8696" w14:textId="5B6A344F" w:rsidR="005905B6" w:rsidRPr="00893422" w:rsidRDefault="005905B6" w:rsidP="00D04740">
            <w:pPr>
              <w:spacing w:after="120"/>
              <w:rPr>
                <w:rFonts w:ascii="Calibri" w:eastAsia="Calibri" w:hAnsi="Calibri" w:cs="Calibri"/>
                <w:lang w:val="es-ES_tradnl"/>
              </w:rPr>
            </w:pPr>
            <w:r w:rsidRPr="00893422">
              <w:rPr>
                <w:color w:val="000000"/>
                <w:lang w:val="es-ES_tradnl"/>
              </w:rPr>
              <w:t xml:space="preserve">El GADT tomó nota de la contribución y pidió a la BDT que preparara un documento informativo en el que se recopilaran los mecanismos actuales de participación de los jóvenes en toda la UIT. Con ello se pretendía aclarar los esfuerzos en curso y ayudar a evaluar cómo podría trabajarse en las ideas del Documento 39 dentro de los marcos existentes. Se publicó como </w:t>
            </w:r>
            <w:hyperlink r:id="rId117" w:history="1">
              <w:r w:rsidRPr="00893422">
                <w:rPr>
                  <w:rStyle w:val="Hyperlink"/>
                  <w:lang w:val="es-ES_tradnl"/>
                </w:rPr>
                <w:t>IN</w:t>
              </w:r>
              <w:r w:rsidRPr="00893422">
                <w:rPr>
                  <w:rStyle w:val="Hyperlink"/>
                  <w:lang w:val="es-ES_tradnl"/>
                </w:rPr>
                <w:t>F</w:t>
              </w:r>
              <w:r w:rsidRPr="00893422">
                <w:rPr>
                  <w:rStyle w:val="Hyperlink"/>
                  <w:lang w:val="es-ES_tradnl"/>
                </w:rPr>
                <w:t>/15</w:t>
              </w:r>
            </w:hyperlink>
            <w:r w:rsidRPr="00893422">
              <w:rPr>
                <w:color w:val="000000"/>
                <w:lang w:val="es-ES_tradnl"/>
              </w:rPr>
              <w:t>.</w:t>
            </w:r>
            <w:hyperlink r:id="rId118"/>
          </w:p>
        </w:tc>
      </w:tr>
    </w:tbl>
    <w:p w14:paraId="562832B6" w14:textId="02567A1E" w:rsidR="005905B6" w:rsidRPr="00893422" w:rsidRDefault="00C32FA9" w:rsidP="00C32FA9">
      <w:pPr>
        <w:pStyle w:val="Heading1"/>
        <w:rPr>
          <w:rFonts w:cstheme="minorHAnsi"/>
          <w:szCs w:val="24"/>
          <w:lang w:val="es-ES_tradnl"/>
        </w:rPr>
      </w:pPr>
      <w:r w:rsidRPr="00893422">
        <w:rPr>
          <w:lang w:val="es-ES_tradnl"/>
        </w:rPr>
        <w:t>9</w:t>
      </w:r>
      <w:r w:rsidRPr="00893422">
        <w:rPr>
          <w:lang w:val="es-ES_tradnl"/>
        </w:rPr>
        <w:tab/>
      </w:r>
      <w:r w:rsidR="005905B6" w:rsidRPr="00893422">
        <w:rPr>
          <w:lang w:val="es-ES_tradnl"/>
        </w:rPr>
        <w:t>Colaboración con los demás Sectores</w:t>
      </w:r>
    </w:p>
    <w:p w14:paraId="5F2E4A41" w14:textId="7014734D" w:rsidR="005905B6" w:rsidRPr="00893422" w:rsidRDefault="005905B6" w:rsidP="00C32FA9">
      <w:pPr>
        <w:pStyle w:val="Headingb"/>
        <w:rPr>
          <w:rFonts w:cstheme="minorHAnsi"/>
          <w:bCs/>
          <w:szCs w:val="24"/>
          <w:lang w:val="es-ES_tradnl"/>
        </w:rPr>
      </w:pPr>
      <w:r w:rsidRPr="00893422">
        <w:rPr>
          <w:bCs/>
          <w:lang w:val="es-ES_tradnl"/>
        </w:rPr>
        <w:t xml:space="preserve">Documento </w:t>
      </w:r>
      <w:hyperlink r:id="rId119" w:history="1">
        <w:r w:rsidRPr="00893422">
          <w:rPr>
            <w:rStyle w:val="Hyperlink"/>
            <w:bCs/>
            <w:lang w:val="es-ES_tradnl"/>
          </w:rPr>
          <w:t>23</w:t>
        </w:r>
      </w:hyperlink>
      <w:r w:rsidRPr="00893422">
        <w:rPr>
          <w:bCs/>
          <w:lang w:val="es-ES_tradnl"/>
        </w:rPr>
        <w:t xml:space="preserve"> (Presidente del GCIS) </w:t>
      </w:r>
      <w:r w:rsidR="00B04F70" w:rsidRPr="00B04F70">
        <w:rPr>
          <w:bCs/>
          <w:lang w:val="es-ES_tradnl"/>
        </w:rPr>
        <w:t>–</w:t>
      </w:r>
      <w:r w:rsidRPr="00893422">
        <w:rPr>
          <w:bCs/>
          <w:lang w:val="es-ES_tradnl"/>
        </w:rPr>
        <w:t xml:space="preserve"> Informe sobre la marcha de los trabajos</w:t>
      </w:r>
      <w:hyperlink r:id="rId120"/>
    </w:p>
    <w:p w14:paraId="0DE38D29" w14:textId="78CEB260" w:rsidR="005905B6" w:rsidRPr="00893422" w:rsidRDefault="005905B6" w:rsidP="00C32FA9">
      <w:pPr>
        <w:rPr>
          <w:lang w:val="es-ES_tradnl"/>
        </w:rPr>
      </w:pPr>
      <w:r w:rsidRPr="00893422">
        <w:rPr>
          <w:lang w:val="es-ES_tradnl"/>
        </w:rPr>
        <w:t>El informe sobre la marcha de los trabajos realizados por el Grupo de Coordinación Intersectorial (GCIS) fue presentado por su Presidente, el Sr. Fabio Bigi, quien describió los esfuerzos en curso del Grupo para mejorar la coordinación entre los tres Sectores de la UIT e informó sobre las esferas temáticas que se estaban debatiendo activamente, incluida la accesibilidad, el cambio climático, la participación a distancia, la innovación y la participación de la industria. Hizo hincapié en la necesidad de una mayor apertura y accesibilidad en las reuniones del GCIS, y señaló que las futuras reuniones se anunciarían públicamente para fomentar una participación más amplia. El Sr.</w:t>
      </w:r>
      <w:r w:rsidR="00B04F70">
        <w:rPr>
          <w:lang w:val="es-ES_tradnl"/>
        </w:rPr>
        <w:t> </w:t>
      </w:r>
      <w:r w:rsidRPr="00893422">
        <w:rPr>
          <w:lang w:val="es-ES_tradnl"/>
        </w:rPr>
        <w:t xml:space="preserve">Bigi también destacó el éxito de los esfuerzos de coordinación, en particular en el ámbito de la accesibilidad, en el que la colaboración intersectorial había dado resultados tangibles. Subrayó la importancia de seguir racionalizando y armonizando las Resoluciones y las Cuestiones de Estudio </w:t>
      </w:r>
      <w:r w:rsidRPr="00893422">
        <w:rPr>
          <w:lang w:val="es-ES_tradnl"/>
        </w:rPr>
        <w:lastRenderedPageBreak/>
        <w:t>en toda la UIT para evitar duplicaciones y garantizar la eficiencia. Se señaló como prioridad la participación del GCIS en el establecimiento de correspondencias entre las actividades sectoriales y en la mejora de la colaboración, y se constató la necesidad de un enfoque unificado para la participación de la industria en todos los Sectores como un tema emergente que requería una atención estructurada.</w:t>
      </w:r>
    </w:p>
    <w:p w14:paraId="6DAB26CC" w14:textId="77777777" w:rsidR="005905B6" w:rsidRPr="00893422" w:rsidRDefault="005905B6" w:rsidP="005905B6">
      <w:pPr>
        <w:spacing w:after="120"/>
        <w:rPr>
          <w:lang w:val="es-ES_tradnl"/>
        </w:rPr>
      </w:pPr>
      <w:r w:rsidRPr="00893422">
        <w:rPr>
          <w:lang w:val="es-ES_tradnl"/>
        </w:rPr>
        <w:t>En el debate posterior, las delegaciones expresaron su agradecimiento por la labor del Grupo y reconocieron el valor de los ejercicios de establecimiento de correspondencias y las actividades coordinadas. Los participantes subrayaron la importancia del mandato revisado del GCIS y de garantizar que todos los Grupos Asesores lo conocían y no tenían objeciones al respecto. Se formularon preguntas sobre el método de nombramiento del Presidente del GCIS, y se propuso aclarar, o delegar a instancias superiores de la estructura de gobernanza, este procedimiento. Un delegado hizo hincapié en la necesidad de aplazar las nuevas medidas de coordinación hasta el próximo ciclo de estudios, en el que se adoptarían las Cuestiones de Estudio actualizadas. Hubo un consenso general sobre la utilidad del GCIS y el interés en seguir fortaleciendo su función mediante una mayor transparencia, mandatos más claros y una mayor armonización sectorial.</w:t>
      </w:r>
    </w:p>
    <w:tbl>
      <w:tblPr>
        <w:tblStyle w:val="TableGrid"/>
        <w:tblW w:w="0" w:type="auto"/>
        <w:tblLayout w:type="fixed"/>
        <w:tblLook w:val="04A0" w:firstRow="1" w:lastRow="0" w:firstColumn="1" w:lastColumn="0" w:noHBand="0" w:noVBand="1"/>
      </w:tblPr>
      <w:tblGrid>
        <w:gridCol w:w="9629"/>
      </w:tblGrid>
      <w:tr w:rsidR="005905B6" w:rsidRPr="00893422" w14:paraId="4083A032" w14:textId="77777777" w:rsidTr="00D04740">
        <w:tc>
          <w:tcPr>
            <w:tcW w:w="9629" w:type="dxa"/>
          </w:tcPr>
          <w:p w14:paraId="59FC5632" w14:textId="77777777" w:rsidR="005905B6" w:rsidRPr="00893422" w:rsidRDefault="005905B6" w:rsidP="00D04740">
            <w:pPr>
              <w:tabs>
                <w:tab w:val="clear" w:pos="794"/>
                <w:tab w:val="clear" w:pos="1191"/>
                <w:tab w:val="clear" w:pos="1588"/>
                <w:tab w:val="clear" w:pos="1985"/>
                <w:tab w:val="left" w:pos="567"/>
                <w:tab w:val="left" w:pos="1134"/>
                <w:tab w:val="left" w:pos="1701"/>
                <w:tab w:val="left" w:pos="2268"/>
              </w:tabs>
              <w:spacing w:after="120"/>
              <w:rPr>
                <w:rFonts w:cstheme="minorBidi"/>
                <w:lang w:val="es-ES_tradnl"/>
              </w:rPr>
            </w:pPr>
            <w:r w:rsidRPr="00893422">
              <w:rPr>
                <w:color w:val="000000"/>
                <w:lang w:val="es-ES_tradnl"/>
              </w:rPr>
              <w:t>El GADT tomó nota del informe, reconoció el valor del GCIS y expresó su interés en seguir mejorando su papel mediante una mayor transparencia, mandatos más claros y una mayor armonización entre Sectores. El GADT acordó que Inga Rimkevičienė actuaría como Representante del GCIS para la Participación de la Industria en el UIT-D.</w:t>
            </w:r>
          </w:p>
        </w:tc>
      </w:tr>
    </w:tbl>
    <w:p w14:paraId="14A56473" w14:textId="05BBBBFC" w:rsidR="005905B6" w:rsidRPr="00893422" w:rsidRDefault="005905B6" w:rsidP="00C32FA9">
      <w:pPr>
        <w:pStyle w:val="Headingb"/>
        <w:rPr>
          <w:szCs w:val="24"/>
          <w:lang w:val="es-ES_tradnl"/>
        </w:rPr>
      </w:pPr>
      <w:r w:rsidRPr="00893422">
        <w:rPr>
          <w:lang w:val="es-ES_tradnl"/>
        </w:rPr>
        <w:t xml:space="preserve">Documento </w:t>
      </w:r>
      <w:hyperlink r:id="rId121" w:history="1">
        <w:r w:rsidRPr="00893422">
          <w:rPr>
            <w:rStyle w:val="Hyperlink"/>
            <w:bCs/>
            <w:lang w:val="es-ES_tradnl"/>
          </w:rPr>
          <w:t>24(Rev.1) (&amp; Anexo 1)</w:t>
        </w:r>
      </w:hyperlink>
      <w:r w:rsidRPr="00893422">
        <w:rPr>
          <w:lang w:val="es-ES_tradnl"/>
        </w:rPr>
        <w:t xml:space="preserve"> (Director de la BDT) </w:t>
      </w:r>
      <w:r w:rsidR="00C32FA9" w:rsidRPr="00893422">
        <w:rPr>
          <w:lang w:val="es-ES_tradnl"/>
        </w:rPr>
        <w:t>–</w:t>
      </w:r>
      <w:r w:rsidRPr="00893422">
        <w:rPr>
          <w:lang w:val="es-ES_tradnl"/>
        </w:rPr>
        <w:t xml:space="preserve"> Fortalecimiento de la presencia regional: Criterios para el establecimiento de nuevas Oficinas Regionales y Zonales</w:t>
      </w:r>
      <w:hyperlink r:id="rId122"/>
    </w:p>
    <w:p w14:paraId="280B51CA" w14:textId="2EC46D1F" w:rsidR="005905B6" w:rsidRPr="00893422" w:rsidRDefault="005905B6" w:rsidP="00C32FA9">
      <w:pPr>
        <w:rPr>
          <w:rFonts w:ascii="Calibri" w:eastAsia="Calibri" w:hAnsi="Calibri" w:cs="Calibri"/>
          <w:szCs w:val="24"/>
          <w:lang w:val="es-ES_tradnl"/>
        </w:rPr>
      </w:pPr>
      <w:r w:rsidRPr="00893422">
        <w:rPr>
          <w:lang w:val="es-ES_tradnl"/>
        </w:rPr>
        <w:t xml:space="preserve">La BDT presentó un panorama general de la ejecución de las actividades de la UIT sobre el terreno por parte de las Oficinas Regionales y Zonales, así como de la colaboración entre los tres Sectores de la UIT. En la presentación se destacó el papel fundamental de la presencia regional en la ejecución del Plan Operacional del UIT-D, destacando que las Oficinas Regionales y Zonales estaban plenamente integradas en el marco de la gestión basada en los resultados (GBR) y trabajaban en estrecha coordinación con la Sede de la BDT. En el informe se subraya que esa integración garantiza que los planes operacionales, los proyectos y las actividades no </w:t>
      </w:r>
      <w:r w:rsidR="00960F42">
        <w:rPr>
          <w:lang w:val="es-ES_tradnl"/>
        </w:rPr>
        <w:t>solo</w:t>
      </w:r>
      <w:r w:rsidRPr="00893422">
        <w:rPr>
          <w:lang w:val="es-ES_tradnl"/>
        </w:rPr>
        <w:t xml:space="preserve"> estén en consonancia con el Plan de Acción de Kigali y las Iniciativas Regionales, sino que respondan también directamente las necesidades específicas de cada país. Las Oficinas Regionales desempeñan un papel fundamental en la prestación de asistencia técnica y servicios del UIT-D sobre el terreno, mientras que la Sede gestiona las acciones multirregionales. La colaboración entre las Oficinas Regionales y los servicios de la BDT es estructurada y estratégica, con planes elaborados conjuntamente e indicadores clave del desempeño compartidos para medir la implementación y el impacto.</w:t>
      </w:r>
    </w:p>
    <w:p w14:paraId="554D8D32" w14:textId="77777777" w:rsidR="005905B6" w:rsidRPr="00893422" w:rsidRDefault="005905B6" w:rsidP="00C32FA9">
      <w:pPr>
        <w:rPr>
          <w:lang w:val="es-ES_tradnl"/>
        </w:rPr>
      </w:pPr>
      <w:r w:rsidRPr="00893422">
        <w:rPr>
          <w:lang w:val="es-ES_tradnl"/>
        </w:rPr>
        <w:t xml:space="preserve">Además, el anexo al documento contiene los resultados del Grupo por correspondencia en línea encargado de elaborar el mandato para el examen de la presencia regional de la UIT en virtud de la Resolución 25. La Presidenta planteó algunas cuestiones sobre la relación entre este ejercicio y los requisitos de la Resolución 25 (Rev. Bucarest, 2022) de la Conferencia de Plenipotenciarios, en particular sobre cómo se estructuraba la colaboración entre la BDT, la Secretaría General y otros Sectores, y si el examen en curso integraría las aportaciones de la BDT, el GADT y los informes operacionales regionales. Se confirmó que se había creado un Grupo de Trabajo intersectorial y que la labor del Grupo por Correspondencia, una vez examinada por el Consejo, se incorporaría al informe que se presentaría a la Conferencia de Plenipotenciarios en 2026. Un delegado, en su </w:t>
      </w:r>
      <w:r w:rsidRPr="00893422">
        <w:rPr>
          <w:lang w:val="es-ES_tradnl"/>
        </w:rPr>
        <w:lastRenderedPageBreak/>
        <w:t>calidad de coordinador africano, hizo hincapié en la necesidad de garantizar que las ideas y sinergias compartidas durante el GADT, especialmente de los directores regionales, se reflejaran en el proceso de examen a modo de guía para futuras directrices. El debate concluyó con el reconocimiento de que seguía realizándose el examen y de la importancia de la participación inclusiva.</w:t>
      </w:r>
    </w:p>
    <w:p w14:paraId="1B2E96B3" w14:textId="77777777" w:rsidR="005905B6" w:rsidRPr="00893422" w:rsidRDefault="005905B6" w:rsidP="00C32FA9">
      <w:pPr>
        <w:rPr>
          <w:lang w:val="es-ES_tradnl"/>
        </w:rPr>
      </w:pPr>
      <w:r w:rsidRPr="00893422">
        <w:rPr>
          <w:lang w:val="es-ES_tradnl"/>
        </w:rPr>
        <w:t>El debate sobre este documento continuó el cuarto día del GADT. Varias delegaciones destacaron la importancia decisiva de las Oficinas Regionales en la ejecución de las Iniciativas Regionales y el Plan de Acción de Kigali, y destacaron las contribuciones positivas de los Directores Regionales, como había quedado demostrado durante la mesa redonda del lunes y como se describía en el Anexo A al presente informe. Las delegaciones pidieron que esta apreciación quedara reflejada en el informe de la reunión y se tuviera en cuenta en el examen de las funciones de las Oficinas Regionales de conformidad con el mandato establecido. Varias delegaciones apoyaron esta intervención y subrayaron el valor de una estrecha colaboración entre la BDT y las Oficinas Regionales para crear capacidades y llevar a la práctica proyectos.</w:t>
      </w:r>
    </w:p>
    <w:p w14:paraId="65581B34" w14:textId="77777777" w:rsidR="005905B6" w:rsidRPr="00893422" w:rsidRDefault="005905B6" w:rsidP="005905B6">
      <w:pPr>
        <w:spacing w:after="120"/>
        <w:rPr>
          <w:lang w:val="es-ES_tradnl"/>
        </w:rPr>
      </w:pPr>
      <w:r w:rsidRPr="00893422">
        <w:rPr>
          <w:lang w:val="es-ES_tradnl"/>
        </w:rPr>
        <w:t>El Vicepresidente para la Región Árabe planteó una relación entre los Documentos 24 y 28 y señaló la necesidad de delimitar con mayor claridad las funciones y el papel operacional de las Oficinas Regionales en el marco de los Planes Estratégico y de Acción más amplios de la UIT. La Presidenta confirmó el valor de la representación regional y señaló que las observaciones de los Estados Miembros se incluirían en el informe de la reunión del GADT. Hubo consenso sobre el hecho de que las Oficinas Regionales desempeñaban un papel vital y evolutivo, y que su contribución debía reforzarse en el futuro.</w:t>
      </w:r>
    </w:p>
    <w:tbl>
      <w:tblPr>
        <w:tblStyle w:val="TableGrid"/>
        <w:tblW w:w="0" w:type="auto"/>
        <w:tblLayout w:type="fixed"/>
        <w:tblLook w:val="04A0" w:firstRow="1" w:lastRow="0" w:firstColumn="1" w:lastColumn="0" w:noHBand="0" w:noVBand="1"/>
      </w:tblPr>
      <w:tblGrid>
        <w:gridCol w:w="9629"/>
      </w:tblGrid>
      <w:tr w:rsidR="005905B6" w:rsidRPr="00893422" w14:paraId="49D9A808" w14:textId="77777777" w:rsidTr="00D04740">
        <w:tc>
          <w:tcPr>
            <w:tcW w:w="9629" w:type="dxa"/>
          </w:tcPr>
          <w:p w14:paraId="0018935B" w14:textId="77777777" w:rsidR="005905B6" w:rsidRPr="00893422" w:rsidRDefault="005905B6" w:rsidP="00D04740">
            <w:pPr>
              <w:tabs>
                <w:tab w:val="clear" w:pos="794"/>
                <w:tab w:val="clear" w:pos="1191"/>
                <w:tab w:val="clear" w:pos="1588"/>
                <w:tab w:val="clear" w:pos="1985"/>
                <w:tab w:val="left" w:pos="567"/>
                <w:tab w:val="left" w:pos="1134"/>
                <w:tab w:val="left" w:pos="1701"/>
                <w:tab w:val="left" w:pos="2268"/>
              </w:tabs>
              <w:spacing w:after="120"/>
              <w:rPr>
                <w:rFonts w:cstheme="minorBidi"/>
                <w:lang w:val="es-ES_tradnl"/>
              </w:rPr>
            </w:pPr>
            <w:r w:rsidRPr="00893422">
              <w:rPr>
                <w:color w:val="000000"/>
                <w:lang w:val="es-ES_tradnl"/>
              </w:rPr>
              <w:t>El GADT tomó nota del informe y reconoció la importancia fundamental de las Oficinas Regionales para la aplicación de las Iniciativas Regionales y el Plan de Acción de Kigali, y confirmó la función complementaria de las Oficinas Regionales de la UIT en las actividades relacionadas con el desarrollo, así como las que llevaban a cabo el UIT-T y el UIT-R. El GADT reconoció y valoró la estrecha colaboración entre las Oficinas Regionales y la BDT, como quedó demostrado durante la Sesión Plenaria, destacando el papel de los Directores Regionales y de las medidas eficaces en las Regiones. El GADT tomó nota con satisfacción de las sinergias existentes entre las Oficinas Regionales y la BDT en términos de planificación, ejecución, supervisión y evaluación de las actividades y proyectos, que recibieron el reconocimiento de muchos Miembros en sus intervenciones. En toda revisión del fortalecimiento de la presencia regional debía tenerse debidamente en cuenta la Resolución 25 (Rev. Bucarest, 2022).</w:t>
            </w:r>
          </w:p>
        </w:tc>
      </w:tr>
    </w:tbl>
    <w:p w14:paraId="3E10078F" w14:textId="025324D6" w:rsidR="005905B6" w:rsidRPr="00893422" w:rsidRDefault="005905B6" w:rsidP="00C32FA9">
      <w:pPr>
        <w:pStyle w:val="Headingb"/>
        <w:rPr>
          <w:szCs w:val="24"/>
          <w:lang w:val="es-ES_tradnl"/>
        </w:rPr>
      </w:pPr>
      <w:r w:rsidRPr="00893422">
        <w:rPr>
          <w:lang w:val="es-ES_tradnl"/>
        </w:rPr>
        <w:t xml:space="preserve">Documento </w:t>
      </w:r>
      <w:hyperlink r:id="rId123" w:history="1">
        <w:r w:rsidRPr="00893422">
          <w:rPr>
            <w:rStyle w:val="Hyperlink"/>
            <w:bCs/>
            <w:lang w:val="es-ES_tradnl"/>
          </w:rPr>
          <w:t>46(Rev.1)</w:t>
        </w:r>
      </w:hyperlink>
      <w:r w:rsidRPr="00893422">
        <w:rPr>
          <w:lang w:val="es-ES_tradnl"/>
        </w:rPr>
        <w:t xml:space="preserve"> (Australia, Fiji, Papua Nueva Guinea, Samoa, Tonga y Vanuatu) – Update on sub-regional initiatives to address telecommunications/ICT-related challenges in the Pacific region (Actualización de las iniciativas subregionales para responder a las dificultades relacionadas con las telecomunicaciones/TIC en la región del Pacífico)</w:t>
      </w:r>
      <w:hyperlink r:id="rId124"/>
    </w:p>
    <w:p w14:paraId="07FED976" w14:textId="77777777" w:rsidR="005905B6" w:rsidRPr="00893422" w:rsidRDefault="005905B6" w:rsidP="005905B6">
      <w:pPr>
        <w:tabs>
          <w:tab w:val="left" w:pos="567"/>
          <w:tab w:val="left" w:pos="1701"/>
        </w:tabs>
        <w:spacing w:after="120"/>
        <w:rPr>
          <w:lang w:val="es-ES_tradnl"/>
        </w:rPr>
      </w:pPr>
      <w:r w:rsidRPr="00893422">
        <w:rPr>
          <w:lang w:val="es-ES_tradnl"/>
        </w:rPr>
        <w:t xml:space="preserve">En esta contribución plurinacional se informaba al GADT de los progresos realizados por los Estados Miembros del Pacífico para responder a las necesidades de desarrollo de las telecomunicaciones/TIC de la subregión, concretamente la Declaración de Lagatoi sobre la Transformación Digital del Pacífico y el Plan de Acción para la Transformación Digital 2024-2030, y del establecimiento de una estructura de gobernanza para avanzar en las prioridades regionales de telecomunicaciones. Además, se realizaba una evaluación exhaustiva de las opciones para fortalecer la presencia regional de la UIT en el Pacífico, a partir de los informes del proyecto ejecutado por la BDT con el apoyo del Gobierno de Australia sobre el "Feasibility Study: Addressing </w:t>
      </w:r>
      <w:r w:rsidRPr="00893422">
        <w:rPr>
          <w:lang w:val="es-ES_tradnl"/>
        </w:rPr>
        <w:lastRenderedPageBreak/>
        <w:t>the Special Telecommunications/ICT Needs of the Pacific Small Island Developing States" (Estudio de viabilidad para atender las necesidades especiales en materia de telecomunicaciones/TIC de los pequeños Estados insulares en desarrollo (PEID) del Pacífico), cuyo objetivo era descubrir y evaluar las opciones para fortalecer la presencia regional de la UIT en el Pacífico con miras a responder a las necesidades específicas de desarrollo.</w:t>
      </w:r>
    </w:p>
    <w:tbl>
      <w:tblPr>
        <w:tblStyle w:val="TableGrid"/>
        <w:tblW w:w="0" w:type="auto"/>
        <w:tblLayout w:type="fixed"/>
        <w:tblLook w:val="04A0" w:firstRow="1" w:lastRow="0" w:firstColumn="1" w:lastColumn="0" w:noHBand="0" w:noVBand="1"/>
      </w:tblPr>
      <w:tblGrid>
        <w:gridCol w:w="9629"/>
      </w:tblGrid>
      <w:tr w:rsidR="005905B6" w:rsidRPr="00893422" w14:paraId="4BB7FFBE" w14:textId="77777777" w:rsidTr="00D04740">
        <w:tc>
          <w:tcPr>
            <w:tcW w:w="9629" w:type="dxa"/>
          </w:tcPr>
          <w:p w14:paraId="56E9358B" w14:textId="77777777" w:rsidR="005905B6" w:rsidRPr="00893422" w:rsidRDefault="005905B6" w:rsidP="00D04740">
            <w:pPr>
              <w:tabs>
                <w:tab w:val="clear" w:pos="794"/>
                <w:tab w:val="clear" w:pos="1191"/>
                <w:tab w:val="clear" w:pos="1588"/>
                <w:tab w:val="clear" w:pos="1985"/>
                <w:tab w:val="left" w:pos="567"/>
                <w:tab w:val="left" w:pos="1134"/>
                <w:tab w:val="left" w:pos="1701"/>
                <w:tab w:val="left" w:pos="2268"/>
              </w:tabs>
              <w:spacing w:after="120"/>
              <w:rPr>
                <w:rFonts w:cstheme="minorBidi"/>
                <w:lang w:val="es-ES_tradnl"/>
              </w:rPr>
            </w:pPr>
            <w:r w:rsidRPr="00893422">
              <w:rPr>
                <w:color w:val="000000"/>
                <w:lang w:val="es-ES_tradnl"/>
              </w:rPr>
              <w:t>El GADT agradeció esta contribución y señaló tanto las necesidades relacionadas con las telecomunicaciones/TIC como los progresos realizados por los Estados Miembros del Pacífico en establecer cuáles eran las prioridades regionales y trabajar en ellas, fortalecer la presencia regional de la UIT y los esfuerzos colectivos para cumplir los objetivos estratégicos de la Unión en el futuro, a saber, conectividad universal y transformación digital sostenible.</w:t>
            </w:r>
          </w:p>
        </w:tc>
      </w:tr>
    </w:tbl>
    <w:p w14:paraId="6CDB0B97" w14:textId="5D1796F6" w:rsidR="005905B6" w:rsidRPr="00893422" w:rsidRDefault="005905B6" w:rsidP="005905B6">
      <w:pPr>
        <w:tabs>
          <w:tab w:val="left" w:pos="567"/>
          <w:tab w:val="left" w:pos="1701"/>
        </w:tabs>
        <w:spacing w:after="120"/>
        <w:textAlignment w:val="auto"/>
        <w:rPr>
          <w:b/>
          <w:bCs/>
          <w:szCs w:val="24"/>
          <w:lang w:val="es-ES_tradnl"/>
        </w:rPr>
      </w:pPr>
      <w:r w:rsidRPr="00893422">
        <w:rPr>
          <w:b/>
          <w:bCs/>
          <w:lang w:val="es-ES_tradnl"/>
        </w:rPr>
        <w:t xml:space="preserve">Documento </w:t>
      </w:r>
      <w:hyperlink r:id="rId125" w:history="1">
        <w:r w:rsidRPr="00893422">
          <w:rPr>
            <w:rStyle w:val="Hyperlink"/>
            <w:b/>
            <w:bCs/>
            <w:lang w:val="es-ES_tradnl"/>
          </w:rPr>
          <w:t>29</w:t>
        </w:r>
      </w:hyperlink>
      <w:r w:rsidRPr="00893422">
        <w:rPr>
          <w:b/>
          <w:bCs/>
          <w:lang w:val="es-ES_tradnl"/>
        </w:rPr>
        <w:t xml:space="preserve"> (GANT) </w:t>
      </w:r>
      <w:r w:rsidR="00C32FA9" w:rsidRPr="00893422">
        <w:rPr>
          <w:b/>
          <w:bCs/>
          <w:lang w:val="es-ES_tradnl"/>
        </w:rPr>
        <w:t>–</w:t>
      </w:r>
      <w:r w:rsidRPr="00893422">
        <w:rPr>
          <w:b/>
          <w:bCs/>
          <w:lang w:val="es-ES_tradnl"/>
        </w:rPr>
        <w:t xml:space="preserve"> Incoming LS </w:t>
      </w:r>
      <w:r w:rsidR="00C32FA9" w:rsidRPr="00893422">
        <w:rPr>
          <w:b/>
          <w:bCs/>
          <w:lang w:val="es-ES_tradnl"/>
        </w:rPr>
        <w:t>–</w:t>
      </w:r>
      <w:r w:rsidRPr="00893422">
        <w:rPr>
          <w:b/>
          <w:bCs/>
          <w:lang w:val="es-ES_tradnl"/>
        </w:rPr>
        <w:t xml:space="preserve"> Liaison Statement on TSAG activities on industry engagement [to RAG, TDAG, ISCG] (Declaración de coordinación entrante - Declaración de coordinación sobre las actividades del GANT relativas a la participación de la industria [al GAR, el GADT y el GCIS])</w:t>
      </w:r>
      <w:hyperlink r:id="rId126"/>
    </w:p>
    <w:p w14:paraId="2A588B74" w14:textId="77777777" w:rsidR="005905B6" w:rsidRPr="00893422" w:rsidRDefault="005905B6" w:rsidP="00C32FA9">
      <w:pPr>
        <w:rPr>
          <w:lang w:val="es-ES_tradnl"/>
        </w:rPr>
      </w:pPr>
      <w:r w:rsidRPr="00893422">
        <w:rPr>
          <w:lang w:val="es-ES_tradnl"/>
        </w:rPr>
        <w:t>En la declaración de coordinación se informaba al GADT de las actividades realizadas para mejorar la participación de la industria durante el periodo de estudios 2022-2024. Una de ellas había sido la celebración de un taller de participación de la industria en abril de 2024 en el que se recopilaron aportaciones de miembros y no miembros sobre la participación en las actividades del UIT-T, medidas de participación y las tendencias en los procesos de normalización. Los resultados de esta labor contribuyeron a la revisión de la Resolución 68 de la AMNT sobre la evolución del papel de la industria en el UIT-T. En la presentación también se señaló que el GANT examinaría estas actividades en su próxima reunión.</w:t>
      </w:r>
    </w:p>
    <w:p w14:paraId="21EAB4B0" w14:textId="77777777" w:rsidR="005905B6" w:rsidRPr="00893422" w:rsidRDefault="005905B6" w:rsidP="005905B6">
      <w:pPr>
        <w:spacing w:after="120"/>
        <w:rPr>
          <w:lang w:val="es-ES_tradnl"/>
        </w:rPr>
      </w:pPr>
      <w:r w:rsidRPr="00893422">
        <w:rPr>
          <w:lang w:val="es-ES_tradnl"/>
        </w:rPr>
        <w:t>Tras la presentación, la Presidenta de la Comisión de Estudio 1 planteó la cuestión de si existía sinergia entre la labor del Sector UIT-T en materia de participación y el GCIS, puesto que a su entender era importante contar con un enfoque unificado para la creación de capacidad en todos los Sectores. El Presidente del GCIS confirmó que, aunque la participación la coordinaba en esos momentos un nuevo coordinador nombrado por el GADT, la creación de capacidades no se trataba en esos momentos en el GCIS. Un delegado aclaró que los cambios de la Resolución 68 se habían debatido y acordado en la AMNT y confirmó que la Resolución actualizada serviría para orientar los esfuerzos futuros de participación. La Presidenta acogió con satisfacción la actualización detallada y propuso dar a conocer las actividades correspondientes del GADT a través de una declaración de coordinación puesto que a su entender era importante hacer esfuerzos intersectoriales coordinados para mejorar la participación de la industria en toda la Unión.</w:t>
      </w:r>
    </w:p>
    <w:tbl>
      <w:tblPr>
        <w:tblStyle w:val="TableGrid"/>
        <w:tblW w:w="0" w:type="auto"/>
        <w:tblLayout w:type="fixed"/>
        <w:tblLook w:val="04A0" w:firstRow="1" w:lastRow="0" w:firstColumn="1" w:lastColumn="0" w:noHBand="0" w:noVBand="1"/>
      </w:tblPr>
      <w:tblGrid>
        <w:gridCol w:w="9629"/>
      </w:tblGrid>
      <w:tr w:rsidR="005905B6" w:rsidRPr="00893422" w14:paraId="7C56EC21" w14:textId="77777777" w:rsidTr="00D04740">
        <w:tc>
          <w:tcPr>
            <w:tcW w:w="9629" w:type="dxa"/>
          </w:tcPr>
          <w:p w14:paraId="44228BB8" w14:textId="224C8C46" w:rsidR="005905B6" w:rsidRPr="00893422" w:rsidRDefault="005905B6" w:rsidP="00D04740">
            <w:pPr>
              <w:tabs>
                <w:tab w:val="clear" w:pos="794"/>
                <w:tab w:val="clear" w:pos="1191"/>
                <w:tab w:val="clear" w:pos="1588"/>
                <w:tab w:val="clear" w:pos="1985"/>
                <w:tab w:val="left" w:pos="567"/>
                <w:tab w:val="left" w:pos="1134"/>
                <w:tab w:val="left" w:pos="1701"/>
                <w:tab w:val="left" w:pos="2268"/>
              </w:tabs>
              <w:spacing w:after="120"/>
              <w:rPr>
                <w:rFonts w:ascii="Calibri" w:hAnsi="Calibri" w:cs="Calibri"/>
                <w:lang w:val="es-ES_tradnl"/>
              </w:rPr>
            </w:pPr>
            <w:r w:rsidRPr="00893422">
              <w:rPr>
                <w:color w:val="000000"/>
                <w:lang w:val="es-ES_tradnl"/>
              </w:rPr>
              <w:t xml:space="preserve">El GADT tomó nota de la declaración de coordinación sobre las actividades del GANT relativas a la participación de la industria y aprobó su respuesta, la cual se detalla en el Documento </w:t>
            </w:r>
            <w:hyperlink r:id="rId127" w:history="1">
              <w:r w:rsidRPr="00893422">
                <w:rPr>
                  <w:rStyle w:val="Hyperlink"/>
                  <w:lang w:val="es-ES_tradnl"/>
                </w:rPr>
                <w:t>DT</w:t>
              </w:r>
              <w:r w:rsidRPr="00893422">
                <w:rPr>
                  <w:rStyle w:val="Hyperlink"/>
                  <w:lang w:val="es-ES_tradnl"/>
                </w:rPr>
                <w:t>/</w:t>
              </w:r>
              <w:r w:rsidRPr="00893422">
                <w:rPr>
                  <w:rStyle w:val="Hyperlink"/>
                  <w:lang w:val="es-ES_tradnl"/>
                </w:rPr>
                <w:t>2</w:t>
              </w:r>
            </w:hyperlink>
            <w:r w:rsidRPr="00893422">
              <w:rPr>
                <w:color w:val="000000"/>
                <w:lang w:val="es-ES_tradnl"/>
              </w:rPr>
              <w:t>.</w:t>
            </w:r>
            <w:hyperlink r:id="rId128"/>
          </w:p>
        </w:tc>
      </w:tr>
    </w:tbl>
    <w:p w14:paraId="2DADA979" w14:textId="3DDAA116" w:rsidR="005905B6" w:rsidRPr="00893422" w:rsidRDefault="005905B6" w:rsidP="00C32FA9">
      <w:pPr>
        <w:pStyle w:val="Headingb"/>
        <w:keepLines/>
        <w:rPr>
          <w:szCs w:val="24"/>
          <w:lang w:val="es-ES_tradnl"/>
        </w:rPr>
      </w:pPr>
      <w:r w:rsidRPr="00893422">
        <w:rPr>
          <w:lang w:val="es-ES_tradnl"/>
        </w:rPr>
        <w:lastRenderedPageBreak/>
        <w:t xml:space="preserve">Documento </w:t>
      </w:r>
      <w:hyperlink r:id="rId129" w:history="1">
        <w:r w:rsidRPr="00893422">
          <w:rPr>
            <w:rStyle w:val="Hyperlink"/>
            <w:bCs/>
            <w:lang w:val="es-ES_tradnl"/>
          </w:rPr>
          <w:t>3</w:t>
        </w:r>
        <w:r w:rsidRPr="00893422">
          <w:rPr>
            <w:rStyle w:val="Hyperlink"/>
            <w:bCs/>
            <w:lang w:val="es-ES_tradnl"/>
          </w:rPr>
          <w:t>0</w:t>
        </w:r>
      </w:hyperlink>
      <w:r w:rsidRPr="00893422">
        <w:rPr>
          <w:lang w:val="es-ES_tradnl"/>
        </w:rPr>
        <w:t xml:space="preserve"> (GANT) </w:t>
      </w:r>
      <w:r w:rsidR="00C32FA9" w:rsidRPr="00893422">
        <w:rPr>
          <w:lang w:val="es-ES_tradnl"/>
        </w:rPr>
        <w:t>–</w:t>
      </w:r>
      <w:r w:rsidRPr="00893422">
        <w:rPr>
          <w:lang w:val="es-ES_tradnl"/>
        </w:rPr>
        <w:t xml:space="preserve"> Incoming LS </w:t>
      </w:r>
      <w:r w:rsidR="00C32FA9" w:rsidRPr="00893422">
        <w:rPr>
          <w:lang w:val="es-ES_tradnl"/>
        </w:rPr>
        <w:t>–</w:t>
      </w:r>
      <w:r w:rsidRPr="00893422">
        <w:rPr>
          <w:lang w:val="es-ES_tradnl"/>
        </w:rPr>
        <w:t xml:space="preserve"> Liaison Statement on A-Series Supplement 7 "WTSA preparation guideline on Resolutions" [to ISCG, TDAG, RAG] (Declaración de coordinación entrante </w:t>
      </w:r>
      <w:r w:rsidR="00C32FA9" w:rsidRPr="00893422">
        <w:rPr>
          <w:lang w:val="es-ES_tradnl"/>
        </w:rPr>
        <w:t>–</w:t>
      </w:r>
      <w:r w:rsidRPr="00893422">
        <w:rPr>
          <w:lang w:val="es-ES_tradnl"/>
        </w:rPr>
        <w:t xml:space="preserve"> Declaración de coordinación sobre el Suplemento 7 de la Serie A "WTSA preparation guideline on Resolutions" (Directrices para la preparación de Resoluciones de la AMNT) [al GCI, el GADT y el GAR])</w:t>
      </w:r>
      <w:hyperlink r:id="rId130"/>
    </w:p>
    <w:p w14:paraId="7A4B479E" w14:textId="26D2767A" w:rsidR="005905B6" w:rsidRPr="00893422" w:rsidRDefault="005905B6" w:rsidP="00C32FA9">
      <w:pPr>
        <w:keepNext/>
        <w:keepLines/>
        <w:rPr>
          <w:lang w:val="es-ES_tradnl"/>
        </w:rPr>
      </w:pPr>
      <w:r w:rsidRPr="00893422">
        <w:rPr>
          <w:lang w:val="es-ES_tradnl"/>
        </w:rPr>
        <w:t>La TSB presentó una declaración de coordinación del GANT relativa al Suplemento 7 de la Serie A, con directrices para la preparación de Resoluciones de la AMNT. En el suplemento, elaborado a lo largo de dos periodos de estudio desde 2016 y publicado en agosto de 2024, se describían en líneas generales los principios para racionalizar las Resoluciones del UIT</w:t>
      </w:r>
      <w:r w:rsidRPr="00893422">
        <w:rPr>
          <w:lang w:val="es-ES_tradnl"/>
        </w:rPr>
        <w:noBreakHyphen/>
        <w:t xml:space="preserve">T a fin de garantizar su concisión, especificidad, facilidad de aplicación y consonancia con la evolución de las prioridades en materia de TIC. También figuraban en él orientaciones sobre la propuesta de nuevas resoluciones o revisiones en el Sector UIT-T y se alentaba a utilizar informes de situación, detectar solapamientos y fomentar la participación de organizaciones regionales en el </w:t>
      </w:r>
      <w:r w:rsidR="00960F42">
        <w:rPr>
          <w:lang w:val="es-ES_tradnl"/>
        </w:rPr>
        <w:t>periodo</w:t>
      </w:r>
      <w:r w:rsidRPr="00893422">
        <w:rPr>
          <w:lang w:val="es-ES_tradnl"/>
        </w:rPr>
        <w:t xml:space="preserve"> previo a la</w:t>
      </w:r>
      <w:r w:rsidR="009F7FBC">
        <w:rPr>
          <w:lang w:val="es-ES_tradnl"/>
        </w:rPr>
        <w:t> </w:t>
      </w:r>
      <w:r w:rsidRPr="00893422">
        <w:rPr>
          <w:lang w:val="es-ES_tradnl"/>
        </w:rPr>
        <w:t>AMNT.</w:t>
      </w:r>
    </w:p>
    <w:p w14:paraId="35076F3C" w14:textId="77777777" w:rsidR="005905B6" w:rsidRPr="00893422" w:rsidRDefault="005905B6" w:rsidP="005905B6">
      <w:pPr>
        <w:spacing w:after="120"/>
        <w:rPr>
          <w:lang w:val="es-ES_tradnl"/>
        </w:rPr>
      </w:pPr>
      <w:r w:rsidRPr="00893422">
        <w:rPr>
          <w:lang w:val="es-ES_tradnl"/>
        </w:rPr>
        <w:t>En el debate subsiguiente, la Vicepresidenta para Europa preguntó si se elaborarían orientaciones preparatorias similares para el Sector UIT-D antes de la CMDT. En su respuesta, el Director de la BDT confirmó que la Secretaría estaba preparando plantillas y directrices para los Estados Miembros, similares a las utilizadas en el pasado, y que también se proporcionaría acceso a la plataforma de interfaz CPI para facilitar las contribuciones y la negociación durante la CMDT. Un delegado insistió además en la necesidad de hacer referencia a las Resoluciones de la Conferencia de Plenipotenciarios y basarse en ellas en el proceso de racionalización para garantizar la coherencia entre los Sectores. La Presidenta tomó nota de estos puntos y confirmó que esas contribuciones se tendrían en cuenta a medida que avanzaran los preparativos de la CMDT.</w:t>
      </w:r>
    </w:p>
    <w:tbl>
      <w:tblPr>
        <w:tblStyle w:val="TableGrid"/>
        <w:tblW w:w="0" w:type="auto"/>
        <w:tblLayout w:type="fixed"/>
        <w:tblLook w:val="04A0" w:firstRow="1" w:lastRow="0" w:firstColumn="1" w:lastColumn="0" w:noHBand="0" w:noVBand="1"/>
      </w:tblPr>
      <w:tblGrid>
        <w:gridCol w:w="9629"/>
      </w:tblGrid>
      <w:tr w:rsidR="005905B6" w:rsidRPr="00893422" w14:paraId="2145FB33" w14:textId="77777777" w:rsidTr="00D04740">
        <w:tc>
          <w:tcPr>
            <w:tcW w:w="9629" w:type="dxa"/>
          </w:tcPr>
          <w:p w14:paraId="79432DEE" w14:textId="1300858E" w:rsidR="005905B6" w:rsidRPr="00893422" w:rsidRDefault="005905B6" w:rsidP="00D04740">
            <w:pPr>
              <w:tabs>
                <w:tab w:val="clear" w:pos="794"/>
                <w:tab w:val="clear" w:pos="1191"/>
                <w:tab w:val="clear" w:pos="1588"/>
                <w:tab w:val="clear" w:pos="1985"/>
                <w:tab w:val="left" w:pos="567"/>
                <w:tab w:val="left" w:pos="1134"/>
                <w:tab w:val="left" w:pos="1701"/>
                <w:tab w:val="left" w:pos="2268"/>
              </w:tabs>
              <w:spacing w:after="120"/>
              <w:rPr>
                <w:rFonts w:ascii="Calibri" w:hAnsi="Calibri" w:cs="Calibri"/>
                <w:lang w:val="es-ES_tradnl"/>
              </w:rPr>
            </w:pPr>
            <w:r w:rsidRPr="00893422">
              <w:rPr>
                <w:color w:val="000000"/>
                <w:lang w:val="es-ES_tradnl"/>
              </w:rPr>
              <w:t xml:space="preserve">El GADT tomó nota de la declaración de coordinación y su anexo sobre las directrices de preparación de la AMNT relativas a Resoluciones y aprobó su respuesta, la cual se detalla en el Documento </w:t>
            </w:r>
            <w:hyperlink r:id="rId131" w:history="1">
              <w:r w:rsidRPr="00893422">
                <w:rPr>
                  <w:rStyle w:val="Hyperlink"/>
                  <w:lang w:val="es-ES_tradnl"/>
                </w:rPr>
                <w:t>DT</w:t>
              </w:r>
              <w:r w:rsidRPr="00893422">
                <w:rPr>
                  <w:rStyle w:val="Hyperlink"/>
                  <w:lang w:val="es-ES_tradnl"/>
                </w:rPr>
                <w:t>/</w:t>
              </w:r>
              <w:r w:rsidRPr="00893422">
                <w:rPr>
                  <w:rStyle w:val="Hyperlink"/>
                  <w:lang w:val="es-ES_tradnl"/>
                </w:rPr>
                <w:t>3</w:t>
              </w:r>
            </w:hyperlink>
            <w:r w:rsidRPr="00893422">
              <w:rPr>
                <w:color w:val="000000"/>
                <w:lang w:val="es-ES_tradnl"/>
              </w:rPr>
              <w:t>.</w:t>
            </w:r>
            <w:hyperlink r:id="rId132"/>
          </w:p>
        </w:tc>
      </w:tr>
    </w:tbl>
    <w:p w14:paraId="14C29132" w14:textId="6080748F" w:rsidR="005905B6" w:rsidRPr="00893422" w:rsidRDefault="005905B6" w:rsidP="00C32FA9">
      <w:pPr>
        <w:pStyle w:val="Headingb"/>
        <w:rPr>
          <w:szCs w:val="24"/>
          <w:lang w:val="es-ES_tradnl"/>
        </w:rPr>
      </w:pPr>
      <w:r w:rsidRPr="00893422">
        <w:rPr>
          <w:lang w:val="es-ES_tradnl"/>
        </w:rPr>
        <w:t xml:space="preserve">Documento </w:t>
      </w:r>
      <w:hyperlink r:id="rId133" w:history="1">
        <w:r w:rsidRPr="00893422">
          <w:rPr>
            <w:rStyle w:val="Hyperlink"/>
            <w:bCs/>
            <w:lang w:val="es-ES_tradnl"/>
          </w:rPr>
          <w:t>3</w:t>
        </w:r>
        <w:r w:rsidRPr="00893422">
          <w:rPr>
            <w:rStyle w:val="Hyperlink"/>
            <w:bCs/>
            <w:lang w:val="es-ES_tradnl"/>
          </w:rPr>
          <w:t>1</w:t>
        </w:r>
      </w:hyperlink>
      <w:r w:rsidRPr="00893422">
        <w:rPr>
          <w:lang w:val="es-ES_tradnl"/>
        </w:rPr>
        <w:t xml:space="preserve"> (GANT) </w:t>
      </w:r>
      <w:r w:rsidR="00C32FA9" w:rsidRPr="00893422">
        <w:rPr>
          <w:lang w:val="es-ES_tradnl"/>
        </w:rPr>
        <w:t>–</w:t>
      </w:r>
      <w:r w:rsidRPr="00893422">
        <w:rPr>
          <w:lang w:val="es-ES_tradnl"/>
        </w:rPr>
        <w:t xml:space="preserve"> Incoming LS </w:t>
      </w:r>
      <w:r w:rsidR="00C32FA9" w:rsidRPr="00893422">
        <w:rPr>
          <w:lang w:val="es-ES_tradnl"/>
        </w:rPr>
        <w:t>–</w:t>
      </w:r>
      <w:r w:rsidRPr="00893422">
        <w:rPr>
          <w:lang w:val="es-ES_tradnl"/>
        </w:rPr>
        <w:t xml:space="preserve"> Liaison Statement on the Initial Submission of TSAG to the Council Working Group on Strategic and Financial Planning [to CWG-SFP, ITU-T Study Groups, ISCG, TDAG, RAG] (Declaración de coordinación entrante </w:t>
      </w:r>
      <w:r w:rsidR="00C32FA9" w:rsidRPr="00893422">
        <w:rPr>
          <w:lang w:val="es-ES_tradnl"/>
        </w:rPr>
        <w:t>–</w:t>
      </w:r>
      <w:r w:rsidRPr="00893422">
        <w:rPr>
          <w:lang w:val="es-ES_tradnl"/>
        </w:rPr>
        <w:t xml:space="preserve"> Declaración de Coordinación sobre la Comunicación Inicial del GANT al Grupo de Trabajo del Consejo sobre Planificación Estratégica y Financiera [al GTC-PEF, las Comisiones de Estudio del UIT-T, GCIS, GADT, GAR])</w:t>
      </w:r>
      <w:hyperlink r:id="rId134"/>
    </w:p>
    <w:p w14:paraId="0748F173" w14:textId="77777777" w:rsidR="005905B6" w:rsidRPr="00893422" w:rsidRDefault="005905B6" w:rsidP="005905B6">
      <w:pPr>
        <w:spacing w:after="120"/>
        <w:rPr>
          <w:lang w:val="es-ES_tradnl"/>
        </w:rPr>
      </w:pPr>
      <w:r w:rsidRPr="00893422">
        <w:rPr>
          <w:lang w:val="es-ES_tradnl"/>
        </w:rPr>
        <w:t>El Documento 31 se presentó como declaración de coordinación al GADT y en él se resumía la contribución del GANT al Grupo de Trabajo del Consejo sobre los Planes Estratégico y Financiero. En el documento se describen en términos generales las consideraciones del GANT sobre el actual Plan Estratégico, entre otras cosas la armonización con las prioridades temáticas y el Plan de Acción del UIT-T. También se destaca la necesidad de establecer vínculos más estrechos entre la planificación estratégica, operacional y financiera, en particular en el contexto de la Resolución 108 sobre planificación estratégica en el UIT-T, adoptada en la AMNT. En la declaración también se destacaba la importancia de aclarar los elementos del proceso de planificación y la pertinencia de un enfoque intersectorial coordinado.</w:t>
      </w:r>
    </w:p>
    <w:tbl>
      <w:tblPr>
        <w:tblStyle w:val="TableGrid"/>
        <w:tblW w:w="0" w:type="auto"/>
        <w:tblLayout w:type="fixed"/>
        <w:tblLook w:val="04A0" w:firstRow="1" w:lastRow="0" w:firstColumn="1" w:lastColumn="0" w:noHBand="0" w:noVBand="1"/>
      </w:tblPr>
      <w:tblGrid>
        <w:gridCol w:w="9629"/>
      </w:tblGrid>
      <w:tr w:rsidR="005905B6" w:rsidRPr="00893422" w14:paraId="49D04232" w14:textId="77777777" w:rsidTr="00D04740">
        <w:tc>
          <w:tcPr>
            <w:tcW w:w="9629" w:type="dxa"/>
          </w:tcPr>
          <w:p w14:paraId="14638ACB" w14:textId="0CC891B2" w:rsidR="005905B6" w:rsidRPr="00893422" w:rsidRDefault="005905B6" w:rsidP="00D04740">
            <w:pPr>
              <w:tabs>
                <w:tab w:val="clear" w:pos="794"/>
                <w:tab w:val="clear" w:pos="1191"/>
                <w:tab w:val="clear" w:pos="1588"/>
                <w:tab w:val="clear" w:pos="1985"/>
                <w:tab w:val="left" w:pos="567"/>
                <w:tab w:val="left" w:pos="1134"/>
                <w:tab w:val="left" w:pos="1701"/>
                <w:tab w:val="left" w:pos="2268"/>
              </w:tabs>
              <w:spacing w:after="120"/>
              <w:rPr>
                <w:rFonts w:ascii="Calibri" w:hAnsi="Calibri" w:cs="Calibri"/>
                <w:color w:val="000000" w:themeColor="text1"/>
                <w:lang w:val="es-ES_tradnl"/>
              </w:rPr>
            </w:pPr>
            <w:r w:rsidRPr="00893422">
              <w:rPr>
                <w:color w:val="000000"/>
                <w:lang w:val="es-ES_tradnl"/>
              </w:rPr>
              <w:t xml:space="preserve">El GADT tomó nota de la Declaración de Coordinación sobre la Comunicación Inicial del GANT al Grupo de Trabajo del Consejo sobre Planificación Estratégica y Financiera y aprobó su respuesta, como se detalla en el Documento </w:t>
            </w:r>
            <w:hyperlink r:id="rId135" w:history="1">
              <w:r w:rsidRPr="00893422">
                <w:rPr>
                  <w:rStyle w:val="Hyperlink"/>
                  <w:lang w:val="es-ES_tradnl"/>
                </w:rPr>
                <w:t>DT</w:t>
              </w:r>
              <w:r w:rsidRPr="00893422">
                <w:rPr>
                  <w:rStyle w:val="Hyperlink"/>
                  <w:lang w:val="es-ES_tradnl"/>
                </w:rPr>
                <w:t>/</w:t>
              </w:r>
              <w:r w:rsidRPr="00893422">
                <w:rPr>
                  <w:rStyle w:val="Hyperlink"/>
                  <w:lang w:val="es-ES_tradnl"/>
                </w:rPr>
                <w:t>4</w:t>
              </w:r>
            </w:hyperlink>
            <w:r w:rsidRPr="00893422">
              <w:rPr>
                <w:color w:val="000000"/>
                <w:lang w:val="es-ES_tradnl"/>
              </w:rPr>
              <w:t>.</w:t>
            </w:r>
            <w:hyperlink r:id="rId136"/>
          </w:p>
        </w:tc>
      </w:tr>
    </w:tbl>
    <w:p w14:paraId="558857B2" w14:textId="568B86D7" w:rsidR="005905B6" w:rsidRPr="00893422" w:rsidRDefault="005905B6" w:rsidP="00C32FA9">
      <w:pPr>
        <w:pStyle w:val="Headingb"/>
        <w:rPr>
          <w:szCs w:val="24"/>
          <w:lang w:val="es-ES_tradnl"/>
        </w:rPr>
      </w:pPr>
      <w:r w:rsidRPr="00893422">
        <w:rPr>
          <w:lang w:val="es-ES_tradnl"/>
        </w:rPr>
        <w:lastRenderedPageBreak/>
        <w:t xml:space="preserve">Documento </w:t>
      </w:r>
      <w:hyperlink r:id="rId137" w:history="1">
        <w:r w:rsidRPr="00893422">
          <w:rPr>
            <w:rStyle w:val="Hyperlink"/>
            <w:bCs/>
            <w:lang w:val="es-ES_tradnl"/>
          </w:rPr>
          <w:t>3</w:t>
        </w:r>
        <w:r w:rsidRPr="00893422">
          <w:rPr>
            <w:rStyle w:val="Hyperlink"/>
            <w:bCs/>
            <w:lang w:val="es-ES_tradnl"/>
          </w:rPr>
          <w:t>3</w:t>
        </w:r>
      </w:hyperlink>
      <w:r w:rsidRPr="00893422">
        <w:rPr>
          <w:lang w:val="es-ES_tradnl"/>
        </w:rPr>
        <w:t xml:space="preserve"> (GANT) </w:t>
      </w:r>
      <w:r w:rsidR="00C32FA9" w:rsidRPr="00893422">
        <w:rPr>
          <w:lang w:val="es-ES_tradnl"/>
        </w:rPr>
        <w:t>–</w:t>
      </w:r>
      <w:r w:rsidRPr="00893422">
        <w:rPr>
          <w:lang w:val="es-ES_tradnl"/>
        </w:rPr>
        <w:t xml:space="preserve"> Incoming LS </w:t>
      </w:r>
      <w:r w:rsidR="00C32FA9" w:rsidRPr="00893422">
        <w:rPr>
          <w:lang w:val="es-ES_tradnl"/>
        </w:rPr>
        <w:t>–</w:t>
      </w:r>
      <w:r w:rsidRPr="00893422">
        <w:rPr>
          <w:lang w:val="es-ES_tradnl"/>
        </w:rPr>
        <w:t xml:space="preserve"> Liaison Statement on the Second Submission of TSAG to the Council Working Group for strategic and financial plans 2028-2031 (Declaración de coordinación entrante </w:t>
      </w:r>
      <w:r w:rsidR="00C32FA9" w:rsidRPr="00893422">
        <w:rPr>
          <w:lang w:val="es-ES_tradnl"/>
        </w:rPr>
        <w:t>–</w:t>
      </w:r>
      <w:r w:rsidRPr="00893422">
        <w:rPr>
          <w:lang w:val="es-ES_tradnl"/>
        </w:rPr>
        <w:t xml:space="preserve"> Declaración de Coordinación sobre la Segunda Comunicación del GANT al Grupo de Trabajo del Consejo sobre los Planes Estratégico y Financiero 2028-2031)</w:t>
      </w:r>
      <w:hyperlink r:id="rId138"/>
    </w:p>
    <w:p w14:paraId="6A993834" w14:textId="77777777" w:rsidR="005905B6" w:rsidRPr="00893422" w:rsidRDefault="005905B6" w:rsidP="00C32FA9">
      <w:pPr>
        <w:rPr>
          <w:lang w:val="es-ES_tradnl"/>
        </w:rPr>
      </w:pPr>
      <w:r w:rsidRPr="00893422">
        <w:rPr>
          <w:lang w:val="es-ES_tradnl"/>
        </w:rPr>
        <w:t>El Documento 33 se presentó como continuación de la contribución del GANT al Grupo de Trabajo del Consejo sobre los Planes Estratégico y Financiero, completando la coordinación anterior del Documento 31. Esta segunda declaración de coordinación proporcionó un análisis más profundo del plan estratégico, haciendo referencia a la Resolución 108 de la AMNT recientemente adoptada sobre la planificación estratégica en el UIT-T. En ella se hizo hincapié en la necesidad de mejorar la armonización entre la planificación estratégica, operacional y financiera en toda la Unión. En el documento también se pedía una definición más clara de los elementos de planificación y una mayor coherencia en las contribuciones sectoriales al marco estratégico general de la UIT.</w:t>
      </w:r>
    </w:p>
    <w:p w14:paraId="130E1C5A" w14:textId="77777777" w:rsidR="005905B6" w:rsidRPr="00893422" w:rsidRDefault="005905B6" w:rsidP="005905B6">
      <w:pPr>
        <w:spacing w:after="120"/>
        <w:textAlignment w:val="auto"/>
        <w:rPr>
          <w:lang w:val="es-ES_tradnl"/>
        </w:rPr>
      </w:pPr>
      <w:r w:rsidRPr="00893422">
        <w:rPr>
          <w:lang w:val="es-ES_tradnl"/>
        </w:rPr>
        <w:t>La Presidenta dio las gracias al ponente y señaló que el propio Grupo de Trabajo del GADT sobre las Prioridades del UIT-D estaba trabajando en paralelo sobre cuestiones conexas. Subrayó la importancia de la sensibilización mutua entre los Sectores e indicó que el GADT respondería con una declaración de coordinación para dar a conocer los progresos realizados y las prioridades. No se formularon más comentarios y se tomó nota de la contribución como un contexto valioso para la coordinación intersectorial en curso en la planificación estratégica.</w:t>
      </w:r>
    </w:p>
    <w:tbl>
      <w:tblPr>
        <w:tblStyle w:val="TableGrid"/>
        <w:tblW w:w="0" w:type="auto"/>
        <w:tblLayout w:type="fixed"/>
        <w:tblLook w:val="04A0" w:firstRow="1" w:lastRow="0" w:firstColumn="1" w:lastColumn="0" w:noHBand="0" w:noVBand="1"/>
      </w:tblPr>
      <w:tblGrid>
        <w:gridCol w:w="9629"/>
      </w:tblGrid>
      <w:tr w:rsidR="005905B6" w:rsidRPr="00893422" w14:paraId="1DFD988F" w14:textId="77777777" w:rsidTr="00D04740">
        <w:tc>
          <w:tcPr>
            <w:tcW w:w="9629" w:type="dxa"/>
          </w:tcPr>
          <w:p w14:paraId="1F626D08" w14:textId="044986B6" w:rsidR="005905B6" w:rsidRPr="00893422" w:rsidRDefault="005905B6" w:rsidP="00D04740">
            <w:pPr>
              <w:tabs>
                <w:tab w:val="clear" w:pos="794"/>
                <w:tab w:val="clear" w:pos="1191"/>
                <w:tab w:val="clear" w:pos="1588"/>
                <w:tab w:val="clear" w:pos="1985"/>
                <w:tab w:val="left" w:pos="567"/>
                <w:tab w:val="left" w:pos="1134"/>
                <w:tab w:val="left" w:pos="1701"/>
                <w:tab w:val="left" w:pos="2268"/>
              </w:tabs>
              <w:spacing w:after="120"/>
              <w:rPr>
                <w:rFonts w:ascii="Calibri" w:hAnsi="Calibri" w:cs="Calibri"/>
                <w:color w:val="000000" w:themeColor="text1"/>
                <w:lang w:val="es-ES_tradnl"/>
              </w:rPr>
            </w:pPr>
            <w:r w:rsidRPr="00893422">
              <w:rPr>
                <w:color w:val="000000"/>
                <w:lang w:val="es-ES_tradnl"/>
              </w:rPr>
              <w:t xml:space="preserve">El GADT tomó nota de la Declaración de Coordinación sobre la Segunda Comunicación del GANT al Grupo de Trabajo del Consejo sobre los Planes Estratégico y Financiero 2028-2031 y aprobó su respuesta, como se detalla en el Documento </w:t>
            </w:r>
            <w:hyperlink r:id="rId139" w:history="1">
              <w:r w:rsidRPr="00893422">
                <w:rPr>
                  <w:rStyle w:val="Hyperlink"/>
                  <w:lang w:val="es-ES_tradnl"/>
                </w:rPr>
                <w:t>D</w:t>
              </w:r>
              <w:r w:rsidRPr="00893422">
                <w:rPr>
                  <w:rStyle w:val="Hyperlink"/>
                  <w:lang w:val="es-ES_tradnl"/>
                </w:rPr>
                <w:t>T</w:t>
              </w:r>
              <w:r w:rsidRPr="00893422">
                <w:rPr>
                  <w:rStyle w:val="Hyperlink"/>
                  <w:lang w:val="es-ES_tradnl"/>
                </w:rPr>
                <w:t>/4</w:t>
              </w:r>
            </w:hyperlink>
            <w:r w:rsidRPr="00893422">
              <w:rPr>
                <w:color w:val="000000"/>
                <w:lang w:val="es-ES_tradnl"/>
              </w:rPr>
              <w:t>.</w:t>
            </w:r>
            <w:hyperlink r:id="rId140"/>
          </w:p>
        </w:tc>
      </w:tr>
    </w:tbl>
    <w:p w14:paraId="24D278D2" w14:textId="5AA579AD" w:rsidR="005905B6" w:rsidRPr="00893422" w:rsidRDefault="005905B6" w:rsidP="00C32FA9">
      <w:pPr>
        <w:pStyle w:val="Headingb"/>
        <w:rPr>
          <w:szCs w:val="24"/>
          <w:lang w:val="es-ES_tradnl"/>
        </w:rPr>
      </w:pPr>
      <w:r w:rsidRPr="00893422">
        <w:rPr>
          <w:lang w:val="es-ES_tradnl"/>
        </w:rPr>
        <w:t xml:space="preserve">Documento </w:t>
      </w:r>
      <w:hyperlink r:id="rId141" w:history="1">
        <w:r w:rsidRPr="00893422">
          <w:rPr>
            <w:rStyle w:val="Hyperlink"/>
            <w:bCs/>
            <w:lang w:val="es-ES_tradnl"/>
          </w:rPr>
          <w:t>32</w:t>
        </w:r>
      </w:hyperlink>
      <w:r w:rsidRPr="00893422">
        <w:rPr>
          <w:lang w:val="es-ES_tradnl"/>
        </w:rPr>
        <w:t xml:space="preserve"> (Grupo de Trabajo 5D del UIT-R) – Incoming LS </w:t>
      </w:r>
      <w:r w:rsidR="00C32FA9" w:rsidRPr="00893422">
        <w:rPr>
          <w:lang w:val="es-ES_tradnl"/>
        </w:rPr>
        <w:t>–</w:t>
      </w:r>
      <w:r w:rsidRPr="00893422">
        <w:rPr>
          <w:lang w:val="es-ES_tradnl"/>
        </w:rPr>
        <w:t xml:space="preserve"> Liaison Statement to Coordination Committee for Terminology [Copy to RAG, TSAG, TDAG, ITU-T Study groups 17 and</w:t>
      </w:r>
      <w:r w:rsidR="00C32FA9" w:rsidRPr="00893422">
        <w:rPr>
          <w:lang w:val="es-ES_tradnl"/>
        </w:rPr>
        <w:t> </w:t>
      </w:r>
      <w:r w:rsidRPr="00893422">
        <w:rPr>
          <w:lang w:val="es-ES_tradnl"/>
        </w:rPr>
        <w:t xml:space="preserve">13 and ITU-R working party 4B] on terms and definitions related to IMT-2020 (5G) technology (Declaración de Coordinación entrante </w:t>
      </w:r>
      <w:r w:rsidR="00C32FA9" w:rsidRPr="00893422">
        <w:rPr>
          <w:lang w:val="es-ES_tradnl"/>
        </w:rPr>
        <w:t>–</w:t>
      </w:r>
      <w:r w:rsidRPr="00893422">
        <w:rPr>
          <w:lang w:val="es-ES_tradnl"/>
        </w:rPr>
        <w:t xml:space="preserve"> Declaración de Coordinación al Comité de Coordinación de Terminología [copia al GAR, el GANT, el GADT, las Comisiones de Estudio 17 y</w:t>
      </w:r>
      <w:r w:rsidR="00C32FA9" w:rsidRPr="00893422">
        <w:rPr>
          <w:lang w:val="es-ES_tradnl"/>
        </w:rPr>
        <w:t> </w:t>
      </w:r>
      <w:r w:rsidRPr="00893422">
        <w:rPr>
          <w:lang w:val="es-ES_tradnl"/>
        </w:rPr>
        <w:t>13 del UIT-T y el Grupo de Trabajo 4B del UIT-R] sobre Términos y Definiciones relativos a la Tecnología IMT-2020 (5G))</w:t>
      </w:r>
      <w:hyperlink r:id="rId142"/>
    </w:p>
    <w:p w14:paraId="3971E615" w14:textId="77777777" w:rsidR="005905B6" w:rsidRPr="00893422" w:rsidRDefault="005905B6" w:rsidP="00C32FA9">
      <w:pPr>
        <w:rPr>
          <w:lang w:val="es-ES_tradnl"/>
        </w:rPr>
      </w:pPr>
      <w:r w:rsidRPr="00893422">
        <w:rPr>
          <w:lang w:val="es-ES_tradnl"/>
        </w:rPr>
        <w:t>El Documento 32, presentado por el Grupo de Trabajo 5D del UIT</w:t>
      </w:r>
      <w:r w:rsidRPr="00893422">
        <w:rPr>
          <w:lang w:val="es-ES_tradnl"/>
        </w:rPr>
        <w:noBreakHyphen/>
        <w:t>R, es una declaración de coordinación dirigida al Comité de Coordinación de la Terminología (CCT) en relación con la utilización de una terminología coherente para las IMT-2020 y las tecnologías conexas. En el documento se subraya que términos como 3G, 4G, 5G y 6G son de naturaleza comercial y no están definidos oficialmente por la UIT. En él también se alienta a todos los Sectores a adoptar la nomenclatura normalizada de las IMT definida en la Resolución 56 del UIT-R, en la que se especifica el uso de términos como IMT-2000, IMT-Avanzadas, IMT-2020 e IMT-2030 para las correspondientes generaciones de tecnologías móviles. En la declaración también se recomienda que la Comisión de Estudio 17 evite hacer referencia a tecnologías específicas como 3GPP y utilice en su lugar una terminología IMT neutra.</w:t>
      </w:r>
    </w:p>
    <w:p w14:paraId="61948CA4" w14:textId="77777777" w:rsidR="005905B6" w:rsidRPr="00893422" w:rsidRDefault="005905B6" w:rsidP="00C32FA9">
      <w:pPr>
        <w:rPr>
          <w:lang w:val="es-ES_tradnl"/>
        </w:rPr>
      </w:pPr>
      <w:r w:rsidRPr="00893422">
        <w:rPr>
          <w:lang w:val="es-ES_tradnl"/>
        </w:rPr>
        <w:t xml:space="preserve">Durante el debate, el Presidente de la Comisión de Estudio 2 señaló la dificultad recurrente de saber si utilizar o no términos comerciales, como 5G, en los informes y señaló que la práctica vigente en su Comisión era utilizar tanto términos técnicos como comerciales para garantizar una mayor comprensión. Un delegado propuso que se elaborase una guía de referencia sobre términos comúnmente malinterpretados o utilizados de manera incoherente para promover la coherencia intersectorial. </w:t>
      </w:r>
    </w:p>
    <w:p w14:paraId="1AE467B1" w14:textId="77777777" w:rsidR="005905B6" w:rsidRPr="00893422" w:rsidRDefault="005905B6" w:rsidP="005905B6">
      <w:pPr>
        <w:spacing w:after="120"/>
        <w:rPr>
          <w:lang w:val="es-ES_tradnl"/>
        </w:rPr>
      </w:pPr>
      <w:r w:rsidRPr="00893422">
        <w:rPr>
          <w:lang w:val="es-ES_tradnl"/>
        </w:rPr>
        <w:lastRenderedPageBreak/>
        <w:t>El Presidente reconoció que, aunque debía respetarse la terminología formal, la UIT también debía garantizar que sus productos fuesen accesibles y comprensibles para audiencias externas, incluidas las partes interesadas no técnicas. Varias delegaciones destacaron la necesidad de armonización, especialmente en contextos reglamentarios en los que las normas de la UIT servían de referencia nacional. El debate concluyó con un acuerdo sobre el valor de mantener la claridad, la coherencia y la transparencia educativa a través de una nomenclatura formal y de términos de apoyo y comprensibles con materiales explicativos.</w:t>
      </w:r>
    </w:p>
    <w:tbl>
      <w:tblPr>
        <w:tblStyle w:val="TableGrid"/>
        <w:tblW w:w="0" w:type="auto"/>
        <w:tblLayout w:type="fixed"/>
        <w:tblLook w:val="04A0" w:firstRow="1" w:lastRow="0" w:firstColumn="1" w:lastColumn="0" w:noHBand="0" w:noVBand="1"/>
      </w:tblPr>
      <w:tblGrid>
        <w:gridCol w:w="9629"/>
      </w:tblGrid>
      <w:tr w:rsidR="005905B6" w:rsidRPr="00893422" w14:paraId="623A4CB6" w14:textId="77777777" w:rsidTr="00D04740">
        <w:tc>
          <w:tcPr>
            <w:tcW w:w="9629" w:type="dxa"/>
          </w:tcPr>
          <w:p w14:paraId="476AAB4C" w14:textId="2245B5A1" w:rsidR="005905B6" w:rsidRPr="00893422" w:rsidRDefault="005905B6" w:rsidP="00D04740">
            <w:pPr>
              <w:tabs>
                <w:tab w:val="clear" w:pos="794"/>
                <w:tab w:val="clear" w:pos="1191"/>
                <w:tab w:val="clear" w:pos="1588"/>
                <w:tab w:val="clear" w:pos="1985"/>
                <w:tab w:val="left" w:pos="567"/>
                <w:tab w:val="left" w:pos="1134"/>
                <w:tab w:val="left" w:pos="1701"/>
                <w:tab w:val="left" w:pos="2268"/>
              </w:tabs>
              <w:spacing w:after="120"/>
              <w:rPr>
                <w:rFonts w:ascii="Calibri" w:hAnsi="Calibri" w:cs="Calibri"/>
                <w:color w:val="000000" w:themeColor="text1"/>
                <w:lang w:val="es-ES_tradnl"/>
              </w:rPr>
            </w:pPr>
            <w:r w:rsidRPr="00893422">
              <w:rPr>
                <w:color w:val="000000"/>
                <w:lang w:val="es-ES_tradnl"/>
              </w:rPr>
              <w:t xml:space="preserve">El GADT tomó nota de la Declaración de Coordinación sobre términos y definiciones relativos a la tecnología IMT-2020 (5G) y aprobó su respuesta, que se detalla en el Documento </w:t>
            </w:r>
            <w:hyperlink r:id="rId143" w:history="1">
              <w:r w:rsidRPr="00893422">
                <w:rPr>
                  <w:rStyle w:val="Hyperlink"/>
                  <w:lang w:val="es-ES_tradnl"/>
                </w:rPr>
                <w:t>DT/5</w:t>
              </w:r>
            </w:hyperlink>
            <w:r w:rsidRPr="00893422">
              <w:rPr>
                <w:color w:val="000000"/>
                <w:lang w:val="es-ES_tradnl"/>
              </w:rPr>
              <w:t>.</w:t>
            </w:r>
            <w:hyperlink r:id="rId144"/>
          </w:p>
        </w:tc>
      </w:tr>
    </w:tbl>
    <w:p w14:paraId="719DD49B" w14:textId="0BA0001E" w:rsidR="005905B6" w:rsidRPr="00893422" w:rsidRDefault="005905B6" w:rsidP="008A2965">
      <w:pPr>
        <w:pStyle w:val="Headingb"/>
        <w:rPr>
          <w:rFonts w:ascii="Calibri" w:hAnsi="Calibri"/>
          <w:color w:val="000000" w:themeColor="text1"/>
          <w:szCs w:val="24"/>
          <w:lang w:val="es-ES_tradnl"/>
        </w:rPr>
      </w:pPr>
      <w:r w:rsidRPr="00893422">
        <w:rPr>
          <w:lang w:val="es-ES_tradnl"/>
        </w:rPr>
        <w:t xml:space="preserve">Documento </w:t>
      </w:r>
      <w:hyperlink r:id="rId145" w:history="1">
        <w:r w:rsidRPr="00893422">
          <w:rPr>
            <w:rStyle w:val="Hyperlink"/>
            <w:bCs/>
            <w:lang w:val="es-ES_tradnl"/>
          </w:rPr>
          <w:t>5</w:t>
        </w:r>
        <w:r w:rsidRPr="00893422">
          <w:rPr>
            <w:rStyle w:val="Hyperlink"/>
            <w:bCs/>
            <w:lang w:val="es-ES_tradnl"/>
          </w:rPr>
          <w:t>8</w:t>
        </w:r>
      </w:hyperlink>
      <w:r w:rsidRPr="00893422">
        <w:rPr>
          <w:lang w:val="es-ES_tradnl"/>
        </w:rPr>
        <w:t xml:space="preserve"> (CCT) </w:t>
      </w:r>
      <w:r w:rsidR="00C32FA9" w:rsidRPr="00893422">
        <w:rPr>
          <w:lang w:val="es-ES_tradnl"/>
        </w:rPr>
        <w:t>–</w:t>
      </w:r>
      <w:r w:rsidRPr="00893422">
        <w:rPr>
          <w:lang w:val="es-ES_tradnl"/>
        </w:rPr>
        <w:t xml:space="preserve"> Incoming LS </w:t>
      </w:r>
      <w:r w:rsidR="00C32FA9" w:rsidRPr="00893422">
        <w:rPr>
          <w:lang w:val="es-ES_tradnl"/>
        </w:rPr>
        <w:t>–</w:t>
      </w:r>
      <w:r w:rsidRPr="00893422">
        <w:rPr>
          <w:lang w:val="es-ES_tradnl"/>
        </w:rPr>
        <w:t xml:space="preserve"> Liaison statement to the radiocommunication advisory group (RAG), the telecommunication Standardization advisory group (TSAG) and the Telecommunication development advisory group (TDAG) (Declaración de Coordinación entrante </w:t>
      </w:r>
      <w:r w:rsidR="00C32FA9" w:rsidRPr="00893422">
        <w:rPr>
          <w:lang w:val="es-ES_tradnl"/>
        </w:rPr>
        <w:t>–</w:t>
      </w:r>
      <w:r w:rsidRPr="00893422">
        <w:rPr>
          <w:lang w:val="es-ES_tradnl"/>
        </w:rPr>
        <w:t xml:space="preserve"> Declaración de Coordinación al Grupo Asesor de Radiocomunicaciones (GAR), el Grupo Asesor de Normalización de las Telecomunicaciones (GANT) y el Grupo Asesor de Desarrollo de las Telecomunicaciones (GADT))</w:t>
      </w:r>
      <w:hyperlink r:id="rId146"/>
    </w:p>
    <w:p w14:paraId="4EF22D21" w14:textId="77777777" w:rsidR="005905B6" w:rsidRPr="00893422" w:rsidRDefault="005905B6" w:rsidP="005905B6">
      <w:pPr>
        <w:spacing w:after="120"/>
        <w:textAlignment w:val="auto"/>
        <w:rPr>
          <w:lang w:val="es-ES_tradnl"/>
        </w:rPr>
      </w:pPr>
      <w:r w:rsidRPr="00893422">
        <w:rPr>
          <w:lang w:val="es-ES_tradnl"/>
        </w:rPr>
        <w:t>El Documento 58 se presentó en nombre del Comité de Coordinación de la Terminología (CCT), como declaración de coordinación a los tres Grupos Asesores de los Sectores en respuesta al Documento 32 del Grupo de Trabajo 5D del UIT-R. En el documento se refrenda la recomendación de adoptar un uso coherente de la nomenclatura IMT, como IMT-2000, IMT-2020 e IMT-2030, en todos los sectores de la UIT, en lugar de términos comerciales como 4G, 5G y 6G. También se hace hincapié en que estos términos comerciales carecen de definiciones formales en el marco de la UIT, lo que puede causar confusión, especialmente en contextos reglamentarios y de certificación en los países en desarrollo. El CCT pidió a los Grupos Asesores que diesen instrucciones a las Comisiones de Estudio y los Grupos de Trabajo pertinentes para que adoptasen esa terminología armonizada en los documentos oficiales y evitasen usos híbridos como "5G/IMT-2020". Los participantes en el GADT examinaron la necesidad de que los informes fueran comprensibles para un amplio público de personas y, por lo tanto, de seguir utilizando terminología informal/comercial. Con todo, el GADT convino en que también facilitaría la utilización de la terminología formal, y citó el cuadro que figuraba en el Documento 58 como una aportación útil a la que se podría hacer referencia en los documentos para aclarar los términos comerciales utilizados.</w:t>
      </w:r>
    </w:p>
    <w:tbl>
      <w:tblPr>
        <w:tblStyle w:val="TableGrid"/>
        <w:tblW w:w="0" w:type="auto"/>
        <w:tblLayout w:type="fixed"/>
        <w:tblLook w:val="06A0" w:firstRow="1" w:lastRow="0" w:firstColumn="1" w:lastColumn="0" w:noHBand="1" w:noVBand="1"/>
      </w:tblPr>
      <w:tblGrid>
        <w:gridCol w:w="9630"/>
      </w:tblGrid>
      <w:tr w:rsidR="005905B6" w:rsidRPr="00893422" w14:paraId="6D1E41F7" w14:textId="77777777" w:rsidTr="00D04740">
        <w:trPr>
          <w:trHeight w:val="300"/>
        </w:trPr>
        <w:tc>
          <w:tcPr>
            <w:tcW w:w="9630" w:type="dxa"/>
          </w:tcPr>
          <w:p w14:paraId="3BBA1757" w14:textId="1C731185" w:rsidR="005905B6" w:rsidRPr="00893422" w:rsidRDefault="005905B6" w:rsidP="00D04740">
            <w:pPr>
              <w:tabs>
                <w:tab w:val="clear" w:pos="794"/>
                <w:tab w:val="clear" w:pos="1191"/>
                <w:tab w:val="clear" w:pos="1588"/>
                <w:tab w:val="clear" w:pos="1985"/>
                <w:tab w:val="left" w:pos="567"/>
                <w:tab w:val="left" w:pos="1134"/>
                <w:tab w:val="left" w:pos="1701"/>
                <w:tab w:val="left" w:pos="2268"/>
              </w:tabs>
              <w:spacing w:after="120"/>
              <w:rPr>
                <w:rFonts w:ascii="Calibri" w:hAnsi="Calibri" w:cs="Calibri"/>
                <w:color w:val="000000" w:themeColor="text1"/>
                <w:lang w:val="es-ES_tradnl"/>
              </w:rPr>
            </w:pPr>
            <w:r w:rsidRPr="00893422">
              <w:rPr>
                <w:color w:val="000000"/>
                <w:lang w:val="es-ES_tradnl"/>
              </w:rPr>
              <w:t xml:space="preserve">El GADT tomó nota de la Declaración de Coordinación sobre términos y definiciones relativos a la tecnología IMT-2020 (5G) y aprobó su respuesta, que se detalla en el Documento </w:t>
            </w:r>
            <w:hyperlink r:id="rId147" w:history="1">
              <w:r w:rsidRPr="00893422">
                <w:rPr>
                  <w:rStyle w:val="Hyperlink"/>
                  <w:lang w:val="es-ES_tradnl"/>
                </w:rPr>
                <w:t>DT/</w:t>
              </w:r>
              <w:r w:rsidRPr="00893422">
                <w:rPr>
                  <w:rStyle w:val="Hyperlink"/>
                  <w:lang w:val="es-ES_tradnl"/>
                </w:rPr>
                <w:t>5</w:t>
              </w:r>
            </w:hyperlink>
            <w:r w:rsidRPr="00893422">
              <w:rPr>
                <w:color w:val="000000"/>
                <w:lang w:val="es-ES_tradnl"/>
              </w:rPr>
              <w:t>.</w:t>
            </w:r>
            <w:hyperlink r:id="rId148"/>
          </w:p>
        </w:tc>
      </w:tr>
    </w:tbl>
    <w:p w14:paraId="3CD58702" w14:textId="26803BEA" w:rsidR="005905B6" w:rsidRPr="00893422" w:rsidRDefault="005905B6" w:rsidP="008A2965">
      <w:pPr>
        <w:pStyle w:val="Headingb"/>
        <w:rPr>
          <w:rFonts w:ascii="Calibri" w:hAnsi="Calibri"/>
          <w:color w:val="000000" w:themeColor="text1"/>
          <w:szCs w:val="24"/>
          <w:lang w:val="es-ES_tradnl"/>
        </w:rPr>
      </w:pPr>
      <w:r w:rsidRPr="00893422">
        <w:rPr>
          <w:lang w:val="es-ES_tradnl"/>
        </w:rPr>
        <w:t xml:space="preserve">Documento </w:t>
      </w:r>
      <w:hyperlink r:id="rId149" w:history="1">
        <w:r w:rsidRPr="00893422">
          <w:rPr>
            <w:rStyle w:val="Hyperlink"/>
            <w:bCs/>
            <w:lang w:val="es-ES_tradnl"/>
          </w:rPr>
          <w:t>59</w:t>
        </w:r>
      </w:hyperlink>
      <w:r w:rsidRPr="00893422">
        <w:rPr>
          <w:lang w:val="es-ES_tradnl"/>
        </w:rPr>
        <w:t xml:space="preserve"> (CCT) </w:t>
      </w:r>
      <w:r w:rsidR="008A2965" w:rsidRPr="00893422">
        <w:rPr>
          <w:lang w:val="es-ES_tradnl"/>
        </w:rPr>
        <w:t>–</w:t>
      </w:r>
      <w:r w:rsidRPr="00893422">
        <w:rPr>
          <w:lang w:val="es-ES_tradnl"/>
        </w:rPr>
        <w:t xml:space="preserve"> Incoming LS </w:t>
      </w:r>
      <w:r w:rsidR="008A2965" w:rsidRPr="00893422">
        <w:rPr>
          <w:lang w:val="es-ES_tradnl"/>
        </w:rPr>
        <w:t>–</w:t>
      </w:r>
      <w:r w:rsidRPr="00893422">
        <w:rPr>
          <w:lang w:val="es-ES_tradnl"/>
        </w:rPr>
        <w:t xml:space="preserve"> Reply liaison statement to ITU-R Working Party 5D (Copy to RAG, TSAG, TDAG, ITU-T SGS 17 and 13 and ITU-R WP 4B) (Declaración de Coordinación Entrante </w:t>
      </w:r>
      <w:r w:rsidR="008A2965" w:rsidRPr="00893422">
        <w:rPr>
          <w:lang w:val="es-ES_tradnl"/>
        </w:rPr>
        <w:t>–</w:t>
      </w:r>
      <w:r w:rsidRPr="00893422">
        <w:rPr>
          <w:lang w:val="es-ES_tradnl"/>
        </w:rPr>
        <w:t xml:space="preserve"> Declaración de Coordinación de Respuesta al Grupo de Trabajo 5D del UIT-R (copia al GAR, al GANT, al GADT, a las CE 17 y 13 del UIT-T y al GT 4B del UIT-R)</w:t>
      </w:r>
      <w:hyperlink r:id="rId150"/>
    </w:p>
    <w:p w14:paraId="66A92F51" w14:textId="015E24BA" w:rsidR="005905B6" w:rsidRPr="00893422" w:rsidRDefault="005905B6" w:rsidP="005905B6">
      <w:pPr>
        <w:spacing w:after="120"/>
        <w:textAlignment w:val="auto"/>
        <w:rPr>
          <w:lang w:val="es-ES_tradnl"/>
        </w:rPr>
      </w:pPr>
      <w:r w:rsidRPr="00893422">
        <w:rPr>
          <w:lang w:val="es-ES_tradnl"/>
        </w:rPr>
        <w:t>El Documento 59 se presentó como Declaración de Coordinación de seguimiento del Comité de Coordinación de la Terminología (CCT) a los Grupos Asesores de los tres Sectores de la UIT. En él se transmitía el apoyo del CCT a las recomendaciones formuladas por el Grupo de Trabajo 5D del UIT</w:t>
      </w:r>
      <w:r w:rsidR="00B461A2">
        <w:rPr>
          <w:lang w:val="es-ES_tradnl"/>
        </w:rPr>
        <w:noBreakHyphen/>
      </w:r>
      <w:r w:rsidRPr="00893422">
        <w:rPr>
          <w:lang w:val="es-ES_tradnl"/>
        </w:rPr>
        <w:t xml:space="preserve">R, tal como se describían en líneas generales en el Documento 32: abogando específicamente por el uso exclusivo de la terminología designada para las IMT, como IMT-2000, IMT-2020 e IMT-2030, en lugar de términos comerciales como 4G y 5G en toda la documentación oficial de la UIT. </w:t>
      </w:r>
      <w:r w:rsidRPr="00893422">
        <w:rPr>
          <w:lang w:val="es-ES_tradnl"/>
        </w:rPr>
        <w:lastRenderedPageBreak/>
        <w:t>En el documento se reafirma la importancia de la coherencia y la claridad en toda la Unión, especialmente para la armonización de la reglamentación en los Estados Miembros que dependen de las normas de la UIT para los marcos políticos nacionales. También reiteró la recomendación de evitar la terminología híbrida como "5G/IMT-2020", y se alentó a las Comisiones de Estudio a adoptar la nomenclatura normalizada de las IMT en sus productos. En el debate se reafirmaron los puntos planteados anteriormente en el Documento 58.</w:t>
      </w:r>
    </w:p>
    <w:tbl>
      <w:tblPr>
        <w:tblStyle w:val="TableGrid"/>
        <w:tblW w:w="0" w:type="auto"/>
        <w:tblLayout w:type="fixed"/>
        <w:tblLook w:val="06A0" w:firstRow="1" w:lastRow="0" w:firstColumn="1" w:lastColumn="0" w:noHBand="1" w:noVBand="1"/>
      </w:tblPr>
      <w:tblGrid>
        <w:gridCol w:w="9630"/>
      </w:tblGrid>
      <w:tr w:rsidR="005905B6" w:rsidRPr="00893422" w14:paraId="3E331C01" w14:textId="77777777" w:rsidTr="00D04740">
        <w:trPr>
          <w:trHeight w:val="300"/>
        </w:trPr>
        <w:tc>
          <w:tcPr>
            <w:tcW w:w="9630" w:type="dxa"/>
          </w:tcPr>
          <w:p w14:paraId="03891D3B" w14:textId="59323FB8" w:rsidR="005905B6" w:rsidRPr="00893422" w:rsidRDefault="005905B6" w:rsidP="00D04740">
            <w:pPr>
              <w:spacing w:after="120"/>
              <w:rPr>
                <w:rFonts w:ascii="Calibri" w:hAnsi="Calibri" w:cs="Calibri"/>
                <w:color w:val="000000" w:themeColor="text1"/>
                <w:lang w:val="es-ES_tradnl"/>
              </w:rPr>
            </w:pPr>
            <w:r w:rsidRPr="00893422">
              <w:rPr>
                <w:color w:val="000000"/>
                <w:lang w:val="es-ES_tradnl"/>
              </w:rPr>
              <w:t xml:space="preserve">El GADT tomó nota de la Declaración de Coordinación de Respuesta sobre términos y definiciones relativos a la tecnología IMT-2020 (5G) y aprobó su respuesta, que se detalla en el Documento </w:t>
            </w:r>
            <w:hyperlink r:id="rId151" w:history="1">
              <w:r w:rsidRPr="00893422">
                <w:rPr>
                  <w:rStyle w:val="Hyperlink"/>
                  <w:lang w:val="es-ES_tradnl"/>
                </w:rPr>
                <w:t>D</w:t>
              </w:r>
              <w:r w:rsidRPr="00893422">
                <w:rPr>
                  <w:rStyle w:val="Hyperlink"/>
                  <w:lang w:val="es-ES_tradnl"/>
                </w:rPr>
                <w:t>T</w:t>
              </w:r>
              <w:r w:rsidRPr="00893422">
                <w:rPr>
                  <w:rStyle w:val="Hyperlink"/>
                  <w:lang w:val="es-ES_tradnl"/>
                </w:rPr>
                <w:t>/5</w:t>
              </w:r>
            </w:hyperlink>
            <w:r w:rsidRPr="00893422">
              <w:rPr>
                <w:color w:val="000000"/>
                <w:lang w:val="es-ES_tradnl"/>
              </w:rPr>
              <w:t>.</w:t>
            </w:r>
            <w:hyperlink r:id="rId152"/>
          </w:p>
        </w:tc>
      </w:tr>
    </w:tbl>
    <w:p w14:paraId="49C61559" w14:textId="680DF3BB" w:rsidR="005905B6" w:rsidRPr="00893422" w:rsidRDefault="005905B6" w:rsidP="004A079A">
      <w:pPr>
        <w:pStyle w:val="Headingb"/>
        <w:rPr>
          <w:szCs w:val="24"/>
          <w:lang w:val="es-ES_tradnl"/>
        </w:rPr>
      </w:pPr>
      <w:r w:rsidRPr="00893422">
        <w:rPr>
          <w:lang w:val="es-ES_tradnl"/>
        </w:rPr>
        <w:t xml:space="preserve">Documento </w:t>
      </w:r>
      <w:hyperlink r:id="rId153" w:history="1">
        <w:r w:rsidRPr="00893422">
          <w:rPr>
            <w:rStyle w:val="Hyperlink"/>
            <w:bCs/>
            <w:lang w:val="es-ES_tradnl"/>
          </w:rPr>
          <w:t>35</w:t>
        </w:r>
      </w:hyperlink>
      <w:r w:rsidRPr="00893422">
        <w:rPr>
          <w:lang w:val="es-ES_tradnl"/>
        </w:rPr>
        <w:t xml:space="preserve"> (GCIS sobre asuntos de interés mutuo) </w:t>
      </w:r>
      <w:r w:rsidR="004A079A" w:rsidRPr="00893422">
        <w:rPr>
          <w:lang w:val="es-ES_tradnl"/>
        </w:rPr>
        <w:t>–</w:t>
      </w:r>
      <w:r w:rsidRPr="00893422">
        <w:rPr>
          <w:lang w:val="es-ES_tradnl"/>
        </w:rPr>
        <w:t xml:space="preserve"> Incoming LS </w:t>
      </w:r>
      <w:r w:rsidR="004A079A" w:rsidRPr="00893422">
        <w:rPr>
          <w:lang w:val="es-ES_tradnl"/>
        </w:rPr>
        <w:t>–</w:t>
      </w:r>
      <w:r w:rsidRPr="00893422">
        <w:rPr>
          <w:lang w:val="es-ES_tradnl"/>
        </w:rPr>
        <w:t xml:space="preserve"> Liaison statement on ISCG Terms of Reference (DC entrante </w:t>
      </w:r>
      <w:r w:rsidR="004A079A" w:rsidRPr="00893422">
        <w:rPr>
          <w:lang w:val="es-ES_tradnl"/>
        </w:rPr>
        <w:t>–</w:t>
      </w:r>
      <w:r w:rsidRPr="00893422">
        <w:rPr>
          <w:lang w:val="es-ES_tradnl"/>
        </w:rPr>
        <w:t xml:space="preserve"> Declaración de Coordinación sobre el mandato del GCIS)</w:t>
      </w:r>
      <w:hyperlink r:id="rId154"/>
    </w:p>
    <w:p w14:paraId="4F2DE002" w14:textId="77777777" w:rsidR="005905B6" w:rsidRPr="00893422" w:rsidRDefault="005905B6" w:rsidP="004A079A">
      <w:pPr>
        <w:rPr>
          <w:lang w:val="es-ES_tradnl"/>
        </w:rPr>
      </w:pPr>
      <w:r w:rsidRPr="00893422">
        <w:rPr>
          <w:lang w:val="es-ES_tradnl"/>
        </w:rPr>
        <w:t>La Presidenta presentó el Documento 35, relativo al mandato propuesto para el Grupo de Coordinación Intersectorial (GCIS), como continuación de los esfuerzos para fortalecer la coordinación entre los tres Sectores de la UIT. En el documento se describen a grandes rasgos cuatro funciones clave del GCIS: centrarse en mejorar el intercambio de información, encontrar las esferas de interés común, mejorar la armonización de los procedimientos y garantizar una colaboración eficiente entre los Sectores. La Presidenta señaló que esos términos ya habían sido examinados y apoyados por el Grupo Asesor de Radiocomunicaciones (GAR) y el Grupo Asesor de Normalización de las Telecomunicaciones (GANT), y propuso que el GADT tomara nota de ellos sin modificaciones para mantener la coherencia.</w:t>
      </w:r>
    </w:p>
    <w:p w14:paraId="2DF77D0D" w14:textId="77777777" w:rsidR="005905B6" w:rsidRPr="00893422" w:rsidRDefault="005905B6" w:rsidP="005905B6">
      <w:pPr>
        <w:spacing w:after="120"/>
        <w:textAlignment w:val="auto"/>
        <w:rPr>
          <w:lang w:val="es-ES_tradnl"/>
        </w:rPr>
      </w:pPr>
      <w:r w:rsidRPr="00893422">
        <w:rPr>
          <w:lang w:val="es-ES_tradnl"/>
        </w:rPr>
        <w:t>Durante el debate, hubo un acuerdo general sobre la importancia de la coordinación intersectorial. Algunas delegaciones habían expresado anteriormente su interés en añadir referencias a las herramientas de establecimiento de correspondencias existentes utilizadas para detectar la superposición de actividades entre Sectores. Con todo, la Presidenta aclaró que el GAR ya había considerado esas adiciones y decidió mantener el mandato tal y como se había formulado originalmente. También recomendó que el GADT siguiera el mismo planteamiento para evitar complicaciones y retrasos en los procedimientos. No hubo objeciones a esta recomendación, y el GADT acordó tomar nota del documento presentado.</w:t>
      </w:r>
    </w:p>
    <w:tbl>
      <w:tblPr>
        <w:tblStyle w:val="TableGrid"/>
        <w:tblW w:w="0" w:type="auto"/>
        <w:tblLayout w:type="fixed"/>
        <w:tblLook w:val="04A0" w:firstRow="1" w:lastRow="0" w:firstColumn="1" w:lastColumn="0" w:noHBand="0" w:noVBand="1"/>
      </w:tblPr>
      <w:tblGrid>
        <w:gridCol w:w="9629"/>
      </w:tblGrid>
      <w:tr w:rsidR="005905B6" w:rsidRPr="00893422" w14:paraId="31C6B99C" w14:textId="77777777" w:rsidTr="00D04740">
        <w:tc>
          <w:tcPr>
            <w:tcW w:w="9629" w:type="dxa"/>
          </w:tcPr>
          <w:p w14:paraId="0A852AC7" w14:textId="651716BB" w:rsidR="005905B6" w:rsidRPr="00893422" w:rsidRDefault="005905B6" w:rsidP="00D04740">
            <w:pPr>
              <w:tabs>
                <w:tab w:val="clear" w:pos="794"/>
                <w:tab w:val="clear" w:pos="1191"/>
                <w:tab w:val="clear" w:pos="1588"/>
                <w:tab w:val="clear" w:pos="1985"/>
                <w:tab w:val="left" w:pos="567"/>
                <w:tab w:val="left" w:pos="1134"/>
                <w:tab w:val="left" w:pos="1701"/>
                <w:tab w:val="left" w:pos="2268"/>
              </w:tabs>
              <w:spacing w:after="120"/>
              <w:rPr>
                <w:lang w:val="es-ES_tradnl"/>
              </w:rPr>
            </w:pPr>
            <w:r w:rsidRPr="00893422">
              <w:rPr>
                <w:color w:val="000000"/>
                <w:lang w:val="es-ES_tradnl"/>
              </w:rPr>
              <w:t xml:space="preserve">El GADT tomó nota de la Declaración de Coordinación sobre el mandato del GCIS y aprobó su respuesta, la cual se detalla en el Documento </w:t>
            </w:r>
            <w:hyperlink r:id="rId155" w:history="1">
              <w:r w:rsidRPr="00893422">
                <w:rPr>
                  <w:rStyle w:val="Hyperlink"/>
                  <w:lang w:val="es-ES_tradnl"/>
                </w:rPr>
                <w:t>DT/</w:t>
              </w:r>
              <w:r w:rsidRPr="00893422">
                <w:rPr>
                  <w:rStyle w:val="Hyperlink"/>
                  <w:lang w:val="es-ES_tradnl"/>
                </w:rPr>
                <w:t>7</w:t>
              </w:r>
            </w:hyperlink>
            <w:r w:rsidRPr="00893422">
              <w:rPr>
                <w:color w:val="000000"/>
                <w:lang w:val="es-ES_tradnl"/>
              </w:rPr>
              <w:t>.</w:t>
            </w:r>
            <w:hyperlink r:id="rId156"/>
          </w:p>
        </w:tc>
      </w:tr>
    </w:tbl>
    <w:p w14:paraId="2FCB5AAF" w14:textId="239E7B87" w:rsidR="005905B6" w:rsidRPr="00893422" w:rsidRDefault="005905B6" w:rsidP="004A079A">
      <w:pPr>
        <w:pStyle w:val="Headingb"/>
        <w:rPr>
          <w:szCs w:val="24"/>
          <w:lang w:val="es-ES_tradnl"/>
        </w:rPr>
      </w:pPr>
      <w:r w:rsidRPr="00893422">
        <w:rPr>
          <w:lang w:val="es-ES_tradnl"/>
        </w:rPr>
        <w:t xml:space="preserve">Documento </w:t>
      </w:r>
      <w:hyperlink r:id="rId157" w:history="1">
        <w:r w:rsidRPr="00893422">
          <w:rPr>
            <w:rStyle w:val="Hyperlink"/>
            <w:bCs/>
            <w:lang w:val="es-ES_tradnl"/>
          </w:rPr>
          <w:t>37</w:t>
        </w:r>
      </w:hyperlink>
      <w:r w:rsidRPr="00893422">
        <w:rPr>
          <w:lang w:val="es-ES_tradnl"/>
        </w:rPr>
        <w:t xml:space="preserve"> (Presidente, GTC-RHF) – Incoming LS </w:t>
      </w:r>
      <w:r w:rsidR="004A079A" w:rsidRPr="00893422">
        <w:rPr>
          <w:lang w:val="es-ES_tradnl"/>
        </w:rPr>
        <w:t>–</w:t>
      </w:r>
      <w:r w:rsidRPr="00893422">
        <w:rPr>
          <w:lang w:val="es-ES_tradnl"/>
        </w:rPr>
        <w:t xml:space="preserve"> Liaison statement from the Council Working Group on financial and human resources to Sector Advisory Groups and the Inter-Sector Coordination Group</w:t>
      </w:r>
      <w:r w:rsidR="004A079A" w:rsidRPr="00893422">
        <w:rPr>
          <w:lang w:val="es-ES_tradnl"/>
        </w:rPr>
        <w:t xml:space="preserve"> –</w:t>
      </w:r>
      <w:r w:rsidRPr="00893422">
        <w:rPr>
          <w:lang w:val="es-ES_tradnl"/>
        </w:rPr>
        <w:t xml:space="preserve"> Strengthening Sector Membership engagement and revenues (Declaración de Coordinación entrante </w:t>
      </w:r>
      <w:r w:rsidR="004A079A" w:rsidRPr="00893422">
        <w:rPr>
          <w:lang w:val="es-ES_tradnl"/>
        </w:rPr>
        <w:t>–</w:t>
      </w:r>
      <w:r w:rsidRPr="00893422">
        <w:rPr>
          <w:lang w:val="es-ES_tradnl"/>
        </w:rPr>
        <w:t xml:space="preserve"> Declaración de Coordinación del Grupo de Trabajo del Consejo sobre Recursos Humanos y Financieros a los Grupos Asesores de los Sectores y al Grupo de Coordinación Intersectorial – Fortalecimiento de la participación y los ingresos de los Miembros de Sector)</w:t>
      </w:r>
      <w:hyperlink r:id="rId158"/>
    </w:p>
    <w:p w14:paraId="2762AA37" w14:textId="77777777" w:rsidR="005905B6" w:rsidRPr="00893422" w:rsidRDefault="005905B6" w:rsidP="004A079A">
      <w:pPr>
        <w:rPr>
          <w:lang w:val="es-ES_tradnl"/>
        </w:rPr>
      </w:pPr>
      <w:r w:rsidRPr="00893422">
        <w:rPr>
          <w:lang w:val="es-ES_tradnl"/>
        </w:rPr>
        <w:t xml:space="preserve">El Documento 37 se presentó como una Declaración de Coordinación del Grupo de Trabajo del Consejo sobre Recursos Humanos y Financieros, y en él se solicita la contribución de los Grupos Asesores de los Sectores sobre la manera de mejorar la participación de los Miembros de Sector y aumentar los ingresos conexos. En la declaración, presentada por un representante del Grupo, se destacó la necesidad de celebrar consultas con los Estados Miembros, los Miembros de Sector, los </w:t>
      </w:r>
      <w:r w:rsidRPr="00893422">
        <w:rPr>
          <w:lang w:val="es-ES_tradnl"/>
        </w:rPr>
        <w:lastRenderedPageBreak/>
        <w:t>Asociados y las Instituciones Académicas, en consonancia con la estrategia de movilización de recursos de la UIT adoptada por el Consejo en 2024. Se invitó al GADT a examinar este tema como punto del orden del día en sus futuras reuniones y a proporcionar información que pudiera servir de base para las recomendaciones al Consejo.</w:t>
      </w:r>
    </w:p>
    <w:p w14:paraId="0F28D421" w14:textId="77777777" w:rsidR="005905B6" w:rsidRPr="00893422" w:rsidRDefault="005905B6" w:rsidP="005905B6">
      <w:pPr>
        <w:spacing w:after="120"/>
        <w:textAlignment w:val="auto"/>
        <w:rPr>
          <w:lang w:val="es-ES_tradnl"/>
        </w:rPr>
      </w:pPr>
      <w:r w:rsidRPr="00893422">
        <w:rPr>
          <w:lang w:val="es-ES_tradnl"/>
        </w:rPr>
        <w:t>En su respuesta, el Sr. Bocar Ba, Presidente del Grupo Asesor de la Industria sobre el Desarrollo (IAGDI), destacó los progresos realizados en la profundización de la participación del sector privado en el UIT-D. Señaló el aumento de las contribuciones a plataformas como el Simposio Mundial para Organismos Reguladores (GSR) y la integración de las aportaciones de la industria en los temas de las Comisiones de Estudio y las charlas técnicas. Describió el paso desde una participación pasiva hacia una colaboración activa entre la industria y los reguladores, y subrayó la importancia de seguir alineando las actividades del UIT-D con las prioridades del sector privado. Los delegados se hicieron eco de la importancia de la creación de capacidades, en particular para el personal técnico de los países en desarrollo, y pidieron una mayor participación de la industria en las iniciativas de formación. La Presidenta tomó nota de la respuesta y confirmó que las declaraciones y propuestas, en particular las relativas a reforzar los mecanismos de participación y colaboración, se reflejarían en el informe del GADT, incluidas las propuestas realizadas en una contribución presentada por China: a) impartir formación regional en materia de creación de capacidades a los Miembros, especialmente a los miembros recién incorporados, b) alentar a la Secretaría del UIT-D a aprovechar plenamente las oportunidades que ofrecen las reuniones de alto nivel del UIT-D, las reuniones de las Comisiones de Estudio, y otros eventos importantes mediante la organización de seminarios/talleres, eventos paralelos, exposiciones y otros formatos, c) fortalecer la comunicación entre el UIT</w:t>
      </w:r>
      <w:r w:rsidRPr="00893422">
        <w:rPr>
          <w:lang w:val="es-ES_tradnl"/>
        </w:rPr>
        <w:noBreakHyphen/>
        <w:t>D y todos los tipos de Miembros, velando por que se tengan plenamente en cuenta sus intereses y necesidades, en particular los de los Miembros de Sector; d) fomentar la inclusión de más tecnologías, soluciones y prácticas idóneas digitales de los Miembros de Sector y entidades conexas en los productos de las Comisiones de Estudio para aumentar el valor práctico de estos productos.</w:t>
      </w:r>
    </w:p>
    <w:tbl>
      <w:tblPr>
        <w:tblStyle w:val="TableGrid"/>
        <w:tblW w:w="0" w:type="auto"/>
        <w:tblLayout w:type="fixed"/>
        <w:tblLook w:val="04A0" w:firstRow="1" w:lastRow="0" w:firstColumn="1" w:lastColumn="0" w:noHBand="0" w:noVBand="1"/>
      </w:tblPr>
      <w:tblGrid>
        <w:gridCol w:w="9629"/>
      </w:tblGrid>
      <w:tr w:rsidR="005905B6" w:rsidRPr="00893422" w14:paraId="7193BD4A" w14:textId="77777777" w:rsidTr="00D04740">
        <w:tc>
          <w:tcPr>
            <w:tcW w:w="9629" w:type="dxa"/>
          </w:tcPr>
          <w:p w14:paraId="2C5EA8CB" w14:textId="651693BE" w:rsidR="005905B6" w:rsidRPr="00893422" w:rsidRDefault="005905B6" w:rsidP="00D04740">
            <w:pPr>
              <w:tabs>
                <w:tab w:val="clear" w:pos="794"/>
                <w:tab w:val="clear" w:pos="1191"/>
                <w:tab w:val="clear" w:pos="1588"/>
                <w:tab w:val="clear" w:pos="1985"/>
                <w:tab w:val="left" w:pos="567"/>
                <w:tab w:val="left" w:pos="1134"/>
                <w:tab w:val="left" w:pos="1701"/>
                <w:tab w:val="left" w:pos="2268"/>
              </w:tabs>
              <w:spacing w:after="120"/>
              <w:rPr>
                <w:rFonts w:ascii="Calibri" w:hAnsi="Calibri" w:cs="Calibri"/>
                <w:color w:val="000000" w:themeColor="text1"/>
                <w:lang w:val="es-ES_tradnl"/>
              </w:rPr>
            </w:pPr>
            <w:r w:rsidRPr="00893422">
              <w:rPr>
                <w:color w:val="000000"/>
                <w:lang w:val="es-ES_tradnl"/>
              </w:rPr>
              <w:t xml:space="preserve">El GADT tomó nota de la Declaración de Coordinación del Grupo de Trabajo del Consejo sobre Recursos Humanos y Financieros sobre el fortalecimiento de la participación y los ingresos de los Miembros de Sector y aprobó su respuesta, que se detalla en el Documento </w:t>
            </w:r>
            <w:hyperlink r:id="rId159" w:history="1">
              <w:r w:rsidRPr="00893422">
                <w:rPr>
                  <w:rStyle w:val="Hyperlink"/>
                  <w:lang w:val="es-ES_tradnl"/>
                </w:rPr>
                <w:t>D</w:t>
              </w:r>
              <w:r w:rsidRPr="00893422">
                <w:rPr>
                  <w:rStyle w:val="Hyperlink"/>
                  <w:lang w:val="es-ES_tradnl"/>
                </w:rPr>
                <w:t>T</w:t>
              </w:r>
              <w:r w:rsidRPr="00893422">
                <w:rPr>
                  <w:rStyle w:val="Hyperlink"/>
                  <w:lang w:val="es-ES_tradnl"/>
                </w:rPr>
                <w:t>/8</w:t>
              </w:r>
            </w:hyperlink>
            <w:r w:rsidRPr="00893422">
              <w:rPr>
                <w:color w:val="000000"/>
                <w:lang w:val="es-ES_tradnl"/>
              </w:rPr>
              <w:t>.</w:t>
            </w:r>
            <w:hyperlink r:id="rId160"/>
          </w:p>
          <w:p w14:paraId="467E2D11" w14:textId="77777777" w:rsidR="005905B6" w:rsidRPr="00893422" w:rsidRDefault="005905B6" w:rsidP="00D04740">
            <w:pPr>
              <w:tabs>
                <w:tab w:val="clear" w:pos="794"/>
                <w:tab w:val="clear" w:pos="1191"/>
                <w:tab w:val="clear" w:pos="1588"/>
                <w:tab w:val="clear" w:pos="1985"/>
                <w:tab w:val="left" w:pos="567"/>
                <w:tab w:val="left" w:pos="1134"/>
                <w:tab w:val="left" w:pos="1701"/>
                <w:tab w:val="left" w:pos="2268"/>
              </w:tabs>
              <w:spacing w:after="120"/>
              <w:rPr>
                <w:lang w:val="es-ES_tradnl"/>
              </w:rPr>
            </w:pPr>
            <w:r w:rsidRPr="00893422">
              <w:rPr>
                <w:color w:val="000000"/>
                <w:lang w:val="es-ES_tradnl"/>
              </w:rPr>
              <w:t>El GADT también tomó nota con satisfacción de los progresos realizados en la profundización de la participación del sector privado en el UIT-D, especialmente como señaló el Presidente del Grupo Asesor de la Industria sobre Cuestiones de Desarrollo (IADGI). El GADT acogió con satisfacción el aumento de las contribuciones a plataformas como el Simposio Mundial para Organismos Reguladores (GSR) y la integración de las aportaciones de la industria en los temas de las Comisiones de Estudio a través de charlas técnicas. El GADT tomó nota del cambio desde una participación pasiva hacia una colaboración activa entre la industria y los reguladores, y subrayó la importancia de seguir alineando las actividades del UIT-D con las prioridades del sector privado.</w:t>
            </w:r>
          </w:p>
        </w:tc>
      </w:tr>
    </w:tbl>
    <w:p w14:paraId="4BD1B119" w14:textId="3DB8E5BF" w:rsidR="005905B6" w:rsidRPr="00893422" w:rsidRDefault="005905B6" w:rsidP="004A079A">
      <w:pPr>
        <w:pStyle w:val="Headingb"/>
        <w:rPr>
          <w:rFonts w:cstheme="minorHAnsi"/>
          <w:szCs w:val="24"/>
          <w:lang w:val="es-ES_tradnl"/>
        </w:rPr>
      </w:pPr>
      <w:r w:rsidRPr="00893422">
        <w:rPr>
          <w:lang w:val="es-ES_tradnl"/>
        </w:rPr>
        <w:t xml:space="preserve">Documento </w:t>
      </w:r>
      <w:hyperlink r:id="rId161" w:history="1">
        <w:r w:rsidRPr="00893422">
          <w:rPr>
            <w:rStyle w:val="Hyperlink"/>
            <w:bCs/>
            <w:lang w:val="es-ES_tradnl"/>
          </w:rPr>
          <w:t>45 (</w:t>
        </w:r>
        <w:r w:rsidRPr="00893422">
          <w:rPr>
            <w:rStyle w:val="Hyperlink"/>
            <w:bCs/>
            <w:lang w:val="es-ES_tradnl"/>
          </w:rPr>
          <w:t>A</w:t>
        </w:r>
        <w:r w:rsidRPr="00893422">
          <w:rPr>
            <w:rStyle w:val="Hyperlink"/>
            <w:bCs/>
            <w:lang w:val="es-ES_tradnl"/>
          </w:rPr>
          <w:t>nexo 1)</w:t>
        </w:r>
      </w:hyperlink>
      <w:r w:rsidRPr="00893422">
        <w:rPr>
          <w:lang w:val="es-ES_tradnl"/>
        </w:rPr>
        <w:t xml:space="preserve"> (Comisión de Estudio 17 del UIT-T) </w:t>
      </w:r>
      <w:r w:rsidR="004A079A" w:rsidRPr="00893422">
        <w:rPr>
          <w:lang w:val="es-ES_tradnl"/>
        </w:rPr>
        <w:t>–</w:t>
      </w:r>
      <w:r w:rsidRPr="00893422">
        <w:rPr>
          <w:lang w:val="es-ES_tradnl"/>
        </w:rPr>
        <w:t xml:space="preserve"> Incoming LS </w:t>
      </w:r>
      <w:r w:rsidR="004A079A" w:rsidRPr="00893422">
        <w:rPr>
          <w:lang w:val="es-ES_tradnl"/>
        </w:rPr>
        <w:t>–</w:t>
      </w:r>
      <w:r w:rsidRPr="00893422">
        <w:rPr>
          <w:lang w:val="es-ES_tradnl"/>
        </w:rPr>
        <w:t xml:space="preserve"> Liaison statement on draft report of SG17 activities in implementation of WTDC-22 Resolutions (Declaración de coordinación entrante </w:t>
      </w:r>
      <w:r w:rsidR="004A079A" w:rsidRPr="00893422">
        <w:rPr>
          <w:lang w:val="es-ES_tradnl"/>
        </w:rPr>
        <w:t>–</w:t>
      </w:r>
      <w:r w:rsidRPr="00893422">
        <w:rPr>
          <w:lang w:val="es-ES_tradnl"/>
        </w:rPr>
        <w:t xml:space="preserve"> Declaración de Coordinación sobre el proyecto de informe sobre las actividades de la CE 17 en aplicación de las Resoluciones de la CMDT-22)</w:t>
      </w:r>
      <w:hyperlink r:id="rId162"/>
    </w:p>
    <w:p w14:paraId="4683F79B" w14:textId="77777777" w:rsidR="005905B6" w:rsidRPr="00893422" w:rsidRDefault="005905B6" w:rsidP="004A079A">
      <w:pPr>
        <w:rPr>
          <w:rFonts w:ascii="Calibri" w:eastAsia="Calibri" w:hAnsi="Calibri" w:cs="Calibri"/>
          <w:szCs w:val="24"/>
          <w:lang w:val="es-ES_tradnl"/>
        </w:rPr>
      </w:pPr>
      <w:r w:rsidRPr="00893422">
        <w:rPr>
          <w:lang w:val="es-ES_tradnl"/>
        </w:rPr>
        <w:t xml:space="preserve">El Documento 45 se presentó como Declaración de Coordinación de la Comisión de Estudio 17 del UIT-T, y en él se describen en líneas generales sus actividades relacionadas con la aplicación de las </w:t>
      </w:r>
      <w:r w:rsidRPr="00893422">
        <w:rPr>
          <w:lang w:val="es-ES_tradnl"/>
        </w:rPr>
        <w:lastRenderedPageBreak/>
        <w:t xml:space="preserve">Resoluciones de la CMDT-22 sobre ciberseguridad. El documento proporciona información actualizada sobre la labor de la Comisión de Estudio 17, y en él se señala que periódicamente la Comisión actualiza un informe en el que se detalla cómo sus esfuerzos de ciberseguridad se ajustan a las prioridades de desarrollo. Esta práctica, que comenzó en 2016, tiene por objeto garantizar la coherencia entre la labor técnica del Sector UIT-T y las necesidades del Sector de Desarrollo. </w:t>
      </w:r>
    </w:p>
    <w:p w14:paraId="4FBEC1E2" w14:textId="79529C10" w:rsidR="005905B6" w:rsidRPr="00893422" w:rsidRDefault="005905B6" w:rsidP="004A079A">
      <w:pPr>
        <w:rPr>
          <w:rFonts w:cstheme="minorBidi"/>
          <w:lang w:val="es-ES_tradnl"/>
        </w:rPr>
      </w:pPr>
      <w:r w:rsidRPr="00893422">
        <w:rPr>
          <w:lang w:val="es-ES_tradnl"/>
        </w:rPr>
        <w:t>Esta Declaración de Coordinación presenta al GADT el informe de las actividades de la CE 17 del UIT-T en aplicación de las Resoluciones de la CMDT-22. Las siguientes Resoluciones de la CMDT-22 se han considerado pertinentes para la CE 17:</w:t>
      </w:r>
    </w:p>
    <w:p w14:paraId="6420ED5E" w14:textId="6B05209B" w:rsidR="005905B6" w:rsidRPr="00893422" w:rsidRDefault="004A079A" w:rsidP="004A079A">
      <w:pPr>
        <w:pStyle w:val="enumlev1"/>
        <w:rPr>
          <w:rFonts w:cstheme="minorBidi"/>
          <w:szCs w:val="24"/>
          <w:lang w:val="es-ES_tradnl"/>
        </w:rPr>
      </w:pPr>
      <w:r w:rsidRPr="00893422">
        <w:rPr>
          <w:lang w:val="es-ES_tradnl"/>
        </w:rPr>
        <w:t>–</w:t>
      </w:r>
      <w:r w:rsidRPr="00893422">
        <w:rPr>
          <w:lang w:val="es-ES_tradnl"/>
        </w:rPr>
        <w:tab/>
      </w:r>
      <w:r w:rsidR="005905B6" w:rsidRPr="00893422">
        <w:rPr>
          <w:lang w:val="es-ES_tradnl"/>
        </w:rPr>
        <w:t>Resolución 30: "Función del Sector de Desarrollo de las Telecomunicaciones de la UIT en la aplicación de los resultados de la Cumbre Mundial sobre la Sociedad de la Información, habida cuenta de la Agenda 2030 para el Desarrollo Sostenible";</w:t>
      </w:r>
    </w:p>
    <w:p w14:paraId="5E3F0910" w14:textId="0AD94242" w:rsidR="005905B6" w:rsidRPr="00893422" w:rsidRDefault="004A079A" w:rsidP="004A079A">
      <w:pPr>
        <w:pStyle w:val="enumlev1"/>
        <w:rPr>
          <w:rFonts w:cstheme="minorBidi"/>
          <w:szCs w:val="24"/>
          <w:lang w:val="es-ES_tradnl"/>
        </w:rPr>
      </w:pPr>
      <w:r w:rsidRPr="00893422">
        <w:rPr>
          <w:lang w:val="es-ES_tradnl"/>
        </w:rPr>
        <w:t>–</w:t>
      </w:r>
      <w:r w:rsidRPr="00893422">
        <w:rPr>
          <w:lang w:val="es-ES_tradnl"/>
        </w:rPr>
        <w:tab/>
      </w:r>
      <w:r w:rsidR="005905B6" w:rsidRPr="00893422">
        <w:rPr>
          <w:lang w:val="es-ES_tradnl"/>
        </w:rPr>
        <w:t>Resolución 34: "Función de las telecomunicaciones y las tecnologías de la información y la comunicación (TIC) en la preparación, alerta temprana, rescate, mitigación, socorro y respuesta en situaciones de catástrofe";</w:t>
      </w:r>
    </w:p>
    <w:p w14:paraId="334B8374" w14:textId="0957091C" w:rsidR="005905B6" w:rsidRPr="00893422" w:rsidRDefault="004A079A" w:rsidP="004A079A">
      <w:pPr>
        <w:pStyle w:val="enumlev1"/>
        <w:rPr>
          <w:rFonts w:cstheme="minorBidi"/>
          <w:szCs w:val="24"/>
          <w:lang w:val="es-ES_tradnl"/>
        </w:rPr>
      </w:pPr>
      <w:r w:rsidRPr="00893422">
        <w:rPr>
          <w:lang w:val="es-ES_tradnl"/>
        </w:rPr>
        <w:t>–</w:t>
      </w:r>
      <w:r w:rsidRPr="00893422">
        <w:rPr>
          <w:lang w:val="es-ES_tradnl"/>
        </w:rPr>
        <w:tab/>
      </w:r>
      <w:r w:rsidR="005905B6" w:rsidRPr="00893422">
        <w:rPr>
          <w:lang w:val="es-ES_tradnl"/>
        </w:rPr>
        <w:t>Resolución 45: "Mecanismos para mejorar la cooperación en materia de ciberseguridad, incluida la lucha contra el correo basura";</w:t>
      </w:r>
    </w:p>
    <w:p w14:paraId="72FECE68" w14:textId="3EC0C54E" w:rsidR="005905B6" w:rsidRPr="00893422" w:rsidRDefault="004A079A" w:rsidP="004A079A">
      <w:pPr>
        <w:pStyle w:val="enumlev1"/>
        <w:rPr>
          <w:rFonts w:cstheme="minorBidi"/>
          <w:szCs w:val="24"/>
          <w:lang w:val="es-ES_tradnl"/>
        </w:rPr>
      </w:pPr>
      <w:r w:rsidRPr="00893422">
        <w:rPr>
          <w:lang w:val="es-ES_tradnl"/>
        </w:rPr>
        <w:t>–</w:t>
      </w:r>
      <w:r w:rsidRPr="00893422">
        <w:rPr>
          <w:lang w:val="es-ES_tradnl"/>
        </w:rPr>
        <w:tab/>
      </w:r>
      <w:r w:rsidR="005905B6" w:rsidRPr="00893422">
        <w:rPr>
          <w:lang w:val="es-ES_tradnl"/>
        </w:rPr>
        <w:t>Resolución 47: "Perfeccionamiento del conocimiento y aplicación efectiva de las Recomendaciones de la UIT en los países en desarrollo, incluidas las pruebas de conformidad e interoperabilidad de los sistemas fabricados de conformidad con las Recomendaciones de la UIT";</w:t>
      </w:r>
    </w:p>
    <w:p w14:paraId="344160BF" w14:textId="045E29DD" w:rsidR="005905B6" w:rsidRPr="00893422" w:rsidRDefault="004A079A" w:rsidP="004A079A">
      <w:pPr>
        <w:pStyle w:val="enumlev1"/>
        <w:rPr>
          <w:rFonts w:cstheme="minorBidi"/>
          <w:szCs w:val="24"/>
          <w:lang w:val="es-ES_tradnl"/>
        </w:rPr>
      </w:pPr>
      <w:r w:rsidRPr="00893422">
        <w:rPr>
          <w:lang w:val="es-ES_tradnl"/>
        </w:rPr>
        <w:t>–</w:t>
      </w:r>
      <w:r w:rsidRPr="00893422">
        <w:rPr>
          <w:lang w:val="es-ES_tradnl"/>
        </w:rPr>
        <w:tab/>
      </w:r>
      <w:r w:rsidR="005905B6" w:rsidRPr="00893422">
        <w:rPr>
          <w:lang w:val="es-ES_tradnl"/>
        </w:rPr>
        <w:t>Resolución 63: "Asignación de direcciones del protocolo Internet y facilitación de la transición a IPv6 y su despliegue en los países en desarrollo";</w:t>
      </w:r>
    </w:p>
    <w:p w14:paraId="4B2947B1" w14:textId="2B78C5AC" w:rsidR="005905B6" w:rsidRPr="00893422" w:rsidRDefault="004A079A" w:rsidP="004A079A">
      <w:pPr>
        <w:pStyle w:val="enumlev1"/>
        <w:rPr>
          <w:rFonts w:cstheme="minorBidi"/>
          <w:szCs w:val="24"/>
          <w:lang w:val="es-ES_tradnl"/>
        </w:rPr>
      </w:pPr>
      <w:r w:rsidRPr="00893422">
        <w:rPr>
          <w:lang w:val="es-ES_tradnl"/>
        </w:rPr>
        <w:t>–</w:t>
      </w:r>
      <w:r w:rsidRPr="00893422">
        <w:rPr>
          <w:lang w:val="es-ES_tradnl"/>
        </w:rPr>
        <w:tab/>
      </w:r>
      <w:r w:rsidR="005905B6" w:rsidRPr="00893422">
        <w:rPr>
          <w:lang w:val="es-ES_tradnl"/>
        </w:rPr>
        <w:t>Resolución 67: "Función del Sector de Desarrollo de las Telecomunicaciones de la UIT en la Protección de la Infancia en Línea";</w:t>
      </w:r>
    </w:p>
    <w:p w14:paraId="09B03602" w14:textId="53442EC6" w:rsidR="005905B6" w:rsidRPr="00893422" w:rsidRDefault="004A079A" w:rsidP="004A079A">
      <w:pPr>
        <w:pStyle w:val="enumlev1"/>
        <w:rPr>
          <w:rFonts w:cstheme="minorBidi"/>
          <w:szCs w:val="24"/>
          <w:lang w:val="es-ES_tradnl"/>
        </w:rPr>
      </w:pPr>
      <w:r w:rsidRPr="00893422">
        <w:rPr>
          <w:lang w:val="es-ES_tradnl"/>
        </w:rPr>
        <w:t>–</w:t>
      </w:r>
      <w:r w:rsidRPr="00893422">
        <w:rPr>
          <w:lang w:val="es-ES_tradnl"/>
        </w:rPr>
        <w:tab/>
      </w:r>
      <w:r w:rsidR="005905B6" w:rsidRPr="00893422">
        <w:rPr>
          <w:lang w:val="es-ES_tradnl"/>
        </w:rPr>
        <w:t>Resolución 69: "Facilitar la creación de equipos nacionales de intervención en caso de incidente informático, especialmente para los países en desarrollo, y la cooperación entre ellos";</w:t>
      </w:r>
    </w:p>
    <w:p w14:paraId="4814A2FF" w14:textId="79C35338" w:rsidR="005905B6" w:rsidRPr="00893422" w:rsidRDefault="004A079A" w:rsidP="004A079A">
      <w:pPr>
        <w:pStyle w:val="enumlev1"/>
        <w:rPr>
          <w:rFonts w:cstheme="minorBidi"/>
          <w:szCs w:val="24"/>
          <w:lang w:val="es-ES_tradnl"/>
        </w:rPr>
      </w:pPr>
      <w:r w:rsidRPr="00893422">
        <w:rPr>
          <w:lang w:val="es-ES_tradnl"/>
        </w:rPr>
        <w:t>–</w:t>
      </w:r>
      <w:r w:rsidRPr="00893422">
        <w:rPr>
          <w:lang w:val="es-ES_tradnl"/>
        </w:rPr>
        <w:tab/>
      </w:r>
      <w:r w:rsidR="005905B6" w:rsidRPr="00893422">
        <w:rPr>
          <w:lang w:val="es-ES_tradnl"/>
        </w:rPr>
        <w:t>Resolución 79: "Función de las telecomunicaciones/tecnologías de la información y la comunicación en la gestión y lucha contra la falsificación de dispositivos de telecomunicaciones/tecnologías de la información y la comunicación";</w:t>
      </w:r>
    </w:p>
    <w:p w14:paraId="5ABDFA49" w14:textId="1B91BE0A" w:rsidR="005905B6" w:rsidRPr="00893422" w:rsidRDefault="004A079A" w:rsidP="004A079A">
      <w:pPr>
        <w:pStyle w:val="enumlev1"/>
        <w:rPr>
          <w:rFonts w:cstheme="minorBidi"/>
          <w:lang w:val="es-ES_tradnl"/>
        </w:rPr>
      </w:pPr>
      <w:r w:rsidRPr="00893422">
        <w:rPr>
          <w:lang w:val="es-ES_tradnl"/>
        </w:rPr>
        <w:t>–</w:t>
      </w:r>
      <w:r w:rsidRPr="00893422">
        <w:rPr>
          <w:lang w:val="es-ES_tradnl"/>
        </w:rPr>
        <w:tab/>
      </w:r>
      <w:r w:rsidR="005905B6" w:rsidRPr="00893422">
        <w:rPr>
          <w:lang w:val="es-ES_tradnl"/>
        </w:rPr>
        <w:t>Resolución 84: "Lucha contra el robo de dispositivos móviles de telecomunicaciones".</w:t>
      </w:r>
    </w:p>
    <w:p w14:paraId="4537A0B4" w14:textId="77777777" w:rsidR="005905B6" w:rsidRPr="00893422" w:rsidRDefault="005905B6" w:rsidP="004A079A">
      <w:pPr>
        <w:rPr>
          <w:lang w:val="es-ES_tradnl"/>
        </w:rPr>
      </w:pPr>
      <w:r w:rsidRPr="00893422">
        <w:rPr>
          <w:lang w:val="es-ES_tradnl"/>
        </w:rPr>
        <w:t xml:space="preserve">Se hace especial hincapié en la colaboración sobre los siguientes temas: </w:t>
      </w:r>
    </w:p>
    <w:p w14:paraId="021CFF99" w14:textId="66026BE0" w:rsidR="005905B6" w:rsidRPr="00893422" w:rsidRDefault="004A079A" w:rsidP="004A079A">
      <w:pPr>
        <w:pStyle w:val="enumlev1"/>
        <w:rPr>
          <w:rFonts w:cstheme="minorBidi"/>
          <w:lang w:val="es-ES_tradnl"/>
        </w:rPr>
      </w:pPr>
      <w:r w:rsidRPr="00893422">
        <w:rPr>
          <w:lang w:val="es-ES_tradnl"/>
        </w:rPr>
        <w:t>–</w:t>
      </w:r>
      <w:r w:rsidRPr="00893422">
        <w:rPr>
          <w:lang w:val="es-ES_tradnl"/>
        </w:rPr>
        <w:tab/>
      </w:r>
      <w:r w:rsidR="005905B6" w:rsidRPr="00893422">
        <w:rPr>
          <w:lang w:val="es-ES_tradnl"/>
        </w:rPr>
        <w:t>la Resolución 30, en la que la CE 17 colabora con el UIT-D en la aplicación de la Línea de Acción C5 de la CMSI en el GT CMSI que coordina la colaboración de la Secretaría General y las tres Oficinas (BR, TSB y BDT)</w:t>
      </w:r>
      <w:r w:rsidR="009519C2">
        <w:rPr>
          <w:lang w:val="es-ES_tradnl"/>
        </w:rPr>
        <w:t>;</w:t>
      </w:r>
      <w:r w:rsidR="005905B6" w:rsidRPr="00893422">
        <w:rPr>
          <w:lang w:val="es-ES_tradnl"/>
        </w:rPr>
        <w:t xml:space="preserve"> y</w:t>
      </w:r>
    </w:p>
    <w:p w14:paraId="2D863AC5" w14:textId="134BFDA2" w:rsidR="005905B6" w:rsidRPr="00893422" w:rsidRDefault="004A079A" w:rsidP="004A079A">
      <w:pPr>
        <w:pStyle w:val="enumlev1"/>
        <w:rPr>
          <w:rFonts w:cstheme="minorBidi"/>
          <w:lang w:val="es-ES_tradnl"/>
        </w:rPr>
      </w:pPr>
      <w:r w:rsidRPr="00893422">
        <w:rPr>
          <w:lang w:val="es-ES_tradnl"/>
        </w:rPr>
        <w:t>–</w:t>
      </w:r>
      <w:r w:rsidRPr="00893422">
        <w:rPr>
          <w:lang w:val="es-ES_tradnl"/>
        </w:rPr>
        <w:tab/>
      </w:r>
      <w:r w:rsidR="005905B6" w:rsidRPr="00893422">
        <w:rPr>
          <w:lang w:val="es-ES_tradnl"/>
        </w:rPr>
        <w:t xml:space="preserve">la Resolución 45, en virtud de la cual la CE 17 sigue colaborando con las organizaciones pertinentes para promover la ciberseguridad y encontrar medidas eficaces y eficientes contra el correo basura, y la CE 17 colabora con el UIT-D en materia de prácticas idóneas contra el correo basura. </w:t>
      </w:r>
    </w:p>
    <w:p w14:paraId="1189552A" w14:textId="77777777" w:rsidR="005905B6" w:rsidRPr="00893422" w:rsidRDefault="005905B6" w:rsidP="005905B6">
      <w:pPr>
        <w:spacing w:before="240" w:after="240"/>
        <w:rPr>
          <w:rFonts w:cstheme="minorBidi"/>
          <w:lang w:val="es-ES_tradnl"/>
        </w:rPr>
      </w:pPr>
      <w:r w:rsidRPr="00893422">
        <w:rPr>
          <w:lang w:val="es-ES_tradnl"/>
        </w:rPr>
        <w:t xml:space="preserve">La Presidenta reconoció la importancia del informe, especialmente a la vista de la creciente intersección entre ciberseguridad y desarrollo, y confirmó que el GADT tomaría nota de la contribución. También preguntó si el informe se había dado a conocer a las Comisiones de Estudio </w:t>
      </w:r>
      <w:r w:rsidRPr="00893422">
        <w:rPr>
          <w:lang w:val="es-ES_tradnl"/>
        </w:rPr>
        <w:lastRenderedPageBreak/>
        <w:t>del UIT-D. Durante el debate no se formularon más observaciones ni objeciones, y la Declaración de Coordinación se aceptó como contribución informativa para su consideración en el marco de una coordinación más amplia del GADT con otros sectores.</w:t>
      </w:r>
    </w:p>
    <w:tbl>
      <w:tblPr>
        <w:tblStyle w:val="TableGrid"/>
        <w:tblW w:w="0" w:type="auto"/>
        <w:tblLayout w:type="fixed"/>
        <w:tblLook w:val="04A0" w:firstRow="1" w:lastRow="0" w:firstColumn="1" w:lastColumn="0" w:noHBand="0" w:noVBand="1"/>
      </w:tblPr>
      <w:tblGrid>
        <w:gridCol w:w="9629"/>
      </w:tblGrid>
      <w:tr w:rsidR="005905B6" w:rsidRPr="00893422" w14:paraId="55D0E70C" w14:textId="77777777" w:rsidTr="00D04740">
        <w:tc>
          <w:tcPr>
            <w:tcW w:w="9629" w:type="dxa"/>
          </w:tcPr>
          <w:p w14:paraId="5C94DC36" w14:textId="70038053" w:rsidR="005905B6" w:rsidRPr="00893422" w:rsidRDefault="005905B6" w:rsidP="00D04740">
            <w:pPr>
              <w:tabs>
                <w:tab w:val="left" w:pos="567"/>
                <w:tab w:val="left" w:pos="851"/>
                <w:tab w:val="left" w:pos="1134"/>
                <w:tab w:val="left" w:pos="1418"/>
              </w:tabs>
              <w:spacing w:after="120"/>
              <w:rPr>
                <w:rFonts w:ascii="Calibri" w:eastAsia="Calibri" w:hAnsi="Calibri" w:cs="Calibri"/>
                <w:color w:val="000000" w:themeColor="text1"/>
                <w:lang w:val="es-ES_tradnl"/>
              </w:rPr>
            </w:pPr>
            <w:r w:rsidRPr="00893422">
              <w:rPr>
                <w:color w:val="000000"/>
                <w:lang w:val="es-ES_tradnl"/>
              </w:rPr>
              <w:t xml:space="preserve">El GADT tomó nota de la Declaración de Coordinación y su anexo sobre el proyecto de informe de las actividades de la CE 17 en aplicación de la CMDT-22 y aprobó su respuesta, la cual se detalla en el Documento </w:t>
            </w:r>
            <w:hyperlink r:id="rId163" w:history="1">
              <w:r w:rsidRPr="00893422">
                <w:rPr>
                  <w:rStyle w:val="Hyperlink"/>
                  <w:lang w:val="es-ES_tradnl"/>
                </w:rPr>
                <w:t>DT</w:t>
              </w:r>
              <w:r w:rsidRPr="00893422">
                <w:rPr>
                  <w:rStyle w:val="Hyperlink"/>
                  <w:lang w:val="es-ES_tradnl"/>
                </w:rPr>
                <w:t>/</w:t>
              </w:r>
              <w:r w:rsidRPr="00893422">
                <w:rPr>
                  <w:rStyle w:val="Hyperlink"/>
                  <w:lang w:val="es-ES_tradnl"/>
                </w:rPr>
                <w:t>1</w:t>
              </w:r>
              <w:r w:rsidRPr="00893422">
                <w:rPr>
                  <w:rStyle w:val="Hyperlink"/>
                  <w:lang w:val="es-ES_tradnl"/>
                </w:rPr>
                <w:t>0</w:t>
              </w:r>
            </w:hyperlink>
            <w:r w:rsidRPr="00893422">
              <w:rPr>
                <w:color w:val="000000"/>
                <w:lang w:val="es-ES_tradnl"/>
              </w:rPr>
              <w:t>.</w:t>
            </w:r>
            <w:hyperlink r:id="rId164"/>
          </w:p>
        </w:tc>
      </w:tr>
    </w:tbl>
    <w:p w14:paraId="4A3C929F" w14:textId="1E00C59E" w:rsidR="005905B6" w:rsidRPr="00893422" w:rsidRDefault="006E4155" w:rsidP="006E4155">
      <w:pPr>
        <w:pStyle w:val="Heading1"/>
        <w:rPr>
          <w:rFonts w:cstheme="minorHAnsi"/>
          <w:szCs w:val="24"/>
          <w:lang w:val="es-ES_tradnl"/>
        </w:rPr>
      </w:pPr>
      <w:r w:rsidRPr="00893422">
        <w:rPr>
          <w:lang w:val="es-ES_tradnl"/>
        </w:rPr>
        <w:t>10</w:t>
      </w:r>
      <w:r w:rsidRPr="00893422">
        <w:rPr>
          <w:lang w:val="es-ES_tradnl"/>
        </w:rPr>
        <w:tab/>
      </w:r>
      <w:r w:rsidR="005905B6" w:rsidRPr="00893422">
        <w:rPr>
          <w:lang w:val="es-ES_tradnl"/>
        </w:rPr>
        <w:t>Resultados de la AR-23 y la CMR-23: Actualizaciones pertinentes para los trabajos del UIT-D</w:t>
      </w:r>
    </w:p>
    <w:p w14:paraId="10D1C0BF" w14:textId="3F7868BE" w:rsidR="005905B6" w:rsidRPr="00893422" w:rsidRDefault="005905B6" w:rsidP="006E4155">
      <w:pPr>
        <w:pStyle w:val="Headingb"/>
        <w:rPr>
          <w:szCs w:val="24"/>
          <w:lang w:val="es-ES_tradnl"/>
        </w:rPr>
      </w:pPr>
      <w:r w:rsidRPr="00893422">
        <w:rPr>
          <w:lang w:val="es-ES_tradnl"/>
        </w:rPr>
        <w:t xml:space="preserve">Documento </w:t>
      </w:r>
      <w:hyperlink r:id="rId165" w:history="1">
        <w:r w:rsidRPr="00893422">
          <w:rPr>
            <w:rStyle w:val="Hyperlink"/>
            <w:bCs/>
            <w:lang w:val="es-ES_tradnl"/>
          </w:rPr>
          <w:t>2</w:t>
        </w:r>
        <w:r w:rsidRPr="00893422">
          <w:rPr>
            <w:rStyle w:val="Hyperlink"/>
            <w:bCs/>
            <w:lang w:val="es-ES_tradnl"/>
          </w:rPr>
          <w:t>5</w:t>
        </w:r>
      </w:hyperlink>
      <w:r w:rsidRPr="00893422">
        <w:rPr>
          <w:lang w:val="es-ES_tradnl"/>
        </w:rPr>
        <w:t xml:space="preserve"> (Director de la BDT) </w:t>
      </w:r>
      <w:r w:rsidR="003D2618" w:rsidRPr="00893422">
        <w:rPr>
          <w:lang w:val="es-ES_tradnl"/>
        </w:rPr>
        <w:t>–</w:t>
      </w:r>
      <w:r w:rsidRPr="00893422">
        <w:rPr>
          <w:lang w:val="es-ES_tradnl"/>
        </w:rPr>
        <w:t xml:space="preserve"> Resultados de la AR-23 y la CMR-23: Actualizaciones pertinentes para los trabajos del UIT-D</w:t>
      </w:r>
      <w:hyperlink r:id="rId166"/>
    </w:p>
    <w:p w14:paraId="59DC10D7" w14:textId="77777777" w:rsidR="005905B6" w:rsidRPr="00893422" w:rsidRDefault="005905B6" w:rsidP="003D2618">
      <w:pPr>
        <w:rPr>
          <w:lang w:val="es-ES_tradnl"/>
        </w:rPr>
      </w:pPr>
      <w:r w:rsidRPr="00893422">
        <w:rPr>
          <w:lang w:val="es-ES_tradnl"/>
        </w:rPr>
        <w:t>En el Documento 25, presentado por la BDT, se muestran a grandes rasgos los resultados de la Asamblea de Radiocomunicaciones de 2023 y la CMR-23, centrados en cuestiones pertinentes para el UIT-D. En la presentación se resumieron las principales decisiones adoptadas en estos eventos y se hizo hincapié en los ámbitos en los que estaba en curso o prevista la colaboración entre el Sector de Radiocomunicaciones (UIT-R) y el Sector de Desarrollo (UIT-D). Entre las esferas específicas de cooperación figuraba el uso eficiente del espectro, la reducción del consumo de energía a través de las TIC, las comunicaciones por satélite y espaciales, y los esfuerzos conjuntos de sensibilización y creación de capacidad. En el documento se destaca la función del UIT-D en el apoyo a la aplicación de las decisiones de la CMR, en particular a través de la Resolución 9, y en garantizar que los países en desarrollo se beneficien de los avances de las tecnologías de radiocomunicaciones.</w:t>
      </w:r>
    </w:p>
    <w:p w14:paraId="6A7EDD72" w14:textId="77777777" w:rsidR="005905B6" w:rsidRPr="00893422" w:rsidRDefault="005905B6" w:rsidP="005905B6">
      <w:pPr>
        <w:spacing w:after="120"/>
        <w:textAlignment w:val="auto"/>
        <w:rPr>
          <w:rFonts w:ascii="Calibri" w:eastAsia="Calibri" w:hAnsi="Calibri" w:cs="Calibri"/>
          <w:szCs w:val="24"/>
          <w:lang w:val="es-ES_tradnl"/>
        </w:rPr>
      </w:pPr>
      <w:r w:rsidRPr="00893422">
        <w:rPr>
          <w:lang w:val="es-ES_tradnl"/>
        </w:rPr>
        <w:t>Durante el debate, un delegado expresó su agradecimiento por el informe y agradeció que se prestara especial atención al apoyo a los países en desarrollo. El delegado hizo hincapié en la importancia de la asistencia relacionada con la eficiencia energética y la creación de capacidades debido, en particular, a las dificultades a las que se enfrentaban muchos países en desarrollo en el acceso a la electricidad. También se pidió a la BDT que facilitara el acceso a los documentos y la información pertinentes para fomentar la participación en las actividades previstas, incluidos los foros de conectividad por satélite.</w:t>
      </w:r>
    </w:p>
    <w:tbl>
      <w:tblPr>
        <w:tblStyle w:val="TableGrid"/>
        <w:tblW w:w="0" w:type="auto"/>
        <w:tblLayout w:type="fixed"/>
        <w:tblLook w:val="04A0" w:firstRow="1" w:lastRow="0" w:firstColumn="1" w:lastColumn="0" w:noHBand="0" w:noVBand="1"/>
      </w:tblPr>
      <w:tblGrid>
        <w:gridCol w:w="9629"/>
      </w:tblGrid>
      <w:tr w:rsidR="005905B6" w:rsidRPr="00893422" w14:paraId="1550CC72" w14:textId="77777777" w:rsidTr="00D04740">
        <w:tc>
          <w:tcPr>
            <w:tcW w:w="9629" w:type="dxa"/>
          </w:tcPr>
          <w:p w14:paraId="20025A59" w14:textId="77777777" w:rsidR="005905B6" w:rsidRPr="00893422" w:rsidRDefault="005905B6" w:rsidP="00D04740">
            <w:pPr>
              <w:tabs>
                <w:tab w:val="clear" w:pos="794"/>
                <w:tab w:val="clear" w:pos="1191"/>
                <w:tab w:val="clear" w:pos="1588"/>
                <w:tab w:val="clear" w:pos="1985"/>
                <w:tab w:val="left" w:pos="567"/>
                <w:tab w:val="left" w:pos="1134"/>
                <w:tab w:val="left" w:pos="1701"/>
                <w:tab w:val="left" w:pos="2268"/>
              </w:tabs>
              <w:spacing w:after="120"/>
              <w:textAlignment w:val="auto"/>
              <w:rPr>
                <w:rFonts w:ascii="Calibri" w:hAnsi="Calibri" w:cs="Calibri"/>
                <w:color w:val="000000" w:themeColor="text1"/>
                <w:lang w:val="es-ES_tradnl"/>
              </w:rPr>
            </w:pPr>
            <w:r w:rsidRPr="00893422">
              <w:rPr>
                <w:color w:val="000000"/>
                <w:lang w:val="es-ES_tradnl"/>
              </w:rPr>
              <w:t>El GADT tomó nota del informe en el que se destacaban los resultados de la AR-23 y la CMR-23 que repercutían en la labor del UIT-D.</w:t>
            </w:r>
          </w:p>
        </w:tc>
      </w:tr>
    </w:tbl>
    <w:p w14:paraId="57BFE929" w14:textId="58728236" w:rsidR="005905B6" w:rsidRPr="00893422" w:rsidRDefault="003D2618" w:rsidP="003D2618">
      <w:pPr>
        <w:pStyle w:val="Heading1"/>
        <w:rPr>
          <w:rFonts w:cstheme="minorHAnsi"/>
          <w:szCs w:val="24"/>
          <w:lang w:val="es-ES_tradnl"/>
        </w:rPr>
      </w:pPr>
      <w:r w:rsidRPr="00893422">
        <w:rPr>
          <w:lang w:val="es-ES_tradnl"/>
        </w:rPr>
        <w:t>11</w:t>
      </w:r>
      <w:r w:rsidRPr="00893422">
        <w:rPr>
          <w:lang w:val="es-ES_tradnl"/>
        </w:rPr>
        <w:tab/>
      </w:r>
      <w:r w:rsidR="005905B6" w:rsidRPr="00893422">
        <w:rPr>
          <w:lang w:val="es-ES_tradnl"/>
        </w:rPr>
        <w:t>Resultados de la CMDT-24: Actualizaciones pertinentes para los trabajos del</w:t>
      </w:r>
      <w:r w:rsidRPr="00893422">
        <w:rPr>
          <w:lang w:val="es-ES_tradnl"/>
        </w:rPr>
        <w:t> </w:t>
      </w:r>
      <w:r w:rsidR="005905B6" w:rsidRPr="00893422">
        <w:rPr>
          <w:lang w:val="es-ES_tradnl"/>
        </w:rPr>
        <w:t>UIT-D</w:t>
      </w:r>
    </w:p>
    <w:p w14:paraId="7860A920" w14:textId="1C34616C" w:rsidR="005905B6" w:rsidRPr="00893422" w:rsidRDefault="005905B6" w:rsidP="003D2618">
      <w:pPr>
        <w:pStyle w:val="Headingb"/>
        <w:rPr>
          <w:szCs w:val="24"/>
          <w:lang w:val="es-ES_tradnl"/>
        </w:rPr>
      </w:pPr>
      <w:r w:rsidRPr="00893422">
        <w:rPr>
          <w:bCs/>
          <w:lang w:val="es-ES_tradnl"/>
        </w:rPr>
        <w:t xml:space="preserve">Documento </w:t>
      </w:r>
      <w:hyperlink r:id="rId167" w:history="1">
        <w:r w:rsidRPr="00893422">
          <w:rPr>
            <w:rStyle w:val="Hyperlink"/>
            <w:bCs/>
            <w:lang w:val="es-ES_tradnl"/>
          </w:rPr>
          <w:t>26</w:t>
        </w:r>
      </w:hyperlink>
      <w:r w:rsidRPr="00893422">
        <w:rPr>
          <w:bCs/>
          <w:lang w:val="es-ES_tradnl"/>
        </w:rPr>
        <w:t xml:space="preserve"> (Director de la BDT) </w:t>
      </w:r>
      <w:r w:rsidR="003D2618" w:rsidRPr="00893422">
        <w:rPr>
          <w:bCs/>
          <w:lang w:val="es-ES_tradnl"/>
        </w:rPr>
        <w:t>–</w:t>
      </w:r>
      <w:r w:rsidRPr="00893422">
        <w:rPr>
          <w:bCs/>
          <w:lang w:val="es-ES_tradnl"/>
        </w:rPr>
        <w:t xml:space="preserve"> Resultados de la AMNT-T pertinentes para los trabajos del</w:t>
      </w:r>
      <w:r w:rsidR="003D2618" w:rsidRPr="00893422">
        <w:rPr>
          <w:bCs/>
          <w:lang w:val="es-ES_tradnl"/>
        </w:rPr>
        <w:t> </w:t>
      </w:r>
      <w:r w:rsidRPr="00893422">
        <w:rPr>
          <w:bCs/>
          <w:lang w:val="es-ES_tradnl"/>
        </w:rPr>
        <w:t>UIT-D</w:t>
      </w:r>
      <w:hyperlink r:id="rId168" w:history="1"/>
    </w:p>
    <w:p w14:paraId="2F452BA9" w14:textId="70DB10E7" w:rsidR="005905B6" w:rsidRPr="00893422" w:rsidRDefault="005905B6" w:rsidP="005905B6">
      <w:pPr>
        <w:spacing w:after="120"/>
        <w:rPr>
          <w:rFonts w:cstheme="minorBidi"/>
          <w:lang w:val="es-ES_tradnl"/>
        </w:rPr>
      </w:pPr>
      <w:r w:rsidRPr="00893422">
        <w:rPr>
          <w:lang w:val="es-ES_tradnl"/>
        </w:rPr>
        <w:t>La Secretaría de la BDT presentó este documento, en el que se resumían los principales resultados de la AMNT 2024 y del Simposio Mundial de Normalización precedente (14-24 de octubre de 2024, Nueva Delhi (India)). Se informó al GADT de los principales aspectos destacados en relación con los resultados de la AMNT, incluidas las nuevas Cuestiones de las Comisiones de Estudio (CE) del UIT</w:t>
      </w:r>
      <w:r w:rsidR="009519C2">
        <w:rPr>
          <w:lang w:val="es-ES_tradnl"/>
        </w:rPr>
        <w:noBreakHyphen/>
      </w:r>
      <w:r w:rsidRPr="00893422">
        <w:rPr>
          <w:lang w:val="es-ES_tradnl"/>
        </w:rPr>
        <w:t xml:space="preserve">T, las nuevas Resoluciones del UIT-T y la lista de Presidentes y Vicepresidentes de las </w:t>
      </w:r>
      <w:r w:rsidRPr="00893422">
        <w:rPr>
          <w:lang w:val="es-ES_tradnl"/>
        </w:rPr>
        <w:lastRenderedPageBreak/>
        <w:t>CE</w:t>
      </w:r>
      <w:r w:rsidR="009519C2">
        <w:rPr>
          <w:lang w:val="es-ES_tradnl"/>
        </w:rPr>
        <w:t> </w:t>
      </w:r>
      <w:r w:rsidRPr="00893422">
        <w:rPr>
          <w:lang w:val="es-ES_tradnl"/>
        </w:rPr>
        <w:t>nombrados. Se dieron a conocer las relaciones entre las Resoluciones de la AMNT con efecto en la labor del UIT-D y una visión general de las Resoluciones de la AMNT, subrayando los encarga al Director de la Oficina de Desarrollo de las Telecomunicaciones de la UIT.</w:t>
      </w:r>
    </w:p>
    <w:tbl>
      <w:tblPr>
        <w:tblStyle w:val="TableGrid"/>
        <w:tblW w:w="0" w:type="auto"/>
        <w:tblLayout w:type="fixed"/>
        <w:tblLook w:val="04A0" w:firstRow="1" w:lastRow="0" w:firstColumn="1" w:lastColumn="0" w:noHBand="0" w:noVBand="1"/>
      </w:tblPr>
      <w:tblGrid>
        <w:gridCol w:w="9629"/>
      </w:tblGrid>
      <w:tr w:rsidR="005905B6" w:rsidRPr="00893422" w14:paraId="616B9C9C" w14:textId="77777777" w:rsidTr="00D04740">
        <w:tc>
          <w:tcPr>
            <w:tcW w:w="9629" w:type="dxa"/>
          </w:tcPr>
          <w:p w14:paraId="0BA8AFC4" w14:textId="77777777" w:rsidR="005905B6" w:rsidRPr="00893422" w:rsidRDefault="005905B6" w:rsidP="00D04740">
            <w:pPr>
              <w:spacing w:after="120"/>
              <w:rPr>
                <w:rFonts w:ascii="Calibri" w:hAnsi="Calibri" w:cs="Calibri"/>
                <w:color w:val="000000" w:themeColor="text1"/>
                <w:lang w:val="es-ES_tradnl"/>
              </w:rPr>
            </w:pPr>
            <w:r w:rsidRPr="00893422">
              <w:rPr>
                <w:color w:val="000000"/>
                <w:lang w:val="es-ES_tradnl"/>
              </w:rPr>
              <w:t>El GADT tomó nota del informe en el que se destacaban las Resoluciones de la AMNT que repercutían en la labor del UIT-D.</w:t>
            </w:r>
          </w:p>
        </w:tc>
      </w:tr>
    </w:tbl>
    <w:p w14:paraId="78640587" w14:textId="784BDEA8" w:rsidR="005905B6" w:rsidRPr="00893422" w:rsidRDefault="003D2618" w:rsidP="003D2618">
      <w:pPr>
        <w:pStyle w:val="Heading1"/>
        <w:rPr>
          <w:rFonts w:cstheme="minorHAnsi"/>
          <w:szCs w:val="24"/>
          <w:lang w:val="es-ES_tradnl"/>
        </w:rPr>
      </w:pPr>
      <w:r w:rsidRPr="00893422">
        <w:rPr>
          <w:lang w:val="es-ES_tradnl"/>
        </w:rPr>
        <w:t>12</w:t>
      </w:r>
      <w:r w:rsidRPr="00893422">
        <w:rPr>
          <w:lang w:val="es-ES_tradnl"/>
        </w:rPr>
        <w:tab/>
      </w:r>
      <w:r w:rsidR="005905B6" w:rsidRPr="00893422">
        <w:rPr>
          <w:lang w:val="es-ES_tradnl"/>
        </w:rPr>
        <w:t>Contribución a los trabajos del Grupo de Expertos sobre el Reglamento de las Telecomunicaciones Internacionales (GE-RTI)</w:t>
      </w:r>
    </w:p>
    <w:p w14:paraId="30350BB9" w14:textId="209CCC7D" w:rsidR="005905B6" w:rsidRPr="00893422" w:rsidRDefault="005905B6" w:rsidP="003D2618">
      <w:pPr>
        <w:pStyle w:val="Headingb"/>
        <w:rPr>
          <w:szCs w:val="24"/>
          <w:lang w:val="es-ES_tradnl"/>
        </w:rPr>
      </w:pPr>
      <w:r w:rsidRPr="00893422">
        <w:rPr>
          <w:lang w:val="es-ES_tradnl"/>
        </w:rPr>
        <w:t xml:space="preserve">Documento </w:t>
      </w:r>
      <w:hyperlink r:id="rId169" w:history="1">
        <w:r w:rsidRPr="00893422">
          <w:rPr>
            <w:rStyle w:val="Hyperlink"/>
            <w:bCs/>
            <w:lang w:val="es-ES_tradnl"/>
          </w:rPr>
          <w:t>27</w:t>
        </w:r>
      </w:hyperlink>
      <w:r w:rsidRPr="00893422">
        <w:rPr>
          <w:lang w:val="es-ES_tradnl"/>
        </w:rPr>
        <w:t xml:space="preserve"> (Director de la BDT) </w:t>
      </w:r>
      <w:r w:rsidR="003D2618" w:rsidRPr="00893422">
        <w:rPr>
          <w:lang w:val="es-ES_tradnl"/>
        </w:rPr>
        <w:t>–</w:t>
      </w:r>
      <w:r w:rsidRPr="00893422">
        <w:rPr>
          <w:lang w:val="es-ES_tradnl"/>
        </w:rPr>
        <w:t xml:space="preserve"> Informe sobre los trabajos del Grupo de Expertos sobre el Reglamento de las Telecomunicaciones Internacionales (GE-RTI) al GADT</w:t>
      </w:r>
      <w:hyperlink r:id="rId170"/>
    </w:p>
    <w:p w14:paraId="7E0F7F76" w14:textId="77777777" w:rsidR="005905B6" w:rsidRPr="00893422" w:rsidRDefault="005905B6" w:rsidP="005905B6">
      <w:pPr>
        <w:widowControl w:val="0"/>
        <w:tabs>
          <w:tab w:val="clear" w:pos="794"/>
          <w:tab w:val="clear" w:pos="1191"/>
          <w:tab w:val="clear" w:pos="1588"/>
          <w:tab w:val="clear" w:pos="1985"/>
          <w:tab w:val="left" w:pos="567"/>
          <w:tab w:val="left" w:pos="1134"/>
          <w:tab w:val="left" w:pos="1701"/>
          <w:tab w:val="left" w:pos="2268"/>
        </w:tabs>
        <w:spacing w:after="120"/>
        <w:textAlignment w:val="auto"/>
        <w:rPr>
          <w:rFonts w:cstheme="minorBidi"/>
          <w:lang w:val="es-ES_tradnl"/>
        </w:rPr>
      </w:pPr>
      <w:r w:rsidRPr="00893422">
        <w:rPr>
          <w:lang w:val="es-ES_tradnl"/>
        </w:rPr>
        <w:t>La Secretaría de la BDT presentó los avances de los trabajos del GE-RTI e informó sobre las reuniones tercera y cuarta del Grupo. La tercera reunión se había centrado en las contribuciones y la adhesión al mandato del Grupo. En la cuarta reunión se había debatido el esquema y los anexos del Informe Final al Consejo-26. Se presentaría un informe de situación en la reunión de 2025 del Consejo.</w:t>
      </w:r>
    </w:p>
    <w:tbl>
      <w:tblPr>
        <w:tblStyle w:val="TableGrid"/>
        <w:tblW w:w="0" w:type="auto"/>
        <w:tblLayout w:type="fixed"/>
        <w:tblLook w:val="04A0" w:firstRow="1" w:lastRow="0" w:firstColumn="1" w:lastColumn="0" w:noHBand="0" w:noVBand="1"/>
      </w:tblPr>
      <w:tblGrid>
        <w:gridCol w:w="9629"/>
      </w:tblGrid>
      <w:tr w:rsidR="005905B6" w:rsidRPr="00893422" w14:paraId="2D9E7F90" w14:textId="77777777" w:rsidTr="00D04740">
        <w:tc>
          <w:tcPr>
            <w:tcW w:w="9629" w:type="dxa"/>
          </w:tcPr>
          <w:p w14:paraId="3399C81B" w14:textId="77777777" w:rsidR="005905B6" w:rsidRPr="00893422" w:rsidRDefault="005905B6" w:rsidP="00D04740">
            <w:pPr>
              <w:widowControl w:val="0"/>
              <w:tabs>
                <w:tab w:val="clear" w:pos="794"/>
                <w:tab w:val="clear" w:pos="1191"/>
                <w:tab w:val="clear" w:pos="1588"/>
                <w:tab w:val="clear" w:pos="1985"/>
                <w:tab w:val="left" w:pos="567"/>
                <w:tab w:val="left" w:pos="1134"/>
                <w:tab w:val="left" w:pos="1701"/>
                <w:tab w:val="left" w:pos="2268"/>
              </w:tabs>
              <w:spacing w:after="120"/>
              <w:rPr>
                <w:rFonts w:cstheme="minorBidi"/>
                <w:lang w:val="es-ES_tradnl"/>
              </w:rPr>
            </w:pPr>
            <w:r w:rsidRPr="00893422">
              <w:rPr>
                <w:color w:val="000000"/>
                <w:lang w:val="es-ES_tradnl"/>
              </w:rPr>
              <w:t xml:space="preserve">El GADT tomó nota del informe sobre los progresos del GE-RTI y alentó a proseguir la participación. </w:t>
            </w:r>
          </w:p>
        </w:tc>
      </w:tr>
    </w:tbl>
    <w:p w14:paraId="3490834A" w14:textId="0ADB2F2D" w:rsidR="005905B6" w:rsidRPr="00893422" w:rsidRDefault="003D2618" w:rsidP="003D2618">
      <w:pPr>
        <w:pStyle w:val="Heading1"/>
        <w:rPr>
          <w:rFonts w:cstheme="minorHAnsi"/>
          <w:szCs w:val="24"/>
          <w:lang w:val="es-ES_tradnl"/>
        </w:rPr>
      </w:pPr>
      <w:r w:rsidRPr="00893422">
        <w:rPr>
          <w:lang w:val="es-ES_tradnl"/>
        </w:rPr>
        <w:t>13</w:t>
      </w:r>
      <w:r w:rsidRPr="00893422">
        <w:rPr>
          <w:lang w:val="es-ES_tradnl"/>
        </w:rPr>
        <w:tab/>
      </w:r>
      <w:r w:rsidR="005905B6" w:rsidRPr="00893422">
        <w:rPr>
          <w:lang w:val="es-ES_tradnl"/>
        </w:rPr>
        <w:t>Calendario de eventos del UIT-D</w:t>
      </w:r>
    </w:p>
    <w:p w14:paraId="27098EC4" w14:textId="5EEA210B" w:rsidR="005905B6" w:rsidRPr="00893422" w:rsidRDefault="005905B6" w:rsidP="003D2618">
      <w:pPr>
        <w:pStyle w:val="Headingb"/>
        <w:rPr>
          <w:szCs w:val="24"/>
          <w:lang w:val="es-ES_tradnl"/>
        </w:rPr>
      </w:pPr>
      <w:r w:rsidRPr="00893422">
        <w:rPr>
          <w:bCs/>
          <w:lang w:val="es-ES_tradnl"/>
        </w:rPr>
        <w:t xml:space="preserve">Documento </w:t>
      </w:r>
      <w:hyperlink r:id="rId171" w:history="1">
        <w:r w:rsidRPr="00893422">
          <w:rPr>
            <w:rStyle w:val="Hyperlink"/>
            <w:bCs/>
            <w:lang w:val="es-ES_tradnl"/>
          </w:rPr>
          <w:t>28</w:t>
        </w:r>
      </w:hyperlink>
      <w:r w:rsidRPr="00893422">
        <w:rPr>
          <w:bCs/>
          <w:lang w:val="es-ES_tradnl"/>
        </w:rPr>
        <w:t xml:space="preserve">(Rev.1) (Director de la BDT) </w:t>
      </w:r>
      <w:r w:rsidR="003D2618" w:rsidRPr="00893422">
        <w:rPr>
          <w:bCs/>
          <w:lang w:val="es-ES_tradnl"/>
        </w:rPr>
        <w:t>–</w:t>
      </w:r>
      <w:r w:rsidRPr="00893422">
        <w:rPr>
          <w:bCs/>
          <w:lang w:val="es-ES_tradnl"/>
        </w:rPr>
        <w:t xml:space="preserve"> Calendario de eventos del UIT-D</w:t>
      </w:r>
      <w:hyperlink r:id="rId172"/>
    </w:p>
    <w:p w14:paraId="34B6C9B9" w14:textId="538D1CF1" w:rsidR="005905B6" w:rsidRPr="00893422" w:rsidRDefault="005905B6" w:rsidP="005905B6">
      <w:pPr>
        <w:tabs>
          <w:tab w:val="clear" w:pos="794"/>
          <w:tab w:val="clear" w:pos="1191"/>
          <w:tab w:val="clear" w:pos="1588"/>
          <w:tab w:val="clear" w:pos="1985"/>
          <w:tab w:val="left" w:pos="567"/>
          <w:tab w:val="left" w:pos="1134"/>
          <w:tab w:val="left" w:pos="1701"/>
          <w:tab w:val="left" w:pos="2268"/>
        </w:tabs>
        <w:spacing w:after="120"/>
        <w:textAlignment w:val="auto"/>
        <w:rPr>
          <w:rFonts w:ascii="Calibri" w:hAnsi="Calibri"/>
          <w:szCs w:val="24"/>
          <w:lang w:val="es-ES_tradnl"/>
        </w:rPr>
      </w:pPr>
      <w:r w:rsidRPr="00893422">
        <w:rPr>
          <w:lang w:val="es-ES_tradnl"/>
        </w:rPr>
        <w:t>La Secretaría de la BDT presentó el calendario de eventos del UIT-D previstos para 2025 y los años siguientes, haciendo hincapié en el denso calendario previo a la CMDT. Se mencionó que el calendario servía para ayudar a los Estados Miembros y a las partes interesadas en sus procesos de planificación. La Presidenta invitó a los participantes a formular observaciones y preguntas, pero no se produjeron intervenciones. Por consiguiente, se tomó nota del documento sin más debate ni</w:t>
      </w:r>
      <w:r w:rsidR="009519C2">
        <w:rPr>
          <w:lang w:val="es-ES_tradnl"/>
        </w:rPr>
        <w:t> </w:t>
      </w:r>
      <w:r w:rsidRPr="00893422">
        <w:rPr>
          <w:lang w:val="es-ES_tradnl"/>
        </w:rPr>
        <w:t>objeciones.</w:t>
      </w:r>
    </w:p>
    <w:tbl>
      <w:tblPr>
        <w:tblStyle w:val="TableGrid"/>
        <w:tblW w:w="0" w:type="auto"/>
        <w:tblLayout w:type="fixed"/>
        <w:tblLook w:val="04A0" w:firstRow="1" w:lastRow="0" w:firstColumn="1" w:lastColumn="0" w:noHBand="0" w:noVBand="1"/>
      </w:tblPr>
      <w:tblGrid>
        <w:gridCol w:w="9629"/>
      </w:tblGrid>
      <w:tr w:rsidR="005905B6" w:rsidRPr="00893422" w14:paraId="4AE5DD46" w14:textId="77777777" w:rsidTr="00D04740">
        <w:tc>
          <w:tcPr>
            <w:tcW w:w="9629" w:type="dxa"/>
          </w:tcPr>
          <w:p w14:paraId="636593D9" w14:textId="77777777" w:rsidR="005905B6" w:rsidRPr="00893422" w:rsidRDefault="005905B6" w:rsidP="00D04740">
            <w:pPr>
              <w:tabs>
                <w:tab w:val="clear" w:pos="794"/>
                <w:tab w:val="clear" w:pos="1191"/>
                <w:tab w:val="clear" w:pos="1588"/>
                <w:tab w:val="clear" w:pos="1985"/>
                <w:tab w:val="left" w:pos="567"/>
                <w:tab w:val="left" w:pos="1134"/>
                <w:tab w:val="left" w:pos="1701"/>
                <w:tab w:val="left" w:pos="2268"/>
              </w:tabs>
              <w:spacing w:after="120"/>
              <w:textAlignment w:val="auto"/>
              <w:rPr>
                <w:rFonts w:cstheme="minorBidi"/>
                <w:lang w:val="es-ES_tradnl"/>
              </w:rPr>
            </w:pPr>
            <w:r w:rsidRPr="00893422">
              <w:rPr>
                <w:color w:val="000000"/>
                <w:lang w:val="es-ES_tradnl"/>
              </w:rPr>
              <w:t>El GADT tomó nota del documento.</w:t>
            </w:r>
          </w:p>
        </w:tc>
      </w:tr>
    </w:tbl>
    <w:p w14:paraId="6F66A06A" w14:textId="3CB4A23F" w:rsidR="005905B6" w:rsidRPr="00893422" w:rsidRDefault="003D2618" w:rsidP="003D2618">
      <w:pPr>
        <w:pStyle w:val="Heading1"/>
        <w:rPr>
          <w:rFonts w:cstheme="minorHAnsi"/>
          <w:szCs w:val="24"/>
          <w:lang w:val="es-ES_tradnl"/>
        </w:rPr>
      </w:pPr>
      <w:r w:rsidRPr="00893422">
        <w:rPr>
          <w:lang w:val="es-ES_tradnl"/>
        </w:rPr>
        <w:t>14</w:t>
      </w:r>
      <w:r w:rsidRPr="00893422">
        <w:rPr>
          <w:lang w:val="es-ES_tradnl"/>
        </w:rPr>
        <w:tab/>
      </w:r>
      <w:r w:rsidR="005905B6" w:rsidRPr="00893422">
        <w:rPr>
          <w:lang w:val="es-ES_tradnl"/>
        </w:rPr>
        <w:t>Otros asuntos</w:t>
      </w:r>
    </w:p>
    <w:p w14:paraId="4F25087B" w14:textId="3FD5204B" w:rsidR="005905B6" w:rsidRPr="00893422" w:rsidRDefault="005905B6" w:rsidP="003D2618">
      <w:pPr>
        <w:pStyle w:val="Headingb"/>
        <w:rPr>
          <w:rFonts w:cstheme="minorBidi"/>
          <w:lang w:val="es-ES_tradnl"/>
        </w:rPr>
      </w:pPr>
      <w:r w:rsidRPr="00893422">
        <w:rPr>
          <w:lang w:val="es-ES_tradnl"/>
        </w:rPr>
        <w:t xml:space="preserve">Documento </w:t>
      </w:r>
      <w:hyperlink r:id="rId173" w:history="1">
        <w:r w:rsidRPr="00893422">
          <w:rPr>
            <w:rStyle w:val="Hyperlink"/>
            <w:bCs/>
            <w:lang w:val="es-ES_tradnl"/>
          </w:rPr>
          <w:t>55</w:t>
        </w:r>
        <w:r w:rsidRPr="00960F42">
          <w:rPr>
            <w:lang w:val="es-ES_tradnl"/>
          </w:rPr>
          <w:t>(Rev.1)</w:t>
        </w:r>
      </w:hyperlink>
      <w:r w:rsidRPr="00893422">
        <w:rPr>
          <w:lang w:val="es-ES_tradnl"/>
        </w:rPr>
        <w:t xml:space="preserve"> </w:t>
      </w:r>
      <w:r w:rsidR="003D2618" w:rsidRPr="00893422">
        <w:rPr>
          <w:lang w:val="es-ES_tradnl"/>
        </w:rPr>
        <w:t>–</w:t>
      </w:r>
      <w:r w:rsidRPr="00893422">
        <w:rPr>
          <w:lang w:val="es-ES_tradnl"/>
        </w:rPr>
        <w:t xml:space="preserve"> (Arabia Saudita, Argelia, Egipto y Jordania) </w:t>
      </w:r>
      <w:r w:rsidR="003D2618" w:rsidRPr="00893422">
        <w:rPr>
          <w:lang w:val="es-ES_tradnl"/>
        </w:rPr>
        <w:t>–</w:t>
      </w:r>
      <w:r w:rsidRPr="00893422">
        <w:rPr>
          <w:lang w:val="es-ES_tradnl"/>
        </w:rPr>
        <w:t xml:space="preserve"> Modification of the working methods of the EGTI and EGH (Modificación de los métodos de trabajo del GEIT y el</w:t>
      </w:r>
      <w:r w:rsidR="003D2618" w:rsidRPr="00893422">
        <w:rPr>
          <w:lang w:val="es-ES_tradnl"/>
        </w:rPr>
        <w:t> </w:t>
      </w:r>
      <w:r w:rsidRPr="00893422">
        <w:rPr>
          <w:lang w:val="es-ES_tradnl"/>
        </w:rPr>
        <w:t>GEH)</w:t>
      </w:r>
      <w:hyperlink r:id="rId174"/>
    </w:p>
    <w:p w14:paraId="5AC327D4" w14:textId="1006F092" w:rsidR="005905B6" w:rsidRPr="00893422" w:rsidRDefault="005905B6" w:rsidP="003D2618">
      <w:pPr>
        <w:rPr>
          <w:lang w:val="es-ES_tradnl"/>
        </w:rPr>
      </w:pPr>
      <w:r w:rsidRPr="00893422">
        <w:rPr>
          <w:lang w:val="es-ES_tradnl"/>
        </w:rPr>
        <w:t xml:space="preserve">El Documento 55(Rev.1) se presentó como una contribución de varios países, en la que se reconocía la importancia del Grupo de Expertos sobre Indicadores de Telecomunicaciones/TIC (GEIT) y del Grupo de Expertos sobre Indicadores Domésticos (GEH) en el avance de las actividades de datos de telecomunicaciones/TIC. En el documento se ponían de relieve las preocupaciones sobre los métodos de trabajo actuales de estos grupos de expertos. También se proponía alinear más estrechamente los métodos de trabajo del GEIT y el GEH con los de las Comisiones de Estudio de la UIT. Algunas de las recomendaciones fueron: formalizar los procedimientos de presentación, garantizar la programación anticipada de las reuniones, mejorar la participación estructurada, </w:t>
      </w:r>
      <w:r w:rsidRPr="00893422">
        <w:rPr>
          <w:lang w:val="es-ES_tradnl"/>
        </w:rPr>
        <w:lastRenderedPageBreak/>
        <w:t>permitir la participación y las aportaciones a distancia y nombrar coordinadores para áreas específicas de trabajo.</w:t>
      </w:r>
    </w:p>
    <w:p w14:paraId="0BDBE55B" w14:textId="77777777" w:rsidR="005905B6" w:rsidRPr="00893422" w:rsidRDefault="005905B6" w:rsidP="003D2618">
      <w:pPr>
        <w:rPr>
          <w:lang w:val="es-ES_tradnl"/>
        </w:rPr>
      </w:pPr>
      <w:r w:rsidRPr="00893422">
        <w:rPr>
          <w:lang w:val="es-ES_tradnl"/>
        </w:rPr>
        <w:t>En respuesta a la comunicación del GADT y a las observaciones adicionales de los miembros, la Secretaría de la BDT presentó las siguientes medidas para mejorar la transparencia, la inclusión y la eficacia de la labor del GEIT y el GEH:</w:t>
      </w:r>
    </w:p>
    <w:p w14:paraId="0DFA98C5" w14:textId="4CEE325C" w:rsidR="005905B6" w:rsidRPr="00893422" w:rsidRDefault="003D2618" w:rsidP="003D2618">
      <w:pPr>
        <w:pStyle w:val="enumlev1"/>
        <w:rPr>
          <w:lang w:val="es-ES_tradnl"/>
        </w:rPr>
      </w:pPr>
      <w:r w:rsidRPr="00893422">
        <w:rPr>
          <w:lang w:val="es-ES_tradnl"/>
        </w:rPr>
        <w:t>–</w:t>
      </w:r>
      <w:r w:rsidRPr="00893422">
        <w:rPr>
          <w:lang w:val="es-ES_tradnl"/>
        </w:rPr>
        <w:tab/>
      </w:r>
      <w:r w:rsidR="005905B6" w:rsidRPr="00893422">
        <w:rPr>
          <w:lang w:val="es-ES_tradnl"/>
        </w:rPr>
        <w:t>La renovada página web de los Grupos de Expertos ofrecía información más clara y accesible sobre el mandato, la estructura de gobernanza, las modalidades de participación, los métodos de trabajo y la labor en curso de los Grupos de Expertos.</w:t>
      </w:r>
    </w:p>
    <w:p w14:paraId="61C386B2" w14:textId="726CA141" w:rsidR="005905B6" w:rsidRPr="00893422" w:rsidRDefault="003D2618" w:rsidP="003D2618">
      <w:pPr>
        <w:pStyle w:val="enumlev1"/>
        <w:rPr>
          <w:lang w:val="es-ES_tradnl"/>
        </w:rPr>
      </w:pPr>
      <w:r w:rsidRPr="00893422">
        <w:rPr>
          <w:lang w:val="es-ES_tradnl"/>
        </w:rPr>
        <w:t>–</w:t>
      </w:r>
      <w:r w:rsidRPr="00893422">
        <w:rPr>
          <w:lang w:val="es-ES_tradnl"/>
        </w:rPr>
        <w:tab/>
      </w:r>
      <w:r w:rsidR="005905B6" w:rsidRPr="00893422">
        <w:rPr>
          <w:lang w:val="es-ES_tradnl"/>
        </w:rPr>
        <w:t>En el futuro, todos los documentos, incluidas contribuciones, informes, mandatos y presentaciones relacionadas con el GEIT, el GEH y sus subgrupos, estarían disponibles en el Centro de Documentación del UIT-D. Sería similar a la interfaz utilizada para las Comisiones de Estudio del UIT-D y el Grupo de Trabajo del GADT. Al mismo tiempo, la información y los documentos seguirán publicándose en las páginas web del GEIT y el GEH y en sus reuniones.</w:t>
      </w:r>
    </w:p>
    <w:p w14:paraId="25133F4B" w14:textId="32788801" w:rsidR="005905B6" w:rsidRPr="00893422" w:rsidRDefault="003D2618" w:rsidP="003D2618">
      <w:pPr>
        <w:pStyle w:val="enumlev1"/>
        <w:rPr>
          <w:lang w:val="es-ES_tradnl"/>
        </w:rPr>
      </w:pPr>
      <w:r w:rsidRPr="00893422">
        <w:rPr>
          <w:lang w:val="es-ES_tradnl"/>
        </w:rPr>
        <w:t>–</w:t>
      </w:r>
      <w:r w:rsidRPr="00893422">
        <w:rPr>
          <w:lang w:val="es-ES_tradnl"/>
        </w:rPr>
        <w:tab/>
      </w:r>
      <w:r w:rsidR="005905B6" w:rsidRPr="00893422">
        <w:rPr>
          <w:lang w:val="es-ES_tradnl"/>
        </w:rPr>
        <w:t>Se estaba desarrollando una interfaz para facilitar la presentación de contribuciones a los diversos subgrupos del GEIT y el GEH. Sería una interfaz similar a la de las Comisiones de Estudio y el GADT.</w:t>
      </w:r>
    </w:p>
    <w:p w14:paraId="6E6FF7E9" w14:textId="27CD3B00" w:rsidR="005905B6" w:rsidRPr="00893422" w:rsidRDefault="005905B6" w:rsidP="003D2618">
      <w:pPr>
        <w:rPr>
          <w:lang w:val="es-ES_tradnl"/>
        </w:rPr>
      </w:pPr>
      <w:r w:rsidRPr="00893422">
        <w:rPr>
          <w:lang w:val="es-ES_tradnl"/>
        </w:rPr>
        <w:t>Durante los debates, varias delegaciones expresaron su apoyo a la labor de los dos grupos de expertos (GEIT/GEH) y destacaron la importancia de que continuase su labor. Se valoraron ampliamente los esfuerzos desplegados por la BDT para responder al llamamiento en favor de una mayor transparencia y de mejorar los métodos de trabajo de los grupos de expertos, como los mencionados, aunque algunos participantes señalaron que aún se necesitaban más mejoras, en particular en lo que respectaba a la actualización del mandato para armonizarlo con la Resolución 1 sobre el proceso de nombramiento de Presidentes y Vicepresidentes.</w:t>
      </w:r>
    </w:p>
    <w:p w14:paraId="5886936A" w14:textId="00B48133" w:rsidR="005905B6" w:rsidRPr="00893422" w:rsidRDefault="005905B6" w:rsidP="005905B6">
      <w:pPr>
        <w:pStyle w:val="CEONormal"/>
        <w:rPr>
          <w:rFonts w:asciiTheme="minorHAnsi" w:eastAsia="Times New Roman" w:hAnsiTheme="minorHAnsi" w:cs="Times New Roman"/>
          <w:sz w:val="24"/>
          <w:szCs w:val="20"/>
          <w:lang w:val="es-ES_tradnl"/>
        </w:rPr>
      </w:pPr>
      <w:r w:rsidRPr="00893422">
        <w:rPr>
          <w:rFonts w:asciiTheme="minorHAnsi" w:eastAsia="Times New Roman" w:hAnsiTheme="minorHAnsi" w:cs="Times New Roman"/>
          <w:sz w:val="24"/>
          <w:szCs w:val="20"/>
          <w:lang w:val="es-ES_tradnl"/>
        </w:rPr>
        <w:t>Algunos participantes mencionaron que, aunque apoyaban una mayor transparencia en la labor de los dos grupos de expertos, destacaron la naturaleza única del GEIT y el GEH y la importancia de preservar el modelo de grupo de expertos, que permitía aprovechar un amplio conjunto de conocimientos.</w:t>
      </w:r>
    </w:p>
    <w:tbl>
      <w:tblPr>
        <w:tblStyle w:val="TableGrid"/>
        <w:tblW w:w="0" w:type="auto"/>
        <w:tblLayout w:type="fixed"/>
        <w:tblLook w:val="04A0" w:firstRow="1" w:lastRow="0" w:firstColumn="1" w:lastColumn="0" w:noHBand="0" w:noVBand="1"/>
      </w:tblPr>
      <w:tblGrid>
        <w:gridCol w:w="9629"/>
      </w:tblGrid>
      <w:tr w:rsidR="005905B6" w:rsidRPr="00893422" w14:paraId="423E1805" w14:textId="77777777" w:rsidTr="00D04740">
        <w:tc>
          <w:tcPr>
            <w:tcW w:w="9629" w:type="dxa"/>
          </w:tcPr>
          <w:p w14:paraId="3DD22765" w14:textId="77777777" w:rsidR="005905B6" w:rsidRPr="00893422" w:rsidRDefault="005905B6" w:rsidP="00D04740">
            <w:pPr>
              <w:tabs>
                <w:tab w:val="clear" w:pos="794"/>
                <w:tab w:val="clear" w:pos="1191"/>
                <w:tab w:val="clear" w:pos="1588"/>
                <w:tab w:val="clear" w:pos="1985"/>
                <w:tab w:val="left" w:pos="567"/>
                <w:tab w:val="left" w:pos="1134"/>
                <w:tab w:val="left" w:pos="1701"/>
                <w:tab w:val="left" w:pos="2268"/>
              </w:tabs>
              <w:spacing w:after="120"/>
              <w:textAlignment w:val="auto"/>
              <w:rPr>
                <w:rFonts w:cstheme="minorBidi"/>
                <w:lang w:val="es-ES_tradnl"/>
              </w:rPr>
            </w:pPr>
            <w:r w:rsidRPr="00893422">
              <w:rPr>
                <w:color w:val="000000"/>
                <w:lang w:val="es-ES_tradnl"/>
              </w:rPr>
              <w:t>El GADT tomó nota de la contribución y de los esfuerzos que estaba realizando la BDT para racionalizar la labor de los Grupos de Expertos.</w:t>
            </w:r>
          </w:p>
        </w:tc>
      </w:tr>
    </w:tbl>
    <w:p w14:paraId="632C58D9" w14:textId="02C1B5DC" w:rsidR="005905B6" w:rsidRPr="00893422" w:rsidRDefault="005905B6" w:rsidP="003D2618">
      <w:pPr>
        <w:pStyle w:val="Headingb"/>
        <w:rPr>
          <w:rFonts w:ascii="Calibri" w:hAnsi="Calibri" w:cs="Calibri"/>
          <w:color w:val="000000" w:themeColor="text1"/>
          <w:szCs w:val="24"/>
          <w:lang w:val="es-ES_tradnl"/>
        </w:rPr>
      </w:pPr>
      <w:r w:rsidRPr="00893422">
        <w:rPr>
          <w:lang w:val="es-ES_tradnl"/>
        </w:rPr>
        <w:t xml:space="preserve">Documento </w:t>
      </w:r>
      <w:hyperlink r:id="rId175" w:history="1">
        <w:r w:rsidRPr="00893422">
          <w:rPr>
            <w:rStyle w:val="Hyperlink"/>
            <w:bCs/>
            <w:lang w:val="es-ES_tradnl"/>
          </w:rPr>
          <w:t>60</w:t>
        </w:r>
      </w:hyperlink>
      <w:r w:rsidRPr="00893422">
        <w:rPr>
          <w:lang w:val="es-ES_tradnl"/>
        </w:rPr>
        <w:t xml:space="preserve"> (Director de la BDT) </w:t>
      </w:r>
      <w:r w:rsidR="003D2618" w:rsidRPr="00893422">
        <w:rPr>
          <w:lang w:val="es-ES_tradnl"/>
        </w:rPr>
        <w:t>–</w:t>
      </w:r>
      <w:r w:rsidRPr="00893422">
        <w:rPr>
          <w:lang w:val="es-ES_tradnl"/>
        </w:rPr>
        <w:t xml:space="preserve"> Use of all the official languages on an equal footing in ITU-D (Utilización de todos los idiomas oficiales en igualdad de condiciones en el UIT-D)</w:t>
      </w:r>
      <w:hyperlink r:id="rId176"/>
    </w:p>
    <w:p w14:paraId="37595F4A" w14:textId="77777777" w:rsidR="005905B6" w:rsidRPr="00893422" w:rsidRDefault="005905B6" w:rsidP="005905B6">
      <w:pPr>
        <w:spacing w:after="120"/>
        <w:rPr>
          <w:lang w:val="es-ES_tradnl"/>
        </w:rPr>
      </w:pPr>
      <w:r w:rsidRPr="00893422">
        <w:rPr>
          <w:lang w:val="es-ES_tradnl"/>
        </w:rPr>
        <w:t xml:space="preserve">En el Documento 60 se presentaban las medidas adoptadas por la BDT para garantizar la utilización equitativa de los seis idiomas oficiales de las Naciones Unidas en las actividades del UIT-D. En la presentación se destacó la transición a una nueva plataforma web basada en WordPress, destinada a mejorar la gestión de contenidos multilingües, y la adopción de herramientas de traducción basadas en IA para mejorar la calidad y la eficiencia tanto de la traducción como de la interpretación. También se señaló que se habían introducido procesos de posedición para mejorar la precisión de las traducciones automáticas y que se esperaba la migración completa de los sitios web del UIT-D a la nueva plataforma para 2026. Además, se informó de que se estaban llevando a cabo pruebas piloto en las que se utilizaba la IA para la interpretación durante las reuniones del equipo directivo de las Comisiones de Estudio. La Presidenta acogió con satisfacción la </w:t>
      </w:r>
      <w:r w:rsidRPr="00893422">
        <w:rPr>
          <w:lang w:val="es-ES_tradnl"/>
        </w:rPr>
        <w:lastRenderedPageBreak/>
        <w:t>actualización y reiteró la importancia de la inclusión lingüística en toda la labor del UIT-D. Los participantes no formularon más comentarios y se tomó nota del informe sin objeciones.</w:t>
      </w:r>
    </w:p>
    <w:tbl>
      <w:tblPr>
        <w:tblStyle w:val="TableGrid"/>
        <w:tblW w:w="9630" w:type="dxa"/>
        <w:tblLayout w:type="fixed"/>
        <w:tblLook w:val="06A0" w:firstRow="1" w:lastRow="0" w:firstColumn="1" w:lastColumn="0" w:noHBand="1" w:noVBand="1"/>
      </w:tblPr>
      <w:tblGrid>
        <w:gridCol w:w="9630"/>
      </w:tblGrid>
      <w:tr w:rsidR="005905B6" w:rsidRPr="00893422" w14:paraId="4FEC2759" w14:textId="77777777" w:rsidTr="00D04740">
        <w:trPr>
          <w:trHeight w:val="300"/>
        </w:trPr>
        <w:tc>
          <w:tcPr>
            <w:tcW w:w="9630" w:type="dxa"/>
          </w:tcPr>
          <w:p w14:paraId="7AA96748" w14:textId="77777777" w:rsidR="005905B6" w:rsidRPr="00893422" w:rsidRDefault="005905B6" w:rsidP="00D04740">
            <w:pPr>
              <w:tabs>
                <w:tab w:val="clear" w:pos="794"/>
                <w:tab w:val="clear" w:pos="1191"/>
                <w:tab w:val="clear" w:pos="1588"/>
                <w:tab w:val="clear" w:pos="1985"/>
                <w:tab w:val="left" w:pos="567"/>
                <w:tab w:val="left" w:pos="1134"/>
                <w:tab w:val="left" w:pos="1701"/>
                <w:tab w:val="left" w:pos="2268"/>
              </w:tabs>
              <w:spacing w:after="120"/>
              <w:rPr>
                <w:rFonts w:cstheme="minorBidi"/>
                <w:lang w:val="es-ES_tradnl"/>
              </w:rPr>
            </w:pPr>
            <w:r w:rsidRPr="00893422">
              <w:rPr>
                <w:color w:val="000000"/>
                <w:lang w:val="es-ES_tradnl"/>
              </w:rPr>
              <w:t>El GADT tomó nota del documento.</w:t>
            </w:r>
          </w:p>
        </w:tc>
      </w:tr>
    </w:tbl>
    <w:p w14:paraId="31AE5447" w14:textId="77777777" w:rsidR="005905B6" w:rsidRPr="00893422" w:rsidRDefault="005905B6" w:rsidP="00BC3202">
      <w:pPr>
        <w:rPr>
          <w:rFonts w:ascii="Calibri" w:eastAsia="Calibri" w:hAnsi="Calibri" w:cs="Calibri"/>
          <w:szCs w:val="24"/>
          <w:lang w:val="es-ES_tradnl"/>
        </w:rPr>
      </w:pPr>
      <w:r w:rsidRPr="00893422">
        <w:rPr>
          <w:lang w:val="es-ES_tradnl"/>
        </w:rPr>
        <w:t>La sesión vespertina del último día del GADT estuvo marcada por la conclusión formal de los puntos del orden del día, la aprobación de las Declaraciones de Coordinación y un examen exhaustivo de todos los documentos de trabajo.</w:t>
      </w:r>
    </w:p>
    <w:p w14:paraId="07E4048F" w14:textId="77777777" w:rsidR="005905B6" w:rsidRPr="00893422" w:rsidRDefault="005905B6" w:rsidP="00BC3202">
      <w:pPr>
        <w:rPr>
          <w:rFonts w:ascii="Calibri" w:eastAsia="Calibri" w:hAnsi="Calibri" w:cs="Calibri"/>
          <w:szCs w:val="24"/>
          <w:lang w:val="es-ES_tradnl"/>
        </w:rPr>
      </w:pPr>
      <w:r w:rsidRPr="00893422">
        <w:rPr>
          <w:lang w:val="es-ES_tradnl"/>
        </w:rPr>
        <w:t>La Vicepresidencia de la Arabia Saudita presentó el siguiente Simposio Local para Organismos Reguladores, que se celebraría en el Reino de Arabia Saudita como parte de los preparativos de la CMDT-25. Se proyectó un vídeo promocional para destacar la importancia del evento en la gestión de los rápidos avances tecnológicos y el fomento del diálogo mundial. La Directora de la BDT felicitó a la Arabia Saudita por su continuo apoyo a las actividades y proyectos del UIT-D, destacando el papel del Reino en el avance de iniciativas como la Digital Regulators Network y los eventos de apoyo a la inclusión de género.</w:t>
      </w:r>
    </w:p>
    <w:p w14:paraId="518F907B" w14:textId="77777777" w:rsidR="005905B6" w:rsidRPr="00893422" w:rsidRDefault="005905B6" w:rsidP="00BC3202">
      <w:pPr>
        <w:rPr>
          <w:rFonts w:ascii="Calibri" w:eastAsia="Calibri" w:hAnsi="Calibri" w:cs="Calibri"/>
          <w:szCs w:val="24"/>
          <w:lang w:val="es-ES_tradnl"/>
        </w:rPr>
      </w:pPr>
      <w:r w:rsidRPr="00893422">
        <w:rPr>
          <w:lang w:val="es-ES_tradnl"/>
        </w:rPr>
        <w:t>Posteriormente, Samoa tomó la palabra para expresar su gratitud por la oportunidad de participar en el GADT y dio a conocer los acontecimientos de una celebración nacional en el marco de la iniciativa OIG. En la declaración se destacaba la creciente participación de los jóvenes en los ámbitos de CTIM y el cambio de marca de las iniciativas nacionales bajo el lema "Youth in ICT Days" (Días de la juventud en las TIC), en consonancia con los objetivos inclusivos de la UIT.</w:t>
      </w:r>
    </w:p>
    <w:p w14:paraId="0BA690CF" w14:textId="77777777" w:rsidR="005905B6" w:rsidRPr="00893422" w:rsidRDefault="005905B6" w:rsidP="00BC3202">
      <w:pPr>
        <w:rPr>
          <w:rFonts w:ascii="Calibri" w:eastAsia="Calibri" w:hAnsi="Calibri" w:cs="Calibri"/>
          <w:szCs w:val="24"/>
          <w:lang w:val="es-ES_tradnl"/>
        </w:rPr>
      </w:pPr>
      <w:r w:rsidRPr="00893422">
        <w:rPr>
          <w:lang w:val="es-ES_tradnl"/>
        </w:rPr>
        <w:t>La reunión procedió a la aprobación secuencial de diez proyectos de Declaraciones de Coordinación (DT2 a DT10) en los que se trataban temas como la utilización de la terminología, las directrices para la participación a distancia, la colaboración con las Comisiones de Estudio y la coordinación con otros órganos asesores de la UIT. En el marco de las aprobaciones se realizaron recomendaciones para mejorar la colaboración con el GANT y la integración de información pertinente en los preparativos de la CMDT-25.</w:t>
      </w:r>
    </w:p>
    <w:p w14:paraId="100E0BAD" w14:textId="33D9CC9C" w:rsidR="005905B6" w:rsidRPr="00893422" w:rsidRDefault="005905B6" w:rsidP="005905B6">
      <w:pPr>
        <w:spacing w:after="120"/>
        <w:rPr>
          <w:rFonts w:ascii="Calibri" w:eastAsia="Calibri" w:hAnsi="Calibri" w:cs="Calibri"/>
          <w:szCs w:val="24"/>
          <w:lang w:val="es-ES_tradnl"/>
        </w:rPr>
      </w:pPr>
      <w:r w:rsidRPr="00893422">
        <w:rPr>
          <w:lang w:val="es-ES_tradnl"/>
        </w:rPr>
        <w:t xml:space="preserve">Los miembros del GADT también examinaron y validaron el proyecto de informe de conclusiones y decisiones de la Presidenta contenido en el Documento </w:t>
      </w:r>
      <w:hyperlink r:id="rId177" w:history="1">
        <w:r w:rsidRPr="00893422">
          <w:rPr>
            <w:rStyle w:val="Hyperlink"/>
            <w:lang w:val="es-ES_tradnl"/>
          </w:rPr>
          <w:t>DT</w:t>
        </w:r>
        <w:r w:rsidRPr="00893422">
          <w:rPr>
            <w:rStyle w:val="Hyperlink"/>
            <w:lang w:val="es-ES_tradnl"/>
          </w:rPr>
          <w:t>/</w:t>
        </w:r>
        <w:r w:rsidRPr="00893422">
          <w:rPr>
            <w:rStyle w:val="Hyperlink"/>
            <w:lang w:val="es-ES_tradnl"/>
          </w:rPr>
          <w:t>11</w:t>
        </w:r>
      </w:hyperlink>
      <w:r w:rsidRPr="00893422">
        <w:rPr>
          <w:lang w:val="es-ES_tradnl"/>
        </w:rPr>
        <w:t>(Rev.1), que abarcaba todos los documentos presentados. La reunión tomó nota de que los resultados de los Grupos de Trabajo del GADT se adjuntarían al informe oficial de la Presidenta a la CMDT-25.</w:t>
      </w:r>
      <w:hyperlink r:id="rId178" w:history="1"/>
    </w:p>
    <w:p w14:paraId="05E2A15A" w14:textId="3ABFB9A6" w:rsidR="005905B6" w:rsidRPr="00893422" w:rsidRDefault="00BC3202" w:rsidP="00BC3202">
      <w:pPr>
        <w:pStyle w:val="Heading1"/>
        <w:rPr>
          <w:rFonts w:cstheme="minorHAnsi"/>
          <w:szCs w:val="24"/>
          <w:lang w:val="es-ES_tradnl"/>
        </w:rPr>
      </w:pPr>
      <w:r w:rsidRPr="00893422">
        <w:rPr>
          <w:lang w:val="es-ES_tradnl"/>
        </w:rPr>
        <w:t>15</w:t>
      </w:r>
      <w:r w:rsidRPr="00893422">
        <w:rPr>
          <w:lang w:val="es-ES_tradnl"/>
        </w:rPr>
        <w:tab/>
      </w:r>
      <w:r w:rsidR="005905B6" w:rsidRPr="00893422">
        <w:rPr>
          <w:lang w:val="es-ES_tradnl"/>
        </w:rPr>
        <w:t>Ceremonia de clausura</w:t>
      </w:r>
    </w:p>
    <w:p w14:paraId="6254A155" w14:textId="77777777" w:rsidR="005905B6" w:rsidRPr="00893422" w:rsidRDefault="005905B6" w:rsidP="00BC3202">
      <w:pPr>
        <w:rPr>
          <w:rFonts w:ascii="Calibri" w:eastAsia="Calibri" w:hAnsi="Calibri" w:cs="Calibri"/>
          <w:szCs w:val="24"/>
          <w:lang w:val="es-ES_tradnl"/>
        </w:rPr>
      </w:pPr>
      <w:r w:rsidRPr="00893422">
        <w:rPr>
          <w:lang w:val="es-ES_tradnl"/>
        </w:rPr>
        <w:t>La clausura de la reunión del GADT de 2025 supuso un momento de reflexión, reconocimiento y gratitud, que marcó el final de una intensa semana de deliberaciones y la conclusión del ciclo 2022</w:t>
      </w:r>
      <w:r w:rsidRPr="00893422">
        <w:rPr>
          <w:lang w:val="es-ES_tradnl"/>
        </w:rPr>
        <w:noBreakHyphen/>
        <w:t>2025 del GADT. También se expresaron sentidos homenajes, en particular a la Presidenta del GADT, la Sra. Roxanne McElvane Webber, cuyo mandato concluía con la reunión.</w:t>
      </w:r>
    </w:p>
    <w:p w14:paraId="63BE1716" w14:textId="1682EB71" w:rsidR="005905B6" w:rsidRPr="00893422" w:rsidRDefault="005905B6" w:rsidP="00BC3202">
      <w:pPr>
        <w:rPr>
          <w:rFonts w:ascii="Calibri" w:eastAsia="Calibri" w:hAnsi="Calibri" w:cs="Calibri"/>
          <w:lang w:val="es-ES_tradnl"/>
        </w:rPr>
      </w:pPr>
      <w:r w:rsidRPr="00893422">
        <w:rPr>
          <w:lang w:val="es-ES_tradnl"/>
        </w:rPr>
        <w:t xml:space="preserve">La Presidenta abrió la ceremonia final expresando su sincero agradecimiento a todos los Vicepresidentes y señalando que cada uno de ellos había contribuido de forma significativa, no </w:t>
      </w:r>
      <w:r w:rsidR="00960F42">
        <w:rPr>
          <w:lang w:val="es-ES_tradnl"/>
        </w:rPr>
        <w:t>solo</w:t>
      </w:r>
      <w:r w:rsidRPr="00893422">
        <w:rPr>
          <w:lang w:val="es-ES_tradnl"/>
        </w:rPr>
        <w:t xml:space="preserve"> a través de sus funciones asignadas sino también asumiendo responsabilidades de liderazgo en los Grupos de Trabajo del GADT, las Cuestiones de Estudio y las iniciativas de asesoramiento conexas. Agradeció los dedicados esfuerzos desplegados por la Secretaría de la BDT, especialmente por el Director y su equipo, compuesto entre otros por coordinadores de diversos Grupos de Trabajo del GADT, por su dedicación profesional y apoyo en la organización de una reunión tan compleja y llena de documentos.</w:t>
      </w:r>
    </w:p>
    <w:p w14:paraId="0E88A5B3" w14:textId="77777777" w:rsidR="005905B6" w:rsidRPr="00893422" w:rsidRDefault="005905B6" w:rsidP="00BC3202">
      <w:pPr>
        <w:rPr>
          <w:rFonts w:ascii="Calibri" w:eastAsia="Calibri" w:hAnsi="Calibri" w:cs="Calibri"/>
          <w:szCs w:val="24"/>
          <w:lang w:val="es-ES_tradnl"/>
        </w:rPr>
      </w:pPr>
      <w:r w:rsidRPr="00893422">
        <w:rPr>
          <w:lang w:val="es-ES_tradnl"/>
        </w:rPr>
        <w:lastRenderedPageBreak/>
        <w:t>En su intervención, la Presidenta hizo hincapié en la importancia de la inclusión, la colaboración y la mentoría en el Sector de Desarrollo. Reflexionó sobre los logros del sector, en particular los esfuerzos realizados para mejorar la coordinación, profundizar el compromiso con las Oficinas Regionales y promover la participación de los jóvenes. La Presidenta elogió los esfuerzos de comunicación de la Secretaría, incluidos los medios visuales y la documentación, que habían ayudado en la presentación de productos complejos, como el Documento 2, de manera más accesible.</w:t>
      </w:r>
    </w:p>
    <w:p w14:paraId="2B497D6D" w14:textId="77777777" w:rsidR="005905B6" w:rsidRPr="00893422" w:rsidRDefault="005905B6" w:rsidP="00BC3202">
      <w:pPr>
        <w:rPr>
          <w:rFonts w:ascii="Calibri" w:eastAsia="Calibri" w:hAnsi="Calibri" w:cs="Calibri"/>
          <w:szCs w:val="24"/>
          <w:lang w:val="es-ES_tradnl"/>
        </w:rPr>
      </w:pPr>
      <w:r w:rsidRPr="00893422">
        <w:rPr>
          <w:lang w:val="es-ES_tradnl"/>
        </w:rPr>
        <w:t xml:space="preserve">Se rindió un homenaje especial a los Directores Regionales, cuya participación presencial había añadido valor a los debates de la reunión, así como a los delegados de todos los Estados Miembros, quienes ofrecieron perspectivas diversas y riqueza lingüística al diálogo. </w:t>
      </w:r>
    </w:p>
    <w:p w14:paraId="3D5D7752" w14:textId="77777777" w:rsidR="005905B6" w:rsidRPr="00893422" w:rsidRDefault="005905B6" w:rsidP="00BC3202">
      <w:pPr>
        <w:rPr>
          <w:rFonts w:eastAsia="Calibri"/>
          <w:lang w:val="es-ES_tradnl"/>
        </w:rPr>
      </w:pPr>
      <w:r w:rsidRPr="00893422">
        <w:rPr>
          <w:lang w:val="es-ES_tradnl"/>
        </w:rPr>
        <w:t xml:space="preserve">La ceremonia de clausura de la reunión estuvo marcada por un gran número de intervenciones de delegados y partes interesadas, lo que refleja el reconocimiento generalizado por el liderazgo y las contribuciones de la Presidenta durante su mandato. Los delegados elogiaron su mentoría, inclusividad y su exitosa orientación en las iniciativas del UIT-D, destacando su papel en la aplicación de los Planes de Acción de Buenos Aires y Kigali y en el mantenimiento de la participación en tiempos difíciles. En las intervenciones se subrayó la repercusión de la Presidenta en las actividades mundiales del UIT-D, su capacidad para inspirar a los participantes de todas las Regiones y su énfasis en la sostenibilidad y las realizaciones prácticas. Las expresiones colectivas de gratitud demostraron el profundo respeto y admiración por el dedicado servicio de la Presidencia a la comunidad del GADT. Varios Vicepresidentes y Presidentes de Grupos de Trabajo también tomaron la palabra para felicitar a la Presidenta por el espíritu de colaboración fomentado a lo largo del ciclo y agradecer su confianza, orientación y dedicación inquebrantable. </w:t>
      </w:r>
    </w:p>
    <w:p w14:paraId="45B74B85" w14:textId="77777777" w:rsidR="005905B6" w:rsidRPr="00893422" w:rsidRDefault="005905B6" w:rsidP="00BC3202">
      <w:pPr>
        <w:rPr>
          <w:rFonts w:ascii="Calibri" w:eastAsia="Calibri" w:hAnsi="Calibri" w:cs="Calibri"/>
          <w:szCs w:val="24"/>
          <w:lang w:val="es-ES_tradnl"/>
        </w:rPr>
      </w:pPr>
      <w:r w:rsidRPr="00893422">
        <w:rPr>
          <w:lang w:val="es-ES_tradnl"/>
        </w:rPr>
        <w:t>El Director de la BDT, Dr. Cosmas Luckyson Zavazava, también expresó su agradecimiento especial a la Presidenta. Recordó su primer contacto con la Sra. McElvane Webber en 2001 y dio a conocer anécdotas que demostraban los resultados obtenidos a largo plazo gracias a ella en los proyectos de desarrollo, incluidos los que ayudaban a los países africanos que salían de un conflicto. Elogió su competencia, compasión y determinación excepcionales. En reconocimiento de sus servicios, el Director le entregó una muestra de agradecimiento, acompañada de una presentación de diapositivas.</w:t>
      </w:r>
    </w:p>
    <w:p w14:paraId="23D91924" w14:textId="77777777" w:rsidR="005905B6" w:rsidRPr="00893422" w:rsidRDefault="005905B6" w:rsidP="00BC3202">
      <w:pPr>
        <w:rPr>
          <w:rFonts w:ascii="Calibri" w:eastAsia="Calibri" w:hAnsi="Calibri" w:cs="Calibri"/>
          <w:szCs w:val="24"/>
          <w:lang w:val="es-ES_tradnl"/>
        </w:rPr>
      </w:pPr>
      <w:r w:rsidRPr="00893422">
        <w:rPr>
          <w:lang w:val="es-ES_tradnl"/>
        </w:rPr>
        <w:t>En su discurso de clausura, el Dr. Zavazava expresó su agradecimiento a toda la comunidad del GADT, reconociendo el elevado volumen de contribuciones —29 de Estados Miembros, 19 documentos de la Secretaría y 12 Declaraciones de Coordinación— como prueba de un ciclo altamente comprometido y productivo. Elogió el profesionalismo y los esfuerzos incansables de la Secretaría de la BDT, tanto en Ginebra como sobre el terreno, y afirmó el compromiso permanente del UIT-D con la transparencia, el apoyo y el servicio a los miembros.</w:t>
      </w:r>
    </w:p>
    <w:p w14:paraId="5AA63C2A" w14:textId="77777777" w:rsidR="005905B6" w:rsidRPr="00893422" w:rsidRDefault="005905B6" w:rsidP="00BC3202">
      <w:pPr>
        <w:rPr>
          <w:rFonts w:ascii="Calibri" w:eastAsia="Calibri" w:hAnsi="Calibri" w:cs="Calibri"/>
          <w:szCs w:val="24"/>
          <w:lang w:val="es-ES_tradnl"/>
        </w:rPr>
      </w:pPr>
      <w:r w:rsidRPr="00893422">
        <w:rPr>
          <w:lang w:val="es-ES_tradnl"/>
        </w:rPr>
        <w:t>La reunión se clausuró con un sentimiento compartido de agradecimiento por los esfuerzos colectivos que habían definido este ciclo del GADT y sentado las bases para el éxito de la CMDT-25 en Bakú.</w:t>
      </w:r>
    </w:p>
    <w:p w14:paraId="365EF90A" w14:textId="77777777" w:rsidR="005905B6" w:rsidRPr="00893422" w:rsidRDefault="005905B6" w:rsidP="005905B6">
      <w:pPr>
        <w:overflowPunct/>
        <w:autoSpaceDE/>
        <w:autoSpaceDN/>
        <w:adjustRightInd/>
        <w:spacing w:after="120"/>
        <w:textAlignment w:val="auto"/>
        <w:rPr>
          <w:lang w:val="es-ES_tradnl"/>
        </w:rPr>
      </w:pPr>
      <w:r w:rsidRPr="00893422">
        <w:rPr>
          <w:lang w:val="es-ES_tradnl"/>
        </w:rPr>
        <w:br w:type="page"/>
      </w:r>
    </w:p>
    <w:p w14:paraId="7484D00B" w14:textId="77777777" w:rsidR="005905B6" w:rsidRPr="00893422" w:rsidRDefault="005905B6" w:rsidP="003510E3">
      <w:pPr>
        <w:pStyle w:val="AnnexNo"/>
        <w:rPr>
          <w:rFonts w:eastAsia="Calibri"/>
          <w:b/>
          <w:bCs/>
          <w:lang w:val="es-ES_tradnl"/>
        </w:rPr>
      </w:pPr>
      <w:r w:rsidRPr="00893422">
        <w:rPr>
          <w:b/>
          <w:bCs/>
          <w:lang w:val="es-ES_tradnl"/>
        </w:rPr>
        <w:lastRenderedPageBreak/>
        <w:t>ANEXO A</w:t>
      </w:r>
    </w:p>
    <w:p w14:paraId="262E26EA" w14:textId="4CAF474D" w:rsidR="005905B6" w:rsidRPr="00893422" w:rsidRDefault="005905B6" w:rsidP="003510E3">
      <w:pPr>
        <w:pStyle w:val="Annextitle"/>
        <w:rPr>
          <w:rFonts w:eastAsia="Calibri"/>
          <w:lang w:val="es-ES_tradnl"/>
        </w:rPr>
      </w:pPr>
      <w:r w:rsidRPr="00893422">
        <w:rPr>
          <w:lang w:val="es-ES_tradnl"/>
        </w:rPr>
        <w:t>ENTREVISTA CON LOS DIRECTORES REGIONALES</w:t>
      </w:r>
    </w:p>
    <w:p w14:paraId="5397AEA8" w14:textId="77777777" w:rsidR="005905B6" w:rsidRPr="00893422" w:rsidRDefault="005905B6" w:rsidP="003510E3">
      <w:pPr>
        <w:rPr>
          <w:rFonts w:cstheme="minorHAnsi"/>
          <w:lang w:val="es-ES_tradnl"/>
        </w:rPr>
      </w:pPr>
      <w:r w:rsidRPr="00893422">
        <w:rPr>
          <w:lang w:val="es-ES_tradnl"/>
        </w:rPr>
        <w:t>En la primera sesión vespertina del GADT se celebraron entrevistas con los Directores Regionales, moderadas por la Presidenta del GADT. Cada entrevista comenzó con un breve vídeo en el que se destacaba la implementación en la región respectiva, seguido de una conversación en el escenario con cada uno de los seis Directores Regionales en la que se ofrecía a los delegados una visión general de las actividades del UIT-D y su relación con el Plan de Acción de Kigali. También se pedía a cada uno de ellos que describieran su colaboración con la BDT en la Sede en el cumplimiento de sus responsabilidades en la región, y que clasificara su importancia del 1 al 10 (siendo 10 extremadamente importante).</w:t>
      </w:r>
    </w:p>
    <w:p w14:paraId="7D144017" w14:textId="77777777" w:rsidR="005905B6" w:rsidRPr="00893422" w:rsidRDefault="005905B6" w:rsidP="003510E3">
      <w:pPr>
        <w:rPr>
          <w:rFonts w:cstheme="minorBidi"/>
          <w:b/>
          <w:bCs/>
          <w:lang w:val="es-ES_tradnl"/>
        </w:rPr>
      </w:pPr>
      <w:r w:rsidRPr="00893422">
        <w:rPr>
          <w:lang w:val="es-ES_tradnl"/>
        </w:rPr>
        <w:t xml:space="preserve">El </w:t>
      </w:r>
      <w:r w:rsidRPr="00893422">
        <w:rPr>
          <w:b/>
          <w:bCs/>
          <w:lang w:val="es-ES_tradnl"/>
        </w:rPr>
        <w:t>Dr. Emmanuel Manasseh (África)</w:t>
      </w:r>
      <w:r w:rsidRPr="00893422">
        <w:rPr>
          <w:lang w:val="es-ES_tradnl"/>
        </w:rPr>
        <w:t xml:space="preserve"> informó de que ya se habían asignado 108 proyectos activos a las cuatro Iniciativas Regionales de África, a saber, 15 sobre transformación digital, 80 sobre infraestructura, 7 sobre seguridad y protección y 6 sobre innovación. Destacó el proyecto de política PRIDA, cuyos 55 cursos de formación especializada, 15 directrices y 3 000 alumnos, incluidas 300 mujeres jóvenes en gestión del espectro, culminaron en un acuerdo armonizado firmado por 46 Estados Miembros. El Dr. Manasseh declaró que la importancia de la coordinación con la Sede y los demás Sectores debía ser "superior a diez sobre diez" para llevar a cabo con éxito proyectos y esfuerzos conjuntos, como reuniones sobre finanzas digitales, talleres de alerta temprana y un ejercicio de atribución de frecuencias en todo el continente. </w:t>
      </w:r>
      <w:r w:rsidRPr="00893422">
        <w:rPr>
          <w:b/>
          <w:bCs/>
          <w:lang w:val="es-ES_tradnl"/>
        </w:rPr>
        <w:t xml:space="preserve">El vídeo de la implementación en la Región de África puede encontrarse </w:t>
      </w:r>
      <w:hyperlink r:id="rId179" w:history="1">
        <w:r w:rsidRPr="00893422">
          <w:rPr>
            <w:rStyle w:val="Hyperlink"/>
            <w:b/>
            <w:bCs/>
            <w:lang w:val="es-ES_tradnl"/>
          </w:rPr>
          <w:t>aquí</w:t>
        </w:r>
      </w:hyperlink>
      <w:r w:rsidRPr="00893422">
        <w:rPr>
          <w:b/>
          <w:bCs/>
          <w:lang w:val="es-ES_tradnl"/>
        </w:rPr>
        <w:t>.</w:t>
      </w:r>
      <w:hyperlink r:id="rId180" w:history="1"/>
    </w:p>
    <w:p w14:paraId="0CEBA320" w14:textId="77777777" w:rsidR="005905B6" w:rsidRPr="00893422" w:rsidRDefault="005905B6" w:rsidP="003510E3">
      <w:pPr>
        <w:rPr>
          <w:rFonts w:cstheme="minorBidi"/>
          <w:b/>
          <w:bCs/>
          <w:lang w:val="es-ES_tradnl"/>
        </w:rPr>
      </w:pPr>
      <w:r w:rsidRPr="00893422">
        <w:rPr>
          <w:lang w:val="es-ES_tradnl"/>
        </w:rPr>
        <w:t xml:space="preserve">El </w:t>
      </w:r>
      <w:r w:rsidRPr="00893422">
        <w:rPr>
          <w:b/>
          <w:bCs/>
          <w:lang w:val="es-ES_tradnl"/>
        </w:rPr>
        <w:t>Sr. Bruno Ramos (Américas)</w:t>
      </w:r>
      <w:r w:rsidRPr="00893422">
        <w:rPr>
          <w:lang w:val="es-ES_tradnl"/>
        </w:rPr>
        <w:t xml:space="preserve"> destacó los proyectos que combinaban la inclusión con la resiliencia: un curso intensivo para redes indígenas en Guatemala, la iniciativa de seguridad Smart Seas para pescadores del Caribe, la respuesta regional a huracanes gracias al Disaster Connectivity Map y Accessible Americas, que ya iba por su décimo año. Ante la disminución de los recursos básicos, el Sr. Ramos explicó que la región se apoyaba en nuevos proyectos financiados externamente en materia de reglamentación, inclusión digital y empoderamiento de la juventud; El Sr. Ramos describió al personal de la BDT en la región y en la Sede como "un equipo" en el que el contacto diario con Ginebra era esencial, y otorgó a la asociación un "11 sobre 10". </w:t>
      </w:r>
      <w:r w:rsidRPr="00893422">
        <w:rPr>
          <w:b/>
          <w:bCs/>
          <w:lang w:val="es-ES_tradnl"/>
        </w:rPr>
        <w:t xml:space="preserve">El </w:t>
      </w:r>
      <w:hyperlink r:id="rId181" w:history="1">
        <w:r w:rsidRPr="00893422">
          <w:rPr>
            <w:rStyle w:val="Hyperlink"/>
            <w:b/>
            <w:bCs/>
            <w:lang w:val="es-ES_tradnl"/>
          </w:rPr>
          <w:t>vídeo</w:t>
        </w:r>
      </w:hyperlink>
      <w:r w:rsidRPr="00893422">
        <w:rPr>
          <w:b/>
          <w:bCs/>
          <w:lang w:val="es-ES_tradnl"/>
        </w:rPr>
        <w:t xml:space="preserve"> para la Región de las Américas ofrece un resumen de la implementación en esa región.</w:t>
      </w:r>
      <w:hyperlink r:id="rId182" w:history="1"/>
    </w:p>
    <w:p w14:paraId="46DDC456" w14:textId="77777777" w:rsidR="005905B6" w:rsidRPr="00893422" w:rsidRDefault="005905B6" w:rsidP="003510E3">
      <w:pPr>
        <w:rPr>
          <w:rFonts w:cstheme="minorBidi"/>
          <w:lang w:val="es-ES_tradnl"/>
        </w:rPr>
      </w:pPr>
      <w:r w:rsidRPr="00893422">
        <w:rPr>
          <w:lang w:val="es-ES_tradnl"/>
        </w:rPr>
        <w:t xml:space="preserve">El </w:t>
      </w:r>
      <w:r w:rsidRPr="00893422">
        <w:rPr>
          <w:b/>
          <w:bCs/>
          <w:lang w:val="es-ES_tradnl"/>
        </w:rPr>
        <w:t>Sr. Adel Darwish (Estados Árabes)</w:t>
      </w:r>
      <w:r w:rsidRPr="00893422">
        <w:rPr>
          <w:lang w:val="es-ES_tradnl"/>
        </w:rPr>
        <w:t xml:space="preserve"> reconoció las limitaciones financieras y geopolíticas, pero hizo referencia al impulso de las normas sobre ciudades inteligentes en Egipto, los proyectos piloto de infraestructura pública digital apoyados por Estonia y la GIZ, y la semana de ciberseguridad en los Emiratos Árabes Unidos, donde se establecieron cinco récords mundiales Guinness. Agradeció a la Arabia Saudita su financiación emblemática y describió como indispensable el apoyo de la Sede, dándole un "11,5 sobre 10". </w:t>
      </w:r>
      <w:r w:rsidRPr="00893422">
        <w:rPr>
          <w:b/>
          <w:bCs/>
          <w:lang w:val="es-ES_tradnl"/>
        </w:rPr>
        <w:t xml:space="preserve">El </w:t>
      </w:r>
      <w:hyperlink r:id="rId183" w:history="1">
        <w:r w:rsidRPr="00893422">
          <w:rPr>
            <w:rStyle w:val="Hyperlink"/>
            <w:b/>
            <w:bCs/>
            <w:lang w:val="es-ES_tradnl"/>
          </w:rPr>
          <w:t>vídeo</w:t>
        </w:r>
      </w:hyperlink>
      <w:r w:rsidRPr="00893422">
        <w:rPr>
          <w:b/>
          <w:bCs/>
          <w:lang w:val="es-ES_tradnl"/>
        </w:rPr>
        <w:t xml:space="preserve"> de la Región de los Estados Árabes ofrecía más información sobre proyectos e iniciativas de gran repercusión.</w:t>
      </w:r>
      <w:hyperlink r:id="rId184" w:history="1"/>
    </w:p>
    <w:p w14:paraId="44C1FC8C" w14:textId="77777777" w:rsidR="005905B6" w:rsidRPr="00893422" w:rsidRDefault="005905B6" w:rsidP="003510E3">
      <w:pPr>
        <w:rPr>
          <w:rFonts w:cstheme="minorBidi"/>
          <w:b/>
          <w:bCs/>
          <w:lang w:val="es-ES_tradnl"/>
        </w:rPr>
      </w:pPr>
      <w:r w:rsidRPr="00893422">
        <w:rPr>
          <w:lang w:val="es-ES_tradnl"/>
        </w:rPr>
        <w:t xml:space="preserve">La </w:t>
      </w:r>
      <w:r w:rsidRPr="00893422">
        <w:rPr>
          <w:b/>
          <w:bCs/>
          <w:lang w:val="es-ES_tradnl"/>
        </w:rPr>
        <w:t xml:space="preserve">Dra. Atsuko Okuda (Asia-Pacífico) </w:t>
      </w:r>
      <w:r w:rsidRPr="00893422">
        <w:rPr>
          <w:lang w:val="es-ES_tradnl"/>
        </w:rPr>
        <w:t xml:space="preserve">centró su intervención en la iniciativa "Islas y Aldeas Inteligentes", que ya se había puesto en marcha en diez países del Pacífico y en la que participaban Jefes de Gobierno. La Dra. Okuda explicó que el modelo creaba una plataforma única a través de la cual podía llevarse a cabo reglamentación de residuos electrónicos, protección de la infancia en línea, formación profesional y la telesalud; las necesidades detectadas a nivel local se derivaban a Ginebra (por ejemplo, un nuevo proyecto de residuos electrónicos que estaban diseñando los expertos de la Sede). La Dra. Okuda hizo hincapié en que esa reciprocidad era un ejemplo del llamamiento de la región a conectar a los que no estaban conectados y que gracias a </w:t>
      </w:r>
      <w:r w:rsidRPr="00893422">
        <w:rPr>
          <w:lang w:val="es-ES_tradnl"/>
        </w:rPr>
        <w:lastRenderedPageBreak/>
        <w:t xml:space="preserve">ella se mantenía la colaboración con la Sede hasta niveles espectaculares. </w:t>
      </w:r>
      <w:r w:rsidRPr="00893422">
        <w:rPr>
          <w:b/>
          <w:bCs/>
          <w:lang w:val="es-ES_tradnl"/>
        </w:rPr>
        <w:t xml:space="preserve">El vídeo de la Región ASP puede verse </w:t>
      </w:r>
      <w:hyperlink r:id="rId185" w:history="1">
        <w:r w:rsidRPr="00893422">
          <w:rPr>
            <w:rStyle w:val="Hyperlink"/>
            <w:b/>
            <w:bCs/>
            <w:lang w:val="es-ES_tradnl"/>
          </w:rPr>
          <w:t>aquí</w:t>
        </w:r>
      </w:hyperlink>
      <w:r w:rsidRPr="00893422">
        <w:rPr>
          <w:b/>
          <w:bCs/>
          <w:lang w:val="es-ES_tradnl"/>
        </w:rPr>
        <w:t>.</w:t>
      </w:r>
      <w:r w:rsidRPr="00893422">
        <w:rPr>
          <w:lang w:val="es-ES_tradnl"/>
        </w:rPr>
        <w:t xml:space="preserve"> </w:t>
      </w:r>
      <w:hyperlink r:id="rId186" w:history="1"/>
    </w:p>
    <w:p w14:paraId="61025083" w14:textId="77777777" w:rsidR="005905B6" w:rsidRPr="00893422" w:rsidRDefault="005905B6" w:rsidP="003510E3">
      <w:pPr>
        <w:rPr>
          <w:rFonts w:cstheme="minorBidi"/>
          <w:lang w:val="es-ES_tradnl"/>
        </w:rPr>
      </w:pPr>
      <w:r w:rsidRPr="00893422">
        <w:rPr>
          <w:lang w:val="es-ES_tradnl"/>
        </w:rPr>
        <w:t xml:space="preserve">La </w:t>
      </w:r>
      <w:r w:rsidRPr="00893422">
        <w:rPr>
          <w:b/>
          <w:bCs/>
          <w:lang w:val="es-ES_tradnl"/>
        </w:rPr>
        <w:t>Sra. Natalia Mochu (CIS)</w:t>
      </w:r>
      <w:r w:rsidRPr="00893422">
        <w:rPr>
          <w:lang w:val="es-ES_tradnl"/>
        </w:rPr>
        <w:t xml:space="preserve"> celebró el salto de Uzbekistán en el índice de madurez de la reglamentación de la UIT y presentó el futuro nuevo programa de servicios digitales para el Cáucaso meridional y el Asia central. Señaló que siete de los nueve países de la CEI eran PMA sin litoral y, por lo tanto, se beneficiaban de los cibersimulacros interregionales organizados conjuntamente con las oficinas árabes y de Asia-Pacífico. El respaldo de la Sede, comentó, no tenía precio. </w:t>
      </w:r>
      <w:r w:rsidRPr="00893422">
        <w:rPr>
          <w:b/>
          <w:bCs/>
          <w:lang w:val="es-ES_tradnl"/>
        </w:rPr>
        <w:t xml:space="preserve">El vídeo de la Región de CIS puede verse </w:t>
      </w:r>
      <w:hyperlink r:id="rId187" w:history="1">
        <w:r w:rsidRPr="00893422">
          <w:rPr>
            <w:rStyle w:val="Hyperlink"/>
            <w:b/>
            <w:bCs/>
            <w:lang w:val="es-ES_tradnl"/>
          </w:rPr>
          <w:t>aquí</w:t>
        </w:r>
      </w:hyperlink>
      <w:r w:rsidRPr="00893422">
        <w:rPr>
          <w:b/>
          <w:bCs/>
          <w:lang w:val="es-ES_tradnl"/>
        </w:rPr>
        <w:t>.</w:t>
      </w:r>
      <w:r w:rsidRPr="00893422">
        <w:rPr>
          <w:lang w:val="es-ES_tradnl"/>
        </w:rPr>
        <w:t xml:space="preserve"> </w:t>
      </w:r>
      <w:hyperlink r:id="rId188" w:history="1"/>
    </w:p>
    <w:p w14:paraId="30D7A0A3" w14:textId="77777777" w:rsidR="005905B6" w:rsidRPr="00893422" w:rsidRDefault="005905B6" w:rsidP="003510E3">
      <w:pPr>
        <w:rPr>
          <w:rFonts w:cstheme="minorBidi"/>
          <w:b/>
          <w:bCs/>
          <w:lang w:val="es-ES_tradnl"/>
        </w:rPr>
      </w:pPr>
      <w:r w:rsidRPr="00893422">
        <w:rPr>
          <w:lang w:val="es-ES_tradnl"/>
        </w:rPr>
        <w:t xml:space="preserve">El </w:t>
      </w:r>
      <w:r w:rsidRPr="00893422">
        <w:rPr>
          <w:b/>
          <w:bCs/>
          <w:lang w:val="es-ES_tradnl"/>
        </w:rPr>
        <w:t>Sr. Jaroslaw Ponder (Europa)</w:t>
      </w:r>
      <w:r w:rsidRPr="00893422">
        <w:rPr>
          <w:lang w:val="es-ES_tradnl"/>
        </w:rPr>
        <w:t xml:space="preserve"> describió una oficina de "doble función" que ayudaba a 46 países distintos a acelerar la transformación digital y exportaba buenas prácticas europeas a todo el mundo. El Sr. Ponder explicó que los trabajos recientes abarcaban desde sistemas de cartografía de banda ancha y herramientas de protección de la infancia hasta proyectos financiados por los ODS en Montenegro; la constante resolución de problemas con derivación a Ginebra simbolizaba una cooperación que él consideraba "imprescindible". </w:t>
      </w:r>
      <w:r w:rsidRPr="00893422">
        <w:rPr>
          <w:b/>
          <w:bCs/>
          <w:lang w:val="es-ES_tradnl"/>
        </w:rPr>
        <w:t xml:space="preserve">El vídeo en el que se describen las actividades más importantes en Europa puede consultarse </w:t>
      </w:r>
      <w:hyperlink r:id="rId189" w:history="1">
        <w:r w:rsidRPr="00893422">
          <w:rPr>
            <w:rStyle w:val="Hyperlink"/>
            <w:b/>
            <w:bCs/>
            <w:lang w:val="es-ES_tradnl"/>
          </w:rPr>
          <w:t>aquí</w:t>
        </w:r>
      </w:hyperlink>
      <w:r w:rsidRPr="00893422">
        <w:rPr>
          <w:b/>
          <w:bCs/>
          <w:lang w:val="es-ES_tradnl"/>
        </w:rPr>
        <w:t>.</w:t>
      </w:r>
      <w:r w:rsidRPr="00893422">
        <w:rPr>
          <w:lang w:val="es-ES_tradnl"/>
        </w:rPr>
        <w:t xml:space="preserve"> </w:t>
      </w:r>
      <w:hyperlink r:id="rId190" w:history="1"/>
    </w:p>
    <w:p w14:paraId="5B3A4808" w14:textId="77777777" w:rsidR="005905B6" w:rsidRPr="00893422" w:rsidRDefault="005905B6" w:rsidP="003510E3">
      <w:pPr>
        <w:rPr>
          <w:rFonts w:cstheme="minorBidi"/>
          <w:lang w:val="es-ES_tradnl"/>
        </w:rPr>
      </w:pPr>
      <w:r w:rsidRPr="00893422">
        <w:rPr>
          <w:lang w:val="es-ES_tradnl"/>
        </w:rPr>
        <w:t>A lo largo del intercambio, todos los Directores Regionales describieron las relaciones entre la Sede y el terreno como fluidas y esenciales; la mayoría otorgó, deliberadamente, una calificación superior a diez sobre diez. La Presidenta concluyó diciendo que el GADT había escuchado una historia coherente de impacto regional, respaldada por una gestión estructurada de proyectos y un trabajo de colaboración en equipo cada vez más estrecha, e invitó a los delegados a servirse de la experiencia de los Directores Regionales en los preparativos para la CMDT-25.</w:t>
      </w:r>
    </w:p>
    <w:p w14:paraId="65EA4B4C" w14:textId="77777777" w:rsidR="005905B6" w:rsidRPr="00893422" w:rsidRDefault="005905B6" w:rsidP="005905B6">
      <w:pPr>
        <w:tabs>
          <w:tab w:val="clear" w:pos="794"/>
          <w:tab w:val="clear" w:pos="1191"/>
          <w:tab w:val="clear" w:pos="1588"/>
          <w:tab w:val="clear" w:pos="1985"/>
        </w:tabs>
        <w:overflowPunct/>
        <w:autoSpaceDE/>
        <w:autoSpaceDN/>
        <w:adjustRightInd/>
        <w:spacing w:after="120"/>
        <w:jc w:val="center"/>
        <w:textAlignment w:val="auto"/>
        <w:rPr>
          <w:lang w:val="es-ES_tradnl"/>
        </w:rPr>
      </w:pPr>
    </w:p>
    <w:p w14:paraId="68578E21" w14:textId="77777777" w:rsidR="005905B6" w:rsidRPr="00893422" w:rsidRDefault="005905B6" w:rsidP="005905B6">
      <w:pPr>
        <w:tabs>
          <w:tab w:val="clear" w:pos="794"/>
          <w:tab w:val="clear" w:pos="1191"/>
          <w:tab w:val="clear" w:pos="1588"/>
          <w:tab w:val="clear" w:pos="1985"/>
        </w:tabs>
        <w:overflowPunct/>
        <w:autoSpaceDE/>
        <w:autoSpaceDN/>
        <w:adjustRightInd/>
        <w:spacing w:before="0"/>
        <w:textAlignment w:val="auto"/>
        <w:rPr>
          <w:lang w:val="es-ES_tradnl"/>
        </w:rPr>
      </w:pPr>
      <w:r w:rsidRPr="00893422">
        <w:rPr>
          <w:lang w:val="es-ES_tradnl"/>
        </w:rPr>
        <w:br w:type="page"/>
      </w:r>
    </w:p>
    <w:p w14:paraId="01F47AEF" w14:textId="77777777" w:rsidR="005905B6" w:rsidRPr="00893422" w:rsidRDefault="005905B6" w:rsidP="003510E3">
      <w:pPr>
        <w:pStyle w:val="Annextitle"/>
        <w:rPr>
          <w:rFonts w:ascii="Calibri" w:eastAsia="Calibri" w:hAnsi="Calibri" w:cs="Calibri"/>
          <w:color w:val="000000" w:themeColor="text1"/>
          <w:sz w:val="24"/>
          <w:szCs w:val="24"/>
          <w:lang w:val="es-ES_tradnl"/>
        </w:rPr>
      </w:pPr>
      <w:r w:rsidRPr="00893422">
        <w:rPr>
          <w:lang w:val="es-ES_tradnl"/>
        </w:rPr>
        <w:lastRenderedPageBreak/>
        <w:t>Anexo B</w:t>
      </w:r>
    </w:p>
    <w:p w14:paraId="1B1CC85E" w14:textId="77777777" w:rsidR="005905B6" w:rsidRPr="00893422" w:rsidRDefault="005905B6" w:rsidP="003510E3">
      <w:pPr>
        <w:pStyle w:val="Annextitle"/>
        <w:rPr>
          <w:rFonts w:ascii="Calibri" w:eastAsia="Calibri" w:hAnsi="Calibri" w:cs="Calibri"/>
          <w:color w:val="000000" w:themeColor="text1"/>
          <w:sz w:val="24"/>
          <w:szCs w:val="24"/>
          <w:lang w:val="es-ES_tradnl"/>
        </w:rPr>
      </w:pPr>
      <w:r w:rsidRPr="00893422">
        <w:rPr>
          <w:lang w:val="es-ES_tradnl"/>
        </w:rPr>
        <w:t>MESA REDONDA CON LAS ORGANIZACIONES REGIONALES DE TELECOMUNICACIONES</w:t>
      </w:r>
    </w:p>
    <w:p w14:paraId="3A3F71B4" w14:textId="781ED558" w:rsidR="005905B6" w:rsidRPr="00893422" w:rsidRDefault="005905B6" w:rsidP="003510E3">
      <w:pPr>
        <w:rPr>
          <w:rFonts w:ascii="Calibri" w:hAnsi="Calibri" w:cs="Calibri"/>
          <w:lang w:val="es-ES_tradnl"/>
        </w:rPr>
      </w:pPr>
      <w:r w:rsidRPr="00893422">
        <w:rPr>
          <w:lang w:val="es-ES_tradnl"/>
        </w:rPr>
        <w:t xml:space="preserve">En el marco del tercer día de reunión del Grupo Asesor de Desarrollo de las Telecomunicaciones (GADT), se convocó una mesa redonda especial con representantes de las Organizaciones Regionales de Telecomunicaciones (ORT). El objetivo de esa sesión fue intercambiar puntos de vista sobre los procesos preparatorios regionales para la Conferencia Mundial de Desarrollo de las Telecomunicaciones de 2025 (CMDT-25), establecer cuáles eran las dificultadas comunes y fomentar la coordinación interregional en el </w:t>
      </w:r>
      <w:r w:rsidR="00960F42">
        <w:rPr>
          <w:lang w:val="es-ES_tradnl"/>
        </w:rPr>
        <w:t>periodo</w:t>
      </w:r>
      <w:r w:rsidRPr="00893422">
        <w:rPr>
          <w:lang w:val="es-ES_tradnl"/>
        </w:rPr>
        <w:t xml:space="preserve"> previo a la Conferencia. La sesión fue presidida por el Director de la Oficina de Desarrollo de las Telecomunicaciones (BDT), quien subrayó el papel fundamental de las ORT en la consolidación de las opiniones regionales y su armonización con la agenda mundial de desarrollo.</w:t>
      </w:r>
    </w:p>
    <w:p w14:paraId="2EF9CFAC" w14:textId="77777777" w:rsidR="005905B6" w:rsidRPr="00893422" w:rsidRDefault="005905B6" w:rsidP="003510E3">
      <w:pPr>
        <w:rPr>
          <w:rFonts w:ascii="Calibri" w:hAnsi="Calibri" w:cs="Calibri"/>
          <w:lang w:val="es-ES_tradnl"/>
        </w:rPr>
      </w:pPr>
      <w:r w:rsidRPr="00893422">
        <w:rPr>
          <w:lang w:val="es-ES_tradnl"/>
        </w:rPr>
        <w:t>La sesión comenzó con una presentación a distancia del Sr. Kila Gulo-Vui, Presidente del Grupo Preparatorio de la Telecomunidad de Asia y el Pacífico (APT). Presentó una visión general de la estructura preparatoria de la APT, que comprendía tres Grupos de Trabajo centrados respectivamente en programas y Cuestiones de Estudio, métodos de trabajo y el proyecto del Plan de Acción, así como Iniciativas Regionales y el proyecto de Plan Estratégico. El Sr. Gulo-Vui describió en términos generales el calendario de cinco reuniones preparatorias programadas entre 2024 y 2025 así como los mecanismos internos de aprobación de las Propuestas Comunes de la APT (ACP) y las Propuestas Comunes Preliminares de la APT (PACP). Destacó el consenso regional en torno a mantener el enfoque en la conectividad universal significativa y la transformación digital para el próximo ciclo de estudios, así como la integración de la inteligencia artificial como tema transversal en la formulación de las Cuestiones de Estudio. Concluyó subrayando el compromiso de la región de presentar los PACP finalizados en octubre de 2025.</w:t>
      </w:r>
    </w:p>
    <w:p w14:paraId="40A0C5B0" w14:textId="77777777" w:rsidR="005905B6" w:rsidRPr="00893422" w:rsidRDefault="005905B6" w:rsidP="003510E3">
      <w:pPr>
        <w:rPr>
          <w:rFonts w:ascii="Calibri" w:hAnsi="Calibri" w:cs="Calibri"/>
          <w:lang w:val="es-ES_tradnl"/>
        </w:rPr>
      </w:pPr>
      <w:r w:rsidRPr="00893422">
        <w:rPr>
          <w:lang w:val="es-ES_tradnl"/>
        </w:rPr>
        <w:t>En representación del Grupo Árabe, el Sr. Khalid Wali de la Liga Árabe presentó una visión completa del proceso preparatorio regional que se estaba llevando a cabo en colaboración con la Oficina Regional de la UIT para los Estados Árabes. Destacó que el Grupo Árabe había establecido cinco grupos de trabajo especializados bajo la dirección de Jordania, Egipto, los Emiratos Árabes Unidos y Túnez. El Sr. Wali informó a los participantes de que hasta la fecha se habían celebrado tres reuniones preparatorias y que se celebrarían una cuarta en El Cairo en julio y una quinta, probablemente organizada por los Emiratos Árabes Unidos, antes de la CMDT-25. Entre los principales productos, hizo referencia a dos contribuciones regionales ya elaboradas, incluida una sobre los medios de comunicación y otra sobre futuras Cuestiones de Estudio. El Sr. Wali también explicó cuáles eran las dificultades persistentes, en particular la importante brecha digital entre los países árabes y la necesidad de apoyo para modernizar la infraestructura y adoptar tecnologías emergentes. Para concluir, hizo un llamamiento a la cooperación internacional e interregional en la aplicación de la agenda digital árabe y de una estrategia regional de IA recientemente adoptada.</w:t>
      </w:r>
    </w:p>
    <w:p w14:paraId="72CCC05C" w14:textId="77777777" w:rsidR="005905B6" w:rsidRPr="00893422" w:rsidRDefault="005905B6" w:rsidP="003510E3">
      <w:pPr>
        <w:rPr>
          <w:rFonts w:ascii="Calibri" w:hAnsi="Calibri" w:cs="Calibri"/>
          <w:lang w:val="es-ES_tradnl"/>
        </w:rPr>
      </w:pPr>
      <w:r w:rsidRPr="00893422">
        <w:rPr>
          <w:lang w:val="es-ES_tradnl"/>
        </w:rPr>
        <w:t xml:space="preserve">Hablando en nombre de la Unión Africana de Telecomunicaciones (UAT), la Sra. Régina Fleur Assoumou Bessou presentó el proceso preparatorio estructurado e inclusivo de la región africana. Informó de que, desde febrero de 2024, se habían organizado tres importantes reuniones preparatorias, en Nairobi, Namibia y Kenya, con una amplia participación de las administraciones africanas y las partes interesadas regionales. La región estableció tres Grupos de Trabajo centrados en la Declaración y las Iniciativas Regionales, las Cuestiones de Estudio y los métodos de trabajo, y las Resoluciones. La Sra. Assoumou Bessou explicó cinco nuevas Iniciativas Regionales </w:t>
      </w:r>
      <w:r w:rsidRPr="00893422">
        <w:rPr>
          <w:lang w:val="es-ES_tradnl"/>
        </w:rPr>
        <w:lastRenderedPageBreak/>
        <w:t>africanas centradas en infraestructuras resilientes y conectividad significativa, IA para el desarrollo socioeconómico, confianza y seguridad en las TIC, ecosistemas de innovación y mecanismos de financiación sostenibles. Hizo hincapié en que estas iniciativas reflejaban tanto las realidades regionales como la armonización con las tendencias mundiales, y destacó la importancia de continuar la coordinación con otras ORT para garantizar la coherencia de las propuestas presentadas a la CMDT.</w:t>
      </w:r>
    </w:p>
    <w:p w14:paraId="33FC77F1" w14:textId="77777777" w:rsidR="005905B6" w:rsidRPr="00893422" w:rsidRDefault="005905B6" w:rsidP="003510E3">
      <w:pPr>
        <w:rPr>
          <w:rFonts w:ascii="Calibri" w:hAnsi="Calibri" w:cs="Calibri"/>
          <w:lang w:val="es-ES_tradnl"/>
        </w:rPr>
      </w:pPr>
      <w:r w:rsidRPr="00893422">
        <w:rPr>
          <w:lang w:val="es-ES_tradnl"/>
        </w:rPr>
        <w:t>La Sra. Inga Rimkevičienė, hablando en nombre de la organización regional europea CEPT, afirmó que los preparativos estaban bien encaminados. Señaló que la CEPT había comenzado a reflexionar sobre sus prioridades inmediatamente después de la CMDT-22 y había llegado a un consenso sobre sus iniciativas regionales y su visión estratégica durante su reunión más reciente. Hizo hincapié en la visión de la CEPT de un UIT-D ágil y eficiente que apoyase el desarrollo a través de alianzas eficaces. La Sra. Rimkevičienė reconoció el valor de los Grupos de Trabajo del GADT para orientar el enfoque regional y confirmó que la CEPT había nombrado coordinadores para cada tema principal y elaborado alrededor de 17 propuestas posibles, algunas de las cuales ya se habían presentado a la CEPT. Destacó la dificultad que suponía gestionar el tiempo, dada la intensidad de las actividades preparatorias en toda la Unión, y acogió con beneplácito la utilización de herramientas digitales y mecanismos de planificación. Para concluir, alentó a la BDT a que siguiera prestando apoyo y comunicación, y señaló que la CEPT apreciaba la aplicación móvil de la CMDT y las sesiones de información previstas.</w:t>
      </w:r>
    </w:p>
    <w:p w14:paraId="77922F64" w14:textId="529DB437" w:rsidR="005905B6" w:rsidRPr="00893422" w:rsidRDefault="005905B6" w:rsidP="003510E3">
      <w:pPr>
        <w:rPr>
          <w:rFonts w:ascii="Calibri" w:hAnsi="Calibri" w:cs="Calibri"/>
          <w:lang w:val="es-ES_tradnl"/>
        </w:rPr>
      </w:pPr>
      <w:r w:rsidRPr="00893422">
        <w:rPr>
          <w:lang w:val="es-ES_tradnl"/>
        </w:rPr>
        <w:t>Por parte de la Comisión Interamericana de Telecomunicaciones (CITEL), la Sra. Ena Dekanic de los Estados Unidos proporcionó información actualizada sobre el proceso de preparación regional. Explicó que el Grupo de Trabajo sobre Conferencias de la CITEL (GT-CONF), que presidía junto con el Vicepresidente, Sr. Roberto Hirayama, dirigía los preparativos de la CMDT</w:t>
      </w:r>
      <w:r w:rsidRPr="00893422">
        <w:rPr>
          <w:lang w:val="es-ES_tradnl"/>
        </w:rPr>
        <w:noBreakHyphen/>
        <w:t xml:space="preserve">25. La región había celebrado su última reunión en abril de 2025 y estaba planificando dos reuniones virtuales intermedias antes de una reunión presencial final en Santiago de Chile en agosto. La Sra. Dekanic detalló el proceso interno de la CITEL para la adopción de Propuestas Interamericanas (IAP) y señaló que ya se habían finalizado dos IAP: una que respaldaba las Iniciativas Regionales adoptadas en la Reunión Preparatoria Regional para las Américas y otra que en la que se proponía revisiones a la Resolución 46 sobre Pueblos Indígenas. Informó además de que la CITEL estaba coordinando los nombramientos para los puestos de vicepresidente del GADT y el liderazgo de las Comisiones de Estudio, y alentó a que se mantuviera el compromiso con los coordinadores de la región en el </w:t>
      </w:r>
      <w:r w:rsidR="00960F42">
        <w:rPr>
          <w:lang w:val="es-ES_tradnl"/>
        </w:rPr>
        <w:t>periodo</w:t>
      </w:r>
      <w:r w:rsidRPr="00893422">
        <w:rPr>
          <w:lang w:val="es-ES_tradnl"/>
        </w:rPr>
        <w:t xml:space="preserve"> previo a la conferencia.</w:t>
      </w:r>
    </w:p>
    <w:p w14:paraId="3E30FD2C" w14:textId="77777777" w:rsidR="005905B6" w:rsidRPr="00893422" w:rsidRDefault="005905B6" w:rsidP="003510E3">
      <w:pPr>
        <w:rPr>
          <w:rFonts w:ascii="Calibri" w:hAnsi="Calibri" w:cs="Calibri"/>
          <w:lang w:val="es-ES_tradnl"/>
        </w:rPr>
      </w:pPr>
      <w:r w:rsidRPr="00893422">
        <w:rPr>
          <w:lang w:val="es-ES_tradnl"/>
        </w:rPr>
        <w:t>Por último, el Sr. Arseny Plossky hizo la presentación en nombre de la Comunidad Regional de Comunicaciones (CRC). Destacó el enfoque temprano y proactivo de la CRC para los preparativos de la CMDT-25, incluidas las ocho reuniones celebradas hasta la fecha y una novena prevista para agosto. La CRC ya había elaborado una serie de proyectos de propuestas en los que se trataban Resoluciones y Cuestiones de Estudio clave y había formulado sus Iniciativas Regionales para 2026-2029. El Sr. Plossky señaló que la CRC se centraba en temas como las comunicaciones rurales, las estadísticas, la accesibilidad, la gestión de desastres, la protección del consumidor, el género y la juventud. Subrayó la importancia de articular claramente las responsabilidades del UIT-D y sus Comisiones de Estudio, especialmente en relación con realizaciones mensurables y la aplicación regional. También pidió que se mejoraran los mecanismos de financiación para apoyar las Iniciativas Regionales y expresó la disposición de la CRC a trabajar con otras Regiones para encontrar puntos en común.</w:t>
      </w:r>
    </w:p>
    <w:p w14:paraId="786D65E9" w14:textId="77777777" w:rsidR="005905B6" w:rsidRPr="00893422" w:rsidRDefault="005905B6" w:rsidP="003510E3">
      <w:pPr>
        <w:keepNext/>
        <w:keepLines/>
        <w:rPr>
          <w:rFonts w:ascii="Calibri" w:hAnsi="Calibri" w:cs="Calibri"/>
          <w:lang w:val="es-ES_tradnl"/>
        </w:rPr>
      </w:pPr>
      <w:r w:rsidRPr="00893422">
        <w:rPr>
          <w:lang w:val="es-ES_tradnl"/>
        </w:rPr>
        <w:lastRenderedPageBreak/>
        <w:t>Al concluir la sesión, el Director de la BDT dio las gracias a todas las ORT por sus detalladas actualizaciones y reafirmó la importancia de la coordinación dentro de las Regiones y entre ellas. Anunció que la Secretaría ofrecería a cada Región seminarios web a medida para explicar los procedimientos y las expectativas de la CMDT, e hizo hincapié en que el trabajo preparatorio realizado por las ORT sería fundamental para el éxito de la conferencia. La Presidenta del GADT se hizo eco de estas observaciones e invitó a las ORT a presentar sus ponencias a la Secretaría para que las consultaran los Grupos de Trabajo del GADT y se incluyeran en la documentación preparatoria. La sesión concluyó con un breve discurso de clausura de cada representante de las ORT, en el que destacaron la coordinación, la gestión del tiempo y la inclusividad como retos centrales y reafirmaron su compromiso con el éxito de la CMDT-25.</w:t>
      </w:r>
    </w:p>
    <w:p w14:paraId="17EB8F30" w14:textId="77777777" w:rsidR="005905B6" w:rsidRPr="00893422" w:rsidRDefault="005905B6" w:rsidP="005905B6">
      <w:pPr>
        <w:tabs>
          <w:tab w:val="clear" w:pos="794"/>
          <w:tab w:val="clear" w:pos="1191"/>
          <w:tab w:val="clear" w:pos="1588"/>
          <w:tab w:val="clear" w:pos="1985"/>
        </w:tabs>
        <w:overflowPunct/>
        <w:autoSpaceDE/>
        <w:autoSpaceDN/>
        <w:adjustRightInd/>
        <w:spacing w:before="0"/>
        <w:textAlignment w:val="auto"/>
        <w:rPr>
          <w:rFonts w:ascii="Calibri" w:hAnsi="Calibri" w:cs="Calibri"/>
          <w:lang w:val="es-ES_tradnl"/>
        </w:rPr>
      </w:pPr>
      <w:r w:rsidRPr="00893422">
        <w:rPr>
          <w:rFonts w:ascii="Calibri" w:hAnsi="Calibri" w:cs="Calibri"/>
          <w:lang w:val="es-ES_tradnl"/>
        </w:rPr>
        <w:br w:type="page"/>
      </w:r>
    </w:p>
    <w:tbl>
      <w:tblPr>
        <w:tblpPr w:leftFromText="181" w:rightFromText="181" w:vertAnchor="page" w:horzAnchor="margin" w:tblpY="1396"/>
        <w:tblW w:w="10031" w:type="dxa"/>
        <w:tblLayout w:type="fixed"/>
        <w:tblLook w:val="0000" w:firstRow="0" w:lastRow="0" w:firstColumn="0" w:lastColumn="0" w:noHBand="0" w:noVBand="0"/>
      </w:tblPr>
      <w:tblGrid>
        <w:gridCol w:w="10031"/>
      </w:tblGrid>
      <w:tr w:rsidR="005905B6" w:rsidRPr="00893422" w14:paraId="596D4CE7" w14:textId="77777777" w:rsidTr="00D04740">
        <w:trPr>
          <w:cantSplit/>
          <w:trHeight w:val="300"/>
        </w:trPr>
        <w:tc>
          <w:tcPr>
            <w:tcW w:w="10031" w:type="dxa"/>
          </w:tcPr>
          <w:p w14:paraId="4751F779" w14:textId="77777777" w:rsidR="005905B6" w:rsidRPr="00893422" w:rsidRDefault="005905B6" w:rsidP="003B1C12">
            <w:pPr>
              <w:pStyle w:val="Annextitle"/>
              <w:rPr>
                <w:rFonts w:ascii="Calibri" w:eastAsia="Calibri" w:hAnsi="Calibri" w:cs="Calibri"/>
                <w:color w:val="000000" w:themeColor="text1"/>
                <w:szCs w:val="24"/>
                <w:lang w:val="es-ES_tradnl"/>
              </w:rPr>
            </w:pPr>
            <w:r w:rsidRPr="00893422">
              <w:rPr>
                <w:lang w:val="es-ES_tradnl"/>
              </w:rPr>
              <w:lastRenderedPageBreak/>
              <w:t>ANEXO C</w:t>
            </w:r>
          </w:p>
          <w:p w14:paraId="2E8FB05B" w14:textId="77777777" w:rsidR="005905B6" w:rsidRPr="00893422" w:rsidRDefault="005905B6" w:rsidP="003B1C12">
            <w:pPr>
              <w:pStyle w:val="Annextitle"/>
              <w:rPr>
                <w:rFonts w:cstheme="minorBidi"/>
                <w:lang w:val="es-ES_tradnl"/>
              </w:rPr>
            </w:pPr>
            <w:r w:rsidRPr="00893422">
              <w:rPr>
                <w:lang w:val="es-ES_tradnl"/>
              </w:rPr>
              <w:t>PRIORIDADES DE UIT-D/PLAN DE ACCIÓN DE BAKU</w:t>
            </w:r>
          </w:p>
        </w:tc>
      </w:tr>
      <w:tr w:rsidR="005905B6" w:rsidRPr="00893422" w14:paraId="244C3C26" w14:textId="77777777" w:rsidTr="00D04740">
        <w:trPr>
          <w:cantSplit/>
          <w:trHeight w:val="300"/>
        </w:trPr>
        <w:tc>
          <w:tcPr>
            <w:tcW w:w="10031" w:type="dxa"/>
            <w:shd w:val="clear" w:color="auto" w:fill="auto"/>
          </w:tcPr>
          <w:p w14:paraId="512C1C73" w14:textId="77777777" w:rsidR="005905B6" w:rsidRPr="00893422" w:rsidRDefault="005905B6" w:rsidP="003B1C12">
            <w:pPr>
              <w:pStyle w:val="Source"/>
              <w:rPr>
                <w:lang w:val="es-ES_tradnl"/>
              </w:rPr>
            </w:pPr>
            <w:r w:rsidRPr="00893422">
              <w:rPr>
                <w:lang w:val="es-ES_tradnl"/>
              </w:rPr>
              <w:t>Presidente del GT-GADT-PUITD</w:t>
            </w:r>
          </w:p>
        </w:tc>
      </w:tr>
      <w:tr w:rsidR="005905B6" w:rsidRPr="00893422" w14:paraId="3AF385E9" w14:textId="77777777" w:rsidTr="00D04740">
        <w:trPr>
          <w:cantSplit/>
          <w:trHeight w:val="300"/>
        </w:trPr>
        <w:tc>
          <w:tcPr>
            <w:tcW w:w="10031" w:type="dxa"/>
            <w:shd w:val="clear" w:color="auto" w:fill="auto"/>
          </w:tcPr>
          <w:p w14:paraId="1BAC4583" w14:textId="77777777" w:rsidR="005905B6" w:rsidRPr="00893422" w:rsidRDefault="005905B6" w:rsidP="003B1C12">
            <w:pPr>
              <w:pStyle w:val="Title1"/>
              <w:rPr>
                <w:lang w:val="es-ES_tradnl"/>
              </w:rPr>
            </w:pPr>
            <w:r w:rsidRPr="00893422">
              <w:rPr>
                <w:lang w:val="es-ES_tradnl"/>
              </w:rPr>
              <w:t>Informe final sobre los trabajos y realizaciones del Grupo de Trabajo del GADT sobre las Prioridades del UIT-D</w:t>
            </w:r>
          </w:p>
        </w:tc>
      </w:tr>
      <w:tr w:rsidR="005905B6" w:rsidRPr="00893422" w14:paraId="488306A6" w14:textId="77777777" w:rsidTr="00D04740">
        <w:trPr>
          <w:cantSplit/>
          <w:trHeight w:val="300"/>
        </w:trPr>
        <w:tc>
          <w:tcPr>
            <w:tcW w:w="10031" w:type="dxa"/>
            <w:tcBorders>
              <w:top w:val="single" w:sz="4" w:space="0" w:color="auto"/>
              <w:left w:val="single" w:sz="4" w:space="0" w:color="auto"/>
              <w:bottom w:val="single" w:sz="4" w:space="0" w:color="auto"/>
              <w:right w:val="single" w:sz="4" w:space="0" w:color="auto"/>
            </w:tcBorders>
            <w:shd w:val="clear" w:color="auto" w:fill="auto"/>
          </w:tcPr>
          <w:p w14:paraId="2B6514E3" w14:textId="77777777" w:rsidR="005905B6" w:rsidRPr="00893422" w:rsidRDefault="005905B6" w:rsidP="00D04740">
            <w:pPr>
              <w:spacing w:after="120"/>
              <w:rPr>
                <w:b/>
                <w:bCs/>
                <w:lang w:val="es-ES_tradnl"/>
              </w:rPr>
            </w:pPr>
            <w:r w:rsidRPr="00893422">
              <w:rPr>
                <w:b/>
                <w:bCs/>
                <w:color w:val="000000"/>
                <w:lang w:val="es-ES_tradnl"/>
              </w:rPr>
              <w:t>Resumen:</w:t>
            </w:r>
          </w:p>
          <w:p w14:paraId="5FDF08C0" w14:textId="77777777" w:rsidR="005905B6" w:rsidRPr="00893422" w:rsidRDefault="005905B6" w:rsidP="003B1C12">
            <w:pPr>
              <w:rPr>
                <w:lang w:val="es-ES_tradnl"/>
              </w:rPr>
            </w:pPr>
            <w:r w:rsidRPr="00893422">
              <w:rPr>
                <w:lang w:val="es-ES_tradnl"/>
              </w:rPr>
              <w:t>El documento contiene un resumen de los debates y la realización final del Grupo.</w:t>
            </w:r>
          </w:p>
          <w:p w14:paraId="0A5FA81D" w14:textId="77777777" w:rsidR="005905B6" w:rsidRPr="00893422" w:rsidRDefault="005905B6" w:rsidP="00D04740">
            <w:pPr>
              <w:spacing w:after="120"/>
              <w:rPr>
                <w:b/>
                <w:bCs/>
                <w:lang w:val="es-ES_tradnl"/>
              </w:rPr>
            </w:pPr>
            <w:r w:rsidRPr="00893422">
              <w:rPr>
                <w:b/>
                <w:bCs/>
                <w:color w:val="000000"/>
                <w:lang w:val="es-ES_tradnl"/>
              </w:rPr>
              <w:t>Acción solicitada:</w:t>
            </w:r>
          </w:p>
          <w:p w14:paraId="12C10567" w14:textId="77777777" w:rsidR="005905B6" w:rsidRPr="00893422" w:rsidRDefault="005905B6" w:rsidP="003B1C12">
            <w:pPr>
              <w:rPr>
                <w:lang w:val="es-ES_tradnl"/>
              </w:rPr>
            </w:pPr>
            <w:r w:rsidRPr="00893422">
              <w:rPr>
                <w:lang w:val="es-ES_tradnl"/>
              </w:rPr>
              <w:t>Se invita al GADT a examinar este informe, a estudiar con más detenimiento el proyecto del Plan de Acción de Baku (Anexo 1) y a presentarlo como contribución a la CMDT-25.</w:t>
            </w:r>
          </w:p>
          <w:p w14:paraId="11F901FC" w14:textId="77777777" w:rsidR="005905B6" w:rsidRPr="00893422" w:rsidRDefault="005905B6" w:rsidP="00D04740">
            <w:pPr>
              <w:spacing w:after="120"/>
              <w:rPr>
                <w:b/>
                <w:bCs/>
                <w:lang w:val="es-ES_tradnl"/>
              </w:rPr>
            </w:pPr>
            <w:r w:rsidRPr="00893422">
              <w:rPr>
                <w:b/>
                <w:bCs/>
                <w:color w:val="000000"/>
                <w:lang w:val="es-ES_tradnl"/>
              </w:rPr>
              <w:t>Referencias:</w:t>
            </w:r>
          </w:p>
          <w:p w14:paraId="18CDD18D" w14:textId="313D3712" w:rsidR="005905B6" w:rsidRPr="00893422" w:rsidRDefault="003B1C12" w:rsidP="003B1C12">
            <w:pPr>
              <w:pStyle w:val="enumlev1"/>
              <w:rPr>
                <w:lang w:val="es-ES_tradnl"/>
              </w:rPr>
            </w:pPr>
            <w:r w:rsidRPr="00893422">
              <w:rPr>
                <w:lang w:val="es-ES_tradnl"/>
              </w:rPr>
              <w:t>–</w:t>
            </w:r>
            <w:r w:rsidRPr="00893422">
              <w:rPr>
                <w:lang w:val="es-ES_tradnl"/>
              </w:rPr>
              <w:tab/>
            </w:r>
            <w:r w:rsidR="005905B6" w:rsidRPr="00893422">
              <w:rPr>
                <w:color w:val="000000"/>
                <w:lang w:val="es-ES_tradnl"/>
              </w:rPr>
              <w:t>Mandato del GT-GADT-PUITD (</w:t>
            </w:r>
            <w:hyperlink r:id="rId191" w:history="1">
              <w:r w:rsidR="005905B6" w:rsidRPr="00893422">
                <w:rPr>
                  <w:rStyle w:val="Hyperlink"/>
                  <w:lang w:val="es-ES_tradnl"/>
                </w:rPr>
                <w:t>TDAG-24/DT/5</w:t>
              </w:r>
            </w:hyperlink>
            <w:r w:rsidR="005905B6" w:rsidRPr="00893422">
              <w:rPr>
                <w:color w:val="000000"/>
                <w:lang w:val="es-ES_tradnl"/>
              </w:rPr>
              <w:t>).</w:t>
            </w:r>
            <w:hyperlink r:id="rId192"/>
          </w:p>
          <w:p w14:paraId="2AECE01F" w14:textId="09BE60FD" w:rsidR="005905B6" w:rsidRPr="00893422" w:rsidRDefault="003B1C12" w:rsidP="003B1C12">
            <w:pPr>
              <w:pStyle w:val="enumlev1"/>
              <w:rPr>
                <w:lang w:val="es-ES_tradnl"/>
              </w:rPr>
            </w:pPr>
            <w:r w:rsidRPr="00893422">
              <w:rPr>
                <w:lang w:val="es-ES_tradnl"/>
              </w:rPr>
              <w:t>–</w:t>
            </w:r>
            <w:r w:rsidRPr="00893422">
              <w:rPr>
                <w:lang w:val="es-ES_tradnl"/>
              </w:rPr>
              <w:tab/>
            </w:r>
            <w:r w:rsidR="005905B6" w:rsidRPr="00893422">
              <w:rPr>
                <w:color w:val="000000"/>
                <w:lang w:val="es-ES_tradnl"/>
              </w:rPr>
              <w:t>Informe de la primera reunión del Grupo de Trabajo del GADT sobre las Prioridades del</w:t>
            </w:r>
            <w:r w:rsidRPr="00893422">
              <w:rPr>
                <w:color w:val="000000"/>
                <w:lang w:val="es-ES_tradnl"/>
              </w:rPr>
              <w:t> </w:t>
            </w:r>
            <w:r w:rsidR="005905B6" w:rsidRPr="00893422">
              <w:rPr>
                <w:color w:val="000000"/>
                <w:lang w:val="es-ES_tradnl"/>
              </w:rPr>
              <w:t>UIT</w:t>
            </w:r>
            <w:r w:rsidRPr="00893422">
              <w:rPr>
                <w:color w:val="000000"/>
                <w:lang w:val="es-ES_tradnl"/>
              </w:rPr>
              <w:noBreakHyphen/>
            </w:r>
            <w:r w:rsidR="005905B6" w:rsidRPr="00893422">
              <w:rPr>
                <w:color w:val="000000"/>
                <w:lang w:val="es-ES_tradnl"/>
              </w:rPr>
              <w:t>D (</w:t>
            </w:r>
            <w:hyperlink r:id="rId193" w:history="1">
              <w:r w:rsidR="005905B6" w:rsidRPr="00893422">
                <w:rPr>
                  <w:rStyle w:val="Hyperlink"/>
                  <w:lang w:val="es-ES_tradnl"/>
                </w:rPr>
                <w:t>TDAG-WG-ITUDP/3</w:t>
              </w:r>
            </w:hyperlink>
            <w:r w:rsidR="005905B6" w:rsidRPr="00893422">
              <w:rPr>
                <w:color w:val="000000"/>
                <w:lang w:val="es-ES_tradnl"/>
              </w:rPr>
              <w:t>)</w:t>
            </w:r>
            <w:r w:rsidR="009F7F22">
              <w:rPr>
                <w:color w:val="000000"/>
                <w:lang w:val="es-ES_tradnl"/>
              </w:rPr>
              <w:t>.</w:t>
            </w:r>
            <w:hyperlink r:id="rId194"/>
          </w:p>
          <w:p w14:paraId="5C5ECD31" w14:textId="72766D27" w:rsidR="005905B6" w:rsidRPr="00893422" w:rsidRDefault="003B1C12" w:rsidP="003B1C12">
            <w:pPr>
              <w:pStyle w:val="enumlev1"/>
              <w:rPr>
                <w:lang w:val="es-ES_tradnl"/>
              </w:rPr>
            </w:pPr>
            <w:r w:rsidRPr="00893422">
              <w:rPr>
                <w:lang w:val="es-ES_tradnl"/>
              </w:rPr>
              <w:t>–</w:t>
            </w:r>
            <w:r w:rsidRPr="00893422">
              <w:rPr>
                <w:lang w:val="es-ES_tradnl"/>
              </w:rPr>
              <w:tab/>
            </w:r>
            <w:r w:rsidR="005905B6" w:rsidRPr="00893422">
              <w:rPr>
                <w:color w:val="000000"/>
                <w:lang w:val="es-ES_tradnl"/>
              </w:rPr>
              <w:t>Informe de la segunda reunión del Grupo de Trabajo del GADT sobre las Prioridades</w:t>
            </w:r>
            <w:r w:rsidRPr="00893422">
              <w:rPr>
                <w:color w:val="000000"/>
                <w:lang w:val="es-ES_tradnl"/>
              </w:rPr>
              <w:t xml:space="preserve"> </w:t>
            </w:r>
            <w:r w:rsidR="005905B6" w:rsidRPr="00893422">
              <w:rPr>
                <w:color w:val="000000"/>
                <w:lang w:val="es-ES_tradnl"/>
              </w:rPr>
              <w:t>del</w:t>
            </w:r>
            <w:r w:rsidRPr="00893422">
              <w:rPr>
                <w:color w:val="000000"/>
                <w:lang w:val="es-ES_tradnl"/>
              </w:rPr>
              <w:t> </w:t>
            </w:r>
            <w:r w:rsidR="005905B6" w:rsidRPr="00893422">
              <w:rPr>
                <w:color w:val="000000"/>
                <w:lang w:val="es-ES_tradnl"/>
              </w:rPr>
              <w:t>UIT</w:t>
            </w:r>
            <w:r w:rsidRPr="00893422">
              <w:rPr>
                <w:color w:val="000000"/>
                <w:lang w:val="es-ES_tradnl"/>
              </w:rPr>
              <w:noBreakHyphen/>
            </w:r>
            <w:r w:rsidR="005905B6" w:rsidRPr="00893422">
              <w:rPr>
                <w:color w:val="000000"/>
                <w:lang w:val="es-ES_tradnl"/>
              </w:rPr>
              <w:t>D (</w:t>
            </w:r>
            <w:hyperlink r:id="rId195" w:history="1">
              <w:r w:rsidR="005905B6" w:rsidRPr="00893422">
                <w:rPr>
                  <w:rStyle w:val="Hyperlink"/>
                  <w:lang w:val="es-ES_tradnl"/>
                </w:rPr>
                <w:t>TDAG-WG-ITUDP/6</w:t>
              </w:r>
            </w:hyperlink>
            <w:r w:rsidR="005905B6" w:rsidRPr="00893422">
              <w:rPr>
                <w:color w:val="000000"/>
                <w:lang w:val="es-ES_tradnl"/>
              </w:rPr>
              <w:t>)</w:t>
            </w:r>
            <w:r w:rsidR="009F7F22">
              <w:rPr>
                <w:color w:val="000000"/>
                <w:lang w:val="es-ES_tradnl"/>
              </w:rPr>
              <w:t>.</w:t>
            </w:r>
            <w:hyperlink r:id="rId196"/>
          </w:p>
          <w:p w14:paraId="3BF2B907" w14:textId="312A0361" w:rsidR="005905B6" w:rsidRPr="00893422" w:rsidRDefault="003B1C12" w:rsidP="003B1C12">
            <w:pPr>
              <w:pStyle w:val="enumlev1"/>
              <w:rPr>
                <w:lang w:val="es-ES_tradnl"/>
              </w:rPr>
            </w:pPr>
            <w:r w:rsidRPr="00893422">
              <w:rPr>
                <w:lang w:val="es-ES_tradnl"/>
              </w:rPr>
              <w:t>–</w:t>
            </w:r>
            <w:r w:rsidRPr="00893422">
              <w:rPr>
                <w:lang w:val="es-ES_tradnl"/>
              </w:rPr>
              <w:tab/>
            </w:r>
            <w:r w:rsidR="005905B6" w:rsidRPr="00893422">
              <w:rPr>
                <w:color w:val="000000"/>
                <w:lang w:val="es-ES_tradnl"/>
              </w:rPr>
              <w:t>Informe de la tercera reunión del Grupo de Trabajo del GADT sobre las Prioridades</w:t>
            </w:r>
            <w:r w:rsidRPr="00893422">
              <w:rPr>
                <w:color w:val="000000"/>
                <w:lang w:val="es-ES_tradnl"/>
              </w:rPr>
              <w:t xml:space="preserve"> </w:t>
            </w:r>
            <w:r w:rsidR="005A53B6">
              <w:rPr>
                <w:color w:val="000000"/>
                <w:lang w:val="es-ES_tradnl"/>
              </w:rPr>
              <w:br/>
            </w:r>
            <w:r w:rsidR="005905B6" w:rsidRPr="00893422">
              <w:rPr>
                <w:color w:val="000000"/>
                <w:lang w:val="es-ES_tradnl"/>
              </w:rPr>
              <w:t>del</w:t>
            </w:r>
            <w:r w:rsidRPr="00893422">
              <w:rPr>
                <w:color w:val="000000"/>
                <w:lang w:val="es-ES_tradnl"/>
              </w:rPr>
              <w:t> </w:t>
            </w:r>
            <w:r w:rsidR="005905B6" w:rsidRPr="00893422">
              <w:rPr>
                <w:color w:val="000000"/>
                <w:lang w:val="es-ES_tradnl"/>
              </w:rPr>
              <w:t>UIT-D (</w:t>
            </w:r>
            <w:hyperlink r:id="rId197" w:history="1">
              <w:r w:rsidR="005905B6" w:rsidRPr="00893422">
                <w:rPr>
                  <w:rStyle w:val="Hyperlink"/>
                  <w:lang w:val="es-ES_tradnl"/>
                </w:rPr>
                <w:t>TDAG-WG-ITUDP/8</w:t>
              </w:r>
            </w:hyperlink>
            <w:r w:rsidR="005905B6" w:rsidRPr="00893422">
              <w:rPr>
                <w:color w:val="000000"/>
                <w:lang w:val="es-ES_tradnl"/>
              </w:rPr>
              <w:t>)</w:t>
            </w:r>
            <w:r w:rsidR="009F7F22">
              <w:rPr>
                <w:color w:val="000000"/>
                <w:lang w:val="es-ES_tradnl"/>
              </w:rPr>
              <w:t>.</w:t>
            </w:r>
            <w:hyperlink r:id="rId198"/>
          </w:p>
          <w:p w14:paraId="69B10E6B" w14:textId="33D064F3" w:rsidR="005905B6" w:rsidRPr="00893422" w:rsidRDefault="003B1C12" w:rsidP="003B1C12">
            <w:pPr>
              <w:pStyle w:val="enumlev1"/>
              <w:rPr>
                <w:lang w:val="es-ES_tradnl"/>
              </w:rPr>
            </w:pPr>
            <w:r w:rsidRPr="00893422">
              <w:rPr>
                <w:lang w:val="es-ES_tradnl"/>
              </w:rPr>
              <w:t>–</w:t>
            </w:r>
            <w:r w:rsidRPr="00893422">
              <w:rPr>
                <w:lang w:val="es-ES_tradnl"/>
              </w:rPr>
              <w:tab/>
            </w:r>
            <w:r w:rsidR="005905B6" w:rsidRPr="00893422">
              <w:rPr>
                <w:color w:val="000000"/>
                <w:lang w:val="es-ES_tradnl"/>
              </w:rPr>
              <w:t xml:space="preserve">Informe de la cuarta reunión del Grupo de Trabajo del GADT sobre las Prioridades </w:t>
            </w:r>
            <w:r w:rsidR="005A53B6">
              <w:rPr>
                <w:color w:val="000000"/>
                <w:lang w:val="es-ES_tradnl"/>
              </w:rPr>
              <w:br/>
            </w:r>
            <w:r w:rsidR="005905B6" w:rsidRPr="00893422">
              <w:rPr>
                <w:color w:val="000000"/>
                <w:lang w:val="es-ES_tradnl"/>
              </w:rPr>
              <w:t>del</w:t>
            </w:r>
            <w:r w:rsidR="00A8609F" w:rsidRPr="00893422">
              <w:rPr>
                <w:color w:val="000000"/>
                <w:lang w:val="es-ES_tradnl"/>
              </w:rPr>
              <w:t> </w:t>
            </w:r>
            <w:r w:rsidR="005905B6" w:rsidRPr="00893422">
              <w:rPr>
                <w:color w:val="000000"/>
                <w:lang w:val="es-ES_tradnl"/>
              </w:rPr>
              <w:t>UIT</w:t>
            </w:r>
            <w:r w:rsidR="00A8609F" w:rsidRPr="00893422">
              <w:rPr>
                <w:color w:val="000000"/>
                <w:lang w:val="es-ES_tradnl"/>
              </w:rPr>
              <w:noBreakHyphen/>
            </w:r>
            <w:r w:rsidR="005905B6" w:rsidRPr="00893422">
              <w:rPr>
                <w:color w:val="000000"/>
                <w:lang w:val="es-ES_tradnl"/>
              </w:rPr>
              <w:t>D (</w:t>
            </w:r>
            <w:hyperlink r:id="rId199" w:history="1">
              <w:r w:rsidR="005905B6" w:rsidRPr="00893422">
                <w:rPr>
                  <w:rStyle w:val="Hyperlink"/>
                  <w:lang w:val="es-ES_tradnl"/>
                </w:rPr>
                <w:t>TDAG-WG-ITUDP/16</w:t>
              </w:r>
            </w:hyperlink>
            <w:r w:rsidR="005905B6" w:rsidRPr="00893422">
              <w:rPr>
                <w:color w:val="000000"/>
                <w:lang w:val="es-ES_tradnl"/>
              </w:rPr>
              <w:t>)</w:t>
            </w:r>
            <w:r w:rsidR="009F7F22">
              <w:rPr>
                <w:color w:val="000000"/>
                <w:lang w:val="es-ES_tradnl"/>
              </w:rPr>
              <w:t>.</w:t>
            </w:r>
            <w:hyperlink r:id="rId200"/>
          </w:p>
        </w:tc>
      </w:tr>
    </w:tbl>
    <w:p w14:paraId="65A2D7BC" w14:textId="14660382" w:rsidR="005905B6" w:rsidRPr="00893422" w:rsidRDefault="00A8609F" w:rsidP="00A8609F">
      <w:pPr>
        <w:pStyle w:val="Heading1"/>
        <w:rPr>
          <w:lang w:val="es-ES_tradnl"/>
        </w:rPr>
      </w:pPr>
      <w:r w:rsidRPr="00893422">
        <w:rPr>
          <w:lang w:val="es-ES_tradnl"/>
        </w:rPr>
        <w:t>1</w:t>
      </w:r>
      <w:r w:rsidRPr="00893422">
        <w:rPr>
          <w:lang w:val="es-ES_tradnl"/>
        </w:rPr>
        <w:tab/>
      </w:r>
      <w:r w:rsidR="005905B6" w:rsidRPr="00893422">
        <w:rPr>
          <w:lang w:val="es-ES_tradnl"/>
        </w:rPr>
        <w:t>Introducción</w:t>
      </w:r>
    </w:p>
    <w:p w14:paraId="333B2170" w14:textId="77777777" w:rsidR="005905B6" w:rsidRPr="00893422" w:rsidRDefault="005905B6" w:rsidP="00A8609F">
      <w:pPr>
        <w:rPr>
          <w:rFonts w:cstheme="minorBidi"/>
          <w:lang w:val="es-ES_tradnl"/>
        </w:rPr>
      </w:pPr>
      <w:r w:rsidRPr="00893422">
        <w:rPr>
          <w:lang w:val="es-ES_tradnl"/>
        </w:rPr>
        <w:t>El Grupo de Trabajo del GADT sobre las Prioridades del UIT-D (GT-GADT-PUITD) fue creado por el GADT con el siguiente mandato:</w:t>
      </w:r>
    </w:p>
    <w:p w14:paraId="7E7E8CDE" w14:textId="44A258E9" w:rsidR="005905B6" w:rsidRPr="00893422" w:rsidRDefault="00A8609F" w:rsidP="00A8609F">
      <w:pPr>
        <w:pStyle w:val="enumlev1"/>
        <w:rPr>
          <w:rFonts w:cstheme="minorBidi"/>
          <w:lang w:val="es-ES_tradnl"/>
        </w:rPr>
      </w:pPr>
      <w:r w:rsidRPr="00893422">
        <w:rPr>
          <w:lang w:val="es-ES_tradnl"/>
        </w:rPr>
        <w:t>–</w:t>
      </w:r>
      <w:r w:rsidRPr="00893422">
        <w:rPr>
          <w:lang w:val="es-ES_tradnl"/>
        </w:rPr>
        <w:tab/>
      </w:r>
      <w:r w:rsidR="005905B6" w:rsidRPr="00893422">
        <w:rPr>
          <w:lang w:val="es-ES_tradnl"/>
        </w:rPr>
        <w:t>examinar las actuales prioridades del UIT-D y los facilitadores conexos establecidos en la CMDT-22, las propuestas a la CMDT-25, incluidas las Iniciativas Regionales, las Cuestiones de Estudio del UIT-D, así como las realizaciones de las Reuniones Preparatorias Regionales para la CMDT-25, los Objetivos de Desarrollo Sostenible para 2030 y las Líneas de Acción de la CMSI pertinentes de las que la UIT es responsable principal y, posteriormente, elaborar propuestas para las nuevas prioridades del UIT-D;</w:t>
      </w:r>
    </w:p>
    <w:p w14:paraId="57EF0FEA" w14:textId="5EB38FCF" w:rsidR="005905B6" w:rsidRPr="00893422" w:rsidRDefault="00A8609F" w:rsidP="00A8609F">
      <w:pPr>
        <w:pStyle w:val="enumlev1"/>
        <w:rPr>
          <w:rFonts w:cstheme="minorBidi"/>
          <w:lang w:val="es-ES_tradnl"/>
        </w:rPr>
      </w:pPr>
      <w:r w:rsidRPr="00893422">
        <w:rPr>
          <w:lang w:val="es-ES_tradnl"/>
        </w:rPr>
        <w:t>–</w:t>
      </w:r>
      <w:r w:rsidRPr="00893422">
        <w:rPr>
          <w:lang w:val="es-ES_tradnl"/>
        </w:rPr>
        <w:tab/>
      </w:r>
      <w:r w:rsidR="005905B6" w:rsidRPr="00893422">
        <w:rPr>
          <w:lang w:val="es-ES_tradnl"/>
        </w:rPr>
        <w:t>examinar el estado de aplicación y las repercusiones del Plan Estratégico de la UIT para 2024-2027 en relación con el UIT-D y preparar propuestas para el proyecto de nueva contribución del UIT-D al Plan Estratégico de la UIT para el próximo periodo (2028-2031);</w:t>
      </w:r>
    </w:p>
    <w:p w14:paraId="09427A2C" w14:textId="4037B46A" w:rsidR="005905B6" w:rsidRPr="00893422" w:rsidRDefault="00A8609F" w:rsidP="00A8609F">
      <w:pPr>
        <w:pStyle w:val="enumlev1"/>
        <w:rPr>
          <w:rFonts w:cstheme="minorBidi"/>
          <w:lang w:val="es-ES_tradnl"/>
        </w:rPr>
      </w:pPr>
      <w:r w:rsidRPr="00893422">
        <w:rPr>
          <w:lang w:val="es-ES_tradnl"/>
        </w:rPr>
        <w:t>–</w:t>
      </w:r>
      <w:r w:rsidRPr="00893422">
        <w:rPr>
          <w:lang w:val="es-ES_tradnl"/>
        </w:rPr>
        <w:tab/>
      </w:r>
      <w:r w:rsidR="005905B6" w:rsidRPr="00893422">
        <w:rPr>
          <w:lang w:val="es-ES_tradnl"/>
        </w:rPr>
        <w:t>examinar el estado de aplicación y las repercusiones del Plan de Acción de Kigali (PAK), incluidos sus vínculos con el Plan Operacional, y elaborar propuestas para el próximo Plan de Acción de la CMDT;</w:t>
      </w:r>
    </w:p>
    <w:p w14:paraId="5655AE9E" w14:textId="295F1B33" w:rsidR="005905B6" w:rsidRPr="00893422" w:rsidRDefault="00A8609F" w:rsidP="00A8609F">
      <w:pPr>
        <w:pStyle w:val="enumlev1"/>
        <w:rPr>
          <w:rFonts w:cstheme="minorBidi"/>
          <w:lang w:val="es-ES_tradnl"/>
        </w:rPr>
      </w:pPr>
      <w:r w:rsidRPr="00893422">
        <w:rPr>
          <w:lang w:val="es-ES_tradnl"/>
        </w:rPr>
        <w:lastRenderedPageBreak/>
        <w:t>–</w:t>
      </w:r>
      <w:r w:rsidRPr="00893422">
        <w:rPr>
          <w:lang w:val="es-ES_tradnl"/>
        </w:rPr>
        <w:tab/>
      </w:r>
      <w:r w:rsidR="005905B6" w:rsidRPr="00893422">
        <w:rPr>
          <w:lang w:val="es-ES_tradnl"/>
        </w:rPr>
        <w:t>examinar el estado de aplicación y los efectos del Plan Operacional cuadrienal renovable, identificar áreas de mejora y elaborar recomendaciones para el proyecto de Plan Operacional, y</w:t>
      </w:r>
    </w:p>
    <w:p w14:paraId="3018CBED" w14:textId="1911C4E5" w:rsidR="005905B6" w:rsidRPr="00893422" w:rsidRDefault="00A8609F" w:rsidP="00A8609F">
      <w:pPr>
        <w:pStyle w:val="enumlev1"/>
        <w:rPr>
          <w:rFonts w:cstheme="minorBidi"/>
          <w:lang w:val="es-ES_tradnl"/>
        </w:rPr>
      </w:pPr>
      <w:r w:rsidRPr="00893422">
        <w:rPr>
          <w:lang w:val="es-ES_tradnl"/>
        </w:rPr>
        <w:t>–</w:t>
      </w:r>
      <w:r w:rsidRPr="00893422">
        <w:rPr>
          <w:lang w:val="es-ES_tradnl"/>
        </w:rPr>
        <w:tab/>
      </w:r>
      <w:r w:rsidR="005905B6" w:rsidRPr="00893422">
        <w:rPr>
          <w:lang w:val="es-ES_tradnl"/>
        </w:rPr>
        <w:t>presentar el informe al GADT.</w:t>
      </w:r>
    </w:p>
    <w:p w14:paraId="4254057C" w14:textId="77777777" w:rsidR="005905B6" w:rsidRPr="00893422" w:rsidRDefault="005905B6" w:rsidP="00A8609F">
      <w:pPr>
        <w:rPr>
          <w:rFonts w:cstheme="minorBidi"/>
          <w:lang w:val="es-ES_tradnl"/>
        </w:rPr>
      </w:pPr>
      <w:r w:rsidRPr="00893422">
        <w:rPr>
          <w:lang w:val="es-ES_tradnl"/>
        </w:rPr>
        <w:t>El Sr. Christopher Kemei (Kenya) fue nombrado Presidente, siendo Vicepresidentes el Sr. Ahmad Sharafat de Irán y la Sra. Blanca González de España.</w:t>
      </w:r>
    </w:p>
    <w:p w14:paraId="2C633D57" w14:textId="77777777" w:rsidR="005905B6" w:rsidRPr="00893422" w:rsidRDefault="005905B6" w:rsidP="00A8609F">
      <w:pPr>
        <w:rPr>
          <w:rFonts w:cstheme="minorBidi"/>
          <w:lang w:val="es-ES_tradnl"/>
        </w:rPr>
      </w:pPr>
      <w:r w:rsidRPr="00893422">
        <w:rPr>
          <w:lang w:val="es-ES_tradnl"/>
        </w:rPr>
        <w:t>En la reunión extraordinaria del GADT, celebrada el 23 de enero de 2025, el Sr. Kemei renunció al cargo de Presidente del Grupo y la Sra. Inga Rimkevičienė (Lituania) fue nombrada Presidenta.</w:t>
      </w:r>
    </w:p>
    <w:p w14:paraId="7634FD88" w14:textId="77777777" w:rsidR="005905B6" w:rsidRPr="00893422" w:rsidRDefault="005905B6" w:rsidP="00A8609F">
      <w:pPr>
        <w:rPr>
          <w:rFonts w:cstheme="minorBidi"/>
          <w:lang w:val="es-ES_tradnl"/>
        </w:rPr>
      </w:pPr>
      <w:r w:rsidRPr="00893422">
        <w:rPr>
          <w:lang w:val="es-ES_tradnl"/>
        </w:rPr>
        <w:t xml:space="preserve">El GT-GADT-PUITD celebró su primera reunión el 4 de septiembre de 2024, su segunda reunión el 4 de diciembre de 2024, su tercera reunión el 26 de marzo de 2025 y su cuarta reunión el 1 de mayo de 2025. Los informes de las reuniones están disponibles en la </w:t>
      </w:r>
      <w:hyperlink r:id="rId201" w:history="1">
        <w:r w:rsidRPr="00893422">
          <w:rPr>
            <w:rStyle w:val="Hyperlink"/>
            <w:lang w:val="es-ES_tradnl"/>
          </w:rPr>
          <w:t>página web del GT-GADT-PUIT</w:t>
        </w:r>
      </w:hyperlink>
      <w:r w:rsidRPr="00893422">
        <w:rPr>
          <w:lang w:val="es-ES_tradnl"/>
        </w:rPr>
        <w:t>. El Grupo celebró una quinta (el 14 de mayo) y una sexta (el 15 de mayo) reuniones adicionales durante la reunión del GADT para finalizar sus trabajos.</w:t>
      </w:r>
      <w:hyperlink r:id="rId202"/>
    </w:p>
    <w:p w14:paraId="69EF3CD2" w14:textId="259A0330" w:rsidR="005905B6" w:rsidRPr="00893422" w:rsidRDefault="00893422" w:rsidP="00893422">
      <w:pPr>
        <w:pStyle w:val="Heading1"/>
        <w:rPr>
          <w:rFonts w:cstheme="minorBidi"/>
          <w:lang w:val="es-ES_tradnl"/>
        </w:rPr>
      </w:pPr>
      <w:r w:rsidRPr="00893422">
        <w:rPr>
          <w:lang w:val="es-ES_tradnl"/>
        </w:rPr>
        <w:t>2</w:t>
      </w:r>
      <w:r w:rsidRPr="00893422">
        <w:rPr>
          <w:lang w:val="es-ES_tradnl"/>
        </w:rPr>
        <w:tab/>
      </w:r>
      <w:r w:rsidR="005905B6" w:rsidRPr="00893422">
        <w:rPr>
          <w:lang w:val="es-ES_tradnl"/>
        </w:rPr>
        <w:t>Enfoque adoptado y progresos realizados</w:t>
      </w:r>
    </w:p>
    <w:p w14:paraId="19FD2C38" w14:textId="7CED92F0" w:rsidR="005905B6" w:rsidRPr="00893422" w:rsidRDefault="005905B6" w:rsidP="00893422">
      <w:pPr>
        <w:rPr>
          <w:rFonts w:cstheme="minorBidi"/>
          <w:lang w:val="es-ES_tradnl"/>
        </w:rPr>
      </w:pPr>
      <w:r w:rsidRPr="00893422">
        <w:rPr>
          <w:lang w:val="es-ES_tradnl"/>
        </w:rPr>
        <w:t xml:space="preserve">En el momento en que se celebró la </w:t>
      </w:r>
      <w:r w:rsidRPr="00893422">
        <w:rPr>
          <w:b/>
          <w:bCs/>
          <w:lang w:val="es-ES_tradnl"/>
        </w:rPr>
        <w:t>primera reunión</w:t>
      </w:r>
      <w:r w:rsidRPr="00893422">
        <w:rPr>
          <w:lang w:val="es-ES_tradnl"/>
        </w:rPr>
        <w:t>, no se habían recibido contribuciones escritas y, por lo tanto, se celebraron muy pocos debates. En vista de lo anterior y con el fin de estimular las contribuciones y los debates en las reuniones posteriores, el Grupo acordó que el Presidente, en consulta con la Secretaría, elaborara una contribución a tal efecto.</w:t>
      </w:r>
    </w:p>
    <w:p w14:paraId="20961159" w14:textId="412B007E" w:rsidR="005905B6" w:rsidRPr="00893422" w:rsidRDefault="005905B6" w:rsidP="00893422">
      <w:pPr>
        <w:rPr>
          <w:rFonts w:cstheme="minorBidi"/>
          <w:lang w:val="es-ES_tradnl"/>
        </w:rPr>
      </w:pPr>
      <w:r w:rsidRPr="00893422">
        <w:rPr>
          <w:lang w:val="es-ES_tradnl"/>
        </w:rPr>
        <w:t xml:space="preserve">Durante la </w:t>
      </w:r>
      <w:r w:rsidRPr="00893422">
        <w:rPr>
          <w:b/>
          <w:bCs/>
          <w:lang w:val="es-ES_tradnl"/>
        </w:rPr>
        <w:t>segunda reunión</w:t>
      </w:r>
      <w:r w:rsidRPr="00893422">
        <w:rPr>
          <w:lang w:val="es-ES_tradnl"/>
        </w:rPr>
        <w:t>, el Presidente presentó una propuesta al Grupo.</w:t>
      </w:r>
    </w:p>
    <w:p w14:paraId="3824553B" w14:textId="77777777" w:rsidR="005905B6" w:rsidRPr="00893422" w:rsidRDefault="005905B6" w:rsidP="00893422">
      <w:pPr>
        <w:rPr>
          <w:rFonts w:cstheme="minorBidi"/>
          <w:lang w:val="es-ES_tradnl"/>
        </w:rPr>
      </w:pPr>
      <w:r w:rsidRPr="00893422">
        <w:rPr>
          <w:lang w:val="es-ES_tradnl"/>
        </w:rPr>
        <w:t xml:space="preserve">Durante la </w:t>
      </w:r>
      <w:r w:rsidRPr="00893422">
        <w:rPr>
          <w:b/>
          <w:bCs/>
          <w:lang w:val="es-ES_tradnl"/>
        </w:rPr>
        <w:t>tercera reunión</w:t>
      </w:r>
      <w:r w:rsidRPr="00893422">
        <w:rPr>
          <w:lang w:val="es-ES_tradnl"/>
        </w:rPr>
        <w:t>, la Presidenta propuso seguir trabajando en la revisión de las prioridades del momento, de acuerdo con una nota que presentó (</w:t>
      </w:r>
      <w:hyperlink r:id="rId203" w:history="1">
        <w:r w:rsidRPr="00893422">
          <w:rPr>
            <w:rStyle w:val="Hyperlink"/>
            <w:lang w:val="es-ES_tradnl"/>
          </w:rPr>
          <w:t>TDAG-WG-ITUDP/8</w:t>
        </w:r>
      </w:hyperlink>
      <w:r w:rsidRPr="00893422">
        <w:rPr>
          <w:lang w:val="es-ES_tradnl"/>
        </w:rPr>
        <w:t>) antes de la reunión del 26 de marzo.</w:t>
      </w:r>
      <w:hyperlink r:id="rId204"/>
    </w:p>
    <w:p w14:paraId="64E6805D" w14:textId="77777777" w:rsidR="005905B6" w:rsidRPr="00893422" w:rsidRDefault="005905B6" w:rsidP="00893422">
      <w:pPr>
        <w:rPr>
          <w:rFonts w:cstheme="minorBidi"/>
          <w:lang w:val="es-ES_tradnl"/>
        </w:rPr>
      </w:pPr>
      <w:r w:rsidRPr="00893422">
        <w:rPr>
          <w:lang w:val="es-ES_tradnl"/>
        </w:rPr>
        <w:t>En la reunión se acordó lo siguiente:</w:t>
      </w:r>
    </w:p>
    <w:p w14:paraId="79D75802" w14:textId="3653A2D3" w:rsidR="005905B6" w:rsidRPr="00893422" w:rsidRDefault="00893422" w:rsidP="00893422">
      <w:pPr>
        <w:pStyle w:val="enumlev1"/>
        <w:rPr>
          <w:rFonts w:cstheme="minorBidi"/>
          <w:lang w:val="es-ES_tradnl"/>
        </w:rPr>
      </w:pPr>
      <w:r w:rsidRPr="00893422">
        <w:rPr>
          <w:lang w:val="es-ES_tradnl"/>
        </w:rPr>
        <w:t>–</w:t>
      </w:r>
      <w:r w:rsidRPr="00893422">
        <w:rPr>
          <w:lang w:val="es-ES_tradnl"/>
        </w:rPr>
        <w:tab/>
      </w:r>
      <w:r w:rsidR="005905B6" w:rsidRPr="00893422">
        <w:rPr>
          <w:lang w:val="es-ES_tradnl"/>
        </w:rPr>
        <w:t xml:space="preserve">basar el debate sobre las prioridades nuevas en las prioridades descritas en el Plan de Acción de Kigali, a saber: </w:t>
      </w:r>
    </w:p>
    <w:p w14:paraId="555837F7" w14:textId="3BDE4D6C" w:rsidR="005905B6" w:rsidRPr="00893422" w:rsidRDefault="00893422" w:rsidP="00893422">
      <w:pPr>
        <w:pStyle w:val="enumlev2"/>
        <w:rPr>
          <w:lang w:val="es-ES_tradnl"/>
        </w:rPr>
      </w:pPr>
      <w:r w:rsidRPr="00893422">
        <w:rPr>
          <w:lang w:val="es-ES_tradnl"/>
        </w:rPr>
        <w:t>•</w:t>
      </w:r>
      <w:r w:rsidRPr="00893422">
        <w:rPr>
          <w:lang w:val="es-ES_tradnl"/>
        </w:rPr>
        <w:tab/>
      </w:r>
      <w:r w:rsidR="005905B6" w:rsidRPr="00893422">
        <w:rPr>
          <w:lang w:val="es-ES_tradnl"/>
        </w:rPr>
        <w:t>Conectividad asequible;</w:t>
      </w:r>
    </w:p>
    <w:p w14:paraId="3467E6A8" w14:textId="0A18397A" w:rsidR="005905B6" w:rsidRPr="00893422" w:rsidRDefault="00893422" w:rsidP="00893422">
      <w:pPr>
        <w:pStyle w:val="enumlev2"/>
        <w:rPr>
          <w:lang w:val="es-ES_tradnl"/>
        </w:rPr>
      </w:pPr>
      <w:r w:rsidRPr="00893422">
        <w:rPr>
          <w:lang w:val="es-ES_tradnl"/>
        </w:rPr>
        <w:t>•</w:t>
      </w:r>
      <w:r w:rsidRPr="00893422">
        <w:rPr>
          <w:lang w:val="es-ES_tradnl"/>
        </w:rPr>
        <w:tab/>
      </w:r>
      <w:r w:rsidR="005905B6" w:rsidRPr="00893422">
        <w:rPr>
          <w:lang w:val="es-ES_tradnl"/>
        </w:rPr>
        <w:t>Transformación digital;</w:t>
      </w:r>
    </w:p>
    <w:p w14:paraId="11089267" w14:textId="5E61C673" w:rsidR="005905B6" w:rsidRPr="00893422" w:rsidRDefault="00893422" w:rsidP="00893422">
      <w:pPr>
        <w:pStyle w:val="enumlev2"/>
        <w:rPr>
          <w:lang w:val="es-ES_tradnl"/>
        </w:rPr>
      </w:pPr>
      <w:r w:rsidRPr="00893422">
        <w:rPr>
          <w:lang w:val="es-ES_tradnl"/>
        </w:rPr>
        <w:t>•</w:t>
      </w:r>
      <w:r w:rsidRPr="00893422">
        <w:rPr>
          <w:lang w:val="es-ES_tradnl"/>
        </w:rPr>
        <w:tab/>
      </w:r>
      <w:r w:rsidR="005905B6" w:rsidRPr="00893422">
        <w:rPr>
          <w:lang w:val="es-ES_tradnl"/>
        </w:rPr>
        <w:t>Entorno Político y Reglamentario Propicio;</w:t>
      </w:r>
    </w:p>
    <w:p w14:paraId="10E524F4" w14:textId="68070E67" w:rsidR="005905B6" w:rsidRPr="00893422" w:rsidRDefault="00893422" w:rsidP="00893422">
      <w:pPr>
        <w:pStyle w:val="enumlev2"/>
        <w:rPr>
          <w:lang w:val="es-ES_tradnl"/>
        </w:rPr>
      </w:pPr>
      <w:r w:rsidRPr="00893422">
        <w:rPr>
          <w:lang w:val="es-ES_tradnl"/>
        </w:rPr>
        <w:t>•</w:t>
      </w:r>
      <w:r w:rsidRPr="00893422">
        <w:rPr>
          <w:lang w:val="es-ES_tradnl"/>
        </w:rPr>
        <w:tab/>
      </w:r>
      <w:r w:rsidR="005905B6" w:rsidRPr="00893422">
        <w:rPr>
          <w:lang w:val="es-ES_tradnl"/>
        </w:rPr>
        <w:t>Movilización de Recursos y Cooperación Internacional;</w:t>
      </w:r>
    </w:p>
    <w:p w14:paraId="41C76C92" w14:textId="20D7B1E1" w:rsidR="005905B6" w:rsidRPr="00893422" w:rsidRDefault="00893422" w:rsidP="00893422">
      <w:pPr>
        <w:pStyle w:val="enumlev2"/>
        <w:rPr>
          <w:rFonts w:cstheme="minorBidi"/>
          <w:lang w:val="es-ES_tradnl"/>
        </w:rPr>
      </w:pPr>
      <w:r w:rsidRPr="00893422">
        <w:rPr>
          <w:lang w:val="es-ES_tradnl"/>
        </w:rPr>
        <w:t>•</w:t>
      </w:r>
      <w:r w:rsidRPr="00893422">
        <w:rPr>
          <w:lang w:val="es-ES_tradnl"/>
        </w:rPr>
        <w:tab/>
      </w:r>
      <w:r w:rsidR="005905B6" w:rsidRPr="00893422">
        <w:rPr>
          <w:lang w:val="es-ES_tradnl"/>
        </w:rPr>
        <w:t>Telecomunicaciones/TIC inclusivas y seguras para el desarrollo sostenible</w:t>
      </w:r>
      <w:r w:rsidR="009F7F22">
        <w:rPr>
          <w:lang w:val="es-ES_tradnl"/>
        </w:rPr>
        <w:t>;</w:t>
      </w:r>
    </w:p>
    <w:p w14:paraId="1A9D0544" w14:textId="45475653" w:rsidR="005905B6" w:rsidRPr="00893422" w:rsidRDefault="00893422" w:rsidP="00893422">
      <w:pPr>
        <w:pStyle w:val="enumlev1"/>
        <w:rPr>
          <w:rFonts w:cstheme="minorBidi"/>
          <w:lang w:val="es-ES_tradnl"/>
        </w:rPr>
      </w:pPr>
      <w:r w:rsidRPr="00893422">
        <w:rPr>
          <w:lang w:val="es-ES_tradnl"/>
        </w:rPr>
        <w:t>–</w:t>
      </w:r>
      <w:r w:rsidRPr="00893422">
        <w:rPr>
          <w:lang w:val="es-ES_tradnl"/>
        </w:rPr>
        <w:tab/>
      </w:r>
      <w:r w:rsidR="005905B6" w:rsidRPr="00893422">
        <w:rPr>
          <w:lang w:val="es-ES_tradnl"/>
        </w:rPr>
        <w:t>adoptar la estructura propuesta por la Presidenta para el Plan de Acción de Bakú, a fin de orientar el proceso de redacción.</w:t>
      </w:r>
    </w:p>
    <w:p w14:paraId="14DFCE95" w14:textId="77777777" w:rsidR="005905B6" w:rsidRPr="00893422" w:rsidRDefault="005905B6" w:rsidP="00893422">
      <w:pPr>
        <w:rPr>
          <w:rFonts w:cstheme="minorBidi"/>
          <w:lang w:val="es-ES_tradnl"/>
        </w:rPr>
      </w:pPr>
      <w:r w:rsidRPr="00893422">
        <w:rPr>
          <w:lang w:val="es-ES_tradnl"/>
        </w:rPr>
        <w:t xml:space="preserve">En la </w:t>
      </w:r>
      <w:r w:rsidRPr="00893422">
        <w:rPr>
          <w:b/>
          <w:bCs/>
          <w:lang w:val="es-ES_tradnl"/>
        </w:rPr>
        <w:t>cuarta reunión</w:t>
      </w:r>
      <w:r w:rsidRPr="00893422">
        <w:rPr>
          <w:lang w:val="es-ES_tradnl"/>
        </w:rPr>
        <w:t>, la Presidenta presentó un proyecto de propuesta (</w:t>
      </w:r>
      <w:hyperlink r:id="rId205" w:history="1">
        <w:r w:rsidRPr="00893422">
          <w:rPr>
            <w:rStyle w:val="Hyperlink"/>
            <w:lang w:val="es-ES_tradnl"/>
          </w:rPr>
          <w:t>TDAG-WG-ITUDP/13</w:t>
        </w:r>
      </w:hyperlink>
      <w:r w:rsidRPr="00893422">
        <w:rPr>
          <w:lang w:val="es-ES_tradnl"/>
        </w:rPr>
        <w:t>) conforme al acuerdo alcanzado en la tercera reunión, incluido texto sobre cada uno de los elementos considerados.</w:t>
      </w:r>
      <w:hyperlink r:id="rId206"/>
    </w:p>
    <w:p w14:paraId="6904EB8A" w14:textId="77777777" w:rsidR="005905B6" w:rsidRPr="00893422" w:rsidRDefault="005905B6" w:rsidP="00893422">
      <w:pPr>
        <w:rPr>
          <w:rFonts w:cstheme="minorBidi"/>
          <w:lang w:val="es-ES_tradnl"/>
        </w:rPr>
      </w:pPr>
      <w:r w:rsidRPr="00893422">
        <w:rPr>
          <w:lang w:val="es-ES_tradnl"/>
        </w:rPr>
        <w:t>La reunión acordó el proyecto y la revisión de una propuesta posterior de la Presidenta (</w:t>
      </w:r>
      <w:hyperlink r:id="rId207" w:history="1">
        <w:r w:rsidRPr="00893422">
          <w:rPr>
            <w:rStyle w:val="Hyperlink"/>
            <w:lang w:val="es-ES_tradnl"/>
          </w:rPr>
          <w:t>TDAG-WG-ITUDP/18</w:t>
        </w:r>
      </w:hyperlink>
      <w:r w:rsidRPr="00893422">
        <w:rPr>
          <w:lang w:val="es-ES_tradnl"/>
        </w:rPr>
        <w:t>) que se presentaría a la quinta reunión, con información adicional sobre las realizaciones, los indicadores y los facilitadores.</w:t>
      </w:r>
      <w:hyperlink r:id="rId208"/>
    </w:p>
    <w:p w14:paraId="7CCCFCEC" w14:textId="77777777" w:rsidR="005905B6" w:rsidRPr="00893422" w:rsidRDefault="005905B6" w:rsidP="00893422">
      <w:pPr>
        <w:rPr>
          <w:rFonts w:cstheme="minorBidi"/>
          <w:lang w:val="es-ES_tradnl"/>
        </w:rPr>
      </w:pPr>
      <w:r w:rsidRPr="00893422">
        <w:rPr>
          <w:lang w:val="es-ES_tradnl"/>
        </w:rPr>
        <w:lastRenderedPageBreak/>
        <w:t xml:space="preserve">En la </w:t>
      </w:r>
      <w:r w:rsidRPr="00893422">
        <w:rPr>
          <w:b/>
          <w:bCs/>
          <w:lang w:val="es-ES_tradnl"/>
        </w:rPr>
        <w:t>quinta reunión</w:t>
      </w:r>
      <w:r w:rsidRPr="00893422">
        <w:rPr>
          <w:lang w:val="es-ES_tradnl"/>
        </w:rPr>
        <w:t xml:space="preserve"> se examinó la propuesta actualizada de la Presidenta (</w:t>
      </w:r>
      <w:hyperlink r:id="rId209" w:history="1">
        <w:r w:rsidRPr="00893422">
          <w:rPr>
            <w:rStyle w:val="Hyperlink"/>
            <w:lang w:val="es-ES_tradnl"/>
          </w:rPr>
          <w:t>TDAG-WG-ITUDP/18</w:t>
        </w:r>
      </w:hyperlink>
      <w:r w:rsidRPr="00893422">
        <w:rPr>
          <w:lang w:val="es-ES_tradnl"/>
        </w:rPr>
        <w:t>), con las propuestas de las Bahamas y el Reino Unido (</w:t>
      </w:r>
      <w:hyperlink r:id="rId210" w:history="1">
        <w:r w:rsidRPr="00893422">
          <w:rPr>
            <w:rStyle w:val="Hyperlink"/>
            <w:lang w:val="es-ES_tradnl"/>
          </w:rPr>
          <w:t>TDAG-WG-ITUDP/19</w:t>
        </w:r>
      </w:hyperlink>
      <w:r w:rsidRPr="00893422">
        <w:rPr>
          <w:lang w:val="es-ES_tradnl"/>
        </w:rPr>
        <w:t xml:space="preserve">), que incluía la descripción de las prioridades, los resultados, los productos y el facilitador del UIT-D. </w:t>
      </w:r>
      <w:hyperlink r:id="rId211"/>
      <w:hyperlink r:id="rId212"/>
    </w:p>
    <w:p w14:paraId="5F0FEA3C" w14:textId="77777777" w:rsidR="005905B6" w:rsidRPr="00893422" w:rsidRDefault="005905B6" w:rsidP="00893422">
      <w:pPr>
        <w:rPr>
          <w:rFonts w:cstheme="minorBidi"/>
          <w:lang w:val="es-ES_tradnl"/>
        </w:rPr>
      </w:pPr>
      <w:r w:rsidRPr="00893422">
        <w:rPr>
          <w:lang w:val="es-ES_tradnl"/>
        </w:rPr>
        <w:t xml:space="preserve">En la </w:t>
      </w:r>
      <w:r w:rsidRPr="00893422">
        <w:rPr>
          <w:b/>
          <w:bCs/>
          <w:lang w:val="es-ES_tradnl"/>
        </w:rPr>
        <w:t>sexta reunión</w:t>
      </w:r>
      <w:r w:rsidRPr="00893422">
        <w:rPr>
          <w:lang w:val="es-ES_tradnl"/>
        </w:rPr>
        <w:t xml:space="preserve"> se siguió examinando la propuesta de la Presidenta (</w:t>
      </w:r>
      <w:hyperlink r:id="rId213" w:history="1">
        <w:r w:rsidRPr="00893422">
          <w:rPr>
            <w:rStyle w:val="Hyperlink"/>
            <w:lang w:val="es-ES_tradnl"/>
          </w:rPr>
          <w:t>TDAG-WG-ITUDP/21</w:t>
        </w:r>
      </w:hyperlink>
      <w:r w:rsidRPr="00893422">
        <w:rPr>
          <w:lang w:val="es-ES_tradnl"/>
        </w:rPr>
        <w:t xml:space="preserve">) y se debatió el Documento </w:t>
      </w:r>
      <w:hyperlink r:id="rId214" w:history="1">
        <w:r w:rsidRPr="00893422">
          <w:rPr>
            <w:rStyle w:val="Hyperlink"/>
            <w:lang w:val="es-ES_tradnl"/>
          </w:rPr>
          <w:t>TDAG-WG-ITUDP/20</w:t>
        </w:r>
      </w:hyperlink>
      <w:r w:rsidRPr="00893422">
        <w:rPr>
          <w:lang w:val="es-ES_tradnl"/>
        </w:rPr>
        <w:t xml:space="preserve"> presentado por el Canadá, el Paraguay y la República Dominicana, en el que se proponía incorporar el enfoque de la integración de género en todas las prioridades del UIT-D. </w:t>
      </w:r>
      <w:hyperlink r:id="rId215"/>
      <w:hyperlink r:id="rId216"/>
    </w:p>
    <w:p w14:paraId="0099ED6C" w14:textId="77777777" w:rsidR="005905B6" w:rsidRPr="00893422" w:rsidRDefault="005905B6" w:rsidP="00893422">
      <w:pPr>
        <w:rPr>
          <w:rFonts w:cstheme="minorBidi"/>
          <w:lang w:val="es-ES_tradnl"/>
        </w:rPr>
      </w:pPr>
      <w:r w:rsidRPr="00893422">
        <w:rPr>
          <w:lang w:val="es-ES_tradnl"/>
        </w:rPr>
        <w:t xml:space="preserve">Los autores destacaron que la perspectiva de género, como principio rector, se había incorporado sistemáticamente en todas las actividades, proyectos e iniciativas de la Unión Internacional de Telecomunicaciones (UIT), en particular en la labor de la Oficina de Desarrollo de las Telecomunicaciones (BDT), de conformidad con el mandato de la Resolución 70 de la Conferencia de Plenipotenciarios. Con ese principio se buscaba promover la igualdad, la equidad y la inclusión de género, a fin de cerrar la brecha digital y avanzar en una transformación digital que fuese significativa, inclusiva, efectiva y eficiente, asegurando que nadie se quedaba atrás. </w:t>
      </w:r>
    </w:p>
    <w:p w14:paraId="2C35F1BF" w14:textId="77777777" w:rsidR="005905B6" w:rsidRPr="00893422" w:rsidRDefault="005905B6" w:rsidP="00893422">
      <w:pPr>
        <w:rPr>
          <w:rFonts w:cstheme="minorBidi"/>
          <w:lang w:val="es-ES_tradnl"/>
        </w:rPr>
      </w:pPr>
      <w:r w:rsidRPr="00893422">
        <w:rPr>
          <w:lang w:val="es-ES_tradnl"/>
        </w:rPr>
        <w:t xml:space="preserve">Tras el debate, no se llegó a un acuerdo sobre la conveniencia o no de incorporar el tema de la incorporación de la perspectiva de género en las prioridades del Plan de Acción de Bakú del UIT-D. Se alentó a los Miembros a seguir examinando el principio de la incorporación de la perspectiva de género en sus reuniones interregionales previas a la CMDT-25 y la forma de poder reflejar esa cuestión en el texto de las Prioridades del UIT-D. Algunos Miembros no apoyaron la incorporación de la perspectiva de género en las prioridades del UIT-D. </w:t>
      </w:r>
    </w:p>
    <w:p w14:paraId="2C87F7FE" w14:textId="77777777" w:rsidR="005905B6" w:rsidRPr="00893422" w:rsidRDefault="005905B6" w:rsidP="00893422">
      <w:pPr>
        <w:rPr>
          <w:rFonts w:cstheme="minorBidi"/>
          <w:lang w:val="es-ES_tradnl"/>
        </w:rPr>
      </w:pPr>
      <w:r w:rsidRPr="00893422">
        <w:rPr>
          <w:lang w:val="es-ES_tradnl"/>
        </w:rPr>
        <w:t xml:space="preserve">Con respecto al proyecto de prioridades del UIT-D que figura en el Anexo 1, los Estados Unidos recomendaron seguir examinando y debatiendo la descripción de la prioridad de transformación digital, dado el desequilibrio que presentaba el texto en cuanto a su énfasis por el medio ambiente y el cambio climático en comparación con otros elementos importantes de la labor de la BDT sobre transformación digital. Los Estados Unidos recomendaron centrar esa sección de manera más general en el mandato y las actividades de la UIT sobre la transformación digital sin añadir texto relacionado con el medio ambiente. Los Estados Unidos reiteraron además su opinión (véase el </w:t>
      </w:r>
      <w:hyperlink r:id="rId217" w:history="1">
        <w:r w:rsidRPr="00893422">
          <w:rPr>
            <w:rStyle w:val="Hyperlink"/>
            <w:lang w:val="es-ES_tradnl"/>
          </w:rPr>
          <w:t>Documento 56</w:t>
        </w:r>
      </w:hyperlink>
      <w:r w:rsidRPr="00893422">
        <w:rPr>
          <w:lang w:val="es-ES_tradnl"/>
        </w:rPr>
        <w:t>) en oposición al texto del proyecto de prioridades del UIT-D en el que se apoyaba la Agenda 2030 para el Desarrollo Sostenible y los Objetivos de Desarrollo Sostenible. Los Estados Unidos también mostraron su oposición a las referencias en el documento en las que se promovían políticas de diversidad, equidad e inclusión. Invitan a los Miembros a tener en cuenta esas opiniones al preparar propuestas para la CMDT-25.</w:t>
      </w:r>
      <w:hyperlink r:id="rId218"/>
    </w:p>
    <w:p w14:paraId="774194D0" w14:textId="41AF6A9F" w:rsidR="005905B6" w:rsidRPr="00893422" w:rsidRDefault="005905B6" w:rsidP="00893422">
      <w:pPr>
        <w:rPr>
          <w:rFonts w:cstheme="minorBidi"/>
          <w:lang w:val="es-ES_tradnl"/>
        </w:rPr>
      </w:pPr>
      <w:r w:rsidRPr="00893422">
        <w:rPr>
          <w:lang w:val="es-ES_tradnl"/>
        </w:rPr>
        <w:t xml:space="preserve">Tras el debate sobre los indicadores fundamentales de rendimiento, se incluyeron en el proyecto definiciones de indicadores de realizaciones y productos. La Presidenta señaló a la atención de la reunión la </w:t>
      </w:r>
      <w:hyperlink r:id="rId219" w:history="1">
        <w:r w:rsidRPr="00893422">
          <w:rPr>
            <w:rStyle w:val="Hyperlink"/>
            <w:lang w:val="es-ES_tradnl"/>
          </w:rPr>
          <w:t>lista de indicadores fundamentales de rendimiento (IFR) acordada en el GADT-24</w:t>
        </w:r>
      </w:hyperlink>
      <w:r w:rsidRPr="00893422">
        <w:rPr>
          <w:lang w:val="es-ES_tradnl"/>
        </w:rPr>
        <w:t>, y alentó a utilizarla como referencia en futuros debates sobre el Plan de Acción de Bakú a nivel regional (ORT) o nacional.</w:t>
      </w:r>
      <w:hyperlink r:id="rId220"/>
    </w:p>
    <w:p w14:paraId="29F6E756" w14:textId="77777777" w:rsidR="005905B6" w:rsidRPr="00893422" w:rsidRDefault="005905B6" w:rsidP="00893422">
      <w:pPr>
        <w:rPr>
          <w:rFonts w:cstheme="minorBidi"/>
          <w:lang w:val="es-ES_tradnl"/>
        </w:rPr>
      </w:pPr>
      <w:r w:rsidRPr="00893422">
        <w:rPr>
          <w:lang w:val="es-ES_tradnl"/>
        </w:rPr>
        <w:t>Sobre la base de los comentarios y propuestas recibidos, se actualizaron las definiciones de las prioridades del UIT-D.</w:t>
      </w:r>
    </w:p>
    <w:p w14:paraId="0015A28A" w14:textId="358CF33E" w:rsidR="005905B6" w:rsidRPr="00893422" w:rsidRDefault="00893422" w:rsidP="00893422">
      <w:pPr>
        <w:pStyle w:val="Heading1"/>
        <w:rPr>
          <w:rFonts w:cstheme="minorBidi"/>
          <w:lang w:val="es-ES_tradnl"/>
        </w:rPr>
      </w:pPr>
      <w:r>
        <w:rPr>
          <w:lang w:val="es-ES_tradnl"/>
        </w:rPr>
        <w:lastRenderedPageBreak/>
        <w:t>3</w:t>
      </w:r>
      <w:r>
        <w:rPr>
          <w:lang w:val="es-ES_tradnl"/>
        </w:rPr>
        <w:tab/>
      </w:r>
      <w:r w:rsidR="005905B6" w:rsidRPr="00893422">
        <w:rPr>
          <w:lang w:val="es-ES_tradnl"/>
        </w:rPr>
        <w:t>Conclusiones y realización final</w:t>
      </w:r>
    </w:p>
    <w:p w14:paraId="590948DF" w14:textId="77777777" w:rsidR="005905B6" w:rsidRPr="00893422" w:rsidRDefault="005905B6" w:rsidP="00893422">
      <w:pPr>
        <w:keepNext/>
        <w:keepLines/>
        <w:rPr>
          <w:rFonts w:cstheme="minorBidi"/>
          <w:lang w:val="es-ES_tradnl"/>
        </w:rPr>
      </w:pPr>
      <w:r w:rsidRPr="00893422">
        <w:rPr>
          <w:lang w:val="es-ES_tradnl"/>
        </w:rPr>
        <w:t>El Anexo 1 contiene el proyecto de propuesta de Plan de Acción de Bakú acordado por el Grupo de Trabajo, para su consideración por el GADT.</w:t>
      </w:r>
    </w:p>
    <w:p w14:paraId="543D6A74" w14:textId="77777777" w:rsidR="005905B6" w:rsidRPr="00893422" w:rsidRDefault="005905B6" w:rsidP="00893422">
      <w:pPr>
        <w:keepNext/>
        <w:keepLines/>
        <w:rPr>
          <w:rFonts w:cstheme="minorBidi"/>
          <w:lang w:val="es-ES_tradnl"/>
        </w:rPr>
      </w:pPr>
      <w:r w:rsidRPr="00893422">
        <w:rPr>
          <w:lang w:val="es-ES_tradnl"/>
        </w:rPr>
        <w:t>Se invita a los Estados Miembros de la UIT a utilizar el proyecto de Plan de Acción de Bakú en sus preparativos para la CMDT-25.</w:t>
      </w:r>
    </w:p>
    <w:p w14:paraId="5329CAA4" w14:textId="77777777" w:rsidR="005905B6" w:rsidRPr="00893422" w:rsidRDefault="005905B6" w:rsidP="005905B6">
      <w:pPr>
        <w:tabs>
          <w:tab w:val="clear" w:pos="794"/>
          <w:tab w:val="clear" w:pos="1191"/>
          <w:tab w:val="clear" w:pos="1588"/>
          <w:tab w:val="clear" w:pos="1985"/>
        </w:tabs>
        <w:overflowPunct/>
        <w:autoSpaceDE/>
        <w:autoSpaceDN/>
        <w:adjustRightInd/>
        <w:spacing w:before="0"/>
        <w:textAlignment w:val="auto"/>
        <w:rPr>
          <w:rFonts w:cstheme="minorBidi"/>
          <w:b/>
          <w:bCs/>
          <w:lang w:val="es-ES_tradnl"/>
        </w:rPr>
      </w:pPr>
      <w:r w:rsidRPr="00893422">
        <w:rPr>
          <w:rFonts w:cstheme="minorBidi"/>
          <w:b/>
          <w:bCs/>
          <w:lang w:val="es-ES_tradnl"/>
        </w:rPr>
        <w:br w:type="page"/>
      </w:r>
    </w:p>
    <w:p w14:paraId="054FE201" w14:textId="77777777" w:rsidR="005905B6" w:rsidRPr="00893422" w:rsidRDefault="005905B6" w:rsidP="00893422">
      <w:pPr>
        <w:pStyle w:val="Annextitle"/>
        <w:rPr>
          <w:rFonts w:cstheme="minorBidi"/>
          <w:lang w:val="es-ES_tradnl"/>
        </w:rPr>
      </w:pPr>
      <w:r w:rsidRPr="00893422">
        <w:rPr>
          <w:lang w:val="es-ES_tradnl"/>
        </w:rPr>
        <w:lastRenderedPageBreak/>
        <w:t>Anexo 1: Proyecto de Plan de Acción de Bakú</w:t>
      </w:r>
    </w:p>
    <w:p w14:paraId="649DED78" w14:textId="1D44F43A" w:rsidR="005905B6" w:rsidRPr="00893422" w:rsidRDefault="00893422" w:rsidP="00893422">
      <w:pPr>
        <w:pStyle w:val="Heading1"/>
        <w:rPr>
          <w:rFonts w:cstheme="minorBidi"/>
          <w:lang w:val="es-ES_tradnl"/>
        </w:rPr>
      </w:pPr>
      <w:r>
        <w:rPr>
          <w:lang w:val="es-ES_tradnl"/>
        </w:rPr>
        <w:t>1</w:t>
      </w:r>
      <w:r>
        <w:rPr>
          <w:lang w:val="es-ES_tradnl"/>
        </w:rPr>
        <w:tab/>
      </w:r>
      <w:r w:rsidR="005905B6" w:rsidRPr="00893422">
        <w:rPr>
          <w:lang w:val="es-ES_tradnl"/>
        </w:rPr>
        <w:t>Introducción</w:t>
      </w:r>
    </w:p>
    <w:p w14:paraId="19ABFBC6" w14:textId="77777777" w:rsidR="005905B6" w:rsidRPr="00893422" w:rsidRDefault="005905B6" w:rsidP="00893422">
      <w:pPr>
        <w:rPr>
          <w:rFonts w:cstheme="minorBidi"/>
          <w:lang w:val="es-ES_tradnl"/>
        </w:rPr>
      </w:pPr>
      <w:r w:rsidRPr="00893422">
        <w:rPr>
          <w:lang w:val="es-ES_tradnl"/>
        </w:rPr>
        <w:t>En el Plan de Acción de Baku se describen las prioridades del UIT</w:t>
      </w:r>
      <w:r w:rsidRPr="00893422">
        <w:rPr>
          <w:lang w:val="es-ES_tradnl"/>
        </w:rPr>
        <w:noBreakHyphen/>
        <w:t xml:space="preserve">D, el alcance de las actividades y los correspondientes productos y realizaciones para el periodo 2026-2029, y se incluyen los indicadores fundamentales de rendimiento (IFR). </w:t>
      </w:r>
    </w:p>
    <w:p w14:paraId="75E692F9" w14:textId="77777777" w:rsidR="005905B6" w:rsidRPr="00893422" w:rsidRDefault="005905B6" w:rsidP="00893422">
      <w:pPr>
        <w:rPr>
          <w:rFonts w:cstheme="minorBidi"/>
          <w:lang w:val="es-ES_tradnl"/>
        </w:rPr>
      </w:pPr>
      <w:r w:rsidRPr="00893422">
        <w:rPr>
          <w:lang w:val="es-ES_tradnl"/>
        </w:rPr>
        <w:t>El GADT puede actualizar o modificar el Plan de Acción del UIT</w:t>
      </w:r>
      <w:r w:rsidRPr="00893422">
        <w:rPr>
          <w:lang w:val="es-ES_tradnl"/>
        </w:rPr>
        <w:noBreakHyphen/>
        <w:t>D a fin de plasmar en él el Plan Estratégico de la UIT, los cambios en el entorno de las telecomunicaciones/TIC y/o a modo de resultado de la evaluación de resultados que se realiza cada año.</w:t>
      </w:r>
    </w:p>
    <w:p w14:paraId="29A15591" w14:textId="5EC75FBE" w:rsidR="005905B6" w:rsidRPr="00893422" w:rsidRDefault="005905B6" w:rsidP="00893422">
      <w:pPr>
        <w:rPr>
          <w:rFonts w:cstheme="minorBidi"/>
          <w:lang w:val="es-ES_tradnl"/>
        </w:rPr>
      </w:pPr>
      <w:r w:rsidRPr="00893422">
        <w:rPr>
          <w:lang w:val="es-ES_tradnl"/>
        </w:rPr>
        <w:t>Este Plan de Acción es también la base del Plan Operacional anual renovable del UIT-D y sirve como marco de aplicación, ya que proporciona una descripción de la manera de lograr las prioridades y los objetivos del UIT-D identificados por sus Miembros en la CMDT. Estas prioridades se basan en las competencias y conocimientos técnicos esenciales del UIT-D y están estrechamente vinculadas y armonizadas con las prioridades y objetivos previstos en los planes/iniciativas de desarrollo más amplios de los ODS de las Naciones Unidas, el Plan Estratégico de la UIT y el Plan de Acción de la CMSI. En particular, todos ellos comparten la visión común de lograr el desarrollo sostenible aprovechando las oportunidades de las herramientas digitales y las</w:t>
      </w:r>
      <w:r w:rsidR="00893422">
        <w:rPr>
          <w:lang w:val="es-ES_tradnl"/>
        </w:rPr>
        <w:t> </w:t>
      </w:r>
      <w:r w:rsidRPr="00893422">
        <w:rPr>
          <w:lang w:val="es-ES_tradnl"/>
        </w:rPr>
        <w:t>TIC.</w:t>
      </w:r>
    </w:p>
    <w:p w14:paraId="2D5C5FF0" w14:textId="77777777" w:rsidR="005905B6" w:rsidRPr="00893422" w:rsidRDefault="005905B6" w:rsidP="00893422">
      <w:pPr>
        <w:rPr>
          <w:rFonts w:cstheme="minorBidi"/>
          <w:lang w:val="es-ES_tradnl"/>
        </w:rPr>
      </w:pPr>
      <w:r w:rsidRPr="00893422">
        <w:rPr>
          <w:lang w:val="es-ES_tradnl"/>
        </w:rPr>
        <w:t>Los productos (productos y servicios) del UIT-D y los correspondientes IFR se detallan en el Plan Operacional del UIT</w:t>
      </w:r>
      <w:r w:rsidRPr="00893422">
        <w:rPr>
          <w:lang w:val="es-ES_tradnl"/>
        </w:rPr>
        <w:noBreakHyphen/>
        <w:t>D, teniendo en cuenta la experiencia obtenida de la aplicación del Plan de Acción de Kigali.</w:t>
      </w:r>
    </w:p>
    <w:p w14:paraId="4BD93FDF" w14:textId="1FA1415F" w:rsidR="005905B6" w:rsidRPr="00893422" w:rsidRDefault="00893422" w:rsidP="00893422">
      <w:pPr>
        <w:pStyle w:val="Heading2"/>
        <w:rPr>
          <w:lang w:val="es-ES"/>
        </w:rPr>
      </w:pPr>
      <w:r w:rsidRPr="00893422">
        <w:rPr>
          <w:lang w:val="es-ES"/>
        </w:rPr>
        <w:t>1.1</w:t>
      </w:r>
      <w:r w:rsidRPr="00893422">
        <w:rPr>
          <w:lang w:val="es-ES"/>
        </w:rPr>
        <w:tab/>
      </w:r>
      <w:r w:rsidR="005905B6" w:rsidRPr="00893422">
        <w:rPr>
          <w:lang w:val="es-ES"/>
        </w:rPr>
        <w:t xml:space="preserve">Adaptación al marco estratégico de la UIT </w:t>
      </w:r>
    </w:p>
    <w:p w14:paraId="68742500" w14:textId="77777777" w:rsidR="005905B6" w:rsidRPr="00893422" w:rsidRDefault="005905B6" w:rsidP="00893422">
      <w:pPr>
        <w:rPr>
          <w:rFonts w:cstheme="minorBidi"/>
          <w:szCs w:val="24"/>
          <w:lang w:val="es-ES_tradnl"/>
        </w:rPr>
      </w:pPr>
      <w:r w:rsidRPr="00893422">
        <w:rPr>
          <w:lang w:val="es-ES_tradnl"/>
        </w:rPr>
        <w:t>Mediante el modelo que se sigue en el Plan de Acción se trata de avanzar hacia una mayor armonización de la estructura general de la GBR con el marco previsto en el Plan Estratégico de la UIT para 2024-2027. Con este modelo de GBR se aplica un enfoque más orientado al cliente a las prioridades temáticas definidas en el plan estratégico de la UIT para mejorar la eficiencia del UIT-D a la hora de enfocar los productos, el apoyo y los resultados con arreglo a estas vías estratégicas hacia los objetivos a más largo plazo.</w:t>
      </w:r>
    </w:p>
    <w:p w14:paraId="4ABC6CC8" w14:textId="77777777" w:rsidR="005905B6" w:rsidRPr="00893422" w:rsidRDefault="005905B6" w:rsidP="00893422">
      <w:pPr>
        <w:rPr>
          <w:rFonts w:cstheme="minorBidi"/>
          <w:szCs w:val="24"/>
          <w:lang w:val="es-ES_tradnl"/>
        </w:rPr>
      </w:pPr>
      <w:r w:rsidRPr="00893422">
        <w:rPr>
          <w:lang w:val="es-ES_tradnl"/>
        </w:rPr>
        <w:t>Este modelo de GBR servirá de marco para la futura planificación y evaluación, aplicando una estructura común entre el Plan Estratégico y el Plan Operacional. Esto incluirá una mayor integración de las estadísticas y los indicadores de la UIT y de las Naciones Unidas para mejorar el enfoque del análisis y la planificación de las necesidades de los países basado en pruebas empíricas. El modelo permitirá a la BDT ser más ágil a la hora de adaptar el apoyo técnico y la oferta de servicios a la evolución de las tendencias y al cambio de las necesidades de los Miembros.</w:t>
      </w:r>
    </w:p>
    <w:p w14:paraId="39A61132" w14:textId="77777777" w:rsidR="005905B6" w:rsidRPr="00893422" w:rsidRDefault="005905B6" w:rsidP="00893422">
      <w:pPr>
        <w:rPr>
          <w:rFonts w:eastAsia="Calibri Light" w:cstheme="minorBidi"/>
          <w:lang w:val="es-ES_tradnl"/>
        </w:rPr>
      </w:pPr>
      <w:r w:rsidRPr="00893422">
        <w:rPr>
          <w:lang w:val="es-ES_tradnl"/>
        </w:rPr>
        <w:t>Para orientar aún más un enfoque programático coherente en la ejecución del mandato a todos los niveles y a través de la presencia regional de la UIT, el marco del UIT-D está diseñado para la total sincronización a nivel regional de la GBR, las prioridades temáticas, la planificación operativa, las ofertas de apoyo técnico secuenciado y las evaluaciones de rendimiento de la cartera. Esto también ayudará a las regiones a ajustar estratégicamente el apoyo técnico de la BDT en función de cada una de las Iniciativas Regionales y de las tendencias locales específicas, manteniendo al mismo tiempo la coherencia con la visión y la misión mundiales definidas en el proyecto de Plan Estratégico de la UIT.</w:t>
      </w:r>
    </w:p>
    <w:p w14:paraId="32EE6B27" w14:textId="436A5DDC" w:rsidR="005905B6" w:rsidRPr="00893422" w:rsidRDefault="00893422" w:rsidP="00893422">
      <w:pPr>
        <w:pStyle w:val="Heading1"/>
        <w:rPr>
          <w:rFonts w:cstheme="minorBidi"/>
          <w:lang w:val="es-ES_tradnl"/>
        </w:rPr>
      </w:pPr>
      <w:r>
        <w:rPr>
          <w:lang w:val="es-ES_tradnl"/>
        </w:rPr>
        <w:lastRenderedPageBreak/>
        <w:t>2</w:t>
      </w:r>
      <w:r>
        <w:rPr>
          <w:lang w:val="es-ES_tradnl"/>
        </w:rPr>
        <w:tab/>
      </w:r>
      <w:r w:rsidR="005905B6" w:rsidRPr="00893422">
        <w:rPr>
          <w:lang w:val="es-ES_tradnl"/>
        </w:rPr>
        <w:t>Terminología</w:t>
      </w:r>
    </w:p>
    <w:p w14:paraId="7F9195A6" w14:textId="77777777" w:rsidR="005905B6" w:rsidRPr="00893422" w:rsidRDefault="005905B6" w:rsidP="00893422">
      <w:pPr>
        <w:pStyle w:val="Headingb"/>
        <w:rPr>
          <w:rFonts w:cstheme="minorBidi"/>
          <w:u w:val="single"/>
          <w:lang w:val="es-ES_tradnl"/>
        </w:rPr>
      </w:pPr>
      <w:r w:rsidRPr="00893422">
        <w:rPr>
          <w:u w:val="single"/>
          <w:lang w:val="es-ES_tradnl"/>
        </w:rPr>
        <w:t>Gestión basada en los resultados</w:t>
      </w:r>
    </w:p>
    <w:p w14:paraId="0F270362" w14:textId="77777777" w:rsidR="005905B6" w:rsidRPr="00893422" w:rsidRDefault="005905B6" w:rsidP="00893422">
      <w:pPr>
        <w:rPr>
          <w:rFonts w:cstheme="minorBidi"/>
          <w:lang w:val="es-ES_tradnl"/>
        </w:rPr>
      </w:pPr>
      <w:r w:rsidRPr="00893422">
        <w:rPr>
          <w:lang w:val="es-ES_tradnl"/>
        </w:rPr>
        <w:t>La gestión basada en los resultados (GBR) es una estrategia de gestión por la que todos los actores, que contribuyen directa o indirectamente a la consecución de un conjunto de resultados, garantizan que sus procesos, productos y servicios ayuden al logro de los resultados deseados (productos, realizaciones y metas o repercusiones de mayor nivel). A su vez, los actores utilizan la información y las pruebas obtenidas de los resultados reales para fundamentar la toma de decisiones en materia de diseño, dotación de recursos y ejecución de programas y actividades, así como para la rendición de cuentas y la presentación de informes.</w:t>
      </w:r>
    </w:p>
    <w:p w14:paraId="66B986AA" w14:textId="77777777" w:rsidR="005905B6" w:rsidRPr="00893422" w:rsidRDefault="005905B6" w:rsidP="00893422">
      <w:pPr>
        <w:pStyle w:val="Headingb"/>
        <w:rPr>
          <w:rFonts w:cstheme="minorBidi"/>
          <w:u w:val="single"/>
          <w:lang w:val="es-ES_tradnl"/>
        </w:rPr>
      </w:pPr>
      <w:r w:rsidRPr="00893422">
        <w:rPr>
          <w:u w:val="single"/>
          <w:lang w:val="es-ES_tradnl"/>
        </w:rPr>
        <w:t>Prioridades del UIT-D</w:t>
      </w:r>
    </w:p>
    <w:p w14:paraId="76700D35" w14:textId="77777777" w:rsidR="005905B6" w:rsidRPr="00893422" w:rsidRDefault="005905B6" w:rsidP="00893422">
      <w:pPr>
        <w:rPr>
          <w:rFonts w:cstheme="minorBidi"/>
          <w:lang w:val="es-ES_tradnl"/>
        </w:rPr>
      </w:pPr>
      <w:r w:rsidRPr="00893422">
        <w:rPr>
          <w:lang w:val="es-ES_tradnl"/>
        </w:rPr>
        <w:t>Las prioridades del UIT-D se enumeran en el Plan de Acción de Baku a fin de facilitar la ejecución del mandato del UIT-D y ofrecer orientación a la BDT para el siguiente ciclo de planificación sobre los objetivos que espera alcanzar el UIT-D, de conformidad con el enfoque general de GBR y las Metas Estratégicas y Prioridades Temáticas de la Unión.</w:t>
      </w:r>
    </w:p>
    <w:p w14:paraId="43B7A835" w14:textId="77777777" w:rsidR="005905B6" w:rsidRPr="00893422" w:rsidRDefault="005905B6" w:rsidP="00893422">
      <w:pPr>
        <w:pStyle w:val="Headingb"/>
        <w:rPr>
          <w:rFonts w:cstheme="minorBidi"/>
          <w:u w:val="single"/>
          <w:lang w:val="es-ES_tradnl"/>
        </w:rPr>
      </w:pPr>
      <w:r w:rsidRPr="00893422">
        <w:rPr>
          <w:u w:val="single"/>
          <w:lang w:val="es-ES_tradnl"/>
        </w:rPr>
        <w:t>Factores habilitadores</w:t>
      </w:r>
    </w:p>
    <w:p w14:paraId="77BCE021" w14:textId="77777777" w:rsidR="005905B6" w:rsidRPr="00893422" w:rsidRDefault="005905B6" w:rsidP="00893422">
      <w:pPr>
        <w:rPr>
          <w:rFonts w:cstheme="minorBidi"/>
          <w:lang w:val="es-ES_tradnl"/>
        </w:rPr>
      </w:pPr>
      <w:r w:rsidRPr="00893422">
        <w:rPr>
          <w:lang w:val="es-ES_tradnl"/>
        </w:rPr>
        <w:t>En el Plan Estratégico de la UIT para 2024-2027, por factores habilitadores se entienden los métodos de trabajo que permiten a la Unión cumplir sus metas y prioridades de manera más eficaz y eficiente. Estos reflejan los valores de la Unión de eficiencia, transparencia, responsabilidad, apertura, universalidad y neutralidad, y su condición de organización antropocéntrica, orientada a los servicios y basada en los resultados. A tal efecto, la UIT aprovecha sus principales puntos fuertes y aborda sus puntos débiles, para poder apoyar a sus miembros.</w:t>
      </w:r>
    </w:p>
    <w:p w14:paraId="23EF3AE4" w14:textId="77777777" w:rsidR="005905B6" w:rsidRPr="00893422" w:rsidRDefault="005905B6" w:rsidP="00893422">
      <w:pPr>
        <w:pStyle w:val="Headingb"/>
        <w:rPr>
          <w:rFonts w:cstheme="minorBidi"/>
          <w:u w:val="single"/>
          <w:lang w:val="es-ES_tradnl"/>
        </w:rPr>
      </w:pPr>
      <w:r w:rsidRPr="00893422">
        <w:rPr>
          <w:u w:val="single"/>
          <w:lang w:val="es-ES_tradnl"/>
        </w:rPr>
        <w:t>Resultados</w:t>
      </w:r>
    </w:p>
    <w:p w14:paraId="2BB2FBB2" w14:textId="77777777" w:rsidR="005905B6" w:rsidRPr="00893422" w:rsidRDefault="005905B6" w:rsidP="00893422">
      <w:pPr>
        <w:rPr>
          <w:rFonts w:cstheme="minorBidi"/>
          <w:lang w:val="es-ES_tradnl"/>
        </w:rPr>
      </w:pPr>
      <w:r w:rsidRPr="00893422">
        <w:rPr>
          <w:lang w:val="es-ES_tradnl"/>
        </w:rPr>
        <w:t>Los resultados son cambios en un estado o condición derivados de una relación causa-efecto. Existen tres tipos de cambios – productos, realizaciones y repercusiones – que pueden impulsarse mediante una intervención para el desarrollo. Los cambios pueden ser intencionados o no, positivos y/o negativos.</w:t>
      </w:r>
    </w:p>
    <w:p w14:paraId="0C6E9E5B" w14:textId="77777777" w:rsidR="005905B6" w:rsidRPr="00893422" w:rsidRDefault="005905B6" w:rsidP="00893422">
      <w:pPr>
        <w:pStyle w:val="Headingb"/>
        <w:rPr>
          <w:rFonts w:cstheme="minorBidi"/>
          <w:u w:val="single"/>
          <w:lang w:val="es-ES_tradnl"/>
        </w:rPr>
      </w:pPr>
      <w:r w:rsidRPr="00893422">
        <w:rPr>
          <w:u w:val="single"/>
          <w:lang w:val="es-ES_tradnl"/>
        </w:rPr>
        <w:t>Realizaciones</w:t>
      </w:r>
    </w:p>
    <w:p w14:paraId="0ABDAF80" w14:textId="77777777" w:rsidR="005905B6" w:rsidRPr="00893422" w:rsidRDefault="005905B6" w:rsidP="00893422">
      <w:pPr>
        <w:rPr>
          <w:rFonts w:cstheme="minorBidi"/>
          <w:lang w:val="es-ES_tradnl"/>
        </w:rPr>
      </w:pPr>
      <w:r w:rsidRPr="00893422">
        <w:rPr>
          <w:lang w:val="es-ES_tradnl"/>
        </w:rPr>
        <w:t xml:space="preserve">Las realizaciones representan los cambios en las capacidades institucionales y de comportamiento para las condiciones de desarrollo que se producen entre la realización de los productos y la consecución de las metas. </w:t>
      </w:r>
    </w:p>
    <w:p w14:paraId="2A027BF2" w14:textId="77777777" w:rsidR="005905B6" w:rsidRPr="00893422" w:rsidRDefault="005905B6" w:rsidP="00893422">
      <w:pPr>
        <w:rPr>
          <w:rFonts w:cstheme="minorBidi"/>
          <w:lang w:val="es-ES_tradnl"/>
        </w:rPr>
      </w:pPr>
      <w:r w:rsidRPr="00893422">
        <w:rPr>
          <w:lang w:val="es-ES_tradnl"/>
        </w:rPr>
        <w:t>Las realizaciones guardan relación con los cambios en el desempeño o comportamiento institucional entre personas o grupos, y su consecución depende esencialmente del compromiso y las acciones de las partes interesadas, así como de los resultados que han de alcanzar los gobiernos.</w:t>
      </w:r>
    </w:p>
    <w:p w14:paraId="3C59C077" w14:textId="77777777" w:rsidR="005905B6" w:rsidRPr="00893422" w:rsidRDefault="005905B6" w:rsidP="00893422">
      <w:pPr>
        <w:pStyle w:val="Headingb"/>
        <w:rPr>
          <w:rFonts w:cstheme="minorBidi"/>
          <w:u w:val="single"/>
          <w:lang w:val="es-ES_tradnl"/>
        </w:rPr>
      </w:pPr>
      <w:r w:rsidRPr="00893422">
        <w:rPr>
          <w:u w:val="single"/>
          <w:lang w:val="es-ES_tradnl"/>
        </w:rPr>
        <w:t>Productos</w:t>
      </w:r>
    </w:p>
    <w:p w14:paraId="5A396EFE" w14:textId="77777777" w:rsidR="005905B6" w:rsidRPr="00893422" w:rsidRDefault="005905B6" w:rsidP="00893422">
      <w:pPr>
        <w:rPr>
          <w:rFonts w:cstheme="minorBidi"/>
          <w:lang w:val="es-ES_tradnl"/>
        </w:rPr>
      </w:pPr>
      <w:r w:rsidRPr="00893422">
        <w:rPr>
          <w:lang w:val="es-ES_tradnl"/>
        </w:rPr>
        <w:t>Los productos son cambios de las calificaciones o habilidades y capacidades de las personas o instituciones, o la disponibilidad de nuevos productos y servicios que resultan de la finalización de las actividades de una intervención para el desarrollo bajo el control de la Organización. Se consiguen mediante los recursos proporcionados y en el periodo especificado en el Plan Operacional del UIT-D.</w:t>
      </w:r>
    </w:p>
    <w:p w14:paraId="6863F757" w14:textId="2F121D3A" w:rsidR="005905B6" w:rsidRPr="00893422" w:rsidRDefault="005905B6" w:rsidP="00893422">
      <w:pPr>
        <w:rPr>
          <w:rFonts w:cstheme="minorBidi"/>
          <w:lang w:val="es-ES_tradnl"/>
        </w:rPr>
      </w:pPr>
      <w:r w:rsidRPr="00893422">
        <w:rPr>
          <w:lang w:val="es-ES_tradnl"/>
        </w:rPr>
        <w:lastRenderedPageBreak/>
        <w:t>En el Plan de Acción del UIT-D se indica que los productos son los "productos y servicios" especializados que se ofrecen en el marco del mandato del UIT-D, tal como se define en el Artículo</w:t>
      </w:r>
      <w:r w:rsidR="00893422">
        <w:rPr>
          <w:lang w:val="es-ES_tradnl"/>
        </w:rPr>
        <w:t> </w:t>
      </w:r>
      <w:r w:rsidRPr="00893422">
        <w:rPr>
          <w:lang w:val="es-ES_tradnl"/>
        </w:rPr>
        <w:t>21 de la Constitución de la UIT, y que incluyen, entre otras cosas, la capacitación y la difusión de las competencias técnicas y los conocimientos de la UIT. Los productos del UIT-D se detallan en el Plan Operacional del UIT-D.</w:t>
      </w:r>
    </w:p>
    <w:p w14:paraId="5E14A21D" w14:textId="77777777" w:rsidR="005905B6" w:rsidRPr="00893422" w:rsidRDefault="005905B6" w:rsidP="00893422">
      <w:pPr>
        <w:pStyle w:val="Headingb"/>
        <w:rPr>
          <w:rFonts w:cstheme="minorBidi"/>
          <w:u w:val="single"/>
          <w:lang w:val="es-ES_tradnl"/>
        </w:rPr>
      </w:pPr>
      <w:r w:rsidRPr="00893422">
        <w:rPr>
          <w:u w:val="single"/>
          <w:lang w:val="es-ES_tradnl"/>
        </w:rPr>
        <w:t>Repercusiones</w:t>
      </w:r>
    </w:p>
    <w:p w14:paraId="589C26BF" w14:textId="77777777" w:rsidR="005905B6" w:rsidRPr="00893422" w:rsidRDefault="005905B6" w:rsidP="00893422">
      <w:pPr>
        <w:rPr>
          <w:rFonts w:cstheme="minorBidi"/>
          <w:lang w:val="es-ES_tradnl"/>
        </w:rPr>
      </w:pPr>
      <w:r w:rsidRPr="00893422">
        <w:rPr>
          <w:lang w:val="es-ES_tradnl"/>
        </w:rPr>
        <w:t>Las repercusiones son los cambios en la vida de las personas. Puede tratarse de cambios en los conocimientos, las competencias, el comportamiento, la salud o las condiciones de vida de los niños, los adultos, las familias o las comunidades. Estos cambios son efectos positivos o negativos a largo plazo que se producen en grupos de población concretos a raíz de una intervención para el desarrollo, ya sea directa o indirectamente o de forma intencionada o no. Estos efectos pueden ser económicos, socioculturales, institucionales, medioambientales, tecnológicos o de otra índole.</w:t>
      </w:r>
    </w:p>
    <w:p w14:paraId="79876305" w14:textId="77777777" w:rsidR="005905B6" w:rsidRPr="00893422" w:rsidRDefault="005905B6" w:rsidP="00893422">
      <w:pPr>
        <w:pStyle w:val="Headingb"/>
        <w:rPr>
          <w:rFonts w:cstheme="minorBidi"/>
          <w:u w:val="single"/>
          <w:lang w:val="es-ES_tradnl"/>
        </w:rPr>
      </w:pPr>
      <w:r w:rsidRPr="00893422">
        <w:rPr>
          <w:u w:val="single"/>
          <w:lang w:val="es-ES_tradnl"/>
        </w:rPr>
        <w:t>Indicadores fundamentales de rendimiento</w:t>
      </w:r>
    </w:p>
    <w:p w14:paraId="59EEBDC3" w14:textId="77777777" w:rsidR="005905B6" w:rsidRPr="00893422" w:rsidRDefault="005905B6" w:rsidP="00893422">
      <w:pPr>
        <w:rPr>
          <w:rFonts w:cstheme="minorBidi"/>
          <w:lang w:val="es-ES_tradnl"/>
        </w:rPr>
      </w:pPr>
      <w:r w:rsidRPr="00893422">
        <w:rPr>
          <w:lang w:val="es-ES_tradnl"/>
        </w:rPr>
        <w:t>Los indicadores fundamentales de rendimiento (IFR) vinculados al Plan de Acción de Baku y al Plan Operacional del UIT-D permiten a los Estados Miembros supervisar los progresos y las repercusiones de la aplicación de los mencionados Planes, incluidas las prioridades del UIT-D.</w:t>
      </w:r>
    </w:p>
    <w:p w14:paraId="36F2C0ED" w14:textId="77777777" w:rsidR="005905B6" w:rsidRPr="00893422" w:rsidRDefault="005905B6" w:rsidP="00893422">
      <w:pPr>
        <w:rPr>
          <w:rFonts w:cstheme="minorBidi"/>
          <w:lang w:val="es-ES_tradnl"/>
        </w:rPr>
      </w:pPr>
      <w:r w:rsidRPr="00893422">
        <w:rPr>
          <w:lang w:val="es-ES_tradnl"/>
        </w:rPr>
        <w:t>Además de los IFR globales, la supervisión y evaluación del Plan de Acción de Bakú debe incluir un desglose cuando sea necesario y cuando permita una mejor comprensión de una cuestión fundamental. Por ejemplo, el desglose por países menos adelantados (PMA), países en desarrollo sin litoral (PDSL) y pequeños Estados insulares en desarrollo (PEID), así como por región en esas categorías puede revelar disparidades que podrían quedar ocultas en un único IFR global. El desglose ha de tener en cuenta el género, la edad, la situación geográfica y cualquier otra información desglosada pertinente para reducir la brecha digital.</w:t>
      </w:r>
    </w:p>
    <w:p w14:paraId="19E00AD5" w14:textId="77777777" w:rsidR="005905B6" w:rsidRPr="00893422" w:rsidRDefault="005905B6" w:rsidP="00893422">
      <w:pPr>
        <w:rPr>
          <w:rFonts w:cstheme="minorBidi"/>
          <w:lang w:val="es-ES_tradnl"/>
        </w:rPr>
      </w:pPr>
      <w:r w:rsidRPr="00893422">
        <w:rPr>
          <w:lang w:val="es-ES_tradnl"/>
        </w:rPr>
        <w:t xml:space="preserve">Los </w:t>
      </w:r>
      <w:r w:rsidRPr="00893422">
        <w:rPr>
          <w:b/>
          <w:bCs/>
          <w:lang w:val="es-ES_tradnl"/>
        </w:rPr>
        <w:t>indicadores atinentes a las realizaciones</w:t>
      </w:r>
      <w:r w:rsidRPr="00893422">
        <w:rPr>
          <w:lang w:val="es-ES_tradnl"/>
        </w:rPr>
        <w:t xml:space="preserve"> sirven para supervisar los cambios y repercusiones a nivel de los países a los que contribuye la BDT, por ejemplo, los generados por el despliegue de productos y servicios desarrollados por la BDT.</w:t>
      </w:r>
    </w:p>
    <w:p w14:paraId="430C52D6" w14:textId="77777777" w:rsidR="005905B6" w:rsidRPr="00893422" w:rsidRDefault="005905B6" w:rsidP="00893422">
      <w:pPr>
        <w:rPr>
          <w:rFonts w:cstheme="minorBidi"/>
          <w:lang w:val="es-ES_tradnl"/>
        </w:rPr>
      </w:pPr>
      <w:r w:rsidRPr="00893422">
        <w:rPr>
          <w:lang w:val="es-ES_tradnl"/>
        </w:rPr>
        <w:t xml:space="preserve">Los </w:t>
      </w:r>
      <w:r w:rsidRPr="00893422">
        <w:rPr>
          <w:b/>
          <w:bCs/>
          <w:lang w:val="es-ES_tradnl"/>
        </w:rPr>
        <w:t>indicadores atinentes a los productos</w:t>
      </w:r>
      <w:r w:rsidRPr="00893422">
        <w:rPr>
          <w:lang w:val="es-ES_tradnl"/>
        </w:rPr>
        <w:t xml:space="preserve"> miden los logros relacionados con el desarrollo de productos o servicios (productos) elaborados por la BDT y, por tanto, esta los establece a nivel del plan operacional y se supervisan a nivel interno.</w:t>
      </w:r>
    </w:p>
    <w:p w14:paraId="4AD2C431" w14:textId="77777777" w:rsidR="005905B6" w:rsidRPr="00893422" w:rsidRDefault="005905B6" w:rsidP="00893422">
      <w:pPr>
        <w:pStyle w:val="Headingb"/>
        <w:rPr>
          <w:rFonts w:cstheme="minorBidi"/>
          <w:u w:val="single"/>
          <w:lang w:val="es-ES_tradnl"/>
        </w:rPr>
      </w:pPr>
      <w:r w:rsidRPr="00893422">
        <w:rPr>
          <w:u w:val="single"/>
          <w:lang w:val="es-ES_tradnl"/>
        </w:rPr>
        <w:t>Plan Operacional del UIT-D</w:t>
      </w:r>
    </w:p>
    <w:p w14:paraId="12BD6D96" w14:textId="77777777" w:rsidR="005905B6" w:rsidRPr="00893422" w:rsidRDefault="005905B6" w:rsidP="00893422">
      <w:pPr>
        <w:rPr>
          <w:rFonts w:cstheme="minorBidi"/>
          <w:lang w:val="es-ES_tradnl"/>
        </w:rPr>
      </w:pPr>
      <w:r w:rsidRPr="00893422">
        <w:rPr>
          <w:lang w:val="es-ES_tradnl"/>
        </w:rPr>
        <w:t>La BDT prepara cada año el Plan Operacional del UIT-D en consulta con el Grupo Asesor de Desarrollo de las Telecomunicaciones (GADT) y de conformidad con el Plan de Acción del UIT-D y los Planes Estratégico y Financiero de la Unión. Contiene el plan detallado de las actividades del año siguiente y una previsión sobre el periodo trienal siguiente para el UIT-D. El Consejo de la UIT examina y aprueba el Plan Operacional cuadrienal renovable del UIT-D.</w:t>
      </w:r>
    </w:p>
    <w:p w14:paraId="0821C88C" w14:textId="77777777" w:rsidR="005905B6" w:rsidRPr="00893422" w:rsidRDefault="005905B6" w:rsidP="00893422">
      <w:pPr>
        <w:pStyle w:val="Headingb"/>
        <w:rPr>
          <w:rFonts w:cstheme="minorBidi"/>
          <w:u w:val="single"/>
          <w:lang w:val="es-ES_tradnl"/>
        </w:rPr>
      </w:pPr>
      <w:r w:rsidRPr="00893422">
        <w:rPr>
          <w:u w:val="single"/>
          <w:lang w:val="es-ES_tradnl"/>
        </w:rPr>
        <w:t>Iniciativas Regionales y otros proyectos</w:t>
      </w:r>
    </w:p>
    <w:p w14:paraId="1317470E" w14:textId="77777777" w:rsidR="005905B6" w:rsidRPr="00893422" w:rsidRDefault="005905B6" w:rsidP="00893422">
      <w:pPr>
        <w:rPr>
          <w:rFonts w:cstheme="minorBidi"/>
          <w:lang w:val="es-ES_tradnl"/>
        </w:rPr>
      </w:pPr>
      <w:r w:rsidRPr="00893422">
        <w:rPr>
          <w:lang w:val="es-ES_tradnl"/>
        </w:rPr>
        <w:t xml:space="preserve">Las Iniciativas Regionales están destinadas a abordar las esferas prioritarias específicas de las telecomunicaciones/TIC a través de asociaciones y de la movilización de recursos para realizar proyectos. Para cada Iniciativa Regional, los proyectos se proponen, elaboran y ejecutan de modo que respondan a las necesidades de la región. Los productos y servicios que deben desarrollarse a través de Iniciativas Regionales para alcanzar los objetivos y realizaciones conexos de la </w:t>
      </w:r>
      <w:r w:rsidRPr="00893422">
        <w:rPr>
          <w:lang w:val="es-ES_tradnl"/>
        </w:rPr>
        <w:lastRenderedPageBreak/>
        <w:t>contribución del UIT-D al Plan Estratégico de la UIT se identificarán en los documentos de proyecto pertinentes.</w:t>
      </w:r>
    </w:p>
    <w:p w14:paraId="7F0D8D4B" w14:textId="77777777" w:rsidR="005905B6" w:rsidRPr="00893422" w:rsidRDefault="005905B6" w:rsidP="00893422">
      <w:pPr>
        <w:rPr>
          <w:rFonts w:cstheme="minorBidi"/>
          <w:lang w:val="es-ES_tradnl"/>
        </w:rPr>
      </w:pPr>
      <w:r w:rsidRPr="00893422">
        <w:rPr>
          <w:lang w:val="es-ES_tradnl"/>
        </w:rPr>
        <w:t>En cumplimiento del doble cometido de la Unión como organismo especializado de las Naciones Unidas y como organismo ejecutor de proyectos en el marco del sistema de desarrollo de las Naciones Unidas y de otras iniciativas de financiación, y con objeto de facilitar y potenciar el desarrollo de las telecomunicaciones/TIC, el UIT-D ofrece, organiza y coordina actividades de cooperación y asistencia técnica a través de Iniciativas Regionales y proyectos.</w:t>
      </w:r>
    </w:p>
    <w:p w14:paraId="45F272B4" w14:textId="77777777" w:rsidR="005905B6" w:rsidRPr="00893422" w:rsidRDefault="005905B6" w:rsidP="00893422">
      <w:pPr>
        <w:pStyle w:val="Headingb"/>
        <w:rPr>
          <w:rFonts w:cstheme="minorBidi"/>
          <w:u w:val="single"/>
          <w:lang w:val="es-ES_tradnl"/>
        </w:rPr>
      </w:pPr>
      <w:r w:rsidRPr="00893422">
        <w:rPr>
          <w:u w:val="single"/>
          <w:lang w:val="es-ES_tradnl"/>
        </w:rPr>
        <w:t>Asociaciones</w:t>
      </w:r>
    </w:p>
    <w:p w14:paraId="012731FF" w14:textId="77777777" w:rsidR="005905B6" w:rsidRPr="00893422" w:rsidRDefault="005905B6" w:rsidP="00893422">
      <w:pPr>
        <w:rPr>
          <w:rFonts w:cstheme="minorBidi"/>
          <w:lang w:val="es-ES_tradnl"/>
        </w:rPr>
      </w:pPr>
      <w:r w:rsidRPr="00893422">
        <w:rPr>
          <w:lang w:val="es-ES_tradnl"/>
        </w:rPr>
        <w:t>La BDT seguirá forjando asociaciones con diversas partes interesadas, incluidos otros organismos de las Naciones Unidas y organizaciones regionales de telecomunicaciones, con el fin de movilizar recursos de organismos de financiación, instituciones financieras internacionales, Estados Miembros de la UIT y Miembros de Sector del UIT-D, así como de otros asociados pertinentes. Al ejecutar proyectos, deben tomarse en consideración los conocimientos especializados locales y regionales disponibles.</w:t>
      </w:r>
    </w:p>
    <w:p w14:paraId="57B5A581" w14:textId="6F360392" w:rsidR="005905B6" w:rsidRPr="00893422" w:rsidRDefault="00893422" w:rsidP="00893422">
      <w:pPr>
        <w:pStyle w:val="Heading1"/>
        <w:rPr>
          <w:rFonts w:cstheme="minorBidi"/>
          <w:lang w:val="es-ES_tradnl"/>
        </w:rPr>
      </w:pPr>
      <w:r>
        <w:rPr>
          <w:lang w:val="es-ES_tradnl"/>
        </w:rPr>
        <w:t>3</w:t>
      </w:r>
      <w:r>
        <w:rPr>
          <w:lang w:val="es-ES_tradnl"/>
        </w:rPr>
        <w:tab/>
      </w:r>
      <w:r w:rsidR="005905B6" w:rsidRPr="00893422">
        <w:rPr>
          <w:lang w:val="es-ES_tradnl"/>
        </w:rPr>
        <w:t>Prioridades, realizaciones, productos y factores habilitadores del UIT-D</w:t>
      </w:r>
    </w:p>
    <w:p w14:paraId="6E9B2399" w14:textId="159B5381" w:rsidR="005905B6" w:rsidRPr="00893422" w:rsidRDefault="00893422" w:rsidP="00893422">
      <w:pPr>
        <w:pStyle w:val="Heading2"/>
        <w:rPr>
          <w:lang w:val="es-ES"/>
        </w:rPr>
      </w:pPr>
      <w:r w:rsidRPr="00893422">
        <w:rPr>
          <w:lang w:val="es-ES"/>
        </w:rPr>
        <w:t>3.1</w:t>
      </w:r>
      <w:r w:rsidRPr="00893422">
        <w:rPr>
          <w:lang w:val="es-ES"/>
        </w:rPr>
        <w:tab/>
      </w:r>
      <w:r w:rsidR="005905B6" w:rsidRPr="00893422">
        <w:rPr>
          <w:lang w:val="es-ES"/>
        </w:rPr>
        <w:t>Estructura del Plan de Acción de Baku</w:t>
      </w:r>
    </w:p>
    <w:p w14:paraId="50B192CD" w14:textId="54C20196" w:rsidR="005905B6" w:rsidRPr="00893422" w:rsidRDefault="005905B6" w:rsidP="00893422">
      <w:pPr>
        <w:rPr>
          <w:rFonts w:cstheme="minorBidi"/>
          <w:color w:val="000000"/>
          <w:lang w:val="es-ES_tradnl"/>
        </w:rPr>
      </w:pPr>
      <w:r w:rsidRPr="00893422">
        <w:rPr>
          <w:lang w:val="es-ES_tradnl"/>
        </w:rPr>
        <w:t>El Plan de Acción de Baku sigue un marco de GBR, basado en las prioridades del UIT-D identificadas como áreas de trabajo clave, que apoyará la realización del Plan Estratégico de la UIT para 2024-2027.</w:t>
      </w:r>
    </w:p>
    <w:p w14:paraId="4759A3CE" w14:textId="77777777" w:rsidR="005905B6" w:rsidRDefault="005905B6" w:rsidP="00893422">
      <w:pPr>
        <w:rPr>
          <w:lang w:val="es-ES_tradnl"/>
        </w:rPr>
      </w:pPr>
      <w:r w:rsidRPr="00893422">
        <w:rPr>
          <w:lang w:val="es-ES_tradnl"/>
        </w:rPr>
        <w:t>En la Figura 1 se muestra la estructura del Plan de Acción de Baku y las prioridades que contribuyen al Plan Estratégico de la UIT.</w:t>
      </w:r>
    </w:p>
    <w:p w14:paraId="2E16C2C2" w14:textId="2B2B9036" w:rsidR="00541888" w:rsidRDefault="00541888" w:rsidP="00541888">
      <w:pPr>
        <w:pStyle w:val="Figure"/>
        <w:rPr>
          <w:lang w:val="es-ES_tradnl"/>
        </w:rPr>
      </w:pPr>
      <w:r>
        <w:drawing>
          <wp:inline distT="0" distB="0" distL="0" distR="0" wp14:anchorId="41482535" wp14:editId="22406850">
            <wp:extent cx="6120765" cy="3442970"/>
            <wp:effectExtent l="0" t="0" r="0" b="508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extLst>
                        <a:ext uri="{96DAC541-7B7A-43D3-8B79-37D633B846F1}">
                          <asvg:svgBlip xmlns:asvg="http://schemas.microsoft.com/office/drawing/2016/SVG/main" r:embed="rId222"/>
                        </a:ext>
                      </a:extLst>
                    </a:blip>
                    <a:stretch>
                      <a:fillRect/>
                    </a:stretch>
                  </pic:blipFill>
                  <pic:spPr>
                    <a:xfrm>
                      <a:off x="0" y="0"/>
                      <a:ext cx="6120765" cy="3442970"/>
                    </a:xfrm>
                    <a:prstGeom prst="rect">
                      <a:avLst/>
                    </a:prstGeom>
                  </pic:spPr>
                </pic:pic>
              </a:graphicData>
            </a:graphic>
          </wp:inline>
        </w:drawing>
      </w:r>
    </w:p>
    <w:p w14:paraId="46C8B4C1" w14:textId="3461ECF5" w:rsidR="005905B6" w:rsidRPr="00893422" w:rsidRDefault="00893422" w:rsidP="00893422">
      <w:pPr>
        <w:pStyle w:val="Heading2"/>
      </w:pPr>
      <w:r>
        <w:lastRenderedPageBreak/>
        <w:t>3.2</w:t>
      </w:r>
      <w:r>
        <w:tab/>
      </w:r>
      <w:r w:rsidR="005905B6" w:rsidRPr="00893422">
        <w:t>Prioridades del UIT-D</w:t>
      </w:r>
    </w:p>
    <w:p w14:paraId="1CCB1D71" w14:textId="77777777" w:rsidR="005905B6" w:rsidRPr="001061BE" w:rsidRDefault="005905B6" w:rsidP="00893422">
      <w:pPr>
        <w:pStyle w:val="Headingb"/>
        <w:rPr>
          <w:rFonts w:cstheme="minorBidi"/>
          <w:u w:val="single"/>
          <w:lang w:val="es-ES_tradnl"/>
        </w:rPr>
      </w:pPr>
      <w:r w:rsidRPr="001061BE">
        <w:rPr>
          <w:u w:val="single"/>
          <w:lang w:val="es-ES_tradnl"/>
        </w:rPr>
        <w:t>Conectividad asequible</w:t>
      </w:r>
    </w:p>
    <w:p w14:paraId="37353CE9" w14:textId="77777777" w:rsidR="005905B6" w:rsidRPr="00893422" w:rsidRDefault="005905B6" w:rsidP="001061BE">
      <w:pPr>
        <w:rPr>
          <w:rFonts w:cstheme="minorBidi"/>
          <w:lang w:val="es-ES_tradnl"/>
        </w:rPr>
      </w:pPr>
      <w:r w:rsidRPr="00893422">
        <w:rPr>
          <w:lang w:val="es-ES_tradnl"/>
        </w:rPr>
        <w:t xml:space="preserve">Mediante esta prioridad se procura impulsar el acceso a las telecomunicaciones/TIC para todas las personas, en particular a Internet, los servicios de comunicación digital, los servicios de radiocomunicaciones espaciales, la banda ancha, y los servicios y dispositivos de voz, a un coste razonable y asequible para las personas o los hogares, en relación con sus ingresos, sin causar cargas financieras. En el marco de esta prioridad, la BDT seguirá prestando asistencia a los Estados Miembros respecto del desarrollo de la infraestructura y los servicios de telecomunicaciones/TIC, ampliando el acceso y la cobertura de la banda ancha y garantizando las telecomunicaciones de emergencia y la resiliencia al riesgo de catástrofes. </w:t>
      </w:r>
    </w:p>
    <w:p w14:paraId="106E8DB7" w14:textId="115F7459" w:rsidR="005905B6" w:rsidRPr="00893422" w:rsidRDefault="005905B6" w:rsidP="005905B6">
      <w:pPr>
        <w:keepNext/>
        <w:widowControl w:val="0"/>
        <w:pBdr>
          <w:top w:val="nil"/>
          <w:left w:val="nil"/>
          <w:bottom w:val="nil"/>
          <w:right w:val="nil"/>
          <w:between w:val="nil"/>
        </w:pBdr>
        <w:spacing w:after="120"/>
        <w:ind w:right="108"/>
        <w:rPr>
          <w:rFonts w:cstheme="minorBidi"/>
          <w:i/>
          <w:iCs/>
          <w:color w:val="000000"/>
          <w:lang w:val="es-ES_tradnl"/>
        </w:rPr>
      </w:pPr>
      <w:r w:rsidRPr="00893422">
        <w:rPr>
          <w:i/>
          <w:iCs/>
          <w:lang w:val="es-ES_tradnl"/>
        </w:rPr>
        <w:t>Realizaciones e indicadores (IFR)</w:t>
      </w:r>
    </w:p>
    <w:tbl>
      <w:tblPr>
        <w:tblStyle w:val="GridTable4-Accent1"/>
        <w:tblW w:w="5000" w:type="pct"/>
        <w:jc w:val="center"/>
        <w:tblLayout w:type="fixed"/>
        <w:tblLook w:val="04A0" w:firstRow="1" w:lastRow="0" w:firstColumn="1" w:lastColumn="0" w:noHBand="0" w:noVBand="1"/>
      </w:tblPr>
      <w:tblGrid>
        <w:gridCol w:w="4824"/>
        <w:gridCol w:w="4805"/>
      </w:tblGrid>
      <w:tr w:rsidR="005905B6" w:rsidRPr="00893422" w14:paraId="75635684" w14:textId="77777777" w:rsidTr="00D04740">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4824" w:type="dxa"/>
          </w:tcPr>
          <w:p w14:paraId="7C3F5B80" w14:textId="77777777" w:rsidR="005905B6" w:rsidRPr="001061BE" w:rsidRDefault="005905B6" w:rsidP="00066F5D">
            <w:pPr>
              <w:pStyle w:val="Tablehead"/>
              <w:jc w:val="left"/>
              <w:rPr>
                <w:b/>
                <w:bCs w:val="0"/>
                <w:lang w:val="es-ES_tradnl"/>
              </w:rPr>
            </w:pPr>
            <w:r w:rsidRPr="001061BE">
              <w:rPr>
                <w:b/>
                <w:bCs w:val="0"/>
                <w:lang w:val="es-ES_tradnl"/>
              </w:rPr>
              <w:t>Realizaciones</w:t>
            </w:r>
          </w:p>
        </w:tc>
        <w:tc>
          <w:tcPr>
            <w:tcW w:w="4805" w:type="dxa"/>
          </w:tcPr>
          <w:p w14:paraId="25A63C48" w14:textId="77777777" w:rsidR="005905B6" w:rsidRPr="001061BE" w:rsidRDefault="005905B6" w:rsidP="00066F5D">
            <w:pPr>
              <w:pStyle w:val="Tablehead"/>
              <w:jc w:val="left"/>
              <w:cnfStyle w:val="100000000000" w:firstRow="1" w:lastRow="0" w:firstColumn="0" w:lastColumn="0" w:oddVBand="0" w:evenVBand="0" w:oddHBand="0" w:evenHBand="0" w:firstRowFirstColumn="0" w:firstRowLastColumn="0" w:lastRowFirstColumn="0" w:lastRowLastColumn="0"/>
              <w:rPr>
                <w:b/>
                <w:bCs w:val="0"/>
                <w:lang w:val="es-ES_tradnl"/>
              </w:rPr>
            </w:pPr>
            <w:r w:rsidRPr="001061BE">
              <w:rPr>
                <w:b/>
                <w:bCs w:val="0"/>
                <w:lang w:val="es-ES_tradnl"/>
              </w:rPr>
              <w:t>Indicadores</w:t>
            </w:r>
          </w:p>
        </w:tc>
      </w:tr>
      <w:tr w:rsidR="005905B6" w:rsidRPr="00893422" w14:paraId="3275DE75" w14:textId="77777777" w:rsidTr="00D047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24" w:type="dxa"/>
            <w:tcBorders>
              <w:bottom w:val="single" w:sz="4" w:space="0" w:color="95B3D7" w:themeColor="accent1" w:themeTint="99"/>
            </w:tcBorders>
          </w:tcPr>
          <w:p w14:paraId="7EFB0747" w14:textId="6863C549" w:rsidR="005905B6" w:rsidRPr="006F30F5" w:rsidRDefault="005905B6" w:rsidP="001061BE">
            <w:pPr>
              <w:pStyle w:val="Tabletext"/>
              <w:rPr>
                <w:b w:val="0"/>
                <w:bCs w:val="0"/>
                <w:lang w:val="es-ES_tradnl"/>
              </w:rPr>
            </w:pPr>
            <w:r w:rsidRPr="006F30F5">
              <w:rPr>
                <w:b w:val="0"/>
                <w:bCs w:val="0"/>
                <w:lang w:val="es-ES_tradnl"/>
              </w:rPr>
              <w:t>Mejora de la conectividad de banda ancha en los países en desarrollo, los países menos adelantados (PMA), los pequeños Estados insulares en desarrollo (PEID), los países en desarrollo sin litoral (PDSL) y los países con economías en transición y los países con necesidades específicas</w:t>
            </w:r>
          </w:p>
        </w:tc>
        <w:tc>
          <w:tcPr>
            <w:tcW w:w="4805" w:type="dxa"/>
            <w:vMerge w:val="restart"/>
            <w:tcBorders>
              <w:bottom w:val="single" w:sz="4" w:space="0" w:color="95B3D7" w:themeColor="accent1" w:themeTint="99"/>
            </w:tcBorders>
          </w:tcPr>
          <w:p w14:paraId="7F531C69" w14:textId="641A456E" w:rsidR="005905B6" w:rsidRPr="001061BE" w:rsidRDefault="005905B6" w:rsidP="001061BE">
            <w:pPr>
              <w:pStyle w:val="Tabletext"/>
              <w:cnfStyle w:val="000000100000" w:firstRow="0" w:lastRow="0" w:firstColumn="0" w:lastColumn="0" w:oddVBand="0" w:evenVBand="0" w:oddHBand="1" w:evenHBand="0" w:firstRowFirstColumn="0" w:firstRowLastColumn="0" w:lastRowFirstColumn="0" w:lastRowLastColumn="0"/>
              <w:rPr>
                <w:b/>
                <w:bCs/>
                <w:lang w:val="es-ES_tradnl"/>
              </w:rPr>
            </w:pPr>
            <w:r w:rsidRPr="001061BE">
              <w:rPr>
                <w:b/>
                <w:bCs/>
                <w:lang w:val="es-ES_tradnl"/>
              </w:rPr>
              <w:t>Debe seguir elaborándose.</w:t>
            </w:r>
          </w:p>
        </w:tc>
      </w:tr>
      <w:tr w:rsidR="005905B6" w:rsidRPr="00893422" w14:paraId="58485C9D" w14:textId="77777777" w:rsidTr="00D04740">
        <w:trPr>
          <w:trHeight w:val="300"/>
          <w:jc w:val="center"/>
        </w:trPr>
        <w:tc>
          <w:tcPr>
            <w:cnfStyle w:val="001000000000" w:firstRow="0" w:lastRow="0" w:firstColumn="1" w:lastColumn="0" w:oddVBand="0" w:evenVBand="0" w:oddHBand="0" w:evenHBand="0" w:firstRowFirstColumn="0" w:firstRowLastColumn="0" w:lastRowFirstColumn="0" w:lastRowLastColumn="0"/>
            <w:tcW w:w="4824" w:type="dxa"/>
            <w:tcBorders>
              <w:bottom w:val="single" w:sz="4" w:space="0" w:color="95B3D7" w:themeColor="accent1" w:themeTint="99"/>
            </w:tcBorders>
          </w:tcPr>
          <w:p w14:paraId="6EE40126" w14:textId="77777777" w:rsidR="005905B6" w:rsidRPr="006F30F5" w:rsidRDefault="005905B6" w:rsidP="001061BE">
            <w:pPr>
              <w:pStyle w:val="Tabletext"/>
              <w:rPr>
                <w:b w:val="0"/>
                <w:bCs w:val="0"/>
                <w:lang w:val="es-ES_tradnl"/>
              </w:rPr>
            </w:pPr>
            <w:r w:rsidRPr="006F30F5">
              <w:rPr>
                <w:b w:val="0"/>
                <w:bCs w:val="0"/>
                <w:lang w:val="es-ES_tradnl"/>
              </w:rPr>
              <w:t>Mejora de la infraestructura y los servicios de telecomunicaciones/TIC, en particular la cobertura de banda ancha.</w:t>
            </w:r>
          </w:p>
        </w:tc>
        <w:tc>
          <w:tcPr>
            <w:tcW w:w="4805" w:type="dxa"/>
            <w:vMerge/>
          </w:tcPr>
          <w:p w14:paraId="3C0CF60E" w14:textId="77777777" w:rsidR="005905B6" w:rsidRPr="00893422" w:rsidRDefault="005905B6" w:rsidP="00D04740">
            <w:pPr>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sz w:val="22"/>
                <w:lang w:val="es-ES_tradnl"/>
              </w:rPr>
            </w:pPr>
          </w:p>
        </w:tc>
      </w:tr>
      <w:tr w:rsidR="005905B6" w:rsidRPr="00893422" w14:paraId="60A7D7EF" w14:textId="77777777" w:rsidTr="00D047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24" w:type="dxa"/>
          </w:tcPr>
          <w:p w14:paraId="6B15D198" w14:textId="77777777" w:rsidR="005905B6" w:rsidRPr="006F30F5" w:rsidRDefault="005905B6" w:rsidP="001061BE">
            <w:pPr>
              <w:pStyle w:val="Tabletext"/>
              <w:rPr>
                <w:b w:val="0"/>
                <w:bCs w:val="0"/>
                <w:lang w:val="es-ES_tradnl"/>
              </w:rPr>
            </w:pPr>
            <w:r w:rsidRPr="006F30F5">
              <w:rPr>
                <w:b w:val="0"/>
                <w:bCs w:val="0"/>
                <w:lang w:val="es-ES_tradnl"/>
              </w:rPr>
              <w:t>Refuerzo de la capacidad de los Estados Miembros para utilizar las telecomunicaciones/TIC a efectos de la reducción y la gestión del riesgo de catástrofes, a fin de garantizar la disponibilidad de las telecomunicaciones de emergencia.</w:t>
            </w:r>
          </w:p>
        </w:tc>
        <w:tc>
          <w:tcPr>
            <w:tcW w:w="4805" w:type="dxa"/>
            <w:vMerge/>
          </w:tcPr>
          <w:p w14:paraId="3F1696E6" w14:textId="77777777" w:rsidR="005905B6" w:rsidRPr="00893422" w:rsidRDefault="005905B6" w:rsidP="00D04740">
            <w:pPr>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sz w:val="22"/>
                <w:lang w:val="es-ES_tradnl"/>
              </w:rPr>
            </w:pPr>
          </w:p>
        </w:tc>
      </w:tr>
    </w:tbl>
    <w:p w14:paraId="2213D89F" w14:textId="77777777" w:rsidR="005905B6" w:rsidRPr="006F30F5" w:rsidRDefault="005905B6" w:rsidP="006F30F5">
      <w:pPr>
        <w:pStyle w:val="Headingb"/>
        <w:rPr>
          <w:rFonts w:cstheme="minorBidi"/>
          <w:u w:val="single"/>
          <w:lang w:val="es-ES_tradnl"/>
        </w:rPr>
      </w:pPr>
      <w:r w:rsidRPr="006F30F5">
        <w:rPr>
          <w:u w:val="single"/>
          <w:lang w:val="es-ES_tradnl"/>
        </w:rPr>
        <w:t xml:space="preserve">Transformación digital </w:t>
      </w:r>
    </w:p>
    <w:p w14:paraId="6E6A1BB5" w14:textId="77777777" w:rsidR="005905B6" w:rsidRPr="00893422" w:rsidRDefault="005905B6" w:rsidP="006F30F5">
      <w:pPr>
        <w:rPr>
          <w:rFonts w:cstheme="minorBidi"/>
          <w:lang w:val="es-ES_tradnl"/>
        </w:rPr>
      </w:pPr>
      <w:r w:rsidRPr="00893422">
        <w:rPr>
          <w:lang w:val="es-ES_tradnl"/>
        </w:rPr>
        <w:t>Esta prioridad se centra en el fomento del desarrollo y utilización de las telecomunicaciones/TIC, así como de las aplicaciones y servicios para colmar la brecha digital y empoderar a las personas y las sociedades para el desarrollo sostenible.</w:t>
      </w:r>
    </w:p>
    <w:p w14:paraId="77B5E7AF" w14:textId="77777777" w:rsidR="005905B6" w:rsidRPr="00893422" w:rsidRDefault="005905B6" w:rsidP="006F30F5">
      <w:pPr>
        <w:rPr>
          <w:rFonts w:cstheme="minorBidi"/>
          <w:lang w:val="es-ES_tradnl"/>
        </w:rPr>
      </w:pPr>
      <w:r w:rsidRPr="00893422">
        <w:rPr>
          <w:lang w:val="es-ES_tradnl"/>
        </w:rPr>
        <w:t xml:space="preserve">Esta prioridad identificará enfoques nuevos para implicar a los Estados Miembros y otras partes interesadas en la transformación digital, como las empresas nuevas, las PYME, las empresas, las asociaciones público-privadas (APP), el sector público y el sector privado a fin de ayudar a integrar los programas nacionales de desarrollo e innovación de TIC y, al mismo tiempo, determinar las necesidades y ejecutar iniciativas en el plano nacional. </w:t>
      </w:r>
    </w:p>
    <w:p w14:paraId="18862B5F" w14:textId="77777777" w:rsidR="005905B6" w:rsidRPr="00893422" w:rsidRDefault="005905B6" w:rsidP="006F30F5">
      <w:pPr>
        <w:rPr>
          <w:rFonts w:cstheme="minorBidi"/>
          <w:lang w:val="es-ES_tradnl"/>
        </w:rPr>
      </w:pPr>
      <w:r w:rsidRPr="00893422">
        <w:rPr>
          <w:lang w:val="es-ES_tradnl"/>
        </w:rPr>
        <w:t xml:space="preserve">Reconociendo que las telecomunicaciones/TIC conllevan sus riesgos, dificultades y oportunidades, la UIT continuará apoyando el uso de las telecomunicaciones/TIC para el seguimiento del cambio climático, la mitigación de sus efectos y la adaptación a ellos, poniendo a disposición soluciones digitales en favor de la eficiencia energética y la reducción de las emisiones de carbono y protegiendo la salud de las personas y el medio ambiente frente a los residuos electrónicos. La perspectiva ambiental en la lucha contra el cambio climático y la integración de las cuestiones relativas a la sostenibilidad ambiental es fundamental para promover la transformación digital </w:t>
      </w:r>
      <w:r w:rsidRPr="00893422">
        <w:rPr>
          <w:lang w:val="es-ES_tradnl"/>
        </w:rPr>
        <w:lastRenderedPageBreak/>
        <w:t>sostenible, en consonancia también con la Estrategia de Gestión de la Sostenibilidad en el Sistema de las Naciones Unidas 2020-2030.</w:t>
      </w:r>
    </w:p>
    <w:p w14:paraId="6E3AACA8" w14:textId="507ABB9F" w:rsidR="005905B6" w:rsidRPr="00893422" w:rsidRDefault="005905B6" w:rsidP="005905B6">
      <w:pPr>
        <w:keepNext/>
        <w:keepLines/>
        <w:widowControl w:val="0"/>
        <w:pBdr>
          <w:top w:val="nil"/>
          <w:left w:val="nil"/>
          <w:bottom w:val="nil"/>
          <w:right w:val="nil"/>
          <w:between w:val="nil"/>
        </w:pBdr>
        <w:spacing w:after="120"/>
        <w:ind w:right="109"/>
        <w:rPr>
          <w:rFonts w:cstheme="minorBidi"/>
          <w:i/>
          <w:iCs/>
          <w:color w:val="000000"/>
          <w:lang w:val="es-ES_tradnl"/>
        </w:rPr>
      </w:pPr>
      <w:r w:rsidRPr="00893422">
        <w:rPr>
          <w:i/>
          <w:iCs/>
          <w:lang w:val="es-ES_tradnl"/>
        </w:rPr>
        <w:t>Realizaciones e indicadores (IFR)</w:t>
      </w:r>
    </w:p>
    <w:tbl>
      <w:tblPr>
        <w:tblStyle w:val="GridTable4-Accent1"/>
        <w:tblW w:w="5000" w:type="pct"/>
        <w:tblLayout w:type="fixed"/>
        <w:tblLook w:val="04A0" w:firstRow="1" w:lastRow="0" w:firstColumn="1" w:lastColumn="0" w:noHBand="0" w:noVBand="1"/>
      </w:tblPr>
      <w:tblGrid>
        <w:gridCol w:w="5118"/>
        <w:gridCol w:w="4511"/>
      </w:tblGrid>
      <w:tr w:rsidR="005905B6" w:rsidRPr="00893422" w14:paraId="0DA07E95" w14:textId="77777777" w:rsidTr="00D0474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18" w:type="dxa"/>
          </w:tcPr>
          <w:p w14:paraId="5BFE9E5E" w14:textId="77777777" w:rsidR="005905B6" w:rsidRPr="00893422" w:rsidRDefault="005905B6" w:rsidP="006F30F5">
            <w:pPr>
              <w:pStyle w:val="Tablehead"/>
              <w:jc w:val="left"/>
              <w:rPr>
                <w:lang w:val="es-ES_tradnl"/>
              </w:rPr>
            </w:pPr>
            <w:r w:rsidRPr="00893422">
              <w:rPr>
                <w:lang w:val="es-ES_tradnl"/>
              </w:rPr>
              <w:t>Realizaciones</w:t>
            </w:r>
          </w:p>
        </w:tc>
        <w:tc>
          <w:tcPr>
            <w:tcW w:w="4511" w:type="dxa"/>
          </w:tcPr>
          <w:p w14:paraId="520E675F" w14:textId="77777777" w:rsidR="005905B6" w:rsidRPr="00893422" w:rsidRDefault="005905B6" w:rsidP="006F30F5">
            <w:pPr>
              <w:pStyle w:val="Tablehead"/>
              <w:jc w:val="left"/>
              <w:cnfStyle w:val="100000000000" w:firstRow="1" w:lastRow="0" w:firstColumn="0" w:lastColumn="0" w:oddVBand="0" w:evenVBand="0" w:oddHBand="0" w:evenHBand="0" w:firstRowFirstColumn="0" w:firstRowLastColumn="0" w:lastRowFirstColumn="0" w:lastRowLastColumn="0"/>
              <w:rPr>
                <w:lang w:val="es-ES_tradnl"/>
              </w:rPr>
            </w:pPr>
            <w:r w:rsidRPr="00893422">
              <w:rPr>
                <w:lang w:val="es-ES_tradnl"/>
              </w:rPr>
              <w:t>Indicadores</w:t>
            </w:r>
          </w:p>
        </w:tc>
      </w:tr>
      <w:tr w:rsidR="005905B6" w:rsidRPr="00893422" w14:paraId="5A847ADB" w14:textId="77777777" w:rsidTr="00D047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18" w:type="dxa"/>
          </w:tcPr>
          <w:p w14:paraId="6124D027" w14:textId="77777777" w:rsidR="005905B6" w:rsidRPr="006F30F5" w:rsidRDefault="005905B6" w:rsidP="006F30F5">
            <w:pPr>
              <w:pStyle w:val="Tabletext"/>
              <w:rPr>
                <w:b w:val="0"/>
                <w:bCs w:val="0"/>
                <w:lang w:val="es-ES_tradnl"/>
              </w:rPr>
            </w:pPr>
            <w:r w:rsidRPr="006F30F5">
              <w:rPr>
                <w:b w:val="0"/>
                <w:bCs w:val="0"/>
                <w:lang w:val="es-ES_tradnl"/>
              </w:rPr>
              <w:t>Mejora de la capacidad para acelerar la transformación digital y el desarrollo a través del uso de telecomunicaciones/TIC y servicios nuevos e incipientes.</w:t>
            </w:r>
          </w:p>
        </w:tc>
        <w:tc>
          <w:tcPr>
            <w:tcW w:w="4511" w:type="dxa"/>
            <w:vMerge w:val="restart"/>
          </w:tcPr>
          <w:p w14:paraId="5C524095" w14:textId="77777777" w:rsidR="005905B6" w:rsidRPr="006F30F5" w:rsidRDefault="005905B6" w:rsidP="006F30F5">
            <w:pPr>
              <w:pStyle w:val="Tabletext"/>
              <w:cnfStyle w:val="000000100000" w:firstRow="0" w:lastRow="0" w:firstColumn="0" w:lastColumn="0" w:oddVBand="0" w:evenVBand="0" w:oddHBand="1" w:evenHBand="0" w:firstRowFirstColumn="0" w:firstRowLastColumn="0" w:lastRowFirstColumn="0" w:lastRowLastColumn="0"/>
              <w:rPr>
                <w:b/>
                <w:bCs/>
                <w:lang w:val="es-ES_tradnl"/>
              </w:rPr>
            </w:pPr>
            <w:r w:rsidRPr="006F30F5">
              <w:rPr>
                <w:b/>
                <w:bCs/>
                <w:lang w:val="es-ES_tradnl"/>
              </w:rPr>
              <w:t>Debe seguir elaborándose.</w:t>
            </w:r>
          </w:p>
        </w:tc>
      </w:tr>
      <w:tr w:rsidR="005905B6" w:rsidRPr="00893422" w14:paraId="0B5B0453" w14:textId="77777777" w:rsidTr="00D04740">
        <w:trPr>
          <w:trHeight w:val="300"/>
        </w:trPr>
        <w:tc>
          <w:tcPr>
            <w:cnfStyle w:val="001000000000" w:firstRow="0" w:lastRow="0" w:firstColumn="1" w:lastColumn="0" w:oddVBand="0" w:evenVBand="0" w:oddHBand="0" w:evenHBand="0" w:firstRowFirstColumn="0" w:firstRowLastColumn="0" w:lastRowFirstColumn="0" w:lastRowLastColumn="0"/>
            <w:tcW w:w="5118" w:type="dxa"/>
          </w:tcPr>
          <w:p w14:paraId="2769FE86" w14:textId="3C69BD26" w:rsidR="005905B6" w:rsidRPr="006F30F5" w:rsidRDefault="005905B6" w:rsidP="006F30F5">
            <w:pPr>
              <w:pStyle w:val="Tabletext"/>
              <w:rPr>
                <w:b w:val="0"/>
                <w:bCs w:val="0"/>
                <w:lang w:val="es-ES_tradnl"/>
              </w:rPr>
            </w:pPr>
            <w:r w:rsidRPr="006F30F5">
              <w:rPr>
                <w:b w:val="0"/>
                <w:bCs w:val="0"/>
                <w:lang w:val="es-ES_tradnl"/>
              </w:rPr>
              <w:t>Mejora de las capacidades personales e institucionales de los Miembros de la UIT en materia de telecomunicaciones/TIC para fomentar la transformación digital.</w:t>
            </w:r>
          </w:p>
        </w:tc>
        <w:tc>
          <w:tcPr>
            <w:tcW w:w="4511" w:type="dxa"/>
            <w:vMerge/>
          </w:tcPr>
          <w:p w14:paraId="285621CA" w14:textId="77777777" w:rsidR="005905B6" w:rsidRPr="00893422" w:rsidRDefault="005905B6" w:rsidP="00D04740">
            <w:pPr>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sz w:val="22"/>
                <w:lang w:val="es-ES_tradnl"/>
              </w:rPr>
            </w:pPr>
          </w:p>
        </w:tc>
      </w:tr>
      <w:tr w:rsidR="005905B6" w:rsidRPr="00893422" w14:paraId="0FE46009" w14:textId="77777777" w:rsidTr="00D047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18" w:type="dxa"/>
          </w:tcPr>
          <w:p w14:paraId="3DC191A2" w14:textId="3F8A256F" w:rsidR="005905B6" w:rsidRPr="006F30F5" w:rsidRDefault="005905B6" w:rsidP="006F30F5">
            <w:pPr>
              <w:pStyle w:val="Tabletext"/>
              <w:rPr>
                <w:b w:val="0"/>
                <w:bCs w:val="0"/>
                <w:lang w:val="es-ES_tradnl"/>
              </w:rPr>
            </w:pPr>
            <w:r w:rsidRPr="006F30F5">
              <w:rPr>
                <w:b w:val="0"/>
                <w:bCs w:val="0"/>
                <w:lang w:val="es-ES_tradnl"/>
              </w:rPr>
              <w:t>Refuerzo de la capacidad para desarrollar e integrar la innovación y la digitalización de las telecomunicaciones/TIC en los programas nacionales de desarrollo.</w:t>
            </w:r>
          </w:p>
        </w:tc>
        <w:tc>
          <w:tcPr>
            <w:tcW w:w="4511" w:type="dxa"/>
            <w:vMerge/>
          </w:tcPr>
          <w:p w14:paraId="45FCD782" w14:textId="77777777" w:rsidR="005905B6" w:rsidRPr="00893422" w:rsidRDefault="005905B6" w:rsidP="00D04740">
            <w:pPr>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sz w:val="22"/>
                <w:lang w:val="es-ES_tradnl"/>
              </w:rPr>
            </w:pPr>
          </w:p>
        </w:tc>
      </w:tr>
      <w:tr w:rsidR="005905B6" w:rsidRPr="00893422" w14:paraId="0568A88B" w14:textId="77777777" w:rsidTr="00D04740">
        <w:trPr>
          <w:trHeight w:val="300"/>
        </w:trPr>
        <w:tc>
          <w:tcPr>
            <w:cnfStyle w:val="001000000000" w:firstRow="0" w:lastRow="0" w:firstColumn="1" w:lastColumn="0" w:oddVBand="0" w:evenVBand="0" w:oddHBand="0" w:evenHBand="0" w:firstRowFirstColumn="0" w:firstRowLastColumn="0" w:lastRowFirstColumn="0" w:lastRowLastColumn="0"/>
            <w:tcW w:w="5118" w:type="dxa"/>
          </w:tcPr>
          <w:p w14:paraId="4744E986" w14:textId="31CAE9DE" w:rsidR="005905B6" w:rsidRPr="006F30F5" w:rsidRDefault="005905B6" w:rsidP="006F30F5">
            <w:pPr>
              <w:pStyle w:val="Tabletext"/>
              <w:rPr>
                <w:b w:val="0"/>
                <w:bCs w:val="0"/>
                <w:lang w:val="es-ES_tradnl"/>
              </w:rPr>
            </w:pPr>
            <w:r w:rsidRPr="006F30F5">
              <w:rPr>
                <w:b w:val="0"/>
                <w:bCs w:val="0"/>
                <w:lang w:val="es-ES_tradnl"/>
              </w:rPr>
              <w:t>Mejora de la capacidad para elaborar estrategias y soluciones de telecomunicaciones/TIC en materia de adaptación al cambio climático, atenuación de sus efectos y utilización de energías ecológicas/renovables.</w:t>
            </w:r>
          </w:p>
        </w:tc>
        <w:tc>
          <w:tcPr>
            <w:tcW w:w="4511" w:type="dxa"/>
            <w:vMerge/>
          </w:tcPr>
          <w:p w14:paraId="39BF929F" w14:textId="77777777" w:rsidR="005905B6" w:rsidRPr="00893422" w:rsidRDefault="005905B6" w:rsidP="00D04740">
            <w:pPr>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i/>
                <w:iCs/>
                <w:sz w:val="22"/>
                <w:lang w:val="es-ES_tradnl"/>
              </w:rPr>
            </w:pPr>
          </w:p>
        </w:tc>
      </w:tr>
    </w:tbl>
    <w:p w14:paraId="1B169A9D" w14:textId="77777777" w:rsidR="005905B6" w:rsidRPr="00893422" w:rsidRDefault="005905B6" w:rsidP="006F30F5">
      <w:pPr>
        <w:pStyle w:val="Headingb"/>
        <w:rPr>
          <w:rFonts w:cstheme="minorBidi"/>
          <w:lang w:val="es-ES_tradnl"/>
        </w:rPr>
      </w:pPr>
      <w:r w:rsidRPr="00893422">
        <w:rPr>
          <w:lang w:val="es-ES_tradnl"/>
        </w:rPr>
        <w:t xml:space="preserve">Entorno político y reglamentario propicio </w:t>
      </w:r>
    </w:p>
    <w:p w14:paraId="4D3642C4" w14:textId="77777777" w:rsidR="005905B6" w:rsidRPr="00893422" w:rsidRDefault="005905B6" w:rsidP="006F30F5">
      <w:pPr>
        <w:rPr>
          <w:rFonts w:cstheme="minorBidi"/>
          <w:lang w:val="es-ES_tradnl"/>
        </w:rPr>
      </w:pPr>
      <w:r w:rsidRPr="00893422">
        <w:rPr>
          <w:lang w:val="es-ES_tradnl"/>
        </w:rPr>
        <w:t>Esta prioridad se centra en fomentar un entorno político y normativo propicio que responda a las innovaciones tecnológicas y del mercado y aproveche una amplia colaboración y una toma de decisiones basada en datos para alentar la inversión sostenible y viable en infraestructuras y modelos económicos innovadores, promoviendo el crecimiento digital sostenible mediante una mayor adopción de las telecomunicaciones/TIC.</w:t>
      </w:r>
    </w:p>
    <w:p w14:paraId="35AC28DA" w14:textId="77777777" w:rsidR="005905B6" w:rsidRPr="00893422" w:rsidRDefault="005905B6" w:rsidP="006F30F5">
      <w:pPr>
        <w:rPr>
          <w:rFonts w:cstheme="minorBidi"/>
          <w:lang w:val="es-ES_tradnl"/>
        </w:rPr>
      </w:pPr>
      <w:r w:rsidRPr="00893422">
        <w:rPr>
          <w:lang w:val="es-ES_tradnl"/>
        </w:rPr>
        <w:t>La resiliencia de este entorno depende de que haya administraciones y organismos reguladores ágiles y capaces, con autonomía para tomar decisiones con base empírica que propicien diversos modelos de negocio, defender los intereses de los consumidores en el mercado y empoderar a todos los consumidores que lo integran. Además, esta labor apoyará los principios de transparencia y rendición de cuentas respecto de las políticas y las normas, incluyendo las perspectivas de todas las partes interesadas en su desarrollo, y analizará modelos de reglamentación colaborativa, cuando proceda.</w:t>
      </w:r>
    </w:p>
    <w:p w14:paraId="28A81042" w14:textId="77777777" w:rsidR="005905B6" w:rsidRPr="00893422" w:rsidRDefault="005905B6" w:rsidP="005905B6">
      <w:pPr>
        <w:keepNext/>
        <w:widowControl w:val="0"/>
        <w:pBdr>
          <w:top w:val="nil"/>
          <w:left w:val="nil"/>
          <w:bottom w:val="nil"/>
          <w:right w:val="nil"/>
          <w:between w:val="nil"/>
        </w:pBdr>
        <w:spacing w:after="120"/>
        <w:ind w:right="108"/>
        <w:rPr>
          <w:rFonts w:cstheme="minorBidi"/>
          <w:i/>
          <w:iCs/>
          <w:color w:val="000000"/>
          <w:lang w:val="es-ES_tradnl"/>
        </w:rPr>
      </w:pPr>
      <w:r w:rsidRPr="00893422">
        <w:rPr>
          <w:i/>
          <w:iCs/>
          <w:lang w:val="es-ES_tradnl"/>
        </w:rPr>
        <w:t>Realizaciones e indicadores (IFR)</w:t>
      </w:r>
      <w:r w:rsidRPr="00893422">
        <w:rPr>
          <w:lang w:val="es-ES_tradnl"/>
        </w:rPr>
        <w:t xml:space="preserve"> </w:t>
      </w:r>
    </w:p>
    <w:tbl>
      <w:tblPr>
        <w:tblStyle w:val="GridTable4-Accent1"/>
        <w:tblW w:w="5000" w:type="pct"/>
        <w:jc w:val="center"/>
        <w:tblLayout w:type="fixed"/>
        <w:tblLook w:val="04A0" w:firstRow="1" w:lastRow="0" w:firstColumn="1" w:lastColumn="0" w:noHBand="0" w:noVBand="1"/>
      </w:tblPr>
      <w:tblGrid>
        <w:gridCol w:w="4884"/>
        <w:gridCol w:w="4745"/>
      </w:tblGrid>
      <w:tr w:rsidR="005905B6" w:rsidRPr="00893422" w14:paraId="23E0FD7F" w14:textId="77777777" w:rsidTr="00D04740">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4884" w:type="dxa"/>
          </w:tcPr>
          <w:p w14:paraId="52847E61" w14:textId="77777777" w:rsidR="005905B6" w:rsidRPr="00504447" w:rsidRDefault="005905B6" w:rsidP="00504447">
            <w:pPr>
              <w:pStyle w:val="Tablehead"/>
              <w:jc w:val="left"/>
              <w:rPr>
                <w:b/>
                <w:bCs w:val="0"/>
                <w:lang w:val="es-ES_tradnl"/>
              </w:rPr>
            </w:pPr>
            <w:r w:rsidRPr="00504447">
              <w:rPr>
                <w:b/>
                <w:bCs w:val="0"/>
                <w:lang w:val="es-ES_tradnl"/>
              </w:rPr>
              <w:t>Realizaciones</w:t>
            </w:r>
          </w:p>
        </w:tc>
        <w:tc>
          <w:tcPr>
            <w:tcW w:w="4745" w:type="dxa"/>
          </w:tcPr>
          <w:p w14:paraId="3FF1373D" w14:textId="77777777" w:rsidR="005905B6" w:rsidRPr="00504447" w:rsidRDefault="005905B6" w:rsidP="00504447">
            <w:pPr>
              <w:pStyle w:val="Tablehead"/>
              <w:jc w:val="left"/>
              <w:cnfStyle w:val="100000000000" w:firstRow="1" w:lastRow="0" w:firstColumn="0" w:lastColumn="0" w:oddVBand="0" w:evenVBand="0" w:oddHBand="0" w:evenHBand="0" w:firstRowFirstColumn="0" w:firstRowLastColumn="0" w:lastRowFirstColumn="0" w:lastRowLastColumn="0"/>
              <w:rPr>
                <w:b/>
                <w:bCs w:val="0"/>
                <w:lang w:val="es-ES_tradnl"/>
              </w:rPr>
            </w:pPr>
            <w:r w:rsidRPr="00504447">
              <w:rPr>
                <w:b/>
                <w:bCs w:val="0"/>
                <w:lang w:val="es-ES_tradnl"/>
              </w:rPr>
              <w:t>Indicadores</w:t>
            </w:r>
          </w:p>
        </w:tc>
      </w:tr>
      <w:tr w:rsidR="005905B6" w:rsidRPr="00893422" w14:paraId="4CFCE4C4" w14:textId="77777777" w:rsidTr="00D047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84" w:type="dxa"/>
          </w:tcPr>
          <w:p w14:paraId="0969BEEA" w14:textId="77777777" w:rsidR="005905B6" w:rsidRPr="00504447" w:rsidRDefault="005905B6" w:rsidP="00504447">
            <w:pPr>
              <w:pStyle w:val="Tabletext"/>
              <w:rPr>
                <w:b w:val="0"/>
                <w:bCs w:val="0"/>
                <w:color w:val="404040" w:themeColor="text1" w:themeTint="BF"/>
                <w:lang w:val="es-ES_tradnl"/>
              </w:rPr>
            </w:pPr>
            <w:r w:rsidRPr="00504447">
              <w:rPr>
                <w:b w:val="0"/>
                <w:bCs w:val="0"/>
                <w:lang w:val="es-ES_tradnl"/>
              </w:rPr>
              <w:t xml:space="preserve">Refuerzo de la capacidad de los Estados Miembros para mejorar sus marcos políticos, jurídicos y reglamentarios en materia de telecomunicaciones/TIC, de tal manera que favorezcan el desarrollo sostenible y la transformación digital. </w:t>
            </w:r>
          </w:p>
        </w:tc>
        <w:tc>
          <w:tcPr>
            <w:tcW w:w="4745" w:type="dxa"/>
            <w:vMerge w:val="restart"/>
          </w:tcPr>
          <w:p w14:paraId="38CDDF50" w14:textId="77777777" w:rsidR="005905B6" w:rsidRPr="00504447" w:rsidRDefault="005905B6" w:rsidP="00504447">
            <w:pPr>
              <w:pStyle w:val="Tabletext"/>
              <w:cnfStyle w:val="000000100000" w:firstRow="0" w:lastRow="0" w:firstColumn="0" w:lastColumn="0" w:oddVBand="0" w:evenVBand="0" w:oddHBand="1" w:evenHBand="0" w:firstRowFirstColumn="0" w:firstRowLastColumn="0" w:lastRowFirstColumn="0" w:lastRowLastColumn="0"/>
              <w:rPr>
                <w:b/>
                <w:bCs/>
                <w:lang w:val="es-ES_tradnl"/>
              </w:rPr>
            </w:pPr>
            <w:r w:rsidRPr="00504447">
              <w:rPr>
                <w:b/>
                <w:bCs/>
                <w:lang w:val="es-ES_tradnl"/>
              </w:rPr>
              <w:t>Debe seguir elaborándose.</w:t>
            </w:r>
          </w:p>
        </w:tc>
      </w:tr>
      <w:tr w:rsidR="005905B6" w:rsidRPr="00893422" w14:paraId="2CF86284" w14:textId="77777777" w:rsidTr="00D04740">
        <w:trPr>
          <w:trHeight w:val="300"/>
          <w:jc w:val="center"/>
        </w:trPr>
        <w:tc>
          <w:tcPr>
            <w:cnfStyle w:val="001000000000" w:firstRow="0" w:lastRow="0" w:firstColumn="1" w:lastColumn="0" w:oddVBand="0" w:evenVBand="0" w:oddHBand="0" w:evenHBand="0" w:firstRowFirstColumn="0" w:firstRowLastColumn="0" w:lastRowFirstColumn="0" w:lastRowLastColumn="0"/>
            <w:tcW w:w="4884" w:type="dxa"/>
            <w:tcBorders>
              <w:bottom w:val="single" w:sz="4" w:space="0" w:color="95B3D7" w:themeColor="accent1" w:themeTint="99"/>
            </w:tcBorders>
          </w:tcPr>
          <w:p w14:paraId="1CE111D7" w14:textId="77777777" w:rsidR="005905B6" w:rsidRPr="00504447" w:rsidRDefault="005905B6" w:rsidP="00504447">
            <w:pPr>
              <w:pStyle w:val="Tabletext"/>
              <w:rPr>
                <w:b w:val="0"/>
                <w:bCs w:val="0"/>
                <w:color w:val="404040" w:themeColor="text1" w:themeTint="BF"/>
                <w:lang w:val="es-ES_tradnl"/>
              </w:rPr>
            </w:pPr>
            <w:r w:rsidRPr="00504447">
              <w:rPr>
                <w:b w:val="0"/>
                <w:bCs w:val="0"/>
                <w:lang w:val="es-ES_tradnl"/>
              </w:rPr>
              <w:t xml:space="preserve">Refuerzo de la capacidad de los Estados Miembros para producir y recopilar estadísticas que sean de </w:t>
            </w:r>
            <w:r w:rsidRPr="00504447">
              <w:rPr>
                <w:b w:val="0"/>
                <w:bCs w:val="0"/>
                <w:lang w:val="es-ES_tradnl"/>
              </w:rPr>
              <w:lastRenderedPageBreak/>
              <w:t>alta calidad, puedan compararse a nivel internacional y reflejen la evolución y las tendencias de las telecomunicaciones/TIC, con ayuda de las tecnologías y los servicios nuevos e incipientes, conforme a las normas y metodologías acordadas.</w:t>
            </w:r>
          </w:p>
        </w:tc>
        <w:tc>
          <w:tcPr>
            <w:tcW w:w="4745" w:type="dxa"/>
            <w:vMerge/>
          </w:tcPr>
          <w:p w14:paraId="01762865" w14:textId="77777777" w:rsidR="005905B6" w:rsidRPr="00893422" w:rsidRDefault="005905B6" w:rsidP="00D04740">
            <w:pPr>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i/>
                <w:iCs/>
                <w:color w:val="1259AD"/>
                <w:sz w:val="22"/>
                <w:lang w:val="es-ES_tradnl"/>
              </w:rPr>
            </w:pPr>
          </w:p>
        </w:tc>
      </w:tr>
    </w:tbl>
    <w:p w14:paraId="4FE821CB" w14:textId="77777777" w:rsidR="005905B6" w:rsidRPr="00504447" w:rsidRDefault="005905B6" w:rsidP="00504447">
      <w:pPr>
        <w:pStyle w:val="Headingb"/>
        <w:rPr>
          <w:rFonts w:cstheme="minorBidi"/>
          <w:u w:val="single"/>
          <w:lang w:val="es-ES_tradnl"/>
        </w:rPr>
      </w:pPr>
      <w:r w:rsidRPr="00504447">
        <w:rPr>
          <w:u w:val="single"/>
          <w:lang w:val="es-ES_tradnl"/>
        </w:rPr>
        <w:t>Movilización de recursos y cooperación internacional</w:t>
      </w:r>
    </w:p>
    <w:p w14:paraId="176544CC" w14:textId="77777777" w:rsidR="005905B6" w:rsidRPr="00893422" w:rsidRDefault="005905B6" w:rsidP="00504447">
      <w:pPr>
        <w:rPr>
          <w:rFonts w:cstheme="minorBidi"/>
          <w:lang w:val="es-ES_tradnl"/>
        </w:rPr>
      </w:pPr>
      <w:r w:rsidRPr="00893422">
        <w:rPr>
          <w:lang w:val="es-ES_tradnl"/>
        </w:rPr>
        <w:t>Esta prioridad tiene por objeto movilizar y atraer recursos para los países en desarrollo a fin de responder a sus respectivas necesidades con soluciones localizadas y fomentar la cooperación internacional sobre cuestiones relativas al desarrollo de las telecomunicaciones/TIC. Se debe dar prioridad y prestar la debida atención a las diversas necesidades concretas de los países en desarrollo, incluidos los países menos adelantados (PMA), los pequeños Estados insulares en desarrollo (PEID), los países en desarrollo sin litoral (PDSL) y los países con economías en transición, así como las poblaciones insuficientemente atendidas y vulnerables.</w:t>
      </w:r>
    </w:p>
    <w:p w14:paraId="230D1263" w14:textId="77777777" w:rsidR="005905B6" w:rsidRPr="00893422" w:rsidRDefault="005905B6" w:rsidP="00504447">
      <w:pPr>
        <w:rPr>
          <w:rFonts w:cstheme="minorBidi"/>
          <w:lang w:val="es-ES_tradnl"/>
        </w:rPr>
      </w:pPr>
      <w:r w:rsidRPr="00893422">
        <w:rPr>
          <w:lang w:val="es-ES_tradnl"/>
        </w:rPr>
        <w:t xml:space="preserve">Además, los requisitos de financiación no siempre tienen en cuenta las realidades económicas específicas y las prioridades de desarrollo de estos países, lo que limita su capacidad para participar en proyectos de desarrollo digital importantes o para llevarlos a cabo. Por otro lado, dificultades como la limitación en el acceso a conocimientos técnicos, la falta de datos locales para la evaluación de los proyectos y la gran dependencia de las partes externas complica aún más los esfuerzos para poder optar por la financiación. </w:t>
      </w:r>
    </w:p>
    <w:p w14:paraId="4787365B" w14:textId="77777777" w:rsidR="005905B6" w:rsidRPr="00893422" w:rsidRDefault="005905B6" w:rsidP="00504447">
      <w:pPr>
        <w:rPr>
          <w:rFonts w:cstheme="minorBidi"/>
          <w:lang w:val="es-ES_tradnl"/>
        </w:rPr>
      </w:pPr>
      <w:r w:rsidRPr="00893422">
        <w:rPr>
          <w:lang w:val="es-ES_tradnl"/>
        </w:rPr>
        <w:t>A fin de resolver estas disparidades de manera que haya un amplio acceso y los países en desarrollo dispongan de las mismas oportunidades para participar en los esfuerzos de movilización de recursos y beneficiarse de ellos, es fundamental explorar alianzas innovadoras, aprobar requisitos prácticos y adaptables, y garantizar la transparencia respecto de los factores considerados por los diferentes mecanismos de financiación. Asimismo, se deben proseguir las iniciativas destinadas a la creación de capacidad para reforzar la capacidad de estos países para comprender y cumplir los requisitos de financiación, gestionar de manera eficaz los recursos atribuidos, atravesar los procesos de financiación y mantener de manera independiente las iniciativas y ampliarlas tras su aplicación inicial. La UIT también reconoce la importancia de cultivar asociaciones estratégicas con organismos de las Naciones Unidas y organizaciones de diversa índole, incluidos organismos de normalización, para afianzar la cooperación con el fin de superar las dificultades en todo el sector de las telecomunicaciones/TIC con miras al cumplimiento de las Líneas de Acción de la CMSI y los ODS para 2030. Estas asociaciones permiten que la labor de la UIT sea sostenible y amplían sus posibles repercusiones al centrarse en su mandato de organismo especializado de las Naciones Unidas para las telecomunicaciones/TIC, a la vez que se respetan las competencias y la labor de otros organismos.</w:t>
      </w:r>
    </w:p>
    <w:p w14:paraId="293D2B75" w14:textId="77777777" w:rsidR="005905B6" w:rsidRPr="00893422" w:rsidRDefault="005905B6" w:rsidP="005905B6">
      <w:pPr>
        <w:widowControl w:val="0"/>
        <w:pBdr>
          <w:top w:val="nil"/>
          <w:left w:val="nil"/>
          <w:bottom w:val="nil"/>
          <w:right w:val="nil"/>
          <w:between w:val="nil"/>
        </w:pBdr>
        <w:spacing w:after="120"/>
        <w:ind w:right="109"/>
        <w:rPr>
          <w:rFonts w:cstheme="minorBidi"/>
          <w:i/>
          <w:iCs/>
          <w:color w:val="000000"/>
          <w:lang w:val="es-ES_tradnl"/>
        </w:rPr>
      </w:pPr>
      <w:r w:rsidRPr="00893422">
        <w:rPr>
          <w:i/>
          <w:iCs/>
          <w:lang w:val="es-ES_tradnl"/>
        </w:rPr>
        <w:t>Realizaciones e indicadores (IFR)</w:t>
      </w:r>
    </w:p>
    <w:tbl>
      <w:tblPr>
        <w:tblStyle w:val="GridTable4-Accent1"/>
        <w:tblW w:w="5000" w:type="pct"/>
        <w:tblLayout w:type="fixed"/>
        <w:tblLook w:val="04A0" w:firstRow="1" w:lastRow="0" w:firstColumn="1" w:lastColumn="0" w:noHBand="0" w:noVBand="1"/>
      </w:tblPr>
      <w:tblGrid>
        <w:gridCol w:w="5256"/>
        <w:gridCol w:w="4373"/>
      </w:tblGrid>
      <w:tr w:rsidR="005905B6" w:rsidRPr="00893422" w14:paraId="2DD5AEE8" w14:textId="77777777" w:rsidTr="00D0474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56" w:type="dxa"/>
          </w:tcPr>
          <w:p w14:paraId="2AB8FEA6" w14:textId="77777777" w:rsidR="005905B6" w:rsidRPr="00893422" w:rsidRDefault="005905B6" w:rsidP="00504447">
            <w:pPr>
              <w:pStyle w:val="Tablehead"/>
              <w:jc w:val="left"/>
              <w:rPr>
                <w:lang w:val="es-ES_tradnl"/>
              </w:rPr>
            </w:pPr>
            <w:r w:rsidRPr="00893422">
              <w:rPr>
                <w:lang w:val="es-ES_tradnl"/>
              </w:rPr>
              <w:t>Realizaciones</w:t>
            </w:r>
          </w:p>
        </w:tc>
        <w:tc>
          <w:tcPr>
            <w:tcW w:w="4373" w:type="dxa"/>
          </w:tcPr>
          <w:p w14:paraId="160DE34D" w14:textId="77777777" w:rsidR="005905B6" w:rsidRPr="00893422" w:rsidRDefault="005905B6" w:rsidP="00504447">
            <w:pPr>
              <w:pStyle w:val="Tablehead"/>
              <w:jc w:val="left"/>
              <w:cnfStyle w:val="100000000000" w:firstRow="1" w:lastRow="0" w:firstColumn="0" w:lastColumn="0" w:oddVBand="0" w:evenVBand="0" w:oddHBand="0" w:evenHBand="0" w:firstRowFirstColumn="0" w:firstRowLastColumn="0" w:lastRowFirstColumn="0" w:lastRowLastColumn="0"/>
              <w:rPr>
                <w:lang w:val="es-ES_tradnl"/>
              </w:rPr>
            </w:pPr>
            <w:r w:rsidRPr="00893422">
              <w:rPr>
                <w:lang w:val="es-ES_tradnl"/>
              </w:rPr>
              <w:t>Indicadores</w:t>
            </w:r>
          </w:p>
        </w:tc>
      </w:tr>
      <w:tr w:rsidR="005905B6" w:rsidRPr="00504447" w14:paraId="5B0D6AEA" w14:textId="77777777" w:rsidTr="00D047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56" w:type="dxa"/>
          </w:tcPr>
          <w:p w14:paraId="79A3BB04" w14:textId="77777777" w:rsidR="005905B6" w:rsidRPr="00504447" w:rsidRDefault="005905B6" w:rsidP="00504447">
            <w:pPr>
              <w:pStyle w:val="Tabletext"/>
              <w:rPr>
                <w:b w:val="0"/>
                <w:bCs w:val="0"/>
                <w:lang w:val="es-ES_tradnl"/>
              </w:rPr>
            </w:pPr>
            <w:r w:rsidRPr="00504447">
              <w:rPr>
                <w:b w:val="0"/>
                <w:bCs w:val="0"/>
                <w:lang w:val="es-ES_tradnl"/>
              </w:rPr>
              <w:t>Refuerzo de la estrategia de movilización de recursos mediante la cooperación con instituciones financieras y de desarrollo internacionales y regionales.</w:t>
            </w:r>
          </w:p>
        </w:tc>
        <w:tc>
          <w:tcPr>
            <w:tcW w:w="4373" w:type="dxa"/>
            <w:vMerge w:val="restart"/>
          </w:tcPr>
          <w:p w14:paraId="194A8643" w14:textId="77777777" w:rsidR="005905B6" w:rsidRPr="00504447" w:rsidRDefault="005905B6" w:rsidP="00504447">
            <w:pPr>
              <w:pStyle w:val="Tabletext"/>
              <w:cnfStyle w:val="000000100000" w:firstRow="0" w:lastRow="0" w:firstColumn="0" w:lastColumn="0" w:oddVBand="0" w:evenVBand="0" w:oddHBand="1" w:evenHBand="0" w:firstRowFirstColumn="0" w:firstRowLastColumn="0" w:lastRowFirstColumn="0" w:lastRowLastColumn="0"/>
              <w:rPr>
                <w:b/>
                <w:bCs/>
                <w:lang w:val="es-ES_tradnl"/>
              </w:rPr>
            </w:pPr>
            <w:r w:rsidRPr="00504447">
              <w:rPr>
                <w:b/>
                <w:bCs/>
                <w:lang w:val="es-ES_tradnl"/>
              </w:rPr>
              <w:t>Debe seguir elaborándose.</w:t>
            </w:r>
          </w:p>
        </w:tc>
      </w:tr>
      <w:tr w:rsidR="005905B6" w:rsidRPr="00504447" w14:paraId="1B5ADC40" w14:textId="77777777" w:rsidTr="00D04740">
        <w:trPr>
          <w:trHeight w:val="300"/>
        </w:trPr>
        <w:tc>
          <w:tcPr>
            <w:cnfStyle w:val="001000000000" w:firstRow="0" w:lastRow="0" w:firstColumn="1" w:lastColumn="0" w:oddVBand="0" w:evenVBand="0" w:oddHBand="0" w:evenHBand="0" w:firstRowFirstColumn="0" w:firstRowLastColumn="0" w:lastRowFirstColumn="0" w:lastRowLastColumn="0"/>
            <w:tcW w:w="5256" w:type="dxa"/>
          </w:tcPr>
          <w:p w14:paraId="2CCB8427" w14:textId="77777777" w:rsidR="005905B6" w:rsidRPr="00504447" w:rsidRDefault="005905B6" w:rsidP="00504447">
            <w:pPr>
              <w:pStyle w:val="Tabletext"/>
              <w:rPr>
                <w:b w:val="0"/>
                <w:bCs w:val="0"/>
                <w:lang w:val="es-ES_tradnl"/>
              </w:rPr>
            </w:pPr>
            <w:r w:rsidRPr="00504447">
              <w:rPr>
                <w:b w:val="0"/>
                <w:bCs w:val="0"/>
                <w:lang w:val="es-ES_tradnl"/>
              </w:rPr>
              <w:t xml:space="preserve">Refuerzo de la planificación, la colaboración y la cooperación conjuntas a escala de las Naciones Unidas y con otras instituciones financieras y de desarrollo a </w:t>
            </w:r>
            <w:r w:rsidRPr="00504447">
              <w:rPr>
                <w:b w:val="0"/>
                <w:bCs w:val="0"/>
                <w:lang w:val="es-ES_tradnl"/>
              </w:rPr>
              <w:lastRenderedPageBreak/>
              <w:t>nivel internacional y regional, a fin de lograr los ODS para 2030 que guardan relación con el desarrollo de las telecomunicaciones/TIC.</w:t>
            </w:r>
          </w:p>
        </w:tc>
        <w:tc>
          <w:tcPr>
            <w:tcW w:w="4373" w:type="dxa"/>
            <w:vMerge/>
          </w:tcPr>
          <w:p w14:paraId="16998A49" w14:textId="77777777" w:rsidR="005905B6" w:rsidRPr="00504447" w:rsidRDefault="005905B6" w:rsidP="00504447">
            <w:pPr>
              <w:pStyle w:val="Tabletext"/>
              <w:cnfStyle w:val="000000000000" w:firstRow="0" w:lastRow="0" w:firstColumn="0" w:lastColumn="0" w:oddVBand="0" w:evenVBand="0" w:oddHBand="0" w:evenHBand="0" w:firstRowFirstColumn="0" w:firstRowLastColumn="0" w:lastRowFirstColumn="0" w:lastRowLastColumn="0"/>
              <w:rPr>
                <w:rFonts w:cstheme="minorHAnsi"/>
                <w:i/>
                <w:iCs/>
                <w:lang w:val="es-ES_tradnl"/>
              </w:rPr>
            </w:pPr>
          </w:p>
        </w:tc>
      </w:tr>
    </w:tbl>
    <w:p w14:paraId="07C052E7" w14:textId="77777777" w:rsidR="005905B6" w:rsidRPr="00504447" w:rsidRDefault="005905B6" w:rsidP="00504447">
      <w:pPr>
        <w:pStyle w:val="Headingb"/>
        <w:rPr>
          <w:rFonts w:cstheme="minorBidi"/>
          <w:u w:val="single"/>
          <w:lang w:val="es-ES_tradnl"/>
        </w:rPr>
      </w:pPr>
      <w:r w:rsidRPr="00504447">
        <w:rPr>
          <w:u w:val="single"/>
          <w:lang w:val="es-ES_tradnl"/>
        </w:rPr>
        <w:t>Telecomunicaciones/TIC inclusivas y seguras para el desarrollo sostenible</w:t>
      </w:r>
    </w:p>
    <w:p w14:paraId="78391E9D" w14:textId="77777777" w:rsidR="005905B6" w:rsidRPr="00893422" w:rsidRDefault="005905B6" w:rsidP="00504447">
      <w:pPr>
        <w:rPr>
          <w:rFonts w:cstheme="minorBidi"/>
          <w:lang w:val="es-ES_tradnl"/>
        </w:rPr>
      </w:pPr>
      <w:r w:rsidRPr="00893422">
        <w:rPr>
          <w:lang w:val="es-ES_tradnl"/>
        </w:rPr>
        <w:t>Esta prioridad se centra en prestar asistencia a los Estados Miembros para lograr unas telecomunicaciones/TIC seguras en aras del desarrollo digital, para velar por un acceso seguro a telecomunicaciones/TIC seguras y útiles para todos. En concreto, la prioridad combate y resuelve los desafíos relacionados con la creación de confianza y seguridad en el uso de las TIC, fomentando a la vez la inclusión en su uso, especialmente en relación con las mujeres, los jóvenes, las personas con discapacidad y las personas con necesidades especiales, y prestando también un apoyo adaptado a los PMA, los PDSL y los PEID.</w:t>
      </w:r>
    </w:p>
    <w:p w14:paraId="42585DCD" w14:textId="77777777" w:rsidR="005905B6" w:rsidRPr="00893422" w:rsidRDefault="005905B6" w:rsidP="005905B6">
      <w:pPr>
        <w:widowControl w:val="0"/>
        <w:pBdr>
          <w:top w:val="nil"/>
          <w:left w:val="nil"/>
          <w:bottom w:val="nil"/>
          <w:right w:val="nil"/>
          <w:between w:val="nil"/>
        </w:pBdr>
        <w:spacing w:after="120"/>
        <w:ind w:right="109"/>
        <w:rPr>
          <w:rFonts w:cstheme="minorBidi"/>
          <w:i/>
          <w:iCs/>
          <w:color w:val="000000"/>
          <w:lang w:val="es-ES_tradnl"/>
        </w:rPr>
      </w:pPr>
      <w:r w:rsidRPr="00893422">
        <w:rPr>
          <w:i/>
          <w:iCs/>
          <w:lang w:val="es-ES_tradnl"/>
        </w:rPr>
        <w:t>Realizaciones e indicadores (IFR)</w:t>
      </w:r>
      <w:r w:rsidRPr="00893422">
        <w:rPr>
          <w:lang w:val="es-ES_tradnl"/>
        </w:rPr>
        <w:t xml:space="preserve"> </w:t>
      </w:r>
    </w:p>
    <w:tbl>
      <w:tblPr>
        <w:tblStyle w:val="GridTable4-Accent1"/>
        <w:tblW w:w="5000" w:type="pct"/>
        <w:jc w:val="center"/>
        <w:tblLayout w:type="fixed"/>
        <w:tblLook w:val="04A0" w:firstRow="1" w:lastRow="0" w:firstColumn="1" w:lastColumn="0" w:noHBand="0" w:noVBand="1"/>
      </w:tblPr>
      <w:tblGrid>
        <w:gridCol w:w="5250"/>
        <w:gridCol w:w="4379"/>
      </w:tblGrid>
      <w:tr w:rsidR="005905B6" w:rsidRPr="00893422" w14:paraId="6363E5E9" w14:textId="77777777" w:rsidTr="00D0474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50" w:type="dxa"/>
          </w:tcPr>
          <w:p w14:paraId="5313698C" w14:textId="77777777" w:rsidR="005905B6" w:rsidRPr="00893422" w:rsidRDefault="005905B6" w:rsidP="00504447">
            <w:pPr>
              <w:pStyle w:val="Tablehead"/>
              <w:jc w:val="left"/>
              <w:rPr>
                <w:lang w:val="es-ES_tradnl"/>
              </w:rPr>
            </w:pPr>
            <w:r w:rsidRPr="00893422">
              <w:rPr>
                <w:lang w:val="es-ES_tradnl"/>
              </w:rPr>
              <w:t>Realizaciones</w:t>
            </w:r>
          </w:p>
        </w:tc>
        <w:tc>
          <w:tcPr>
            <w:tcW w:w="4379" w:type="dxa"/>
          </w:tcPr>
          <w:p w14:paraId="2AC5052A" w14:textId="77777777" w:rsidR="005905B6" w:rsidRPr="00893422" w:rsidRDefault="005905B6" w:rsidP="00504447">
            <w:pPr>
              <w:pStyle w:val="Tablehead"/>
              <w:jc w:val="left"/>
              <w:cnfStyle w:val="100000000000" w:firstRow="1" w:lastRow="0" w:firstColumn="0" w:lastColumn="0" w:oddVBand="0" w:evenVBand="0" w:oddHBand="0" w:evenHBand="0" w:firstRowFirstColumn="0" w:firstRowLastColumn="0" w:lastRowFirstColumn="0" w:lastRowLastColumn="0"/>
              <w:rPr>
                <w:lang w:val="es-ES_tradnl"/>
              </w:rPr>
            </w:pPr>
            <w:r w:rsidRPr="00893422">
              <w:rPr>
                <w:lang w:val="es-ES_tradnl"/>
              </w:rPr>
              <w:t>Indicadores</w:t>
            </w:r>
          </w:p>
        </w:tc>
      </w:tr>
      <w:tr w:rsidR="005905B6" w:rsidRPr="00893422" w14:paraId="199BE64B" w14:textId="77777777" w:rsidTr="00D047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50" w:type="dxa"/>
          </w:tcPr>
          <w:p w14:paraId="0A780AB1" w14:textId="77777777" w:rsidR="005905B6" w:rsidRPr="00504447" w:rsidRDefault="005905B6" w:rsidP="00504447">
            <w:pPr>
              <w:pStyle w:val="Tabletext"/>
              <w:rPr>
                <w:b w:val="0"/>
                <w:bCs w:val="0"/>
                <w:color w:val="404040" w:themeColor="text1" w:themeTint="BF"/>
                <w:lang w:val="es-ES_tradnl"/>
              </w:rPr>
            </w:pPr>
            <w:r w:rsidRPr="00504447">
              <w:rPr>
                <w:b w:val="0"/>
                <w:bCs w:val="0"/>
                <w:lang w:val="es-ES_tradnl"/>
              </w:rPr>
              <w:t>Mejora de la alfabetización y la conciencia sobre las cuestiones de ciberseguridad, incluida la Protección de la Infancia en Línea.</w:t>
            </w:r>
          </w:p>
        </w:tc>
        <w:tc>
          <w:tcPr>
            <w:tcW w:w="4379" w:type="dxa"/>
            <w:vMerge w:val="restart"/>
          </w:tcPr>
          <w:p w14:paraId="3A3EE31F" w14:textId="77777777" w:rsidR="005905B6" w:rsidRPr="00893422" w:rsidRDefault="005905B6" w:rsidP="00504447">
            <w:pPr>
              <w:pStyle w:val="Tabletext"/>
              <w:cnfStyle w:val="000000100000" w:firstRow="0" w:lastRow="0" w:firstColumn="0" w:lastColumn="0" w:oddVBand="0" w:evenVBand="0" w:oddHBand="1" w:evenHBand="0" w:firstRowFirstColumn="0" w:firstRowLastColumn="0" w:lastRowFirstColumn="0" w:lastRowLastColumn="0"/>
              <w:rPr>
                <w:b/>
                <w:bCs/>
                <w:color w:val="1259AD"/>
                <w:lang w:val="es-ES_tradnl"/>
              </w:rPr>
            </w:pPr>
            <w:r w:rsidRPr="00893422">
              <w:rPr>
                <w:b/>
                <w:bCs/>
                <w:color w:val="000000"/>
                <w:lang w:val="es-ES_tradnl"/>
              </w:rPr>
              <w:t>Debe seguir elaborándose.</w:t>
            </w:r>
          </w:p>
        </w:tc>
      </w:tr>
      <w:tr w:rsidR="005905B6" w:rsidRPr="00893422" w14:paraId="06053F54" w14:textId="77777777" w:rsidTr="00D04740">
        <w:trPr>
          <w:trHeight w:val="300"/>
          <w:jc w:val="center"/>
        </w:trPr>
        <w:tc>
          <w:tcPr>
            <w:cnfStyle w:val="001000000000" w:firstRow="0" w:lastRow="0" w:firstColumn="1" w:lastColumn="0" w:oddVBand="0" w:evenVBand="0" w:oddHBand="0" w:evenHBand="0" w:firstRowFirstColumn="0" w:firstRowLastColumn="0" w:lastRowFirstColumn="0" w:lastRowLastColumn="0"/>
            <w:tcW w:w="5250" w:type="dxa"/>
          </w:tcPr>
          <w:p w14:paraId="0CDE9069" w14:textId="77777777" w:rsidR="005905B6" w:rsidRPr="00504447" w:rsidRDefault="005905B6" w:rsidP="00504447">
            <w:pPr>
              <w:pStyle w:val="Tabletext"/>
              <w:rPr>
                <w:b w:val="0"/>
                <w:bCs w:val="0"/>
                <w:color w:val="404040" w:themeColor="text1" w:themeTint="BF"/>
                <w:lang w:val="es-ES_tradnl"/>
              </w:rPr>
            </w:pPr>
            <w:r w:rsidRPr="00504447">
              <w:rPr>
                <w:b w:val="0"/>
                <w:bCs w:val="0"/>
                <w:lang w:val="es-ES_tradnl"/>
              </w:rPr>
              <w:t>Mejora de la capacidad de los Estados Miembros en la elaboración de estrategias nacionales de ciberseguridad y EIII.</w:t>
            </w:r>
          </w:p>
        </w:tc>
        <w:tc>
          <w:tcPr>
            <w:tcW w:w="4379" w:type="dxa"/>
            <w:vMerge/>
          </w:tcPr>
          <w:p w14:paraId="5156B25B" w14:textId="77777777" w:rsidR="005905B6" w:rsidRPr="00893422" w:rsidRDefault="005905B6" w:rsidP="00D04740">
            <w:pPr>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sz w:val="22"/>
                <w:lang w:val="es-ES_tradnl"/>
              </w:rPr>
            </w:pPr>
          </w:p>
        </w:tc>
      </w:tr>
      <w:tr w:rsidR="005905B6" w:rsidRPr="00893422" w14:paraId="056AD033" w14:textId="77777777" w:rsidTr="00D047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50" w:type="dxa"/>
          </w:tcPr>
          <w:p w14:paraId="125B2D12" w14:textId="77777777" w:rsidR="005905B6" w:rsidRPr="00504447" w:rsidRDefault="005905B6" w:rsidP="00504447">
            <w:pPr>
              <w:pStyle w:val="Tabletext"/>
              <w:rPr>
                <w:b w:val="0"/>
                <w:bCs w:val="0"/>
                <w:lang w:val="es-ES_tradnl"/>
              </w:rPr>
            </w:pPr>
            <w:r w:rsidRPr="00504447">
              <w:rPr>
                <w:b w:val="0"/>
                <w:bCs w:val="0"/>
                <w:lang w:val="es-ES_tradnl"/>
              </w:rPr>
              <w:t>Refuerzo de las asociaciones para dotar de recursos adecuados y apoyar las actividades de capacitación y ciberseguridad.</w:t>
            </w:r>
          </w:p>
        </w:tc>
        <w:tc>
          <w:tcPr>
            <w:tcW w:w="4379" w:type="dxa"/>
            <w:vMerge/>
          </w:tcPr>
          <w:p w14:paraId="4EDCBDD1" w14:textId="77777777" w:rsidR="005905B6" w:rsidRPr="00893422" w:rsidRDefault="005905B6" w:rsidP="00D04740">
            <w:pPr>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lang w:val="es-ES_tradnl"/>
              </w:rPr>
            </w:pPr>
          </w:p>
        </w:tc>
      </w:tr>
      <w:tr w:rsidR="005905B6" w:rsidRPr="00893422" w14:paraId="2BD96710" w14:textId="77777777" w:rsidTr="00D04740">
        <w:trPr>
          <w:trHeight w:val="300"/>
          <w:jc w:val="center"/>
        </w:trPr>
        <w:tc>
          <w:tcPr>
            <w:cnfStyle w:val="001000000000" w:firstRow="0" w:lastRow="0" w:firstColumn="1" w:lastColumn="0" w:oddVBand="0" w:evenVBand="0" w:oddHBand="0" w:evenHBand="0" w:firstRowFirstColumn="0" w:firstRowLastColumn="0" w:lastRowFirstColumn="0" w:lastRowLastColumn="0"/>
            <w:tcW w:w="5250" w:type="dxa"/>
            <w:tcBorders>
              <w:bottom w:val="single" w:sz="4" w:space="0" w:color="95B3D7" w:themeColor="accent1" w:themeTint="99"/>
            </w:tcBorders>
          </w:tcPr>
          <w:p w14:paraId="6DC1DCC3" w14:textId="77777777" w:rsidR="005905B6" w:rsidRPr="00504447" w:rsidRDefault="005905B6" w:rsidP="00504447">
            <w:pPr>
              <w:pStyle w:val="Tabletext"/>
              <w:rPr>
                <w:b w:val="0"/>
                <w:bCs w:val="0"/>
                <w:lang w:val="es-ES_tradnl"/>
              </w:rPr>
            </w:pPr>
            <w:r w:rsidRPr="00504447">
              <w:rPr>
                <w:b w:val="0"/>
                <w:bCs w:val="0"/>
                <w:lang w:val="es-ES_tradnl"/>
              </w:rPr>
              <w:t>Mejora de la seguridad de los servicios en línea, incluida la Protección de la Infancia en Línea.</w:t>
            </w:r>
          </w:p>
        </w:tc>
        <w:tc>
          <w:tcPr>
            <w:tcW w:w="4379" w:type="dxa"/>
            <w:vMerge/>
          </w:tcPr>
          <w:p w14:paraId="413F136F" w14:textId="77777777" w:rsidR="005905B6" w:rsidRPr="00893422" w:rsidRDefault="005905B6" w:rsidP="00D04740">
            <w:pPr>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lang w:val="es-ES_tradnl"/>
              </w:rPr>
            </w:pPr>
          </w:p>
        </w:tc>
      </w:tr>
      <w:tr w:rsidR="005905B6" w:rsidRPr="00893422" w14:paraId="660345F6" w14:textId="77777777" w:rsidTr="00D047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50" w:type="dxa"/>
          </w:tcPr>
          <w:p w14:paraId="4E538D34" w14:textId="77777777" w:rsidR="005905B6" w:rsidRPr="00504447" w:rsidRDefault="005905B6" w:rsidP="00504447">
            <w:pPr>
              <w:pStyle w:val="Tabletext"/>
              <w:rPr>
                <w:b w:val="0"/>
                <w:bCs w:val="0"/>
                <w:lang w:val="es-ES_tradnl"/>
              </w:rPr>
            </w:pPr>
            <w:r w:rsidRPr="00504447">
              <w:rPr>
                <w:b w:val="0"/>
                <w:bCs w:val="0"/>
                <w:lang w:val="es-ES_tradnl"/>
              </w:rPr>
              <w:t>Refuerzo de la capacidad de los Miembros de la UIT para elaborar estrategias, políticas y prácticas que favorezcan la inclusión digital y la equidad, en particular el empoderamiento de las mujeres y las niñas, las personas con discapacidad.</w:t>
            </w:r>
          </w:p>
        </w:tc>
        <w:tc>
          <w:tcPr>
            <w:tcW w:w="4379" w:type="dxa"/>
            <w:vMerge/>
          </w:tcPr>
          <w:p w14:paraId="765CED29" w14:textId="77777777" w:rsidR="005905B6" w:rsidRPr="00893422" w:rsidRDefault="005905B6" w:rsidP="00D04740">
            <w:pPr>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lang w:val="es-ES_tradnl"/>
              </w:rPr>
            </w:pPr>
          </w:p>
        </w:tc>
      </w:tr>
    </w:tbl>
    <w:p w14:paraId="269FE92D" w14:textId="02040D9C" w:rsidR="005905B6" w:rsidRPr="00504447" w:rsidRDefault="00504447" w:rsidP="00504447">
      <w:pPr>
        <w:pStyle w:val="Heading2"/>
      </w:pPr>
      <w:r>
        <w:t>3.3</w:t>
      </w:r>
      <w:r>
        <w:tab/>
      </w:r>
      <w:r w:rsidR="005905B6" w:rsidRPr="00504447">
        <w:t>Productos</w:t>
      </w:r>
    </w:p>
    <w:p w14:paraId="5FC13205" w14:textId="77777777" w:rsidR="005905B6" w:rsidRPr="00893422" w:rsidRDefault="005905B6" w:rsidP="00504447">
      <w:pPr>
        <w:rPr>
          <w:rFonts w:cstheme="minorBidi"/>
          <w:lang w:val="es-ES_tradnl"/>
        </w:rPr>
      </w:pPr>
      <w:r w:rsidRPr="00893422">
        <w:rPr>
          <w:lang w:val="es-ES_tradnl"/>
        </w:rPr>
        <w:t>Con arreglo a la definición expuesta previamente, los productos son principalmente productos y servicios elaborados por la BDT, que se utilizan para garantizar el cumplimiento del mandato del UIT-D en los planos nacional, regional e internacional.</w:t>
      </w:r>
    </w:p>
    <w:p w14:paraId="11A8DF62" w14:textId="76930A6E" w:rsidR="005905B6" w:rsidRPr="00893422" w:rsidRDefault="005905B6" w:rsidP="00504447">
      <w:pPr>
        <w:rPr>
          <w:rFonts w:cstheme="minorBidi"/>
          <w:lang w:val="es-ES_tradnl"/>
        </w:rPr>
      </w:pPr>
      <w:r w:rsidRPr="00893422">
        <w:rPr>
          <w:lang w:val="es-ES_tradnl"/>
        </w:rPr>
        <w:t>Los productos son inherentemente transversales, al abarcar todas las prioridades. A continuación se expone la propuesta de lista de productos:</w:t>
      </w:r>
    </w:p>
    <w:p w14:paraId="168E65DB" w14:textId="47CDD439" w:rsidR="005905B6" w:rsidRPr="00893422" w:rsidRDefault="00504447" w:rsidP="00504447">
      <w:pPr>
        <w:pStyle w:val="enumlev1"/>
        <w:rPr>
          <w:rFonts w:cstheme="minorBidi"/>
          <w:color w:val="000000"/>
          <w:lang w:val="es-ES_tradnl"/>
        </w:rPr>
      </w:pPr>
      <w:r w:rsidRPr="00504447">
        <w:rPr>
          <w:lang w:val="es-ES_tradnl"/>
        </w:rPr>
        <w:t>–</w:t>
      </w:r>
      <w:r>
        <w:rPr>
          <w:lang w:val="es-ES_tradnl"/>
        </w:rPr>
        <w:tab/>
      </w:r>
      <w:r w:rsidR="005905B6" w:rsidRPr="00893422">
        <w:rPr>
          <w:lang w:val="es-ES_tradnl"/>
        </w:rPr>
        <w:t>políticas y estrategias modelo;</w:t>
      </w:r>
    </w:p>
    <w:p w14:paraId="6FE63F53" w14:textId="11C9DF5A" w:rsidR="005905B6" w:rsidRPr="00893422" w:rsidRDefault="00504447" w:rsidP="00504447">
      <w:pPr>
        <w:pStyle w:val="enumlev1"/>
        <w:rPr>
          <w:rFonts w:cstheme="minorBidi"/>
          <w:color w:val="000000"/>
          <w:lang w:val="es-ES_tradnl"/>
        </w:rPr>
      </w:pPr>
      <w:r w:rsidRPr="00504447">
        <w:rPr>
          <w:lang w:val="es-ES_tradnl"/>
        </w:rPr>
        <w:t>–</w:t>
      </w:r>
      <w:r>
        <w:rPr>
          <w:lang w:val="es-ES_tradnl"/>
        </w:rPr>
        <w:tab/>
      </w:r>
      <w:r w:rsidR="005905B6" w:rsidRPr="00893422">
        <w:rPr>
          <w:lang w:val="es-ES_tradnl"/>
        </w:rPr>
        <w:t>conjuntos de herramientas;</w:t>
      </w:r>
    </w:p>
    <w:p w14:paraId="6F1838E7" w14:textId="412244D1" w:rsidR="005905B6" w:rsidRPr="00893422" w:rsidRDefault="00504447" w:rsidP="00504447">
      <w:pPr>
        <w:pStyle w:val="enumlev1"/>
        <w:rPr>
          <w:rFonts w:cstheme="minorBidi"/>
          <w:color w:val="000000"/>
          <w:lang w:val="es-ES_tradnl"/>
        </w:rPr>
      </w:pPr>
      <w:r w:rsidRPr="00504447">
        <w:rPr>
          <w:lang w:val="es-ES_tradnl"/>
        </w:rPr>
        <w:t>–</w:t>
      </w:r>
      <w:r>
        <w:rPr>
          <w:lang w:val="es-ES_tradnl"/>
        </w:rPr>
        <w:tab/>
      </w:r>
      <w:r w:rsidR="005905B6" w:rsidRPr="00893422">
        <w:rPr>
          <w:lang w:val="es-ES_tradnl"/>
        </w:rPr>
        <w:t>creación de plataformas</w:t>
      </w:r>
      <w:r w:rsidR="00B90BE3">
        <w:rPr>
          <w:lang w:val="es-ES_tradnl"/>
        </w:rPr>
        <w:t>;</w:t>
      </w:r>
    </w:p>
    <w:p w14:paraId="0F4BE989" w14:textId="38447762" w:rsidR="005905B6" w:rsidRPr="00893422" w:rsidRDefault="00504447" w:rsidP="00504447">
      <w:pPr>
        <w:pStyle w:val="enumlev1"/>
        <w:rPr>
          <w:rFonts w:cstheme="minorBidi"/>
          <w:color w:val="000000"/>
          <w:lang w:val="es-ES_tradnl"/>
        </w:rPr>
      </w:pPr>
      <w:r w:rsidRPr="00504447">
        <w:rPr>
          <w:lang w:val="es-ES_tradnl"/>
        </w:rPr>
        <w:t>–</w:t>
      </w:r>
      <w:r>
        <w:rPr>
          <w:lang w:val="es-ES_tradnl"/>
        </w:rPr>
        <w:tab/>
      </w:r>
      <w:r w:rsidR="005905B6" w:rsidRPr="00893422">
        <w:rPr>
          <w:lang w:val="es-ES_tradnl"/>
        </w:rPr>
        <w:t>marcos de aprendizaje;</w:t>
      </w:r>
    </w:p>
    <w:p w14:paraId="6E4AEABC" w14:textId="35A4B41B" w:rsidR="005905B6" w:rsidRPr="00893422" w:rsidRDefault="00504447" w:rsidP="00504447">
      <w:pPr>
        <w:pStyle w:val="enumlev1"/>
        <w:rPr>
          <w:rFonts w:cstheme="minorBidi"/>
          <w:color w:val="000000"/>
          <w:lang w:val="es-ES_tradnl"/>
        </w:rPr>
      </w:pPr>
      <w:r w:rsidRPr="00504447">
        <w:rPr>
          <w:lang w:val="es-ES_tradnl"/>
        </w:rPr>
        <w:t>–</w:t>
      </w:r>
      <w:r>
        <w:rPr>
          <w:lang w:val="es-ES_tradnl"/>
        </w:rPr>
        <w:tab/>
      </w:r>
      <w:r w:rsidR="005905B6" w:rsidRPr="00893422">
        <w:rPr>
          <w:lang w:val="es-ES_tradnl"/>
        </w:rPr>
        <w:t xml:space="preserve">estadísticas; </w:t>
      </w:r>
    </w:p>
    <w:p w14:paraId="4B1C1074" w14:textId="0A9E50EB" w:rsidR="005905B6" w:rsidRPr="00893422" w:rsidRDefault="00504447" w:rsidP="00504447">
      <w:pPr>
        <w:pStyle w:val="enumlev1"/>
        <w:rPr>
          <w:rFonts w:cstheme="minorBidi"/>
          <w:color w:val="000000"/>
          <w:lang w:val="es-ES_tradnl"/>
        </w:rPr>
      </w:pPr>
      <w:r w:rsidRPr="00504447">
        <w:rPr>
          <w:lang w:val="es-ES_tradnl"/>
        </w:rPr>
        <w:lastRenderedPageBreak/>
        <w:t>–</w:t>
      </w:r>
      <w:r>
        <w:rPr>
          <w:lang w:val="es-ES_tradnl"/>
        </w:rPr>
        <w:tab/>
      </w:r>
      <w:r w:rsidR="005905B6" w:rsidRPr="00893422">
        <w:rPr>
          <w:lang w:val="es-ES_tradnl"/>
        </w:rPr>
        <w:t>intervenciones técnicas.</w:t>
      </w:r>
    </w:p>
    <w:p w14:paraId="0EB00A2F" w14:textId="097003A9" w:rsidR="005905B6" w:rsidRPr="00504447" w:rsidRDefault="00504447" w:rsidP="00504447">
      <w:pPr>
        <w:pStyle w:val="Heading2"/>
      </w:pPr>
      <w:r>
        <w:t>3.4</w:t>
      </w:r>
      <w:r>
        <w:tab/>
      </w:r>
      <w:r w:rsidR="005905B6" w:rsidRPr="00504447">
        <w:t>Factor habilitador</w:t>
      </w:r>
    </w:p>
    <w:p w14:paraId="128370F6" w14:textId="77777777" w:rsidR="005905B6" w:rsidRPr="00893422" w:rsidRDefault="005905B6" w:rsidP="00504447">
      <w:pPr>
        <w:pStyle w:val="Headingb"/>
        <w:rPr>
          <w:rFonts w:cstheme="minorBidi"/>
          <w:spacing w:val="-2"/>
          <w:lang w:val="es-ES_tradnl"/>
        </w:rPr>
      </w:pPr>
      <w:r w:rsidRPr="00893422">
        <w:rPr>
          <w:lang w:val="es-ES_tradnl"/>
        </w:rPr>
        <w:t>Excelencia institucional</w:t>
      </w:r>
    </w:p>
    <w:p w14:paraId="57915692" w14:textId="77777777" w:rsidR="005905B6" w:rsidRPr="00893422" w:rsidRDefault="005905B6" w:rsidP="00504447">
      <w:pPr>
        <w:rPr>
          <w:rFonts w:cstheme="minorBidi"/>
          <w:spacing w:val="-11"/>
          <w:szCs w:val="24"/>
          <w:lang w:val="es-ES_tradnl"/>
        </w:rPr>
      </w:pPr>
      <w:r w:rsidRPr="00893422">
        <w:rPr>
          <w:lang w:val="es-ES_tradnl"/>
        </w:rPr>
        <w:t xml:space="preserve">El refuerzo de la eficiencia y la eficacia operativas permite a la UIT responder a los cambios en el panorama de las telecomunicaciones/TIC y a la evolución de las necesidades de sus miembros, y también mejora la comprensión de los contextos locales y la capacidad para responder a las necesidades de los países de manera eficaz. Por consiguiente, el objetivo de la UIT es mejorar los procesos internos, incluidos los procesos de gestión de proyecto y las capacidades de aplicación, y acelerar la toma de decisiones abordando las ineficiencias operativas y la duplicación de esfuerzos, reflejando los valores de transparencia y rendición de cuentas. </w:t>
      </w:r>
    </w:p>
    <w:p w14:paraId="7DB30AA2" w14:textId="77777777" w:rsidR="005905B6" w:rsidRPr="00893422" w:rsidRDefault="005905B6" w:rsidP="00504447">
      <w:pPr>
        <w:rPr>
          <w:rFonts w:cstheme="minorBidi"/>
          <w:szCs w:val="24"/>
          <w:lang w:val="es-ES_tradnl"/>
        </w:rPr>
      </w:pPr>
      <w:r w:rsidRPr="00893422">
        <w:rPr>
          <w:lang w:val="es-ES_tradnl"/>
        </w:rPr>
        <w:t>La UIT también reconoce la necesidad de reforzar la eficacia de su funcionamiento, aumentando las sinergias interfuncionales, fomentando la innovación interna, proporcionando orientaciones coherentes en el ámbito de competencia de la Organización y desarrollando un enfoque más sólido de gestión del rendimiento y el talento. Para ello, la Organización seguirá poniendo en marcha un plan de transformación de la cultura y las competencias, articulado en torno a cuatro temas principales: planificación estratégica, innovación, incluidos sistemas TIC y servicios de soporte y gestión de los recursos humanos. La excelencia institucional incluye, entre otras cosas:</w:t>
      </w:r>
    </w:p>
    <w:p w14:paraId="58ABE2C2" w14:textId="7A20595E" w:rsidR="005905B6" w:rsidRPr="00504447" w:rsidRDefault="00504447" w:rsidP="00504447">
      <w:pPr>
        <w:pStyle w:val="enumlev1"/>
        <w:rPr>
          <w:rFonts w:cstheme="minorBidi"/>
          <w:b/>
          <w:bCs/>
          <w:spacing w:val="-2"/>
          <w:lang w:val="es-ES_tradnl"/>
        </w:rPr>
      </w:pPr>
      <w:r w:rsidRPr="00504447">
        <w:rPr>
          <w:b/>
          <w:bCs/>
          <w:lang w:val="es-ES_tradnl"/>
        </w:rPr>
        <w:t>•</w:t>
      </w:r>
      <w:r>
        <w:rPr>
          <w:b/>
          <w:bCs/>
          <w:lang w:val="es-ES_tradnl"/>
        </w:rPr>
        <w:tab/>
      </w:r>
      <w:r w:rsidR="005905B6" w:rsidRPr="00504447">
        <w:rPr>
          <w:b/>
          <w:bCs/>
          <w:lang w:val="es-ES_tradnl"/>
        </w:rPr>
        <w:t>Impulso de los miembros</w:t>
      </w:r>
    </w:p>
    <w:p w14:paraId="55271AB2" w14:textId="189471C1" w:rsidR="005905B6" w:rsidRPr="00893422" w:rsidRDefault="00504447" w:rsidP="00504447">
      <w:pPr>
        <w:pStyle w:val="enumlev1"/>
        <w:rPr>
          <w:rFonts w:cstheme="minorBidi"/>
          <w:spacing w:val="-10"/>
          <w:szCs w:val="24"/>
          <w:lang w:val="es-ES_tradnl"/>
        </w:rPr>
      </w:pPr>
      <w:r>
        <w:rPr>
          <w:lang w:val="es-ES_tradnl"/>
        </w:rPr>
        <w:tab/>
      </w:r>
      <w:r w:rsidR="005905B6" w:rsidRPr="00893422">
        <w:rPr>
          <w:lang w:val="es-ES_tradnl"/>
        </w:rPr>
        <w:t>La UIT seguirá trabajando como una organización impulsada por sus Miembros, a fin de atender y reflejar eficazmente sus necesidades. La UIT reconoce las necesidades de todos los países, en particular las de los países en desarrollo, incluidos los PMA, los PEID, los PDSL y los países con economías en transición, a las que cabría dar prioridad y prestar la debida atención.</w:t>
      </w:r>
    </w:p>
    <w:p w14:paraId="5837FFEB" w14:textId="11DCCA90" w:rsidR="005905B6" w:rsidRPr="00893422" w:rsidRDefault="00504447" w:rsidP="00504447">
      <w:pPr>
        <w:pStyle w:val="enumlev1"/>
        <w:rPr>
          <w:rFonts w:cstheme="minorBidi"/>
          <w:szCs w:val="24"/>
          <w:lang w:val="es-ES_tradnl"/>
        </w:rPr>
      </w:pPr>
      <w:r>
        <w:rPr>
          <w:lang w:val="es-ES_tradnl"/>
        </w:rPr>
        <w:tab/>
      </w:r>
      <w:r w:rsidR="005905B6" w:rsidRPr="00893422">
        <w:rPr>
          <w:lang w:val="es-ES_tradnl"/>
        </w:rPr>
        <w:t>La UIT también se esforzará por afianzar su compromiso con los representantes del sector de las telecomunicaciones/TIC, así como de otros sectores industriales, para demostrar su propuesta de valor en el contexto de las metas estratégicas.</w:t>
      </w:r>
      <w:bookmarkStart w:id="7" w:name="3.4_Linkages"/>
      <w:bookmarkStart w:id="8" w:name="4_Implementation_of_ITU-D_priorities_and"/>
      <w:bookmarkStart w:id="9" w:name="4.1_Affordable_connectivity"/>
      <w:bookmarkStart w:id="10" w:name="4.2_Digital_transformation"/>
      <w:bookmarkStart w:id="11" w:name="4.3_Enabling_policy_and_regulatory_envir"/>
      <w:bookmarkStart w:id="12" w:name="4.4_Resource_mobilization_and_internatio"/>
      <w:bookmarkStart w:id="13" w:name="4.5_Inclusive_and_secure_telecommunicati"/>
      <w:bookmarkStart w:id="14" w:name="4.6_Desired_outcomes_related_to_enablers"/>
      <w:bookmarkEnd w:id="7"/>
      <w:bookmarkEnd w:id="8"/>
      <w:bookmarkEnd w:id="9"/>
      <w:bookmarkEnd w:id="10"/>
      <w:bookmarkEnd w:id="11"/>
      <w:bookmarkEnd w:id="12"/>
      <w:bookmarkEnd w:id="13"/>
      <w:bookmarkEnd w:id="14"/>
    </w:p>
    <w:p w14:paraId="7761D1BB" w14:textId="26196464" w:rsidR="005905B6" w:rsidRPr="00504447" w:rsidRDefault="00504447" w:rsidP="00504447">
      <w:pPr>
        <w:pStyle w:val="enumlev1"/>
        <w:rPr>
          <w:rFonts w:cstheme="minorBidi"/>
          <w:b/>
          <w:bCs/>
          <w:spacing w:val="-2"/>
          <w:lang w:val="es-ES_tradnl"/>
        </w:rPr>
      </w:pPr>
      <w:r w:rsidRPr="00504447">
        <w:rPr>
          <w:b/>
          <w:bCs/>
          <w:lang w:val="es-ES_tradnl"/>
        </w:rPr>
        <w:t>•</w:t>
      </w:r>
      <w:r>
        <w:rPr>
          <w:b/>
          <w:bCs/>
          <w:lang w:val="es-ES_tradnl"/>
        </w:rPr>
        <w:tab/>
      </w:r>
      <w:r w:rsidR="005905B6" w:rsidRPr="00504447">
        <w:rPr>
          <w:b/>
          <w:bCs/>
          <w:lang w:val="es-ES_tradnl"/>
        </w:rPr>
        <w:t>Presencia regional</w:t>
      </w:r>
    </w:p>
    <w:p w14:paraId="7EB7DA55" w14:textId="5AB6E0E3" w:rsidR="005905B6" w:rsidRPr="00893422" w:rsidRDefault="00504447" w:rsidP="00504447">
      <w:pPr>
        <w:pStyle w:val="enumlev1"/>
        <w:rPr>
          <w:rFonts w:cstheme="minorBidi"/>
          <w:szCs w:val="24"/>
          <w:lang w:val="es-ES_tradnl"/>
        </w:rPr>
      </w:pPr>
      <w:r>
        <w:rPr>
          <w:lang w:val="es-ES_tradnl"/>
        </w:rPr>
        <w:tab/>
      </w:r>
      <w:r w:rsidR="005905B6" w:rsidRPr="00893422">
        <w:rPr>
          <w:lang w:val="es-ES_tradnl"/>
        </w:rPr>
        <w:t>Como prolongación de la UIT en su conjunto, la presencia regional desempeña un papel decisivo en el cumplimiento de la misión de la Unión, pues mejora su comprensión de los contextos locales y su capacidad para responder a las necesidades de los países de forma eficaz.</w:t>
      </w:r>
    </w:p>
    <w:p w14:paraId="6E3FE231" w14:textId="6F84C091" w:rsidR="005905B6" w:rsidRPr="00893422" w:rsidRDefault="00504447" w:rsidP="00504447">
      <w:pPr>
        <w:pStyle w:val="enumlev1"/>
        <w:rPr>
          <w:rFonts w:cstheme="minorBidi"/>
          <w:szCs w:val="24"/>
          <w:lang w:val="es-ES_tradnl"/>
        </w:rPr>
      </w:pPr>
      <w:r>
        <w:rPr>
          <w:lang w:val="es-ES_tradnl"/>
        </w:rPr>
        <w:tab/>
      </w:r>
      <w:r w:rsidR="005905B6" w:rsidRPr="00893422">
        <w:rPr>
          <w:lang w:val="es-ES_tradnl"/>
        </w:rPr>
        <w:t>La presencia regional consolidará la planificación estratégica a nivel de las distintas Oficinas Regionales y/o Zonales, aplicando programas e iniciativas acordes con las metas estratégicas y las Prioridades Temáticas de la Unión y basados en ellas.</w:t>
      </w:r>
    </w:p>
    <w:p w14:paraId="23D5609F" w14:textId="52DC7C3A" w:rsidR="005905B6" w:rsidRPr="00893422" w:rsidRDefault="00504447" w:rsidP="00504447">
      <w:pPr>
        <w:pStyle w:val="enumlev1"/>
        <w:rPr>
          <w:rFonts w:cstheme="minorBidi"/>
          <w:szCs w:val="24"/>
          <w:lang w:val="es-ES_tradnl"/>
        </w:rPr>
      </w:pPr>
      <w:r>
        <w:rPr>
          <w:lang w:val="es-ES_tradnl"/>
        </w:rPr>
        <w:tab/>
      </w:r>
      <w:r w:rsidR="005905B6" w:rsidRPr="00893422">
        <w:rPr>
          <w:lang w:val="es-ES_tradnl"/>
        </w:rPr>
        <w:t>La presencia regional reforzará la posición de la UIT como conformadora/ejecutora y mejorará la cooperación en el seno de las Naciones Unidas, a fin de crear mayores oportunidades regionales y, de esta forma, llegar a más países y definir prioridades más claras y eficaces para los compromisos nacionales.</w:t>
      </w:r>
    </w:p>
    <w:p w14:paraId="4BE8801D" w14:textId="6F969928" w:rsidR="005905B6" w:rsidRPr="00893422" w:rsidRDefault="00504447" w:rsidP="00504447">
      <w:pPr>
        <w:pStyle w:val="enumlev1"/>
        <w:rPr>
          <w:rFonts w:cstheme="minorBidi"/>
          <w:szCs w:val="24"/>
          <w:lang w:val="es-ES_tradnl"/>
        </w:rPr>
      </w:pPr>
      <w:r>
        <w:rPr>
          <w:lang w:val="es-ES_tradnl"/>
        </w:rPr>
        <w:tab/>
      </w:r>
      <w:r w:rsidR="005905B6" w:rsidRPr="00893422">
        <w:rPr>
          <w:lang w:val="es-ES_tradnl"/>
        </w:rPr>
        <w:t>También se procurará reforzar las capacidades en el plano regional, de tal manera que las Oficinas Regionales y Zonales puedan ejecutar los programas y compromisos establecidos en función de las metas estratégicas y las Prioridades Temáticas de la Unión.</w:t>
      </w:r>
    </w:p>
    <w:p w14:paraId="3187B5E6" w14:textId="79DEAF9D" w:rsidR="005905B6" w:rsidRPr="00504447" w:rsidRDefault="00504447" w:rsidP="00B90BE3">
      <w:pPr>
        <w:pStyle w:val="enumlev1"/>
        <w:keepNext/>
        <w:keepLines/>
        <w:rPr>
          <w:rFonts w:cstheme="minorBidi"/>
          <w:b/>
          <w:bCs/>
          <w:spacing w:val="-2"/>
          <w:lang w:val="es-ES_tradnl"/>
        </w:rPr>
      </w:pPr>
      <w:r w:rsidRPr="00504447">
        <w:rPr>
          <w:b/>
          <w:bCs/>
          <w:lang w:val="es-ES_tradnl"/>
        </w:rPr>
        <w:lastRenderedPageBreak/>
        <w:t>•</w:t>
      </w:r>
      <w:r>
        <w:rPr>
          <w:b/>
          <w:bCs/>
          <w:lang w:val="es-ES_tradnl"/>
        </w:rPr>
        <w:tab/>
      </w:r>
      <w:r w:rsidR="005905B6" w:rsidRPr="00504447">
        <w:rPr>
          <w:b/>
          <w:bCs/>
          <w:lang w:val="es-ES_tradnl"/>
        </w:rPr>
        <w:t>Gestión de proyectos</w:t>
      </w:r>
    </w:p>
    <w:p w14:paraId="3E59F878" w14:textId="7F7E766F" w:rsidR="005905B6" w:rsidRPr="00893422" w:rsidRDefault="00504447" w:rsidP="00B90BE3">
      <w:pPr>
        <w:pStyle w:val="enumlev1"/>
        <w:keepNext/>
        <w:keepLines/>
        <w:rPr>
          <w:rFonts w:cstheme="minorBidi"/>
          <w:szCs w:val="24"/>
          <w:lang w:val="es-ES_tradnl"/>
        </w:rPr>
      </w:pPr>
      <w:r>
        <w:rPr>
          <w:lang w:val="es-ES_tradnl"/>
        </w:rPr>
        <w:tab/>
      </w:r>
      <w:r w:rsidR="005905B6" w:rsidRPr="00893422">
        <w:rPr>
          <w:lang w:val="es-ES_tradnl"/>
        </w:rPr>
        <w:t>En cumplimiento del doble cometido de la Unión como organismo especializado de las Naciones Unidas y como organismo ejecutor de proyectos de desarrollo de las telecomunicaciones/TIC en el marco del sistema de desarrollo de las Naciones Unidas y de otras iniciativas de financiación, y con objeto de facilitar y potenciar el desarrollo de las telecomunicaciones/TIC, el UIT-D ofrece, organiza y coordina actividades de cooperación y asistencia técnica a través de Iniciativas Regionales y proyectos.</w:t>
      </w:r>
    </w:p>
    <w:p w14:paraId="1C9DEB1D" w14:textId="31927789" w:rsidR="005905B6" w:rsidRPr="00893422" w:rsidRDefault="00504447" w:rsidP="00504447">
      <w:pPr>
        <w:pStyle w:val="enumlev1"/>
        <w:rPr>
          <w:rFonts w:cstheme="minorBidi"/>
          <w:szCs w:val="24"/>
          <w:lang w:val="es-ES_tradnl"/>
        </w:rPr>
      </w:pPr>
      <w:r>
        <w:rPr>
          <w:lang w:val="es-ES_tradnl"/>
        </w:rPr>
        <w:tab/>
      </w:r>
      <w:r w:rsidR="005905B6" w:rsidRPr="00893422">
        <w:rPr>
          <w:lang w:val="es-ES_tradnl"/>
        </w:rPr>
        <w:t xml:space="preserve">El refuerzo de la capacidad de gestión de proyectos y de la ejecución garantizará la concordancia con los planes estratégicos generales y las realizaciones en materia de desarrollo, a la vez que se introducirán mejores métodos, herramientas y prácticas para mejorar la eficiencia, la eficacia y la rendición de cuentas respecto de la planificación, ejecución, supervisión y ultimación de los proyectos. </w:t>
      </w:r>
    </w:p>
    <w:p w14:paraId="71517101" w14:textId="6F04082D" w:rsidR="005905B6" w:rsidRPr="00504447" w:rsidRDefault="00504447" w:rsidP="00504447">
      <w:pPr>
        <w:pStyle w:val="enumlev1"/>
        <w:rPr>
          <w:rFonts w:cstheme="minorBidi"/>
          <w:b/>
          <w:bCs/>
          <w:spacing w:val="-2"/>
          <w:lang w:val="es-ES_tradnl"/>
        </w:rPr>
      </w:pPr>
      <w:r w:rsidRPr="00504447">
        <w:rPr>
          <w:b/>
          <w:bCs/>
          <w:lang w:val="es-ES_tradnl"/>
        </w:rPr>
        <w:t>•</w:t>
      </w:r>
      <w:r>
        <w:rPr>
          <w:b/>
          <w:bCs/>
          <w:lang w:val="es-ES_tradnl"/>
        </w:rPr>
        <w:tab/>
      </w:r>
      <w:r w:rsidR="005905B6" w:rsidRPr="00504447">
        <w:rPr>
          <w:b/>
          <w:bCs/>
          <w:lang w:val="es-ES_tradnl"/>
        </w:rPr>
        <w:t>Servicios de apoyo</w:t>
      </w:r>
    </w:p>
    <w:p w14:paraId="5C69196A" w14:textId="5B009C4F" w:rsidR="005905B6" w:rsidRPr="00893422" w:rsidRDefault="00504447" w:rsidP="00504447">
      <w:pPr>
        <w:pStyle w:val="enumlev1"/>
        <w:rPr>
          <w:rFonts w:cstheme="minorBidi"/>
          <w:szCs w:val="24"/>
          <w:lang w:val="es-ES_tradnl"/>
        </w:rPr>
      </w:pPr>
      <w:r>
        <w:rPr>
          <w:lang w:val="es-ES_tradnl"/>
        </w:rPr>
        <w:tab/>
      </w:r>
      <w:r w:rsidR="005905B6" w:rsidRPr="00893422">
        <w:rPr>
          <w:lang w:val="es-ES_tradnl"/>
        </w:rPr>
        <w:t>A fin de garantizar el cumplimiento eficaz y efectivo del mandato del UIT-D y su labor en materia de programas, debe darse prioridad a las funciones administrativas y operacionales esenciales. Estos servicios básicos permiten agilizar las operaciones, facilitando que los equipos de programas se centren en el logro de resultados. Entre estos servicios se cuentan los siguientes:</w:t>
      </w:r>
    </w:p>
    <w:p w14:paraId="4700E0A2" w14:textId="477D65F6" w:rsidR="005905B6" w:rsidRPr="00893422" w:rsidRDefault="00504447" w:rsidP="00504447">
      <w:pPr>
        <w:pStyle w:val="enumlev2"/>
        <w:rPr>
          <w:rFonts w:cstheme="minorBidi"/>
          <w:szCs w:val="24"/>
          <w:lang w:val="es-ES_tradnl"/>
        </w:rPr>
      </w:pPr>
      <w:r w:rsidRPr="00504447">
        <w:rPr>
          <w:lang w:val="es-ES_tradnl"/>
        </w:rPr>
        <w:t>–</w:t>
      </w:r>
      <w:r>
        <w:rPr>
          <w:lang w:val="es-ES_tradnl"/>
        </w:rPr>
        <w:tab/>
      </w:r>
      <w:r w:rsidR="005905B6" w:rsidRPr="00893422">
        <w:rPr>
          <w:lang w:val="es-ES_tradnl"/>
        </w:rPr>
        <w:t>comunicaciones;</w:t>
      </w:r>
    </w:p>
    <w:p w14:paraId="07B67AA0" w14:textId="30BD66DC" w:rsidR="005905B6" w:rsidRPr="00893422" w:rsidRDefault="00504447" w:rsidP="00504447">
      <w:pPr>
        <w:pStyle w:val="enumlev2"/>
        <w:rPr>
          <w:rFonts w:cstheme="minorBidi"/>
          <w:szCs w:val="24"/>
          <w:lang w:val="es-ES_tradnl"/>
        </w:rPr>
      </w:pPr>
      <w:r w:rsidRPr="00504447">
        <w:rPr>
          <w:lang w:val="es-ES_tradnl"/>
        </w:rPr>
        <w:t>–</w:t>
      </w:r>
      <w:r>
        <w:rPr>
          <w:lang w:val="es-ES_tradnl"/>
        </w:rPr>
        <w:tab/>
      </w:r>
      <w:r w:rsidR="005905B6" w:rsidRPr="00893422">
        <w:rPr>
          <w:lang w:val="es-ES_tradnl"/>
        </w:rPr>
        <w:t>becas;</w:t>
      </w:r>
    </w:p>
    <w:p w14:paraId="7E8B0272" w14:textId="6D1FCD40" w:rsidR="005905B6" w:rsidRPr="00893422" w:rsidRDefault="00504447" w:rsidP="00504447">
      <w:pPr>
        <w:pStyle w:val="enumlev2"/>
        <w:rPr>
          <w:rFonts w:cstheme="minorBidi"/>
          <w:szCs w:val="24"/>
          <w:lang w:val="es-ES_tradnl"/>
        </w:rPr>
      </w:pPr>
      <w:r w:rsidRPr="00504447">
        <w:rPr>
          <w:lang w:val="es-ES_tradnl"/>
        </w:rPr>
        <w:t>–</w:t>
      </w:r>
      <w:r>
        <w:rPr>
          <w:lang w:val="es-ES_tradnl"/>
        </w:rPr>
        <w:tab/>
      </w:r>
      <w:r w:rsidR="005905B6" w:rsidRPr="00893422">
        <w:rPr>
          <w:lang w:val="es-ES_tradnl"/>
        </w:rPr>
        <w:t>apoyo a los eventos;</w:t>
      </w:r>
    </w:p>
    <w:p w14:paraId="35E9C3B4" w14:textId="1A4D341E" w:rsidR="005905B6" w:rsidRPr="00893422" w:rsidRDefault="00504447" w:rsidP="00504447">
      <w:pPr>
        <w:pStyle w:val="enumlev2"/>
        <w:rPr>
          <w:rFonts w:cstheme="minorBidi"/>
          <w:szCs w:val="24"/>
          <w:lang w:val="es-ES_tradnl"/>
        </w:rPr>
      </w:pPr>
      <w:r w:rsidRPr="00504447">
        <w:rPr>
          <w:lang w:val="es-ES_tradnl"/>
        </w:rPr>
        <w:t>–</w:t>
      </w:r>
      <w:r>
        <w:rPr>
          <w:lang w:val="es-ES_tradnl"/>
        </w:rPr>
        <w:tab/>
      </w:r>
      <w:r w:rsidR="005905B6" w:rsidRPr="00893422">
        <w:rPr>
          <w:lang w:val="es-ES_tradnl"/>
        </w:rPr>
        <w:t>tramitación de documentos;</w:t>
      </w:r>
    </w:p>
    <w:p w14:paraId="6405A6A2" w14:textId="378F153C" w:rsidR="005905B6" w:rsidRPr="00893422" w:rsidRDefault="00504447" w:rsidP="00504447">
      <w:pPr>
        <w:pStyle w:val="enumlev2"/>
        <w:rPr>
          <w:rFonts w:cstheme="minorBidi"/>
          <w:szCs w:val="24"/>
          <w:lang w:val="es-ES_tradnl"/>
        </w:rPr>
      </w:pPr>
      <w:r w:rsidRPr="00504447">
        <w:rPr>
          <w:lang w:val="es-ES_tradnl"/>
        </w:rPr>
        <w:t>–</w:t>
      </w:r>
      <w:r>
        <w:rPr>
          <w:lang w:val="es-ES_tradnl"/>
        </w:rPr>
        <w:tab/>
      </w:r>
      <w:r w:rsidR="005905B6" w:rsidRPr="00893422">
        <w:rPr>
          <w:lang w:val="es-ES_tradnl"/>
        </w:rPr>
        <w:t>supervisión y comunicación del desempeño;</w:t>
      </w:r>
    </w:p>
    <w:p w14:paraId="47D67150" w14:textId="072E67B5" w:rsidR="005905B6" w:rsidRPr="00893422" w:rsidRDefault="00504447" w:rsidP="00504447">
      <w:pPr>
        <w:pStyle w:val="enumlev2"/>
        <w:rPr>
          <w:rFonts w:cstheme="minorBidi"/>
          <w:szCs w:val="24"/>
          <w:lang w:val="es-ES_tradnl"/>
        </w:rPr>
      </w:pPr>
      <w:r w:rsidRPr="00504447">
        <w:rPr>
          <w:lang w:val="es-ES_tradnl"/>
        </w:rPr>
        <w:t>–</w:t>
      </w:r>
      <w:r>
        <w:rPr>
          <w:lang w:val="es-ES_tradnl"/>
        </w:rPr>
        <w:tab/>
      </w:r>
      <w:r w:rsidR="005905B6" w:rsidRPr="00893422">
        <w:rPr>
          <w:lang w:val="es-ES_tradnl"/>
        </w:rPr>
        <w:t>apoyo a los recursos humanos y el presupuesto;</w:t>
      </w:r>
    </w:p>
    <w:p w14:paraId="08C5E973" w14:textId="355AEF84" w:rsidR="005905B6" w:rsidRPr="00893422" w:rsidRDefault="00504447" w:rsidP="00504447">
      <w:pPr>
        <w:pStyle w:val="enumlev2"/>
        <w:rPr>
          <w:rFonts w:cstheme="minorBidi"/>
          <w:szCs w:val="24"/>
          <w:lang w:val="es-ES_tradnl"/>
        </w:rPr>
      </w:pPr>
      <w:r w:rsidRPr="00504447">
        <w:rPr>
          <w:lang w:val="es-ES_tradnl"/>
        </w:rPr>
        <w:t>–</w:t>
      </w:r>
      <w:r>
        <w:rPr>
          <w:lang w:val="es-ES_tradnl"/>
        </w:rPr>
        <w:tab/>
      </w:r>
      <w:r w:rsidR="005905B6" w:rsidRPr="00893422">
        <w:rPr>
          <w:lang w:val="es-ES_tradnl"/>
        </w:rPr>
        <w:t>coordinación general.</w:t>
      </w:r>
    </w:p>
    <w:p w14:paraId="2B999D05" w14:textId="600D7C2E" w:rsidR="005905B6" w:rsidRPr="00893422" w:rsidRDefault="00504447" w:rsidP="00504447">
      <w:pPr>
        <w:pStyle w:val="Heading1"/>
        <w:rPr>
          <w:rFonts w:cstheme="minorBidi"/>
          <w:lang w:val="es-ES_tradnl"/>
        </w:rPr>
      </w:pPr>
      <w:r>
        <w:rPr>
          <w:lang w:val="es-ES_tradnl"/>
        </w:rPr>
        <w:t>4</w:t>
      </w:r>
      <w:r>
        <w:rPr>
          <w:lang w:val="es-ES_tradnl"/>
        </w:rPr>
        <w:tab/>
      </w:r>
      <w:r w:rsidR="005905B6" w:rsidRPr="00893422">
        <w:rPr>
          <w:lang w:val="es-ES_tradnl"/>
        </w:rPr>
        <w:t>Iniciativas Regionales</w:t>
      </w:r>
    </w:p>
    <w:p w14:paraId="3F29A428" w14:textId="77777777" w:rsidR="005905B6" w:rsidRPr="00893422" w:rsidRDefault="005905B6" w:rsidP="005905B6">
      <w:pPr>
        <w:spacing w:after="120"/>
        <w:rPr>
          <w:rFonts w:cstheme="minorBidi"/>
          <w:lang w:val="es-ES_tradnl"/>
        </w:rPr>
      </w:pPr>
      <w:r w:rsidRPr="00893422">
        <w:rPr>
          <w:lang w:val="es-ES_tradnl"/>
        </w:rPr>
        <w:t>Se añadirán más adelante.</w:t>
      </w:r>
    </w:p>
    <w:p w14:paraId="3B8B561E" w14:textId="47A93B16" w:rsidR="005905B6" w:rsidRPr="00893422" w:rsidRDefault="00504447" w:rsidP="00504447">
      <w:pPr>
        <w:pStyle w:val="Heading1"/>
        <w:rPr>
          <w:rFonts w:cstheme="minorBidi"/>
          <w:lang w:val="es-ES_tradnl"/>
        </w:rPr>
      </w:pPr>
      <w:r>
        <w:rPr>
          <w:lang w:val="es-ES_tradnl"/>
        </w:rPr>
        <w:t>5</w:t>
      </w:r>
      <w:r>
        <w:rPr>
          <w:lang w:val="es-ES_tradnl"/>
        </w:rPr>
        <w:tab/>
      </w:r>
      <w:r w:rsidR="005905B6" w:rsidRPr="00893422">
        <w:rPr>
          <w:lang w:val="es-ES_tradnl"/>
        </w:rPr>
        <w:t>Resoluciones</w:t>
      </w:r>
    </w:p>
    <w:p w14:paraId="6B739097" w14:textId="77777777" w:rsidR="005905B6" w:rsidRPr="00893422" w:rsidRDefault="005905B6" w:rsidP="005905B6">
      <w:pPr>
        <w:spacing w:after="120"/>
        <w:rPr>
          <w:rFonts w:cstheme="minorBidi"/>
          <w:lang w:val="es-ES_tradnl"/>
        </w:rPr>
      </w:pPr>
      <w:r w:rsidRPr="00893422">
        <w:rPr>
          <w:lang w:val="es-ES_tradnl"/>
        </w:rPr>
        <w:t>Se añadirán cuando se aprueben en la CMDT.</w:t>
      </w:r>
    </w:p>
    <w:p w14:paraId="4B7EECF0" w14:textId="0ECB7161" w:rsidR="005905B6" w:rsidRPr="00893422" w:rsidRDefault="00504447" w:rsidP="00504447">
      <w:pPr>
        <w:pStyle w:val="Heading1"/>
        <w:rPr>
          <w:rFonts w:cstheme="minorBidi"/>
          <w:lang w:val="es-ES_tradnl"/>
        </w:rPr>
      </w:pPr>
      <w:r>
        <w:rPr>
          <w:lang w:val="es-ES_tradnl"/>
        </w:rPr>
        <w:t>6</w:t>
      </w:r>
      <w:r>
        <w:rPr>
          <w:lang w:val="es-ES_tradnl"/>
        </w:rPr>
        <w:tab/>
      </w:r>
      <w:r w:rsidR="005905B6" w:rsidRPr="00893422">
        <w:rPr>
          <w:lang w:val="es-ES_tradnl"/>
        </w:rPr>
        <w:t>Comisiones de Estudio</w:t>
      </w:r>
    </w:p>
    <w:p w14:paraId="5F54853B" w14:textId="77777777" w:rsidR="005905B6" w:rsidRPr="00893422" w:rsidRDefault="005905B6" w:rsidP="005905B6">
      <w:pPr>
        <w:spacing w:after="120"/>
        <w:rPr>
          <w:rFonts w:cstheme="minorBidi"/>
          <w:lang w:val="es-ES_tradnl"/>
        </w:rPr>
      </w:pPr>
      <w:r w:rsidRPr="00893422">
        <w:rPr>
          <w:lang w:val="es-ES_tradnl"/>
        </w:rPr>
        <w:t>Se añadirán cuando se aprueben en la CMDT.</w:t>
      </w:r>
    </w:p>
    <w:p w14:paraId="488824AA" w14:textId="20D843BA" w:rsidR="005905B6" w:rsidRPr="00893422" w:rsidRDefault="00504447" w:rsidP="00504447">
      <w:pPr>
        <w:pStyle w:val="Heading1"/>
        <w:rPr>
          <w:rFonts w:cstheme="minorBidi"/>
          <w:lang w:val="es-ES_tradnl"/>
        </w:rPr>
      </w:pPr>
      <w:r>
        <w:rPr>
          <w:lang w:val="es-ES_tradnl"/>
        </w:rPr>
        <w:t>7</w:t>
      </w:r>
      <w:r>
        <w:rPr>
          <w:lang w:val="es-ES_tradnl"/>
        </w:rPr>
        <w:tab/>
      </w:r>
      <w:r w:rsidR="005905B6" w:rsidRPr="00893422">
        <w:rPr>
          <w:lang w:val="es-ES_tradnl"/>
        </w:rPr>
        <w:t>Vínculos y correspondencia</w:t>
      </w:r>
    </w:p>
    <w:p w14:paraId="29F36DBE" w14:textId="77777777" w:rsidR="005905B6" w:rsidRPr="00893422" w:rsidRDefault="005905B6" w:rsidP="005905B6">
      <w:pPr>
        <w:spacing w:after="120"/>
        <w:rPr>
          <w:rFonts w:cstheme="minorBidi"/>
          <w:lang w:val="es-ES_tradnl"/>
        </w:rPr>
      </w:pPr>
      <w:bookmarkStart w:id="15" w:name="w6n3fzxakkw1"/>
      <w:bookmarkStart w:id="16" w:name="b9f761cx3ete"/>
      <w:bookmarkEnd w:id="15"/>
      <w:bookmarkEnd w:id="16"/>
      <w:r w:rsidRPr="00893422">
        <w:rPr>
          <w:lang w:val="es-ES_tradnl"/>
        </w:rPr>
        <w:t>Se deben elaborar tras la instauración de los elementos pertinentes.</w:t>
      </w:r>
    </w:p>
    <w:p w14:paraId="7AC5DFA5" w14:textId="77777777" w:rsidR="005905B6" w:rsidRPr="00893422" w:rsidRDefault="005905B6" w:rsidP="005905B6">
      <w:pPr>
        <w:tabs>
          <w:tab w:val="clear" w:pos="794"/>
          <w:tab w:val="clear" w:pos="1191"/>
          <w:tab w:val="clear" w:pos="1588"/>
          <w:tab w:val="clear" w:pos="1985"/>
        </w:tabs>
        <w:overflowPunct/>
        <w:autoSpaceDE/>
        <w:autoSpaceDN/>
        <w:adjustRightInd/>
        <w:spacing w:before="0"/>
        <w:textAlignment w:val="auto"/>
        <w:rPr>
          <w:rFonts w:ascii="Calibri" w:eastAsia="Calibri" w:hAnsi="Calibri" w:cs="Calibri"/>
          <w:b/>
          <w:bCs/>
          <w:color w:val="000000" w:themeColor="text1"/>
          <w:lang w:val="es-ES_tradnl"/>
        </w:rPr>
      </w:pPr>
      <w:r w:rsidRPr="00893422">
        <w:rPr>
          <w:rFonts w:ascii="Calibri" w:eastAsia="Calibri" w:hAnsi="Calibri" w:cs="Calibri"/>
          <w:b/>
          <w:bCs/>
          <w:color w:val="000000" w:themeColor="text1"/>
          <w:lang w:val="es-ES_tradnl"/>
        </w:rPr>
        <w:br w:type="page"/>
      </w:r>
    </w:p>
    <w:p w14:paraId="5530A693" w14:textId="77777777" w:rsidR="00A04DF2" w:rsidRPr="001819F4" w:rsidRDefault="00A04DF2" w:rsidP="00A04DF2">
      <w:pPr>
        <w:pStyle w:val="AnnexNo"/>
        <w:rPr>
          <w:rFonts w:ascii="Calibri" w:eastAsia="Calibri" w:hAnsi="Calibri" w:cs="Calibri"/>
          <w:color w:val="000000" w:themeColor="text1"/>
          <w:sz w:val="24"/>
          <w:szCs w:val="24"/>
          <w:lang w:val="es-ES_tradnl"/>
        </w:rPr>
      </w:pPr>
      <w:r w:rsidRPr="001819F4">
        <w:rPr>
          <w:lang w:val="es-ES_tradnl"/>
        </w:rPr>
        <w:lastRenderedPageBreak/>
        <w:t>ANEXO D</w:t>
      </w:r>
    </w:p>
    <w:p w14:paraId="46732B6C" w14:textId="77777777" w:rsidR="00A04DF2" w:rsidRDefault="00A04DF2" w:rsidP="00A04DF2">
      <w:pPr>
        <w:pStyle w:val="Annextitle"/>
        <w:rPr>
          <w:lang w:val="es-ES_tradnl"/>
        </w:rPr>
      </w:pPr>
      <w:r w:rsidRPr="001819F4">
        <w:rPr>
          <w:lang w:val="es-ES_tradnl"/>
        </w:rPr>
        <w:t>DECLARACIÓN DE LA CMDT-25</w:t>
      </w:r>
    </w:p>
    <w:tbl>
      <w:tblPr>
        <w:tblW w:w="9639"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9639"/>
      </w:tblGrid>
      <w:tr w:rsidR="00A04DF2" w:rsidRPr="00A04DF2" w14:paraId="2D605222" w14:textId="77777777" w:rsidTr="00D04740">
        <w:trPr>
          <w:trHeight w:val="300"/>
        </w:trPr>
        <w:tc>
          <w:tcPr>
            <w:tcW w:w="9639" w:type="dxa"/>
            <w:tcBorders>
              <w:top w:val="nil"/>
              <w:left w:val="nil"/>
              <w:bottom w:val="nil"/>
              <w:right w:val="nil"/>
            </w:tcBorders>
            <w:shd w:val="clear" w:color="auto" w:fill="auto"/>
            <w:hideMark/>
          </w:tcPr>
          <w:p w14:paraId="4B5595CA" w14:textId="77777777" w:rsidR="00A04DF2" w:rsidRPr="001819F4" w:rsidRDefault="00A04DF2" w:rsidP="00D04740">
            <w:pPr>
              <w:tabs>
                <w:tab w:val="clear" w:pos="794"/>
                <w:tab w:val="clear" w:pos="1191"/>
                <w:tab w:val="clear" w:pos="1588"/>
                <w:tab w:val="clear" w:pos="1985"/>
              </w:tabs>
              <w:overflowPunct/>
              <w:autoSpaceDE/>
              <w:autoSpaceDN/>
              <w:adjustRightInd/>
              <w:spacing w:after="120"/>
              <w:jc w:val="center"/>
              <w:rPr>
                <w:rFonts w:ascii="Times New Roman" w:hAnsi="Times New Roman"/>
                <w:b/>
                <w:bCs/>
                <w:szCs w:val="24"/>
                <w:lang w:val="es-ES_tradnl"/>
              </w:rPr>
            </w:pPr>
            <w:r w:rsidRPr="001819F4">
              <w:rPr>
                <w:b/>
                <w:bCs/>
                <w:color w:val="000000"/>
                <w:lang w:val="es-ES_tradnl"/>
              </w:rPr>
              <w:t>Presidente del GT-GADT-DEC</w:t>
            </w:r>
            <w:r w:rsidRPr="001819F4">
              <w:rPr>
                <w:color w:val="000000"/>
                <w:lang w:val="es-ES_tradnl"/>
              </w:rPr>
              <w:t xml:space="preserve"> </w:t>
            </w:r>
          </w:p>
        </w:tc>
      </w:tr>
      <w:tr w:rsidR="00A04DF2" w:rsidRPr="00D9585B" w14:paraId="0114EA80" w14:textId="77777777" w:rsidTr="00D04740">
        <w:trPr>
          <w:trHeight w:val="300"/>
        </w:trPr>
        <w:tc>
          <w:tcPr>
            <w:tcW w:w="9639" w:type="dxa"/>
            <w:tcBorders>
              <w:top w:val="nil"/>
              <w:left w:val="nil"/>
              <w:bottom w:val="nil"/>
              <w:right w:val="nil"/>
            </w:tcBorders>
            <w:shd w:val="clear" w:color="auto" w:fill="auto"/>
            <w:hideMark/>
          </w:tcPr>
          <w:p w14:paraId="633B9D78" w14:textId="77777777" w:rsidR="00A04DF2" w:rsidRPr="001819F4" w:rsidRDefault="00A04DF2" w:rsidP="00D04740">
            <w:pPr>
              <w:tabs>
                <w:tab w:val="clear" w:pos="794"/>
                <w:tab w:val="clear" w:pos="1191"/>
                <w:tab w:val="clear" w:pos="1588"/>
                <w:tab w:val="clear" w:pos="1985"/>
              </w:tabs>
              <w:overflowPunct/>
              <w:autoSpaceDE/>
              <w:autoSpaceDN/>
              <w:adjustRightInd/>
              <w:spacing w:after="120"/>
              <w:jc w:val="center"/>
              <w:rPr>
                <w:rFonts w:ascii="Times New Roman" w:hAnsi="Times New Roman"/>
                <w:szCs w:val="24"/>
                <w:lang w:val="es-ES_tradnl"/>
              </w:rPr>
            </w:pPr>
            <w:r w:rsidRPr="001819F4">
              <w:rPr>
                <w:color w:val="000000"/>
                <w:lang w:val="es-ES_tradnl"/>
              </w:rPr>
              <w:t>Informe sobre los trabajos y realizaciones del Grupo de Trabajo del GADT sobre</w:t>
            </w:r>
            <w:r>
              <w:rPr>
                <w:color w:val="000000"/>
                <w:lang w:val="es-ES_tradnl"/>
              </w:rPr>
              <w:br/>
            </w:r>
            <w:r w:rsidRPr="001819F4">
              <w:rPr>
                <w:color w:val="000000"/>
                <w:lang w:val="es-ES_tradnl"/>
              </w:rPr>
              <w:t xml:space="preserve">las Prioridades del UIT-D </w:t>
            </w:r>
          </w:p>
        </w:tc>
      </w:tr>
      <w:tr w:rsidR="00A04DF2" w:rsidRPr="00D9585B" w14:paraId="61B5F14C" w14:textId="77777777" w:rsidTr="00D04740">
        <w:trPr>
          <w:trHeight w:val="300"/>
        </w:trPr>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1A74E52D" w14:textId="77777777" w:rsidR="00A04DF2" w:rsidRPr="001819F4" w:rsidRDefault="00A04DF2" w:rsidP="00D04740">
            <w:pPr>
              <w:tabs>
                <w:tab w:val="clear" w:pos="794"/>
                <w:tab w:val="clear" w:pos="1191"/>
                <w:tab w:val="clear" w:pos="1588"/>
                <w:tab w:val="clear" w:pos="1985"/>
              </w:tabs>
              <w:overflowPunct/>
              <w:autoSpaceDE/>
              <w:autoSpaceDN/>
              <w:adjustRightInd/>
              <w:spacing w:after="120"/>
              <w:jc w:val="both"/>
              <w:rPr>
                <w:rFonts w:cstheme="minorBidi"/>
                <w:szCs w:val="24"/>
                <w:lang w:val="es-ES_tradnl"/>
              </w:rPr>
            </w:pPr>
            <w:r w:rsidRPr="001819F4">
              <w:rPr>
                <w:b/>
                <w:bCs/>
                <w:color w:val="000000"/>
                <w:lang w:val="es-ES_tradnl"/>
              </w:rPr>
              <w:t>Resumen:</w:t>
            </w:r>
          </w:p>
          <w:p w14:paraId="1188BD6D" w14:textId="77777777" w:rsidR="00A04DF2" w:rsidRPr="001819F4" w:rsidRDefault="00A04DF2" w:rsidP="00D04740">
            <w:pPr>
              <w:rPr>
                <w:rFonts w:cstheme="minorBidi"/>
                <w:szCs w:val="24"/>
                <w:lang w:val="es-ES_tradnl"/>
              </w:rPr>
            </w:pPr>
            <w:r w:rsidRPr="001819F4">
              <w:rPr>
                <w:lang w:val="es-ES_tradnl"/>
              </w:rPr>
              <w:t xml:space="preserve">El presente documento contiene el informe final del Grupo de Trabajo del GADT sobre la Declaración (GT-GADT-DEC), en el que se incluye una propuesta de proyecto de Declaración de Bakú basada en su mandato. </w:t>
            </w:r>
          </w:p>
          <w:p w14:paraId="45D7C7EA" w14:textId="77777777" w:rsidR="00A04DF2" w:rsidRPr="001819F4" w:rsidRDefault="00A04DF2" w:rsidP="00D04740">
            <w:pPr>
              <w:rPr>
                <w:rFonts w:cstheme="minorBidi"/>
                <w:szCs w:val="24"/>
                <w:lang w:val="es-ES_tradnl"/>
              </w:rPr>
            </w:pPr>
            <w:r w:rsidRPr="001819F4">
              <w:rPr>
                <w:lang w:val="es-ES_tradnl"/>
              </w:rPr>
              <w:t xml:space="preserve">El proyecto de Declaración de Bakú preparado por el Grupo bajo la dirección de la Presidenta figura en el Anexo 1 (refleja la tercera versión revisada preparada por el Grupo, que figura en el Documento </w:t>
            </w:r>
            <w:hyperlink r:id="rId223" w:history="1">
              <w:r w:rsidRPr="001819F4">
                <w:rPr>
                  <w:rStyle w:val="Hyperlink"/>
                  <w:lang w:val="es-ES_tradnl"/>
                </w:rPr>
                <w:t>TDAG-WG-DEC/DT/1</w:t>
              </w:r>
            </w:hyperlink>
            <w:r w:rsidRPr="001819F4">
              <w:rPr>
                <w:lang w:val="es-ES_tradnl"/>
              </w:rPr>
              <w:t xml:space="preserve"> con marcas de revisión). Este proyecto fue acordado en la última reunión del Grupo y está destinado a ser una aportación para que las Organizaciones Regionales de Telecomunicaciones (ORT) y los Estados Miembros la consideren en su preparación para la CMDT-25. </w:t>
            </w:r>
            <w:hyperlink r:id="rId224" w:tgtFrame="_blank" w:history="1"/>
          </w:p>
          <w:p w14:paraId="021D3EE1" w14:textId="77777777" w:rsidR="00A04DF2" w:rsidRPr="001819F4" w:rsidRDefault="00A04DF2" w:rsidP="00D04740">
            <w:pPr>
              <w:tabs>
                <w:tab w:val="clear" w:pos="794"/>
                <w:tab w:val="clear" w:pos="1191"/>
                <w:tab w:val="clear" w:pos="1588"/>
                <w:tab w:val="clear" w:pos="1985"/>
              </w:tabs>
              <w:overflowPunct/>
              <w:autoSpaceDE/>
              <w:autoSpaceDN/>
              <w:adjustRightInd/>
              <w:spacing w:after="120"/>
              <w:jc w:val="both"/>
              <w:rPr>
                <w:rFonts w:cstheme="minorBidi"/>
                <w:szCs w:val="24"/>
                <w:lang w:val="es-ES_tradnl"/>
              </w:rPr>
            </w:pPr>
            <w:r w:rsidRPr="001819F4">
              <w:rPr>
                <w:b/>
                <w:bCs/>
                <w:color w:val="000000"/>
                <w:lang w:val="es-ES_tradnl"/>
              </w:rPr>
              <w:t>Acción solicitada:</w:t>
            </w:r>
            <w:r w:rsidRPr="001819F4">
              <w:rPr>
                <w:color w:val="000000"/>
                <w:lang w:val="es-ES_tradnl"/>
              </w:rPr>
              <w:t xml:space="preserve"> </w:t>
            </w:r>
          </w:p>
          <w:p w14:paraId="3701F7E2" w14:textId="77777777" w:rsidR="00A04DF2" w:rsidRPr="001819F4" w:rsidRDefault="00A04DF2" w:rsidP="00D04740">
            <w:pPr>
              <w:rPr>
                <w:rFonts w:cstheme="minorBidi"/>
                <w:szCs w:val="24"/>
                <w:lang w:val="es-ES_tradnl"/>
              </w:rPr>
            </w:pPr>
            <w:r w:rsidRPr="001819F4">
              <w:rPr>
                <w:lang w:val="es-ES_tradnl"/>
              </w:rPr>
              <w:t xml:space="preserve">Se invita al GADT a examinar este informe, a estudiar con más detenimiento el proyecto y a presentarlo como contribución a la CMDT-25. </w:t>
            </w:r>
          </w:p>
          <w:p w14:paraId="618F7125" w14:textId="77777777" w:rsidR="00A04DF2" w:rsidRPr="001819F4" w:rsidRDefault="00A04DF2" w:rsidP="00D04740">
            <w:pPr>
              <w:tabs>
                <w:tab w:val="clear" w:pos="794"/>
                <w:tab w:val="clear" w:pos="1191"/>
                <w:tab w:val="clear" w:pos="1588"/>
                <w:tab w:val="clear" w:pos="1985"/>
              </w:tabs>
              <w:overflowPunct/>
              <w:autoSpaceDE/>
              <w:autoSpaceDN/>
              <w:adjustRightInd/>
              <w:spacing w:after="120"/>
              <w:rPr>
                <w:rFonts w:cstheme="minorBidi"/>
                <w:szCs w:val="24"/>
                <w:lang w:val="es-ES_tradnl"/>
              </w:rPr>
            </w:pPr>
            <w:r w:rsidRPr="001819F4">
              <w:rPr>
                <w:b/>
                <w:bCs/>
                <w:color w:val="000000"/>
                <w:lang w:val="es-ES_tradnl"/>
              </w:rPr>
              <w:t>Referencias:</w:t>
            </w:r>
          </w:p>
          <w:p w14:paraId="56F47354" w14:textId="77777777" w:rsidR="00A04DF2" w:rsidRPr="001819F4" w:rsidRDefault="00A04DF2" w:rsidP="00D04740">
            <w:pPr>
              <w:pStyle w:val="enumlev1"/>
              <w:rPr>
                <w:rFonts w:cstheme="minorBidi"/>
                <w:szCs w:val="24"/>
                <w:lang w:val="es-ES_tradnl"/>
              </w:rPr>
            </w:pPr>
            <w:r w:rsidRPr="00D26BED">
              <w:rPr>
                <w:color w:val="000000"/>
                <w:lang w:val="es-ES_tradnl"/>
              </w:rPr>
              <w:t>–</w:t>
            </w:r>
            <w:r>
              <w:rPr>
                <w:color w:val="000000"/>
                <w:lang w:val="es-ES_tradnl"/>
              </w:rPr>
              <w:tab/>
            </w:r>
            <w:r w:rsidRPr="006C1B27">
              <w:rPr>
                <w:lang w:val="es-ES"/>
              </w:rPr>
              <w:t>Mandato</w:t>
            </w:r>
            <w:r w:rsidRPr="001819F4">
              <w:rPr>
                <w:color w:val="000000"/>
                <w:lang w:val="es-ES_tradnl"/>
              </w:rPr>
              <w:t xml:space="preserve"> del GT-GADT-DEC (</w:t>
            </w:r>
            <w:hyperlink r:id="rId225" w:history="1">
              <w:r w:rsidRPr="001819F4">
                <w:rPr>
                  <w:rStyle w:val="Hyperlink"/>
                  <w:lang w:val="es-ES_tradnl"/>
                </w:rPr>
                <w:t>TDAG-24/DT/4</w:t>
              </w:r>
            </w:hyperlink>
            <w:r w:rsidRPr="001819F4">
              <w:rPr>
                <w:color w:val="000000"/>
                <w:lang w:val="es-ES_tradnl"/>
              </w:rPr>
              <w:t>)</w:t>
            </w:r>
            <w:hyperlink r:id="rId226" w:tgtFrame="_blank" w:history="1"/>
          </w:p>
          <w:p w14:paraId="7AF94404" w14:textId="77777777" w:rsidR="00A04DF2" w:rsidRPr="001819F4" w:rsidRDefault="00A04DF2" w:rsidP="00D04740">
            <w:pPr>
              <w:pStyle w:val="enumlev1"/>
              <w:rPr>
                <w:rFonts w:cstheme="minorBidi"/>
                <w:szCs w:val="24"/>
                <w:lang w:val="es-ES_tradnl"/>
              </w:rPr>
            </w:pPr>
            <w:r w:rsidRPr="00D26BED">
              <w:rPr>
                <w:color w:val="000000"/>
                <w:lang w:val="es-ES_tradnl"/>
              </w:rPr>
              <w:t>–</w:t>
            </w:r>
            <w:r>
              <w:rPr>
                <w:color w:val="000000"/>
                <w:lang w:val="es-ES_tradnl"/>
              </w:rPr>
              <w:tab/>
            </w:r>
            <w:r w:rsidRPr="006C1B27">
              <w:rPr>
                <w:lang w:val="es-ES"/>
              </w:rPr>
              <w:t>Informe</w:t>
            </w:r>
            <w:r w:rsidRPr="001819F4">
              <w:rPr>
                <w:color w:val="000000"/>
                <w:lang w:val="es-ES_tradnl"/>
              </w:rPr>
              <w:t xml:space="preserve"> de la primera reunión del GT-GADT-DEC (</w:t>
            </w:r>
            <w:hyperlink r:id="rId227" w:history="1">
              <w:r w:rsidRPr="001819F4">
                <w:rPr>
                  <w:rStyle w:val="Hyperlink"/>
                  <w:lang w:val="es-ES_tradnl"/>
                </w:rPr>
                <w:t>TDAG-WG-DEC/2</w:t>
              </w:r>
            </w:hyperlink>
            <w:r w:rsidRPr="001819F4">
              <w:rPr>
                <w:color w:val="000000"/>
                <w:lang w:val="es-ES_tradnl"/>
              </w:rPr>
              <w:t>)</w:t>
            </w:r>
            <w:hyperlink r:id="rId228" w:tgtFrame="_blank" w:history="1"/>
          </w:p>
          <w:p w14:paraId="47B339E0" w14:textId="77777777" w:rsidR="00A04DF2" w:rsidRPr="001819F4" w:rsidRDefault="00A04DF2" w:rsidP="00D04740">
            <w:pPr>
              <w:pStyle w:val="enumlev1"/>
              <w:rPr>
                <w:rFonts w:cstheme="minorBidi"/>
                <w:szCs w:val="24"/>
                <w:lang w:val="es-ES_tradnl"/>
              </w:rPr>
            </w:pPr>
            <w:r w:rsidRPr="00D26BED">
              <w:rPr>
                <w:color w:val="000000"/>
                <w:lang w:val="es-ES_tradnl"/>
              </w:rPr>
              <w:t>–</w:t>
            </w:r>
            <w:r>
              <w:rPr>
                <w:color w:val="000000"/>
                <w:lang w:val="es-ES_tradnl"/>
              </w:rPr>
              <w:tab/>
            </w:r>
            <w:r w:rsidRPr="001819F4">
              <w:rPr>
                <w:color w:val="000000"/>
                <w:lang w:val="es-ES_tradnl"/>
              </w:rPr>
              <w:t xml:space="preserve">Informe de </w:t>
            </w:r>
            <w:r w:rsidRPr="006C1B27">
              <w:rPr>
                <w:lang w:val="es-ES"/>
              </w:rPr>
              <w:t>la</w:t>
            </w:r>
            <w:r w:rsidRPr="001819F4">
              <w:rPr>
                <w:color w:val="000000"/>
                <w:lang w:val="es-ES_tradnl"/>
              </w:rPr>
              <w:t xml:space="preserve"> segunda reunión del GT-GADT-DEC (</w:t>
            </w:r>
            <w:hyperlink r:id="rId229" w:history="1">
              <w:r w:rsidRPr="001819F4">
                <w:rPr>
                  <w:rStyle w:val="Hyperlink"/>
                  <w:lang w:val="es-ES_tradnl"/>
                </w:rPr>
                <w:t>TDAG-WG-DEC/6</w:t>
              </w:r>
            </w:hyperlink>
            <w:r w:rsidRPr="001819F4">
              <w:rPr>
                <w:color w:val="000000"/>
                <w:lang w:val="es-ES_tradnl"/>
              </w:rPr>
              <w:t>)</w:t>
            </w:r>
            <w:hyperlink r:id="rId230" w:tgtFrame="_blank" w:history="1"/>
          </w:p>
          <w:p w14:paraId="41C019EC" w14:textId="77777777" w:rsidR="00A04DF2" w:rsidRPr="001819F4" w:rsidRDefault="00A04DF2" w:rsidP="00D04740">
            <w:pPr>
              <w:pStyle w:val="enumlev1"/>
              <w:rPr>
                <w:rFonts w:cstheme="minorBidi"/>
                <w:szCs w:val="24"/>
                <w:lang w:val="es-ES_tradnl"/>
              </w:rPr>
            </w:pPr>
            <w:r w:rsidRPr="00D26BED">
              <w:rPr>
                <w:color w:val="000000"/>
                <w:lang w:val="es-ES_tradnl"/>
              </w:rPr>
              <w:t>–</w:t>
            </w:r>
            <w:r>
              <w:rPr>
                <w:color w:val="000000"/>
                <w:lang w:val="es-ES_tradnl"/>
              </w:rPr>
              <w:tab/>
            </w:r>
            <w:r w:rsidRPr="006C1B27">
              <w:rPr>
                <w:lang w:val="es-ES"/>
              </w:rPr>
              <w:t>Informe</w:t>
            </w:r>
            <w:r w:rsidRPr="001819F4">
              <w:rPr>
                <w:color w:val="000000"/>
                <w:lang w:val="es-ES_tradnl"/>
              </w:rPr>
              <w:t xml:space="preserve"> de la tercera reunión del GT-GADT-DEC (</w:t>
            </w:r>
            <w:hyperlink r:id="rId231" w:history="1">
              <w:r w:rsidRPr="001819F4">
                <w:rPr>
                  <w:rStyle w:val="Hyperlink"/>
                  <w:lang w:val="es-ES_tradnl"/>
                </w:rPr>
                <w:t>TDAG-WG-DEC/10</w:t>
              </w:r>
            </w:hyperlink>
            <w:r w:rsidRPr="001819F4">
              <w:rPr>
                <w:color w:val="000000"/>
                <w:lang w:val="es-ES_tradnl"/>
              </w:rPr>
              <w:t>)</w:t>
            </w:r>
            <w:hyperlink r:id="rId232" w:tgtFrame="_blank" w:history="1"/>
          </w:p>
          <w:p w14:paraId="01AF3A85" w14:textId="77777777" w:rsidR="00A04DF2" w:rsidRPr="001819F4" w:rsidRDefault="00A04DF2" w:rsidP="00D04740">
            <w:pPr>
              <w:pStyle w:val="enumlev1"/>
              <w:rPr>
                <w:rFonts w:cstheme="minorBidi"/>
                <w:szCs w:val="24"/>
                <w:lang w:val="es-ES_tradnl"/>
              </w:rPr>
            </w:pPr>
            <w:r w:rsidRPr="00D26BED">
              <w:rPr>
                <w:color w:val="000000"/>
                <w:lang w:val="es-ES_tradnl"/>
              </w:rPr>
              <w:t>–</w:t>
            </w:r>
            <w:r>
              <w:rPr>
                <w:color w:val="000000"/>
                <w:lang w:val="es-ES_tradnl"/>
              </w:rPr>
              <w:tab/>
            </w:r>
            <w:r w:rsidRPr="001819F4">
              <w:rPr>
                <w:color w:val="000000"/>
                <w:lang w:val="es-ES_tradnl"/>
              </w:rPr>
              <w:t xml:space="preserve">Informe </w:t>
            </w:r>
            <w:r w:rsidRPr="006C1B27">
              <w:rPr>
                <w:lang w:val="es-ES"/>
              </w:rPr>
              <w:t>de</w:t>
            </w:r>
            <w:r w:rsidRPr="001819F4">
              <w:rPr>
                <w:color w:val="000000"/>
                <w:lang w:val="es-ES_tradnl"/>
              </w:rPr>
              <w:t xml:space="preserve"> la cuarta reunión del GT-GADT-DEC (</w:t>
            </w:r>
            <w:hyperlink r:id="rId233" w:history="1">
              <w:r w:rsidRPr="001819F4">
                <w:rPr>
                  <w:rStyle w:val="Hyperlink"/>
                  <w:lang w:val="es-ES_tradnl"/>
                </w:rPr>
                <w:t>TDAG-WG-DEC/16</w:t>
              </w:r>
            </w:hyperlink>
            <w:r w:rsidRPr="001819F4">
              <w:rPr>
                <w:color w:val="000000"/>
                <w:lang w:val="es-ES_tradnl"/>
              </w:rPr>
              <w:t>)</w:t>
            </w:r>
            <w:hyperlink r:id="rId234" w:tgtFrame="_blank" w:history="1"/>
          </w:p>
          <w:p w14:paraId="3A64B43E" w14:textId="77777777" w:rsidR="00A04DF2" w:rsidRPr="001819F4" w:rsidRDefault="00A04DF2" w:rsidP="00D04740">
            <w:pPr>
              <w:pStyle w:val="enumlev1"/>
              <w:rPr>
                <w:rFonts w:cstheme="minorBidi"/>
                <w:szCs w:val="24"/>
                <w:lang w:val="es-ES_tradnl"/>
              </w:rPr>
            </w:pPr>
            <w:r w:rsidRPr="00D26BED">
              <w:rPr>
                <w:color w:val="000000"/>
                <w:lang w:val="es-ES_tradnl"/>
              </w:rPr>
              <w:t>–</w:t>
            </w:r>
            <w:r>
              <w:rPr>
                <w:color w:val="000000"/>
                <w:lang w:val="es-ES_tradnl"/>
              </w:rPr>
              <w:tab/>
            </w:r>
            <w:r w:rsidRPr="001819F4">
              <w:rPr>
                <w:color w:val="000000"/>
                <w:lang w:val="es-ES_tradnl"/>
              </w:rPr>
              <w:t>Informe de la quinta reunión del GT-GADT-DEC (</w:t>
            </w:r>
            <w:hyperlink r:id="rId235" w:history="1">
              <w:r w:rsidRPr="001819F4">
                <w:rPr>
                  <w:rStyle w:val="Hyperlink"/>
                  <w:lang w:val="es-ES_tradnl"/>
                </w:rPr>
                <w:t>TDAG-WG-DEC/23</w:t>
              </w:r>
            </w:hyperlink>
            <w:r w:rsidRPr="001819F4">
              <w:rPr>
                <w:color w:val="000000"/>
                <w:lang w:val="es-ES_tradnl"/>
              </w:rPr>
              <w:t>)</w:t>
            </w:r>
            <w:hyperlink r:id="rId236" w:tgtFrame="_blank" w:history="1"/>
          </w:p>
          <w:p w14:paraId="446383A5" w14:textId="77777777" w:rsidR="00A04DF2" w:rsidRPr="001819F4" w:rsidRDefault="00A04DF2" w:rsidP="00D04740">
            <w:pPr>
              <w:pStyle w:val="enumlev1"/>
              <w:rPr>
                <w:rFonts w:cstheme="minorBidi"/>
                <w:szCs w:val="24"/>
                <w:lang w:val="es-ES_tradnl"/>
              </w:rPr>
            </w:pPr>
            <w:r w:rsidRPr="00D26BED">
              <w:rPr>
                <w:lang w:val="es-ES_tradnl"/>
              </w:rPr>
              <w:t>–</w:t>
            </w:r>
            <w:r>
              <w:rPr>
                <w:lang w:val="es-ES_tradnl"/>
              </w:rPr>
              <w:tab/>
            </w:r>
            <w:r w:rsidRPr="006C1B27">
              <w:rPr>
                <w:lang w:val="es-ES"/>
              </w:rPr>
              <w:t>Correspondencia</w:t>
            </w:r>
            <w:r w:rsidRPr="001819F4">
              <w:rPr>
                <w:lang w:val="es-ES_tradnl"/>
              </w:rPr>
              <w:t xml:space="preserve"> de temas entre la Declaración de Kigali y los temas nuevos e incipientes (Documento </w:t>
            </w:r>
            <w:hyperlink r:id="rId237" w:history="1">
              <w:r w:rsidRPr="001819F4">
                <w:rPr>
                  <w:rStyle w:val="Hyperlink"/>
                  <w:lang w:val="es-ES_tradnl"/>
                </w:rPr>
                <w:t>TDAG-WG-DEC/INF/1</w:t>
              </w:r>
            </w:hyperlink>
            <w:r w:rsidRPr="001819F4">
              <w:rPr>
                <w:lang w:val="es-ES_tradnl"/>
              </w:rPr>
              <w:t>, 27 de noviembre de 2024)</w:t>
            </w:r>
            <w:hyperlink r:id="rId238" w:tgtFrame="_blank" w:history="1"/>
          </w:p>
          <w:p w14:paraId="38BE289C" w14:textId="77777777" w:rsidR="00A04DF2" w:rsidRPr="001819F4" w:rsidRDefault="00A04DF2" w:rsidP="00D04740">
            <w:pPr>
              <w:pStyle w:val="enumlev1"/>
              <w:rPr>
                <w:rFonts w:cstheme="minorBidi"/>
                <w:szCs w:val="24"/>
                <w:lang w:val="es-ES_tradnl"/>
              </w:rPr>
            </w:pPr>
            <w:r w:rsidRPr="00D26BED">
              <w:rPr>
                <w:color w:val="000000"/>
                <w:lang w:val="es-ES_tradnl"/>
              </w:rPr>
              <w:t>–</w:t>
            </w:r>
            <w:r>
              <w:rPr>
                <w:color w:val="000000"/>
                <w:lang w:val="es-ES_tradnl"/>
              </w:rPr>
              <w:tab/>
            </w:r>
            <w:r w:rsidRPr="006C1B27">
              <w:rPr>
                <w:lang w:val="es-ES"/>
              </w:rPr>
              <w:t>Borrador</w:t>
            </w:r>
            <w:r w:rsidRPr="001819F4">
              <w:rPr>
                <w:color w:val="000000"/>
                <w:lang w:val="es-ES_tradnl"/>
              </w:rPr>
              <w:t xml:space="preserve"> revisado y anotado de la Declaración de Bakú de 2025 (</w:t>
            </w:r>
            <w:hyperlink r:id="rId239" w:history="1">
              <w:r w:rsidRPr="001819F4">
                <w:rPr>
                  <w:rStyle w:val="Hyperlink"/>
                  <w:lang w:val="es-ES_tradnl"/>
                </w:rPr>
                <w:t>TDAG</w:t>
              </w:r>
              <w:r>
                <w:rPr>
                  <w:rStyle w:val="Hyperlink"/>
                  <w:lang w:val="es-ES_tradnl"/>
                </w:rPr>
                <w:noBreakHyphen/>
              </w:r>
              <w:r w:rsidRPr="001819F4">
                <w:rPr>
                  <w:rStyle w:val="Hyperlink"/>
                  <w:lang w:val="es-ES_tradnl"/>
                </w:rPr>
                <w:t>WG</w:t>
              </w:r>
              <w:r>
                <w:rPr>
                  <w:rStyle w:val="Hyperlink"/>
                  <w:lang w:val="es-ES_tradnl"/>
                </w:rPr>
                <w:noBreakHyphen/>
              </w:r>
              <w:r w:rsidRPr="001819F4">
                <w:rPr>
                  <w:rStyle w:val="Hyperlink"/>
                  <w:lang w:val="es-ES_tradnl"/>
                </w:rPr>
                <w:t>DEC/7</w:t>
              </w:r>
            </w:hyperlink>
            <w:r w:rsidRPr="001819F4">
              <w:rPr>
                <w:color w:val="000000"/>
                <w:lang w:val="es-ES_tradnl"/>
              </w:rPr>
              <w:t>, 13</w:t>
            </w:r>
            <w:r>
              <w:rPr>
                <w:color w:val="000000"/>
                <w:lang w:val="es-ES_tradnl"/>
              </w:rPr>
              <w:t> </w:t>
            </w:r>
            <w:r w:rsidRPr="001819F4">
              <w:rPr>
                <w:color w:val="000000"/>
                <w:lang w:val="es-ES_tradnl"/>
              </w:rPr>
              <w:t>de diciembre de 2024)</w:t>
            </w:r>
            <w:hyperlink r:id="rId240" w:tgtFrame="_blank" w:history="1"/>
          </w:p>
          <w:p w14:paraId="7228B013" w14:textId="77777777" w:rsidR="00A04DF2" w:rsidRPr="001819F4" w:rsidRDefault="00A04DF2" w:rsidP="00D04740">
            <w:pPr>
              <w:pStyle w:val="enumlev1"/>
              <w:rPr>
                <w:rFonts w:cstheme="minorBidi"/>
                <w:szCs w:val="24"/>
                <w:lang w:val="es-ES_tradnl"/>
              </w:rPr>
            </w:pPr>
            <w:r w:rsidRPr="00D26BED">
              <w:rPr>
                <w:color w:val="000000"/>
                <w:lang w:val="es-ES_tradnl"/>
              </w:rPr>
              <w:t>–</w:t>
            </w:r>
            <w:r>
              <w:rPr>
                <w:color w:val="000000"/>
                <w:lang w:val="es-ES_tradnl"/>
              </w:rPr>
              <w:tab/>
            </w:r>
            <w:r w:rsidRPr="006C1B27">
              <w:rPr>
                <w:lang w:val="es-ES"/>
              </w:rPr>
              <w:t>Proyecto</w:t>
            </w:r>
            <w:r w:rsidRPr="001819F4">
              <w:rPr>
                <w:color w:val="000000"/>
                <w:lang w:val="es-ES_tradnl"/>
              </w:rPr>
              <w:t xml:space="preserve"> de propuesta original del Presidente (Documento </w:t>
            </w:r>
            <w:hyperlink r:id="rId241" w:history="1">
              <w:r w:rsidRPr="001819F4">
                <w:rPr>
                  <w:rStyle w:val="Hyperlink"/>
                  <w:lang w:val="es-ES_tradnl"/>
                </w:rPr>
                <w:t>TDAG</w:t>
              </w:r>
              <w:r>
                <w:rPr>
                  <w:rStyle w:val="Hyperlink"/>
                  <w:lang w:val="es-ES_tradnl"/>
                </w:rPr>
                <w:noBreakHyphen/>
              </w:r>
              <w:r w:rsidRPr="001819F4">
                <w:rPr>
                  <w:rStyle w:val="Hyperlink"/>
                  <w:lang w:val="es-ES_tradnl"/>
                </w:rPr>
                <w:t>WG</w:t>
              </w:r>
              <w:r>
                <w:rPr>
                  <w:rStyle w:val="Hyperlink"/>
                  <w:lang w:val="es-ES_tradnl"/>
                </w:rPr>
                <w:noBreakHyphen/>
              </w:r>
              <w:r w:rsidRPr="001819F4">
                <w:rPr>
                  <w:rStyle w:val="Hyperlink"/>
                  <w:lang w:val="es-ES_tradnl"/>
                </w:rPr>
                <w:t>DEC/9</w:t>
              </w:r>
            </w:hyperlink>
            <w:r w:rsidRPr="001819F4">
              <w:rPr>
                <w:color w:val="000000"/>
                <w:lang w:val="es-ES_tradnl"/>
              </w:rPr>
              <w:t>, 19 de febrero de 2025)</w:t>
            </w:r>
            <w:hyperlink r:id="rId242" w:tgtFrame="_blank" w:history="1"/>
          </w:p>
          <w:p w14:paraId="1DF7CD14" w14:textId="77777777" w:rsidR="00A04DF2" w:rsidRPr="001819F4" w:rsidRDefault="00A04DF2" w:rsidP="00D04740">
            <w:pPr>
              <w:pStyle w:val="enumlev1"/>
              <w:rPr>
                <w:rFonts w:cstheme="minorBidi"/>
                <w:szCs w:val="24"/>
                <w:lang w:val="es-ES_tradnl"/>
              </w:rPr>
            </w:pPr>
            <w:r w:rsidRPr="00D26BED">
              <w:rPr>
                <w:color w:val="000000"/>
                <w:lang w:val="es-ES_tradnl"/>
              </w:rPr>
              <w:t>–</w:t>
            </w:r>
            <w:r>
              <w:rPr>
                <w:color w:val="000000"/>
                <w:lang w:val="es-ES_tradnl"/>
              </w:rPr>
              <w:tab/>
            </w:r>
            <w:r w:rsidRPr="001819F4">
              <w:rPr>
                <w:color w:val="000000"/>
                <w:lang w:val="es-ES_tradnl"/>
              </w:rPr>
              <w:t xml:space="preserve">Proyecto de propuesta </w:t>
            </w:r>
            <w:r w:rsidRPr="006C1B27">
              <w:rPr>
                <w:lang w:val="es-ES"/>
              </w:rPr>
              <w:t>revisado</w:t>
            </w:r>
            <w:r w:rsidRPr="001819F4">
              <w:rPr>
                <w:color w:val="000000"/>
                <w:lang w:val="es-ES_tradnl"/>
              </w:rPr>
              <w:t xml:space="preserve"> y anotado del Presidente para la Declaración de Bakú (</w:t>
            </w:r>
            <w:hyperlink r:id="rId243" w:history="1">
              <w:r w:rsidRPr="001819F4">
                <w:rPr>
                  <w:rStyle w:val="Hyperlink"/>
                  <w:lang w:val="es-ES_tradnl"/>
                </w:rPr>
                <w:t>TDAG</w:t>
              </w:r>
              <w:r>
                <w:rPr>
                  <w:rStyle w:val="Hyperlink"/>
                  <w:lang w:val="es-ES_tradnl"/>
                </w:rPr>
                <w:noBreakHyphen/>
              </w:r>
              <w:r w:rsidRPr="001819F4">
                <w:rPr>
                  <w:rStyle w:val="Hyperlink"/>
                  <w:lang w:val="es-ES_tradnl"/>
                </w:rPr>
                <w:t>WG-DEC/12</w:t>
              </w:r>
            </w:hyperlink>
            <w:r w:rsidRPr="001819F4">
              <w:rPr>
                <w:color w:val="000000"/>
                <w:lang w:val="es-ES_tradnl"/>
              </w:rPr>
              <w:t>, 27 de marzo de 2025)</w:t>
            </w:r>
            <w:hyperlink r:id="rId244" w:tgtFrame="_blank" w:history="1"/>
          </w:p>
          <w:p w14:paraId="46833BA0" w14:textId="77777777" w:rsidR="00A04DF2" w:rsidRPr="001819F4" w:rsidRDefault="00A04DF2" w:rsidP="00D04740">
            <w:pPr>
              <w:pStyle w:val="enumlev1"/>
              <w:rPr>
                <w:rFonts w:cstheme="minorBidi"/>
                <w:szCs w:val="24"/>
                <w:lang w:val="es-ES_tradnl"/>
              </w:rPr>
            </w:pPr>
            <w:r w:rsidRPr="00D26BED">
              <w:rPr>
                <w:color w:val="000000"/>
                <w:lang w:val="es-ES_tradnl"/>
              </w:rPr>
              <w:t>–</w:t>
            </w:r>
            <w:r>
              <w:rPr>
                <w:color w:val="000000"/>
                <w:lang w:val="es-ES_tradnl"/>
              </w:rPr>
              <w:tab/>
            </w:r>
            <w:r w:rsidRPr="001819F4">
              <w:rPr>
                <w:color w:val="000000"/>
                <w:lang w:val="es-ES_tradnl"/>
              </w:rPr>
              <w:t xml:space="preserve">Proyecto de segunda </w:t>
            </w:r>
            <w:r w:rsidRPr="006C1B27">
              <w:rPr>
                <w:lang w:val="es-ES"/>
              </w:rPr>
              <w:t>propuesta</w:t>
            </w:r>
            <w:r w:rsidRPr="001819F4">
              <w:rPr>
                <w:color w:val="000000"/>
                <w:lang w:val="es-ES_tradnl"/>
              </w:rPr>
              <w:t xml:space="preserve"> revisado del Presidente para la Declaración de Bakú (</w:t>
            </w:r>
            <w:hyperlink r:id="rId245" w:history="1">
              <w:r w:rsidRPr="001819F4">
                <w:rPr>
                  <w:rStyle w:val="Hyperlink"/>
                  <w:lang w:val="es-ES_tradnl"/>
                </w:rPr>
                <w:t>TDAG</w:t>
              </w:r>
              <w:r>
                <w:rPr>
                  <w:rStyle w:val="Hyperlink"/>
                  <w:lang w:val="es-ES_tradnl"/>
                </w:rPr>
                <w:noBreakHyphen/>
              </w:r>
              <w:r w:rsidRPr="001819F4">
                <w:rPr>
                  <w:rStyle w:val="Hyperlink"/>
                  <w:lang w:val="es-ES_tradnl"/>
                </w:rPr>
                <w:t>WG-DEC/14</w:t>
              </w:r>
            </w:hyperlink>
            <w:r w:rsidRPr="001819F4">
              <w:rPr>
                <w:color w:val="000000"/>
                <w:lang w:val="es-ES_tradnl"/>
              </w:rPr>
              <w:t>, 22 de abril de 2025)</w:t>
            </w:r>
            <w:hyperlink r:id="rId246" w:tgtFrame="_blank" w:history="1"/>
          </w:p>
          <w:p w14:paraId="33934E47" w14:textId="77777777" w:rsidR="00A04DF2" w:rsidRPr="001819F4" w:rsidRDefault="00A04DF2" w:rsidP="00D04740">
            <w:pPr>
              <w:pStyle w:val="enumlev1"/>
              <w:rPr>
                <w:rFonts w:cstheme="minorBidi"/>
                <w:szCs w:val="24"/>
                <w:lang w:val="es-ES_tradnl"/>
              </w:rPr>
            </w:pPr>
            <w:r w:rsidRPr="00D26BED">
              <w:rPr>
                <w:color w:val="000000"/>
                <w:lang w:val="es-ES_tradnl"/>
              </w:rPr>
              <w:t>–</w:t>
            </w:r>
            <w:r>
              <w:rPr>
                <w:color w:val="000000"/>
                <w:lang w:val="es-ES_tradnl"/>
              </w:rPr>
              <w:tab/>
            </w:r>
            <w:r w:rsidRPr="001819F4">
              <w:rPr>
                <w:color w:val="000000"/>
                <w:lang w:val="es-ES_tradnl"/>
              </w:rPr>
              <w:t xml:space="preserve">Proyecto de propuesta final </w:t>
            </w:r>
            <w:r w:rsidRPr="006C1B27">
              <w:rPr>
                <w:lang w:val="es-ES"/>
              </w:rPr>
              <w:t>revisado</w:t>
            </w:r>
            <w:r w:rsidRPr="001819F4">
              <w:rPr>
                <w:color w:val="000000"/>
                <w:lang w:val="es-ES_tradnl"/>
              </w:rPr>
              <w:t xml:space="preserve"> del Presidente para la Declaración de Bakú (</w:t>
            </w:r>
            <w:hyperlink r:id="rId247" w:history="1">
              <w:r w:rsidRPr="001819F4">
                <w:rPr>
                  <w:rStyle w:val="Hyperlink"/>
                  <w:lang w:val="es-ES_tradnl"/>
                </w:rPr>
                <w:t>TDAG</w:t>
              </w:r>
              <w:r>
                <w:rPr>
                  <w:rStyle w:val="Hyperlink"/>
                  <w:lang w:val="es-ES_tradnl"/>
                </w:rPr>
                <w:noBreakHyphen/>
              </w:r>
              <w:r w:rsidRPr="001819F4">
                <w:rPr>
                  <w:rStyle w:val="Hyperlink"/>
                  <w:lang w:val="es-ES_tradnl"/>
                </w:rPr>
                <w:t>WG</w:t>
              </w:r>
              <w:r>
                <w:rPr>
                  <w:rStyle w:val="Hyperlink"/>
                  <w:lang w:val="es-ES_tradnl"/>
                </w:rPr>
                <w:noBreakHyphen/>
              </w:r>
              <w:r w:rsidRPr="001819F4">
                <w:rPr>
                  <w:rStyle w:val="Hyperlink"/>
                  <w:lang w:val="es-ES_tradnl"/>
                </w:rPr>
                <w:t>DEC/DT/1</w:t>
              </w:r>
            </w:hyperlink>
            <w:r w:rsidRPr="001819F4">
              <w:rPr>
                <w:color w:val="000000"/>
                <w:lang w:val="es-ES_tradnl"/>
              </w:rPr>
              <w:t xml:space="preserve">, 15 de mayo de 2025) </w:t>
            </w:r>
            <w:hyperlink r:id="rId248" w:tgtFrame="_blank" w:history="1"/>
          </w:p>
          <w:p w14:paraId="352EDBE0" w14:textId="77777777" w:rsidR="00A04DF2" w:rsidRPr="001819F4" w:rsidRDefault="00A04DF2" w:rsidP="00D04740">
            <w:pPr>
              <w:pStyle w:val="enumlev1"/>
              <w:rPr>
                <w:rFonts w:cstheme="minorBidi"/>
                <w:szCs w:val="24"/>
                <w:lang w:val="es-ES_tradnl"/>
              </w:rPr>
            </w:pPr>
            <w:r w:rsidRPr="00D26BED">
              <w:rPr>
                <w:lang w:val="es-ES"/>
              </w:rPr>
              <w:lastRenderedPageBreak/>
              <w:t>–</w:t>
            </w:r>
            <w:r w:rsidRPr="00D26BED">
              <w:rPr>
                <w:lang w:val="es-ES"/>
              </w:rPr>
              <w:tab/>
            </w:r>
            <w:hyperlink r:id="rId249" w:tgtFrame="_blank" w:history="1">
              <w:r w:rsidRPr="001819F4">
                <w:rPr>
                  <w:rStyle w:val="Hyperlink"/>
                  <w:lang w:val="es-ES_tradnl"/>
                </w:rPr>
                <w:t xml:space="preserve">Sitio web del GT-GADT-DEC </w:t>
              </w:r>
            </w:hyperlink>
          </w:p>
        </w:tc>
      </w:tr>
    </w:tbl>
    <w:p w14:paraId="1BF6D10B" w14:textId="77777777" w:rsidR="00A04DF2" w:rsidRPr="001819F4" w:rsidRDefault="00A04DF2" w:rsidP="00A04DF2">
      <w:pPr>
        <w:pStyle w:val="Heading1"/>
        <w:rPr>
          <w:rFonts w:cstheme="minorBidi"/>
          <w:lang w:val="es-ES_tradnl"/>
        </w:rPr>
      </w:pPr>
      <w:r>
        <w:rPr>
          <w:lang w:val="es-ES_tradnl"/>
        </w:rPr>
        <w:lastRenderedPageBreak/>
        <w:t>1</w:t>
      </w:r>
      <w:r>
        <w:rPr>
          <w:lang w:val="es-ES_tradnl"/>
        </w:rPr>
        <w:tab/>
      </w:r>
      <w:r w:rsidRPr="001819F4">
        <w:rPr>
          <w:lang w:val="es-ES_tradnl"/>
        </w:rPr>
        <w:t>Introducción</w:t>
      </w:r>
    </w:p>
    <w:p w14:paraId="66BE6411" w14:textId="77777777" w:rsidR="00A04DF2" w:rsidRPr="001819F4" w:rsidRDefault="00A04DF2" w:rsidP="00A04DF2">
      <w:pPr>
        <w:rPr>
          <w:rFonts w:cstheme="minorBidi"/>
          <w:sz w:val="18"/>
          <w:szCs w:val="18"/>
          <w:lang w:val="es-ES_tradnl"/>
        </w:rPr>
      </w:pPr>
      <w:r w:rsidRPr="001819F4">
        <w:rPr>
          <w:lang w:val="es-ES_tradnl"/>
        </w:rPr>
        <w:t>El Grupo de Trabajo del GADT sobre la Declaración (GT-GADT-DEC) fue creado en la reunión del </w:t>
      </w:r>
      <w:hyperlink r:id="rId250" w:history="1">
        <w:r w:rsidRPr="001819F4">
          <w:rPr>
            <w:rStyle w:val="Hyperlink"/>
            <w:lang w:val="es-ES_tradnl"/>
          </w:rPr>
          <w:t>GADT-24</w:t>
        </w:r>
      </w:hyperlink>
      <w:r w:rsidRPr="001819F4">
        <w:rPr>
          <w:lang w:val="es-ES_tradnl"/>
        </w:rPr>
        <w:t xml:space="preserve"> (20-23 de mayo de 2024). El Sr. Abdulkarim Oloyede (Nigeria) fue nombrado Presidente de este Grupo, siendo sus Vicepresidentes el Sr. Ahmed Abd El-Aziz (Egipto) y la Sra. Ke</w:t>
      </w:r>
      <w:r>
        <w:rPr>
          <w:lang w:val="es-ES_tradnl"/>
        </w:rPr>
        <w:t> </w:t>
      </w:r>
      <w:r w:rsidRPr="001819F4">
        <w:rPr>
          <w:lang w:val="es-ES_tradnl"/>
        </w:rPr>
        <w:t xml:space="preserve">Wang (China). </w:t>
      </w:r>
      <w:hyperlink r:id="rId251" w:tgtFrame="_blank" w:history="1"/>
    </w:p>
    <w:p w14:paraId="3111CE8C" w14:textId="77777777" w:rsidR="00A04DF2" w:rsidRPr="001819F4" w:rsidRDefault="00A04DF2" w:rsidP="00A04DF2">
      <w:pPr>
        <w:rPr>
          <w:rFonts w:cstheme="minorBidi"/>
          <w:sz w:val="18"/>
          <w:szCs w:val="18"/>
          <w:lang w:val="es-ES_tradnl"/>
        </w:rPr>
      </w:pPr>
      <w:r w:rsidRPr="001819F4">
        <w:rPr>
          <w:lang w:val="es-ES_tradnl"/>
        </w:rPr>
        <w:t xml:space="preserve">Se encomendó al GT-GADT-DEC la tarea de "proponer elementos y formular recomendaciones a los miembros de la UIT para el futuro proyecto de Declaración" de la Conferencia Mundial de Desarrollo de las Telecomunicaciones de 2025 (CMDT-25) (Documento </w:t>
      </w:r>
      <w:hyperlink r:id="rId252" w:history="1">
        <w:r w:rsidRPr="001819F4">
          <w:rPr>
            <w:rStyle w:val="Hyperlink"/>
            <w:lang w:val="es-ES_tradnl"/>
          </w:rPr>
          <w:t>TDAG-24/DT/4</w:t>
        </w:r>
      </w:hyperlink>
      <w:r w:rsidRPr="001819F4">
        <w:rPr>
          <w:lang w:val="es-ES_tradnl"/>
        </w:rPr>
        <w:t>). El GT</w:t>
      </w:r>
      <w:r>
        <w:rPr>
          <w:lang w:val="es-ES_tradnl"/>
        </w:rPr>
        <w:noBreakHyphen/>
      </w:r>
      <w:r w:rsidRPr="001819F4">
        <w:rPr>
          <w:lang w:val="es-ES_tradnl"/>
        </w:rPr>
        <w:t>GADT</w:t>
      </w:r>
      <w:r>
        <w:rPr>
          <w:lang w:val="es-ES_tradnl"/>
        </w:rPr>
        <w:noBreakHyphen/>
      </w:r>
      <w:r w:rsidRPr="001819F4">
        <w:rPr>
          <w:lang w:val="es-ES_tradnl"/>
        </w:rPr>
        <w:t xml:space="preserve">DEC quedó abierto a todos los Estados Miembros y los Miembros del Sector de Desarrollo de las Telecomunicaciones de la UIT (UIT-D). El producto del GT-GADT-DEC servirá como contribución para que los miembros los analicen tanto en la fase preparatoria como durante la Conferencia, mientras trabajan en la Declaración de la CMDT-25. </w:t>
      </w:r>
      <w:hyperlink r:id="rId253" w:tgtFrame="_blank" w:history="1"/>
    </w:p>
    <w:p w14:paraId="132D99B1" w14:textId="77777777" w:rsidR="00A04DF2" w:rsidRPr="001819F4" w:rsidRDefault="00A04DF2" w:rsidP="00A04DF2">
      <w:pPr>
        <w:rPr>
          <w:rFonts w:cstheme="minorBidi"/>
          <w:sz w:val="18"/>
          <w:szCs w:val="18"/>
          <w:lang w:val="es-ES_tradnl"/>
        </w:rPr>
      </w:pPr>
      <w:r w:rsidRPr="001819F4">
        <w:rPr>
          <w:lang w:val="es-ES_tradnl"/>
        </w:rPr>
        <w:t xml:space="preserve">El GT-GADT-DEC celebró cuatro reuniones durante el periodo comprendido entre diciembre de 2024 y abril de 2025. Los informes de cada una de las reuniones figuran en las referencias del resumen anterior y están disponibles en el </w:t>
      </w:r>
      <w:hyperlink r:id="rId254" w:history="1">
        <w:r w:rsidRPr="001819F4">
          <w:rPr>
            <w:rStyle w:val="Hyperlink"/>
            <w:lang w:val="es-ES_tradnl"/>
          </w:rPr>
          <w:t>sitio web del Grupo</w:t>
        </w:r>
      </w:hyperlink>
      <w:r w:rsidRPr="001819F4">
        <w:rPr>
          <w:lang w:val="es-ES_tradnl"/>
        </w:rPr>
        <w:t xml:space="preserve">. </w:t>
      </w:r>
      <w:hyperlink r:id="rId255" w:tgtFrame="_blank" w:history="1"/>
    </w:p>
    <w:p w14:paraId="576DE40E" w14:textId="77777777" w:rsidR="00A04DF2" w:rsidRPr="001819F4" w:rsidRDefault="00A04DF2" w:rsidP="00A04DF2">
      <w:pPr>
        <w:pStyle w:val="Heading1"/>
        <w:rPr>
          <w:rFonts w:cstheme="minorBidi"/>
          <w:lang w:val="es-ES_tradnl"/>
        </w:rPr>
      </w:pPr>
      <w:r>
        <w:rPr>
          <w:lang w:val="es-ES_tradnl"/>
        </w:rPr>
        <w:t>2</w:t>
      </w:r>
      <w:r>
        <w:rPr>
          <w:lang w:val="es-ES_tradnl"/>
        </w:rPr>
        <w:tab/>
      </w:r>
      <w:r w:rsidRPr="001819F4">
        <w:rPr>
          <w:lang w:val="es-ES_tradnl"/>
        </w:rPr>
        <w:t>Enfoque y proceso para la elaboración del proyecto de Declaración de la CMDT</w:t>
      </w:r>
      <w:r>
        <w:rPr>
          <w:lang w:val="es-ES_tradnl"/>
        </w:rPr>
        <w:noBreakHyphen/>
      </w:r>
      <w:r w:rsidRPr="001819F4">
        <w:rPr>
          <w:lang w:val="es-ES_tradnl"/>
        </w:rPr>
        <w:t xml:space="preserve">25 propuesto por el Presidente </w:t>
      </w:r>
    </w:p>
    <w:p w14:paraId="2DD2D53D" w14:textId="77777777" w:rsidR="00A04DF2" w:rsidRPr="001819F4" w:rsidRDefault="00A04DF2" w:rsidP="00A04DF2">
      <w:pPr>
        <w:rPr>
          <w:rFonts w:cstheme="minorBidi"/>
          <w:sz w:val="18"/>
          <w:szCs w:val="18"/>
          <w:lang w:val="es-ES_tradnl"/>
        </w:rPr>
      </w:pPr>
      <w:r w:rsidRPr="001819F4">
        <w:rPr>
          <w:lang w:val="es-ES_tradnl"/>
        </w:rPr>
        <w:t xml:space="preserve">En el curso de sus trabajos, el GT-GADT-DEC veló por mantener una estrecha coordinación sobre los temas fundamentales para la Declaración, en particular con el Grupo de Trabajo del GADT sobre las Prioridades del UIT-D (GT-GADT-PUITD). </w:t>
      </w:r>
    </w:p>
    <w:p w14:paraId="0C4B4B12" w14:textId="77777777" w:rsidR="00A04DF2" w:rsidRPr="001819F4" w:rsidRDefault="00A04DF2" w:rsidP="00A04DF2">
      <w:pPr>
        <w:rPr>
          <w:rFonts w:cstheme="minorBidi"/>
          <w:sz w:val="18"/>
          <w:szCs w:val="18"/>
          <w:lang w:val="es-ES_tradnl"/>
        </w:rPr>
      </w:pPr>
      <w:r w:rsidRPr="001819F4">
        <w:rPr>
          <w:lang w:val="es-ES_tradnl"/>
        </w:rPr>
        <w:t xml:space="preserve">En su primera reunión, el Grupo acordó mantener una estructura similar a la de la Declaración de Kigali y ser concisa, sencilla, con un lenguaje claro y práctico, y que abordase tanto los retos del desarrollo digital mundial como las posibles soluciones. </w:t>
      </w:r>
    </w:p>
    <w:p w14:paraId="3F8BB713" w14:textId="77777777" w:rsidR="00A04DF2" w:rsidRPr="001819F4" w:rsidRDefault="00A04DF2" w:rsidP="00A04DF2">
      <w:pPr>
        <w:rPr>
          <w:rFonts w:cstheme="minorBidi"/>
          <w:sz w:val="18"/>
          <w:szCs w:val="18"/>
          <w:lang w:val="es-ES_tradnl"/>
        </w:rPr>
      </w:pPr>
      <w:r w:rsidRPr="001819F4">
        <w:rPr>
          <w:lang w:val="es-ES_tradnl"/>
        </w:rPr>
        <w:t xml:space="preserve">Sobre la base de los debates mantenidos durante la primera reunión del GT-GADT-DEC y de las consultas oficiosas, el Presidente propuso a la segunda reunión el título de la Declaración, "Conectividad universal y efectiva para un futuro digital equitativo", que figura en el Documento </w:t>
      </w:r>
      <w:hyperlink r:id="rId256" w:history="1">
        <w:r w:rsidRPr="001819F4">
          <w:rPr>
            <w:rStyle w:val="Hyperlink"/>
            <w:lang w:val="es-ES_tradnl"/>
          </w:rPr>
          <w:t>TDAG</w:t>
        </w:r>
        <w:r>
          <w:rPr>
            <w:rStyle w:val="Hyperlink"/>
            <w:lang w:val="es-ES_tradnl"/>
          </w:rPr>
          <w:noBreakHyphen/>
        </w:r>
        <w:r w:rsidRPr="001819F4">
          <w:rPr>
            <w:rStyle w:val="Hyperlink"/>
            <w:lang w:val="es-ES_tradnl"/>
          </w:rPr>
          <w:t>WG</w:t>
        </w:r>
        <w:r>
          <w:rPr>
            <w:rStyle w:val="Hyperlink"/>
            <w:lang w:val="es-ES_tradnl"/>
          </w:rPr>
          <w:noBreakHyphen/>
        </w:r>
        <w:r w:rsidRPr="001819F4">
          <w:rPr>
            <w:rStyle w:val="Hyperlink"/>
            <w:lang w:val="es-ES_tradnl"/>
          </w:rPr>
          <w:t>DEC/4(Rev.1)</w:t>
        </w:r>
      </w:hyperlink>
      <w:r w:rsidRPr="001819F4">
        <w:rPr>
          <w:lang w:val="es-ES_tradnl"/>
        </w:rPr>
        <w:t xml:space="preserve">. Tras los debates celebrados durante la segunda reunión, el Grupo convino en modificar el título de la Declaración, que reza así "Conectividad universal, efectiva y asequible para un futuro digital inclusivo y sostenible". Algunos representantes de los Estados Miembros expresaron su preferencia por un título más corto, mientras que otros se mostraron partidarios de uno más amplio. </w:t>
      </w:r>
      <w:hyperlink r:id="rId257" w:tgtFrame="_blank" w:history="1"/>
    </w:p>
    <w:p w14:paraId="6DFB1CF4" w14:textId="77777777" w:rsidR="00A04DF2" w:rsidRPr="001819F4" w:rsidRDefault="00A04DF2" w:rsidP="00A04DF2">
      <w:pPr>
        <w:rPr>
          <w:rFonts w:cstheme="minorBidi"/>
          <w:sz w:val="18"/>
          <w:szCs w:val="18"/>
          <w:lang w:val="es-ES_tradnl"/>
        </w:rPr>
      </w:pPr>
      <w:r w:rsidRPr="001819F4">
        <w:rPr>
          <w:lang w:val="es-ES_tradnl"/>
        </w:rPr>
        <w:t xml:space="preserve">Durante la segunda reunión del Grupo, el Presidente del GT-GADT-DEC también presentó un proyecto de borrador anotado de la Declaración de Bakú (Documento </w:t>
      </w:r>
      <w:hyperlink r:id="rId258" w:history="1">
        <w:r w:rsidRPr="001819F4">
          <w:rPr>
            <w:rStyle w:val="Hyperlink"/>
            <w:lang w:val="es-ES_tradnl"/>
          </w:rPr>
          <w:t>TDAG</w:t>
        </w:r>
        <w:r>
          <w:rPr>
            <w:rStyle w:val="Hyperlink"/>
            <w:lang w:val="es-ES_tradnl"/>
          </w:rPr>
          <w:noBreakHyphen/>
        </w:r>
        <w:r w:rsidRPr="001819F4">
          <w:rPr>
            <w:rStyle w:val="Hyperlink"/>
            <w:lang w:val="es-ES_tradnl"/>
          </w:rPr>
          <w:t>WG</w:t>
        </w:r>
        <w:r>
          <w:rPr>
            <w:rStyle w:val="Hyperlink"/>
            <w:lang w:val="es-ES_tradnl"/>
          </w:rPr>
          <w:noBreakHyphen/>
        </w:r>
        <w:r w:rsidRPr="001819F4">
          <w:rPr>
            <w:rStyle w:val="Hyperlink"/>
            <w:lang w:val="es-ES_tradnl"/>
          </w:rPr>
          <w:t>DEC/4(Rev.1)</w:t>
        </w:r>
      </w:hyperlink>
      <w:r w:rsidRPr="001819F4">
        <w:rPr>
          <w:lang w:val="es-ES_tradnl"/>
        </w:rPr>
        <w:t xml:space="preserve">) con cuatro secciones principales: Introducción, "Declaramos", "Nos comprometemos" (más tarde se modificó por "Afirmamos") y Llamamiento a la acción, para estimular el debate sobre la estructura y los posibles temas de la Declaración. También destacó la lógica y el proceso de reflexión que subyacían en el documento, explicando que el anteproyecto se basaba en la correspondencia original de los temas de la Declaración de Kigali y los temas nuevos e incipientes que figuraban en el Documento </w:t>
      </w:r>
      <w:hyperlink r:id="rId259" w:history="1">
        <w:r w:rsidRPr="001819F4">
          <w:rPr>
            <w:rStyle w:val="Hyperlink"/>
            <w:lang w:val="es-ES_tradnl"/>
          </w:rPr>
          <w:t>TDAG-WG-DEC/INF/1</w:t>
        </w:r>
      </w:hyperlink>
      <w:r w:rsidRPr="001819F4">
        <w:rPr>
          <w:lang w:val="es-ES_tradnl"/>
        </w:rPr>
        <w:t xml:space="preserve">. </w:t>
      </w:r>
      <w:hyperlink r:id="rId260" w:tgtFrame="_blank" w:history="1"/>
      <w:hyperlink r:id="rId261" w:tgtFrame="_blank" w:history="1"/>
    </w:p>
    <w:p w14:paraId="5592C0AA" w14:textId="77777777" w:rsidR="00A04DF2" w:rsidRPr="001819F4" w:rsidRDefault="00A04DF2" w:rsidP="00A04DF2">
      <w:pPr>
        <w:rPr>
          <w:rFonts w:cstheme="minorBidi"/>
          <w:sz w:val="18"/>
          <w:szCs w:val="18"/>
          <w:lang w:val="es-ES_tradnl"/>
        </w:rPr>
      </w:pPr>
      <w:r w:rsidRPr="001819F4">
        <w:rPr>
          <w:lang w:val="es-ES_tradnl"/>
        </w:rPr>
        <w:lastRenderedPageBreak/>
        <w:t>Basándose en los comentarios recibidos durante la segunda reunión del GT</w:t>
      </w:r>
      <w:r>
        <w:rPr>
          <w:lang w:val="es-ES_tradnl"/>
        </w:rPr>
        <w:noBreakHyphen/>
      </w:r>
      <w:r w:rsidRPr="001819F4">
        <w:rPr>
          <w:lang w:val="es-ES_tradnl"/>
        </w:rPr>
        <w:t>GADT</w:t>
      </w:r>
      <w:r>
        <w:rPr>
          <w:lang w:val="es-ES_tradnl"/>
        </w:rPr>
        <w:noBreakHyphen/>
      </w:r>
      <w:r w:rsidRPr="001819F4">
        <w:rPr>
          <w:lang w:val="es-ES_tradnl"/>
        </w:rPr>
        <w:t xml:space="preserve">DEC, el Presidente preparó y presentó a la tercera reunión una propuesta inicial de texto para la Declaración de Bakú (Documento </w:t>
      </w:r>
      <w:hyperlink r:id="rId262" w:history="1">
        <w:r w:rsidRPr="001819F4">
          <w:rPr>
            <w:rStyle w:val="Hyperlink"/>
            <w:lang w:val="es-ES_tradnl"/>
          </w:rPr>
          <w:t>TDAG-WG-DEC/9</w:t>
        </w:r>
      </w:hyperlink>
      <w:r w:rsidRPr="001819F4">
        <w:rPr>
          <w:lang w:val="es-ES_tradnl"/>
        </w:rPr>
        <w:t xml:space="preserve">), e invitó al Grupo a presentar contribuciones y tomar nota de los comentarios generales y de los cambios sugeridos. </w:t>
      </w:r>
      <w:hyperlink r:id="rId263" w:tgtFrame="_blank" w:history="1"/>
    </w:p>
    <w:p w14:paraId="79F615B1" w14:textId="77777777" w:rsidR="00A04DF2" w:rsidRPr="001819F4" w:rsidRDefault="00A04DF2" w:rsidP="00A04DF2">
      <w:pPr>
        <w:rPr>
          <w:rFonts w:cstheme="minorBidi"/>
          <w:sz w:val="18"/>
          <w:szCs w:val="18"/>
          <w:lang w:val="es-ES_tradnl"/>
        </w:rPr>
      </w:pPr>
      <w:r w:rsidRPr="001819F4">
        <w:rPr>
          <w:lang w:val="es-ES_tradnl"/>
        </w:rPr>
        <w:t xml:space="preserve">Tras las sustantivas deliberaciones, el Presidente preparó un proyecto de propuesta revisado y anotado (Documento </w:t>
      </w:r>
      <w:hyperlink r:id="rId264" w:history="1">
        <w:r w:rsidRPr="001819F4">
          <w:rPr>
            <w:rStyle w:val="Hyperlink"/>
            <w:lang w:val="es-ES_tradnl"/>
          </w:rPr>
          <w:t>TDAG-WG-DEC/12</w:t>
        </w:r>
      </w:hyperlink>
      <w:r w:rsidRPr="001819F4">
        <w:rPr>
          <w:lang w:val="es-ES_tradnl"/>
        </w:rPr>
        <w:t xml:space="preserve">) que el Grupo examinaría en su cuarta reunión. </w:t>
      </w:r>
      <w:hyperlink r:id="rId265" w:tgtFrame="_blank" w:history="1"/>
    </w:p>
    <w:p w14:paraId="70AB22A1" w14:textId="77777777" w:rsidR="00A04DF2" w:rsidRPr="001819F4" w:rsidRDefault="00A04DF2" w:rsidP="00A04DF2">
      <w:pPr>
        <w:rPr>
          <w:rFonts w:cstheme="minorBidi"/>
          <w:sz w:val="18"/>
          <w:szCs w:val="18"/>
          <w:lang w:val="es-ES_tradnl"/>
        </w:rPr>
      </w:pPr>
      <w:r w:rsidRPr="001819F4">
        <w:rPr>
          <w:lang w:val="es-ES_tradnl"/>
        </w:rPr>
        <w:t xml:space="preserve">Se efectuaron revisiones adicionales durante la cuarta reunión del Grupo, y se publicó un segundo proyecto de propuesta revisado que el Grupo examinaría en su quinta reunión, que tendría lugar durante el GADT-25 (Anexo 1 adjunto y Documento </w:t>
      </w:r>
      <w:hyperlink r:id="rId266" w:history="1">
        <w:r w:rsidRPr="001819F4">
          <w:rPr>
            <w:rStyle w:val="Hyperlink"/>
            <w:lang w:val="es-ES_tradnl"/>
          </w:rPr>
          <w:t>TDAG-WG-DEC/14</w:t>
        </w:r>
      </w:hyperlink>
      <w:r w:rsidRPr="001819F4">
        <w:rPr>
          <w:lang w:val="es-ES_tradnl"/>
        </w:rPr>
        <w:t xml:space="preserve">). </w:t>
      </w:r>
      <w:hyperlink r:id="rId267" w:tgtFrame="_blank" w:history="1"/>
    </w:p>
    <w:p w14:paraId="705C7A17" w14:textId="77777777" w:rsidR="00A04DF2" w:rsidRPr="001819F4" w:rsidRDefault="00A04DF2" w:rsidP="00A04DF2">
      <w:pPr>
        <w:rPr>
          <w:rFonts w:cstheme="minorBidi"/>
          <w:sz w:val="18"/>
          <w:szCs w:val="18"/>
          <w:lang w:val="es-ES_tradnl"/>
        </w:rPr>
      </w:pPr>
      <w:r w:rsidRPr="001819F4">
        <w:rPr>
          <w:lang w:val="es-ES_tradnl"/>
        </w:rPr>
        <w:t xml:space="preserve">A partir de estas bases, así como de los debates del GT-GADT-DEC y de las consultas oficiosas, el Presidente elaboró el proyecto revisado y la propuesta anotada (Documento </w:t>
      </w:r>
      <w:hyperlink r:id="rId268" w:history="1">
        <w:r w:rsidRPr="001819F4">
          <w:rPr>
            <w:rStyle w:val="Hyperlink"/>
            <w:lang w:val="es-ES_tradnl"/>
          </w:rPr>
          <w:t>TDAG-WG-DEC/12</w:t>
        </w:r>
      </w:hyperlink>
      <w:r w:rsidRPr="001819F4">
        <w:rPr>
          <w:lang w:val="es-ES_tradnl"/>
        </w:rPr>
        <w:t>) y, tras la contribución adicional proporcionada durante la cuarta reunión del Grupo, el Presidente preparó su segunda propuesta revisada para el proyecto de Declaración de Bakú (Documento</w:t>
      </w:r>
      <w:r>
        <w:rPr>
          <w:lang w:val="es-ES_tradnl"/>
        </w:rPr>
        <w:t> </w:t>
      </w:r>
      <w:hyperlink r:id="rId269" w:history="1">
        <w:r w:rsidRPr="001819F4">
          <w:rPr>
            <w:rStyle w:val="Hyperlink"/>
            <w:lang w:val="es-ES_tradnl"/>
          </w:rPr>
          <w:t>TDAG-WG-DEC/14</w:t>
        </w:r>
      </w:hyperlink>
      <w:r w:rsidRPr="001819F4">
        <w:rPr>
          <w:lang w:val="es-ES_tradnl"/>
        </w:rPr>
        <w:t xml:space="preserve">). </w:t>
      </w:r>
      <w:hyperlink r:id="rId270" w:tgtFrame="_blank" w:history="1"/>
      <w:hyperlink r:id="rId271" w:tgtFrame="_blank" w:history="1"/>
    </w:p>
    <w:p w14:paraId="26C4AB16" w14:textId="77777777" w:rsidR="00A04DF2" w:rsidRPr="001819F4" w:rsidRDefault="00A04DF2" w:rsidP="00A04DF2">
      <w:pPr>
        <w:rPr>
          <w:rFonts w:cstheme="minorBidi"/>
          <w:sz w:val="18"/>
          <w:szCs w:val="18"/>
          <w:lang w:val="es-ES_tradnl"/>
        </w:rPr>
      </w:pPr>
      <w:r w:rsidRPr="001819F4">
        <w:rPr>
          <w:lang w:val="es-ES_tradnl"/>
        </w:rPr>
        <w:t xml:space="preserve">Bajo la dirección del Presidente, en la quinta reunión del Grupo se acordó el proyecto de propuesta final revisado (Documento </w:t>
      </w:r>
      <w:hyperlink r:id="rId272" w:history="1">
        <w:r w:rsidRPr="001819F4">
          <w:rPr>
            <w:rStyle w:val="Hyperlink"/>
            <w:lang w:val="es-ES_tradnl"/>
          </w:rPr>
          <w:t>TDAG-WG-DEC/DT/1</w:t>
        </w:r>
      </w:hyperlink>
      <w:r w:rsidRPr="001819F4">
        <w:rPr>
          <w:lang w:val="es-ES_tradnl"/>
        </w:rPr>
        <w:t xml:space="preserve">), que se adjunta al presente informe. </w:t>
      </w:r>
      <w:hyperlink r:id="rId273" w:tgtFrame="_blank" w:history="1"/>
    </w:p>
    <w:p w14:paraId="61E41FAA" w14:textId="77777777" w:rsidR="00A04DF2" w:rsidRPr="001819F4" w:rsidRDefault="00A04DF2" w:rsidP="00A04DF2">
      <w:pPr>
        <w:rPr>
          <w:rFonts w:cstheme="minorBidi"/>
          <w:sz w:val="18"/>
          <w:szCs w:val="18"/>
          <w:lang w:val="es-ES_tradnl"/>
        </w:rPr>
      </w:pPr>
      <w:r w:rsidRPr="001819F4">
        <w:rPr>
          <w:lang w:val="es-ES_tradnl"/>
        </w:rPr>
        <w:t>Para apoyar los procesos preparatorios de las Organizaciones Regionales de Telecomunicaciones (ORT) antes de la CMDT</w:t>
      </w:r>
      <w:r w:rsidRPr="001819F4">
        <w:rPr>
          <w:lang w:val="es-ES_tradnl"/>
        </w:rPr>
        <w:noBreakHyphen/>
        <w:t xml:space="preserve">25, los Estados Miembros solicitaron que se reflejaran en el presente informe los siguientes debates: </w:t>
      </w:r>
    </w:p>
    <w:p w14:paraId="079FB133" w14:textId="77777777" w:rsidR="00A04DF2" w:rsidRPr="001819F4" w:rsidRDefault="00A04DF2" w:rsidP="00A04DF2">
      <w:pPr>
        <w:pStyle w:val="enumlev1"/>
        <w:rPr>
          <w:rFonts w:cstheme="minorBidi"/>
          <w:lang w:val="es-ES_tradnl"/>
        </w:rPr>
      </w:pPr>
      <w:r w:rsidRPr="006E2D26">
        <w:rPr>
          <w:lang w:val="es-ES_tradnl"/>
        </w:rPr>
        <w:t>–</w:t>
      </w:r>
      <w:r w:rsidRPr="006E2D26">
        <w:rPr>
          <w:lang w:val="es-ES_tradnl"/>
        </w:rPr>
        <w:tab/>
      </w:r>
      <w:r w:rsidRPr="001819F4">
        <w:rPr>
          <w:b/>
          <w:bCs/>
          <w:lang w:val="es-ES_tradnl"/>
        </w:rPr>
        <w:t>Extensión de la Declaración</w:t>
      </w:r>
      <w:r w:rsidRPr="001819F4">
        <w:rPr>
          <w:lang w:val="es-ES_tradnl"/>
        </w:rPr>
        <w:t xml:space="preserve">: Varios Estados Miembros reiteraron la opinión de que la Declaración debía ser concisa, como correspondía a una declaración de alto nivel. </w:t>
      </w:r>
    </w:p>
    <w:p w14:paraId="145DAF59" w14:textId="77777777" w:rsidR="00A04DF2" w:rsidRPr="001819F4" w:rsidRDefault="00A04DF2" w:rsidP="00A04DF2">
      <w:pPr>
        <w:pStyle w:val="enumlev1"/>
        <w:rPr>
          <w:rFonts w:cstheme="minorBidi"/>
          <w:lang w:val="es-ES_tradnl"/>
        </w:rPr>
      </w:pPr>
      <w:r w:rsidRPr="006E2D26">
        <w:rPr>
          <w:lang w:val="es-ES_tradnl"/>
        </w:rPr>
        <w:t>–</w:t>
      </w:r>
      <w:r w:rsidRPr="006E2D26">
        <w:rPr>
          <w:lang w:val="es-ES_tradnl"/>
        </w:rPr>
        <w:tab/>
      </w:r>
      <w:r w:rsidRPr="001819F4">
        <w:rPr>
          <w:b/>
          <w:bCs/>
          <w:lang w:val="es-ES_tradnl"/>
        </w:rPr>
        <w:t>Neutralidad tecnológica</w:t>
      </w:r>
      <w:r w:rsidRPr="001819F4">
        <w:rPr>
          <w:lang w:val="es-ES_tradnl"/>
        </w:rPr>
        <w:t xml:space="preserve">: Algunas Regiones y Miembros de Sector del UIT-D expresaron su preferencia por mantener el lenguaje general, mientras que otros abogaron por la inclusión de referencias a tecnologías clave específicas. </w:t>
      </w:r>
    </w:p>
    <w:p w14:paraId="691C9730" w14:textId="77777777" w:rsidR="00A04DF2" w:rsidRPr="001819F4" w:rsidRDefault="00A04DF2" w:rsidP="00A04DF2">
      <w:pPr>
        <w:pStyle w:val="enumlev1"/>
        <w:rPr>
          <w:rFonts w:cstheme="minorBidi"/>
          <w:lang w:val="es-ES_tradnl"/>
        </w:rPr>
      </w:pPr>
      <w:r w:rsidRPr="006E2D26">
        <w:rPr>
          <w:lang w:val="es-ES_tradnl"/>
        </w:rPr>
        <w:t>–</w:t>
      </w:r>
      <w:r w:rsidRPr="006E2D26">
        <w:rPr>
          <w:lang w:val="es-ES_tradnl"/>
        </w:rPr>
        <w:tab/>
      </w:r>
      <w:r w:rsidRPr="001819F4">
        <w:rPr>
          <w:b/>
          <w:bCs/>
          <w:lang w:val="es-ES_tradnl"/>
        </w:rPr>
        <w:t>Inteligencia artificial (IA)</w:t>
      </w:r>
      <w:r w:rsidRPr="001819F4">
        <w:rPr>
          <w:lang w:val="es-ES_tradnl"/>
        </w:rPr>
        <w:t xml:space="preserve">: Durante la reunión del GT-GADT-DEC no se llegó a un acuerdo sobre la inclusión de la IA en la Declaración. Los delegados acordaron incluir una referencia más general a las "tecnologías nuevas y emergentes". Algunas regiones y Estados Miembros opinaron que la IA debía destacarse específicamente debido a su potencial para acelerar el desarrollo de las TIC. Se sugirió además que, si se incorporaba algún texto a la Declaración, debía ajustarse a la Resolución 214 de la PP sobre inteligencia artificial (como "IA relacionada con las telecomunicaciones"). El GADT-25 acordó incluir una referencia modificada en el proyecto del Anexo 1. </w:t>
      </w:r>
    </w:p>
    <w:p w14:paraId="08E0EC93" w14:textId="77777777" w:rsidR="00A04DF2" w:rsidRPr="001819F4" w:rsidRDefault="00A04DF2" w:rsidP="00A04DF2">
      <w:pPr>
        <w:pStyle w:val="enumlev1"/>
        <w:rPr>
          <w:rFonts w:cstheme="minorBidi"/>
          <w:lang w:val="es-ES_tradnl"/>
        </w:rPr>
      </w:pPr>
      <w:r w:rsidRPr="006E2D26">
        <w:rPr>
          <w:lang w:val="es-ES_tradnl"/>
        </w:rPr>
        <w:t>–</w:t>
      </w:r>
      <w:r>
        <w:rPr>
          <w:b/>
          <w:bCs/>
          <w:lang w:val="es-ES_tradnl"/>
        </w:rPr>
        <w:tab/>
      </w:r>
      <w:r w:rsidRPr="001819F4">
        <w:rPr>
          <w:b/>
          <w:bCs/>
          <w:lang w:val="es-ES_tradnl"/>
        </w:rPr>
        <w:t>Infraestructura basada en el espacio</w:t>
      </w:r>
      <w:r w:rsidRPr="001819F4">
        <w:rPr>
          <w:lang w:val="es-ES_tradnl"/>
        </w:rPr>
        <w:t>: Mientras algunos miembros apoyaron la referencia a las "comunicaciones por satélite" como más acordes con el mandato del UIT</w:t>
      </w:r>
      <w:r>
        <w:rPr>
          <w:lang w:val="es-ES_tradnl"/>
        </w:rPr>
        <w:noBreakHyphen/>
      </w:r>
      <w:r w:rsidRPr="001819F4">
        <w:rPr>
          <w:lang w:val="es-ES_tradnl"/>
        </w:rPr>
        <w:t xml:space="preserve">D, otros destacaron la importancia de las nuevas tecnologías espaciales para avanzar en los objetivos del Sector. </w:t>
      </w:r>
    </w:p>
    <w:p w14:paraId="37E0789A" w14:textId="77777777" w:rsidR="00A04DF2" w:rsidRPr="001819F4" w:rsidRDefault="00A04DF2" w:rsidP="00A04DF2">
      <w:pPr>
        <w:pStyle w:val="enumlev1"/>
        <w:rPr>
          <w:rFonts w:cstheme="minorBidi"/>
          <w:lang w:val="es-ES_tradnl"/>
        </w:rPr>
      </w:pPr>
      <w:r w:rsidRPr="006E2D26">
        <w:rPr>
          <w:lang w:val="es-ES_tradnl"/>
        </w:rPr>
        <w:t>–</w:t>
      </w:r>
      <w:r w:rsidRPr="006E2D26">
        <w:rPr>
          <w:lang w:val="es-ES_tradnl"/>
        </w:rPr>
        <w:tab/>
      </w:r>
      <w:r w:rsidRPr="001819F4">
        <w:rPr>
          <w:b/>
          <w:bCs/>
          <w:lang w:val="es-ES_tradnl"/>
        </w:rPr>
        <w:t>Transferencia de tecnología</w:t>
      </w:r>
      <w:r w:rsidRPr="001819F4">
        <w:rPr>
          <w:lang w:val="es-ES_tradnl"/>
        </w:rPr>
        <w:t xml:space="preserve">: también se expresaron opiniones divergentes sobre este tema. </w:t>
      </w:r>
    </w:p>
    <w:p w14:paraId="397F8470" w14:textId="77777777" w:rsidR="00A04DF2" w:rsidRPr="001819F4" w:rsidRDefault="00A04DF2" w:rsidP="00A04DF2">
      <w:pPr>
        <w:pStyle w:val="enumlev1"/>
        <w:rPr>
          <w:rFonts w:cstheme="minorBidi"/>
          <w:lang w:val="es-ES_tradnl"/>
        </w:rPr>
      </w:pPr>
      <w:r w:rsidRPr="006E2D26">
        <w:rPr>
          <w:lang w:val="es-ES_tradnl"/>
        </w:rPr>
        <w:t>–</w:t>
      </w:r>
      <w:r w:rsidRPr="006E2D26">
        <w:rPr>
          <w:lang w:val="es-ES_tradnl"/>
        </w:rPr>
        <w:tab/>
      </w:r>
      <w:r w:rsidRPr="001819F4">
        <w:rPr>
          <w:b/>
          <w:bCs/>
          <w:lang w:val="es-ES_tradnl"/>
        </w:rPr>
        <w:t xml:space="preserve">Visión global de los </w:t>
      </w:r>
      <w:proofErr w:type="spellStart"/>
      <w:r w:rsidRPr="001819F4">
        <w:rPr>
          <w:b/>
          <w:bCs/>
          <w:lang w:val="es-ES_tradnl"/>
        </w:rPr>
        <w:t>desafíos</w:t>
      </w:r>
      <w:r>
        <w:rPr>
          <w:lang w:val="es-ES_tradnl"/>
        </w:rPr>
        <w:t>:</w:t>
      </w:r>
      <w:r w:rsidRPr="001819F4">
        <w:rPr>
          <w:lang w:val="es-ES_tradnl"/>
        </w:rPr>
        <w:t>Algunos</w:t>
      </w:r>
      <w:proofErr w:type="spellEnd"/>
      <w:r w:rsidRPr="001819F4">
        <w:rPr>
          <w:lang w:val="es-ES_tradnl"/>
        </w:rPr>
        <w:t xml:space="preserve"> Miembros de Sector del UIT-D desearían mejorar el lenguaje para hacer frente a las dificultades relacionadas con el acceso a las TIC y la asequibilidad, incluidas las cuestiones relativas a las aplicaciones pertinentes y la continuidad del servicio. </w:t>
      </w:r>
    </w:p>
    <w:p w14:paraId="6C088404" w14:textId="77777777" w:rsidR="00A04DF2" w:rsidRPr="001819F4" w:rsidRDefault="00A04DF2" w:rsidP="00A04DF2">
      <w:pPr>
        <w:pStyle w:val="enumlev1"/>
        <w:rPr>
          <w:rFonts w:cstheme="minorBidi"/>
          <w:lang w:val="es-ES_tradnl"/>
        </w:rPr>
      </w:pPr>
      <w:r w:rsidRPr="006E2D26">
        <w:rPr>
          <w:b/>
          <w:bCs/>
          <w:lang w:val="es-ES_tradnl"/>
        </w:rPr>
        <w:lastRenderedPageBreak/>
        <w:t>–</w:t>
      </w:r>
      <w:r w:rsidRPr="006E2D26">
        <w:rPr>
          <w:b/>
          <w:bCs/>
          <w:lang w:val="es-ES_tradnl"/>
        </w:rPr>
        <w:tab/>
      </w:r>
      <w:r w:rsidRPr="001819F4">
        <w:rPr>
          <w:b/>
          <w:bCs/>
          <w:lang w:val="es-ES_tradnl"/>
        </w:rPr>
        <w:t>Lenguaje de compromiso</w:t>
      </w:r>
      <w:r w:rsidRPr="001819F4">
        <w:rPr>
          <w:lang w:val="es-ES_tradnl"/>
        </w:rPr>
        <w:t xml:space="preserve">: Algunos Estados Miembros propusieron el uso de un lenguaje más suave y no vinculante en la segunda parte del proyecto de Declaración (por ejemplo, sustituyendo "nos comprometemos"). con todo, el Grupo no llegó a un consenso sobre esta propuesta. </w:t>
      </w:r>
    </w:p>
    <w:p w14:paraId="1DBD8AA9" w14:textId="77777777" w:rsidR="00A04DF2" w:rsidRPr="001819F4" w:rsidRDefault="00A04DF2" w:rsidP="00A04DF2">
      <w:pPr>
        <w:rPr>
          <w:rFonts w:cstheme="minorBidi"/>
          <w:sz w:val="18"/>
          <w:szCs w:val="18"/>
          <w:lang w:val="es-ES_tradnl"/>
        </w:rPr>
      </w:pPr>
      <w:r w:rsidRPr="001819F4">
        <w:rPr>
          <w:lang w:val="es-ES_tradnl"/>
        </w:rPr>
        <w:t xml:space="preserve">Además, durante la reunión se expresaron las siguientes posiciones: </w:t>
      </w:r>
    </w:p>
    <w:p w14:paraId="0B7D3CF4" w14:textId="77777777" w:rsidR="00A04DF2" w:rsidRPr="001819F4" w:rsidRDefault="00A04DF2" w:rsidP="00A04DF2">
      <w:pPr>
        <w:pStyle w:val="enumlev1"/>
        <w:rPr>
          <w:rFonts w:cstheme="minorBidi"/>
          <w:lang w:val="es-ES_tradnl"/>
        </w:rPr>
      </w:pPr>
      <w:r w:rsidRPr="006E2D26">
        <w:rPr>
          <w:lang w:val="es-ES_tradnl"/>
        </w:rPr>
        <w:t>–</w:t>
      </w:r>
      <w:r w:rsidRPr="006E2D26">
        <w:rPr>
          <w:lang w:val="es-ES_tradnl"/>
        </w:rPr>
        <w:tab/>
      </w:r>
      <w:r w:rsidRPr="001819F4">
        <w:rPr>
          <w:b/>
          <w:bCs/>
          <w:lang w:val="es-ES_tradnl"/>
        </w:rPr>
        <w:t>Los Estados Unidos apoyaron</w:t>
      </w:r>
      <w:r w:rsidRPr="001819F4">
        <w:rPr>
          <w:lang w:val="es-ES_tradnl"/>
        </w:rPr>
        <w:t xml:space="preserve"> una declaración sucinta y de alto nivel de la CMDT-25 centrada en el mandato del UIT-D de conectar a los que no lo estaban y promover la transformación digital. Con referencia al proyecto de Declaración, los Estados Unidos propusieron suprimir el texto que afirmaba la Agenda 2030 para el Desarrollo Sostenible y los Objetivos de Desarrollo Sostenible. Los Estados Unidos también se opusieron a las referencias al cambio climático en todo el documento y a la adición de cualquier texto que promoviera políticas de diversidad, equidad e inclusión. </w:t>
      </w:r>
    </w:p>
    <w:p w14:paraId="5E982206" w14:textId="77777777" w:rsidR="00A04DF2" w:rsidRPr="001819F4" w:rsidRDefault="00A04DF2" w:rsidP="00A04DF2">
      <w:pPr>
        <w:pStyle w:val="enumlev1"/>
        <w:rPr>
          <w:rFonts w:cstheme="minorBidi"/>
          <w:lang w:val="es-ES_tradnl"/>
        </w:rPr>
      </w:pPr>
      <w:r w:rsidRPr="003774B4">
        <w:rPr>
          <w:lang w:val="es-ES_tradnl"/>
        </w:rPr>
        <w:t>–</w:t>
      </w:r>
      <w:r w:rsidRPr="003774B4">
        <w:rPr>
          <w:lang w:val="es-ES_tradnl"/>
        </w:rPr>
        <w:tab/>
      </w:r>
      <w:r w:rsidRPr="001819F4">
        <w:rPr>
          <w:b/>
          <w:bCs/>
          <w:lang w:val="es-ES_tradnl"/>
        </w:rPr>
        <w:t xml:space="preserve">Varios Estados Miembros </w:t>
      </w:r>
      <w:r w:rsidRPr="001819F4">
        <w:rPr>
          <w:lang w:val="es-ES_tradnl"/>
        </w:rPr>
        <w:t xml:space="preserve">se opusieron a las modificaciones del texto del proyecto de Declaración de Bakú propuestas por los Estados Unidos, recordando las Resoluciones de la PP y la CMDT y afirmando su apoyo a la labor del UIT-D en esos ámbitos. </w:t>
      </w:r>
    </w:p>
    <w:p w14:paraId="0D5E21AA" w14:textId="77777777" w:rsidR="00A04DF2" w:rsidRPr="001819F4" w:rsidRDefault="00A04DF2" w:rsidP="00A04DF2">
      <w:pPr>
        <w:pStyle w:val="enumlev1"/>
        <w:rPr>
          <w:rFonts w:cstheme="minorBidi"/>
          <w:lang w:val="es-ES_tradnl"/>
        </w:rPr>
      </w:pPr>
      <w:r w:rsidRPr="003774B4">
        <w:rPr>
          <w:lang w:val="es-ES_tradnl"/>
        </w:rPr>
        <w:t>–</w:t>
      </w:r>
      <w:r w:rsidRPr="003774B4">
        <w:rPr>
          <w:lang w:val="es-ES_tradnl"/>
        </w:rPr>
        <w:tab/>
      </w:r>
      <w:r w:rsidRPr="001819F4">
        <w:rPr>
          <w:b/>
          <w:bCs/>
          <w:lang w:val="es-ES_tradnl"/>
        </w:rPr>
        <w:t>El Brasil y la Liga de los Estados Árabes (LEA)</w:t>
      </w:r>
      <w:r w:rsidRPr="001819F4">
        <w:rPr>
          <w:lang w:val="es-ES_tradnl"/>
        </w:rPr>
        <w:t xml:space="preserve"> solicitaron que se incluyera la frase "transferencia de tecnología" en el párrafo 3 del texto del Anexo 1, antes de "iniciativas de transferencia de conocimientos", ya que constituía un instrumento relevante para fomentar el desarrollo y estaba consagrado en muchas resoluciones de la UIT. Aunque esto no se reflejó en el texto en esa etapa, el Brasil y la LEA propusieron encarecidamente incorporar ese importante concepto en la Declaración de Bakú. </w:t>
      </w:r>
    </w:p>
    <w:p w14:paraId="6F3E364B" w14:textId="77777777" w:rsidR="00A04DF2" w:rsidRPr="001819F4" w:rsidRDefault="00A04DF2" w:rsidP="00A04DF2">
      <w:pPr>
        <w:pStyle w:val="enumlev1"/>
        <w:rPr>
          <w:rFonts w:cstheme="minorBidi"/>
          <w:lang w:val="es-ES_tradnl"/>
        </w:rPr>
      </w:pPr>
      <w:r w:rsidRPr="003774B4">
        <w:rPr>
          <w:lang w:val="es-ES_tradnl"/>
        </w:rPr>
        <w:t>–</w:t>
      </w:r>
      <w:r w:rsidRPr="003774B4">
        <w:rPr>
          <w:lang w:val="es-ES_tradnl"/>
        </w:rPr>
        <w:tab/>
      </w:r>
      <w:r w:rsidRPr="001819F4">
        <w:rPr>
          <w:b/>
          <w:bCs/>
          <w:lang w:val="es-ES_tradnl"/>
        </w:rPr>
        <w:t xml:space="preserve">La Unión Africana de Telecomunicaciones (UAT) </w:t>
      </w:r>
      <w:r w:rsidRPr="001819F4">
        <w:rPr>
          <w:lang w:val="es-ES_tradnl"/>
        </w:rPr>
        <w:t xml:space="preserve">subrayó verbalmente la importancia de que la desaceleración incluyese un compromiso para garantizar la asequibilidad de los dispositivos y servicios de telecomunicaciones/TIC. </w:t>
      </w:r>
    </w:p>
    <w:p w14:paraId="40B5DCA6" w14:textId="77777777" w:rsidR="00A04DF2" w:rsidRPr="001819F4" w:rsidRDefault="00A04DF2" w:rsidP="00A04DF2">
      <w:pPr>
        <w:pStyle w:val="enumlev1"/>
        <w:rPr>
          <w:rFonts w:cstheme="minorBidi"/>
          <w:lang w:val="es-ES_tradnl"/>
        </w:rPr>
      </w:pPr>
      <w:r w:rsidRPr="003774B4">
        <w:rPr>
          <w:lang w:val="es-ES_tradnl"/>
        </w:rPr>
        <w:t>–</w:t>
      </w:r>
      <w:r w:rsidRPr="003774B4">
        <w:rPr>
          <w:lang w:val="es-ES_tradnl"/>
        </w:rPr>
        <w:tab/>
      </w:r>
      <w:r w:rsidRPr="001819F4">
        <w:rPr>
          <w:b/>
          <w:bCs/>
          <w:lang w:val="es-ES_tradnl"/>
        </w:rPr>
        <w:t>La LEA y la Comunidad Regional de Comunicaciones</w:t>
      </w:r>
      <w:r w:rsidRPr="001819F4">
        <w:rPr>
          <w:lang w:val="es-ES_tradnl"/>
        </w:rPr>
        <w:t xml:space="preserve"> destacaron el papel fundamental de las tecnologías nuevas y emergentes y de la IA, en particular en el contexto del desarrollo digital, y expresaron su preferencia por un lenguaje específico que lo reflejara. </w:t>
      </w:r>
    </w:p>
    <w:p w14:paraId="1BDE9A75" w14:textId="77777777" w:rsidR="00A04DF2" w:rsidRPr="001819F4" w:rsidRDefault="00A04DF2" w:rsidP="00A04DF2">
      <w:pPr>
        <w:rPr>
          <w:rFonts w:cstheme="minorBidi"/>
          <w:sz w:val="18"/>
          <w:szCs w:val="18"/>
          <w:lang w:val="es-ES_tradnl"/>
        </w:rPr>
      </w:pPr>
      <w:r w:rsidRPr="001819F4">
        <w:rPr>
          <w:lang w:val="es-ES_tradnl"/>
        </w:rPr>
        <w:t xml:space="preserve">Al preparar las propuestas para la CMDT-25, se invitó a los miembros del UIT-D a tener en cuenta las </w:t>
      </w:r>
      <w:r w:rsidRPr="001819F4">
        <w:rPr>
          <w:b/>
          <w:bCs/>
          <w:lang w:val="es-ES_tradnl"/>
        </w:rPr>
        <w:t>opiniones generales de los Estados Miembros</w:t>
      </w:r>
      <w:r w:rsidRPr="001819F4">
        <w:rPr>
          <w:lang w:val="es-ES_tradnl"/>
        </w:rPr>
        <w:t xml:space="preserve"> debatidas durante el GADT-25 y expresadas en las siguientes contribuciones: </w:t>
      </w:r>
    </w:p>
    <w:p w14:paraId="45D83F4A" w14:textId="77777777" w:rsidR="00A04DF2" w:rsidRPr="001819F4" w:rsidRDefault="00A04DF2" w:rsidP="00A04DF2">
      <w:pPr>
        <w:pStyle w:val="enumlev1"/>
        <w:rPr>
          <w:rFonts w:cstheme="minorBidi"/>
          <w:lang w:val="es-ES_tradnl"/>
        </w:rPr>
      </w:pPr>
      <w:r w:rsidRPr="00D26BED">
        <w:rPr>
          <w:lang w:val="es-ES"/>
        </w:rPr>
        <w:t>–</w:t>
      </w:r>
      <w:r w:rsidRPr="00D26BED">
        <w:rPr>
          <w:lang w:val="es-ES"/>
        </w:rPr>
        <w:tab/>
      </w:r>
      <w:hyperlink r:id="rId274" w:tgtFrame="_blank" w:history="1">
        <w:r w:rsidRPr="001819F4">
          <w:rPr>
            <w:lang w:val="es-ES_tradnl"/>
          </w:rPr>
          <w:t xml:space="preserve">el </w:t>
        </w:r>
        <w:r w:rsidRPr="001819F4">
          <w:rPr>
            <w:rFonts w:cstheme="minorBidi"/>
            <w:color w:val="0000FF"/>
            <w:u w:val="single"/>
            <w:lang w:val="es-ES_tradnl"/>
          </w:rPr>
          <w:t>Documento TDAG-25/56</w:t>
        </w:r>
        <w:r w:rsidRPr="00D26BED">
          <w:rPr>
            <w:lang w:val="es-ES"/>
          </w:rPr>
          <w:t xml:space="preserve"> – </w:t>
        </w:r>
        <w:r w:rsidRPr="001819F4">
          <w:rPr>
            <w:lang w:val="es-ES_tradnl"/>
          </w:rPr>
          <w:t>"Opiniones iniciales de Estados Unidos antes de la CMDT</w:t>
        </w:r>
        <w:r>
          <w:rPr>
            <w:lang w:val="es-ES_tradnl"/>
          </w:rPr>
          <w:noBreakHyphen/>
        </w:r>
        <w:r w:rsidRPr="001819F4">
          <w:rPr>
            <w:lang w:val="es-ES_tradnl"/>
          </w:rPr>
          <w:t xml:space="preserve">25" de los Estados Unidos, y </w:t>
        </w:r>
      </w:hyperlink>
    </w:p>
    <w:p w14:paraId="1400C9FC" w14:textId="77777777" w:rsidR="00A04DF2" w:rsidRPr="001819F4" w:rsidRDefault="00A04DF2" w:rsidP="00A04DF2">
      <w:pPr>
        <w:pStyle w:val="enumlev1"/>
        <w:rPr>
          <w:rFonts w:cstheme="minorBidi"/>
          <w:lang w:val="es-ES_tradnl"/>
        </w:rPr>
      </w:pPr>
      <w:r w:rsidRPr="00D26BED">
        <w:rPr>
          <w:lang w:val="es-ES_tradnl"/>
        </w:rPr>
        <w:t>–</w:t>
      </w:r>
      <w:r>
        <w:rPr>
          <w:lang w:val="es-ES_tradnl"/>
        </w:rPr>
        <w:tab/>
      </w:r>
      <w:r w:rsidRPr="001819F4">
        <w:rPr>
          <w:lang w:val="es-ES_tradnl"/>
        </w:rPr>
        <w:t xml:space="preserve">el </w:t>
      </w:r>
      <w:hyperlink r:id="rId275" w:tgtFrame="_blank" w:history="1">
        <w:r w:rsidRPr="001819F4">
          <w:rPr>
            <w:rFonts w:cstheme="minorBidi"/>
            <w:color w:val="0000FF"/>
            <w:u w:val="single"/>
            <w:lang w:val="es-ES_tradnl"/>
          </w:rPr>
          <w:t>Documento TDAG-25/48</w:t>
        </w:r>
        <w:r w:rsidRPr="001819F4">
          <w:rPr>
            <w:lang w:val="es-ES_tradnl"/>
          </w:rPr>
          <w:t xml:space="preserve"> </w:t>
        </w:r>
        <w:r w:rsidRPr="00D26BED">
          <w:rPr>
            <w:lang w:val="es-ES_tradnl"/>
          </w:rPr>
          <w:t>–</w:t>
        </w:r>
        <w:r w:rsidRPr="001819F4">
          <w:rPr>
            <w:lang w:val="es-ES_tradnl"/>
          </w:rPr>
          <w:t xml:space="preserve"> "Reflections and Recommendations on the Active Participation of the ITU Telecommunication Development Sector (ITU-D) in Achieving the Digital Future" de China (Reflexiones y recomendaciones sobre la participación activa del Sector de Desarrollo de las Telecomunicaciones de la UIT (UIT-D) en el logro de un futuro digital)</w:t>
        </w:r>
      </w:hyperlink>
      <w:r>
        <w:rPr>
          <w:lang w:val="es-ES_tradnl"/>
        </w:rPr>
        <w:t>.</w:t>
      </w:r>
    </w:p>
    <w:p w14:paraId="7D5182B0" w14:textId="77777777" w:rsidR="00A04DF2" w:rsidRPr="001819F4" w:rsidRDefault="00A04DF2" w:rsidP="00A04DF2">
      <w:pPr>
        <w:pStyle w:val="Heading1"/>
        <w:rPr>
          <w:rFonts w:cstheme="minorBidi"/>
          <w:lang w:val="es-ES_tradnl"/>
        </w:rPr>
      </w:pPr>
      <w:r>
        <w:rPr>
          <w:lang w:val="es-ES_tradnl"/>
        </w:rPr>
        <w:t>3</w:t>
      </w:r>
      <w:r>
        <w:rPr>
          <w:lang w:val="es-ES_tradnl"/>
        </w:rPr>
        <w:tab/>
      </w:r>
      <w:r w:rsidRPr="001819F4">
        <w:rPr>
          <w:lang w:val="es-ES_tradnl"/>
        </w:rPr>
        <w:t>Consultas</w:t>
      </w:r>
    </w:p>
    <w:p w14:paraId="3B0F9858" w14:textId="77777777" w:rsidR="00A04DF2" w:rsidRPr="001819F4" w:rsidRDefault="00A04DF2" w:rsidP="00A04DF2">
      <w:pPr>
        <w:rPr>
          <w:rFonts w:cstheme="minorBidi"/>
          <w:sz w:val="18"/>
          <w:szCs w:val="18"/>
          <w:lang w:val="es-ES_tradnl"/>
        </w:rPr>
      </w:pPr>
      <w:r w:rsidRPr="001819F4">
        <w:rPr>
          <w:lang w:val="es-ES_tradnl"/>
        </w:rPr>
        <w:t xml:space="preserve">En cada reunión de Grupo se invitó a las Organizaciones Regionales de Telecomunicaciones a presentar informes sobre sus preparativos para la CMDT-25. </w:t>
      </w:r>
    </w:p>
    <w:p w14:paraId="60542BED" w14:textId="77777777" w:rsidR="00A04DF2" w:rsidRPr="001819F4" w:rsidRDefault="00A04DF2" w:rsidP="00A04DF2">
      <w:pPr>
        <w:rPr>
          <w:rFonts w:cstheme="minorBidi"/>
          <w:sz w:val="18"/>
          <w:szCs w:val="18"/>
          <w:lang w:val="es-ES_tradnl"/>
        </w:rPr>
      </w:pPr>
      <w:r w:rsidRPr="001819F4">
        <w:rPr>
          <w:lang w:val="es-ES_tradnl"/>
        </w:rPr>
        <w:t xml:space="preserve">El Presidente del GT-GADT-DEC presentó informes sobre los progresos realizados por el Grupo en las Reuniones Preparatorias Regionales (RPR) de la CMDT-25. </w:t>
      </w:r>
    </w:p>
    <w:p w14:paraId="182619A3" w14:textId="77777777" w:rsidR="00A04DF2" w:rsidRPr="001819F4" w:rsidRDefault="00A04DF2" w:rsidP="00A04DF2">
      <w:pPr>
        <w:pStyle w:val="Heading1"/>
        <w:rPr>
          <w:rFonts w:cstheme="minorBidi"/>
          <w:lang w:val="es-ES_tradnl"/>
        </w:rPr>
      </w:pPr>
      <w:r>
        <w:rPr>
          <w:lang w:val="es-ES_tradnl"/>
        </w:rPr>
        <w:lastRenderedPageBreak/>
        <w:t>4</w:t>
      </w:r>
      <w:r>
        <w:rPr>
          <w:lang w:val="es-ES_tradnl"/>
        </w:rPr>
        <w:tab/>
      </w:r>
      <w:r w:rsidRPr="001819F4">
        <w:rPr>
          <w:lang w:val="es-ES_tradnl"/>
        </w:rPr>
        <w:t xml:space="preserve">Realizaciones y próximas etapas </w:t>
      </w:r>
    </w:p>
    <w:p w14:paraId="08B24355" w14:textId="77777777" w:rsidR="00A04DF2" w:rsidRPr="001819F4" w:rsidRDefault="00A04DF2" w:rsidP="00A04DF2">
      <w:pPr>
        <w:rPr>
          <w:rFonts w:cstheme="minorBidi"/>
          <w:sz w:val="18"/>
          <w:szCs w:val="18"/>
          <w:lang w:val="es-ES_tradnl"/>
        </w:rPr>
      </w:pPr>
      <w:r w:rsidRPr="001819F4">
        <w:rPr>
          <w:lang w:val="es-ES_tradnl"/>
        </w:rPr>
        <w:t xml:space="preserve">En su última reunión, el GT-GADT-DEC convino en mantener el título de la Declaración, que rezaba así "Conectividad universal, efectiva y asequible para un futuro digital inclusivo y sostenible". Siguiendo la práctica habitual, este título también serviría como tema de la CMDT-25. </w:t>
      </w:r>
    </w:p>
    <w:p w14:paraId="39CDC170" w14:textId="77777777" w:rsidR="00A04DF2" w:rsidRPr="001819F4" w:rsidRDefault="00A04DF2" w:rsidP="00A04DF2">
      <w:pPr>
        <w:rPr>
          <w:rFonts w:cstheme="minorBidi"/>
          <w:sz w:val="18"/>
          <w:szCs w:val="18"/>
          <w:lang w:val="es-ES_tradnl"/>
        </w:rPr>
      </w:pPr>
      <w:r w:rsidRPr="001819F4">
        <w:rPr>
          <w:lang w:val="es-ES_tradnl"/>
        </w:rPr>
        <w:t xml:space="preserve">El proyecto final de la Declaración de Baku acordado por el GT-GADT-DEC en su última reunión se sometería a la consideración del GADT-25 (véase Anexo 1). El proyecto de texto era una contribución que las ORT y los Estados Miembros podrían considerar en su preparación para la Conferencia Mundial de Desarrollo de las Telecomunicaciones de 2025 (CMDT-25). El texto de la Declaración de Bakú se armonizaría, según procediera, con el Plan de Acción de Bakú una vez que se hubieran ultimado las prioridades del UIT-D. </w:t>
      </w:r>
    </w:p>
    <w:p w14:paraId="2582A9F3" w14:textId="77777777" w:rsidR="00A04DF2" w:rsidRPr="001819F4" w:rsidRDefault="00A04DF2" w:rsidP="00A04DF2">
      <w:pPr>
        <w:rPr>
          <w:rFonts w:cstheme="minorBidi"/>
          <w:sz w:val="18"/>
          <w:szCs w:val="18"/>
          <w:lang w:val="es-ES_tradnl"/>
        </w:rPr>
      </w:pPr>
      <w:r w:rsidRPr="001819F4">
        <w:rPr>
          <w:lang w:val="es-ES_tradnl"/>
        </w:rPr>
        <w:t>Siguiendo la práctica habitual y a petición del Grupo, el Presidente recomendó presentar ese anteproyecto como aportación a la CMDT-25.</w:t>
      </w:r>
    </w:p>
    <w:p w14:paraId="20BE94F7" w14:textId="77777777" w:rsidR="00A04DF2" w:rsidRPr="001819F4" w:rsidRDefault="00A04DF2" w:rsidP="00A04DF2">
      <w:pPr>
        <w:tabs>
          <w:tab w:val="clear" w:pos="794"/>
          <w:tab w:val="clear" w:pos="1191"/>
          <w:tab w:val="clear" w:pos="1588"/>
          <w:tab w:val="clear" w:pos="1985"/>
        </w:tabs>
        <w:overflowPunct/>
        <w:autoSpaceDE/>
        <w:autoSpaceDN/>
        <w:adjustRightInd/>
        <w:spacing w:before="0"/>
        <w:textAlignment w:val="auto"/>
        <w:rPr>
          <w:rFonts w:ascii="Calibri" w:hAnsi="Calibri" w:cs="Calibri"/>
          <w:lang w:val="es-ES_tradnl"/>
        </w:rPr>
      </w:pPr>
      <w:r w:rsidRPr="001819F4">
        <w:rPr>
          <w:rFonts w:ascii="Calibri" w:hAnsi="Calibri" w:cs="Calibri"/>
          <w:lang w:val="es-ES_tradnl"/>
        </w:rPr>
        <w:br w:type="page"/>
      </w:r>
    </w:p>
    <w:p w14:paraId="4A65785C" w14:textId="77777777" w:rsidR="00A04DF2" w:rsidRPr="001819F4" w:rsidRDefault="00A04DF2" w:rsidP="00A04DF2">
      <w:pPr>
        <w:pStyle w:val="AnnexNo"/>
        <w:rPr>
          <w:rFonts w:ascii="Calibri" w:hAnsi="Calibri" w:cs="Calibri"/>
          <w:lang w:val="es-ES_tradnl"/>
        </w:rPr>
      </w:pPr>
      <w:r w:rsidRPr="001819F4">
        <w:rPr>
          <w:lang w:val="es-ES_tradnl"/>
        </w:rPr>
        <w:lastRenderedPageBreak/>
        <w:t>ANEXO 1</w:t>
      </w:r>
    </w:p>
    <w:p w14:paraId="31C736D7" w14:textId="77777777" w:rsidR="00A04DF2" w:rsidRPr="001819F4" w:rsidRDefault="00A04DF2" w:rsidP="00A04DF2">
      <w:pPr>
        <w:pStyle w:val="Annextitle"/>
        <w:rPr>
          <w:rFonts w:ascii="Segoe UI" w:hAnsi="Segoe UI" w:cs="Segoe UI"/>
          <w:sz w:val="18"/>
          <w:szCs w:val="18"/>
          <w:lang w:val="es-ES_tradnl"/>
        </w:rPr>
      </w:pPr>
      <w:r w:rsidRPr="001819F4">
        <w:rPr>
          <w:lang w:val="es-ES_tradnl"/>
        </w:rPr>
        <w:t>PROYECTO DE TEXTO PROPUESTO POR EL PRESIDENTE DEL GT</w:t>
      </w:r>
      <w:r>
        <w:rPr>
          <w:lang w:val="es-ES_tradnl"/>
        </w:rPr>
        <w:noBreakHyphen/>
      </w:r>
      <w:r w:rsidRPr="001819F4">
        <w:rPr>
          <w:lang w:val="es-ES_tradnl"/>
        </w:rPr>
        <w:t>GADT</w:t>
      </w:r>
      <w:r>
        <w:rPr>
          <w:lang w:val="es-ES_tradnl"/>
        </w:rPr>
        <w:noBreakHyphen/>
      </w:r>
      <w:r w:rsidRPr="001819F4">
        <w:rPr>
          <w:lang w:val="es-ES_tradnl"/>
        </w:rPr>
        <w:t>DEC</w:t>
      </w:r>
      <w:r>
        <w:rPr>
          <w:lang w:val="es-ES_tradnl"/>
        </w:rPr>
        <w:br/>
      </w:r>
      <w:r w:rsidRPr="001819F4">
        <w:rPr>
          <w:lang w:val="es-ES_tradnl"/>
        </w:rPr>
        <w:t>PARA LA DECLARACIÓN DE BAKÚ DE 2025</w:t>
      </w:r>
    </w:p>
    <w:p w14:paraId="428FB2A4" w14:textId="77777777" w:rsidR="00A04DF2" w:rsidRPr="001819F4" w:rsidRDefault="00A04DF2" w:rsidP="00A04DF2">
      <w:pPr>
        <w:tabs>
          <w:tab w:val="clear" w:pos="794"/>
          <w:tab w:val="clear" w:pos="1191"/>
          <w:tab w:val="clear" w:pos="1588"/>
          <w:tab w:val="clear" w:pos="1985"/>
        </w:tabs>
        <w:overflowPunct/>
        <w:autoSpaceDE/>
        <w:autoSpaceDN/>
        <w:adjustRightInd/>
        <w:spacing w:after="120"/>
        <w:jc w:val="center"/>
        <w:rPr>
          <w:rFonts w:ascii="Segoe UI" w:hAnsi="Segoe UI" w:cs="Segoe UI"/>
          <w:sz w:val="18"/>
          <w:szCs w:val="18"/>
          <w:lang w:val="es-ES_tradnl"/>
        </w:rPr>
      </w:pPr>
      <w:r w:rsidRPr="001819F4">
        <w:rPr>
          <w:b/>
          <w:bCs/>
          <w:i/>
          <w:iCs/>
          <w:lang w:val="es-ES_tradnl"/>
        </w:rPr>
        <w:t>Conectividad universal, efectiva y asequible para un futuro digital inclusivo y sostenible</w:t>
      </w:r>
    </w:p>
    <w:p w14:paraId="1DC523EF" w14:textId="77777777" w:rsidR="00A04DF2" w:rsidRPr="001819F4" w:rsidRDefault="00A04DF2" w:rsidP="00A04DF2">
      <w:pPr>
        <w:rPr>
          <w:rFonts w:ascii="Segoe UI" w:hAnsi="Segoe UI" w:cs="Segoe UI"/>
          <w:sz w:val="18"/>
          <w:szCs w:val="18"/>
          <w:lang w:val="es-ES_tradnl"/>
        </w:rPr>
      </w:pPr>
      <w:r w:rsidRPr="001819F4">
        <w:rPr>
          <w:lang w:val="es-ES_tradnl"/>
        </w:rPr>
        <w:t>Nosotros, los representantes de los Estados Miembros de la UIT, refrendamos la presente Declaración en la novena Conferencia Mundial de Desarrollo de las Telecomunicaciones (CMDT</w:t>
      </w:r>
      <w:r>
        <w:rPr>
          <w:lang w:val="es-ES_tradnl"/>
        </w:rPr>
        <w:noBreakHyphen/>
      </w:r>
      <w:r w:rsidRPr="001819F4">
        <w:rPr>
          <w:lang w:val="es-ES_tradnl"/>
        </w:rPr>
        <w:t xml:space="preserve">25), que tuvo lugar en Bakú (República de Azerbaiyán), del 17 al 28 de noviembre de 2025 bajo el lema "Conectividad universal, efectiva y asequible para un futuro digital inclusivo y sostenible". </w:t>
      </w:r>
    </w:p>
    <w:p w14:paraId="2F003FF2" w14:textId="77777777" w:rsidR="00A04DF2" w:rsidRPr="001819F4" w:rsidRDefault="00A04DF2" w:rsidP="00A04DF2">
      <w:pPr>
        <w:rPr>
          <w:rFonts w:ascii="Segoe UI" w:hAnsi="Segoe UI" w:cs="Segoe UI"/>
          <w:sz w:val="18"/>
          <w:szCs w:val="18"/>
          <w:lang w:val="es-ES_tradnl"/>
        </w:rPr>
      </w:pPr>
      <w:r w:rsidRPr="001819F4">
        <w:rPr>
          <w:lang w:val="es-ES_tradnl"/>
        </w:rPr>
        <w:t>Reafirmamos nuestro compromiso inquebrantable con la comunidad mundial del desarrollo y con el avance de nuestro objetivo común de fomentar la transformación digital sostenible y equitativa y el crecimiento inclusivo a escala mundial, sobre la base de los resultados de la CMDT</w:t>
      </w:r>
      <w:r>
        <w:rPr>
          <w:lang w:val="es-ES_tradnl"/>
        </w:rPr>
        <w:noBreakHyphen/>
      </w:r>
      <w:r w:rsidRPr="001819F4">
        <w:rPr>
          <w:lang w:val="es-ES_tradnl"/>
        </w:rPr>
        <w:t xml:space="preserve">25 y de los recientes procesos y conferencias de las Naciones Unidas. </w:t>
      </w:r>
    </w:p>
    <w:p w14:paraId="37A202A1" w14:textId="77777777" w:rsidR="00A04DF2" w:rsidRPr="001819F4" w:rsidRDefault="00A04DF2" w:rsidP="00A04DF2">
      <w:pPr>
        <w:rPr>
          <w:rFonts w:ascii="Segoe UI" w:hAnsi="Segoe UI" w:cs="Segoe UI"/>
          <w:sz w:val="18"/>
          <w:szCs w:val="18"/>
          <w:lang w:val="es-ES_tradnl"/>
        </w:rPr>
      </w:pPr>
      <w:r w:rsidRPr="001819F4">
        <w:rPr>
          <w:lang w:val="es-ES_tradnl"/>
        </w:rPr>
        <w:t xml:space="preserve">Reconocemos los enormes progresos realizados en el desarrollo digital y de las TIC en todas las regiones; sin embargo, los retos y las disparidades que persisten siguen dificultando la conectividad universal, efectiva y asequible, tanto dentro de los países como entre ellos, sobre todo en los países en desarrollo, los países menos adelantados (PMA), los países en desarrollo sin litoral (PDSL) y los pequeños Estados insulares en desarrollo (PEID). Por consiguiente, seguimos estando decididos a abordarlos mediante una mayor cooperación internacional y un compromiso constante con la labor del Sector de Desarrollo de las Telecomunicaciones de la UIT (UIT-D). </w:t>
      </w:r>
    </w:p>
    <w:p w14:paraId="5D4B9A8D" w14:textId="77777777" w:rsidR="00A04DF2" w:rsidRPr="001819F4" w:rsidRDefault="00A04DF2" w:rsidP="00A04DF2">
      <w:pPr>
        <w:rPr>
          <w:rFonts w:ascii="Segoe UI" w:hAnsi="Segoe UI" w:cs="Segoe UI"/>
          <w:sz w:val="18"/>
          <w:szCs w:val="18"/>
          <w:lang w:val="es-ES_tradnl"/>
        </w:rPr>
      </w:pPr>
      <w:r w:rsidRPr="001819F4">
        <w:rPr>
          <w:lang w:val="es-ES_tradnl"/>
        </w:rPr>
        <w:t xml:space="preserve">Conscientes de los retos y oportunidades de la transformación digital, declaramos lo siguiente: </w:t>
      </w:r>
    </w:p>
    <w:p w14:paraId="3874F8AD" w14:textId="77777777" w:rsidR="00A04DF2" w:rsidRPr="001819F4" w:rsidRDefault="00A04DF2" w:rsidP="00A04DF2">
      <w:pPr>
        <w:pStyle w:val="enumlev1"/>
        <w:rPr>
          <w:rFonts w:ascii="Calibri" w:hAnsi="Calibri" w:cs="Calibri"/>
          <w:lang w:val="es-ES_tradnl"/>
        </w:rPr>
      </w:pPr>
      <w:r w:rsidRPr="003774B4">
        <w:rPr>
          <w:lang w:val="es-ES_tradnl"/>
        </w:rPr>
        <w:t>i)</w:t>
      </w:r>
      <w:r w:rsidRPr="003774B4">
        <w:rPr>
          <w:lang w:val="es-ES_tradnl"/>
        </w:rPr>
        <w:tab/>
      </w:r>
      <w:r w:rsidRPr="00D9585B">
        <w:rPr>
          <w:b/>
          <w:bCs/>
          <w:lang w:val="es-ES"/>
        </w:rPr>
        <w:t>Somos conscientes de que las telecomunicaciones/TIC y las tecnologías digitales nuevas e incipientes son los motores de la prosperidad socioeconómica y el desarrollo sostenible en todos los ecosistemas digitales nacionales, regionales y mundiales</w:t>
      </w:r>
      <w:r w:rsidRPr="001819F4">
        <w:rPr>
          <w:lang w:val="es-ES_tradnl"/>
        </w:rPr>
        <w:t xml:space="preserve">. La conectividad universal y efectiva es una prioridad fundamental para alcanzar todos los Objetivos de Desarrollo Sostenible (ODS) y los resultados de la Cumbre Mundial sobre la Sociedad de la Información (CMSI). Las redes, las plataformas, las herramientas, los datos y la innovación digital generan oportunidades para fortalecer la gobernanza, fomentar la iniciativa empresarial y mejorar las condiciones de vida. La inclusión digital de los jóvenes reviste especial importancia para brindarles acceso a oportunidades de aprendizaje y participación cívica, así como para prepararlos para su futura inserción laboral en la economía digital. </w:t>
      </w:r>
    </w:p>
    <w:p w14:paraId="7A74DC70" w14:textId="77777777" w:rsidR="00A04DF2" w:rsidRPr="001819F4" w:rsidRDefault="00A04DF2" w:rsidP="00A04DF2">
      <w:pPr>
        <w:pStyle w:val="enumlev1"/>
        <w:rPr>
          <w:rFonts w:ascii="Calibri" w:hAnsi="Calibri" w:cs="Calibri"/>
          <w:lang w:val="es-ES_tradnl"/>
        </w:rPr>
      </w:pPr>
      <w:proofErr w:type="spellStart"/>
      <w:r w:rsidRPr="003774B4">
        <w:rPr>
          <w:lang w:val="es-ES_tradnl"/>
        </w:rPr>
        <w:t>ii</w:t>
      </w:r>
      <w:proofErr w:type="spellEnd"/>
      <w:r w:rsidRPr="003774B4">
        <w:rPr>
          <w:lang w:val="es-ES_tradnl"/>
        </w:rPr>
        <w:t>)</w:t>
      </w:r>
      <w:r w:rsidRPr="003774B4">
        <w:rPr>
          <w:lang w:val="es-ES_tradnl"/>
        </w:rPr>
        <w:tab/>
      </w:r>
      <w:r w:rsidRPr="001819F4">
        <w:rPr>
          <w:b/>
          <w:bCs/>
          <w:lang w:val="es-ES_tradnl"/>
        </w:rPr>
        <w:t>Nos preocupa profundamente que un tercio de la población mundial</w:t>
      </w:r>
      <w:r w:rsidRPr="001819F4">
        <w:rPr>
          <w:lang w:val="es-ES_tradnl"/>
        </w:rPr>
        <w:t xml:space="preserve"> siga sin conexión y que los afectados se concentren de manera desproporcionada en los países en desarrollo, incluidos los PMA, los PDSL y los PEID, donde existe una necesidad apremiante de inversión en infraestructura de conectividad. En las zonas rurales persisten las brechas digitales, como el acceso limitado a las redes de banda ancha, lo que afecta a todos los estratos socioeconómicos, géneros, grupos etarios y colectivos vulnerables, incluidas las personas con discapacidad. Entre la población con cobertura de red de banda ancha se observa una "brecha de uso" enorme que viene definida por los obstáculos existentes, como la limitada asequibilidad y accesibilidad de servicios digitales, dispositivos habilitados para Internet, la carencia de competencias digitales y el contenido local pertinente y los desafíos asociados a una experiencia en línea fiable y segura. El avance de </w:t>
      </w:r>
      <w:r w:rsidRPr="001819F4">
        <w:rPr>
          <w:lang w:val="es-ES_tradnl"/>
        </w:rPr>
        <w:lastRenderedPageBreak/>
        <w:t xml:space="preserve">las tecnologías nuevas y emergentes, si no va acompañado de inversiones, creación de capacidades e iniciativas de intercambio de conocimientos, corre el riesgo de agravar aún más las brechas digitales. </w:t>
      </w:r>
    </w:p>
    <w:p w14:paraId="70399B7D" w14:textId="77777777" w:rsidR="00A04DF2" w:rsidRPr="001819F4" w:rsidRDefault="00A04DF2" w:rsidP="00A04DF2">
      <w:pPr>
        <w:pStyle w:val="enumlev1"/>
        <w:rPr>
          <w:rFonts w:ascii="Calibri" w:hAnsi="Calibri" w:cs="Calibri"/>
          <w:lang w:val="es-ES_tradnl"/>
        </w:rPr>
      </w:pPr>
      <w:proofErr w:type="spellStart"/>
      <w:r w:rsidRPr="003774B4">
        <w:rPr>
          <w:lang w:val="es-ES_tradnl"/>
        </w:rPr>
        <w:t>iii</w:t>
      </w:r>
      <w:proofErr w:type="spellEnd"/>
      <w:r w:rsidRPr="003774B4">
        <w:rPr>
          <w:lang w:val="es-ES_tradnl"/>
        </w:rPr>
        <w:t>)</w:t>
      </w:r>
      <w:r w:rsidRPr="003774B4">
        <w:rPr>
          <w:lang w:val="es-ES_tradnl"/>
        </w:rPr>
        <w:tab/>
      </w:r>
      <w:r w:rsidRPr="003774B4">
        <w:rPr>
          <w:b/>
          <w:bCs/>
          <w:lang w:val="es-ES_tradnl"/>
        </w:rPr>
        <w:t>Reconocemos que, en el contexto de los retos mundiales, los rápidos adelantos tecnológicos presentan oportunidades sin precedentes para fortalecer la resiliencia económica y ecológica</w:t>
      </w:r>
      <w:r w:rsidRPr="001819F4">
        <w:rPr>
          <w:lang w:val="es-ES_tradnl"/>
        </w:rPr>
        <w:t xml:space="preserve">. El cambio climático, los fenómenos naturales adversos, las recesiones económicas, las complejidades inherentes a la transición energética y las perturbaciones en las cadenas de suministro tienen consecuencias nefastas que afectan de forma desproporcionada a los países en desarrollo, en particular a los PMA, los PDSL y los PEID. En este contexto, las telecomunicaciones/TIC y el desarrollo de tecnologías nuevas e incipientes pueden ayudar a los países a crear resiliencia y hacer frente a los desafíos de manera dinámica e innovadora. </w:t>
      </w:r>
    </w:p>
    <w:p w14:paraId="6D0EEC57" w14:textId="77777777" w:rsidR="00A04DF2" w:rsidRPr="001819F4" w:rsidRDefault="00A04DF2" w:rsidP="00A04DF2">
      <w:pPr>
        <w:pStyle w:val="enumlev1"/>
        <w:rPr>
          <w:rFonts w:ascii="Calibri" w:hAnsi="Calibri" w:cs="Calibri"/>
          <w:lang w:val="es-ES_tradnl"/>
        </w:rPr>
      </w:pPr>
      <w:proofErr w:type="spellStart"/>
      <w:r>
        <w:rPr>
          <w:lang w:val="es-ES_tradnl"/>
        </w:rPr>
        <w:t>iv</w:t>
      </w:r>
      <w:proofErr w:type="spellEnd"/>
      <w:r>
        <w:rPr>
          <w:lang w:val="es-ES_tradnl"/>
        </w:rPr>
        <w:t>)</w:t>
      </w:r>
      <w:r>
        <w:rPr>
          <w:lang w:val="es-ES_tradnl"/>
        </w:rPr>
        <w:tab/>
      </w:r>
      <w:r w:rsidRPr="001819F4">
        <w:rPr>
          <w:lang w:val="es-ES_tradnl"/>
        </w:rPr>
        <w:t xml:space="preserve">Guiados por los principios de responsabilidad colectiva, solidaridad y equidad, </w:t>
      </w:r>
      <w:r w:rsidRPr="001819F4">
        <w:rPr>
          <w:b/>
          <w:bCs/>
          <w:lang w:val="es-ES_tradnl"/>
        </w:rPr>
        <w:t xml:space="preserve">instamos a la adopción de medidas catalizadoras </w:t>
      </w:r>
      <w:proofErr w:type="spellStart"/>
      <w:r w:rsidRPr="001819F4">
        <w:rPr>
          <w:b/>
          <w:bCs/>
          <w:lang w:val="es-ES_tradnl"/>
        </w:rPr>
        <w:t>multipartitas</w:t>
      </w:r>
      <w:proofErr w:type="spellEnd"/>
      <w:r w:rsidRPr="001819F4">
        <w:rPr>
          <w:b/>
          <w:bCs/>
          <w:lang w:val="es-ES_tradnl"/>
        </w:rPr>
        <w:t xml:space="preserve"> basadas en la colaboración </w:t>
      </w:r>
      <w:r w:rsidRPr="001819F4">
        <w:rPr>
          <w:lang w:val="es-ES_tradnl"/>
        </w:rPr>
        <w:t xml:space="preserve">entre los sectores público y privado, las instituciones académicas, la sociedad civil y demás partes interesadas pertinentes, tanto a nivel regional como mundial, con el fin de potenciar los efectos de las alianzas y de la ayuda al desarrollo, y alcanzar nuestros objetivos comunes. </w:t>
      </w:r>
    </w:p>
    <w:p w14:paraId="708DAF07" w14:textId="77777777" w:rsidR="00A04DF2" w:rsidRPr="001819F4" w:rsidRDefault="00A04DF2" w:rsidP="00A04DF2">
      <w:pPr>
        <w:pStyle w:val="enumlev1"/>
        <w:rPr>
          <w:rFonts w:ascii="Calibri" w:hAnsi="Calibri" w:cs="Calibri"/>
          <w:lang w:val="es-ES_tradnl"/>
        </w:rPr>
      </w:pPr>
      <w:r w:rsidRPr="003774B4">
        <w:rPr>
          <w:lang w:val="es-ES_tradnl"/>
        </w:rPr>
        <w:t>v)</w:t>
      </w:r>
      <w:r w:rsidRPr="003774B4">
        <w:rPr>
          <w:lang w:val="es-ES_tradnl"/>
        </w:rPr>
        <w:tab/>
      </w:r>
      <w:r w:rsidRPr="001819F4">
        <w:rPr>
          <w:b/>
          <w:bCs/>
          <w:lang w:val="es-ES_tradnl"/>
        </w:rPr>
        <w:t>Reafirmamos la importancia capital de no dejar a nadie atrás en la transformación digital</w:t>
      </w:r>
      <w:r w:rsidRPr="003774B4">
        <w:rPr>
          <w:lang w:val="es-ES_tradnl"/>
        </w:rPr>
        <w:t xml:space="preserve">. </w:t>
      </w:r>
      <w:r w:rsidRPr="001819F4">
        <w:rPr>
          <w:lang w:val="es-ES_tradnl"/>
        </w:rPr>
        <w:t xml:space="preserve">Por consiguiente, es esencial promover, con carácter urgente y de manera sistemática, la igualdad y garantizar la equidad de oportunidades para toda la población, así como fomentar la inclusión digital generalizada mediante políticas integrales, innovadoras y adaptativas e iniciativas específicas del ecosistema. </w:t>
      </w:r>
    </w:p>
    <w:p w14:paraId="06808F44" w14:textId="77777777" w:rsidR="00A04DF2" w:rsidRPr="001819F4" w:rsidRDefault="00A04DF2" w:rsidP="00A04DF2">
      <w:pPr>
        <w:rPr>
          <w:rFonts w:ascii="Segoe UI" w:hAnsi="Segoe UI" w:cs="Segoe UI"/>
          <w:sz w:val="18"/>
          <w:szCs w:val="18"/>
          <w:lang w:val="es-ES_tradnl"/>
        </w:rPr>
      </w:pPr>
      <w:r w:rsidRPr="001819F4">
        <w:rPr>
          <w:lang w:val="es-ES_tradnl"/>
        </w:rPr>
        <w:t>Con el fin de sentar las bases de una acción colectiva concertada durante el periodo 2026</w:t>
      </w:r>
      <w:r>
        <w:rPr>
          <w:lang w:val="es-ES_tradnl"/>
        </w:rPr>
        <w:noBreakHyphen/>
      </w:r>
      <w:r w:rsidRPr="001819F4">
        <w:rPr>
          <w:lang w:val="es-ES_tradnl"/>
        </w:rPr>
        <w:t xml:space="preserve">2029, afirmamos lo siguiente: </w:t>
      </w:r>
    </w:p>
    <w:p w14:paraId="0D04D097" w14:textId="77777777" w:rsidR="00A04DF2" w:rsidRPr="001819F4" w:rsidRDefault="00A04DF2" w:rsidP="00A04DF2">
      <w:pPr>
        <w:pStyle w:val="enumlev1"/>
        <w:rPr>
          <w:rFonts w:ascii="Calibri" w:hAnsi="Calibri" w:cs="Calibri"/>
          <w:lang w:val="es-ES_tradnl"/>
        </w:rPr>
      </w:pPr>
      <w:r w:rsidRPr="003774B4">
        <w:rPr>
          <w:lang w:val="es-ES_tradnl"/>
        </w:rPr>
        <w:t>1)</w:t>
      </w:r>
      <w:r w:rsidRPr="003774B4">
        <w:rPr>
          <w:lang w:val="es-ES_tradnl"/>
        </w:rPr>
        <w:tab/>
      </w:r>
      <w:r w:rsidRPr="003774B4">
        <w:rPr>
          <w:b/>
          <w:bCs/>
          <w:lang w:val="es-ES_tradnl"/>
        </w:rPr>
        <w:t>Respaldamos el desarrollo de una conectividad efectiva y universal, que comprenda infraestructuras, dispositivos, servicios y aplicaciones digitales y de telecomunicaciones/TIC accesibles, asequibles, de alta calidad, resilientes, interoperables, protegidas y seguras</w:t>
      </w:r>
      <w:r w:rsidRPr="001819F4">
        <w:rPr>
          <w:lang w:val="es-ES_tradnl"/>
        </w:rPr>
        <w:t>. La construcción de amplias infraestructuras energéticas y digitales —por ejemplo</w:t>
      </w:r>
      <w:r>
        <w:rPr>
          <w:lang w:val="es-ES_tradnl"/>
        </w:rPr>
        <w:t>,</w:t>
      </w:r>
      <w:r w:rsidRPr="001819F4">
        <w:rPr>
          <w:lang w:val="es-ES_tradnl"/>
        </w:rPr>
        <w:t xml:space="preserve"> redes troncales de alta velocidad y soluciones de conectividad del último kilómetro que utilicen diversas tecnologías— resulta fundamental para reducir las brechas de desarrollo e impulsa las redes de fibra óptica, los sistemas IMT y las comunicaciones de satélite y terrenales. La disponibilidad de infraestructuras sólidas promueve las economías de escala, las nuevas oportunidades y el desarrollo a largo plazo. Además, subrayamos la necesidad de modelos de inversión innovadores para apoyar el despliegue sostenible de las telecomunicaciones/TIC y la infraestructura digital. A la luz de los constantes problemas financieros en las zonas insuficientemente atendidas, alentamos el desarrollo de políticas inclusivas y enfoques regulatorios que permitan asociaciones público-públicas y público-privadas, la colaboración de todo el gobierno y el crecimiento digital a largo plazo. </w:t>
      </w:r>
    </w:p>
    <w:p w14:paraId="0CC2DCC4" w14:textId="77777777" w:rsidR="00A04DF2" w:rsidRPr="001819F4" w:rsidRDefault="00A04DF2" w:rsidP="00A04DF2">
      <w:pPr>
        <w:pStyle w:val="enumlev1"/>
        <w:rPr>
          <w:rFonts w:ascii="Segoe UI" w:hAnsi="Segoe UI" w:cs="Segoe UI"/>
          <w:sz w:val="18"/>
          <w:szCs w:val="18"/>
          <w:lang w:val="es-ES_tradnl"/>
        </w:rPr>
      </w:pPr>
      <w:r>
        <w:rPr>
          <w:b/>
          <w:bCs/>
          <w:lang w:val="es-ES_tradnl"/>
        </w:rPr>
        <w:tab/>
      </w:r>
      <w:r w:rsidRPr="003774B4">
        <w:rPr>
          <w:b/>
          <w:bCs/>
          <w:lang w:val="es-ES_tradnl"/>
        </w:rPr>
        <w:t>Subrayamos la importancia de invertir y financiar infraestructuras sostenibles desde el punto de vista medioambiental, proyectos de economía circular y de gestión de residuos electrónicos, energías limpias y renovables y tecnologías ecológicas</w:t>
      </w:r>
      <w:r w:rsidRPr="001819F4">
        <w:rPr>
          <w:lang w:val="es-ES_tradnl"/>
        </w:rPr>
        <w:t xml:space="preserve"> para fomentar un crecimiento económico inclusivo y a largo plazo, y simultáneamente reducir las emisiones de carbono, mejorar la seguridad energética y optimizar la utilización de la tecnología digital. Mediante mecanismos rigurosos de supervisión y recopilación de datos, sobre la base de prácticas idóneas y aprovechando las tecnologías nuevas y emergentes, estas </w:t>
      </w:r>
      <w:r w:rsidRPr="001819F4">
        <w:rPr>
          <w:lang w:val="es-ES_tradnl"/>
        </w:rPr>
        <w:lastRenderedPageBreak/>
        <w:t xml:space="preserve">iniciativas contribuirán a la mitigación del cambio climático, a la adaptación al mismo y al desarrollo digital resiliente a los efectos climáticos. Asimismo, consideramos esencial adoptar una estrategia de comunicaciones de emergencia debidamente integrada y multicanal, que incorpore sistemas móviles de alerta temprana para garantizar que la conectividad universal permite alcanzar de manera eficaz y oportuna a todas las personas expuestas a riesgos naturales. </w:t>
      </w:r>
    </w:p>
    <w:p w14:paraId="2A9C0F9D" w14:textId="77777777" w:rsidR="00A04DF2" w:rsidRPr="001819F4" w:rsidRDefault="00A04DF2" w:rsidP="00A04DF2">
      <w:pPr>
        <w:pStyle w:val="enumlev1"/>
        <w:rPr>
          <w:rFonts w:ascii="Segoe UI" w:hAnsi="Segoe UI" w:cs="Segoe UI"/>
          <w:sz w:val="18"/>
          <w:szCs w:val="18"/>
          <w:lang w:val="es-ES_tradnl"/>
        </w:rPr>
      </w:pPr>
      <w:r>
        <w:rPr>
          <w:b/>
          <w:bCs/>
          <w:lang w:val="es-ES_tradnl"/>
        </w:rPr>
        <w:tab/>
      </w:r>
      <w:r w:rsidRPr="003774B4">
        <w:rPr>
          <w:b/>
          <w:bCs/>
          <w:lang w:val="es-ES_tradnl"/>
        </w:rPr>
        <w:t>Reconocemos el papel fundamental de las radiocomunicaciones espaciales en el avance de la conectividad y el crecimiento económico</w:t>
      </w:r>
      <w:r w:rsidRPr="001819F4">
        <w:rPr>
          <w:lang w:val="es-ES_tradnl"/>
        </w:rPr>
        <w:t xml:space="preserve"> y subrayamos la responsabilidad compartida de garantizar el uso eficiente y racional de los recursos mediante la cooperación internacional continua, el diálogo inclusivo y la creación de capacidad para promover la sostenibilidad a largo plazo de los servicios espaciales. </w:t>
      </w:r>
    </w:p>
    <w:p w14:paraId="400FCDA8" w14:textId="77777777" w:rsidR="00A04DF2" w:rsidRPr="001819F4" w:rsidRDefault="00A04DF2" w:rsidP="00A04DF2">
      <w:pPr>
        <w:pStyle w:val="enumlev1"/>
        <w:rPr>
          <w:rFonts w:ascii="Calibri" w:hAnsi="Calibri" w:cs="Calibri"/>
          <w:lang w:val="es-ES_tradnl"/>
        </w:rPr>
      </w:pPr>
      <w:r w:rsidRPr="003774B4">
        <w:rPr>
          <w:lang w:val="es-ES_tradnl"/>
        </w:rPr>
        <w:t>2)</w:t>
      </w:r>
      <w:r w:rsidRPr="003774B4">
        <w:rPr>
          <w:lang w:val="es-ES_tradnl"/>
        </w:rPr>
        <w:tab/>
      </w:r>
      <w:r w:rsidRPr="003774B4">
        <w:rPr>
          <w:b/>
          <w:bCs/>
          <w:lang w:val="es-ES_tradnl"/>
        </w:rPr>
        <w:t>Instamos a todos los responsables de la formulación de políticas y partes interesadas a que adopten enfoques responsables, en los que se conozcan los riesgos y centrados en el ser humano para la transformación digital y las tecnologías nuevas y emergentes</w:t>
      </w:r>
      <w:r w:rsidRPr="001819F4">
        <w:rPr>
          <w:lang w:val="es-ES_tradnl"/>
        </w:rPr>
        <w:t xml:space="preserve">, y apliquen políticas que promuevan la asequibilidad de los servicios y dispositivos de telecomunicaciones/TIC para contribuir a cerrar las brechas digitales. La transformación digital requiere el establecimiento de nuevas condiciones equitativas, mayores flujos de inversión y salvaguardas en aras de un desarrollo responsable y sostenible de las radiocomunicaciones emergentes, terrenales, submarinas y espaciales. Para dar una respuesta política adecuada a la rápida transformación tecnológica es necesario reforzar las capacidades institucionales, adoptar una gobernanza ágil y colaborativa e integrar procesos de adopción de decisiones con base empírica. </w:t>
      </w:r>
    </w:p>
    <w:p w14:paraId="395174C8" w14:textId="77777777" w:rsidR="00A04DF2" w:rsidRPr="001819F4" w:rsidRDefault="00A04DF2" w:rsidP="00A04DF2">
      <w:pPr>
        <w:pStyle w:val="enumlev1"/>
        <w:rPr>
          <w:rFonts w:ascii="Segoe UI" w:hAnsi="Segoe UI" w:cs="Segoe UI"/>
          <w:sz w:val="18"/>
          <w:szCs w:val="18"/>
          <w:lang w:val="es-ES_tradnl"/>
        </w:rPr>
      </w:pPr>
      <w:r>
        <w:rPr>
          <w:lang w:val="es-ES_tradnl"/>
        </w:rPr>
        <w:tab/>
      </w:r>
      <w:r w:rsidRPr="001819F4">
        <w:rPr>
          <w:lang w:val="es-ES_tradnl"/>
        </w:rPr>
        <w:t xml:space="preserve">Con el fin de reforzar los marcos políticos y reglamentarios nacionales y las capacidades de ejecución, </w:t>
      </w:r>
      <w:r w:rsidRPr="00D9585B">
        <w:rPr>
          <w:b/>
          <w:bCs/>
          <w:lang w:val="es-ES"/>
        </w:rPr>
        <w:t>reconocemos la necesidad de fomentar las iniciativas de capacitación humana e institucional en todas las Prioridades del UIT-D</w:t>
      </w:r>
      <w:r w:rsidRPr="001819F4">
        <w:rPr>
          <w:lang w:val="es-ES_tradnl"/>
        </w:rPr>
        <w:t xml:space="preserve">. Las </w:t>
      </w:r>
      <w:r w:rsidRPr="001819F4">
        <w:rPr>
          <w:b/>
          <w:bCs/>
          <w:lang w:val="es-ES_tradnl"/>
        </w:rPr>
        <w:t>principales esferas de interés</w:t>
      </w:r>
      <w:r w:rsidRPr="001819F4">
        <w:rPr>
          <w:lang w:val="es-ES_tradnl"/>
        </w:rPr>
        <w:t xml:space="preserve"> siguen siendo la capacitación de los gobiernos, de los organismos reguladores y de las principales partes interesadas nacionales y regionales, la creación de capacidades nacionales en materia de datos y estadísticas sobre las TIC y la resiliencia de la ciberseguridad, lo que permite la adopción de tecnologías nuevas y emergentes. </w:t>
      </w:r>
    </w:p>
    <w:p w14:paraId="04F9F2D4" w14:textId="77777777" w:rsidR="00A04DF2" w:rsidRPr="001819F4" w:rsidRDefault="00A04DF2" w:rsidP="00A04DF2">
      <w:pPr>
        <w:pStyle w:val="enumlev1"/>
        <w:rPr>
          <w:rFonts w:ascii="Calibri" w:hAnsi="Calibri" w:cs="Calibri"/>
          <w:lang w:val="es-ES_tradnl"/>
        </w:rPr>
      </w:pPr>
      <w:r w:rsidRPr="003774B4">
        <w:rPr>
          <w:lang w:val="es-ES_tradnl"/>
        </w:rPr>
        <w:t>3)</w:t>
      </w:r>
      <w:r w:rsidRPr="003774B4">
        <w:rPr>
          <w:lang w:val="es-ES_tradnl"/>
        </w:rPr>
        <w:tab/>
      </w:r>
      <w:r w:rsidRPr="003774B4">
        <w:rPr>
          <w:b/>
          <w:bCs/>
          <w:lang w:val="es-ES_tradnl"/>
        </w:rPr>
        <w:t>Reconocemos la necesidad de acelerar la inversión en ciencia, tecnología e innovación, conscientes de que los ecosistemas de innovación digital son esenciales para reactivar la economía, favorecer la transformación estructural y hacer frente a los importantes retos que plantea la sostenibilidad</w:t>
      </w:r>
      <w:r w:rsidRPr="001819F4">
        <w:rPr>
          <w:lang w:val="es-ES_tradnl"/>
        </w:rPr>
        <w:t xml:space="preserve">. Es imprescindible adoptar un enfoque estratégico para crear entornos políticos y empresariales que propicien la innovación digital, el espíritu empresarial y la digitalización de la economía. El fortalecimiento de las capacidades digitales y de innovación en todos los sectores y niveles de gobierno puede contribuir a mejorar la productividad, diversificar la economía y aumentar la competitividad de las industrias nacionales, facilitando así la participación equitativa de todos los países en la economía digital mundial y la consecución de los ODS. </w:t>
      </w:r>
    </w:p>
    <w:p w14:paraId="03E55E26" w14:textId="77777777" w:rsidR="00A04DF2" w:rsidRPr="001819F4" w:rsidRDefault="00A04DF2" w:rsidP="00A04DF2">
      <w:pPr>
        <w:pStyle w:val="enumlev1"/>
        <w:rPr>
          <w:rFonts w:ascii="Segoe UI" w:hAnsi="Segoe UI" w:cs="Segoe UI"/>
          <w:sz w:val="18"/>
          <w:szCs w:val="18"/>
          <w:lang w:val="es-ES_tradnl"/>
        </w:rPr>
      </w:pPr>
      <w:r>
        <w:rPr>
          <w:b/>
          <w:bCs/>
          <w:lang w:val="es-ES_tradnl"/>
        </w:rPr>
        <w:tab/>
      </w:r>
      <w:r w:rsidRPr="003774B4">
        <w:rPr>
          <w:b/>
          <w:bCs/>
          <w:lang w:val="es-ES_tradnl"/>
        </w:rPr>
        <w:t>Respaldamos la aplicación de iniciativas de desarrollo de competencias digitales dirigidas a todos con el fin de garantizar que todas las personas estén dotadas de las capacidades necesarias para participar de manera efectiva en la economía digital</w:t>
      </w:r>
      <w:r w:rsidRPr="001819F4">
        <w:rPr>
          <w:lang w:val="es-ES_tradnl"/>
        </w:rPr>
        <w:t xml:space="preserve">, reduciendo de este modo las desigualdades. Dichas iniciativas pueden incluir la creación de centros de formación y desarrollo de competencias digitales, programas de capacitación especializados y mecanismos de transferencia de conocimientos que ayuden a los gobiernos, las empresas y los emprendedores a adoptar las tecnologías digitales y </w:t>
      </w:r>
      <w:r w:rsidRPr="001819F4">
        <w:rPr>
          <w:lang w:val="es-ES_tradnl"/>
        </w:rPr>
        <w:lastRenderedPageBreak/>
        <w:t xml:space="preserve">contribuir a la generación de valor. Los centros de innovación nacionales y regionales también pueden desempeñar la función de mecanismos institucionales de capacitación para la investigación, la formación, la creación conjunta para resolver problemas específicos y el desarrollo de soluciones ágiles por los gobiernos y las partes interesadas del ecosistema. </w:t>
      </w:r>
    </w:p>
    <w:p w14:paraId="115994F3" w14:textId="77777777" w:rsidR="00A04DF2" w:rsidRPr="001819F4" w:rsidRDefault="00A04DF2" w:rsidP="00A04DF2">
      <w:pPr>
        <w:pStyle w:val="enumlev1"/>
        <w:rPr>
          <w:rFonts w:ascii="Calibri" w:hAnsi="Calibri" w:cs="Calibri"/>
          <w:lang w:val="es-ES_tradnl"/>
        </w:rPr>
      </w:pPr>
      <w:r w:rsidRPr="003774B4">
        <w:rPr>
          <w:lang w:val="es-ES_tradnl"/>
        </w:rPr>
        <w:t>4)</w:t>
      </w:r>
      <w:r w:rsidRPr="003774B4">
        <w:rPr>
          <w:lang w:val="es-ES_tradnl"/>
        </w:rPr>
        <w:tab/>
      </w:r>
      <w:r w:rsidRPr="003774B4">
        <w:rPr>
          <w:b/>
          <w:bCs/>
          <w:lang w:val="es-ES_tradnl"/>
        </w:rPr>
        <w:t xml:space="preserve">Nos comprometemos a crear sinergias, intensificar la colaboración y mantener los compromisos existentes y, simultáneamente, a forjar alianzas coordinadas a nivel mundial y regional entre los sectores público y privado, los organismos internacionales de financiación y otras partes interesadas </w:t>
      </w:r>
      <w:r w:rsidRPr="001819F4">
        <w:rPr>
          <w:lang w:val="es-ES_tradnl"/>
        </w:rPr>
        <w:t xml:space="preserve">con el objetivo de aunar recursos, conocimientos y buenas prácticas entre los distintos grupos de interés y las regiones para asistir a los países, en particular promocionando un acceso inclusivo a las tecnologías nuevas y emergentes. </w:t>
      </w:r>
      <w:r w:rsidRPr="00EC0150">
        <w:rPr>
          <w:b/>
          <w:bCs/>
          <w:lang w:val="es-ES_tradnl"/>
        </w:rPr>
        <w:t>Seguiremos fomentando la cooperación regional, internacional, Sur-Sur y triangular</w:t>
      </w:r>
      <w:r w:rsidRPr="001819F4">
        <w:rPr>
          <w:lang w:val="es-ES_tradnl"/>
        </w:rPr>
        <w:t xml:space="preserve"> para acelerar la velocidad y alcance de las actividades de desarrollo en todo el sistema de las Naciones Unidas y sus asociados, así como las iniciativas concebidas y dirigidas a nivel nacional para la consecución de los ODS. </w:t>
      </w:r>
    </w:p>
    <w:p w14:paraId="34B3EA25" w14:textId="77777777" w:rsidR="00A04DF2" w:rsidRPr="001819F4" w:rsidRDefault="00A04DF2" w:rsidP="00A04DF2">
      <w:pPr>
        <w:pStyle w:val="enumlev1"/>
        <w:rPr>
          <w:rFonts w:ascii="Segoe UI" w:hAnsi="Segoe UI" w:cs="Segoe UI"/>
          <w:sz w:val="18"/>
          <w:szCs w:val="18"/>
          <w:lang w:val="es-ES_tradnl"/>
        </w:rPr>
      </w:pPr>
      <w:r>
        <w:rPr>
          <w:b/>
          <w:bCs/>
          <w:lang w:val="es-ES_tradnl"/>
        </w:rPr>
        <w:tab/>
      </w:r>
      <w:r w:rsidRPr="00EC0150">
        <w:rPr>
          <w:b/>
          <w:bCs/>
          <w:lang w:val="es-ES_tradnl"/>
        </w:rPr>
        <w:t>En colaboración con las Organizaciones Regionales de Telecomunicaciones, las asociaciones reguladoras y otros asociados, respaldaremos la armonización de entornos de política y reglamentación</w:t>
      </w:r>
      <w:r w:rsidRPr="001819F4">
        <w:rPr>
          <w:lang w:val="es-ES_tradnl"/>
        </w:rPr>
        <w:t xml:space="preserve"> en ámbitos esenciales que propicien la transformación digital, con el fin de facilitar una respuesta coordinada a cuestiones transfronterizas y mejorar la conectividad regional, la integración de los mercados y la transformación digital sostenible. </w:t>
      </w:r>
    </w:p>
    <w:p w14:paraId="752A6C4C" w14:textId="77777777" w:rsidR="00A04DF2" w:rsidRPr="001819F4" w:rsidRDefault="00A04DF2" w:rsidP="00A04DF2">
      <w:pPr>
        <w:pStyle w:val="enumlev1"/>
        <w:rPr>
          <w:rFonts w:ascii="Calibri" w:hAnsi="Calibri" w:cs="Calibri"/>
          <w:lang w:val="es-ES_tradnl"/>
        </w:rPr>
      </w:pPr>
      <w:r w:rsidRPr="003774B4">
        <w:rPr>
          <w:lang w:val="es-ES_tradnl"/>
        </w:rPr>
        <w:t>5)</w:t>
      </w:r>
      <w:r w:rsidRPr="003774B4">
        <w:rPr>
          <w:lang w:val="es-ES_tradnl"/>
        </w:rPr>
        <w:tab/>
      </w:r>
      <w:r w:rsidRPr="001819F4">
        <w:rPr>
          <w:b/>
          <w:bCs/>
          <w:lang w:val="es-ES_tradnl"/>
        </w:rPr>
        <w:t>Nos esforzaremos por hacer frente a las dificultades especiales a las que se enfrentan los países en desarrollo</w:t>
      </w:r>
      <w:r w:rsidRPr="001819F4">
        <w:rPr>
          <w:lang w:val="es-ES_tradnl"/>
        </w:rPr>
        <w:t xml:space="preserve">, en particular los PMA, los PDSL, los PEID y los países con necesidades especiales, mediante la capacitación, la asistencia técnica adaptada, el intercambio de prácticas idóneas, la movilización de recursos, los proyectos con repercusiones, las iniciativas de emparejamiento y los conocimientos técnicos para aprovechar las tecnologías nuevas y emergentes, incluida la inteligencia artificial relacionada con las telecomunicaciones/TIC. </w:t>
      </w:r>
    </w:p>
    <w:p w14:paraId="77899E29" w14:textId="77777777" w:rsidR="00A04DF2" w:rsidRPr="001819F4" w:rsidRDefault="00A04DF2" w:rsidP="00A04DF2">
      <w:pPr>
        <w:rPr>
          <w:rFonts w:ascii="Segoe UI" w:hAnsi="Segoe UI" w:cs="Segoe UI"/>
          <w:sz w:val="18"/>
          <w:szCs w:val="18"/>
          <w:lang w:val="es-ES_tradnl"/>
        </w:rPr>
      </w:pPr>
      <w:r w:rsidRPr="001819F4">
        <w:rPr>
          <w:lang w:val="es-ES_tradnl"/>
        </w:rPr>
        <w:t xml:space="preserve">Acogemos con satisfacción los constantes esfuerzos del UIT-D y su contribución a la creación de un futuro digital inclusivo y sostenible para todos. </w:t>
      </w:r>
    </w:p>
    <w:p w14:paraId="75858327" w14:textId="77777777" w:rsidR="00A04DF2" w:rsidRDefault="00A04DF2" w:rsidP="00A04DF2">
      <w:pPr>
        <w:rPr>
          <w:b/>
          <w:bCs/>
          <w:lang w:val="es-ES_tradnl"/>
        </w:rPr>
      </w:pPr>
      <w:r w:rsidRPr="00EC0150">
        <w:rPr>
          <w:b/>
          <w:bCs/>
          <w:lang w:val="es-ES_tradnl"/>
        </w:rPr>
        <w:t>Nos comprometemos a amplificar los efectos de la labor del Sector con el fin de acelerar el desarrollo digital a escala mundial e instamos a los Estados Miembros, a los asociados para el desarrollo y al sector privado a que amplíen los programas e iniciativas pertinentes, otorgando prioridad a las necesidades de los países en desarrollo, en particular a los PMA, los PDSL y los PEID, a efectos de lograr la plena y rápida aplicación del Plan de Acción de Bakú, de las Iniciativas Regionales y de las Resoluciones de la CMDT, así como para avanzar en el cumplimiento de los compromisos de la Declaración de Bakú.</w:t>
      </w:r>
    </w:p>
    <w:p w14:paraId="1E055D8A" w14:textId="77777777" w:rsidR="00A04DF2" w:rsidRPr="001819F4" w:rsidRDefault="00A04DF2" w:rsidP="00A04DF2">
      <w:pPr>
        <w:rPr>
          <w:rFonts w:ascii="Calibri" w:eastAsia="Calibri" w:hAnsi="Calibri" w:cs="Calibri"/>
          <w:b/>
          <w:bCs/>
          <w:color w:val="000000" w:themeColor="text1"/>
          <w:lang w:val="es-ES_tradnl"/>
        </w:rPr>
      </w:pPr>
      <w:r w:rsidRPr="001819F4">
        <w:rPr>
          <w:rFonts w:ascii="Calibri" w:eastAsia="Calibri" w:hAnsi="Calibri" w:cs="Calibri"/>
          <w:b/>
          <w:bCs/>
          <w:color w:val="000000" w:themeColor="text1"/>
          <w:lang w:val="es-ES_tradnl"/>
        </w:rPr>
        <w:br w:type="page"/>
      </w:r>
    </w:p>
    <w:p w14:paraId="4EE2400A" w14:textId="77777777" w:rsidR="00A04DF2" w:rsidRPr="001819F4" w:rsidRDefault="00A04DF2" w:rsidP="00A04DF2">
      <w:pPr>
        <w:pStyle w:val="AnnexNo"/>
        <w:rPr>
          <w:rFonts w:ascii="Calibri" w:eastAsia="Calibri" w:hAnsi="Calibri" w:cs="Calibri"/>
          <w:color w:val="000000" w:themeColor="text1"/>
          <w:sz w:val="24"/>
          <w:szCs w:val="24"/>
          <w:lang w:val="es-ES_tradnl"/>
        </w:rPr>
      </w:pPr>
      <w:r w:rsidRPr="001819F4">
        <w:rPr>
          <w:lang w:val="es-ES_tradnl"/>
        </w:rPr>
        <w:lastRenderedPageBreak/>
        <w:t>ANEXO E</w:t>
      </w:r>
    </w:p>
    <w:p w14:paraId="58BF8F5B" w14:textId="77777777" w:rsidR="00A04DF2" w:rsidRPr="001819F4" w:rsidRDefault="00A04DF2" w:rsidP="00A04DF2">
      <w:pPr>
        <w:pStyle w:val="Annextitle"/>
        <w:rPr>
          <w:rFonts w:ascii="Calibri" w:eastAsia="Calibri" w:hAnsi="Calibri" w:cs="Calibri"/>
          <w:color w:val="000000" w:themeColor="text1"/>
          <w:sz w:val="24"/>
          <w:szCs w:val="24"/>
          <w:lang w:val="es-ES_tradnl"/>
        </w:rPr>
      </w:pPr>
      <w:r w:rsidRPr="001819F4">
        <w:rPr>
          <w:lang w:val="es-ES_tradnl"/>
        </w:rPr>
        <w:t>FUTURAS CUESTIONES DE ESTUDIO</w:t>
      </w:r>
    </w:p>
    <w:tbl>
      <w:tblPr>
        <w:tblW w:w="9639"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Caption w:val="Document metadata (Study Group, meeting, Question, source, title)"/>
      </w:tblPr>
      <w:tblGrid>
        <w:gridCol w:w="9639"/>
      </w:tblGrid>
      <w:tr w:rsidR="00A04DF2" w:rsidRPr="00D9585B" w14:paraId="2FB78AA4" w14:textId="77777777" w:rsidTr="00D04740">
        <w:trPr>
          <w:trHeight w:val="300"/>
        </w:trPr>
        <w:tc>
          <w:tcPr>
            <w:tcW w:w="9639" w:type="dxa"/>
            <w:tcBorders>
              <w:top w:val="nil"/>
              <w:left w:val="nil"/>
              <w:bottom w:val="nil"/>
              <w:right w:val="nil"/>
            </w:tcBorders>
            <w:shd w:val="clear" w:color="auto" w:fill="auto"/>
            <w:hideMark/>
          </w:tcPr>
          <w:p w14:paraId="47EB7A16" w14:textId="77777777" w:rsidR="00A04DF2" w:rsidRPr="001819F4" w:rsidRDefault="00A04DF2" w:rsidP="00D04740">
            <w:pPr>
              <w:tabs>
                <w:tab w:val="clear" w:pos="794"/>
                <w:tab w:val="clear" w:pos="1191"/>
                <w:tab w:val="clear" w:pos="1588"/>
                <w:tab w:val="clear" w:pos="1985"/>
              </w:tabs>
              <w:overflowPunct/>
              <w:autoSpaceDE/>
              <w:autoSpaceDN/>
              <w:adjustRightInd/>
              <w:spacing w:after="120"/>
              <w:jc w:val="center"/>
              <w:rPr>
                <w:rFonts w:ascii="Times New Roman" w:hAnsi="Times New Roman"/>
                <w:b/>
                <w:bCs/>
                <w:lang w:val="es-ES_tradnl"/>
              </w:rPr>
            </w:pPr>
            <w:r w:rsidRPr="001819F4">
              <w:rPr>
                <w:b/>
                <w:bCs/>
                <w:color w:val="000000"/>
                <w:lang w:val="es-ES_tradnl"/>
              </w:rPr>
              <w:t>Presidente del GT-GADT-futurasCCE</w:t>
            </w:r>
            <w:r w:rsidRPr="001819F4">
              <w:rPr>
                <w:rStyle w:val="FootnoteReference"/>
                <w:rFonts w:cs="Calibri"/>
                <w:b/>
                <w:bCs/>
                <w:color w:val="000000"/>
                <w:szCs w:val="24"/>
                <w:lang w:val="es-ES_tradnl"/>
              </w:rPr>
              <w:footnoteReference w:id="6"/>
            </w:r>
            <w:r w:rsidRPr="001819F4">
              <w:rPr>
                <w:color w:val="000000"/>
                <w:lang w:val="es-ES_tradnl"/>
              </w:rPr>
              <w:t xml:space="preserve"> </w:t>
            </w:r>
          </w:p>
        </w:tc>
      </w:tr>
      <w:tr w:rsidR="00A04DF2" w:rsidRPr="00D9585B" w14:paraId="704EB6AA" w14:textId="77777777" w:rsidTr="00D04740">
        <w:trPr>
          <w:trHeight w:val="300"/>
        </w:trPr>
        <w:tc>
          <w:tcPr>
            <w:tcW w:w="9639" w:type="dxa"/>
            <w:tcBorders>
              <w:top w:val="nil"/>
              <w:left w:val="nil"/>
              <w:bottom w:val="nil"/>
              <w:right w:val="nil"/>
            </w:tcBorders>
            <w:shd w:val="clear" w:color="auto" w:fill="auto"/>
            <w:hideMark/>
          </w:tcPr>
          <w:p w14:paraId="2F4E7797" w14:textId="77777777" w:rsidR="00A04DF2" w:rsidRPr="001819F4" w:rsidRDefault="00A04DF2" w:rsidP="00D04740">
            <w:pPr>
              <w:tabs>
                <w:tab w:val="clear" w:pos="794"/>
                <w:tab w:val="clear" w:pos="1191"/>
                <w:tab w:val="clear" w:pos="1588"/>
                <w:tab w:val="clear" w:pos="1985"/>
              </w:tabs>
              <w:overflowPunct/>
              <w:autoSpaceDE/>
              <w:autoSpaceDN/>
              <w:adjustRightInd/>
              <w:spacing w:after="120"/>
              <w:jc w:val="center"/>
              <w:rPr>
                <w:rFonts w:ascii="Times New Roman" w:hAnsi="Times New Roman"/>
                <w:lang w:val="es-ES_tradnl"/>
              </w:rPr>
            </w:pPr>
            <w:r w:rsidRPr="001819F4">
              <w:rPr>
                <w:color w:val="000000"/>
                <w:lang w:val="es-ES_tradnl"/>
              </w:rPr>
              <w:t>Informe del Grupo de Trabajo del GADT sobre el Futuro de las Cuestiones de las</w:t>
            </w:r>
            <w:r>
              <w:rPr>
                <w:color w:val="000000"/>
                <w:lang w:val="es-ES_tradnl"/>
              </w:rPr>
              <w:br/>
            </w:r>
            <w:r w:rsidRPr="001819F4">
              <w:rPr>
                <w:color w:val="000000"/>
                <w:lang w:val="es-ES_tradnl"/>
              </w:rPr>
              <w:t xml:space="preserve">Comisiones de Estudio (GT-GADT-futurasCCE) </w:t>
            </w:r>
          </w:p>
        </w:tc>
      </w:tr>
      <w:tr w:rsidR="00A04DF2" w:rsidRPr="00D9585B" w14:paraId="590C31B9" w14:textId="77777777" w:rsidTr="00D04740">
        <w:trPr>
          <w:trHeight w:val="300"/>
        </w:trPr>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16C29DA8" w14:textId="77777777" w:rsidR="00A04DF2" w:rsidRPr="001819F4" w:rsidRDefault="00A04DF2" w:rsidP="00D04740">
            <w:pPr>
              <w:tabs>
                <w:tab w:val="clear" w:pos="794"/>
                <w:tab w:val="clear" w:pos="1191"/>
                <w:tab w:val="clear" w:pos="1588"/>
                <w:tab w:val="clear" w:pos="1985"/>
              </w:tabs>
              <w:overflowPunct/>
              <w:autoSpaceDE/>
              <w:autoSpaceDN/>
              <w:adjustRightInd/>
              <w:spacing w:after="120"/>
              <w:rPr>
                <w:rFonts w:ascii="Times New Roman" w:hAnsi="Times New Roman"/>
                <w:lang w:val="es-ES_tradnl"/>
              </w:rPr>
            </w:pPr>
            <w:r w:rsidRPr="001819F4">
              <w:rPr>
                <w:b/>
                <w:bCs/>
                <w:color w:val="000000"/>
                <w:lang w:val="es-ES_tradnl"/>
              </w:rPr>
              <w:t>Resumen:</w:t>
            </w:r>
          </w:p>
          <w:p w14:paraId="43270049" w14:textId="77777777" w:rsidR="00A04DF2" w:rsidRPr="001819F4" w:rsidRDefault="00A04DF2" w:rsidP="00D04740">
            <w:pPr>
              <w:rPr>
                <w:rFonts w:ascii="Times New Roman" w:hAnsi="Times New Roman"/>
                <w:lang w:val="es-ES_tradnl"/>
              </w:rPr>
            </w:pPr>
            <w:r w:rsidRPr="001819F4">
              <w:rPr>
                <w:lang w:val="es-ES_tradnl"/>
              </w:rPr>
              <w:t>En el presente documento figura el informe del Grupo de Trabajo del GADT sobre el Futuro de las Cuestiones de las Comisiones de Estudio (GT-GADT-futurasCCE)</w:t>
            </w:r>
            <w:r>
              <w:rPr>
                <w:lang w:val="es-ES_tradnl"/>
              </w:rPr>
              <w:t>.</w:t>
            </w:r>
          </w:p>
          <w:p w14:paraId="4A42CA95" w14:textId="77777777" w:rsidR="00A04DF2" w:rsidRPr="001819F4" w:rsidRDefault="00A04DF2" w:rsidP="00D04740">
            <w:pPr>
              <w:rPr>
                <w:rFonts w:ascii="Times New Roman" w:hAnsi="Times New Roman"/>
                <w:lang w:val="es-ES_tradnl"/>
              </w:rPr>
            </w:pPr>
            <w:r w:rsidRPr="001819F4">
              <w:rPr>
                <w:lang w:val="es-ES_tradnl"/>
              </w:rPr>
              <w:t>Esta versión revisada contiene las actualizaciones dimanantes de la reunión que el GT</w:t>
            </w:r>
            <w:r>
              <w:rPr>
                <w:lang w:val="es-ES_tradnl"/>
              </w:rPr>
              <w:noBreakHyphen/>
            </w:r>
            <w:r w:rsidRPr="001819F4">
              <w:rPr>
                <w:lang w:val="es-ES_tradnl"/>
              </w:rPr>
              <w:t>GADT</w:t>
            </w:r>
            <w:r>
              <w:rPr>
                <w:lang w:val="es-ES_tradnl"/>
              </w:rPr>
              <w:noBreakHyphen/>
            </w:r>
            <w:r w:rsidRPr="001819F4">
              <w:rPr>
                <w:lang w:val="es-ES_tradnl"/>
              </w:rPr>
              <w:t>futurasCCE celebró el 13 y 15 de mayo de 2025. Esta versión incluye, en el Apéndice</w:t>
            </w:r>
            <w:r>
              <w:rPr>
                <w:lang w:val="es-ES_tradnl"/>
              </w:rPr>
              <w:t> </w:t>
            </w:r>
            <w:r w:rsidRPr="001819F4">
              <w:rPr>
                <w:lang w:val="es-ES_tradnl"/>
              </w:rPr>
              <w:t xml:space="preserve">4, la versión final del documento refundido propuesto para su utilización como documento de base, en lugar de los Anexos 1 y 2 de la Resolución 2 (Rev. Kigali, 2022) de la CMDT. </w:t>
            </w:r>
          </w:p>
          <w:p w14:paraId="7F629CB4" w14:textId="77777777" w:rsidR="00A04DF2" w:rsidRPr="001819F4" w:rsidRDefault="00A04DF2" w:rsidP="00D04740">
            <w:pPr>
              <w:rPr>
                <w:rFonts w:ascii="Times New Roman" w:hAnsi="Times New Roman"/>
                <w:lang w:val="es-ES_tradnl"/>
              </w:rPr>
            </w:pPr>
            <w:r w:rsidRPr="001819F4">
              <w:rPr>
                <w:lang w:val="es-ES_tradnl"/>
              </w:rPr>
              <w:t>Esta versión también incluye en el Apéndice 5 una recopilación de las modificaciones propuestas al mandato de las Cuestiones de las Comisiones de Estudio, que no fueron discutidas en el Grupo de Trabajo. Se ha invitado a las administraciones y organizaciones regionales de telecomunicaciones a que examinen este apéndice en sus preparativos para la CMDT</w:t>
            </w:r>
            <w:r>
              <w:rPr>
                <w:lang w:val="es-ES_tradnl"/>
              </w:rPr>
              <w:noBreakHyphen/>
            </w:r>
            <w:r w:rsidRPr="001819F4">
              <w:rPr>
                <w:lang w:val="es-ES_tradnl"/>
              </w:rPr>
              <w:t xml:space="preserve">25. </w:t>
            </w:r>
          </w:p>
          <w:p w14:paraId="052298C9" w14:textId="77777777" w:rsidR="00A04DF2" w:rsidRPr="001819F4" w:rsidRDefault="00A04DF2" w:rsidP="00D04740">
            <w:pPr>
              <w:rPr>
                <w:rFonts w:ascii="Times New Roman" w:hAnsi="Times New Roman"/>
                <w:lang w:val="es-ES_tradnl"/>
              </w:rPr>
            </w:pPr>
            <w:r w:rsidRPr="001819F4">
              <w:rPr>
                <w:lang w:val="es-ES_tradnl"/>
              </w:rPr>
              <w:t xml:space="preserve">Es posible que esta versión revisada no esté disponible en todos los idiomas oficiales de la Unión. Se puede traducir utilizando el enlace </w:t>
            </w:r>
            <w:hyperlink r:id="rId276" w:history="1">
              <w:r w:rsidRPr="001819F4">
                <w:rPr>
                  <w:rStyle w:val="Hyperlink"/>
                  <w:lang w:val="es-ES_tradnl"/>
                </w:rPr>
                <w:t>https://translate.itu.int/documents</w:t>
              </w:r>
            </w:hyperlink>
            <w:r w:rsidRPr="001819F4">
              <w:rPr>
                <w:lang w:val="es-ES_tradnl"/>
              </w:rPr>
              <w:t xml:space="preserve"> de traducción de la UIT </w:t>
            </w:r>
            <w:r w:rsidRPr="00EC0150">
              <w:rPr>
                <w:lang w:val="es-ES_tradnl"/>
              </w:rPr>
              <w:t>–</w:t>
            </w:r>
            <w:r w:rsidRPr="001819F4">
              <w:rPr>
                <w:lang w:val="es-ES_tradnl"/>
              </w:rPr>
              <w:t xml:space="preserve"> haga clic en este enlace para iniciar la traducción. </w:t>
            </w:r>
            <w:hyperlink r:id="rId277" w:tgtFrame="_blank" w:history="1"/>
          </w:p>
          <w:p w14:paraId="1B4C0002" w14:textId="77777777" w:rsidR="00A04DF2" w:rsidRPr="001819F4" w:rsidRDefault="00A04DF2" w:rsidP="00D04740">
            <w:pPr>
              <w:tabs>
                <w:tab w:val="clear" w:pos="794"/>
                <w:tab w:val="clear" w:pos="1191"/>
                <w:tab w:val="clear" w:pos="1588"/>
                <w:tab w:val="clear" w:pos="1985"/>
              </w:tabs>
              <w:overflowPunct/>
              <w:autoSpaceDE/>
              <w:autoSpaceDN/>
              <w:adjustRightInd/>
              <w:spacing w:after="120"/>
              <w:rPr>
                <w:rFonts w:ascii="Times New Roman" w:hAnsi="Times New Roman"/>
                <w:lang w:val="es-ES_tradnl"/>
              </w:rPr>
            </w:pPr>
            <w:r w:rsidRPr="001819F4">
              <w:rPr>
                <w:b/>
                <w:bCs/>
                <w:color w:val="000000"/>
                <w:lang w:val="es-ES_tradnl"/>
              </w:rPr>
              <w:t>Acción solicitada:</w:t>
            </w:r>
            <w:r w:rsidRPr="001819F4">
              <w:rPr>
                <w:color w:val="000000"/>
                <w:lang w:val="es-ES_tradnl"/>
              </w:rPr>
              <w:t xml:space="preserve"> </w:t>
            </w:r>
          </w:p>
          <w:p w14:paraId="4DA90DEA" w14:textId="77777777" w:rsidR="00A04DF2" w:rsidRPr="001819F4" w:rsidRDefault="00A04DF2" w:rsidP="00D04740">
            <w:pPr>
              <w:rPr>
                <w:rFonts w:ascii="Times New Roman" w:hAnsi="Times New Roman"/>
                <w:lang w:val="es-ES_tradnl"/>
              </w:rPr>
            </w:pPr>
            <w:r w:rsidRPr="001819F4">
              <w:rPr>
                <w:lang w:val="es-ES_tradnl"/>
              </w:rPr>
              <w:t xml:space="preserve">Se invita al GADT a tomar nota de este documento y formular las orientaciones que estime convenientes. </w:t>
            </w:r>
          </w:p>
          <w:p w14:paraId="6987A4E5" w14:textId="77777777" w:rsidR="00A04DF2" w:rsidRPr="001819F4" w:rsidRDefault="00A04DF2" w:rsidP="00D04740">
            <w:pPr>
              <w:tabs>
                <w:tab w:val="clear" w:pos="794"/>
                <w:tab w:val="clear" w:pos="1191"/>
                <w:tab w:val="clear" w:pos="1588"/>
                <w:tab w:val="clear" w:pos="1985"/>
              </w:tabs>
              <w:overflowPunct/>
              <w:autoSpaceDE/>
              <w:autoSpaceDN/>
              <w:adjustRightInd/>
              <w:spacing w:after="120"/>
              <w:rPr>
                <w:rFonts w:ascii="Times New Roman" w:hAnsi="Times New Roman"/>
                <w:lang w:val="es-ES_tradnl"/>
              </w:rPr>
            </w:pPr>
            <w:r w:rsidRPr="001819F4">
              <w:rPr>
                <w:b/>
                <w:bCs/>
                <w:color w:val="000000"/>
                <w:lang w:val="es-ES_tradnl"/>
              </w:rPr>
              <w:t>Referencias:</w:t>
            </w:r>
            <w:r w:rsidRPr="001819F4">
              <w:rPr>
                <w:color w:val="000000"/>
                <w:lang w:val="es-ES_tradnl"/>
              </w:rPr>
              <w:t xml:space="preserve"> </w:t>
            </w:r>
          </w:p>
          <w:p w14:paraId="13CDCBB2" w14:textId="77777777" w:rsidR="00A04DF2" w:rsidRPr="001819F4" w:rsidRDefault="00A04DF2" w:rsidP="00D04740">
            <w:pPr>
              <w:rPr>
                <w:rFonts w:ascii="Calibri" w:hAnsi="Calibri" w:cs="Calibri"/>
                <w:lang w:val="es-ES_tradnl"/>
              </w:rPr>
            </w:pPr>
            <w:r w:rsidRPr="00EC0150">
              <w:rPr>
                <w:lang w:val="es-ES"/>
              </w:rPr>
              <w:t>–</w:t>
            </w:r>
            <w:r w:rsidRPr="00EC0150">
              <w:rPr>
                <w:lang w:val="es-ES"/>
              </w:rPr>
              <w:tab/>
            </w:r>
            <w:hyperlink r:id="rId278" w:tgtFrame="_blank" w:history="1">
              <w:r w:rsidRPr="001819F4">
                <w:rPr>
                  <w:rFonts w:ascii="Calibri" w:hAnsi="Calibri" w:cs="Calibri"/>
                  <w:color w:val="0000FF"/>
                  <w:u w:val="single"/>
                  <w:lang w:val="es-ES_tradnl"/>
                </w:rPr>
                <w:t>Resolución 2 (Rev. Kigali, 2022) de la CMDT</w:t>
              </w:r>
              <w:r w:rsidRPr="001819F4">
                <w:rPr>
                  <w:color w:val="000000"/>
                  <w:lang w:val="es-ES_tradnl"/>
                </w:rPr>
                <w:t xml:space="preserve"> </w:t>
              </w:r>
            </w:hyperlink>
          </w:p>
        </w:tc>
      </w:tr>
    </w:tbl>
    <w:p w14:paraId="43DC59AD" w14:textId="77777777" w:rsidR="00A04DF2" w:rsidRPr="001819F4" w:rsidRDefault="00A04DF2" w:rsidP="00A04DF2">
      <w:pPr>
        <w:pStyle w:val="Heading1"/>
        <w:rPr>
          <w:rFonts w:ascii="Calibri" w:hAnsi="Calibri" w:cs="Calibri"/>
          <w:lang w:val="es-ES_tradnl"/>
        </w:rPr>
      </w:pPr>
      <w:r>
        <w:rPr>
          <w:lang w:val="es-ES_tradnl"/>
        </w:rPr>
        <w:t>1</w:t>
      </w:r>
      <w:r>
        <w:rPr>
          <w:lang w:val="es-ES_tradnl"/>
        </w:rPr>
        <w:tab/>
      </w:r>
      <w:r w:rsidRPr="001819F4">
        <w:rPr>
          <w:lang w:val="es-ES_tradnl"/>
        </w:rPr>
        <w:t>Introducción</w:t>
      </w:r>
    </w:p>
    <w:p w14:paraId="77692905" w14:textId="77777777" w:rsidR="00A04DF2" w:rsidRPr="001819F4" w:rsidRDefault="00A04DF2" w:rsidP="00A04DF2">
      <w:pPr>
        <w:rPr>
          <w:rFonts w:ascii="Segoe UI" w:hAnsi="Segoe UI" w:cs="Segoe UI"/>
          <w:sz w:val="18"/>
          <w:szCs w:val="18"/>
          <w:lang w:val="es-ES_tradnl"/>
        </w:rPr>
      </w:pPr>
      <w:r w:rsidRPr="001819F4">
        <w:rPr>
          <w:lang w:val="es-ES_tradnl"/>
        </w:rPr>
        <w:t xml:space="preserve">En la 31.ª reunión del GADT, celebrada en Ginebra del 20 al 23 de mayo de 2024 se presentó el primer Informe sobre la marcha de los trabajos del Grupo de Trabajo del GADT sobre las futuras Cuestiones de las Comisiones de Estudio (Documento </w:t>
      </w:r>
      <w:hyperlink r:id="rId279" w:history="1">
        <w:r w:rsidRPr="001819F4">
          <w:rPr>
            <w:rStyle w:val="Hyperlink"/>
            <w:lang w:val="es-ES_tradnl"/>
          </w:rPr>
          <w:t>TDAG-24/25</w:t>
        </w:r>
      </w:hyperlink>
      <w:r w:rsidRPr="001819F4">
        <w:rPr>
          <w:lang w:val="es-ES_tradnl"/>
        </w:rPr>
        <w:t xml:space="preserve">). Este documento contiene el Informe de la primera reunión del Grupo de Trabajo del GADT sobre las futuras Cuestiones de las Comisiones de Estudio (GT-GADT-futurasCCE), además de una propuesta de composición del Grupo de Trabajo, un documento de antecedentes, una propuesta de mandato para el Grupo de Trabajo y una propuesta de calendario de reuniones en línea. </w:t>
      </w:r>
      <w:hyperlink r:id="rId280" w:tgtFrame="_blank" w:history="1"/>
    </w:p>
    <w:p w14:paraId="1857A998" w14:textId="77777777" w:rsidR="00A04DF2" w:rsidRPr="001819F4" w:rsidRDefault="00A04DF2" w:rsidP="00A04DF2">
      <w:pPr>
        <w:rPr>
          <w:rFonts w:ascii="Segoe UI" w:hAnsi="Segoe UI" w:cs="Segoe UI"/>
          <w:sz w:val="18"/>
          <w:szCs w:val="18"/>
          <w:lang w:val="es-ES_tradnl"/>
        </w:rPr>
      </w:pPr>
      <w:r w:rsidRPr="001819F4">
        <w:rPr>
          <w:lang w:val="es-ES_tradnl"/>
        </w:rPr>
        <w:t>Tras la aprobación del mandato en la reunión del GADT de mayo de 2024, el GT</w:t>
      </w:r>
      <w:r>
        <w:rPr>
          <w:lang w:val="es-ES_tradnl"/>
        </w:rPr>
        <w:noBreakHyphen/>
      </w:r>
      <w:r w:rsidRPr="001819F4">
        <w:rPr>
          <w:lang w:val="es-ES_tradnl"/>
        </w:rPr>
        <w:t>GADT</w:t>
      </w:r>
      <w:r>
        <w:rPr>
          <w:lang w:val="es-ES_tradnl"/>
        </w:rPr>
        <w:noBreakHyphen/>
      </w:r>
      <w:r w:rsidRPr="001819F4">
        <w:rPr>
          <w:lang w:val="es-ES_tradnl"/>
        </w:rPr>
        <w:t>futurasCCE celebró sus segunda y tercera reuniones, exclusivamente en línea, los días 3 de septiembre de</w:t>
      </w:r>
      <w:r>
        <w:rPr>
          <w:lang w:val="es-ES_tradnl"/>
        </w:rPr>
        <w:t> </w:t>
      </w:r>
      <w:r w:rsidRPr="001819F4">
        <w:rPr>
          <w:lang w:val="es-ES_tradnl"/>
        </w:rPr>
        <w:t xml:space="preserve">2024 y 3 de diciembre de 2024, respectivamente. A continuación, se acordó celebrar reuniones </w:t>
      </w:r>
      <w:r w:rsidRPr="001819F4">
        <w:rPr>
          <w:lang w:val="es-ES_tradnl"/>
        </w:rPr>
        <w:lastRenderedPageBreak/>
        <w:t>adicionales el 21 de enero de 2025 (cuarta reunión), el 4 de marzo de 2025 (quinta reunión) y el 16</w:t>
      </w:r>
      <w:r>
        <w:rPr>
          <w:lang w:val="es-ES_tradnl"/>
        </w:rPr>
        <w:t> </w:t>
      </w:r>
      <w:r w:rsidRPr="001819F4">
        <w:rPr>
          <w:lang w:val="es-ES_tradnl"/>
        </w:rPr>
        <w:t xml:space="preserve">de abril de 2025 (sexta reunión). Una última y séptima reunión se celebró del 13 al 15 de mayo de 2025 coincidiendo con el GADT-25 en Ginebra. </w:t>
      </w:r>
    </w:p>
    <w:p w14:paraId="7611DA99" w14:textId="77777777" w:rsidR="00A04DF2" w:rsidRPr="001819F4" w:rsidRDefault="00A04DF2" w:rsidP="00A04DF2">
      <w:pPr>
        <w:rPr>
          <w:rFonts w:ascii="Segoe UI" w:hAnsi="Segoe UI" w:cs="Segoe UI"/>
          <w:sz w:val="18"/>
          <w:szCs w:val="18"/>
          <w:lang w:val="es-ES_tradnl"/>
        </w:rPr>
      </w:pPr>
      <w:r w:rsidRPr="001819F4">
        <w:rPr>
          <w:lang w:val="es-ES_tradnl"/>
        </w:rPr>
        <w:t xml:space="preserve">En la reunión extraordinaria del GADT, celebrada el 23 de enero de 2025, así como en todas las reuniones preparatorias regionales de la CMDT-25, se presentó un informe sobre la marcha de los trabajos del GT-GADT-futurasCCE (véase el Documento </w:t>
      </w:r>
      <w:hyperlink r:id="rId281" w:history="1">
        <w:r w:rsidRPr="001819F4">
          <w:rPr>
            <w:rStyle w:val="Hyperlink"/>
            <w:lang w:val="es-ES_tradnl"/>
          </w:rPr>
          <w:t>TDAG-Extra/4</w:t>
        </w:r>
      </w:hyperlink>
      <w:r w:rsidRPr="001819F4">
        <w:rPr>
          <w:lang w:val="es-ES_tradnl"/>
        </w:rPr>
        <w:t xml:space="preserve">). </w:t>
      </w:r>
      <w:hyperlink r:id="rId282" w:tgtFrame="_blank" w:history="1"/>
    </w:p>
    <w:p w14:paraId="25FC0A22" w14:textId="77777777" w:rsidR="00A04DF2" w:rsidRPr="001819F4" w:rsidRDefault="00A04DF2" w:rsidP="00A04DF2">
      <w:pPr>
        <w:rPr>
          <w:rFonts w:ascii="Segoe UI" w:hAnsi="Segoe UI" w:cs="Segoe UI"/>
          <w:sz w:val="18"/>
          <w:szCs w:val="18"/>
          <w:lang w:val="es-ES_tradnl"/>
        </w:rPr>
      </w:pPr>
      <w:r w:rsidRPr="001819F4">
        <w:rPr>
          <w:lang w:val="es-ES_tradnl"/>
        </w:rPr>
        <w:t>En ese documento se dan a conocer los resultados del trabajo realizado por el GT</w:t>
      </w:r>
      <w:r>
        <w:rPr>
          <w:lang w:val="es-ES_tradnl"/>
        </w:rPr>
        <w:noBreakHyphen/>
      </w:r>
      <w:r w:rsidRPr="001819F4">
        <w:rPr>
          <w:lang w:val="es-ES_tradnl"/>
        </w:rPr>
        <w:t>GADT</w:t>
      </w:r>
      <w:r>
        <w:rPr>
          <w:lang w:val="es-ES_tradnl"/>
        </w:rPr>
        <w:noBreakHyphen/>
      </w:r>
      <w:r w:rsidRPr="001819F4">
        <w:rPr>
          <w:lang w:val="es-ES_tradnl"/>
        </w:rPr>
        <w:t xml:space="preserve">futurasCCE. </w:t>
      </w:r>
    </w:p>
    <w:p w14:paraId="511D7937" w14:textId="77777777" w:rsidR="00A04DF2" w:rsidRPr="001819F4" w:rsidRDefault="00A04DF2" w:rsidP="00A04DF2">
      <w:pPr>
        <w:pStyle w:val="Heading1"/>
        <w:rPr>
          <w:rFonts w:ascii="Calibri" w:hAnsi="Calibri" w:cs="Calibri"/>
          <w:lang w:val="es-ES_tradnl"/>
        </w:rPr>
      </w:pPr>
      <w:r>
        <w:rPr>
          <w:lang w:val="es-ES_tradnl"/>
        </w:rPr>
        <w:t>2</w:t>
      </w:r>
      <w:r>
        <w:rPr>
          <w:lang w:val="es-ES_tradnl"/>
        </w:rPr>
        <w:tab/>
      </w:r>
      <w:r w:rsidRPr="001819F4">
        <w:rPr>
          <w:lang w:val="es-ES_tradnl"/>
        </w:rPr>
        <w:t>Equipo de Gestión</w:t>
      </w:r>
    </w:p>
    <w:p w14:paraId="72C01C07" w14:textId="77777777" w:rsidR="00A04DF2" w:rsidRPr="001819F4" w:rsidRDefault="00A04DF2" w:rsidP="00A04DF2">
      <w:pPr>
        <w:rPr>
          <w:rFonts w:ascii="Segoe UI" w:hAnsi="Segoe UI" w:cs="Segoe UI"/>
          <w:sz w:val="18"/>
          <w:szCs w:val="18"/>
          <w:lang w:val="es-ES_tradnl"/>
        </w:rPr>
      </w:pPr>
      <w:r w:rsidRPr="001819F4">
        <w:rPr>
          <w:lang w:val="es-ES_tradnl"/>
        </w:rPr>
        <w:t>Los Vicepresidentes nombrados del GT-GADT-futurasCCE, a saber, la Sra. Regina Fleur Assoumou-Bessou (Côte d'Ivoire) y el Dr. Fadel Digham (Egipto), así como los coordinadores nombrados de las Comisiones de Estudio, a saber, el Sr. Roberto Hirayama (Brasil) para la Comisión de Estudio</w:t>
      </w:r>
      <w:r>
        <w:rPr>
          <w:lang w:val="es-ES_tradnl"/>
        </w:rPr>
        <w:t> </w:t>
      </w:r>
      <w:r w:rsidRPr="001819F4">
        <w:rPr>
          <w:lang w:val="es-ES_tradnl"/>
        </w:rPr>
        <w:t>1 (CE</w:t>
      </w:r>
      <w:r>
        <w:rPr>
          <w:lang w:val="es-ES_tradnl"/>
        </w:rPr>
        <w:t> </w:t>
      </w:r>
      <w:r w:rsidRPr="001819F4">
        <w:rPr>
          <w:lang w:val="es-ES_tradnl"/>
        </w:rPr>
        <w:t>1) del UIT-D y el Sr. Víctor Martínez (Paraguay) para la Comisión de Estudio 2 (CE</w:t>
      </w:r>
      <w:r>
        <w:rPr>
          <w:lang w:val="es-ES_tradnl"/>
        </w:rPr>
        <w:t> </w:t>
      </w:r>
      <w:r w:rsidRPr="001819F4">
        <w:rPr>
          <w:lang w:val="es-ES_tradnl"/>
        </w:rPr>
        <w:t>2) del UIT</w:t>
      </w:r>
      <w:r>
        <w:rPr>
          <w:lang w:val="es-ES_tradnl"/>
        </w:rPr>
        <w:noBreakHyphen/>
      </w:r>
      <w:r w:rsidRPr="001819F4">
        <w:rPr>
          <w:lang w:val="es-ES_tradnl"/>
        </w:rPr>
        <w:t xml:space="preserve">D, prestaron un apoyo constante a la Presidencia. </w:t>
      </w:r>
    </w:p>
    <w:p w14:paraId="4F002BB5" w14:textId="77777777" w:rsidR="00A04DF2" w:rsidRPr="001819F4" w:rsidRDefault="00A04DF2" w:rsidP="00A04DF2">
      <w:pPr>
        <w:rPr>
          <w:rFonts w:ascii="Calibri" w:hAnsi="Calibri" w:cs="Calibri"/>
          <w:lang w:val="es-ES_tradnl"/>
        </w:rPr>
      </w:pPr>
      <w:r w:rsidRPr="001819F4">
        <w:rPr>
          <w:lang w:val="es-ES_tradnl"/>
        </w:rPr>
        <w:t>La lista de coordinadores regionales figura en el Apéndice 1.</w:t>
      </w:r>
    </w:p>
    <w:p w14:paraId="54999FA3" w14:textId="77777777" w:rsidR="00A04DF2" w:rsidRPr="001819F4" w:rsidRDefault="00A04DF2" w:rsidP="00A04DF2">
      <w:pPr>
        <w:pStyle w:val="Heading1"/>
        <w:rPr>
          <w:rFonts w:ascii="Calibri" w:hAnsi="Calibri" w:cs="Calibri"/>
          <w:lang w:val="es-ES_tradnl"/>
        </w:rPr>
      </w:pPr>
      <w:r>
        <w:rPr>
          <w:lang w:val="es-ES_tradnl"/>
        </w:rPr>
        <w:t>3</w:t>
      </w:r>
      <w:r>
        <w:rPr>
          <w:lang w:val="es-ES_tradnl"/>
        </w:rPr>
        <w:tab/>
      </w:r>
      <w:r w:rsidRPr="001819F4">
        <w:rPr>
          <w:lang w:val="es-ES_tradnl"/>
        </w:rPr>
        <w:t>Mandato del GT-GADT-futurasCCE aprobado</w:t>
      </w:r>
    </w:p>
    <w:p w14:paraId="248E04BC" w14:textId="77777777" w:rsidR="00A04DF2" w:rsidRPr="001819F4" w:rsidRDefault="00A04DF2" w:rsidP="00A04DF2">
      <w:pPr>
        <w:rPr>
          <w:rFonts w:ascii="Calibri" w:hAnsi="Calibri" w:cs="Calibri"/>
          <w:lang w:val="es-ES_tradnl"/>
        </w:rPr>
      </w:pPr>
      <w:r>
        <w:rPr>
          <w:lang w:val="es-ES_tradnl"/>
        </w:rPr>
        <w:t>1</w:t>
      </w:r>
      <w:r>
        <w:rPr>
          <w:lang w:val="es-ES_tradnl"/>
        </w:rPr>
        <w:tab/>
      </w:r>
      <w:r w:rsidRPr="001819F4">
        <w:rPr>
          <w:lang w:val="es-ES_tradnl"/>
        </w:rPr>
        <w:t xml:space="preserve">Ejercer las veces de plataforma exclusiva para los debates centrados en las futuras Cuestiones de Estudio del UIT-D y ayudar a los miembros de la UIT en el marco de sus preparativos para la próxima CMDT, proponiendo enmiendas específicas a la Resolución 2 (Rev. Kigali, 2022) sobre el alcance de las Cuestiones de Estudio del UIT-D, su número, su título y su mandato, habida cuenta de la evolución de las TIC, de las prioridades de los miembros de la UIT y de los resultados y/o actividades presentes y pasados de las Comisiones de Estudio del UIT-D. </w:t>
      </w:r>
    </w:p>
    <w:p w14:paraId="775875F0" w14:textId="77777777" w:rsidR="00A04DF2" w:rsidRPr="001819F4" w:rsidRDefault="00A04DF2" w:rsidP="00A04DF2">
      <w:pPr>
        <w:rPr>
          <w:rFonts w:ascii="Calibri" w:hAnsi="Calibri" w:cs="Calibri"/>
          <w:lang w:val="es-ES_tradnl"/>
        </w:rPr>
      </w:pPr>
      <w:r>
        <w:rPr>
          <w:lang w:val="es-ES_tradnl"/>
        </w:rPr>
        <w:t>2</w:t>
      </w:r>
      <w:r>
        <w:rPr>
          <w:lang w:val="es-ES_tradnl"/>
        </w:rPr>
        <w:tab/>
      </w:r>
      <w:r w:rsidRPr="001819F4">
        <w:rPr>
          <w:lang w:val="es-ES_tradnl"/>
        </w:rPr>
        <w:t xml:space="preserve">Adaptar, en la medida de lo posible, las Cuestiones de Estudio propuestas a las prioridades de la BDT, las Iniciativas Regionales propuestas, los Objetivos de Desarrollo Sostenible para 2030 y las Líneas de Acción de la CMSI (C2, C5 y C6) para las que la UIT ejerce un papel rector. </w:t>
      </w:r>
    </w:p>
    <w:p w14:paraId="17B169A2" w14:textId="77777777" w:rsidR="00A04DF2" w:rsidRPr="001819F4" w:rsidRDefault="00A04DF2" w:rsidP="00A04DF2">
      <w:pPr>
        <w:rPr>
          <w:rFonts w:ascii="Calibri" w:hAnsi="Calibri" w:cs="Calibri"/>
          <w:lang w:val="es-ES_tradnl"/>
        </w:rPr>
      </w:pPr>
      <w:r>
        <w:rPr>
          <w:lang w:val="es-ES_tradnl"/>
        </w:rPr>
        <w:t>3</w:t>
      </w:r>
      <w:r>
        <w:rPr>
          <w:lang w:val="es-ES_tradnl"/>
        </w:rPr>
        <w:tab/>
      </w:r>
      <w:r w:rsidRPr="001819F4">
        <w:rPr>
          <w:lang w:val="es-ES_tradnl"/>
        </w:rPr>
        <w:t xml:space="preserve">Llevar a cabo investigaciones y recabar las opiniones de los miembros de la UIT a través de los canales pertinentes, incluidas encuestas, contribuciones y reuniones. </w:t>
      </w:r>
    </w:p>
    <w:p w14:paraId="0C2E1FA1" w14:textId="77777777" w:rsidR="00A04DF2" w:rsidRPr="001819F4" w:rsidRDefault="00A04DF2" w:rsidP="00A04DF2">
      <w:pPr>
        <w:rPr>
          <w:rFonts w:ascii="Calibri" w:hAnsi="Calibri" w:cs="Calibri"/>
          <w:lang w:val="es-ES_tradnl"/>
        </w:rPr>
      </w:pPr>
      <w:r>
        <w:rPr>
          <w:lang w:val="es-ES_tradnl"/>
        </w:rPr>
        <w:t>4</w:t>
      </w:r>
      <w:r>
        <w:rPr>
          <w:lang w:val="es-ES_tradnl"/>
        </w:rPr>
        <w:tab/>
      </w:r>
      <w:r w:rsidRPr="001819F4">
        <w:rPr>
          <w:lang w:val="es-ES_tradnl"/>
        </w:rPr>
        <w:t xml:space="preserve">Servir de enlace con las Comisiones de Estudio del UIT-D con ayuda de los coordinadores de dichas Comisiones sobre el futuro de las Cuestiones de Estudio. Los coordinadores podrían, entre otras cosas y previa solicitud de los miembros de la UIT, ayudarles a preparar contribuciones sobre el futuro de las Cuestiones. </w:t>
      </w:r>
    </w:p>
    <w:p w14:paraId="60802AAB" w14:textId="77777777" w:rsidR="00A04DF2" w:rsidRPr="001819F4" w:rsidRDefault="00A04DF2" w:rsidP="00A04DF2">
      <w:pPr>
        <w:rPr>
          <w:rFonts w:ascii="Calibri" w:hAnsi="Calibri" w:cs="Calibri"/>
          <w:lang w:val="es-ES_tradnl"/>
        </w:rPr>
      </w:pPr>
      <w:r>
        <w:rPr>
          <w:lang w:val="es-ES_tradnl"/>
        </w:rPr>
        <w:t>5</w:t>
      </w:r>
      <w:r>
        <w:rPr>
          <w:lang w:val="es-ES_tradnl"/>
        </w:rPr>
        <w:tab/>
      </w:r>
      <w:r w:rsidRPr="001819F4">
        <w:rPr>
          <w:lang w:val="es-ES_tradnl"/>
        </w:rPr>
        <w:t xml:space="preserve">Presentar informes periódicos al GADT. </w:t>
      </w:r>
    </w:p>
    <w:p w14:paraId="2FF1D164" w14:textId="77777777" w:rsidR="00A04DF2" w:rsidRPr="001819F4" w:rsidRDefault="00A04DF2" w:rsidP="00A04DF2">
      <w:pPr>
        <w:pStyle w:val="Heading1"/>
        <w:spacing w:after="120"/>
        <w:rPr>
          <w:rFonts w:ascii="Calibri" w:hAnsi="Calibri" w:cs="Calibri"/>
          <w:lang w:val="es-ES_tradnl"/>
        </w:rPr>
      </w:pPr>
      <w:r>
        <w:rPr>
          <w:lang w:val="es-ES_tradnl"/>
        </w:rPr>
        <w:t>4</w:t>
      </w:r>
      <w:r>
        <w:rPr>
          <w:lang w:val="es-ES_tradnl"/>
        </w:rPr>
        <w:tab/>
      </w:r>
      <w:r w:rsidRPr="001819F4">
        <w:rPr>
          <w:lang w:val="es-ES_tradnl"/>
        </w:rPr>
        <w:t xml:space="preserve">Resultados de la reunión </w:t>
      </w:r>
    </w:p>
    <w:tbl>
      <w:tblPr>
        <w:tblW w:w="0" w:type="dxa"/>
        <w:tblInd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790"/>
        <w:gridCol w:w="6825"/>
      </w:tblGrid>
      <w:tr w:rsidR="00A04DF2" w:rsidRPr="001819F4" w14:paraId="43C1B179" w14:textId="77777777" w:rsidTr="00D04740">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6AFAB90D" w14:textId="77777777" w:rsidR="00A04DF2" w:rsidRPr="001819F4" w:rsidRDefault="00A04DF2" w:rsidP="00D04740">
            <w:pPr>
              <w:pStyle w:val="Tablehead"/>
              <w:rPr>
                <w:rFonts w:ascii="Times New Roman" w:hAnsi="Times New Roman"/>
                <w:lang w:val="es-ES_tradnl"/>
              </w:rPr>
            </w:pPr>
            <w:r w:rsidRPr="001819F4">
              <w:rPr>
                <w:lang w:val="es-ES_tradnl"/>
              </w:rPr>
              <w:t xml:space="preserve">Informes de reuniones </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2F9A0BC1" w14:textId="77777777" w:rsidR="00A04DF2" w:rsidRPr="001819F4" w:rsidRDefault="00A04DF2" w:rsidP="00D04740">
            <w:pPr>
              <w:pStyle w:val="Tablehead"/>
              <w:rPr>
                <w:rFonts w:ascii="Times New Roman" w:hAnsi="Times New Roman"/>
                <w:lang w:val="es-ES_tradnl"/>
              </w:rPr>
            </w:pPr>
            <w:r w:rsidRPr="001819F4">
              <w:rPr>
                <w:lang w:val="es-ES_tradnl"/>
              </w:rPr>
              <w:t xml:space="preserve">Realizaciones </w:t>
            </w:r>
          </w:p>
        </w:tc>
      </w:tr>
      <w:tr w:rsidR="00A04DF2" w:rsidRPr="00D9585B" w14:paraId="0D51D8C9" w14:textId="77777777" w:rsidTr="00D04740">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78C237EF" w14:textId="77777777" w:rsidR="00A04DF2" w:rsidRPr="001819F4" w:rsidRDefault="00A04DF2" w:rsidP="00D04740">
            <w:pPr>
              <w:pStyle w:val="Tabletext"/>
              <w:rPr>
                <w:rFonts w:ascii="Times New Roman" w:hAnsi="Times New Roman"/>
                <w:lang w:val="es-ES_tradnl"/>
              </w:rPr>
            </w:pPr>
            <w:r w:rsidRPr="001819F4">
              <w:rPr>
                <w:lang w:val="es-ES_tradnl"/>
              </w:rPr>
              <w:t>1.ª reunión, celebrada el 4</w:t>
            </w:r>
            <w:r>
              <w:rPr>
                <w:lang w:val="es-ES_tradnl"/>
              </w:rPr>
              <w:t> </w:t>
            </w:r>
            <w:r w:rsidRPr="001819F4">
              <w:rPr>
                <w:lang w:val="es-ES_tradnl"/>
              </w:rPr>
              <w:t xml:space="preserve">de marzo de 2024 </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4DE8C8E1"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Acuerdo sobre la composición del equipo directivo y el mandato del Grupo.</w:t>
            </w:r>
          </w:p>
          <w:p w14:paraId="766F3FB8"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Acuerdo sobre las fechas de las futuras reuniones.</w:t>
            </w:r>
          </w:p>
          <w:p w14:paraId="24EC69D6"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Examen del documento de referencia para el desarrollo de futuras Cuestiones de Estudio.</w:t>
            </w:r>
          </w:p>
          <w:p w14:paraId="1CA4F11D" w14:textId="77777777" w:rsidR="00A04DF2" w:rsidRPr="00EC0150" w:rsidRDefault="00A04DF2" w:rsidP="00D04740">
            <w:pPr>
              <w:pStyle w:val="enumlev1"/>
              <w:spacing w:before="0"/>
              <w:rPr>
                <w:rFonts w:ascii="Times New Roman" w:hAnsi="Times New Roman"/>
                <w:sz w:val="22"/>
                <w:szCs w:val="22"/>
                <w:lang w:val="es-ES_tradnl"/>
              </w:rPr>
            </w:pPr>
            <w:r w:rsidRPr="00EC0150">
              <w:rPr>
                <w:sz w:val="22"/>
                <w:szCs w:val="22"/>
                <w:lang w:val="es-ES_tradnl"/>
              </w:rPr>
              <w:lastRenderedPageBreak/>
              <w:t>–</w:t>
            </w:r>
            <w:r w:rsidRPr="00EC0150">
              <w:rPr>
                <w:sz w:val="22"/>
                <w:szCs w:val="22"/>
                <w:lang w:val="es-ES_tradnl"/>
              </w:rPr>
              <w:tab/>
              <w:t xml:space="preserve">El documento </w:t>
            </w:r>
            <w:hyperlink r:id="rId283" w:history="1">
              <w:r w:rsidRPr="00EC0150">
                <w:rPr>
                  <w:rStyle w:val="Hyperlink"/>
                  <w:sz w:val="22"/>
                  <w:szCs w:val="22"/>
                  <w:lang w:val="es-ES_tradnl"/>
                </w:rPr>
                <w:t>TDAG-WG-</w:t>
              </w:r>
              <w:proofErr w:type="spellStart"/>
              <w:r w:rsidRPr="00EC0150">
                <w:rPr>
                  <w:rStyle w:val="Hyperlink"/>
                  <w:sz w:val="22"/>
                  <w:szCs w:val="22"/>
                  <w:lang w:val="es-ES_tradnl"/>
                </w:rPr>
                <w:t>futureSGQ</w:t>
              </w:r>
              <w:proofErr w:type="spellEnd"/>
              <w:r w:rsidRPr="00EC0150">
                <w:rPr>
                  <w:rStyle w:val="Hyperlink"/>
                  <w:sz w:val="22"/>
                  <w:szCs w:val="22"/>
                  <w:lang w:val="es-ES_tradnl"/>
                </w:rPr>
                <w:t>/6</w:t>
              </w:r>
            </w:hyperlink>
            <w:r w:rsidRPr="00EC0150">
              <w:rPr>
                <w:sz w:val="22"/>
                <w:szCs w:val="22"/>
                <w:lang w:val="es-ES_tradnl"/>
              </w:rPr>
              <w:t xml:space="preserve"> contiene el informe de la reunión.</w:t>
            </w:r>
            <w:hyperlink r:id="rId284" w:tgtFrame="_blank" w:history="1"/>
          </w:p>
          <w:p w14:paraId="7EC2AC1D" w14:textId="77777777" w:rsidR="00A04DF2" w:rsidRPr="00EC0150" w:rsidRDefault="00A04DF2" w:rsidP="00D04740">
            <w:pPr>
              <w:pStyle w:val="enumlev1"/>
              <w:spacing w:before="0"/>
              <w:rPr>
                <w:rFonts w:ascii="Times New Roman" w:hAnsi="Times New Roman"/>
                <w:sz w:val="22"/>
                <w:szCs w:val="22"/>
                <w:lang w:val="es-ES_tradnl"/>
              </w:rPr>
            </w:pPr>
            <w:r w:rsidRPr="00EC0150">
              <w:rPr>
                <w:sz w:val="22"/>
                <w:szCs w:val="22"/>
                <w:lang w:val="es-ES_tradnl"/>
              </w:rPr>
              <w:t>–</w:t>
            </w:r>
            <w:r w:rsidRPr="00EC0150">
              <w:rPr>
                <w:sz w:val="22"/>
                <w:szCs w:val="22"/>
                <w:lang w:val="es-ES_tradnl"/>
              </w:rPr>
              <w:tab/>
              <w:t>Los resultados se comunicaron al GADT-24.</w:t>
            </w:r>
          </w:p>
        </w:tc>
      </w:tr>
      <w:tr w:rsidR="00A04DF2" w:rsidRPr="006C1B27" w14:paraId="0414C622" w14:textId="77777777" w:rsidTr="00D04740">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7F6616D" w14:textId="77777777" w:rsidR="00A04DF2" w:rsidRPr="001819F4" w:rsidRDefault="00A04DF2" w:rsidP="00D04740">
            <w:pPr>
              <w:pStyle w:val="Tabletext"/>
              <w:rPr>
                <w:rFonts w:ascii="Times New Roman" w:hAnsi="Times New Roman"/>
                <w:lang w:val="es-ES_tradnl"/>
              </w:rPr>
            </w:pPr>
            <w:r w:rsidRPr="001819F4">
              <w:rPr>
                <w:lang w:val="es-ES_tradnl"/>
              </w:rPr>
              <w:lastRenderedPageBreak/>
              <w:t>2.ª reunión, celebrada el 3</w:t>
            </w:r>
            <w:r>
              <w:rPr>
                <w:lang w:val="es-ES_tradnl"/>
              </w:rPr>
              <w:t> </w:t>
            </w:r>
            <w:r w:rsidRPr="001819F4">
              <w:rPr>
                <w:lang w:val="es-ES_tradnl"/>
              </w:rPr>
              <w:t xml:space="preserve">de septiembre de 2024 </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6204543C"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 xml:space="preserve">Acuerdo sobre el contenido del formulario de consulta en línea, así como sobre las fechas de inicio y finalización. </w:t>
            </w:r>
          </w:p>
          <w:p w14:paraId="5B206021" w14:textId="77777777" w:rsidR="00A04DF2" w:rsidRPr="00EC0150" w:rsidRDefault="00A04DF2" w:rsidP="00D04740">
            <w:pPr>
              <w:pStyle w:val="enumlev1"/>
              <w:spacing w:before="0"/>
              <w:rPr>
                <w:rFonts w:ascii="Times New Roman" w:hAnsi="Times New Roman"/>
                <w:sz w:val="22"/>
                <w:szCs w:val="22"/>
                <w:lang w:val="es-ES_tradnl"/>
              </w:rPr>
            </w:pPr>
            <w:r w:rsidRPr="00EC0150">
              <w:rPr>
                <w:sz w:val="22"/>
                <w:szCs w:val="22"/>
                <w:lang w:val="es-ES_tradnl"/>
              </w:rPr>
              <w:t>–</w:t>
            </w:r>
            <w:r w:rsidRPr="00EC0150">
              <w:rPr>
                <w:sz w:val="22"/>
                <w:szCs w:val="22"/>
                <w:lang w:val="es-ES_tradnl"/>
              </w:rPr>
              <w:tab/>
              <w:t xml:space="preserve">El documento </w:t>
            </w:r>
            <w:hyperlink r:id="rId285" w:history="1">
              <w:r w:rsidRPr="00EC0150">
                <w:rPr>
                  <w:rStyle w:val="Hyperlink"/>
                  <w:sz w:val="22"/>
                  <w:szCs w:val="22"/>
                  <w:lang w:val="es-ES_tradnl"/>
                </w:rPr>
                <w:t>TDAG-WG-future SGQ/10</w:t>
              </w:r>
            </w:hyperlink>
            <w:r w:rsidRPr="00EC0150">
              <w:rPr>
                <w:sz w:val="22"/>
                <w:szCs w:val="22"/>
                <w:lang w:val="es-ES_tradnl"/>
              </w:rPr>
              <w:t xml:space="preserve"> contiene el informe de la reunión. </w:t>
            </w:r>
            <w:hyperlink r:id="rId286" w:tgtFrame="_blank" w:history="1"/>
          </w:p>
        </w:tc>
      </w:tr>
      <w:tr w:rsidR="00A04DF2" w:rsidRPr="006C1B27" w14:paraId="540B862A" w14:textId="77777777" w:rsidTr="00D04740">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C01A84C" w14:textId="77777777" w:rsidR="00A04DF2" w:rsidRPr="001819F4" w:rsidRDefault="00A04DF2" w:rsidP="00D04740">
            <w:pPr>
              <w:pStyle w:val="Tabletext"/>
              <w:rPr>
                <w:rFonts w:ascii="Times New Roman" w:hAnsi="Times New Roman"/>
                <w:lang w:val="es-ES_tradnl"/>
              </w:rPr>
            </w:pPr>
            <w:r w:rsidRPr="001819F4">
              <w:rPr>
                <w:lang w:val="es-ES_tradnl"/>
              </w:rPr>
              <w:t>3.ª reunión, celebrada el 3</w:t>
            </w:r>
            <w:r>
              <w:rPr>
                <w:lang w:val="es-ES_tradnl"/>
              </w:rPr>
              <w:t> </w:t>
            </w:r>
            <w:r w:rsidRPr="001819F4">
              <w:rPr>
                <w:lang w:val="es-ES_tradnl"/>
              </w:rPr>
              <w:t xml:space="preserve">de septiembre de 2024 </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56A229F3"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 xml:space="preserve">Presentación de los resultados de la consulta en línea. </w:t>
            </w:r>
          </w:p>
          <w:p w14:paraId="26302DEA"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Examen de dos contribuciones presentadas por los Miembros (UAT, CE 1).</w:t>
            </w:r>
          </w:p>
          <w:p w14:paraId="215E2D4C"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Acuerdo para que la Presidencia prepare un proyecto de revisión de ciertos extractos de los Anexos 1 y 2 de la Resolución</w:t>
            </w:r>
            <w:r>
              <w:rPr>
                <w:sz w:val="22"/>
                <w:szCs w:val="22"/>
                <w:lang w:val="es-ES_tradnl"/>
              </w:rPr>
              <w:t> </w:t>
            </w:r>
            <w:r w:rsidRPr="00EC0150">
              <w:rPr>
                <w:sz w:val="22"/>
                <w:szCs w:val="22"/>
                <w:lang w:val="es-ES_tradnl"/>
              </w:rPr>
              <w:t>2 (Rev.</w:t>
            </w:r>
            <w:r>
              <w:rPr>
                <w:sz w:val="22"/>
                <w:szCs w:val="22"/>
                <w:lang w:val="es-ES_tradnl"/>
              </w:rPr>
              <w:t> </w:t>
            </w:r>
            <w:r w:rsidRPr="00EC0150">
              <w:rPr>
                <w:sz w:val="22"/>
                <w:szCs w:val="22"/>
                <w:lang w:val="es-ES_tradnl"/>
              </w:rPr>
              <w:t>Kigali, 2022) de la CMDT, incluidos los mandatos de las Cuestiones de Estudio. La revisión (primer proyecto de documento refundido) se basará en los resultados de la consulta en línea, las contribuciones examinadas y los debates celebrados durante la reunión.</w:t>
            </w:r>
          </w:p>
          <w:p w14:paraId="34FC746F" w14:textId="77777777" w:rsidR="00A04DF2" w:rsidRPr="00EC0150" w:rsidRDefault="00A04DF2" w:rsidP="00D04740">
            <w:pPr>
              <w:pStyle w:val="enumlev1"/>
              <w:spacing w:before="0"/>
              <w:rPr>
                <w:rFonts w:ascii="Times New Roman" w:hAnsi="Times New Roman"/>
                <w:sz w:val="22"/>
                <w:szCs w:val="22"/>
                <w:lang w:val="es-ES_tradnl"/>
              </w:rPr>
            </w:pPr>
            <w:r w:rsidRPr="00EC0150">
              <w:rPr>
                <w:sz w:val="22"/>
                <w:szCs w:val="22"/>
                <w:lang w:val="es-ES_tradnl"/>
              </w:rPr>
              <w:t>–</w:t>
            </w:r>
            <w:r w:rsidRPr="00EC0150">
              <w:rPr>
                <w:sz w:val="22"/>
                <w:szCs w:val="22"/>
                <w:lang w:val="es-ES_tradnl"/>
              </w:rPr>
              <w:tab/>
              <w:t xml:space="preserve">El documento </w:t>
            </w:r>
            <w:hyperlink r:id="rId287" w:history="1">
              <w:r w:rsidRPr="00EC0150">
                <w:rPr>
                  <w:rStyle w:val="Hyperlink"/>
                  <w:sz w:val="22"/>
                  <w:szCs w:val="22"/>
                  <w:lang w:val="es-ES_tradnl"/>
                </w:rPr>
                <w:t>TDAG-WG-</w:t>
              </w:r>
              <w:proofErr w:type="spellStart"/>
              <w:r w:rsidRPr="00EC0150">
                <w:rPr>
                  <w:rStyle w:val="Hyperlink"/>
                  <w:sz w:val="22"/>
                  <w:szCs w:val="22"/>
                  <w:lang w:val="es-ES_tradnl"/>
                </w:rPr>
                <w:t>futureSGQ</w:t>
              </w:r>
              <w:proofErr w:type="spellEnd"/>
              <w:r w:rsidRPr="00EC0150">
                <w:rPr>
                  <w:rStyle w:val="Hyperlink"/>
                  <w:sz w:val="22"/>
                  <w:szCs w:val="22"/>
                  <w:lang w:val="es-ES_tradnl"/>
                </w:rPr>
                <w:t>/16</w:t>
              </w:r>
            </w:hyperlink>
            <w:r w:rsidRPr="00EC0150">
              <w:rPr>
                <w:sz w:val="22"/>
                <w:szCs w:val="22"/>
                <w:lang w:val="es-ES_tradnl"/>
              </w:rPr>
              <w:t xml:space="preserve"> contiene el informe de la reunión. </w:t>
            </w:r>
            <w:hyperlink r:id="rId288" w:tgtFrame="_blank" w:history="1"/>
          </w:p>
        </w:tc>
      </w:tr>
      <w:tr w:rsidR="00A04DF2" w:rsidRPr="006C1B27" w14:paraId="2BC956D4" w14:textId="77777777" w:rsidTr="00D04740">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5926C9CE" w14:textId="77777777" w:rsidR="00A04DF2" w:rsidRPr="001819F4" w:rsidRDefault="00A04DF2" w:rsidP="00D04740">
            <w:pPr>
              <w:pStyle w:val="Tabletext"/>
              <w:rPr>
                <w:rFonts w:ascii="Times New Roman" w:hAnsi="Times New Roman"/>
                <w:lang w:val="es-ES_tradnl"/>
              </w:rPr>
            </w:pPr>
            <w:r w:rsidRPr="001819F4">
              <w:rPr>
                <w:lang w:val="es-ES_tradnl"/>
              </w:rPr>
              <w:t>4.ª reunión, celebrada el 21</w:t>
            </w:r>
            <w:r>
              <w:rPr>
                <w:lang w:val="es-ES_tradnl"/>
              </w:rPr>
              <w:t> </w:t>
            </w:r>
            <w:r w:rsidRPr="001819F4">
              <w:rPr>
                <w:lang w:val="es-ES_tradnl"/>
              </w:rPr>
              <w:t xml:space="preserve">de enero de 2025 </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4018C7CA"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 xml:space="preserve">Examen del primer proyecto de documento </w:t>
            </w:r>
            <w:hyperlink r:id="rId289" w:history="1">
              <w:r w:rsidRPr="00EC0150">
                <w:rPr>
                  <w:rStyle w:val="Hyperlink"/>
                  <w:sz w:val="22"/>
                  <w:szCs w:val="22"/>
                  <w:lang w:val="es-ES_tradnl"/>
                </w:rPr>
                <w:t>TDAG-WG-</w:t>
              </w:r>
              <w:proofErr w:type="spellStart"/>
              <w:r w:rsidRPr="00EC0150">
                <w:rPr>
                  <w:rStyle w:val="Hyperlink"/>
                  <w:sz w:val="22"/>
                  <w:szCs w:val="22"/>
                  <w:lang w:val="es-ES_tradnl"/>
                </w:rPr>
                <w:t>futureSGQ</w:t>
              </w:r>
              <w:proofErr w:type="spellEnd"/>
              <w:r w:rsidRPr="00EC0150">
                <w:rPr>
                  <w:rStyle w:val="Hyperlink"/>
                  <w:sz w:val="22"/>
                  <w:szCs w:val="22"/>
                  <w:lang w:val="es-ES_tradnl"/>
                </w:rPr>
                <w:t>/23 refundido</w:t>
              </w:r>
            </w:hyperlink>
            <w:r w:rsidRPr="00EC0150">
              <w:rPr>
                <w:sz w:val="22"/>
                <w:szCs w:val="22"/>
                <w:lang w:val="es-ES_tradnl"/>
              </w:rPr>
              <w:t>.</w:t>
            </w:r>
            <w:hyperlink r:id="rId290" w:tgtFrame="_blank" w:history="1"/>
          </w:p>
          <w:p w14:paraId="11B57610"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Examen de las contribuciones presentadas los miembros (APT, Reino Unido et al., China, CE 1, CE 2).</w:t>
            </w:r>
          </w:p>
          <w:p w14:paraId="797F09F1"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Acuerdo para actualizar el primer proyecto de documento refundido de acuerdo con las contribuciones examinadas, los debates mantenidos en las reuniones y las consultas posteriores que se acuerden en la reunión.</w:t>
            </w:r>
          </w:p>
          <w:p w14:paraId="19AD635B" w14:textId="77777777" w:rsidR="00A04DF2" w:rsidRPr="00EC0150" w:rsidRDefault="00A04DF2" w:rsidP="00D04740">
            <w:pPr>
              <w:pStyle w:val="enumlev1"/>
              <w:spacing w:before="0"/>
              <w:rPr>
                <w:rFonts w:ascii="Times New Roman" w:hAnsi="Times New Roman"/>
                <w:sz w:val="22"/>
                <w:szCs w:val="22"/>
                <w:lang w:val="es-ES_tradnl"/>
              </w:rPr>
            </w:pPr>
            <w:r w:rsidRPr="00EC0150">
              <w:rPr>
                <w:sz w:val="22"/>
                <w:szCs w:val="22"/>
                <w:lang w:val="es-ES_tradnl"/>
              </w:rPr>
              <w:t>–</w:t>
            </w:r>
            <w:r w:rsidRPr="00EC0150">
              <w:rPr>
                <w:sz w:val="22"/>
                <w:szCs w:val="22"/>
                <w:lang w:val="es-ES_tradnl"/>
              </w:rPr>
              <w:tab/>
              <w:t xml:space="preserve">El documento </w:t>
            </w:r>
            <w:hyperlink r:id="rId291" w:history="1">
              <w:r w:rsidRPr="00EC0150">
                <w:rPr>
                  <w:rStyle w:val="Hyperlink"/>
                  <w:sz w:val="22"/>
                  <w:szCs w:val="22"/>
                  <w:lang w:val="es-ES_tradnl"/>
                </w:rPr>
                <w:t>TDAG-WG-</w:t>
              </w:r>
              <w:proofErr w:type="spellStart"/>
              <w:r w:rsidRPr="00EC0150">
                <w:rPr>
                  <w:rStyle w:val="Hyperlink"/>
                  <w:sz w:val="22"/>
                  <w:szCs w:val="22"/>
                  <w:lang w:val="es-ES_tradnl"/>
                </w:rPr>
                <w:t>futureSGQ</w:t>
              </w:r>
              <w:proofErr w:type="spellEnd"/>
              <w:r w:rsidRPr="00EC0150">
                <w:rPr>
                  <w:rStyle w:val="Hyperlink"/>
                  <w:sz w:val="22"/>
                  <w:szCs w:val="22"/>
                  <w:lang w:val="es-ES_tradnl"/>
                </w:rPr>
                <w:t>/25</w:t>
              </w:r>
            </w:hyperlink>
            <w:r w:rsidRPr="00EC0150">
              <w:rPr>
                <w:sz w:val="22"/>
                <w:szCs w:val="22"/>
                <w:lang w:val="es-ES_tradnl"/>
              </w:rPr>
              <w:t xml:space="preserve"> contiene el informe de la reunión. </w:t>
            </w:r>
            <w:hyperlink r:id="rId292" w:tgtFrame="_blank" w:history="1"/>
          </w:p>
        </w:tc>
      </w:tr>
      <w:tr w:rsidR="00A04DF2" w:rsidRPr="006C1B27" w14:paraId="13B4FDC8" w14:textId="77777777" w:rsidTr="00D04740">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6614C267" w14:textId="77777777" w:rsidR="00A04DF2" w:rsidRPr="001819F4" w:rsidRDefault="00A04DF2" w:rsidP="00D04740">
            <w:pPr>
              <w:pStyle w:val="Tabletext"/>
              <w:rPr>
                <w:rFonts w:ascii="Times New Roman" w:hAnsi="Times New Roman"/>
                <w:lang w:val="es-ES_tradnl"/>
              </w:rPr>
            </w:pPr>
            <w:r w:rsidRPr="001819F4">
              <w:rPr>
                <w:lang w:val="es-ES_tradnl"/>
              </w:rPr>
              <w:t>5.ª reunión, celebrada el 4</w:t>
            </w:r>
            <w:r>
              <w:rPr>
                <w:lang w:val="es-ES_tradnl"/>
              </w:rPr>
              <w:t> </w:t>
            </w:r>
            <w:r w:rsidRPr="001819F4">
              <w:rPr>
                <w:lang w:val="es-ES_tradnl"/>
              </w:rPr>
              <w:t xml:space="preserve">de marzo de 2024 </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4572DCE2"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 xml:space="preserve">Examen del segundo proyecto de documento </w:t>
            </w:r>
            <w:hyperlink r:id="rId293" w:history="1">
              <w:r w:rsidRPr="00EC0150">
                <w:rPr>
                  <w:rStyle w:val="Hyperlink"/>
                  <w:sz w:val="22"/>
                  <w:szCs w:val="22"/>
                  <w:lang w:val="es-ES_tradnl"/>
                </w:rPr>
                <w:t>TDAG</w:t>
              </w:r>
              <w:r>
                <w:rPr>
                  <w:rStyle w:val="Hyperlink"/>
                  <w:sz w:val="22"/>
                  <w:szCs w:val="22"/>
                  <w:lang w:val="es-ES_tradnl"/>
                </w:rPr>
                <w:noBreakHyphen/>
              </w:r>
              <w:r w:rsidRPr="00EC0150">
                <w:rPr>
                  <w:rStyle w:val="Hyperlink"/>
                  <w:sz w:val="22"/>
                  <w:szCs w:val="22"/>
                  <w:lang w:val="es-ES_tradnl"/>
                </w:rPr>
                <w:t>WG</w:t>
              </w:r>
              <w:r>
                <w:rPr>
                  <w:rStyle w:val="Hyperlink"/>
                  <w:sz w:val="22"/>
                  <w:szCs w:val="22"/>
                  <w:lang w:val="es-ES_tradnl"/>
                </w:rPr>
                <w:noBreakHyphen/>
              </w:r>
              <w:proofErr w:type="spellStart"/>
              <w:r w:rsidRPr="00EC0150">
                <w:rPr>
                  <w:rStyle w:val="Hyperlink"/>
                  <w:sz w:val="22"/>
                  <w:szCs w:val="22"/>
                  <w:lang w:val="es-ES_tradnl"/>
                </w:rPr>
                <w:t>futureSGQ</w:t>
              </w:r>
              <w:proofErr w:type="spellEnd"/>
              <w:r w:rsidRPr="00EC0150">
                <w:rPr>
                  <w:rStyle w:val="Hyperlink"/>
                  <w:sz w:val="22"/>
                  <w:szCs w:val="22"/>
                  <w:lang w:val="es-ES_tradnl"/>
                </w:rPr>
                <w:t>/29</w:t>
              </w:r>
            </w:hyperlink>
            <w:r w:rsidRPr="00EC0150">
              <w:rPr>
                <w:sz w:val="22"/>
                <w:szCs w:val="22"/>
                <w:lang w:val="es-ES_tradnl"/>
              </w:rPr>
              <w:t xml:space="preserve"> refundido.</w:t>
            </w:r>
            <w:hyperlink r:id="rId294" w:tgtFrame="_blank" w:history="1"/>
          </w:p>
          <w:p w14:paraId="6290A06B"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Examen de cinco contribuciones presentadas por los Miembros (UAT, China, Egipto, IAGDI-CRO, CE 1).</w:t>
            </w:r>
          </w:p>
          <w:p w14:paraId="61670C4D"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Acuerdo para actualizar el segundo proyecto de documento refundido de acuerdo con las contribuciones examinadas, los debates mantenidos en las reuniones y las consultas posteriores que se acuerden en la reunión.</w:t>
            </w:r>
          </w:p>
          <w:p w14:paraId="494FC13C" w14:textId="77777777" w:rsidR="00A04DF2" w:rsidRPr="00EC0150" w:rsidRDefault="00A04DF2" w:rsidP="00D04740">
            <w:pPr>
              <w:pStyle w:val="enumlev1"/>
              <w:spacing w:before="0"/>
              <w:rPr>
                <w:rFonts w:ascii="Times New Roman" w:hAnsi="Times New Roman"/>
                <w:sz w:val="22"/>
                <w:szCs w:val="22"/>
                <w:lang w:val="es-ES_tradnl"/>
              </w:rPr>
            </w:pPr>
            <w:r w:rsidRPr="00EC0150">
              <w:rPr>
                <w:sz w:val="22"/>
                <w:szCs w:val="22"/>
                <w:lang w:val="es-ES_tradnl"/>
              </w:rPr>
              <w:t>–</w:t>
            </w:r>
            <w:r w:rsidRPr="00EC0150">
              <w:rPr>
                <w:sz w:val="22"/>
                <w:szCs w:val="22"/>
                <w:lang w:val="es-ES_tradnl"/>
              </w:rPr>
              <w:tab/>
              <w:t xml:space="preserve">El documento </w:t>
            </w:r>
            <w:hyperlink r:id="rId295" w:history="1">
              <w:r w:rsidRPr="00EC0150">
                <w:rPr>
                  <w:rStyle w:val="Hyperlink"/>
                  <w:sz w:val="22"/>
                  <w:szCs w:val="22"/>
                  <w:lang w:val="es-ES_tradnl"/>
                </w:rPr>
                <w:t>TDAG-WG-</w:t>
              </w:r>
              <w:proofErr w:type="spellStart"/>
              <w:r w:rsidRPr="00EC0150">
                <w:rPr>
                  <w:rStyle w:val="Hyperlink"/>
                  <w:sz w:val="22"/>
                  <w:szCs w:val="22"/>
                  <w:lang w:val="es-ES_tradnl"/>
                </w:rPr>
                <w:t>futureSGQ</w:t>
              </w:r>
              <w:proofErr w:type="spellEnd"/>
              <w:r w:rsidRPr="00EC0150">
                <w:rPr>
                  <w:rStyle w:val="Hyperlink"/>
                  <w:sz w:val="22"/>
                  <w:szCs w:val="22"/>
                  <w:lang w:val="es-ES_tradnl"/>
                </w:rPr>
                <w:t>/34</w:t>
              </w:r>
            </w:hyperlink>
            <w:r w:rsidRPr="00EC0150">
              <w:rPr>
                <w:sz w:val="22"/>
                <w:szCs w:val="22"/>
                <w:lang w:val="es-ES_tradnl"/>
              </w:rPr>
              <w:t xml:space="preserve"> contiene el informe de la reunión. </w:t>
            </w:r>
            <w:hyperlink r:id="rId296" w:tgtFrame="_blank" w:history="1"/>
          </w:p>
        </w:tc>
      </w:tr>
      <w:tr w:rsidR="00A04DF2" w:rsidRPr="006C1B27" w14:paraId="43D8CEE1" w14:textId="77777777" w:rsidTr="00D04740">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178931C" w14:textId="77777777" w:rsidR="00A04DF2" w:rsidRPr="001819F4" w:rsidRDefault="00A04DF2" w:rsidP="00D04740">
            <w:pPr>
              <w:pStyle w:val="Tabletext"/>
              <w:rPr>
                <w:rFonts w:ascii="Times New Roman" w:hAnsi="Times New Roman"/>
                <w:lang w:val="es-ES_tradnl"/>
              </w:rPr>
            </w:pPr>
            <w:r w:rsidRPr="001819F4">
              <w:rPr>
                <w:lang w:val="es-ES_tradnl"/>
              </w:rPr>
              <w:t>6.ª reunión, celebrada el 16</w:t>
            </w:r>
            <w:r>
              <w:rPr>
                <w:lang w:val="es-ES_tradnl"/>
              </w:rPr>
              <w:t> </w:t>
            </w:r>
            <w:r w:rsidRPr="001819F4">
              <w:rPr>
                <w:lang w:val="es-ES_tradnl"/>
              </w:rPr>
              <w:t xml:space="preserve">de abril de 2025 </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29B06E84"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 xml:space="preserve">Examen del tercer proyecto de documento </w:t>
            </w:r>
            <w:hyperlink r:id="rId297" w:history="1">
              <w:r w:rsidRPr="00EC0150">
                <w:rPr>
                  <w:rStyle w:val="Hyperlink"/>
                  <w:sz w:val="22"/>
                  <w:szCs w:val="22"/>
                  <w:lang w:val="es-ES_tradnl"/>
                </w:rPr>
                <w:t>TDAG</w:t>
              </w:r>
              <w:r>
                <w:rPr>
                  <w:rStyle w:val="Hyperlink"/>
                  <w:sz w:val="22"/>
                  <w:szCs w:val="22"/>
                  <w:lang w:val="es-ES_tradnl"/>
                </w:rPr>
                <w:noBreakHyphen/>
              </w:r>
              <w:r w:rsidRPr="00EC0150">
                <w:rPr>
                  <w:rStyle w:val="Hyperlink"/>
                  <w:sz w:val="22"/>
                  <w:szCs w:val="22"/>
                  <w:lang w:val="es-ES_tradnl"/>
                </w:rPr>
                <w:t>WG</w:t>
              </w:r>
              <w:r>
                <w:rPr>
                  <w:rStyle w:val="Hyperlink"/>
                  <w:sz w:val="22"/>
                  <w:szCs w:val="22"/>
                  <w:lang w:val="es-ES_tradnl"/>
                </w:rPr>
                <w:noBreakHyphen/>
              </w:r>
              <w:proofErr w:type="spellStart"/>
              <w:r w:rsidRPr="00EC0150">
                <w:rPr>
                  <w:rStyle w:val="Hyperlink"/>
                  <w:sz w:val="22"/>
                  <w:szCs w:val="22"/>
                  <w:lang w:val="es-ES_tradnl"/>
                </w:rPr>
                <w:t>futureSGQ</w:t>
              </w:r>
              <w:proofErr w:type="spellEnd"/>
              <w:r w:rsidRPr="00EC0150">
                <w:rPr>
                  <w:rStyle w:val="Hyperlink"/>
                  <w:sz w:val="22"/>
                  <w:szCs w:val="22"/>
                  <w:lang w:val="es-ES_tradnl"/>
                </w:rPr>
                <w:t>/38</w:t>
              </w:r>
            </w:hyperlink>
            <w:r w:rsidRPr="00EC0150">
              <w:rPr>
                <w:sz w:val="22"/>
                <w:szCs w:val="22"/>
                <w:lang w:val="es-ES_tradnl"/>
              </w:rPr>
              <w:t xml:space="preserve"> refundido.</w:t>
            </w:r>
            <w:hyperlink r:id="rId298" w:tgtFrame="_blank" w:history="1"/>
          </w:p>
          <w:p w14:paraId="708C9385"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Examen de tres contribuciones presentadas por los Miembros (APT, CRC, Federación de Rusia).</w:t>
            </w:r>
          </w:p>
          <w:p w14:paraId="5C043FCA"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 xml:space="preserve">Acuerdo para actualizar el tercer proyecto de documento refundido de acuerdo con las contribuciones examinadas, los debates mantenidos en las reuniones y las consultas posteriores que se acuerden en la reunión. El documento actualizado es </w:t>
            </w:r>
            <w:hyperlink r:id="rId299" w:history="1">
              <w:r w:rsidRPr="00EC0150">
                <w:rPr>
                  <w:rStyle w:val="Hyperlink"/>
                  <w:sz w:val="22"/>
                  <w:szCs w:val="22"/>
                  <w:lang w:val="es-ES_tradnl"/>
                </w:rPr>
                <w:t>TDAG-WG-</w:t>
              </w:r>
              <w:proofErr w:type="spellStart"/>
              <w:r w:rsidRPr="00EC0150">
                <w:rPr>
                  <w:rStyle w:val="Hyperlink"/>
                  <w:sz w:val="22"/>
                  <w:szCs w:val="22"/>
                  <w:lang w:val="es-ES_tradnl"/>
                </w:rPr>
                <w:t>futureSGQ</w:t>
              </w:r>
              <w:proofErr w:type="spellEnd"/>
              <w:r w:rsidRPr="00EC0150">
                <w:rPr>
                  <w:rStyle w:val="Hyperlink"/>
                  <w:sz w:val="22"/>
                  <w:szCs w:val="22"/>
                  <w:lang w:val="es-ES_tradnl"/>
                </w:rPr>
                <w:t>/43</w:t>
              </w:r>
            </w:hyperlink>
            <w:r w:rsidRPr="00EC0150">
              <w:rPr>
                <w:sz w:val="22"/>
                <w:szCs w:val="22"/>
                <w:lang w:val="es-ES_tradnl"/>
              </w:rPr>
              <w:t>.</w:t>
            </w:r>
            <w:hyperlink r:id="rId300" w:tgtFrame="_blank" w:history="1"/>
          </w:p>
          <w:p w14:paraId="2A100692" w14:textId="77777777" w:rsidR="00A04DF2" w:rsidRPr="00EC0150" w:rsidRDefault="00A04DF2" w:rsidP="00D04740">
            <w:pPr>
              <w:pStyle w:val="enumlev1"/>
              <w:spacing w:before="0"/>
              <w:rPr>
                <w:rFonts w:ascii="Times New Roman" w:hAnsi="Times New Roman"/>
                <w:sz w:val="22"/>
                <w:szCs w:val="22"/>
                <w:lang w:val="es-ES_tradnl"/>
              </w:rPr>
            </w:pPr>
            <w:r w:rsidRPr="00EC0150">
              <w:rPr>
                <w:sz w:val="22"/>
                <w:szCs w:val="22"/>
                <w:lang w:val="es-ES_tradnl"/>
              </w:rPr>
              <w:t>–</w:t>
            </w:r>
            <w:r w:rsidRPr="00EC0150">
              <w:rPr>
                <w:sz w:val="22"/>
                <w:szCs w:val="22"/>
                <w:lang w:val="es-ES_tradnl"/>
              </w:rPr>
              <w:tab/>
              <w:t xml:space="preserve">El documento </w:t>
            </w:r>
            <w:hyperlink r:id="rId301" w:history="1">
              <w:r w:rsidRPr="00EC0150">
                <w:rPr>
                  <w:rStyle w:val="Hyperlink"/>
                  <w:sz w:val="22"/>
                  <w:szCs w:val="22"/>
                  <w:lang w:val="es-ES_tradnl"/>
                </w:rPr>
                <w:t>TDAG-WG-future SGQ/41</w:t>
              </w:r>
            </w:hyperlink>
            <w:r w:rsidRPr="00EC0150">
              <w:rPr>
                <w:sz w:val="22"/>
                <w:szCs w:val="22"/>
                <w:lang w:val="es-ES_tradnl"/>
              </w:rPr>
              <w:t xml:space="preserve"> contiene el informe de la reunión.</w:t>
            </w:r>
            <w:hyperlink r:id="rId302" w:tgtFrame="_blank" w:history="1"/>
          </w:p>
        </w:tc>
      </w:tr>
      <w:tr w:rsidR="00A04DF2" w:rsidRPr="006C1B27" w14:paraId="3B404A15" w14:textId="77777777" w:rsidTr="00D04740">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6F855E49" w14:textId="77777777" w:rsidR="00A04DF2" w:rsidRPr="001819F4" w:rsidRDefault="00A04DF2" w:rsidP="00D04740">
            <w:pPr>
              <w:pStyle w:val="Tabletext"/>
              <w:rPr>
                <w:rFonts w:ascii="Times New Roman" w:hAnsi="Times New Roman"/>
                <w:lang w:val="es-ES_tradnl"/>
              </w:rPr>
            </w:pPr>
            <w:r w:rsidRPr="001819F4">
              <w:rPr>
                <w:lang w:val="es-ES_tradnl"/>
              </w:rPr>
              <w:lastRenderedPageBreak/>
              <w:t>7.ª reunión, celebrada el 13</w:t>
            </w:r>
            <w:r>
              <w:rPr>
                <w:lang w:val="es-ES_tradnl"/>
              </w:rPr>
              <w:t> </w:t>
            </w:r>
            <w:r w:rsidRPr="001819F4">
              <w:rPr>
                <w:lang w:val="es-ES_tradnl"/>
              </w:rPr>
              <w:t xml:space="preserve">y 15 de mayo de 2025 </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6A7EFA79"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 xml:space="preserve">Examen del cuarto proyecto de documento </w:t>
            </w:r>
            <w:hyperlink r:id="rId303" w:history="1">
              <w:r w:rsidRPr="00EC0150">
                <w:rPr>
                  <w:rStyle w:val="Hyperlink"/>
                  <w:sz w:val="22"/>
                  <w:szCs w:val="22"/>
                  <w:lang w:val="es-ES_tradnl"/>
                </w:rPr>
                <w:t>TDAG-WG-</w:t>
              </w:r>
              <w:proofErr w:type="spellStart"/>
              <w:r w:rsidRPr="00EC0150">
                <w:rPr>
                  <w:rStyle w:val="Hyperlink"/>
                  <w:sz w:val="22"/>
                  <w:szCs w:val="22"/>
                  <w:lang w:val="es-ES_tradnl"/>
                </w:rPr>
                <w:t>futureSGQ</w:t>
              </w:r>
              <w:proofErr w:type="spellEnd"/>
              <w:r w:rsidRPr="00EC0150">
                <w:rPr>
                  <w:rStyle w:val="Hyperlink"/>
                  <w:sz w:val="22"/>
                  <w:szCs w:val="22"/>
                  <w:lang w:val="es-ES_tradnl"/>
                </w:rPr>
                <w:t>/43</w:t>
              </w:r>
            </w:hyperlink>
            <w:r w:rsidRPr="00EC0150">
              <w:rPr>
                <w:sz w:val="22"/>
                <w:szCs w:val="22"/>
                <w:lang w:val="es-ES_tradnl"/>
              </w:rPr>
              <w:t xml:space="preserve"> refundido.</w:t>
            </w:r>
            <w:hyperlink r:id="rId304" w:tgtFrame="_blank" w:history="1"/>
          </w:p>
          <w:p w14:paraId="245BD9C9"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Examen de seis contribuciones de los miembros (Portugal, APT, LEA, Coordinador de la CE 1, Coordinador de la CE 2, UAT)</w:t>
            </w:r>
            <w:r>
              <w:rPr>
                <w:sz w:val="22"/>
                <w:szCs w:val="22"/>
                <w:lang w:val="es-ES_tradnl"/>
              </w:rPr>
              <w:t>.</w:t>
            </w:r>
          </w:p>
          <w:p w14:paraId="72BEC816"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 xml:space="preserve">Acuerdo para compartir un cuadro con propuestas de un vistazo, como en el </w:t>
            </w:r>
            <w:r w:rsidRPr="00EC0150">
              <w:rPr>
                <w:b/>
                <w:bCs/>
                <w:sz w:val="22"/>
                <w:szCs w:val="22"/>
                <w:lang w:val="es-ES_tradnl"/>
              </w:rPr>
              <w:t>Apéndice 3</w:t>
            </w:r>
            <w:r w:rsidRPr="00237145">
              <w:rPr>
                <w:sz w:val="22"/>
                <w:szCs w:val="22"/>
                <w:lang w:val="es-ES_tradnl"/>
              </w:rPr>
              <w:t>.</w:t>
            </w:r>
          </w:p>
          <w:p w14:paraId="1C0EEC8E"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 xml:space="preserve">Acuerdo sobre un documento final refundido propuesto para su utilización como documento de base (punto de referencia) para los Anexos 1 y 2 de la Resolución 2 de la CMDT. El documento actualizado figura en el </w:t>
            </w:r>
            <w:r w:rsidRPr="00EC0150">
              <w:rPr>
                <w:b/>
                <w:bCs/>
                <w:sz w:val="22"/>
                <w:szCs w:val="22"/>
                <w:lang w:val="es-ES_tradnl"/>
              </w:rPr>
              <w:t>Apéndice 4</w:t>
            </w:r>
            <w:r w:rsidRPr="00EC0150">
              <w:rPr>
                <w:sz w:val="22"/>
                <w:szCs w:val="22"/>
                <w:lang w:val="es-ES_tradnl"/>
              </w:rPr>
              <w:t xml:space="preserve"> al Documento</w:t>
            </w:r>
            <w:r>
              <w:rPr>
                <w:sz w:val="22"/>
                <w:szCs w:val="22"/>
                <w:lang w:val="es-ES_tradnl"/>
              </w:rPr>
              <w:t> </w:t>
            </w:r>
            <w:hyperlink r:id="rId305" w:history="1">
              <w:r w:rsidRPr="00EC0150">
                <w:rPr>
                  <w:rStyle w:val="Hyperlink"/>
                  <w:sz w:val="22"/>
                  <w:szCs w:val="22"/>
                  <w:lang w:val="es-ES_tradnl"/>
                </w:rPr>
                <w:t>TDAG</w:t>
              </w:r>
              <w:r>
                <w:rPr>
                  <w:rStyle w:val="Hyperlink"/>
                  <w:sz w:val="22"/>
                  <w:szCs w:val="22"/>
                  <w:lang w:val="es-ES_tradnl"/>
                </w:rPr>
                <w:noBreakHyphen/>
              </w:r>
              <w:r w:rsidRPr="00EC0150">
                <w:rPr>
                  <w:rStyle w:val="Hyperlink"/>
                  <w:sz w:val="22"/>
                  <w:szCs w:val="22"/>
                  <w:lang w:val="es-ES_tradnl"/>
                </w:rPr>
                <w:t>25/19(Rev.2)</w:t>
              </w:r>
            </w:hyperlink>
            <w:r w:rsidRPr="006C1B27">
              <w:rPr>
                <w:lang w:val="es-ES"/>
              </w:rPr>
              <w:t>.</w:t>
            </w:r>
            <w:hyperlink r:id="rId306" w:tgtFrame="_blank" w:history="1"/>
          </w:p>
          <w:p w14:paraId="0395C11B"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 xml:space="preserve">Téngase en cuenta que el extracto del </w:t>
            </w:r>
            <w:hyperlink r:id="rId307" w:history="1">
              <w:r w:rsidRPr="00EC0150">
                <w:rPr>
                  <w:rStyle w:val="Hyperlink"/>
                  <w:sz w:val="22"/>
                  <w:szCs w:val="22"/>
                  <w:lang w:val="es-ES_tradnl"/>
                </w:rPr>
                <w:t>TDAG-WG-</w:t>
              </w:r>
              <w:proofErr w:type="spellStart"/>
              <w:r w:rsidRPr="00EC0150">
                <w:rPr>
                  <w:rStyle w:val="Hyperlink"/>
                  <w:sz w:val="22"/>
                  <w:szCs w:val="22"/>
                  <w:lang w:val="es-ES_tradnl"/>
                </w:rPr>
                <w:t>futureSGQ</w:t>
              </w:r>
              <w:proofErr w:type="spellEnd"/>
              <w:r w:rsidRPr="00EC0150">
                <w:rPr>
                  <w:rStyle w:val="Hyperlink"/>
                  <w:sz w:val="22"/>
                  <w:szCs w:val="22"/>
                  <w:lang w:val="es-ES_tradnl"/>
                </w:rPr>
                <w:t>/43 (Rev.1)</w:t>
              </w:r>
            </w:hyperlink>
            <w:r w:rsidRPr="00EC0150">
              <w:rPr>
                <w:sz w:val="22"/>
                <w:szCs w:val="22"/>
                <w:lang w:val="es-ES_tradnl"/>
              </w:rPr>
              <w:t xml:space="preserve"> es una recopilación de las modificaciones propuestas al mandato de las Cuestiones de las Comisiones de Estudio, que no fueron discutidas en el Grupo de Trabajo. Esta información se comparte en el </w:t>
            </w:r>
            <w:r w:rsidRPr="00EC0150">
              <w:rPr>
                <w:b/>
                <w:bCs/>
                <w:sz w:val="22"/>
                <w:szCs w:val="22"/>
                <w:lang w:val="es-ES_tradnl"/>
              </w:rPr>
              <w:t>Apéndice 5</w:t>
            </w:r>
            <w:r w:rsidRPr="00EC0150">
              <w:rPr>
                <w:sz w:val="22"/>
                <w:szCs w:val="22"/>
                <w:lang w:val="es-ES_tradnl"/>
              </w:rPr>
              <w:t xml:space="preserve"> para su consideración por las organizaciones regionales de telecomunicaciones y las administraciones en sus preparativos para la CMDT</w:t>
            </w:r>
            <w:r>
              <w:rPr>
                <w:sz w:val="22"/>
                <w:szCs w:val="22"/>
                <w:lang w:val="es-ES_tradnl"/>
              </w:rPr>
              <w:noBreakHyphen/>
            </w:r>
            <w:r w:rsidRPr="00EC0150">
              <w:rPr>
                <w:sz w:val="22"/>
                <w:szCs w:val="22"/>
                <w:lang w:val="es-ES_tradnl"/>
              </w:rPr>
              <w:t>25.</w:t>
            </w:r>
            <w:hyperlink r:id="rId308" w:tgtFrame="_blank" w:history="1"/>
          </w:p>
          <w:p w14:paraId="231DE128"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 xml:space="preserve">Los Estados Unidos declararon que, en su opinión, era necesario reconsiderar la inclusión del medio ambiente, los CEM y la conformidad e interoperabilidad como temas de estudio. </w:t>
            </w:r>
          </w:p>
          <w:p w14:paraId="4C5385C9" w14:textId="77777777" w:rsidR="00A04DF2" w:rsidRPr="00EC0150" w:rsidRDefault="00A04DF2" w:rsidP="00D04740">
            <w:pPr>
              <w:pStyle w:val="enumlev1"/>
              <w:spacing w:before="0"/>
              <w:rPr>
                <w:rFonts w:ascii="Calibri" w:hAnsi="Calibri" w:cs="Calibri"/>
                <w:sz w:val="22"/>
                <w:szCs w:val="22"/>
                <w:lang w:val="es-ES_tradnl"/>
              </w:rPr>
            </w:pPr>
            <w:r w:rsidRPr="00EC0150">
              <w:rPr>
                <w:sz w:val="22"/>
                <w:szCs w:val="22"/>
                <w:lang w:val="es-ES_tradnl"/>
              </w:rPr>
              <w:t>–</w:t>
            </w:r>
            <w:r w:rsidRPr="00EC0150">
              <w:rPr>
                <w:sz w:val="22"/>
                <w:szCs w:val="22"/>
                <w:lang w:val="es-ES_tradnl"/>
              </w:rPr>
              <w:tab/>
              <w:t xml:space="preserve">El documento </w:t>
            </w:r>
            <w:hyperlink r:id="rId309" w:history="1">
              <w:r w:rsidRPr="00EC0150">
                <w:rPr>
                  <w:rStyle w:val="Hyperlink"/>
                  <w:sz w:val="22"/>
                  <w:szCs w:val="22"/>
                  <w:lang w:val="es-ES_tradnl"/>
                </w:rPr>
                <w:t>TDAG-WG-</w:t>
              </w:r>
              <w:proofErr w:type="spellStart"/>
              <w:r w:rsidRPr="00EC0150">
                <w:rPr>
                  <w:rStyle w:val="Hyperlink"/>
                  <w:sz w:val="22"/>
                  <w:szCs w:val="22"/>
                  <w:lang w:val="es-ES_tradnl"/>
                </w:rPr>
                <w:t>futureSGQ</w:t>
              </w:r>
              <w:proofErr w:type="spellEnd"/>
              <w:r w:rsidRPr="00EC0150">
                <w:rPr>
                  <w:rStyle w:val="Hyperlink"/>
                  <w:sz w:val="22"/>
                  <w:szCs w:val="22"/>
                  <w:lang w:val="es-ES_tradnl"/>
                </w:rPr>
                <w:t>/50</w:t>
              </w:r>
            </w:hyperlink>
            <w:r w:rsidRPr="00EC0150">
              <w:rPr>
                <w:sz w:val="22"/>
                <w:szCs w:val="22"/>
                <w:lang w:val="es-ES_tradnl"/>
              </w:rPr>
              <w:t xml:space="preserve"> contiene el informe de la reunión.</w:t>
            </w:r>
            <w:hyperlink r:id="rId310" w:tgtFrame="_blank" w:history="1"/>
          </w:p>
        </w:tc>
      </w:tr>
    </w:tbl>
    <w:p w14:paraId="2C66EE35" w14:textId="77777777" w:rsidR="00A04DF2" w:rsidRPr="001819F4" w:rsidRDefault="00A04DF2" w:rsidP="00A04DF2">
      <w:pPr>
        <w:rPr>
          <w:rFonts w:ascii="Segoe UI" w:hAnsi="Segoe UI" w:cs="Segoe UI"/>
          <w:sz w:val="18"/>
          <w:szCs w:val="18"/>
          <w:lang w:val="es-ES_tradnl"/>
        </w:rPr>
      </w:pPr>
      <w:r w:rsidRPr="001819F4">
        <w:rPr>
          <w:lang w:val="es-ES_tradnl"/>
        </w:rPr>
        <w:t>En el Apéndice 2 se ha incluido un resumen de las reuniones celebradas tras el GADT-24.</w:t>
      </w:r>
    </w:p>
    <w:p w14:paraId="03CD3449" w14:textId="77777777" w:rsidR="00A04DF2" w:rsidRPr="001819F4" w:rsidRDefault="00A04DF2" w:rsidP="00A04DF2">
      <w:pPr>
        <w:pStyle w:val="Heading1"/>
        <w:rPr>
          <w:rFonts w:ascii="Calibri" w:hAnsi="Calibri" w:cs="Calibri"/>
          <w:lang w:val="es-ES_tradnl"/>
        </w:rPr>
      </w:pPr>
      <w:r>
        <w:rPr>
          <w:lang w:val="es-ES_tradnl"/>
        </w:rPr>
        <w:t>5</w:t>
      </w:r>
      <w:r>
        <w:rPr>
          <w:lang w:val="es-ES_tradnl"/>
        </w:rPr>
        <w:tab/>
      </w:r>
      <w:r w:rsidRPr="001819F4">
        <w:rPr>
          <w:lang w:val="es-ES_tradnl"/>
        </w:rPr>
        <w:t>Propuestas recibidas en contribuciones a las reuniones del GT</w:t>
      </w:r>
      <w:r>
        <w:rPr>
          <w:lang w:val="es-ES_tradnl"/>
        </w:rPr>
        <w:noBreakHyphen/>
      </w:r>
      <w:r w:rsidRPr="001819F4">
        <w:rPr>
          <w:lang w:val="es-ES_tradnl"/>
        </w:rPr>
        <w:t>GADT</w:t>
      </w:r>
      <w:r>
        <w:rPr>
          <w:lang w:val="es-ES_tradnl"/>
        </w:rPr>
        <w:noBreakHyphen/>
      </w:r>
      <w:r w:rsidRPr="001819F4">
        <w:rPr>
          <w:lang w:val="es-ES_tradnl"/>
        </w:rPr>
        <w:t xml:space="preserve">futurasCCE </w:t>
      </w:r>
    </w:p>
    <w:p w14:paraId="725B7D81" w14:textId="77777777" w:rsidR="00A04DF2" w:rsidRPr="001819F4" w:rsidRDefault="00A04DF2" w:rsidP="00A04DF2">
      <w:pPr>
        <w:pStyle w:val="enumlev1"/>
        <w:rPr>
          <w:rFonts w:ascii="Calibri" w:hAnsi="Calibri" w:cs="Calibri"/>
          <w:lang w:val="es-ES_tradnl"/>
        </w:rPr>
      </w:pPr>
      <w:r>
        <w:rPr>
          <w:lang w:val="es-ES_tradnl"/>
        </w:rPr>
        <w:t>a)</w:t>
      </w:r>
      <w:r>
        <w:rPr>
          <w:lang w:val="es-ES_tradnl"/>
        </w:rPr>
        <w:tab/>
      </w:r>
      <w:r w:rsidRPr="001819F4">
        <w:rPr>
          <w:lang w:val="es-ES_tradnl"/>
        </w:rPr>
        <w:t xml:space="preserve">Documentos </w:t>
      </w:r>
      <w:hyperlink r:id="rId311"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/14</w:t>
        </w:r>
      </w:hyperlink>
      <w:r w:rsidRPr="001819F4">
        <w:rPr>
          <w:lang w:val="es-ES_tradnl"/>
        </w:rPr>
        <w:t xml:space="preserve">, </w:t>
      </w:r>
      <w:hyperlink r:id="rId312"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/27</w:t>
        </w:r>
      </w:hyperlink>
      <w:r w:rsidRPr="001819F4">
        <w:rPr>
          <w:lang w:val="es-ES_tradnl"/>
        </w:rPr>
        <w:t xml:space="preserve"> (Rev.1) y </w:t>
      </w:r>
      <w:hyperlink r:id="rId313" w:history="1">
        <w:r w:rsidRPr="001819F4">
          <w:rPr>
            <w:rStyle w:val="Hyperlink"/>
            <w:lang w:val="es-ES_tradnl"/>
          </w:rPr>
          <w:t>TDAG</w:t>
        </w:r>
        <w:r>
          <w:rPr>
            <w:rStyle w:val="Hyperlink"/>
            <w:lang w:val="es-ES_tradnl"/>
          </w:rPr>
          <w:noBreakHyphen/>
        </w:r>
        <w:r w:rsidRPr="001819F4">
          <w:rPr>
            <w:rStyle w:val="Hyperlink"/>
            <w:lang w:val="es-ES_tradnl"/>
          </w:rPr>
          <w:t>WG</w:t>
        </w:r>
        <w:r>
          <w:rPr>
            <w:rStyle w:val="Hyperlink"/>
            <w:lang w:val="es-ES_tradnl"/>
          </w:rPr>
          <w:noBreakHyphen/>
        </w:r>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/49</w:t>
        </w:r>
      </w:hyperlink>
      <w:r w:rsidRPr="001819F4">
        <w:rPr>
          <w:lang w:val="es-ES_tradnl"/>
        </w:rPr>
        <w:t xml:space="preserve"> de la Unión Africana de Telecomunicaciones (UAT), en los que se consignan las opiniones de países africanos sobre determinados temas, en armonía con la propuesta refundida del GT-GADT-futurasCCE de conservar las dos Comisiones de Estudio y tener en total 10 Cuestiones de Estudio. </w:t>
      </w:r>
      <w:hyperlink r:id="rId314" w:tgtFrame="_blank" w:history="1"/>
      <w:hyperlink r:id="rId315" w:tgtFrame="_blank" w:history="1"/>
      <w:hyperlink r:id="rId316" w:tgtFrame="_blank" w:history="1"/>
    </w:p>
    <w:p w14:paraId="3AEAA56A" w14:textId="77777777" w:rsidR="00A04DF2" w:rsidRPr="001819F4" w:rsidRDefault="00A04DF2" w:rsidP="00A04DF2">
      <w:pPr>
        <w:pStyle w:val="enumlev1"/>
        <w:rPr>
          <w:rFonts w:ascii="Calibri" w:hAnsi="Calibri" w:cs="Calibri"/>
          <w:lang w:val="es-ES_tradnl"/>
        </w:rPr>
      </w:pPr>
      <w:r>
        <w:rPr>
          <w:lang w:val="es-ES_tradnl"/>
        </w:rPr>
        <w:t>b)</w:t>
      </w:r>
      <w:r>
        <w:rPr>
          <w:lang w:val="es-ES_tradnl"/>
        </w:rPr>
        <w:tab/>
      </w:r>
      <w:r w:rsidRPr="001819F4">
        <w:rPr>
          <w:lang w:val="es-ES_tradnl"/>
        </w:rPr>
        <w:t xml:space="preserve">Documentos </w:t>
      </w:r>
      <w:hyperlink r:id="rId317"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/18</w:t>
        </w:r>
      </w:hyperlink>
      <w:r w:rsidRPr="001819F4">
        <w:rPr>
          <w:lang w:val="es-ES_tradnl"/>
        </w:rPr>
        <w:t xml:space="preserve">, </w:t>
      </w:r>
      <w:hyperlink r:id="rId318"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/36</w:t>
        </w:r>
      </w:hyperlink>
      <w:r w:rsidRPr="001819F4">
        <w:rPr>
          <w:lang w:val="es-ES_tradnl"/>
        </w:rPr>
        <w:t xml:space="preserve"> y </w:t>
      </w:r>
      <w:hyperlink r:id="rId319" w:history="1">
        <w:r w:rsidRPr="001819F4">
          <w:rPr>
            <w:rStyle w:val="Hyperlink"/>
            <w:lang w:val="es-ES_tradnl"/>
          </w:rPr>
          <w:t>TDAG-WG-TDAG-WG-</w:t>
        </w:r>
        <w:proofErr w:type="spellStart"/>
        <w:r w:rsidRPr="001819F4">
          <w:rPr>
            <w:rStyle w:val="Hyperlink"/>
            <w:lang w:val="es-ES_tradnl"/>
          </w:rPr>
          <w:t>futureSGQ</w:t>
        </w:r>
        <w:proofErr w:type="spellEnd"/>
        <w:r w:rsidRPr="001819F4">
          <w:rPr>
            <w:rStyle w:val="Hyperlink"/>
            <w:lang w:val="es-ES_tradnl"/>
          </w:rPr>
          <w:t>/45</w:t>
        </w:r>
      </w:hyperlink>
      <w:r w:rsidRPr="001819F4">
        <w:rPr>
          <w:lang w:val="es-ES_tradnl"/>
        </w:rPr>
        <w:t xml:space="preserve"> de la Telecomunidad Asia-Pacífico (APT), en los que se propone conservar dos Comisiones de Estudio y tener en total 10 Cuestiones de Estudio, conforme a la propuesta refundida del GT-GADT-futurasCCE. </w:t>
      </w:r>
      <w:hyperlink r:id="rId320" w:tgtFrame="_blank" w:history="1"/>
      <w:hyperlink r:id="rId321" w:tgtFrame="_blank" w:history="1"/>
      <w:hyperlink r:id="rId322" w:tgtFrame="_blank" w:history="1"/>
    </w:p>
    <w:p w14:paraId="56D8AE8B" w14:textId="77777777" w:rsidR="00A04DF2" w:rsidRPr="001819F4" w:rsidRDefault="00A04DF2" w:rsidP="00A04DF2">
      <w:pPr>
        <w:pStyle w:val="enumlev1"/>
        <w:rPr>
          <w:rFonts w:ascii="Calibri" w:hAnsi="Calibri" w:cs="Calibri"/>
          <w:lang w:val="es-ES_tradnl"/>
        </w:rPr>
      </w:pPr>
      <w:r>
        <w:rPr>
          <w:lang w:val="es-ES_tradnl"/>
        </w:rPr>
        <w:t>c)</w:t>
      </w:r>
      <w:r>
        <w:rPr>
          <w:lang w:val="es-ES_tradnl"/>
        </w:rPr>
        <w:tab/>
      </w:r>
      <w:r w:rsidRPr="001819F4">
        <w:rPr>
          <w:lang w:val="es-ES_tradnl"/>
        </w:rPr>
        <w:t xml:space="preserve">Documento </w:t>
      </w:r>
      <w:hyperlink r:id="rId323"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/19</w:t>
        </w:r>
      </w:hyperlink>
      <w:r w:rsidRPr="001819F4">
        <w:rPr>
          <w:lang w:val="es-ES_tradnl"/>
        </w:rPr>
        <w:t xml:space="preserve"> de Kenya, Reino Unido, GDPI, GSMA y España, donde se propone una nueva Cuestión de Estudio sobre asequibilidad de los dispositivos y contiene un proyecto de mandato. </w:t>
      </w:r>
      <w:hyperlink r:id="rId324" w:tgtFrame="_blank" w:history="1"/>
    </w:p>
    <w:p w14:paraId="51ACFEEF" w14:textId="77777777" w:rsidR="00A04DF2" w:rsidRPr="001819F4" w:rsidRDefault="00A04DF2" w:rsidP="00A04DF2">
      <w:pPr>
        <w:pStyle w:val="enumlev1"/>
        <w:rPr>
          <w:rFonts w:ascii="Calibri" w:hAnsi="Calibri" w:cs="Calibri"/>
          <w:lang w:val="es-ES_tradnl"/>
        </w:rPr>
      </w:pPr>
      <w:r>
        <w:rPr>
          <w:lang w:val="es-ES_tradnl"/>
        </w:rPr>
        <w:t>d)</w:t>
      </w:r>
      <w:r>
        <w:rPr>
          <w:lang w:val="es-ES_tradnl"/>
        </w:rPr>
        <w:tab/>
      </w:r>
      <w:r w:rsidRPr="001819F4">
        <w:rPr>
          <w:lang w:val="es-ES_tradnl"/>
        </w:rPr>
        <w:t xml:space="preserve">Documentos </w:t>
      </w:r>
      <w:hyperlink r:id="rId325"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/20</w:t>
        </w:r>
      </w:hyperlink>
      <w:r w:rsidRPr="001819F4">
        <w:rPr>
          <w:lang w:val="es-ES_tradnl"/>
        </w:rPr>
        <w:t xml:space="preserve"> y </w:t>
      </w:r>
      <w:hyperlink r:id="rId326"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/30</w:t>
        </w:r>
      </w:hyperlink>
      <w:r w:rsidRPr="001819F4">
        <w:rPr>
          <w:lang w:val="es-ES_tradnl"/>
        </w:rPr>
        <w:t xml:space="preserve"> de China, que propone una nueva Cuestión de estudio sobre la aplicación de la inteligencia artificial a la transformación digital y contiene un proyecto de mandato. </w:t>
      </w:r>
      <w:hyperlink r:id="rId327" w:tgtFrame="_blank" w:history="1"/>
      <w:hyperlink r:id="rId328" w:tgtFrame="_blank" w:history="1"/>
    </w:p>
    <w:p w14:paraId="74BCFB00" w14:textId="77777777" w:rsidR="00A04DF2" w:rsidRPr="001819F4" w:rsidRDefault="00A04DF2" w:rsidP="00A04DF2">
      <w:pPr>
        <w:pStyle w:val="enumlev1"/>
        <w:rPr>
          <w:rFonts w:ascii="Calibri" w:hAnsi="Calibri" w:cs="Calibri"/>
          <w:lang w:val="es-ES_tradnl"/>
        </w:rPr>
      </w:pPr>
      <w:r>
        <w:rPr>
          <w:lang w:val="es-ES_tradnl"/>
        </w:rPr>
        <w:t>e)</w:t>
      </w:r>
      <w:r>
        <w:rPr>
          <w:lang w:val="es-ES_tradnl"/>
        </w:rPr>
        <w:tab/>
      </w:r>
      <w:r w:rsidRPr="001819F4">
        <w:rPr>
          <w:lang w:val="es-ES_tradnl"/>
        </w:rPr>
        <w:t xml:space="preserve">Documentos </w:t>
      </w:r>
      <w:hyperlink r:id="rId329"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/12</w:t>
        </w:r>
      </w:hyperlink>
      <w:r w:rsidRPr="001819F4">
        <w:rPr>
          <w:lang w:val="es-ES_tradnl"/>
        </w:rPr>
        <w:t xml:space="preserve">, </w:t>
      </w:r>
      <w:hyperlink r:id="rId330"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/21</w:t>
        </w:r>
      </w:hyperlink>
      <w:r w:rsidRPr="001819F4">
        <w:rPr>
          <w:lang w:val="es-ES_tradnl"/>
        </w:rPr>
        <w:t xml:space="preserve">, </w:t>
      </w:r>
      <w:hyperlink r:id="rId331" w:history="1">
        <w:r w:rsidRPr="001819F4">
          <w:rPr>
            <w:rStyle w:val="Hyperlink"/>
            <w:lang w:val="es-ES_tradnl"/>
          </w:rPr>
          <w:t>TDAG-WG-TDAG-WG-</w:t>
        </w:r>
        <w:proofErr w:type="spellStart"/>
        <w:r w:rsidRPr="001819F4">
          <w:rPr>
            <w:rStyle w:val="Hyperlink"/>
            <w:lang w:val="es-ES_tradnl"/>
          </w:rPr>
          <w:t>futureSGQ</w:t>
        </w:r>
        <w:proofErr w:type="spellEnd"/>
        <w:r w:rsidRPr="001819F4">
          <w:rPr>
            <w:rStyle w:val="Hyperlink"/>
            <w:lang w:val="es-ES_tradnl"/>
          </w:rPr>
          <w:t>/28</w:t>
        </w:r>
      </w:hyperlink>
      <w:r w:rsidRPr="001819F4">
        <w:rPr>
          <w:lang w:val="es-ES_tradnl"/>
        </w:rPr>
        <w:t xml:space="preserve"> y </w:t>
      </w:r>
      <w:hyperlink r:id="rId332" w:history="1">
        <w:r w:rsidRPr="001819F4">
          <w:rPr>
            <w:rStyle w:val="Hyperlink"/>
            <w:lang w:val="es-ES_tradnl"/>
          </w:rPr>
          <w:t>TDAG-WG-</w:t>
        </w:r>
        <w:proofErr w:type="spellStart"/>
        <w:r w:rsidRPr="001819F4">
          <w:rPr>
            <w:rStyle w:val="Hyperlink"/>
            <w:lang w:val="es-ES_tradnl"/>
          </w:rPr>
          <w:t>futureSGQfutureSGQ</w:t>
        </w:r>
        <w:proofErr w:type="spellEnd"/>
        <w:r w:rsidRPr="001819F4">
          <w:rPr>
            <w:rStyle w:val="Hyperlink"/>
            <w:lang w:val="es-ES_tradnl"/>
          </w:rPr>
          <w:t>/47</w:t>
        </w:r>
      </w:hyperlink>
      <w:r w:rsidRPr="001819F4">
        <w:rPr>
          <w:lang w:val="es-ES_tradnl"/>
        </w:rPr>
        <w:t xml:space="preserve"> del Coordinador de la Comisión de Estudio</w:t>
      </w:r>
      <w:r>
        <w:rPr>
          <w:lang w:val="es-ES_tradnl"/>
        </w:rPr>
        <w:t> </w:t>
      </w:r>
      <w:r w:rsidRPr="001819F4">
        <w:rPr>
          <w:lang w:val="es-ES_tradnl"/>
        </w:rPr>
        <w:t>1</w:t>
      </w:r>
      <w:r>
        <w:rPr>
          <w:lang w:val="es-ES_tradnl"/>
        </w:rPr>
        <w:t xml:space="preserve"> </w:t>
      </w:r>
      <w:r w:rsidRPr="001819F4">
        <w:rPr>
          <w:lang w:val="es-ES_tradnl"/>
        </w:rPr>
        <w:t>(CE 1), que recogen el mandato revisado de las Cuestiones de la CE 1 del UIT</w:t>
      </w:r>
      <w:r>
        <w:rPr>
          <w:lang w:val="es-ES_tradnl"/>
        </w:rPr>
        <w:noBreakHyphen/>
      </w:r>
      <w:r w:rsidRPr="001819F4">
        <w:rPr>
          <w:lang w:val="es-ES_tradnl"/>
        </w:rPr>
        <w:t xml:space="preserve">D integradas en la propuesta refundida del GT-GADT-futurasCCE. </w:t>
      </w:r>
      <w:hyperlink r:id="rId333" w:tgtFrame="_blank" w:history="1"/>
      <w:hyperlink r:id="rId334" w:tgtFrame="_blank" w:history="1"/>
      <w:hyperlink r:id="rId335" w:tgtFrame="_blank" w:history="1"/>
      <w:hyperlink r:id="rId336" w:tgtFrame="_blank" w:history="1"/>
    </w:p>
    <w:p w14:paraId="10F62996" w14:textId="77777777" w:rsidR="00A04DF2" w:rsidRPr="001819F4" w:rsidRDefault="00A04DF2" w:rsidP="00A04DF2">
      <w:pPr>
        <w:pStyle w:val="enumlev1"/>
        <w:rPr>
          <w:rFonts w:ascii="Calibri" w:hAnsi="Calibri" w:cs="Calibri"/>
          <w:lang w:val="es-ES_tradnl"/>
        </w:rPr>
      </w:pPr>
      <w:r>
        <w:rPr>
          <w:lang w:val="es-ES_tradnl"/>
        </w:rPr>
        <w:lastRenderedPageBreak/>
        <w:t>f)</w:t>
      </w:r>
      <w:r>
        <w:rPr>
          <w:lang w:val="es-ES_tradnl"/>
        </w:rPr>
        <w:tab/>
      </w:r>
      <w:r w:rsidRPr="001819F4">
        <w:rPr>
          <w:lang w:val="es-ES_tradnl"/>
        </w:rPr>
        <w:t xml:space="preserve">Documentos </w:t>
      </w:r>
      <w:hyperlink r:id="rId337"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/22</w:t>
        </w:r>
      </w:hyperlink>
      <w:r w:rsidRPr="001819F4">
        <w:rPr>
          <w:lang w:val="es-ES_tradnl"/>
        </w:rPr>
        <w:t xml:space="preserve"> y </w:t>
      </w:r>
      <w:hyperlink r:id="rId338"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/48</w:t>
        </w:r>
      </w:hyperlink>
      <w:r w:rsidRPr="001819F4">
        <w:rPr>
          <w:lang w:val="es-ES_tradnl"/>
        </w:rPr>
        <w:t xml:space="preserve"> del Coordinador de la Comisión de Estudio 2 (CE 2), que exponen una serie de consideraciones sobre los temas de estudio nuevos y revisados para las Cuestiones de la Comisión de Estudio 2 integradas en la propuesta refundida del GT-GADT-futurasCCE. </w:t>
      </w:r>
      <w:hyperlink r:id="rId339" w:tgtFrame="_blank" w:history="1"/>
      <w:hyperlink r:id="rId340" w:tgtFrame="_blank" w:history="1"/>
    </w:p>
    <w:p w14:paraId="4EA61943" w14:textId="77777777" w:rsidR="00A04DF2" w:rsidRPr="001819F4" w:rsidRDefault="00A04DF2" w:rsidP="00A04DF2">
      <w:pPr>
        <w:pStyle w:val="enumlev1"/>
        <w:rPr>
          <w:rFonts w:ascii="Calibri" w:hAnsi="Calibri" w:cs="Calibri"/>
          <w:lang w:val="es-ES_tradnl"/>
        </w:rPr>
      </w:pPr>
      <w:r>
        <w:rPr>
          <w:lang w:val="es-ES_tradnl"/>
        </w:rPr>
        <w:t>g)</w:t>
      </w:r>
      <w:r>
        <w:rPr>
          <w:lang w:val="es-ES_tradnl"/>
        </w:rPr>
        <w:tab/>
      </w:r>
      <w:r w:rsidRPr="001819F4">
        <w:rPr>
          <w:lang w:val="es-ES_tradnl"/>
        </w:rPr>
        <w:t xml:space="preserve">Documento </w:t>
      </w:r>
      <w:hyperlink r:id="rId341"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/31</w:t>
        </w:r>
      </w:hyperlink>
      <w:r w:rsidRPr="001819F4">
        <w:rPr>
          <w:lang w:val="es-ES_tradnl"/>
        </w:rPr>
        <w:t xml:space="preserve"> del Grupo Asesor de la Industria sobre Cuestiones de Desarrollo y de Directores de Reglamentación del Sector Privado (IAGDI-CRO), que contiene información sobre posibles temas candentes para las futuras Cuestiones de Estudio, identificados en las dos Charlas Tecnológicas (</w:t>
      </w:r>
      <w:proofErr w:type="spellStart"/>
      <w:r w:rsidRPr="001819F4">
        <w:rPr>
          <w:lang w:val="es-ES_tradnl"/>
        </w:rPr>
        <w:t>Tech</w:t>
      </w:r>
      <w:proofErr w:type="spellEnd"/>
      <w:r w:rsidRPr="001819F4">
        <w:rPr>
          <w:lang w:val="es-ES_tradnl"/>
        </w:rPr>
        <w:t xml:space="preserve"> </w:t>
      </w:r>
      <w:proofErr w:type="spellStart"/>
      <w:r w:rsidRPr="001819F4">
        <w:rPr>
          <w:lang w:val="es-ES_tradnl"/>
        </w:rPr>
        <w:t>Talks</w:t>
      </w:r>
      <w:proofErr w:type="spellEnd"/>
      <w:r w:rsidRPr="001819F4">
        <w:rPr>
          <w:lang w:val="es-ES_tradnl"/>
        </w:rPr>
        <w:t xml:space="preserve">) sobre los actuales títulos de las CE 1 y CE 2. </w:t>
      </w:r>
      <w:hyperlink r:id="rId342" w:tgtFrame="_blank" w:history="1"/>
    </w:p>
    <w:p w14:paraId="5523FAE7" w14:textId="77777777" w:rsidR="00A04DF2" w:rsidRPr="001819F4" w:rsidRDefault="00A04DF2" w:rsidP="00A04DF2">
      <w:pPr>
        <w:pStyle w:val="enumlev1"/>
        <w:rPr>
          <w:rFonts w:ascii="Calibri" w:hAnsi="Calibri" w:cs="Calibri"/>
          <w:lang w:val="es-ES_tradnl"/>
        </w:rPr>
      </w:pPr>
      <w:r>
        <w:rPr>
          <w:lang w:val="es-ES_tradnl"/>
        </w:rPr>
        <w:t>h)</w:t>
      </w:r>
      <w:r>
        <w:rPr>
          <w:lang w:val="es-ES_tradnl"/>
        </w:rPr>
        <w:tab/>
      </w:r>
      <w:r w:rsidRPr="001819F4">
        <w:rPr>
          <w:lang w:val="es-ES_tradnl"/>
        </w:rPr>
        <w:t xml:space="preserve">Documento </w:t>
      </w:r>
      <w:hyperlink r:id="rId343"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/32</w:t>
        </w:r>
      </w:hyperlink>
      <w:r w:rsidRPr="001819F4">
        <w:rPr>
          <w:lang w:val="es-ES_tradnl"/>
        </w:rPr>
        <w:t xml:space="preserve"> de Egipto, donde se proponen las bases y directrices para proponer futuras Cuestiones y se formulan comentarios sobre la propuesta refundida del GT-GADT-futurasCCE. </w:t>
      </w:r>
      <w:hyperlink r:id="rId344" w:tgtFrame="_blank" w:history="1"/>
    </w:p>
    <w:p w14:paraId="605D4868" w14:textId="77777777" w:rsidR="00A04DF2" w:rsidRPr="001819F4" w:rsidRDefault="00A04DF2" w:rsidP="00A04DF2">
      <w:pPr>
        <w:pStyle w:val="enumlev1"/>
        <w:rPr>
          <w:rFonts w:ascii="Calibri" w:hAnsi="Calibri" w:cs="Calibri"/>
          <w:lang w:val="es-ES_tradnl"/>
        </w:rPr>
      </w:pPr>
      <w:r>
        <w:rPr>
          <w:lang w:val="es-ES_tradnl"/>
        </w:rPr>
        <w:t>i)</w:t>
      </w:r>
      <w:r>
        <w:rPr>
          <w:lang w:val="es-ES_tradnl"/>
        </w:rPr>
        <w:tab/>
      </w:r>
      <w:r w:rsidRPr="001819F4">
        <w:rPr>
          <w:lang w:val="es-ES_tradnl"/>
        </w:rPr>
        <w:t xml:space="preserve">Documento </w:t>
      </w:r>
      <w:hyperlink r:id="rId345"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/37</w:t>
        </w:r>
      </w:hyperlink>
      <w:r w:rsidRPr="001819F4">
        <w:rPr>
          <w:lang w:val="es-ES_tradnl"/>
        </w:rPr>
        <w:t xml:space="preserve"> de la Comunidad Regional de Comunicaciones (CRC), que contiene observaciones sobre el número de Comisiones de Estudio y de Cuestiones de Estudio para el periodo 2026-2029. Estas opiniones están respaldadas por un análisis de la estructura actual, incluidas las correspondencias de los temas de las Cuestiones y de las contribuciones recibidas. </w:t>
      </w:r>
      <w:hyperlink r:id="rId346" w:tgtFrame="_blank" w:history="1"/>
    </w:p>
    <w:p w14:paraId="75AFAB79" w14:textId="77777777" w:rsidR="00A04DF2" w:rsidRPr="001819F4" w:rsidRDefault="00A04DF2" w:rsidP="00A04DF2">
      <w:pPr>
        <w:pStyle w:val="enumlev1"/>
        <w:rPr>
          <w:rFonts w:ascii="Calibri" w:hAnsi="Calibri" w:cs="Calibri"/>
          <w:lang w:val="es-ES_tradnl"/>
        </w:rPr>
      </w:pPr>
      <w:r>
        <w:rPr>
          <w:lang w:val="es-ES_tradnl"/>
        </w:rPr>
        <w:t>j)</w:t>
      </w:r>
      <w:r>
        <w:rPr>
          <w:lang w:val="es-ES_tradnl"/>
        </w:rPr>
        <w:tab/>
      </w:r>
      <w:r w:rsidRPr="001819F4">
        <w:rPr>
          <w:lang w:val="es-ES_tradnl"/>
        </w:rPr>
        <w:t xml:space="preserve">Documento </w:t>
      </w:r>
      <w:hyperlink r:id="rId347"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/39</w:t>
        </w:r>
      </w:hyperlink>
      <w:r w:rsidRPr="001819F4">
        <w:rPr>
          <w:lang w:val="es-ES_tradnl"/>
        </w:rPr>
        <w:t xml:space="preserve"> de la Federación de Rusia, en el que se propone actualizar el mandato de la Cuestión 7/1. </w:t>
      </w:r>
      <w:hyperlink r:id="rId348" w:tgtFrame="_blank" w:history="1"/>
    </w:p>
    <w:p w14:paraId="6F523E29" w14:textId="77777777" w:rsidR="00A04DF2" w:rsidRPr="001819F4" w:rsidRDefault="00A04DF2" w:rsidP="00A04DF2">
      <w:pPr>
        <w:pStyle w:val="enumlev1"/>
        <w:rPr>
          <w:rFonts w:ascii="Calibri" w:hAnsi="Calibri" w:cs="Calibri"/>
          <w:lang w:val="es-ES_tradnl"/>
        </w:rPr>
      </w:pPr>
      <w:r>
        <w:rPr>
          <w:lang w:val="es-ES_tradnl"/>
        </w:rPr>
        <w:t>k)</w:t>
      </w:r>
      <w:r>
        <w:rPr>
          <w:lang w:val="es-ES_tradnl"/>
        </w:rPr>
        <w:tab/>
      </w:r>
      <w:r w:rsidRPr="001819F4">
        <w:rPr>
          <w:lang w:val="es-ES_tradnl"/>
        </w:rPr>
        <w:t xml:space="preserve">Documento </w:t>
      </w:r>
      <w:hyperlink r:id="rId349"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/44</w:t>
        </w:r>
      </w:hyperlink>
      <w:r w:rsidRPr="001819F4">
        <w:rPr>
          <w:lang w:val="es-ES_tradnl"/>
        </w:rPr>
        <w:t xml:space="preserve"> de Portugal con una propuesta de actualización del mandato de la Cuestión 6/1. </w:t>
      </w:r>
      <w:hyperlink r:id="rId350" w:tgtFrame="_blank" w:history="1"/>
    </w:p>
    <w:p w14:paraId="412798D1" w14:textId="77777777" w:rsidR="00A04DF2" w:rsidRPr="001819F4" w:rsidRDefault="00A04DF2" w:rsidP="00A04DF2">
      <w:pPr>
        <w:pStyle w:val="enumlev1"/>
        <w:rPr>
          <w:rFonts w:ascii="Calibri" w:hAnsi="Calibri" w:cs="Calibri"/>
          <w:lang w:val="es-ES_tradnl"/>
        </w:rPr>
      </w:pPr>
      <w:r>
        <w:rPr>
          <w:lang w:val="es-ES_tradnl"/>
        </w:rPr>
        <w:t>l)</w:t>
      </w:r>
      <w:r>
        <w:rPr>
          <w:lang w:val="es-ES_tradnl"/>
        </w:rPr>
        <w:tab/>
      </w:r>
      <w:r w:rsidRPr="001819F4">
        <w:rPr>
          <w:lang w:val="es-ES_tradnl"/>
        </w:rPr>
        <w:t xml:space="preserve">Documento </w:t>
      </w:r>
      <w:hyperlink r:id="rId351"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/46</w:t>
        </w:r>
      </w:hyperlink>
      <w:r w:rsidRPr="001819F4">
        <w:rPr>
          <w:lang w:val="es-ES_tradnl"/>
        </w:rPr>
        <w:t xml:space="preserve"> de la Liga de los Estados Árabes (LEA), donde se formulan comentarios sobre la propuesta refundida del GT-GADT-futurasCCE. </w:t>
      </w:r>
      <w:hyperlink r:id="rId352" w:tgtFrame="_blank" w:history="1"/>
    </w:p>
    <w:p w14:paraId="271E4F63" w14:textId="77777777" w:rsidR="00A04DF2" w:rsidRPr="001819F4" w:rsidRDefault="00A04DF2" w:rsidP="00A04DF2">
      <w:pPr>
        <w:pStyle w:val="Heading1"/>
        <w:rPr>
          <w:rFonts w:ascii="Calibri" w:hAnsi="Calibri" w:cs="Calibri"/>
          <w:lang w:val="es-ES_tradnl"/>
        </w:rPr>
      </w:pPr>
      <w:r>
        <w:rPr>
          <w:lang w:val="es-ES_tradnl"/>
        </w:rPr>
        <w:t>6</w:t>
      </w:r>
      <w:r>
        <w:rPr>
          <w:lang w:val="es-ES_tradnl"/>
        </w:rPr>
        <w:tab/>
      </w:r>
      <w:r w:rsidRPr="001819F4">
        <w:rPr>
          <w:lang w:val="es-ES_tradnl"/>
        </w:rPr>
        <w:t xml:space="preserve">Conclusión </w:t>
      </w:r>
    </w:p>
    <w:p w14:paraId="50D84B0D" w14:textId="77777777" w:rsidR="00A04DF2" w:rsidRPr="001819F4" w:rsidRDefault="00A04DF2" w:rsidP="00A04DF2">
      <w:pPr>
        <w:rPr>
          <w:rFonts w:ascii="Segoe UI" w:hAnsi="Segoe UI" w:cs="Segoe UI"/>
          <w:sz w:val="18"/>
          <w:szCs w:val="18"/>
          <w:lang w:val="es-ES_tradnl"/>
        </w:rPr>
      </w:pPr>
      <w:r w:rsidRPr="001819F4">
        <w:rPr>
          <w:lang w:val="es-ES_tradnl"/>
        </w:rPr>
        <w:t xml:space="preserve">Después de las extensas consultas celebradas, en el </w:t>
      </w:r>
      <w:r w:rsidRPr="001819F4">
        <w:rPr>
          <w:b/>
          <w:bCs/>
          <w:lang w:val="es-ES_tradnl"/>
        </w:rPr>
        <w:t>Apéndice 4</w:t>
      </w:r>
      <w:r w:rsidRPr="001819F4">
        <w:rPr>
          <w:lang w:val="es-ES_tradnl"/>
        </w:rPr>
        <w:t xml:space="preserve"> figura un documento final refundido propuesto para su utilización como documento de base (punto de referencia) para los Anexos 1 y 2 de la Resolución 2 de la CMDT. Las principales propuestas consisten en: </w:t>
      </w:r>
    </w:p>
    <w:p w14:paraId="14C41382"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Mantener 2 Comisiones de Estudio, con un título revisado más breve para la CE</w:t>
      </w:r>
      <w:r>
        <w:rPr>
          <w:lang w:val="es-ES_tradnl"/>
        </w:rPr>
        <w:t> </w:t>
      </w:r>
      <w:r w:rsidRPr="001819F4">
        <w:rPr>
          <w:lang w:val="es-ES_tradnl"/>
        </w:rPr>
        <w:t xml:space="preserve">1. </w:t>
      </w:r>
    </w:p>
    <w:p w14:paraId="412D1747"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Definir 5 Cuestiones de Estudio para cada Comisión de Estudio a fin de reducir las duplicaciones de temas/contribuciones y utilizar los recursos con mayor eficiencia. De aprobarse esta propuesta, las reuniones de los Grupos de Relator podrían celebrarse en una semana y la duración de las reuniones consecutivas de los Grupos de Relator de las Comisiones de Estudio 1 y 2 podría reducirse de cuatro a dos semanas. </w:t>
      </w:r>
    </w:p>
    <w:p w14:paraId="79E2C958" w14:textId="77777777" w:rsidR="00A04DF2" w:rsidRPr="001819F4" w:rsidRDefault="00A04DF2" w:rsidP="00A04DF2">
      <w:pPr>
        <w:rPr>
          <w:rFonts w:ascii="Segoe UI" w:hAnsi="Segoe UI" w:cs="Segoe UI"/>
          <w:sz w:val="18"/>
          <w:szCs w:val="18"/>
          <w:lang w:val="es-ES_tradnl"/>
        </w:rPr>
      </w:pPr>
      <w:r w:rsidRPr="001819F4">
        <w:rPr>
          <w:lang w:val="es-ES_tradnl"/>
        </w:rPr>
        <w:t xml:space="preserve">Sobre la base de las contribuciones recibidas, el </w:t>
      </w:r>
      <w:r w:rsidRPr="001819F4">
        <w:rPr>
          <w:b/>
          <w:bCs/>
          <w:lang w:val="es-ES_tradnl"/>
        </w:rPr>
        <w:t>Apéndice 5</w:t>
      </w:r>
      <w:r w:rsidRPr="001819F4">
        <w:rPr>
          <w:lang w:val="es-ES_tradnl"/>
        </w:rPr>
        <w:t xml:space="preserve"> ofrece una recopilación de las modificaciones propuestas al mandato de las Cuestiones de las Comisiones de Estudio, que no fueron discutidas en el Grupo de Trabajo. Se ha invitado a las administraciones y organizaciones regionales de telecomunicaciones a que examinen este apéndice en sus preparativos para la CMDT</w:t>
      </w:r>
      <w:r>
        <w:rPr>
          <w:lang w:val="es-ES_tradnl"/>
        </w:rPr>
        <w:noBreakHyphen/>
      </w:r>
      <w:r w:rsidRPr="001819F4">
        <w:rPr>
          <w:lang w:val="es-ES_tradnl"/>
        </w:rPr>
        <w:t xml:space="preserve">25. </w:t>
      </w:r>
    </w:p>
    <w:p w14:paraId="6DA1DC85" w14:textId="77777777" w:rsidR="00A04DF2" w:rsidRPr="001819F4" w:rsidRDefault="00A04DF2" w:rsidP="00A04DF2">
      <w:pPr>
        <w:tabs>
          <w:tab w:val="clear" w:pos="794"/>
          <w:tab w:val="clear" w:pos="1191"/>
          <w:tab w:val="clear" w:pos="1588"/>
          <w:tab w:val="clear" w:pos="1985"/>
        </w:tabs>
        <w:overflowPunct/>
        <w:autoSpaceDE/>
        <w:autoSpaceDN/>
        <w:adjustRightInd/>
        <w:spacing w:before="0"/>
        <w:textAlignment w:val="auto"/>
        <w:rPr>
          <w:rFonts w:ascii="Calibri" w:hAnsi="Calibri" w:cs="Calibri"/>
          <w:b/>
          <w:bCs/>
          <w:lang w:val="es-ES_tradnl"/>
        </w:rPr>
      </w:pPr>
      <w:r w:rsidRPr="001819F4">
        <w:rPr>
          <w:rFonts w:ascii="Calibri" w:hAnsi="Calibri" w:cs="Calibri"/>
          <w:b/>
          <w:bCs/>
          <w:lang w:val="es-ES_tradnl"/>
        </w:rPr>
        <w:br w:type="page"/>
      </w:r>
    </w:p>
    <w:p w14:paraId="7595DD23" w14:textId="77777777" w:rsidR="00A04DF2" w:rsidRPr="001819F4" w:rsidRDefault="00A04DF2" w:rsidP="00A04DF2">
      <w:pPr>
        <w:pStyle w:val="AppendixNo"/>
        <w:rPr>
          <w:rFonts w:ascii="Calibri" w:hAnsi="Calibri" w:cs="Calibri"/>
          <w:lang w:val="es-ES_tradnl"/>
        </w:rPr>
      </w:pPr>
      <w:r w:rsidRPr="001819F4">
        <w:rPr>
          <w:lang w:val="es-ES_tradnl"/>
        </w:rPr>
        <w:lastRenderedPageBreak/>
        <w:t>Apéndice 1</w:t>
      </w:r>
    </w:p>
    <w:p w14:paraId="11518D9D" w14:textId="77777777" w:rsidR="00A04DF2" w:rsidRPr="001819F4" w:rsidRDefault="00A04DF2" w:rsidP="00A04DF2">
      <w:pPr>
        <w:pStyle w:val="Appendixtitle"/>
        <w:rPr>
          <w:rFonts w:ascii="Calibri" w:hAnsi="Calibri" w:cs="Calibri"/>
          <w:lang w:val="es-ES_tradnl"/>
        </w:rPr>
      </w:pPr>
      <w:r w:rsidRPr="001819F4">
        <w:rPr>
          <w:lang w:val="es-ES_tradnl"/>
        </w:rPr>
        <w:t>Puntos Focales regionales</w:t>
      </w:r>
    </w:p>
    <w:p w14:paraId="00B28A4B" w14:textId="77777777" w:rsidR="00A04DF2" w:rsidRPr="00DC2E0A" w:rsidRDefault="00A04DF2" w:rsidP="00A04DF2">
      <w:pPr>
        <w:rPr>
          <w:rFonts w:ascii="Segoe UI" w:hAnsi="Segoe UI" w:cs="Segoe UI"/>
          <w:szCs w:val="24"/>
          <w:lang w:val="es-ES_tradnl"/>
        </w:rPr>
      </w:pPr>
      <w:r w:rsidRPr="001819F4">
        <w:rPr>
          <w:lang w:val="es-ES_tradnl"/>
        </w:rPr>
        <w:t>Sr. Mohammad Khalil-</w:t>
      </w:r>
      <w:proofErr w:type="spellStart"/>
      <w:r w:rsidRPr="001819F4">
        <w:rPr>
          <w:lang w:val="es-ES_tradnl"/>
        </w:rPr>
        <w:t>Ur</w:t>
      </w:r>
      <w:proofErr w:type="spellEnd"/>
      <w:r w:rsidRPr="001819F4">
        <w:rPr>
          <w:lang w:val="es-ES_tradnl"/>
        </w:rPr>
        <w:t xml:space="preserve">-Rahman (Bangladesh) de </w:t>
      </w:r>
      <w:r w:rsidRPr="00DC2E0A">
        <w:rPr>
          <w:szCs w:val="24"/>
          <w:lang w:val="es-ES_tradnl"/>
        </w:rPr>
        <w:t xml:space="preserve">APT (Asia-Pacífico) </w:t>
      </w:r>
    </w:p>
    <w:p w14:paraId="5C7012F2" w14:textId="77777777" w:rsidR="00A04DF2" w:rsidRPr="00DC2E0A" w:rsidRDefault="00A04DF2" w:rsidP="00A04DF2">
      <w:pPr>
        <w:rPr>
          <w:rFonts w:ascii="Segoe UI" w:hAnsi="Segoe UI" w:cs="Segoe UI"/>
          <w:szCs w:val="24"/>
          <w:lang w:val="es-ES_tradnl"/>
        </w:rPr>
      </w:pPr>
      <w:r w:rsidRPr="00DC2E0A">
        <w:rPr>
          <w:szCs w:val="24"/>
          <w:lang w:val="es-ES_tradnl"/>
        </w:rPr>
        <w:t xml:space="preserve">Sra. </w:t>
      </w:r>
      <w:proofErr w:type="spellStart"/>
      <w:r w:rsidRPr="00DC2E0A">
        <w:rPr>
          <w:szCs w:val="24"/>
          <w:lang w:val="es-ES_tradnl"/>
        </w:rPr>
        <w:t>Caecilia</w:t>
      </w:r>
      <w:proofErr w:type="spellEnd"/>
      <w:r w:rsidRPr="00DC2E0A">
        <w:rPr>
          <w:szCs w:val="24"/>
          <w:lang w:val="es-ES_tradnl"/>
        </w:rPr>
        <w:t xml:space="preserve"> </w:t>
      </w:r>
      <w:proofErr w:type="spellStart"/>
      <w:r w:rsidRPr="00DC2E0A">
        <w:rPr>
          <w:szCs w:val="24"/>
          <w:lang w:val="es-ES_tradnl"/>
        </w:rPr>
        <w:t>Nyamutswa</w:t>
      </w:r>
      <w:proofErr w:type="spellEnd"/>
      <w:r w:rsidRPr="00DC2E0A">
        <w:rPr>
          <w:szCs w:val="24"/>
          <w:lang w:val="es-ES_tradnl"/>
        </w:rPr>
        <w:t xml:space="preserve"> (</w:t>
      </w:r>
      <w:proofErr w:type="spellStart"/>
      <w:r w:rsidRPr="00DC2E0A">
        <w:rPr>
          <w:szCs w:val="24"/>
          <w:lang w:val="es-ES_tradnl"/>
        </w:rPr>
        <w:t>Zimbabwe</w:t>
      </w:r>
      <w:proofErr w:type="spellEnd"/>
      <w:r w:rsidRPr="00DC2E0A">
        <w:rPr>
          <w:szCs w:val="24"/>
          <w:lang w:val="es-ES_tradnl"/>
        </w:rPr>
        <w:t xml:space="preserve">) de UAT (África) </w:t>
      </w:r>
    </w:p>
    <w:p w14:paraId="5293B47E" w14:textId="77777777" w:rsidR="00A04DF2" w:rsidRPr="00DC2E0A" w:rsidRDefault="00A04DF2" w:rsidP="00A04DF2">
      <w:pPr>
        <w:rPr>
          <w:rFonts w:ascii="Segoe UI" w:hAnsi="Segoe UI" w:cs="Segoe UI"/>
          <w:szCs w:val="24"/>
          <w:lang w:val="es-ES_tradnl"/>
        </w:rPr>
      </w:pPr>
      <w:r w:rsidRPr="00DC2E0A">
        <w:rPr>
          <w:szCs w:val="24"/>
          <w:lang w:val="es-ES_tradnl"/>
        </w:rPr>
        <w:t xml:space="preserve">Sra. </w:t>
      </w:r>
      <w:proofErr w:type="spellStart"/>
      <w:r w:rsidRPr="00DC2E0A">
        <w:rPr>
          <w:szCs w:val="24"/>
          <w:lang w:val="es-ES_tradnl"/>
        </w:rPr>
        <w:t>Madalina</w:t>
      </w:r>
      <w:proofErr w:type="spellEnd"/>
      <w:r w:rsidRPr="00DC2E0A">
        <w:rPr>
          <w:szCs w:val="24"/>
          <w:lang w:val="es-ES_tradnl"/>
        </w:rPr>
        <w:t xml:space="preserve"> </w:t>
      </w:r>
      <w:proofErr w:type="spellStart"/>
      <w:r w:rsidRPr="00DC2E0A">
        <w:rPr>
          <w:szCs w:val="24"/>
          <w:lang w:val="es-ES_tradnl"/>
        </w:rPr>
        <w:t>Clapon</w:t>
      </w:r>
      <w:proofErr w:type="spellEnd"/>
      <w:r w:rsidRPr="00DC2E0A">
        <w:rPr>
          <w:szCs w:val="24"/>
          <w:lang w:val="es-ES_tradnl"/>
        </w:rPr>
        <w:t xml:space="preserve"> (Rumania) y Sr. Teddy </w:t>
      </w:r>
      <w:proofErr w:type="spellStart"/>
      <w:r w:rsidRPr="00DC2E0A">
        <w:rPr>
          <w:szCs w:val="24"/>
          <w:lang w:val="es-ES_tradnl"/>
        </w:rPr>
        <w:t>Woodhouse</w:t>
      </w:r>
      <w:proofErr w:type="spellEnd"/>
      <w:r w:rsidRPr="00DC2E0A">
        <w:rPr>
          <w:szCs w:val="24"/>
          <w:lang w:val="es-ES_tradnl"/>
        </w:rPr>
        <w:t xml:space="preserve"> (Reino Unido) de CEPT (Europa) </w:t>
      </w:r>
    </w:p>
    <w:p w14:paraId="07801E44" w14:textId="77777777" w:rsidR="00A04DF2" w:rsidRPr="00DC2E0A" w:rsidRDefault="00A04DF2" w:rsidP="00A04DF2">
      <w:pPr>
        <w:rPr>
          <w:rFonts w:ascii="Segoe UI" w:hAnsi="Segoe UI" w:cs="Segoe UI"/>
          <w:szCs w:val="24"/>
          <w:lang w:val="es-ES_tradnl"/>
        </w:rPr>
      </w:pPr>
      <w:r w:rsidRPr="00DC2E0A">
        <w:rPr>
          <w:szCs w:val="24"/>
          <w:lang w:val="es-ES_tradnl"/>
        </w:rPr>
        <w:t xml:space="preserve">Sr. Roberto Hirayama (Brasil) de CITEL (América) </w:t>
      </w:r>
    </w:p>
    <w:p w14:paraId="5915DE09" w14:textId="77777777" w:rsidR="00A04DF2" w:rsidRPr="00DC2E0A" w:rsidRDefault="00A04DF2" w:rsidP="00A04DF2">
      <w:pPr>
        <w:rPr>
          <w:rFonts w:ascii="Segoe UI" w:hAnsi="Segoe UI" w:cs="Segoe UI"/>
          <w:szCs w:val="24"/>
          <w:lang w:val="es-ES_tradnl"/>
        </w:rPr>
      </w:pPr>
      <w:r w:rsidRPr="00DC2E0A">
        <w:rPr>
          <w:szCs w:val="24"/>
          <w:lang w:val="es-ES_tradnl"/>
        </w:rPr>
        <w:t xml:space="preserve">Sr. </w:t>
      </w:r>
      <w:proofErr w:type="spellStart"/>
      <w:r w:rsidRPr="00DC2E0A">
        <w:rPr>
          <w:szCs w:val="24"/>
          <w:lang w:val="es-ES_tradnl"/>
        </w:rPr>
        <w:t>Belkassem</w:t>
      </w:r>
      <w:proofErr w:type="spellEnd"/>
      <w:r w:rsidRPr="00DC2E0A">
        <w:rPr>
          <w:szCs w:val="24"/>
          <w:lang w:val="es-ES_tradnl"/>
        </w:rPr>
        <w:t xml:space="preserve"> Makhlouf (LAS) de LAS (Estados Árabes) </w:t>
      </w:r>
    </w:p>
    <w:p w14:paraId="36F3D61D" w14:textId="77777777" w:rsidR="00A04DF2" w:rsidRPr="00DC2E0A" w:rsidRDefault="00A04DF2" w:rsidP="00A04DF2">
      <w:pPr>
        <w:rPr>
          <w:rFonts w:ascii="Segoe UI" w:hAnsi="Segoe UI" w:cs="Segoe UI"/>
          <w:szCs w:val="24"/>
          <w:lang w:val="es-ES_tradnl"/>
        </w:rPr>
      </w:pPr>
      <w:r w:rsidRPr="00DC2E0A">
        <w:rPr>
          <w:szCs w:val="24"/>
          <w:lang w:val="es-ES_tradnl"/>
        </w:rPr>
        <w:t xml:space="preserve">Sr. Arseny Plossky (Federación de Rusia) de RCC (regiones CIS) </w:t>
      </w:r>
    </w:p>
    <w:p w14:paraId="4369DE04" w14:textId="77777777" w:rsidR="00A04DF2" w:rsidRPr="001819F4" w:rsidRDefault="00A04DF2" w:rsidP="00A04DF2">
      <w:pPr>
        <w:tabs>
          <w:tab w:val="clear" w:pos="794"/>
          <w:tab w:val="clear" w:pos="1191"/>
          <w:tab w:val="clear" w:pos="1588"/>
          <w:tab w:val="clear" w:pos="1985"/>
        </w:tabs>
        <w:overflowPunct/>
        <w:autoSpaceDE/>
        <w:autoSpaceDN/>
        <w:adjustRightInd/>
        <w:spacing w:before="0"/>
        <w:textAlignment w:val="auto"/>
        <w:rPr>
          <w:rFonts w:ascii="Calibri" w:hAnsi="Calibri" w:cs="Calibri"/>
          <w:b/>
          <w:bCs/>
          <w:lang w:val="es-ES_tradnl"/>
        </w:rPr>
      </w:pPr>
      <w:r w:rsidRPr="001819F4">
        <w:rPr>
          <w:rFonts w:ascii="Calibri" w:hAnsi="Calibri" w:cs="Calibri"/>
          <w:b/>
          <w:bCs/>
          <w:lang w:val="es-ES_tradnl"/>
        </w:rPr>
        <w:br w:type="page"/>
      </w:r>
    </w:p>
    <w:p w14:paraId="4F77243B" w14:textId="77777777" w:rsidR="00A04DF2" w:rsidRPr="001819F4" w:rsidRDefault="00A04DF2" w:rsidP="00A04DF2">
      <w:pPr>
        <w:pStyle w:val="AppendixNo"/>
        <w:rPr>
          <w:rFonts w:ascii="Calibri" w:hAnsi="Calibri" w:cs="Calibri"/>
          <w:lang w:val="es-ES_tradnl"/>
        </w:rPr>
      </w:pPr>
      <w:r w:rsidRPr="001819F4">
        <w:rPr>
          <w:lang w:val="es-ES_tradnl"/>
        </w:rPr>
        <w:lastRenderedPageBreak/>
        <w:t>Apéndice 2</w:t>
      </w:r>
    </w:p>
    <w:p w14:paraId="28B5D10A" w14:textId="77777777" w:rsidR="00A04DF2" w:rsidRPr="001819F4" w:rsidRDefault="00A04DF2" w:rsidP="00A04DF2">
      <w:pPr>
        <w:pStyle w:val="Appendixtitle"/>
        <w:rPr>
          <w:rFonts w:ascii="Segoe UI" w:hAnsi="Segoe UI" w:cs="Segoe UI"/>
          <w:sz w:val="18"/>
          <w:szCs w:val="18"/>
          <w:lang w:val="es-ES_tradnl"/>
        </w:rPr>
      </w:pPr>
      <w:r w:rsidRPr="001819F4">
        <w:rPr>
          <w:lang w:val="es-ES_tradnl"/>
        </w:rPr>
        <w:t>Resumen de las reuniones celebradas después del GADT-24</w:t>
      </w:r>
    </w:p>
    <w:p w14:paraId="62212BCC" w14:textId="77777777" w:rsidR="00A04DF2" w:rsidRPr="001819F4" w:rsidRDefault="00A04DF2" w:rsidP="00A04DF2">
      <w:pPr>
        <w:pStyle w:val="Heading1"/>
        <w:rPr>
          <w:rFonts w:ascii="Calibri" w:hAnsi="Calibri" w:cs="Calibri"/>
          <w:lang w:val="es-ES_tradnl"/>
        </w:rPr>
      </w:pPr>
      <w:r>
        <w:rPr>
          <w:lang w:val="es-ES_tradnl"/>
        </w:rPr>
        <w:t>1</w:t>
      </w:r>
      <w:r>
        <w:rPr>
          <w:lang w:val="es-ES_tradnl"/>
        </w:rPr>
        <w:tab/>
      </w:r>
      <w:r w:rsidRPr="001819F4">
        <w:rPr>
          <w:lang w:val="es-ES_tradnl"/>
        </w:rPr>
        <w:t xml:space="preserve">Segunda reunión en línea del GT-GADT-futurasCCE, celebrada el 3 de septiembre de 2024 </w:t>
      </w:r>
    </w:p>
    <w:p w14:paraId="2D9A0FAC" w14:textId="77777777" w:rsidR="00A04DF2" w:rsidRPr="001819F4" w:rsidRDefault="00A04DF2" w:rsidP="00A04DF2">
      <w:pPr>
        <w:rPr>
          <w:rFonts w:ascii="Segoe UI" w:hAnsi="Segoe UI" w:cs="Segoe UI"/>
          <w:sz w:val="18"/>
          <w:szCs w:val="18"/>
          <w:lang w:val="es-ES_tradnl"/>
        </w:rPr>
      </w:pPr>
      <w:r w:rsidRPr="001819F4">
        <w:rPr>
          <w:lang w:val="es-ES_tradnl"/>
        </w:rPr>
        <w:t>La siguiente información está extraída del Informe sobre la segunda reunión del GT</w:t>
      </w:r>
      <w:r>
        <w:rPr>
          <w:lang w:val="es-ES_tradnl"/>
        </w:rPr>
        <w:noBreakHyphen/>
      </w:r>
      <w:r w:rsidRPr="001819F4">
        <w:rPr>
          <w:lang w:val="es-ES_tradnl"/>
        </w:rPr>
        <w:t>GADT</w:t>
      </w:r>
      <w:r>
        <w:rPr>
          <w:lang w:val="es-ES_tradnl"/>
        </w:rPr>
        <w:noBreakHyphen/>
      </w:r>
      <w:r w:rsidRPr="001819F4">
        <w:rPr>
          <w:lang w:val="es-ES_tradnl"/>
        </w:rPr>
        <w:t xml:space="preserve">futurasCCE (Documento </w:t>
      </w:r>
      <w:hyperlink r:id="rId353"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/10</w:t>
        </w:r>
      </w:hyperlink>
      <w:r w:rsidRPr="001819F4">
        <w:rPr>
          <w:lang w:val="es-ES_tradnl"/>
        </w:rPr>
        <w:t xml:space="preserve">). </w:t>
      </w:r>
      <w:hyperlink r:id="rId354" w:tgtFrame="_blank" w:history="1"/>
    </w:p>
    <w:p w14:paraId="0A57F5CE" w14:textId="77777777" w:rsidR="00A04DF2" w:rsidRPr="001819F4" w:rsidRDefault="00A04DF2" w:rsidP="00A04DF2">
      <w:pPr>
        <w:rPr>
          <w:rFonts w:ascii="Segoe UI" w:hAnsi="Segoe UI" w:cs="Segoe UI"/>
          <w:sz w:val="18"/>
          <w:szCs w:val="18"/>
          <w:lang w:val="es-ES_tradnl"/>
        </w:rPr>
      </w:pPr>
      <w:r w:rsidRPr="001819F4">
        <w:rPr>
          <w:lang w:val="es-ES_tradnl"/>
        </w:rPr>
        <w:t xml:space="preserve">El objetivo de la reunión era examinar el contenido del formulario de consulta en línea (cuestionario), preparado para recabar las opiniones de todos los Miembros interesados abonados a las listas de correo del GADT y el GT-GADT-futurasCCE, y llegar a un acuerdo al respecto. </w:t>
      </w:r>
    </w:p>
    <w:p w14:paraId="6B7D9BC7" w14:textId="77777777" w:rsidR="00A04DF2" w:rsidRPr="001819F4" w:rsidRDefault="00A04DF2" w:rsidP="00A04DF2">
      <w:pPr>
        <w:rPr>
          <w:rFonts w:ascii="Segoe UI" w:hAnsi="Segoe UI" w:cs="Segoe UI"/>
          <w:sz w:val="18"/>
          <w:szCs w:val="18"/>
          <w:lang w:val="es-ES_tradnl"/>
        </w:rPr>
      </w:pPr>
      <w:r w:rsidRPr="001819F4">
        <w:rPr>
          <w:lang w:val="es-ES_tradnl"/>
        </w:rPr>
        <w:t xml:space="preserve">El formulario de consulta se estructuró de la siguiente manera: </w:t>
      </w:r>
    </w:p>
    <w:p w14:paraId="4CCE071F" w14:textId="77777777" w:rsidR="00A04DF2" w:rsidRPr="001819F4" w:rsidRDefault="00A04DF2" w:rsidP="00A04DF2">
      <w:pPr>
        <w:pStyle w:val="enumlev1"/>
        <w:rPr>
          <w:rFonts w:ascii="Calibri" w:hAnsi="Calibri" w:cs="Calibri"/>
          <w:lang w:val="es-ES_tradnl"/>
        </w:rPr>
      </w:pPr>
      <w:r>
        <w:rPr>
          <w:lang w:val="es-ES_tradnl"/>
        </w:rPr>
        <w:t>1)</w:t>
      </w:r>
      <w:r>
        <w:rPr>
          <w:lang w:val="es-ES_tradnl"/>
        </w:rPr>
        <w:tab/>
      </w:r>
      <w:r w:rsidRPr="001819F4">
        <w:rPr>
          <w:lang w:val="es-ES_tradnl"/>
        </w:rPr>
        <w:t>Sección 1 ("Cuestiones de Estudio actuales"): preguntas generales sobre el conocimiento de los encuestados sobre la actual estructura de las Comisiones de Estudio del UIT</w:t>
      </w:r>
      <w:r>
        <w:rPr>
          <w:lang w:val="es-ES_tradnl"/>
        </w:rPr>
        <w:noBreakHyphen/>
      </w:r>
      <w:r w:rsidRPr="001819F4">
        <w:rPr>
          <w:lang w:val="es-ES_tradnl"/>
        </w:rPr>
        <w:t xml:space="preserve">D, así como sobre las Cuestiones de Estudio actuales que les resultan importantes. </w:t>
      </w:r>
    </w:p>
    <w:p w14:paraId="16F40469" w14:textId="77777777" w:rsidR="00A04DF2" w:rsidRPr="001819F4" w:rsidRDefault="00A04DF2" w:rsidP="00A04DF2">
      <w:pPr>
        <w:pStyle w:val="enumlev1"/>
        <w:rPr>
          <w:rFonts w:ascii="Calibri" w:hAnsi="Calibri" w:cs="Calibri"/>
          <w:lang w:val="es-ES_tradnl"/>
        </w:rPr>
      </w:pPr>
      <w:r>
        <w:rPr>
          <w:lang w:val="es-ES_tradnl"/>
        </w:rPr>
        <w:t>2)</w:t>
      </w:r>
      <w:r>
        <w:rPr>
          <w:lang w:val="es-ES_tradnl"/>
        </w:rPr>
        <w:tab/>
      </w:r>
      <w:r w:rsidRPr="001819F4">
        <w:rPr>
          <w:lang w:val="es-ES_tradnl"/>
        </w:rPr>
        <w:t xml:space="preserve">Sección 2 ("Número de Cuestiones"): preguntas sobre el número de Cuestiones por examinar durante el próximo periodo de estudios, ahondando en la eventual fusión o abandono de Cuestiones. </w:t>
      </w:r>
    </w:p>
    <w:p w14:paraId="2A59E2F3" w14:textId="77777777" w:rsidR="00A04DF2" w:rsidRPr="001819F4" w:rsidRDefault="00A04DF2" w:rsidP="00A04DF2">
      <w:pPr>
        <w:pStyle w:val="enumlev1"/>
        <w:rPr>
          <w:rFonts w:ascii="Calibri" w:hAnsi="Calibri" w:cs="Calibri"/>
          <w:lang w:val="es-ES_tradnl"/>
        </w:rPr>
      </w:pPr>
      <w:r>
        <w:rPr>
          <w:lang w:val="es-ES_tradnl"/>
        </w:rPr>
        <w:t>3)</w:t>
      </w:r>
      <w:r>
        <w:rPr>
          <w:lang w:val="es-ES_tradnl"/>
        </w:rPr>
        <w:tab/>
      </w:r>
      <w:r w:rsidRPr="001819F4">
        <w:rPr>
          <w:lang w:val="es-ES_tradnl"/>
        </w:rPr>
        <w:t xml:space="preserve">Sección 3 ("Nuevos temas"): preguntas destinadas a identificar nuevos temas por tratar durante el próximo periodo de estudio, haciendo hincapié en las directrices, las prácticas idóneas y la compartición de experiencias para los países en desarrollo. </w:t>
      </w:r>
    </w:p>
    <w:p w14:paraId="55643D99" w14:textId="77777777" w:rsidR="00A04DF2" w:rsidRPr="001819F4" w:rsidRDefault="00A04DF2" w:rsidP="00A04DF2">
      <w:pPr>
        <w:pStyle w:val="enumlev1"/>
        <w:rPr>
          <w:rFonts w:ascii="Calibri" w:hAnsi="Calibri" w:cs="Calibri"/>
          <w:lang w:val="es-ES_tradnl"/>
        </w:rPr>
      </w:pPr>
      <w:r>
        <w:rPr>
          <w:lang w:val="es-ES_tradnl"/>
        </w:rPr>
        <w:t>4)</w:t>
      </w:r>
      <w:r>
        <w:rPr>
          <w:lang w:val="es-ES_tradnl"/>
        </w:rPr>
        <w:tab/>
      </w:r>
      <w:r w:rsidRPr="001819F4">
        <w:rPr>
          <w:lang w:val="es-ES_tradnl"/>
        </w:rPr>
        <w:t xml:space="preserve">Sección 4 ("Temas transversales"): preguntas sobre los temas transversales que se han de abordar en Cuestiones de Estudio independientes o en el marco de múltiples Cuestiones de Estudio. </w:t>
      </w:r>
    </w:p>
    <w:p w14:paraId="019BEEB4" w14:textId="77777777" w:rsidR="00A04DF2" w:rsidRPr="001819F4" w:rsidRDefault="00A04DF2" w:rsidP="00A04DF2">
      <w:pPr>
        <w:rPr>
          <w:rFonts w:ascii="Segoe UI" w:hAnsi="Segoe UI" w:cs="Segoe UI"/>
          <w:sz w:val="18"/>
          <w:szCs w:val="18"/>
          <w:lang w:val="es-ES_tradnl"/>
        </w:rPr>
      </w:pPr>
      <w:r w:rsidRPr="001819F4">
        <w:rPr>
          <w:lang w:val="es-ES_tradnl"/>
        </w:rPr>
        <w:t xml:space="preserve">Se acordó actualizar el formulario de consulta conforme a los debates sostenidos en la reunión y distribuirlo el 17 de septiembre de 2024, fijándose el plazo límite de respuesta en el 1 de octubre de 2024. Se acordó presentar los resultados (como contribución para la siguiente reunión) a finales de octubre de 2024 a fin de orientar las contribuciones de los Miembros a la siguiente reunión del GT-GADT-futurasCCE, prevista para el 3 de diciembre de 2024, y ayudar a los Grupos Regionales en sus preparativos para la CMDT-25. </w:t>
      </w:r>
    </w:p>
    <w:p w14:paraId="562113E1" w14:textId="77777777" w:rsidR="00A04DF2" w:rsidRPr="001819F4" w:rsidRDefault="00A04DF2" w:rsidP="00A04DF2">
      <w:pPr>
        <w:pStyle w:val="Heading1"/>
        <w:rPr>
          <w:rFonts w:ascii="Calibri" w:hAnsi="Calibri" w:cs="Calibri"/>
          <w:lang w:val="es-ES_tradnl"/>
        </w:rPr>
      </w:pPr>
      <w:r>
        <w:rPr>
          <w:lang w:val="es-ES_tradnl"/>
        </w:rPr>
        <w:t>2</w:t>
      </w:r>
      <w:r>
        <w:rPr>
          <w:lang w:val="es-ES_tradnl"/>
        </w:rPr>
        <w:tab/>
      </w:r>
      <w:r w:rsidRPr="001819F4">
        <w:rPr>
          <w:lang w:val="es-ES_tradnl"/>
        </w:rPr>
        <w:t xml:space="preserve">Tercera reunión en línea del GT-GADT-futurasCCE, celebrada el 3 de diciembre de 2024 </w:t>
      </w:r>
    </w:p>
    <w:p w14:paraId="4E048A30" w14:textId="77777777" w:rsidR="00A04DF2" w:rsidRPr="001819F4" w:rsidRDefault="00A04DF2" w:rsidP="00A04DF2">
      <w:pPr>
        <w:rPr>
          <w:rFonts w:ascii="Segoe UI" w:hAnsi="Segoe UI" w:cs="Segoe UI"/>
          <w:sz w:val="18"/>
          <w:szCs w:val="18"/>
          <w:lang w:val="es-ES_tradnl"/>
        </w:rPr>
      </w:pPr>
      <w:r w:rsidRPr="001819F4">
        <w:rPr>
          <w:lang w:val="es-ES_tradnl"/>
        </w:rPr>
        <w:t xml:space="preserve">La siguiente información está extraída del Informe sobre la tercera reunión del GT-GADT-futurasCCE (Documento </w:t>
      </w:r>
      <w:hyperlink r:id="rId355"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/16</w:t>
        </w:r>
      </w:hyperlink>
      <w:r w:rsidRPr="001819F4">
        <w:rPr>
          <w:lang w:val="es-ES_tradnl"/>
        </w:rPr>
        <w:t xml:space="preserve">). </w:t>
      </w:r>
      <w:hyperlink r:id="rId356" w:tgtFrame="_blank" w:history="1"/>
    </w:p>
    <w:p w14:paraId="1F362483" w14:textId="77777777" w:rsidR="00A04DF2" w:rsidRPr="001819F4" w:rsidRDefault="00A04DF2" w:rsidP="00A04DF2">
      <w:pPr>
        <w:rPr>
          <w:rFonts w:ascii="Segoe UI" w:hAnsi="Segoe UI" w:cs="Segoe UI"/>
          <w:sz w:val="18"/>
          <w:szCs w:val="18"/>
          <w:lang w:val="es-ES_tradnl"/>
        </w:rPr>
      </w:pPr>
      <w:r w:rsidRPr="001819F4">
        <w:rPr>
          <w:lang w:val="es-ES_tradnl"/>
        </w:rPr>
        <w:t>Los resultados de la consulta en línea se presentaron en la siguiente imagen. Todos los usuarios podrán utilizarlos para preparar contribuciones que se presentarán en futuras reuniones del GT</w:t>
      </w:r>
      <w:r>
        <w:rPr>
          <w:lang w:val="es-ES_tradnl"/>
        </w:rPr>
        <w:noBreakHyphen/>
      </w:r>
      <w:r w:rsidRPr="001819F4">
        <w:rPr>
          <w:lang w:val="es-ES_tradnl"/>
        </w:rPr>
        <w:t>GADT</w:t>
      </w:r>
      <w:r>
        <w:rPr>
          <w:lang w:val="es-ES_tradnl"/>
        </w:rPr>
        <w:noBreakHyphen/>
      </w:r>
      <w:r w:rsidRPr="001819F4">
        <w:rPr>
          <w:lang w:val="es-ES_tradnl"/>
        </w:rPr>
        <w:t xml:space="preserve">FuturasCCE. </w:t>
      </w:r>
    </w:p>
    <w:p w14:paraId="7B237D98" w14:textId="77777777" w:rsidR="00A04DF2" w:rsidRPr="00BD067A" w:rsidRDefault="00A04DF2" w:rsidP="00A04DF2">
      <w:pPr>
        <w:pStyle w:val="Figurewithouttitle"/>
        <w:rPr>
          <w:rFonts w:ascii="Segoe UI" w:hAnsi="Segoe UI" w:cs="Segoe UI"/>
          <w:sz w:val="18"/>
          <w:szCs w:val="18"/>
        </w:rPr>
      </w:pPr>
      <w:r>
        <w:rPr>
          <w:noProof/>
        </w:rPr>
        <w:lastRenderedPageBreak/>
        <w:drawing>
          <wp:inline distT="0" distB="0" distL="0" distR="0" wp14:anchorId="176A83B0" wp14:editId="6C4AC66F">
            <wp:extent cx="6120765" cy="3442970"/>
            <wp:effectExtent l="0" t="0" r="0" b="508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7">
                      <a:extLst>
                        <a:ext uri="{96DAC541-7B7A-43D3-8B79-37D633B846F1}">
                          <asvg:svgBlip xmlns:asvg="http://schemas.microsoft.com/office/drawing/2016/SVG/main" r:embed="rId358"/>
                        </a:ext>
                      </a:extLst>
                    </a:blip>
                    <a:stretch>
                      <a:fillRect/>
                    </a:stretch>
                  </pic:blipFill>
                  <pic:spPr>
                    <a:xfrm>
                      <a:off x="0" y="0"/>
                      <a:ext cx="6120765" cy="3442970"/>
                    </a:xfrm>
                    <a:prstGeom prst="rect">
                      <a:avLst/>
                    </a:prstGeom>
                  </pic:spPr>
                </pic:pic>
              </a:graphicData>
            </a:graphic>
          </wp:inline>
        </w:drawing>
      </w:r>
    </w:p>
    <w:p w14:paraId="1B961F6A" w14:textId="77777777" w:rsidR="00A04DF2" w:rsidRPr="001819F4" w:rsidRDefault="00A04DF2" w:rsidP="00A04DF2">
      <w:pPr>
        <w:rPr>
          <w:rFonts w:ascii="Segoe UI" w:hAnsi="Segoe UI" w:cs="Segoe UI"/>
          <w:sz w:val="18"/>
          <w:szCs w:val="18"/>
          <w:lang w:val="es-ES_tradnl"/>
        </w:rPr>
      </w:pPr>
      <w:r w:rsidRPr="001819F4">
        <w:rPr>
          <w:lang w:val="es-ES_tradnl"/>
        </w:rPr>
        <w:t xml:space="preserve">Se recibieron y debatieron una contribución de la Unión Africana de Telecomunicaciones (UAT) y una contribución de los Relatores y Correlatores de la Comisión de Estudio 1 sobre su postura inicial. </w:t>
      </w:r>
    </w:p>
    <w:p w14:paraId="693FEE43" w14:textId="77777777" w:rsidR="00A04DF2" w:rsidRPr="001819F4" w:rsidRDefault="00A04DF2" w:rsidP="00A04DF2">
      <w:pPr>
        <w:rPr>
          <w:rFonts w:ascii="Segoe UI" w:hAnsi="Segoe UI" w:cs="Segoe UI"/>
          <w:sz w:val="18"/>
          <w:szCs w:val="18"/>
          <w:lang w:val="es-ES_tradnl"/>
        </w:rPr>
      </w:pPr>
      <w:r w:rsidRPr="001819F4">
        <w:rPr>
          <w:lang w:val="es-ES_tradnl"/>
        </w:rPr>
        <w:t xml:space="preserve">En la reunión se acordó lo siguiente: </w:t>
      </w:r>
    </w:p>
    <w:p w14:paraId="54A4687D"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El Presidente prepararía un proyecto de revisión de partes de los anexos a la Resolución</w:t>
      </w:r>
      <w:r>
        <w:rPr>
          <w:lang w:val="es-ES_tradnl"/>
        </w:rPr>
        <w:t> </w:t>
      </w:r>
      <w:r w:rsidRPr="001819F4">
        <w:rPr>
          <w:lang w:val="es-ES_tradnl"/>
        </w:rPr>
        <w:t>2 con mandatos de las Cuestiones de Estudio para su consideración en la siguiente reunión. En ese documento se tendrían en cuenta los resultados de la consulta en línea, las contribuciones recibidas y las opiniones expresadas en la reunión. El objetivo era recibir el mayor número posible de contribuciones/opiniones tanto formales como informales. El documento se presentaría como contribución a la siguiente reunión del GT</w:t>
      </w:r>
      <w:r>
        <w:rPr>
          <w:lang w:val="es-ES_tradnl"/>
        </w:rPr>
        <w:noBreakHyphen/>
      </w:r>
      <w:r w:rsidRPr="001819F4">
        <w:rPr>
          <w:lang w:val="es-ES_tradnl"/>
        </w:rPr>
        <w:t>GADT</w:t>
      </w:r>
      <w:r>
        <w:rPr>
          <w:lang w:val="es-ES_tradnl"/>
        </w:rPr>
        <w:noBreakHyphen/>
      </w:r>
      <w:r w:rsidRPr="001819F4">
        <w:rPr>
          <w:lang w:val="es-ES_tradnl"/>
        </w:rPr>
        <w:t xml:space="preserve">futurasCCE. </w:t>
      </w:r>
    </w:p>
    <w:p w14:paraId="42496FAF"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Se encargaría a la Secretaría de la BDT que solicitase a los coordinadores de las ORT para el GT-GADT-futurasCCE la presentación de contribuciones de esas organizaciones a la siguiente reunión del GT-GADT-futurasCCE. </w:t>
      </w:r>
    </w:p>
    <w:p w14:paraId="164E521C"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La celebración de una reunión electrónica adicional en enero-febrero de 2025 tras consultarlo con la secretaría de la BDT, el Director de la BDT y el Presidente del GADT. </w:t>
      </w:r>
    </w:p>
    <w:p w14:paraId="55B0C53A" w14:textId="77777777" w:rsidR="00A04DF2" w:rsidRPr="001819F4" w:rsidRDefault="00A04DF2" w:rsidP="00A04DF2">
      <w:pPr>
        <w:pStyle w:val="Heading1"/>
        <w:rPr>
          <w:rFonts w:ascii="Calibri" w:hAnsi="Calibri" w:cs="Calibri"/>
          <w:lang w:val="es-ES_tradnl"/>
        </w:rPr>
      </w:pPr>
      <w:r>
        <w:rPr>
          <w:lang w:val="es-ES_tradnl"/>
        </w:rPr>
        <w:t>3</w:t>
      </w:r>
      <w:r>
        <w:rPr>
          <w:lang w:val="es-ES_tradnl"/>
        </w:rPr>
        <w:tab/>
      </w:r>
      <w:r w:rsidRPr="001819F4">
        <w:rPr>
          <w:lang w:val="es-ES_tradnl"/>
        </w:rPr>
        <w:t xml:space="preserve">Cuarta reunión en línea del GT-GADT-futurasCCE, celebrada el 21 de enero de 2025 </w:t>
      </w:r>
    </w:p>
    <w:p w14:paraId="798B1FBA" w14:textId="77777777" w:rsidR="00A04DF2" w:rsidRPr="001819F4" w:rsidRDefault="00A04DF2" w:rsidP="00A04DF2">
      <w:pPr>
        <w:rPr>
          <w:rFonts w:ascii="Segoe UI" w:hAnsi="Segoe UI" w:cs="Segoe UI"/>
          <w:sz w:val="18"/>
          <w:szCs w:val="18"/>
          <w:lang w:val="es-ES_tradnl"/>
        </w:rPr>
      </w:pPr>
      <w:r w:rsidRPr="001819F4">
        <w:rPr>
          <w:lang w:val="es-ES_tradnl"/>
        </w:rPr>
        <w:t xml:space="preserve">La siguiente información está extraída del Informe sobre la cuarta reunión del GT-GADT-futurasCCE (Documento </w:t>
      </w:r>
      <w:hyperlink r:id="rId359"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/25</w:t>
        </w:r>
      </w:hyperlink>
      <w:r w:rsidRPr="001819F4">
        <w:rPr>
          <w:lang w:val="es-ES_tradnl"/>
        </w:rPr>
        <w:t>). Esta reunión contó con la asistencia de más de 80</w:t>
      </w:r>
      <w:r>
        <w:rPr>
          <w:lang w:val="es-ES_tradnl"/>
        </w:rPr>
        <w:t> </w:t>
      </w:r>
      <w:r w:rsidRPr="001819F4">
        <w:rPr>
          <w:lang w:val="es-ES_tradnl"/>
        </w:rPr>
        <w:t xml:space="preserve">participantes. </w:t>
      </w:r>
      <w:hyperlink r:id="rId360" w:tgtFrame="_blank" w:history="1"/>
    </w:p>
    <w:p w14:paraId="694D24B8" w14:textId="77777777" w:rsidR="00A04DF2" w:rsidRPr="001819F4" w:rsidRDefault="00A04DF2" w:rsidP="00A04DF2">
      <w:pPr>
        <w:rPr>
          <w:rFonts w:ascii="Segoe UI" w:hAnsi="Segoe UI" w:cs="Segoe UI"/>
          <w:sz w:val="18"/>
          <w:szCs w:val="18"/>
          <w:lang w:val="es-ES_tradnl"/>
        </w:rPr>
      </w:pPr>
      <w:r w:rsidRPr="001819F4">
        <w:rPr>
          <w:lang w:val="es-ES_tradnl"/>
        </w:rPr>
        <w:t xml:space="preserve">Se recibieron, presentaron y debatieron detenidamente las seis contribuciones siguientes: </w:t>
      </w:r>
    </w:p>
    <w:p w14:paraId="4F869450"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Documento </w:t>
      </w:r>
      <w:hyperlink r:id="rId361"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/18</w:t>
        </w:r>
      </w:hyperlink>
      <w:r w:rsidRPr="001819F4">
        <w:rPr>
          <w:lang w:val="es-ES_tradnl"/>
        </w:rPr>
        <w:t xml:space="preserve"> de la Telecomunidad de Asia y el Pacífico (APT) en el que se daban a conocer las opiniones de la APT en concordancia con la propuesta del GT</w:t>
      </w:r>
      <w:r>
        <w:rPr>
          <w:lang w:val="es-ES_tradnl"/>
        </w:rPr>
        <w:noBreakHyphen/>
      </w:r>
      <w:r w:rsidRPr="001819F4">
        <w:rPr>
          <w:lang w:val="es-ES_tradnl"/>
        </w:rPr>
        <w:t>GADT</w:t>
      </w:r>
      <w:r>
        <w:rPr>
          <w:lang w:val="es-ES_tradnl"/>
        </w:rPr>
        <w:noBreakHyphen/>
      </w:r>
      <w:r w:rsidRPr="001819F4">
        <w:rPr>
          <w:lang w:val="es-ES_tradnl"/>
        </w:rPr>
        <w:t xml:space="preserve">futurasCCE. </w:t>
      </w:r>
      <w:hyperlink r:id="rId362" w:tgtFrame="_blank" w:history="1"/>
    </w:p>
    <w:p w14:paraId="78F4A95C" w14:textId="77777777" w:rsidR="00A04DF2" w:rsidRPr="001819F4" w:rsidRDefault="00A04DF2" w:rsidP="00A04DF2">
      <w:pPr>
        <w:pStyle w:val="enumlev1"/>
        <w:rPr>
          <w:rFonts w:ascii="Calibri" w:hAnsi="Calibri" w:cs="Calibri"/>
          <w:lang w:val="es-ES_tradnl"/>
        </w:rPr>
      </w:pPr>
      <w:r w:rsidRPr="00D26BED">
        <w:rPr>
          <w:lang w:val="es-ES_tradnl"/>
        </w:rPr>
        <w:lastRenderedPageBreak/>
        <w:t>–</w:t>
      </w:r>
      <w:r>
        <w:rPr>
          <w:lang w:val="es-ES_tradnl"/>
        </w:rPr>
        <w:tab/>
      </w:r>
      <w:r w:rsidRPr="001819F4">
        <w:rPr>
          <w:lang w:val="es-ES_tradnl"/>
        </w:rPr>
        <w:t xml:space="preserve">Una propuesta de una nueva Cuestión sobre la Asequibilidad/Disponibilidad de los Dispositivos </w:t>
      </w:r>
    </w:p>
    <w:p w14:paraId="5D1228A1"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Una propuesta de una nueva Cuestión sobre la Aplicación de la Inteligencia Artificial </w:t>
      </w:r>
    </w:p>
    <w:p w14:paraId="1CAD8C38"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Opiniones iniciales de los Relatores y Correlatores de la Comisión de Estudio</w:t>
      </w:r>
      <w:r>
        <w:rPr>
          <w:lang w:val="es-ES_tradnl"/>
        </w:rPr>
        <w:t> </w:t>
      </w:r>
      <w:r w:rsidRPr="001819F4">
        <w:rPr>
          <w:lang w:val="es-ES_tradnl"/>
        </w:rPr>
        <w:t xml:space="preserve">2. </w:t>
      </w:r>
    </w:p>
    <w:p w14:paraId="48E9111E"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Mandato revisado de la mayoría de Cuestiones de la Comisión de Estudio</w:t>
      </w:r>
      <w:r>
        <w:rPr>
          <w:lang w:val="es-ES_tradnl"/>
        </w:rPr>
        <w:t> </w:t>
      </w:r>
      <w:r w:rsidRPr="001819F4">
        <w:rPr>
          <w:lang w:val="es-ES_tradnl"/>
        </w:rPr>
        <w:t xml:space="preserve">1. </w:t>
      </w:r>
    </w:p>
    <w:p w14:paraId="30427E65"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Documento </w:t>
      </w:r>
      <w:hyperlink r:id="rId363"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/23</w:t>
        </w:r>
      </w:hyperlink>
      <w:r w:rsidRPr="001819F4">
        <w:rPr>
          <w:lang w:val="es-ES_tradnl"/>
        </w:rPr>
        <w:t xml:space="preserve">, que es el proyecto de revisión de los extractos de los anexos a la Resolución 2 con mandatos de las Cuestiones de Estudio, preparada por el Presidente tal y como se acordó en la reunión anterior. </w:t>
      </w:r>
      <w:hyperlink r:id="rId364" w:tgtFrame="_blank" w:history="1"/>
    </w:p>
    <w:p w14:paraId="01F7C203" w14:textId="77777777" w:rsidR="00A04DF2" w:rsidRPr="001819F4" w:rsidRDefault="00A04DF2" w:rsidP="00A04DF2">
      <w:pPr>
        <w:rPr>
          <w:rFonts w:ascii="Segoe UI" w:hAnsi="Segoe UI" w:cs="Segoe UI"/>
          <w:sz w:val="18"/>
          <w:szCs w:val="18"/>
          <w:lang w:val="es-ES_tradnl"/>
        </w:rPr>
      </w:pPr>
      <w:r w:rsidRPr="001819F4">
        <w:rPr>
          <w:lang w:val="es-ES_tradnl"/>
        </w:rPr>
        <w:t xml:space="preserve">En la reunión se acordó lo siguiente: </w:t>
      </w:r>
    </w:p>
    <w:p w14:paraId="18DA8DFC"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Se actualizaría el Documento </w:t>
      </w:r>
      <w:hyperlink r:id="rId365"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/23</w:t>
        </w:r>
      </w:hyperlink>
      <w:r w:rsidRPr="001819F4">
        <w:rPr>
          <w:lang w:val="es-ES_tradnl"/>
        </w:rPr>
        <w:t xml:space="preserve"> para integrar las contribuciones recibidas y los resultados de los debates sostenidos en la reunión. Se preveía distribuir la versión definitiva del documento como producto del GT-GADT-futurasCCE. </w:t>
      </w:r>
      <w:hyperlink r:id="rId366" w:tgtFrame="_blank" w:history="1"/>
    </w:p>
    <w:p w14:paraId="1385CC6D"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Los autores y los participantes que expresaron opiniones al respecto colaborarían en el examen de las dos propuestas de nueva Cuestión. Las propuestas revisadas se presentarían a la próxima reunión y se integrarían en una versión revisada del Documento</w:t>
      </w:r>
      <w:r>
        <w:rPr>
          <w:lang w:val="es-ES_tradnl"/>
        </w:rPr>
        <w:t> </w:t>
      </w:r>
      <w:hyperlink r:id="rId367"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/23</w:t>
        </w:r>
      </w:hyperlink>
      <w:r w:rsidRPr="001819F4">
        <w:rPr>
          <w:lang w:val="es-ES_tradnl"/>
        </w:rPr>
        <w:t xml:space="preserve">. </w:t>
      </w:r>
      <w:hyperlink r:id="rId368" w:tgtFrame="_blank" w:history="1"/>
    </w:p>
    <w:p w14:paraId="0F002DD8" w14:textId="77777777" w:rsidR="00A04DF2" w:rsidRPr="001819F4" w:rsidRDefault="00A04DF2" w:rsidP="00A04DF2">
      <w:pPr>
        <w:pStyle w:val="Heading1"/>
        <w:rPr>
          <w:rFonts w:ascii="Calibri" w:hAnsi="Calibri" w:cs="Calibri"/>
          <w:lang w:val="es-ES_tradnl"/>
        </w:rPr>
      </w:pPr>
      <w:r>
        <w:rPr>
          <w:lang w:val="es-ES_tradnl"/>
        </w:rPr>
        <w:t>4</w:t>
      </w:r>
      <w:r>
        <w:rPr>
          <w:lang w:val="es-ES_tradnl"/>
        </w:rPr>
        <w:tab/>
      </w:r>
      <w:r w:rsidRPr="001819F4">
        <w:rPr>
          <w:lang w:val="es-ES_tradnl"/>
        </w:rPr>
        <w:t xml:space="preserve">Quinta reunión en línea del GT-GADT-futurasCCE, celebrada el 4 de marzo de 2025 </w:t>
      </w:r>
    </w:p>
    <w:p w14:paraId="14EB6C72" w14:textId="77777777" w:rsidR="00A04DF2" w:rsidRPr="001819F4" w:rsidRDefault="00A04DF2" w:rsidP="00A04DF2">
      <w:pPr>
        <w:rPr>
          <w:rFonts w:ascii="Segoe UI" w:hAnsi="Segoe UI" w:cs="Segoe UI"/>
          <w:sz w:val="18"/>
          <w:szCs w:val="18"/>
          <w:lang w:val="es-ES_tradnl"/>
        </w:rPr>
      </w:pPr>
      <w:r w:rsidRPr="0093488D">
        <w:rPr>
          <w:lang w:val="es-ES_tradnl"/>
        </w:rPr>
        <w:t>La siguiente información</w:t>
      </w:r>
      <w:r w:rsidRPr="001819F4">
        <w:rPr>
          <w:lang w:val="es-ES_tradnl"/>
        </w:rPr>
        <w:t xml:space="preserve"> está extraída del Informe sobre la quinta reunión del GT-GADT-futurasCCE (Documento </w:t>
      </w:r>
      <w:hyperlink r:id="rId369"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/34</w:t>
        </w:r>
      </w:hyperlink>
      <w:r w:rsidRPr="001819F4">
        <w:rPr>
          <w:lang w:val="es-ES_tradnl"/>
        </w:rPr>
        <w:t xml:space="preserve">). Esta reunión contó con la asistencia de más de 80 participantes. </w:t>
      </w:r>
      <w:hyperlink r:id="rId370" w:tgtFrame="_blank" w:history="1"/>
    </w:p>
    <w:p w14:paraId="26AC1500" w14:textId="77777777" w:rsidR="00A04DF2" w:rsidRPr="001819F4" w:rsidRDefault="00A04DF2" w:rsidP="00A04DF2">
      <w:pPr>
        <w:tabs>
          <w:tab w:val="clear" w:pos="794"/>
          <w:tab w:val="clear" w:pos="1191"/>
          <w:tab w:val="clear" w:pos="1588"/>
          <w:tab w:val="clear" w:pos="1985"/>
        </w:tabs>
        <w:overflowPunct/>
        <w:autoSpaceDE/>
        <w:autoSpaceDN/>
        <w:adjustRightInd/>
        <w:spacing w:after="120"/>
        <w:rPr>
          <w:rFonts w:ascii="Segoe UI" w:hAnsi="Segoe UI" w:cs="Segoe UI"/>
          <w:sz w:val="18"/>
          <w:szCs w:val="18"/>
          <w:lang w:val="es-ES_tradnl"/>
        </w:rPr>
      </w:pPr>
      <w:r w:rsidRPr="001819F4">
        <w:rPr>
          <w:lang w:val="es-ES_tradnl"/>
        </w:rPr>
        <w:t xml:space="preserve">Se recibieron, presentaron y debatieron detenidamente las seis contribuciones siguientes: </w:t>
      </w:r>
    </w:p>
    <w:p w14:paraId="32AE74B2"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Informes del Grupo Asesor de la Industria sobre Desarrollo y los Directores de Reglamentación del Sector Privado (IAGDI-CRO) sobre dos charlas tecnológicas organizadas en torno a los temas de las dos Comisiones de Estudio del UIT-D. Se abordaron los temas que podían servir para alimentar futuras Cuestiones de Estudio. </w:t>
      </w:r>
    </w:p>
    <w:p w14:paraId="69BFA661"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Opiniones actualizadas de la Unión Africana de Telecomunicaciones (UAT) sobre nuevos temas (asequibilidad/disponibilidad de dispositivos y aplicación de la inteligencia artificial), sobre el número de Comisiones de Estudio y sobre el proyecto de propuesta de producto del GT-GADT-futurasCCE. </w:t>
      </w:r>
    </w:p>
    <w:p w14:paraId="785ECFA5"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Recopilación completa de los mandatos de las Cuestiones de la Comisión de Estudio 1 del UIT-D (CE 1), presentada por el Vicepresidente de la CE 1 y Coordinador sobre las futuras Cuestiones de estudio en nombre de los (Co)Relatores de la CE 1. </w:t>
      </w:r>
    </w:p>
    <w:p w14:paraId="6850E92C"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Propuesta actualizada de China sobre una nueva Cuestión sobre la aplicación de la inteligencia artificial (IA) tras los comentarios recibidos y los debates fuera de línea celebrados desde la última reunión. </w:t>
      </w:r>
    </w:p>
    <w:p w14:paraId="030E1D1F"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Propuesta de Egipto sobre las bases y directrices para la propuesta de futuras Cuestiones y observaciones sobre el proyecto de propuesta de producto del GT-GADT-futurasCCE. </w:t>
      </w:r>
    </w:p>
    <w:p w14:paraId="4F7FE376"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Documento </w:t>
      </w:r>
      <w:hyperlink r:id="rId371"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/29</w:t>
        </w:r>
      </w:hyperlink>
      <w:r w:rsidRPr="001819F4">
        <w:rPr>
          <w:lang w:val="es-ES_tradnl"/>
        </w:rPr>
        <w:t xml:space="preserve">, que es el segundo proyecto de revisión de los extractos de los anexos a la Resolución 2 con mandatos de las Cuestiones de Estudio, </w:t>
      </w:r>
      <w:r w:rsidRPr="001819F4">
        <w:rPr>
          <w:lang w:val="es-ES_tradnl"/>
        </w:rPr>
        <w:lastRenderedPageBreak/>
        <w:t xml:space="preserve">preparada por el Presidente siguiendo las contribuciones y observaciones recibidas y los debates fuera de línea celebrados desde la reunión anterior. </w:t>
      </w:r>
      <w:hyperlink r:id="rId372" w:tgtFrame="_blank" w:history="1"/>
    </w:p>
    <w:p w14:paraId="7845FE5B" w14:textId="77777777" w:rsidR="00A04DF2" w:rsidRPr="001819F4" w:rsidRDefault="00A04DF2" w:rsidP="00A04DF2">
      <w:pPr>
        <w:rPr>
          <w:rFonts w:ascii="Segoe UI" w:hAnsi="Segoe UI" w:cs="Segoe UI"/>
          <w:sz w:val="18"/>
          <w:szCs w:val="18"/>
          <w:lang w:val="es-ES_tradnl"/>
        </w:rPr>
      </w:pPr>
      <w:r w:rsidRPr="001819F4">
        <w:rPr>
          <w:lang w:val="es-ES_tradnl"/>
        </w:rPr>
        <w:t xml:space="preserve">En </w:t>
      </w:r>
      <w:r w:rsidRPr="00D9585B">
        <w:rPr>
          <w:lang w:val="es-ES"/>
        </w:rPr>
        <w:t>la</w:t>
      </w:r>
      <w:r w:rsidRPr="001819F4">
        <w:rPr>
          <w:lang w:val="es-ES_tradnl"/>
        </w:rPr>
        <w:t xml:space="preserve"> reunión se acordó lo siguiente: </w:t>
      </w:r>
    </w:p>
    <w:p w14:paraId="303BEDC2"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Mantener las dos Comisiones de Estudio actuales. Se habló de una posible tercera Comisión de Estudio, pero se consideró que este tema rebasaba el ámbito de las dos Comisiones de Estudio actuales y debería abordarse como un tema independiente. </w:t>
      </w:r>
    </w:p>
    <w:p w14:paraId="061CF955"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Que cada una de las dos Comisiones de Estudio tuviese cinco Cuestiones. </w:t>
      </w:r>
    </w:p>
    <w:p w14:paraId="2095DACB"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Fusionar las C1/1 (banda ancha) y C5/1 (zonas rurales y remotas) del actual periodo de estudios. </w:t>
      </w:r>
    </w:p>
    <w:p w14:paraId="2FF757F7"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Acordar el ámbito de competencia de la C4/1 (aspectos económicos). </w:t>
      </w:r>
    </w:p>
    <w:p w14:paraId="3EF67DBD"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Incluir el nuevo tema de la IA en una Cuestión de estudio existente. </w:t>
      </w:r>
    </w:p>
    <w:p w14:paraId="1142A1CA" w14:textId="77777777" w:rsidR="00A04DF2" w:rsidRPr="001819F4" w:rsidRDefault="00A04DF2" w:rsidP="00A04DF2">
      <w:pPr>
        <w:rPr>
          <w:rFonts w:ascii="Segoe UI" w:hAnsi="Segoe UI" w:cs="Segoe UI"/>
          <w:sz w:val="18"/>
          <w:szCs w:val="18"/>
          <w:lang w:val="es-ES_tradnl"/>
        </w:rPr>
      </w:pPr>
      <w:r w:rsidRPr="001819F4">
        <w:rPr>
          <w:lang w:val="es-ES_tradnl"/>
        </w:rPr>
        <w:t xml:space="preserve">Son necesarios más debates para llegar a un consenso sobre los siguientes puntos: </w:t>
      </w:r>
    </w:p>
    <w:p w14:paraId="44458BF6"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Dónde incluir el nuevo tema sobre disponibilidad y asequibilidad de los dispositivos. </w:t>
      </w:r>
    </w:p>
    <w:p w14:paraId="3B174471"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Si es necesario o no fusionar algunas Cuestiones (entre otras, la C6/1 con la C4/2 o la C5/2, la C7/1 con la C5/2, la C1/2 con la C2/2, la C4/2 C+I con la C6/2 y la C7/2)1 y dentro de qué Comisión de Estudio deben considerarse (incluidas las C3/1 y C3/2)1. </w:t>
      </w:r>
    </w:p>
    <w:p w14:paraId="06A9885C"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Si algunas Cuestiones independientes o fusionadas (incluida la C1/1 fusionada con la C5/1, C2/1)1 deben ampliar su alcance para ser más atractivas. </w:t>
      </w:r>
    </w:p>
    <w:p w14:paraId="30E0D4B7" w14:textId="77777777" w:rsidR="00A04DF2" w:rsidRPr="001819F4" w:rsidRDefault="00A04DF2" w:rsidP="00A04DF2">
      <w:pPr>
        <w:pStyle w:val="Heading1"/>
        <w:rPr>
          <w:rFonts w:ascii="Calibri" w:hAnsi="Calibri" w:cs="Calibri"/>
          <w:lang w:val="es-ES_tradnl"/>
        </w:rPr>
      </w:pPr>
      <w:r>
        <w:rPr>
          <w:lang w:val="es-ES_tradnl"/>
        </w:rPr>
        <w:t>6</w:t>
      </w:r>
      <w:r>
        <w:rPr>
          <w:lang w:val="es-ES_tradnl"/>
        </w:rPr>
        <w:tab/>
      </w:r>
      <w:r w:rsidRPr="001819F4">
        <w:rPr>
          <w:lang w:val="es-ES_tradnl"/>
        </w:rPr>
        <w:t xml:space="preserve">Sexta reunión en línea del GT-GADT-futurasCCE, celebrada el 16 de abril de 2025 </w:t>
      </w:r>
    </w:p>
    <w:p w14:paraId="3C4D3929" w14:textId="77777777" w:rsidR="00A04DF2" w:rsidRPr="006C1B27" w:rsidRDefault="00A04DF2" w:rsidP="00A04DF2">
      <w:pPr>
        <w:rPr>
          <w:lang w:val="es-ES"/>
        </w:rPr>
      </w:pPr>
      <w:r w:rsidRPr="001819F4">
        <w:rPr>
          <w:lang w:val="es-ES_tradnl"/>
        </w:rPr>
        <w:t xml:space="preserve">La siguiente información está extraída del Informe sobre la sexta reunión del GT-GADT-futurasCCE (Documento </w:t>
      </w:r>
      <w:hyperlink r:id="rId373"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/41</w:t>
        </w:r>
      </w:hyperlink>
      <w:r w:rsidRPr="001819F4">
        <w:rPr>
          <w:lang w:val="es-ES_tradnl"/>
        </w:rPr>
        <w:t xml:space="preserve">). Esta </w:t>
      </w:r>
      <w:r w:rsidRPr="006C1B27">
        <w:rPr>
          <w:lang w:val="es-ES"/>
        </w:rPr>
        <w:t xml:space="preserve">reunión contó con la asistencia de más de 60 participantes. </w:t>
      </w:r>
      <w:hyperlink r:id="rId374" w:tgtFrame="_blank" w:history="1"/>
    </w:p>
    <w:p w14:paraId="7996BB13" w14:textId="77777777" w:rsidR="00A04DF2" w:rsidRPr="001819F4" w:rsidRDefault="00A04DF2" w:rsidP="00A04DF2">
      <w:pPr>
        <w:rPr>
          <w:rFonts w:ascii="Segoe UI" w:hAnsi="Segoe UI" w:cs="Segoe UI"/>
          <w:sz w:val="18"/>
          <w:szCs w:val="18"/>
          <w:lang w:val="es-ES_tradnl"/>
        </w:rPr>
      </w:pPr>
      <w:r w:rsidRPr="00D9585B">
        <w:rPr>
          <w:lang w:val="es-ES"/>
        </w:rPr>
        <w:t>Se recibieron, presentaron y debatieron detenidamente</w:t>
      </w:r>
      <w:r w:rsidRPr="001819F4">
        <w:rPr>
          <w:lang w:val="es-ES_tradnl"/>
        </w:rPr>
        <w:t xml:space="preserve"> las cuatro contribuciones siguientes: </w:t>
      </w:r>
    </w:p>
    <w:p w14:paraId="2693B84C"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Opiniones alineadas de la Telecomunidad de Asia y el Pacífico (APT) sobre las Cuestiones de Estudio del periodo de estudio 2025-2029, como se debatió en la tercera reunión del Grupo Preparatorio de la APT para la CMDT-25 celebrado del 17 al 18 de marzo de 2025 en Bangkok (Tailandia). </w:t>
      </w:r>
    </w:p>
    <w:p w14:paraId="0C1200C6"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Opiniones de la Comunidad Regional de Comunicaciones (CRC) sobre la estructura que representa el número de Comisiones de Estudio y de Cuestiones de Estudio para el periodo 2026-2029. Estas opiniones están respaldadas por un análisis de la estructura actual, incluidas las correspondencias de los temas de las Cuestiones y de las contribuciones recibidas. </w:t>
      </w:r>
    </w:p>
    <w:p w14:paraId="29B45225"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Actualizaciones propuestas por la Federación de Rusia sobre el mandato revisado de la Cuestión 7/1 presentado previamente por el Coordinador de la CE</w:t>
      </w:r>
      <w:r>
        <w:rPr>
          <w:lang w:val="es-ES_tradnl"/>
        </w:rPr>
        <w:t> </w:t>
      </w:r>
      <w:r w:rsidRPr="001819F4">
        <w:rPr>
          <w:lang w:val="es-ES_tradnl"/>
        </w:rPr>
        <w:t>1 al GT</w:t>
      </w:r>
      <w:r>
        <w:rPr>
          <w:lang w:val="es-ES_tradnl"/>
        </w:rPr>
        <w:noBreakHyphen/>
      </w:r>
      <w:r w:rsidRPr="001819F4">
        <w:rPr>
          <w:lang w:val="es-ES_tradnl"/>
        </w:rPr>
        <w:t>GADT</w:t>
      </w:r>
      <w:r>
        <w:rPr>
          <w:lang w:val="es-ES_tradnl"/>
        </w:rPr>
        <w:noBreakHyphen/>
      </w:r>
      <w:r w:rsidRPr="001819F4">
        <w:rPr>
          <w:lang w:val="es-ES_tradnl"/>
        </w:rPr>
        <w:t xml:space="preserve">futurasCCE que prepararon los Correlatores de la Cuestión 7/1 </w:t>
      </w:r>
    </w:p>
    <w:p w14:paraId="05C02159"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El tercer proyecto de revisión de los extractos de los anexos a la Resolución 2 con mandatos de las Cuestiones de Estudio, preparada por el Presidente siguiendo las contribuciones y observaciones recibidas y los debates fuera de línea celebrados desde la reunión anterior. </w:t>
      </w:r>
    </w:p>
    <w:p w14:paraId="36CC06E2" w14:textId="77777777" w:rsidR="00A04DF2" w:rsidRDefault="00A04DF2" w:rsidP="00A04DF2">
      <w:pPr>
        <w:tabs>
          <w:tab w:val="clear" w:pos="794"/>
          <w:tab w:val="clear" w:pos="1191"/>
          <w:tab w:val="clear" w:pos="1588"/>
          <w:tab w:val="clear" w:pos="1985"/>
        </w:tabs>
        <w:overflowPunct/>
        <w:autoSpaceDE/>
        <w:autoSpaceDN/>
        <w:adjustRightInd/>
        <w:spacing w:before="0"/>
        <w:textAlignment w:val="auto"/>
        <w:rPr>
          <w:lang w:val="es-ES_tradnl"/>
        </w:rPr>
      </w:pPr>
      <w:r>
        <w:rPr>
          <w:lang w:val="es-ES_tradnl"/>
        </w:rPr>
        <w:br w:type="page"/>
      </w:r>
    </w:p>
    <w:p w14:paraId="4C30E4BE" w14:textId="77777777" w:rsidR="00A04DF2" w:rsidRPr="001819F4" w:rsidRDefault="00A04DF2" w:rsidP="00A04DF2">
      <w:pPr>
        <w:rPr>
          <w:rFonts w:ascii="Segoe UI" w:hAnsi="Segoe UI" w:cs="Segoe UI"/>
          <w:sz w:val="18"/>
          <w:szCs w:val="18"/>
          <w:lang w:val="es-ES_tradnl"/>
        </w:rPr>
      </w:pPr>
      <w:r w:rsidRPr="001819F4">
        <w:rPr>
          <w:lang w:val="es-ES_tradnl"/>
        </w:rPr>
        <w:lastRenderedPageBreak/>
        <w:t xml:space="preserve">En la reunión se acordó lo </w:t>
      </w:r>
      <w:r w:rsidRPr="008167FC">
        <w:rPr>
          <w:lang w:val="es-ES"/>
        </w:rPr>
        <w:t>siguiente</w:t>
      </w:r>
      <w:r w:rsidRPr="001819F4">
        <w:rPr>
          <w:lang w:val="es-ES_tradnl"/>
        </w:rPr>
        <w:t xml:space="preserve">: </w:t>
      </w:r>
    </w:p>
    <w:p w14:paraId="0AC4224C"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Invitar a la CRC a volver a examinar su contribución a partir de las observaciones recibidas en la reunión y a proponer opciones revisadas o nuevas para su examen en la siguiente reunión. </w:t>
      </w:r>
    </w:p>
    <w:p w14:paraId="216465D9"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Una revisión del título para la Cuestión A/1 propuesta </w:t>
      </w:r>
    </w:p>
    <w:p w14:paraId="23A3FE11"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El uso del término "terminales/dispositivos de usuarios" en lugar de "terminales de usuarios". </w:t>
      </w:r>
    </w:p>
    <w:p w14:paraId="6556898C"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La propuesta de la Federación de Rusia sobre el mandato de la C7/1 para incluirla en la medida de lo posible en la revisión actualizada del documento </w:t>
      </w:r>
      <w:hyperlink r:id="rId375"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/38</w:t>
        </w:r>
      </w:hyperlink>
      <w:r w:rsidRPr="001819F4">
        <w:rPr>
          <w:lang w:val="es-ES_tradnl"/>
        </w:rPr>
        <w:t xml:space="preserve"> en el marco de la Cuestión B/1. </w:t>
      </w:r>
      <w:hyperlink r:id="rId376" w:tgtFrame="_blank" w:history="1"/>
    </w:p>
    <w:p w14:paraId="43E7A29D"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Publicar una revisión actualizada del documento </w:t>
      </w:r>
      <w:hyperlink r:id="rId377"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/38</w:t>
        </w:r>
      </w:hyperlink>
      <w:r w:rsidRPr="001819F4">
        <w:rPr>
          <w:lang w:val="es-ES_tradnl"/>
        </w:rPr>
        <w:t xml:space="preserve"> (es decir, el documento </w:t>
      </w:r>
      <w:hyperlink r:id="rId378"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/43</w:t>
        </w:r>
      </w:hyperlink>
      <w:r w:rsidRPr="001819F4">
        <w:rPr>
          <w:lang w:val="es-ES_tradnl"/>
        </w:rPr>
        <w:t xml:space="preserve">) con y sin marcas de revisión. En este documento se tendrían en cuenta todas las contribuciones y comentarios recibidos. </w:t>
      </w:r>
      <w:hyperlink r:id="rId379" w:tgtFrame="_blank" w:history="1"/>
      <w:hyperlink r:id="rId380" w:tgtFrame="_blank" w:history="1"/>
    </w:p>
    <w:p w14:paraId="28564A50"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Una reunión final junto con el GADT-25 que se celebraría en Ginebra en mayo de 2025. </w:t>
      </w:r>
    </w:p>
    <w:p w14:paraId="116D9A69" w14:textId="77777777" w:rsidR="00A04DF2" w:rsidRPr="001819F4" w:rsidRDefault="00A04DF2" w:rsidP="00A04DF2">
      <w:pPr>
        <w:pStyle w:val="Heading1"/>
        <w:rPr>
          <w:rFonts w:ascii="Calibri" w:hAnsi="Calibri" w:cs="Calibri"/>
          <w:lang w:val="es-ES_tradnl"/>
        </w:rPr>
      </w:pPr>
      <w:r>
        <w:rPr>
          <w:lang w:val="es-ES_tradnl"/>
        </w:rPr>
        <w:t>6</w:t>
      </w:r>
      <w:r>
        <w:rPr>
          <w:lang w:val="es-ES_tradnl"/>
        </w:rPr>
        <w:tab/>
      </w:r>
      <w:r w:rsidRPr="001819F4">
        <w:rPr>
          <w:lang w:val="es-ES_tradnl"/>
        </w:rPr>
        <w:t>La séptima reunión del GT-GADT-futurasCCE se celebró los días 13 y 15 de mayo de 2025 en Ginebra</w:t>
      </w:r>
    </w:p>
    <w:p w14:paraId="34C95C3A" w14:textId="77777777" w:rsidR="00A04DF2" w:rsidRPr="008167FC" w:rsidRDefault="00A04DF2" w:rsidP="00A04DF2">
      <w:pPr>
        <w:rPr>
          <w:lang w:val="es-ES"/>
        </w:rPr>
      </w:pPr>
      <w:r w:rsidRPr="001819F4">
        <w:rPr>
          <w:lang w:val="es-ES_tradnl"/>
        </w:rPr>
        <w:t xml:space="preserve">La siguiente información está extraída del Informe sobre la séptima reunión del GT-GADT-futurasCCE (Documento </w:t>
      </w:r>
      <w:hyperlink r:id="rId381"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/50</w:t>
        </w:r>
      </w:hyperlink>
      <w:r w:rsidRPr="001819F4">
        <w:rPr>
          <w:lang w:val="es-ES_tradnl"/>
        </w:rPr>
        <w:t xml:space="preserve">). Esta reunión </w:t>
      </w:r>
      <w:r w:rsidRPr="008167FC">
        <w:rPr>
          <w:lang w:val="es-ES"/>
        </w:rPr>
        <w:t xml:space="preserve">contó con la asistencia de más de 25 participantes. </w:t>
      </w:r>
      <w:hyperlink r:id="rId382" w:tgtFrame="_blank" w:history="1"/>
    </w:p>
    <w:p w14:paraId="2BE3EBBF" w14:textId="77777777" w:rsidR="00A04DF2" w:rsidRPr="001819F4" w:rsidRDefault="00A04DF2" w:rsidP="00A04DF2">
      <w:pPr>
        <w:rPr>
          <w:rFonts w:ascii="Segoe UI" w:hAnsi="Segoe UI" w:cs="Segoe UI"/>
          <w:sz w:val="18"/>
          <w:szCs w:val="18"/>
          <w:lang w:val="es-ES_tradnl"/>
        </w:rPr>
      </w:pPr>
      <w:r w:rsidRPr="00D9585B">
        <w:rPr>
          <w:lang w:val="es-ES"/>
        </w:rPr>
        <w:t>Se recibieron, presentaron y debatieron detenidamente las siete contribuciones</w:t>
      </w:r>
      <w:r w:rsidRPr="001819F4">
        <w:rPr>
          <w:lang w:val="es-ES_tradnl"/>
        </w:rPr>
        <w:t xml:space="preserve"> siguientes: </w:t>
      </w:r>
    </w:p>
    <w:p w14:paraId="61D7CD96"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Propuesta de Portugal de modificar el mandato de la Cuestión 6/1 sobre información, protección y derechos del consumidor </w:t>
      </w:r>
    </w:p>
    <w:p w14:paraId="2EF6CD1C"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Opiniones alineadas de la Telecomunidad de Asia y el Pacífico (APT) sobre las Cuestiones de Estudio para el periodo de estudios 2025-2029. Se trata de una nueva presentación al GADT-25, que a su vez se reencauzó al GT-GADT-futurasCCE. </w:t>
      </w:r>
    </w:p>
    <w:p w14:paraId="4D2767F0"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Propuesta de la Liga de los Estados Árabes con las opiniones de las administraciones de los Estados Árabes con respecto a la propuesta revisada del GT-GADT sobre el futuro de las Cuestiones. </w:t>
      </w:r>
    </w:p>
    <w:p w14:paraId="7BCB47F0"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Últimas opiniones de la Unión Africana de Telecomunicaciones (UAT) sobre las Cuestiones de Estudio para el periodo de estudios 2025-2029. </w:t>
      </w:r>
    </w:p>
    <w:p w14:paraId="4093B5A7"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Recopilación actualizada de los mandatos de las Cuestiones de la Comisión de Estudio</w:t>
      </w:r>
      <w:r>
        <w:rPr>
          <w:lang w:val="es-ES_tradnl"/>
        </w:rPr>
        <w:t> </w:t>
      </w:r>
      <w:r w:rsidRPr="001819F4">
        <w:rPr>
          <w:lang w:val="es-ES_tradnl"/>
        </w:rPr>
        <w:t>1 del UIT-D (CE 1), presentada por el Vicepresidente de la CE 1 y Coordinador sobre las futuras Cuestiones de estudio en nombre de los (Co)Relatores de la CE 1, tras la reunión de la CE</w:t>
      </w:r>
      <w:r>
        <w:rPr>
          <w:lang w:val="es-ES_tradnl"/>
        </w:rPr>
        <w:t> </w:t>
      </w:r>
      <w:r w:rsidRPr="001819F4">
        <w:rPr>
          <w:lang w:val="es-ES_tradnl"/>
        </w:rPr>
        <w:t xml:space="preserve">1 celebrada el 28 de abril al 2 de mayo de 2025. </w:t>
      </w:r>
    </w:p>
    <w:p w14:paraId="7DAC9E0F"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Opiniones actualizadas proporcionadas por el Vicepresidente y el Coordinador de la CE</w:t>
      </w:r>
      <w:r>
        <w:rPr>
          <w:lang w:val="es-ES_tradnl"/>
        </w:rPr>
        <w:t> </w:t>
      </w:r>
      <w:r w:rsidRPr="001819F4">
        <w:rPr>
          <w:lang w:val="es-ES_tradnl"/>
        </w:rPr>
        <w:t xml:space="preserve">2 sobre las futuras Cuestiones de Estudio en nombre de los (Co)Relatores de la CE 2, tras la reunión de la CE 2 celebrada del 5 al 9 de mayo de 2025. </w:t>
      </w:r>
    </w:p>
    <w:p w14:paraId="62388FD8"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El cuarto proyecto de revisión (</w:t>
      </w:r>
      <w:hyperlink r:id="rId383" w:history="1">
        <w:r w:rsidRPr="001819F4">
          <w:rPr>
            <w:rStyle w:val="Hyperlink"/>
            <w:lang w:val="es-ES_tradnl"/>
          </w:rPr>
          <w:t>TDAG-WG-</w:t>
        </w:r>
        <w:proofErr w:type="spellStart"/>
        <w:r w:rsidRPr="001819F4">
          <w:rPr>
            <w:rStyle w:val="Hyperlink"/>
            <w:lang w:val="es-ES_tradnl"/>
          </w:rPr>
          <w:t>futureSGQ</w:t>
        </w:r>
        <w:proofErr w:type="spellEnd"/>
        <w:r w:rsidRPr="001819F4">
          <w:rPr>
            <w:rStyle w:val="Hyperlink"/>
            <w:lang w:val="es-ES_tradnl"/>
          </w:rPr>
          <w:t>/43</w:t>
        </w:r>
      </w:hyperlink>
      <w:r w:rsidRPr="001819F4">
        <w:rPr>
          <w:lang w:val="es-ES_tradnl"/>
        </w:rPr>
        <w:t xml:space="preserve">) de los extractos de los anexos a la Resolución 2 con mandatos de las Cuestiones de Estudio, preparada por el Presidente siguiendo las contribuciones y observaciones recibidas y los debates fuera de línea celebrados desde la reunión anterior. </w:t>
      </w:r>
      <w:hyperlink r:id="rId384" w:tgtFrame="_blank" w:history="1"/>
    </w:p>
    <w:p w14:paraId="2EF34EFA" w14:textId="77777777" w:rsidR="00A04DF2" w:rsidRPr="001819F4" w:rsidRDefault="00A04DF2" w:rsidP="00A04DF2">
      <w:pPr>
        <w:rPr>
          <w:rFonts w:ascii="Segoe UI" w:hAnsi="Segoe UI" w:cs="Segoe UI"/>
          <w:sz w:val="18"/>
          <w:szCs w:val="18"/>
          <w:lang w:val="es-ES_tradnl"/>
        </w:rPr>
      </w:pPr>
      <w:r w:rsidRPr="001819F4">
        <w:rPr>
          <w:lang w:val="es-ES_tradnl"/>
        </w:rPr>
        <w:lastRenderedPageBreak/>
        <w:t xml:space="preserve">La reunión acordó que el Documento 19(Rev.2) fuese el informe final del Presidente al GADT e incluyese </w:t>
      </w:r>
    </w:p>
    <w:p w14:paraId="472989D0"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El cuadro de propuestas de un vistazo como nuevo apéndice 3. </w:t>
      </w:r>
    </w:p>
    <w:p w14:paraId="1F98C4DC"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Un nuevo apéndice 4 incluiría los Anexos 1 y 2 de la Resolución 2 para que se considerasen como documentos de base (puntos de referencia) </w:t>
      </w:r>
    </w:p>
    <w:p w14:paraId="42C4ECA9"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Un nuevo Apéndice 5 sería una recopilación del mandato de las Cuestiones de Estudio para ulterior debate y no se había acordado en su totalidad. </w:t>
      </w:r>
    </w:p>
    <w:p w14:paraId="17B7E6D7" w14:textId="77777777" w:rsidR="00A04DF2" w:rsidRPr="001819F4" w:rsidRDefault="00A04DF2" w:rsidP="00A04DF2">
      <w:pPr>
        <w:pStyle w:val="enumlev1"/>
        <w:rPr>
          <w:rFonts w:ascii="Calibri" w:hAnsi="Calibri" w:cs="Calibri"/>
          <w:lang w:val="es-ES_tradnl"/>
        </w:rPr>
      </w:pPr>
      <w:r w:rsidRPr="00D26BED">
        <w:rPr>
          <w:lang w:val="es-ES_tradnl"/>
        </w:rPr>
        <w:t>–</w:t>
      </w:r>
      <w:r>
        <w:rPr>
          <w:lang w:val="es-ES_tradnl"/>
        </w:rPr>
        <w:tab/>
      </w:r>
      <w:r w:rsidRPr="001819F4">
        <w:rPr>
          <w:lang w:val="es-ES_tradnl"/>
        </w:rPr>
        <w:t xml:space="preserve">Teniendo en cuenta que algunas Cuestiones se fusionarían y abarcarían más temas, existía el deseo de revisar el enfoque actual para los informes de resultados. </w:t>
      </w:r>
    </w:p>
    <w:p w14:paraId="051F789C" w14:textId="77777777" w:rsidR="00A04DF2" w:rsidRPr="001819F4" w:rsidRDefault="00A04DF2" w:rsidP="00A04DF2">
      <w:pPr>
        <w:tabs>
          <w:tab w:val="clear" w:pos="794"/>
          <w:tab w:val="clear" w:pos="1191"/>
          <w:tab w:val="clear" w:pos="1588"/>
          <w:tab w:val="clear" w:pos="1985"/>
        </w:tabs>
        <w:overflowPunct/>
        <w:autoSpaceDE/>
        <w:autoSpaceDN/>
        <w:adjustRightInd/>
        <w:spacing w:before="0"/>
        <w:rPr>
          <w:rFonts w:ascii="Calibri" w:hAnsi="Calibri" w:cs="Calibri"/>
          <w:lang w:val="es-ES_tradnl"/>
        </w:rPr>
      </w:pPr>
      <w:r w:rsidRPr="001819F4">
        <w:rPr>
          <w:rFonts w:ascii="Calibri" w:hAnsi="Calibri" w:cs="Calibri"/>
          <w:lang w:val="es-ES_tradnl"/>
        </w:rPr>
        <w:t> </w:t>
      </w:r>
    </w:p>
    <w:p w14:paraId="2362BC7C" w14:textId="77777777" w:rsidR="00A04DF2" w:rsidRPr="001819F4" w:rsidRDefault="00A04DF2" w:rsidP="00A04DF2">
      <w:pPr>
        <w:tabs>
          <w:tab w:val="clear" w:pos="794"/>
          <w:tab w:val="clear" w:pos="1191"/>
          <w:tab w:val="clear" w:pos="1588"/>
          <w:tab w:val="clear" w:pos="1985"/>
        </w:tabs>
        <w:overflowPunct/>
        <w:autoSpaceDE/>
        <w:autoSpaceDN/>
        <w:adjustRightInd/>
        <w:spacing w:before="0"/>
        <w:textAlignment w:val="auto"/>
        <w:rPr>
          <w:rFonts w:ascii="Calibri" w:eastAsia="Calibri" w:hAnsi="Calibri" w:cs="Calibri"/>
          <w:b/>
          <w:bCs/>
          <w:sz w:val="28"/>
          <w:szCs w:val="28"/>
          <w:lang w:val="es-ES_tradnl"/>
        </w:rPr>
        <w:sectPr w:rsidR="00A04DF2" w:rsidRPr="001819F4" w:rsidSect="00C34E71">
          <w:headerReference w:type="default" r:id="rId385"/>
          <w:pgSz w:w="11907" w:h="16834" w:code="9"/>
          <w:pgMar w:top="1418" w:right="1134" w:bottom="1418" w:left="1134" w:header="720" w:footer="720" w:gutter="0"/>
          <w:paperSrc w:first="7" w:other="7"/>
          <w:cols w:space="720"/>
          <w:titlePg/>
          <w:docGrid w:linePitch="326"/>
        </w:sectPr>
      </w:pPr>
    </w:p>
    <w:p w14:paraId="1DE5A349" w14:textId="77777777" w:rsidR="00A04DF2" w:rsidRDefault="00A04DF2" w:rsidP="00A04DF2">
      <w:pPr>
        <w:pStyle w:val="AppendixNo"/>
        <w:rPr>
          <w:lang w:val="es-ES_tradnl"/>
        </w:rPr>
      </w:pPr>
      <w:r w:rsidRPr="001819F4">
        <w:rPr>
          <w:lang w:val="es-ES_tradnl"/>
        </w:rPr>
        <w:lastRenderedPageBreak/>
        <w:t>Apéndice 3</w:t>
      </w:r>
    </w:p>
    <w:p w14:paraId="0DB5F0E1" w14:textId="77777777" w:rsidR="00A04DF2" w:rsidRPr="001819F4" w:rsidRDefault="00A04DF2" w:rsidP="00A04DF2">
      <w:pPr>
        <w:pStyle w:val="Appendixtitle"/>
        <w:rPr>
          <w:rFonts w:eastAsia="Calibri" w:cstheme="minorHAnsi"/>
          <w:szCs w:val="24"/>
          <w:lang w:val="es-ES_tradnl"/>
        </w:rPr>
      </w:pPr>
      <w:r w:rsidRPr="001819F4">
        <w:rPr>
          <w:lang w:val="es-ES_tradnl"/>
        </w:rPr>
        <w:t>Cuadro de propuestas de un vistazo</w:t>
      </w:r>
    </w:p>
    <w:tbl>
      <w:tblPr>
        <w:tblW w:w="0"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745"/>
        <w:gridCol w:w="2745"/>
        <w:gridCol w:w="2745"/>
        <w:gridCol w:w="2745"/>
        <w:gridCol w:w="2760"/>
      </w:tblGrid>
      <w:tr w:rsidR="00A04DF2" w:rsidRPr="001819F4" w14:paraId="22AAC840" w14:textId="77777777" w:rsidTr="00D04740">
        <w:trPr>
          <w:trHeight w:val="300"/>
        </w:trPr>
        <w:tc>
          <w:tcPr>
            <w:tcW w:w="2745" w:type="dxa"/>
            <w:tcBorders>
              <w:top w:val="single" w:sz="6" w:space="0" w:color="000000"/>
              <w:left w:val="single" w:sz="6" w:space="0" w:color="000000"/>
              <w:bottom w:val="single" w:sz="6" w:space="0" w:color="000000"/>
              <w:right w:val="single" w:sz="6" w:space="0" w:color="000000"/>
            </w:tcBorders>
            <w:shd w:val="clear" w:color="auto" w:fill="CCC0D9"/>
            <w:hideMark/>
          </w:tcPr>
          <w:p w14:paraId="17E6948C" w14:textId="77777777" w:rsidR="00A04DF2" w:rsidRPr="001819F4" w:rsidRDefault="00A04DF2" w:rsidP="00D04740">
            <w:pPr>
              <w:pStyle w:val="Tablehead"/>
              <w:rPr>
                <w:rFonts w:eastAsia="Calibri" w:cstheme="minorHAnsi"/>
                <w:szCs w:val="22"/>
                <w:lang w:val="es-ES_tradnl"/>
              </w:rPr>
            </w:pPr>
            <w:r w:rsidRPr="001819F4">
              <w:rPr>
                <w:lang w:val="es-ES_tradnl"/>
              </w:rPr>
              <w:t>Documento 43 (Presidente)</w:t>
            </w:r>
          </w:p>
        </w:tc>
        <w:tc>
          <w:tcPr>
            <w:tcW w:w="2745" w:type="dxa"/>
            <w:tcBorders>
              <w:top w:val="single" w:sz="6" w:space="0" w:color="000000"/>
              <w:left w:val="single" w:sz="6" w:space="0" w:color="000000"/>
              <w:bottom w:val="single" w:sz="6" w:space="0" w:color="000000"/>
              <w:right w:val="single" w:sz="6" w:space="0" w:color="000000"/>
            </w:tcBorders>
            <w:shd w:val="clear" w:color="auto" w:fill="CCC0D9"/>
            <w:hideMark/>
          </w:tcPr>
          <w:p w14:paraId="03DD8A2B" w14:textId="77777777" w:rsidR="00A04DF2" w:rsidRPr="001819F4" w:rsidRDefault="00A04DF2" w:rsidP="00D04740">
            <w:pPr>
              <w:pStyle w:val="Tablehead"/>
              <w:rPr>
                <w:rFonts w:eastAsia="Calibri" w:cstheme="minorHAnsi"/>
                <w:szCs w:val="22"/>
                <w:lang w:val="es-ES_tradnl"/>
              </w:rPr>
            </w:pPr>
            <w:r w:rsidRPr="001819F4">
              <w:rPr>
                <w:lang w:val="es-ES_tradnl"/>
              </w:rPr>
              <w:t xml:space="preserve">Documento 45 (APT) </w:t>
            </w:r>
          </w:p>
        </w:tc>
        <w:tc>
          <w:tcPr>
            <w:tcW w:w="2745" w:type="dxa"/>
            <w:tcBorders>
              <w:top w:val="single" w:sz="6" w:space="0" w:color="000000"/>
              <w:left w:val="single" w:sz="6" w:space="0" w:color="000000"/>
              <w:bottom w:val="single" w:sz="6" w:space="0" w:color="000000"/>
              <w:right w:val="single" w:sz="6" w:space="0" w:color="000000"/>
            </w:tcBorders>
            <w:shd w:val="clear" w:color="auto" w:fill="CCC0D9"/>
            <w:hideMark/>
          </w:tcPr>
          <w:p w14:paraId="650A35C9" w14:textId="77777777" w:rsidR="00A04DF2" w:rsidRPr="001819F4" w:rsidRDefault="00A04DF2" w:rsidP="00D04740">
            <w:pPr>
              <w:pStyle w:val="Tablehead"/>
              <w:rPr>
                <w:rFonts w:eastAsia="Calibri" w:cstheme="minorHAnsi"/>
                <w:szCs w:val="22"/>
                <w:lang w:val="es-ES_tradnl"/>
              </w:rPr>
            </w:pPr>
            <w:r w:rsidRPr="001819F4">
              <w:rPr>
                <w:lang w:val="es-ES_tradnl"/>
              </w:rPr>
              <w:t xml:space="preserve">Documento 46 (LEA) </w:t>
            </w:r>
          </w:p>
        </w:tc>
        <w:tc>
          <w:tcPr>
            <w:tcW w:w="2745" w:type="dxa"/>
            <w:tcBorders>
              <w:top w:val="single" w:sz="6" w:space="0" w:color="000000"/>
              <w:left w:val="single" w:sz="6" w:space="0" w:color="000000"/>
              <w:bottom w:val="single" w:sz="6" w:space="0" w:color="000000"/>
              <w:right w:val="single" w:sz="6" w:space="0" w:color="000000"/>
            </w:tcBorders>
            <w:shd w:val="clear" w:color="auto" w:fill="CCC0D9"/>
            <w:hideMark/>
          </w:tcPr>
          <w:p w14:paraId="53BE59A1" w14:textId="77777777" w:rsidR="00A04DF2" w:rsidRPr="001819F4" w:rsidRDefault="00A04DF2" w:rsidP="00D04740">
            <w:pPr>
              <w:pStyle w:val="Tablehead"/>
              <w:rPr>
                <w:rFonts w:eastAsia="Calibri" w:cstheme="minorHAnsi"/>
                <w:szCs w:val="22"/>
                <w:lang w:val="es-ES_tradnl"/>
              </w:rPr>
            </w:pPr>
            <w:r w:rsidRPr="001819F4">
              <w:rPr>
                <w:lang w:val="es-ES_tradnl"/>
              </w:rPr>
              <w:t xml:space="preserve">Documento 49 (UAT) </w:t>
            </w:r>
          </w:p>
        </w:tc>
        <w:tc>
          <w:tcPr>
            <w:tcW w:w="2745" w:type="dxa"/>
            <w:tcBorders>
              <w:top w:val="single" w:sz="6" w:space="0" w:color="000000"/>
              <w:left w:val="single" w:sz="6" w:space="0" w:color="000000"/>
              <w:bottom w:val="single" w:sz="6" w:space="0" w:color="000000"/>
              <w:right w:val="single" w:sz="6" w:space="0" w:color="000000"/>
            </w:tcBorders>
            <w:shd w:val="clear" w:color="auto" w:fill="CCC0D9"/>
            <w:hideMark/>
          </w:tcPr>
          <w:p w14:paraId="488147C2" w14:textId="77777777" w:rsidR="00A04DF2" w:rsidRPr="001819F4" w:rsidRDefault="00A04DF2" w:rsidP="00D04740">
            <w:pPr>
              <w:pStyle w:val="Tablehead"/>
              <w:rPr>
                <w:rFonts w:eastAsia="Calibri" w:cstheme="minorHAnsi"/>
                <w:szCs w:val="22"/>
                <w:lang w:val="es-ES_tradnl"/>
              </w:rPr>
            </w:pPr>
            <w:r w:rsidRPr="001819F4">
              <w:rPr>
                <w:lang w:val="es-ES_tradnl"/>
              </w:rPr>
              <w:t xml:space="preserve">Documento 37* (CRC) </w:t>
            </w:r>
          </w:p>
        </w:tc>
      </w:tr>
      <w:tr w:rsidR="00A04DF2" w:rsidRPr="006C1B27" w14:paraId="524044AD" w14:textId="77777777" w:rsidTr="00D04740">
        <w:trPr>
          <w:trHeight w:val="300"/>
        </w:trPr>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0CD112E0" w14:textId="77777777" w:rsidR="00A04DF2" w:rsidRPr="001819F4" w:rsidRDefault="00A04DF2" w:rsidP="00D04740">
            <w:pPr>
              <w:pStyle w:val="Tabletext"/>
              <w:rPr>
                <w:rFonts w:eastAsia="Calibri" w:cstheme="minorHAnsi"/>
                <w:szCs w:val="22"/>
                <w:lang w:val="es-ES_tradnl"/>
              </w:rPr>
            </w:pPr>
            <w:r w:rsidRPr="001819F4">
              <w:rPr>
                <w:lang w:val="es-ES_tradnl"/>
              </w:rPr>
              <w:t xml:space="preserve">2 Comisiones de Estudio </w:t>
            </w:r>
          </w:p>
          <w:p w14:paraId="4BCDC3C3" w14:textId="77777777" w:rsidR="00A04DF2" w:rsidRPr="001819F4" w:rsidRDefault="00A04DF2" w:rsidP="00D04740">
            <w:pPr>
              <w:pStyle w:val="Tabletext"/>
              <w:rPr>
                <w:rFonts w:eastAsia="Calibri" w:cstheme="minorHAnsi"/>
                <w:szCs w:val="22"/>
                <w:lang w:val="es-ES_tradnl"/>
              </w:rPr>
            </w:pPr>
            <w:r w:rsidRPr="001819F4">
              <w:rPr>
                <w:lang w:val="es-ES_tradnl"/>
              </w:rPr>
              <w:t xml:space="preserve">5 Cuestiones por Comisión de Estudio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2FDBE602"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 xml:space="preserve">43 (Presidente)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2213B039"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 xml:space="preserve">43 (Presidente)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685C37D9"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 xml:space="preserve">43 (Presidente)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34D76210" w14:textId="77777777" w:rsidR="00A04DF2" w:rsidRPr="001819F4" w:rsidRDefault="00A04DF2" w:rsidP="00D04740">
            <w:pPr>
              <w:pStyle w:val="Tabletext"/>
              <w:rPr>
                <w:rFonts w:eastAsia="Calibri" w:cstheme="minorHAnsi"/>
                <w:szCs w:val="22"/>
                <w:lang w:val="es-ES_tradnl"/>
              </w:rPr>
            </w:pPr>
            <w:r w:rsidRPr="001819F4">
              <w:rPr>
                <w:lang w:val="es-ES_tradnl"/>
              </w:rPr>
              <w:t xml:space="preserve">3 Comisiones de Estudio </w:t>
            </w:r>
          </w:p>
          <w:p w14:paraId="45D9DEAC" w14:textId="77777777" w:rsidR="00A04DF2" w:rsidRPr="001819F4" w:rsidRDefault="00A04DF2" w:rsidP="00D04740">
            <w:pPr>
              <w:pStyle w:val="Tabletext"/>
              <w:rPr>
                <w:rFonts w:eastAsia="Calibri" w:cstheme="minorHAnsi"/>
                <w:szCs w:val="22"/>
                <w:lang w:val="es-ES_tradnl"/>
              </w:rPr>
            </w:pPr>
            <w:r w:rsidRPr="001819F4">
              <w:rPr>
                <w:lang w:val="es-ES_tradnl"/>
              </w:rPr>
              <w:t>6 Cuestiones por Comisión de Estudio</w:t>
            </w:r>
          </w:p>
        </w:tc>
      </w:tr>
      <w:tr w:rsidR="00A04DF2" w:rsidRPr="001819F4" w14:paraId="7B16F172" w14:textId="77777777" w:rsidTr="00D04740">
        <w:trPr>
          <w:trHeight w:val="300"/>
        </w:trPr>
        <w:tc>
          <w:tcPr>
            <w:tcW w:w="13740" w:type="dxa"/>
            <w:gridSpan w:val="5"/>
            <w:tcBorders>
              <w:top w:val="single" w:sz="6" w:space="0" w:color="000000"/>
              <w:left w:val="single" w:sz="6" w:space="0" w:color="000000"/>
              <w:bottom w:val="single" w:sz="6" w:space="0" w:color="000000"/>
              <w:right w:val="single" w:sz="6" w:space="0" w:color="000000"/>
            </w:tcBorders>
            <w:shd w:val="clear" w:color="auto" w:fill="E5DFEC"/>
            <w:hideMark/>
          </w:tcPr>
          <w:p w14:paraId="069772AC" w14:textId="77777777" w:rsidR="00A04DF2" w:rsidRPr="001819F4" w:rsidRDefault="00A04DF2" w:rsidP="00D04740">
            <w:pPr>
              <w:pStyle w:val="Tablehead"/>
              <w:jc w:val="left"/>
              <w:rPr>
                <w:rFonts w:eastAsia="Calibri" w:cstheme="minorHAnsi"/>
                <w:szCs w:val="22"/>
                <w:lang w:val="es-ES_tradnl"/>
              </w:rPr>
            </w:pPr>
            <w:r w:rsidRPr="001819F4">
              <w:rPr>
                <w:lang w:val="es-ES_tradnl"/>
              </w:rPr>
              <w:t xml:space="preserve">Comisión de Estudio 1 </w:t>
            </w:r>
          </w:p>
        </w:tc>
      </w:tr>
      <w:tr w:rsidR="00A04DF2" w:rsidRPr="006C1B27" w14:paraId="24A93D1B" w14:textId="77777777" w:rsidTr="00D04740">
        <w:trPr>
          <w:trHeight w:val="300"/>
        </w:trPr>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3A398EC3" w14:textId="77777777" w:rsidR="00A04DF2" w:rsidRPr="001819F4" w:rsidRDefault="00A04DF2" w:rsidP="00D04740">
            <w:pPr>
              <w:pStyle w:val="Tabletext"/>
              <w:rPr>
                <w:rFonts w:eastAsia="Calibri" w:cstheme="minorHAnsi"/>
                <w:szCs w:val="22"/>
                <w:lang w:val="es-ES_tradnl"/>
              </w:rPr>
            </w:pPr>
            <w:r w:rsidRPr="001819F4">
              <w:rPr>
                <w:lang w:val="es-ES_tradnl"/>
              </w:rPr>
              <w:t xml:space="preserve">Fusionar las anteriores C1/1 y C5/1 </w:t>
            </w:r>
          </w:p>
          <w:p w14:paraId="4D269B7E" w14:textId="77777777" w:rsidR="00A04DF2" w:rsidRPr="001819F4" w:rsidRDefault="00A04DF2" w:rsidP="00D04740">
            <w:pPr>
              <w:pStyle w:val="Tabletext"/>
              <w:rPr>
                <w:rFonts w:eastAsia="Calibri" w:cstheme="minorHAnsi"/>
                <w:szCs w:val="22"/>
                <w:lang w:val="es-ES_tradnl"/>
              </w:rPr>
            </w:pPr>
            <w:r w:rsidRPr="001819F4">
              <w:rPr>
                <w:lang w:val="es-ES_tradnl"/>
              </w:rPr>
              <w:t xml:space="preserve">Políticas y reglamentos propicios para ampliar la conectividad, incluida la banda ancha en todas partes, centrándose en las zonas rurales y remotas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5D2803A5"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 xml:space="preserve">43 (Presidente) con diferente título. </w:t>
            </w:r>
          </w:p>
          <w:p w14:paraId="6320A6BC" w14:textId="77777777" w:rsidR="00A04DF2" w:rsidRPr="001819F4" w:rsidRDefault="00A04DF2" w:rsidP="00D04740">
            <w:pPr>
              <w:pStyle w:val="Tabletext"/>
              <w:rPr>
                <w:rFonts w:eastAsia="Calibri" w:cstheme="minorHAnsi"/>
                <w:szCs w:val="22"/>
                <w:lang w:val="es-ES_tradnl"/>
              </w:rPr>
            </w:pPr>
            <w:r w:rsidRPr="001819F4">
              <w:rPr>
                <w:lang w:val="es-ES_tradnl"/>
              </w:rPr>
              <w:t xml:space="preserve">Políticas y reglamentos propicios para la banda ancha en todas partes, centrándose en las zonas rurales y remotas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76A9534F"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 xml:space="preserve">43 (Presidente) con diferente título.  </w:t>
            </w:r>
          </w:p>
          <w:p w14:paraId="58EDF5CF" w14:textId="77777777" w:rsidR="00A04DF2" w:rsidRPr="001819F4" w:rsidRDefault="00A04DF2" w:rsidP="00D04740">
            <w:pPr>
              <w:pStyle w:val="Tabletext"/>
              <w:rPr>
                <w:rFonts w:eastAsia="Calibri" w:cstheme="minorHAnsi"/>
                <w:szCs w:val="22"/>
                <w:lang w:val="es-ES_tradnl"/>
              </w:rPr>
            </w:pPr>
            <w:r w:rsidRPr="001819F4">
              <w:rPr>
                <w:lang w:val="es-ES_tradnl"/>
              </w:rPr>
              <w:t xml:space="preserve">Banda ancha universal, centrada en las zonas rurales y remotas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3BFBE6A2"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 xml:space="preserve">43 (Presidente)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49CBA5EC"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43 (Presidente) para fusionar la C1/1 y la C5/1 con diferente título (infraestructura) y alcance (incluye parte de la actual Cuestión 2/1 sobre la transición a la DTV)</w:t>
            </w:r>
          </w:p>
        </w:tc>
      </w:tr>
      <w:tr w:rsidR="00A04DF2" w:rsidRPr="006C1B27" w14:paraId="3A9CF378" w14:textId="77777777" w:rsidTr="00D04740">
        <w:trPr>
          <w:trHeight w:val="300"/>
        </w:trPr>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0B99FDA4" w14:textId="77777777" w:rsidR="00A04DF2" w:rsidRPr="001819F4" w:rsidRDefault="00A04DF2" w:rsidP="00D04740">
            <w:pPr>
              <w:pStyle w:val="Tabletext"/>
              <w:rPr>
                <w:rFonts w:eastAsia="Calibri" w:cstheme="minorHAnsi"/>
                <w:szCs w:val="22"/>
                <w:lang w:val="es-ES_tradnl"/>
              </w:rPr>
            </w:pPr>
            <w:r w:rsidRPr="001819F4">
              <w:rPr>
                <w:lang w:val="es-ES_tradnl"/>
              </w:rPr>
              <w:t xml:space="preserve">Modificar el título anterior de la C2/1 </w:t>
            </w:r>
          </w:p>
          <w:p w14:paraId="2DA44556" w14:textId="77777777" w:rsidR="00A04DF2" w:rsidRPr="001819F4" w:rsidRDefault="00A04DF2" w:rsidP="00D04740">
            <w:pPr>
              <w:pStyle w:val="Tabletext"/>
              <w:rPr>
                <w:rFonts w:eastAsia="Calibri" w:cstheme="minorHAnsi"/>
                <w:szCs w:val="22"/>
                <w:lang w:val="es-ES_tradnl"/>
              </w:rPr>
            </w:pPr>
            <w:r w:rsidRPr="001819F4">
              <w:rPr>
                <w:lang w:val="es-ES_tradnl"/>
              </w:rPr>
              <w:t>Políticas y reglamentos propicios para la adopción de tecnologías digitales para la distribución y radiodifusión de contenidos</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1204B608"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43 (Presidente)</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59C816D0"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 xml:space="preserve">43 (Presidente) con una diferencia en el título. Adopción de tecnologías digitales para la distribución y radiodifusión de contenidos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6C201575"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 xml:space="preserve">43 (Presidente)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25E418ED"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43 (Presidente) para modificar la C2/1 anterior con título (Recurso) y alcance diferentes (actual Cuestión 2/1 en la parte de planificación del espectro y dividendo digital + nuevo tema sobre recursos orbitales + actual Cuestión</w:t>
            </w:r>
            <w:r>
              <w:rPr>
                <w:lang w:val="es-ES_tradnl"/>
              </w:rPr>
              <w:t> </w:t>
            </w:r>
            <w:r w:rsidRPr="001819F4">
              <w:rPr>
                <w:lang w:val="es-ES_tradnl"/>
              </w:rPr>
              <w:t xml:space="preserve">7/2 sobre recursos CEM) </w:t>
            </w:r>
          </w:p>
        </w:tc>
      </w:tr>
      <w:tr w:rsidR="00A04DF2" w:rsidRPr="006C1B27" w14:paraId="7ECDC094" w14:textId="77777777" w:rsidTr="00D04740">
        <w:trPr>
          <w:trHeight w:val="300"/>
        </w:trPr>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3235255A" w14:textId="77777777" w:rsidR="00A04DF2" w:rsidRPr="001819F4" w:rsidRDefault="00A04DF2" w:rsidP="00D04740">
            <w:pPr>
              <w:pStyle w:val="Tabletext"/>
              <w:rPr>
                <w:rFonts w:eastAsia="Calibri" w:cstheme="minorHAnsi"/>
                <w:szCs w:val="22"/>
                <w:lang w:val="es-ES_tradnl"/>
              </w:rPr>
            </w:pPr>
            <w:r w:rsidRPr="001819F4">
              <w:rPr>
                <w:lang w:val="es-ES_tradnl"/>
              </w:rPr>
              <w:lastRenderedPageBreak/>
              <w:t>Mantener la Cuestión 3/1</w:t>
            </w:r>
          </w:p>
          <w:p w14:paraId="3BE6B09B" w14:textId="77777777" w:rsidR="00A04DF2" w:rsidRPr="001819F4" w:rsidRDefault="00A04DF2" w:rsidP="00D04740">
            <w:pPr>
              <w:pStyle w:val="Tabletext"/>
              <w:rPr>
                <w:rFonts w:eastAsia="Calibri" w:cstheme="minorHAnsi"/>
                <w:szCs w:val="22"/>
                <w:lang w:val="es-ES_tradnl"/>
              </w:rPr>
            </w:pPr>
            <w:r w:rsidRPr="001819F4">
              <w:rPr>
                <w:lang w:val="es-ES_tradnl"/>
              </w:rPr>
              <w:t>Utilización de las telecomunicaciones/TIC para la reducción del riesgo de catástrofes y su gestión</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1C120C05"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43 (Presidente)</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7B63C9E5" w14:textId="77777777" w:rsidR="00A04DF2" w:rsidRPr="001819F4" w:rsidRDefault="00A04DF2" w:rsidP="00D04740">
            <w:pPr>
              <w:pStyle w:val="Tabletext"/>
              <w:rPr>
                <w:rFonts w:eastAsia="Calibri" w:cstheme="minorHAnsi"/>
                <w:szCs w:val="22"/>
                <w:lang w:val="es-ES_tradnl"/>
              </w:rPr>
            </w:pPr>
            <w:r w:rsidRPr="001819F4">
              <w:rPr>
                <w:lang w:val="es-ES_tradnl"/>
              </w:rPr>
              <w:t>Mantener la Cuestión 3/1</w:t>
            </w:r>
          </w:p>
          <w:p w14:paraId="3E454B3B" w14:textId="77777777" w:rsidR="00A04DF2" w:rsidRPr="001819F4" w:rsidRDefault="00A04DF2" w:rsidP="00D04740">
            <w:pPr>
              <w:pStyle w:val="Tabletext"/>
              <w:rPr>
                <w:rFonts w:eastAsia="Calibri" w:cstheme="minorHAnsi"/>
                <w:szCs w:val="22"/>
                <w:lang w:val="es-ES_tradnl"/>
              </w:rPr>
            </w:pPr>
            <w:r w:rsidRPr="001819F4">
              <w:rPr>
                <w:lang w:val="es-ES_tradnl"/>
              </w:rPr>
              <w:t>Telecomunicaciones/TIC resilientes para la gestión de riesgos de emergencia y catástrofes</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0363E5C9"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 xml:space="preserve">43 (Presidente) </w:t>
            </w:r>
          </w:p>
          <w:p w14:paraId="2A731135" w14:textId="77777777" w:rsidR="00A04DF2" w:rsidRPr="001819F4" w:rsidRDefault="00A04DF2" w:rsidP="00D04740">
            <w:pPr>
              <w:pStyle w:val="Tabletext"/>
              <w:rPr>
                <w:rFonts w:eastAsia="Calibri" w:cstheme="minorHAnsi"/>
                <w:szCs w:val="22"/>
                <w:lang w:val="es-ES_tradnl"/>
              </w:rPr>
            </w:pPr>
            <w:r w:rsidRPr="001819F4">
              <w:rPr>
                <w:lang w:val="es-ES_tradnl"/>
              </w:rPr>
              <w:t>La UAT propuso algunas modificaciones al mandato</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1B67F925"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43 (Presidente) para modificar la C3/1 anterior</w:t>
            </w:r>
            <w:r>
              <w:rPr>
                <w:rFonts w:eastAsia="Calibri" w:cstheme="minorHAnsi"/>
                <w:szCs w:val="22"/>
                <w:lang w:val="es-ES_tradnl"/>
              </w:rPr>
              <w:t xml:space="preserve"> </w:t>
            </w:r>
            <w:r w:rsidRPr="001819F4">
              <w:rPr>
                <w:lang w:val="es-ES_tradnl"/>
              </w:rPr>
              <w:t>con diferentes títulos (consumidores) y alcance (actual Cuestión 6/1 + actual Cuestión 5/2 en la parte relativa a las competencias digitales).</w:t>
            </w:r>
          </w:p>
        </w:tc>
      </w:tr>
      <w:tr w:rsidR="00A04DF2" w:rsidRPr="006C1B27" w14:paraId="2B4E1BBF" w14:textId="77777777" w:rsidTr="00D04740">
        <w:trPr>
          <w:trHeight w:val="300"/>
        </w:trPr>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3661DA30" w14:textId="77777777" w:rsidR="00A04DF2" w:rsidRPr="001819F4" w:rsidRDefault="00A04DF2" w:rsidP="00D04740">
            <w:pPr>
              <w:pStyle w:val="Tabletext"/>
              <w:rPr>
                <w:rFonts w:eastAsia="Calibri" w:cstheme="minorHAnsi"/>
                <w:szCs w:val="22"/>
                <w:lang w:val="es-ES_tradnl"/>
              </w:rPr>
            </w:pPr>
            <w:r w:rsidRPr="001819F4">
              <w:rPr>
                <w:lang w:val="es-ES_tradnl"/>
              </w:rPr>
              <w:t>Mantener la Cuestión 4/1</w:t>
            </w:r>
          </w:p>
          <w:p w14:paraId="62FC36FB" w14:textId="77777777" w:rsidR="00A04DF2" w:rsidRPr="001819F4" w:rsidRDefault="00A04DF2" w:rsidP="00D04740">
            <w:pPr>
              <w:pStyle w:val="Tabletext"/>
              <w:rPr>
                <w:rFonts w:eastAsia="Calibri" w:cstheme="minorHAnsi"/>
                <w:szCs w:val="22"/>
                <w:lang w:val="es-ES_tradnl"/>
              </w:rPr>
            </w:pPr>
            <w:r w:rsidRPr="001819F4">
              <w:rPr>
                <w:lang w:val="es-ES_tradnl"/>
              </w:rPr>
              <w:t>Aspectos económicos de las telecomunicaciones/TIC nacionales</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00D62955"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 xml:space="preserve">43 (Presidente)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32FC55CE"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 xml:space="preserve">43 (Presidente)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157494F5"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 xml:space="preserve">43 (Presidente)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3483472B"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 xml:space="preserve">43 (Presidente) </w:t>
            </w:r>
          </w:p>
        </w:tc>
      </w:tr>
      <w:tr w:rsidR="00A04DF2" w:rsidRPr="00D9585B" w14:paraId="6C1FCECA" w14:textId="77777777" w:rsidTr="00D04740">
        <w:trPr>
          <w:trHeight w:val="300"/>
        </w:trPr>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6E8B256B" w14:textId="77777777" w:rsidR="00A04DF2" w:rsidRPr="001819F4" w:rsidRDefault="00A04DF2" w:rsidP="00D04740">
            <w:pPr>
              <w:pStyle w:val="Tabletext"/>
              <w:rPr>
                <w:rFonts w:eastAsia="Calibri" w:cstheme="minorHAnsi"/>
                <w:szCs w:val="22"/>
                <w:lang w:val="es-ES_tradnl"/>
              </w:rPr>
            </w:pPr>
            <w:r w:rsidRPr="001819F4">
              <w:rPr>
                <w:lang w:val="es-ES_tradnl"/>
              </w:rPr>
              <w:t xml:space="preserve">Fusionar la anterior C6/1 con la anterior C7/1 </w:t>
            </w:r>
          </w:p>
          <w:p w14:paraId="6B2776D0" w14:textId="77777777" w:rsidR="00A04DF2" w:rsidRPr="001819F4" w:rsidRDefault="00A04DF2" w:rsidP="00D04740">
            <w:pPr>
              <w:pStyle w:val="Tabletext"/>
              <w:rPr>
                <w:rFonts w:eastAsia="Calibri" w:cstheme="minorHAnsi"/>
                <w:szCs w:val="22"/>
                <w:lang w:val="es-ES_tradnl"/>
              </w:rPr>
            </w:pPr>
            <w:r w:rsidRPr="001819F4">
              <w:rPr>
                <w:lang w:val="es-ES_tradnl"/>
              </w:rPr>
              <w:t>Protección del consumidor y accesibilidad universal y efectiva</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6405F23C"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43 (Presidente)</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532ADE8F"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43 (Presidente)</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2EA8E9F8" w14:textId="77777777" w:rsidR="00A04DF2" w:rsidRPr="001819F4" w:rsidRDefault="00A04DF2" w:rsidP="00D04740">
            <w:pPr>
              <w:pStyle w:val="Tabletext"/>
              <w:rPr>
                <w:rFonts w:eastAsia="Calibri" w:cstheme="minorHAnsi"/>
                <w:szCs w:val="22"/>
                <w:lang w:val="es-ES_tradnl"/>
              </w:rPr>
            </w:pPr>
            <w:r w:rsidRPr="001819F4">
              <w:rPr>
                <w:lang w:val="es-ES_tradnl"/>
              </w:rPr>
              <w:t>Igual que en el Documento</w:t>
            </w:r>
            <w:r>
              <w:rPr>
                <w:lang w:val="es-ES_tradnl"/>
              </w:rPr>
              <w:t> </w:t>
            </w:r>
            <w:r w:rsidRPr="001819F4">
              <w:rPr>
                <w:lang w:val="es-ES_tradnl"/>
              </w:rPr>
              <w:t xml:space="preserve">43 (Presidente) </w:t>
            </w:r>
          </w:p>
          <w:p w14:paraId="212496A7" w14:textId="77777777" w:rsidR="00A04DF2" w:rsidRPr="001819F4" w:rsidRDefault="00A04DF2" w:rsidP="00D04740">
            <w:pPr>
              <w:pStyle w:val="Tabletext"/>
              <w:rPr>
                <w:rFonts w:eastAsia="Calibri" w:cstheme="minorHAnsi"/>
                <w:szCs w:val="22"/>
                <w:lang w:val="es-ES_tradnl"/>
              </w:rPr>
            </w:pPr>
            <w:r w:rsidRPr="001819F4">
              <w:rPr>
                <w:lang w:val="es-ES_tradnl"/>
              </w:rPr>
              <w:t>Para garantizar que se preste la debida atención a la accesibilidad, la UAT propone que se designen dos Relatores para dirigir la Cuestión</w:t>
            </w:r>
            <w:r>
              <w:rPr>
                <w:lang w:val="es-ES_tradnl"/>
              </w:rPr>
              <w:t> </w:t>
            </w:r>
            <w:r w:rsidRPr="001819F4">
              <w:rPr>
                <w:lang w:val="es-ES_tradnl"/>
              </w:rPr>
              <w:t xml:space="preserve">B/1, y que uno de ellos se encargue de fomentar la presentación de contribuciones sobre accesibilidad y de hacer un seguimiento de las cuestiones relacionadas con la accesibilidad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13B44A0E" w14:textId="77777777" w:rsidR="00A04DF2" w:rsidRPr="001819F4" w:rsidRDefault="00A04DF2" w:rsidP="00D04740">
            <w:pPr>
              <w:pStyle w:val="Tabletext"/>
              <w:rPr>
                <w:rFonts w:eastAsia="Calibri" w:cstheme="minorHAnsi"/>
                <w:szCs w:val="22"/>
                <w:lang w:val="es-ES_tradnl"/>
              </w:rPr>
            </w:pPr>
            <w:r w:rsidRPr="001819F4">
              <w:rPr>
                <w:lang w:val="es-ES_tradnl"/>
              </w:rPr>
              <w:t>Sin elementos comunes</w:t>
            </w:r>
          </w:p>
          <w:p w14:paraId="0689B635" w14:textId="77777777" w:rsidR="00A04DF2" w:rsidRPr="001819F4" w:rsidRDefault="00A04DF2" w:rsidP="00D04740">
            <w:pPr>
              <w:pStyle w:val="Tabletext"/>
              <w:rPr>
                <w:rFonts w:eastAsia="Calibri" w:cstheme="minorHAnsi"/>
                <w:szCs w:val="22"/>
                <w:lang w:val="es-ES_tradnl"/>
              </w:rPr>
            </w:pPr>
            <w:r w:rsidRPr="001819F4">
              <w:rPr>
                <w:lang w:val="es-ES_tradnl"/>
              </w:rPr>
              <w:t>Título diferente (dispositivos) y alcance diferente (nuevos temas sobre disponibilidad de dispositivos + parte de la actual Cuestión 5/2 sobre adopción de las TIC + actual Cuestión</w:t>
            </w:r>
            <w:r>
              <w:rPr>
                <w:lang w:val="es-ES_tradnl"/>
              </w:rPr>
              <w:t> </w:t>
            </w:r>
            <w:r w:rsidRPr="001819F4">
              <w:rPr>
                <w:lang w:val="es-ES_tradnl"/>
              </w:rPr>
              <w:t>4/2)</w:t>
            </w:r>
          </w:p>
        </w:tc>
      </w:tr>
      <w:tr w:rsidR="00A04DF2" w:rsidRPr="00D9585B" w14:paraId="03868087" w14:textId="77777777" w:rsidTr="00D04740">
        <w:trPr>
          <w:trHeight w:val="300"/>
        </w:trPr>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1B4D1CC9" w14:textId="77777777" w:rsidR="00A04DF2" w:rsidRPr="001819F4" w:rsidRDefault="00A04DF2" w:rsidP="00D04740">
            <w:pPr>
              <w:pStyle w:val="Tabletext"/>
              <w:rPr>
                <w:rFonts w:eastAsia="Calibri" w:cstheme="minorHAnsi"/>
                <w:szCs w:val="22"/>
                <w:lang w:val="es-ES_tradnl"/>
              </w:rPr>
            </w:pPr>
            <w:r w:rsidRPr="001819F4">
              <w:rPr>
                <w:rFonts w:eastAsia="Calibri" w:cstheme="minorHAnsi"/>
                <w:szCs w:val="22"/>
                <w:lang w:val="es-ES_tradnl"/>
              </w:rPr>
              <w:t xml:space="preserve">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7856192B" w14:textId="77777777" w:rsidR="00A04DF2" w:rsidRPr="001819F4" w:rsidRDefault="00A04DF2" w:rsidP="00D04740">
            <w:pPr>
              <w:pStyle w:val="Tabletext"/>
              <w:rPr>
                <w:rFonts w:eastAsia="Calibri" w:cstheme="minorHAnsi"/>
                <w:szCs w:val="22"/>
                <w:lang w:val="es-ES_tradnl"/>
              </w:rPr>
            </w:pPr>
            <w:r w:rsidRPr="001819F4">
              <w:rPr>
                <w:rFonts w:eastAsia="Calibri" w:cstheme="minorHAnsi"/>
                <w:szCs w:val="22"/>
                <w:lang w:val="es-ES_tradnl"/>
              </w:rPr>
              <w:t xml:space="preserve">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1A1071C5" w14:textId="77777777" w:rsidR="00A04DF2" w:rsidRPr="001819F4" w:rsidRDefault="00A04DF2" w:rsidP="00D04740">
            <w:pPr>
              <w:pStyle w:val="Tabletext"/>
              <w:rPr>
                <w:rFonts w:eastAsia="Calibri" w:cstheme="minorHAnsi"/>
                <w:szCs w:val="22"/>
                <w:lang w:val="es-ES_tradnl"/>
              </w:rPr>
            </w:pPr>
            <w:r w:rsidRPr="001819F4">
              <w:rPr>
                <w:rFonts w:eastAsia="Calibri" w:cstheme="minorHAnsi"/>
                <w:szCs w:val="22"/>
                <w:lang w:val="es-ES_tradnl"/>
              </w:rPr>
              <w:t xml:space="preserve">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03E962D2" w14:textId="77777777" w:rsidR="00A04DF2" w:rsidRPr="001819F4" w:rsidRDefault="00A04DF2" w:rsidP="00D04740">
            <w:pPr>
              <w:pStyle w:val="Tabletext"/>
              <w:rPr>
                <w:rFonts w:eastAsia="Calibri" w:cstheme="minorHAnsi"/>
                <w:szCs w:val="22"/>
                <w:lang w:val="es-ES_tradnl"/>
              </w:rPr>
            </w:pPr>
            <w:r w:rsidRPr="001819F4">
              <w:rPr>
                <w:rFonts w:eastAsia="Calibri" w:cstheme="minorHAnsi"/>
                <w:szCs w:val="22"/>
                <w:lang w:val="es-ES_tradnl"/>
              </w:rPr>
              <w:t xml:space="preserve">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2B80B402" w14:textId="77777777" w:rsidR="00A04DF2" w:rsidRPr="001819F4" w:rsidRDefault="00A04DF2" w:rsidP="00D04740">
            <w:pPr>
              <w:pStyle w:val="Tabletext"/>
              <w:rPr>
                <w:rFonts w:eastAsia="Calibri" w:cstheme="minorHAnsi"/>
                <w:szCs w:val="22"/>
                <w:lang w:val="es-ES_tradnl"/>
              </w:rPr>
            </w:pPr>
            <w:r w:rsidRPr="001819F4">
              <w:rPr>
                <w:lang w:val="es-ES_tradnl"/>
              </w:rPr>
              <w:t>Título adicional de la C6/1 (Seguridad) y alcance (actual Cuestión 3/2)</w:t>
            </w:r>
          </w:p>
        </w:tc>
      </w:tr>
    </w:tbl>
    <w:p w14:paraId="59FD7FAD" w14:textId="77777777" w:rsidR="00A04DF2" w:rsidRPr="001819F4" w:rsidRDefault="00A04DF2" w:rsidP="00A04DF2">
      <w:pPr>
        <w:pStyle w:val="Note"/>
        <w:rPr>
          <w:rFonts w:eastAsia="Calibri" w:cstheme="minorHAnsi"/>
          <w:szCs w:val="24"/>
          <w:lang w:val="es-ES_tradnl"/>
        </w:rPr>
      </w:pPr>
      <w:r w:rsidRPr="001819F4">
        <w:rPr>
          <w:lang w:val="es-ES_tradnl"/>
        </w:rPr>
        <w:t>Nota:</w:t>
      </w:r>
    </w:p>
    <w:p w14:paraId="6D17F85F" w14:textId="77777777" w:rsidR="00A04DF2" w:rsidRPr="001819F4" w:rsidRDefault="00A04DF2" w:rsidP="00A04DF2">
      <w:pPr>
        <w:rPr>
          <w:rFonts w:eastAsia="Calibri" w:cstheme="minorHAnsi"/>
          <w:szCs w:val="24"/>
          <w:lang w:val="es-ES_tradnl"/>
        </w:rPr>
      </w:pPr>
      <w:r w:rsidRPr="001819F4">
        <w:rPr>
          <w:lang w:val="es-ES_tradnl"/>
        </w:rPr>
        <w:t>*</w:t>
      </w:r>
      <w:r>
        <w:rPr>
          <w:lang w:val="es-ES_tradnl"/>
        </w:rPr>
        <w:tab/>
      </w:r>
      <w:r w:rsidRPr="001819F4">
        <w:rPr>
          <w:lang w:val="es-ES_tradnl"/>
        </w:rPr>
        <w:t xml:space="preserve">La propuesta de la Comisión de Estudio 3 contenida en el Documento 37 (CRC) es la siguiente: </w:t>
      </w:r>
    </w:p>
    <w:p w14:paraId="4BA03D43" w14:textId="77777777" w:rsidR="00A04DF2" w:rsidRPr="001819F4" w:rsidRDefault="00A04DF2" w:rsidP="00A04DF2">
      <w:pPr>
        <w:pStyle w:val="Headingb"/>
        <w:rPr>
          <w:rFonts w:eastAsia="Calibri" w:cstheme="minorHAnsi"/>
          <w:szCs w:val="24"/>
          <w:lang w:val="es-ES_tradnl"/>
        </w:rPr>
      </w:pPr>
      <w:r w:rsidRPr="001819F4">
        <w:rPr>
          <w:lang w:val="es-ES_tradnl"/>
        </w:rPr>
        <w:lastRenderedPageBreak/>
        <w:t xml:space="preserve">CE 3 – Medición de las telecomunicaciones/TIC </w:t>
      </w:r>
    </w:p>
    <w:p w14:paraId="5D5B0AC8" w14:textId="77777777" w:rsidR="00A04DF2" w:rsidRPr="001819F4" w:rsidRDefault="00A04DF2" w:rsidP="00A04DF2">
      <w:pPr>
        <w:pStyle w:val="enumlev1"/>
        <w:rPr>
          <w:rFonts w:eastAsia="Calibri" w:cstheme="minorHAnsi"/>
          <w:szCs w:val="24"/>
          <w:lang w:val="es-ES_tradnl"/>
        </w:rPr>
      </w:pPr>
      <w:r w:rsidRPr="00D26BED">
        <w:rPr>
          <w:lang w:val="es-ES_tradnl"/>
        </w:rPr>
        <w:t>•</w:t>
      </w:r>
      <w:r>
        <w:rPr>
          <w:lang w:val="es-ES_tradnl"/>
        </w:rPr>
        <w:tab/>
      </w:r>
      <w:r w:rsidRPr="001819F4">
        <w:rPr>
          <w:lang w:val="es-ES_tradnl"/>
        </w:rPr>
        <w:t>C1/3 – Medición de la brecha digital (Índice de Desarrollo de las TIC) (Nuevo tema relacionado con la labor del actual Grupo Mixto GEIT/GEH sobre IDI)</w:t>
      </w:r>
      <w:r>
        <w:rPr>
          <w:lang w:val="es-ES_tradnl"/>
        </w:rPr>
        <w:t>.</w:t>
      </w:r>
    </w:p>
    <w:p w14:paraId="08B97386" w14:textId="77777777" w:rsidR="00A04DF2" w:rsidRPr="001819F4" w:rsidRDefault="00A04DF2" w:rsidP="00A04DF2">
      <w:pPr>
        <w:pStyle w:val="enumlev1"/>
        <w:rPr>
          <w:rFonts w:eastAsia="Calibri" w:cstheme="minorHAnsi"/>
          <w:szCs w:val="24"/>
          <w:lang w:val="es-ES_tradnl"/>
        </w:rPr>
      </w:pPr>
      <w:r w:rsidRPr="00D26BED">
        <w:rPr>
          <w:lang w:val="es-ES_tradnl"/>
        </w:rPr>
        <w:t>•</w:t>
      </w:r>
      <w:r>
        <w:rPr>
          <w:lang w:val="es-ES_tradnl"/>
        </w:rPr>
        <w:tab/>
      </w:r>
      <w:r w:rsidRPr="001819F4">
        <w:rPr>
          <w:lang w:val="es-ES_tradnl"/>
        </w:rPr>
        <w:t>C2/3 – Medición de políticas (Encuesta sobre reglamentación de las TIC) (Nuevo tema relacionado con la labor de la BDT y diversas Cuestiones de las Comisiones de Estudio 1 y 2 del UIT-D)</w:t>
      </w:r>
      <w:r>
        <w:rPr>
          <w:lang w:val="es-ES_tradnl"/>
        </w:rPr>
        <w:t>.</w:t>
      </w:r>
    </w:p>
    <w:p w14:paraId="4D919F7D" w14:textId="77777777" w:rsidR="00A04DF2" w:rsidRPr="001819F4" w:rsidRDefault="00A04DF2" w:rsidP="00A04DF2">
      <w:pPr>
        <w:pStyle w:val="enumlev1"/>
        <w:rPr>
          <w:rFonts w:eastAsia="Calibri" w:cstheme="minorHAnsi"/>
          <w:szCs w:val="24"/>
          <w:lang w:val="es-ES_tradnl"/>
        </w:rPr>
      </w:pPr>
      <w:r w:rsidRPr="00D26BED">
        <w:rPr>
          <w:lang w:val="es-ES_tradnl"/>
        </w:rPr>
        <w:t>•</w:t>
      </w:r>
      <w:r>
        <w:rPr>
          <w:lang w:val="es-ES_tradnl"/>
        </w:rPr>
        <w:tab/>
      </w:r>
      <w:r w:rsidRPr="001819F4">
        <w:rPr>
          <w:lang w:val="es-ES_tradnl"/>
        </w:rPr>
        <w:t>C3/3 – Medición económica (Cesta de precios de las TIC + encuesta sobre política tarifaria) (Nuevo tema relacionado con la labor del GEIT, la BDT y la Cuestión 4/1 de la Comisión de Estudio 1 del UIT-D)</w:t>
      </w:r>
      <w:r>
        <w:rPr>
          <w:lang w:val="es-ES_tradnl"/>
        </w:rPr>
        <w:t>.</w:t>
      </w:r>
    </w:p>
    <w:p w14:paraId="66A06702" w14:textId="77777777" w:rsidR="00A04DF2" w:rsidRPr="001819F4" w:rsidRDefault="00A04DF2" w:rsidP="00A04DF2">
      <w:pPr>
        <w:pStyle w:val="enumlev1"/>
        <w:rPr>
          <w:rFonts w:eastAsia="Calibri" w:cstheme="minorHAnsi"/>
          <w:szCs w:val="24"/>
          <w:lang w:val="es-ES_tradnl"/>
        </w:rPr>
      </w:pPr>
      <w:r w:rsidRPr="00D26BED">
        <w:rPr>
          <w:lang w:val="es-ES_tradnl"/>
        </w:rPr>
        <w:t>•</w:t>
      </w:r>
      <w:r>
        <w:rPr>
          <w:lang w:val="es-ES_tradnl"/>
        </w:rPr>
        <w:tab/>
      </w:r>
      <w:r w:rsidRPr="001819F4">
        <w:rPr>
          <w:lang w:val="es-ES_tradnl"/>
        </w:rPr>
        <w:t>C4/3 – Medición de la ciberseguridad (Índice Mundial de Ciberseguridad) (Nuevo tema relacionado con los trabajos de la BDT y la Cuestión 3/2 de la Comisión de Estudio 2 del UIT-D)</w:t>
      </w:r>
      <w:r>
        <w:rPr>
          <w:lang w:val="es-ES_tradnl"/>
        </w:rPr>
        <w:t>.</w:t>
      </w:r>
    </w:p>
    <w:p w14:paraId="329CA772" w14:textId="77777777" w:rsidR="00A04DF2" w:rsidRPr="001819F4" w:rsidRDefault="00A04DF2" w:rsidP="00A04DF2">
      <w:pPr>
        <w:pStyle w:val="enumlev1"/>
        <w:rPr>
          <w:rFonts w:eastAsia="Calibri" w:cstheme="minorHAnsi"/>
          <w:szCs w:val="24"/>
          <w:lang w:val="es-ES_tradnl"/>
        </w:rPr>
      </w:pPr>
      <w:r w:rsidRPr="00D26BED">
        <w:rPr>
          <w:lang w:val="es-ES_tradnl"/>
        </w:rPr>
        <w:t>•</w:t>
      </w:r>
      <w:r>
        <w:rPr>
          <w:lang w:val="es-ES_tradnl"/>
        </w:rPr>
        <w:tab/>
      </w:r>
      <w:r w:rsidRPr="001819F4">
        <w:rPr>
          <w:lang w:val="es-ES_tradnl"/>
        </w:rPr>
        <w:t>C5/3 – Medición de tecnologías nuevas y emergentes (temas sobre indicadores no incluidos en IDT, ICG e CPT)</w:t>
      </w:r>
      <w:r>
        <w:rPr>
          <w:lang w:val="es-ES_tradnl"/>
        </w:rPr>
        <w:t>.</w:t>
      </w:r>
    </w:p>
    <w:p w14:paraId="3ED09396" w14:textId="77777777" w:rsidR="00A04DF2" w:rsidRPr="001819F4" w:rsidRDefault="00A04DF2" w:rsidP="00A04DF2">
      <w:pPr>
        <w:pStyle w:val="enumlev1"/>
        <w:rPr>
          <w:rFonts w:eastAsia="Calibri" w:cstheme="minorHAnsi"/>
          <w:szCs w:val="24"/>
          <w:lang w:val="es-ES_tradnl"/>
        </w:rPr>
      </w:pPr>
      <w:r w:rsidRPr="00D26BED">
        <w:rPr>
          <w:lang w:val="es-ES_tradnl"/>
        </w:rPr>
        <w:t>•</w:t>
      </w:r>
      <w:r>
        <w:rPr>
          <w:lang w:val="es-ES_tradnl"/>
        </w:rPr>
        <w:tab/>
      </w:r>
      <w:r w:rsidRPr="001819F4">
        <w:rPr>
          <w:lang w:val="es-ES_tradnl"/>
        </w:rPr>
        <w:t xml:space="preserve">C6/3 – Avance de la medición (Nuevo tema relacionado con la labor del actual GEIT y el GEH sobre la mejora de los cuestionarios largos y breves sobre indicadores de telecomunicaciones/TIC + cuestionarios largos y breves sobre la utilización de las TIC en los hogares). </w:t>
      </w:r>
    </w:p>
    <w:p w14:paraId="62BAACCB" w14:textId="77777777" w:rsidR="00A04DF2" w:rsidRPr="001819F4" w:rsidRDefault="00A04DF2" w:rsidP="00A04DF2">
      <w:pPr>
        <w:tabs>
          <w:tab w:val="clear" w:pos="794"/>
          <w:tab w:val="clear" w:pos="1191"/>
          <w:tab w:val="clear" w:pos="1588"/>
          <w:tab w:val="clear" w:pos="1985"/>
        </w:tabs>
        <w:overflowPunct/>
        <w:autoSpaceDE/>
        <w:autoSpaceDN/>
        <w:adjustRightInd/>
        <w:spacing w:before="0"/>
        <w:textAlignment w:val="auto"/>
        <w:rPr>
          <w:rFonts w:eastAsia="Calibri" w:cstheme="minorHAnsi"/>
          <w:b/>
          <w:bCs/>
          <w:szCs w:val="24"/>
          <w:lang w:val="es-ES_tradnl"/>
        </w:rPr>
      </w:pPr>
    </w:p>
    <w:p w14:paraId="2E83D6A4" w14:textId="77777777" w:rsidR="00A04DF2" w:rsidRPr="001819F4" w:rsidRDefault="00A04DF2" w:rsidP="00A04DF2">
      <w:pPr>
        <w:tabs>
          <w:tab w:val="clear" w:pos="794"/>
          <w:tab w:val="clear" w:pos="1191"/>
          <w:tab w:val="clear" w:pos="1588"/>
          <w:tab w:val="clear" w:pos="1985"/>
        </w:tabs>
        <w:overflowPunct/>
        <w:autoSpaceDE/>
        <w:autoSpaceDN/>
        <w:adjustRightInd/>
        <w:spacing w:before="0"/>
        <w:textAlignment w:val="auto"/>
        <w:rPr>
          <w:rFonts w:eastAsia="Calibri" w:cstheme="minorHAnsi"/>
          <w:b/>
          <w:bCs/>
          <w:szCs w:val="24"/>
          <w:lang w:val="es-ES_tradnl"/>
        </w:rPr>
      </w:pPr>
      <w:r w:rsidRPr="001819F4">
        <w:rPr>
          <w:rFonts w:eastAsia="Calibri" w:cstheme="minorHAnsi"/>
          <w:b/>
          <w:bCs/>
          <w:szCs w:val="24"/>
          <w:lang w:val="es-ES_tradnl"/>
        </w:rPr>
        <w:br w:type="page"/>
      </w:r>
    </w:p>
    <w:p w14:paraId="12CE24D4" w14:textId="77777777" w:rsidR="00A04DF2" w:rsidRPr="001819F4" w:rsidRDefault="00A04DF2" w:rsidP="00A04DF2">
      <w:pPr>
        <w:tabs>
          <w:tab w:val="clear" w:pos="794"/>
          <w:tab w:val="clear" w:pos="1191"/>
          <w:tab w:val="clear" w:pos="1588"/>
          <w:tab w:val="clear" w:pos="1985"/>
        </w:tabs>
        <w:overflowPunct/>
        <w:autoSpaceDE/>
        <w:autoSpaceDN/>
        <w:adjustRightInd/>
        <w:spacing w:before="0"/>
        <w:textAlignment w:val="auto"/>
        <w:rPr>
          <w:rFonts w:eastAsia="Calibri" w:cstheme="minorHAnsi"/>
          <w:b/>
          <w:bCs/>
          <w:szCs w:val="24"/>
          <w:lang w:val="es-ES_tradnl"/>
        </w:rPr>
        <w:sectPr w:rsidR="00A04DF2" w:rsidRPr="001819F4" w:rsidSect="003F16E1">
          <w:headerReference w:type="default" r:id="rId386"/>
          <w:pgSz w:w="16834" w:h="11907" w:orient="landscape" w:code="9"/>
          <w:pgMar w:top="1134" w:right="1418" w:bottom="1134" w:left="1418" w:header="720" w:footer="720" w:gutter="0"/>
          <w:paperSrc w:first="7" w:other="7"/>
          <w:cols w:space="720"/>
          <w:docGrid w:linePitch="326"/>
        </w:sectPr>
      </w:pPr>
    </w:p>
    <w:p w14:paraId="096784ED" w14:textId="77777777" w:rsidR="00A04DF2" w:rsidRDefault="00A04DF2" w:rsidP="00A04DF2">
      <w:pPr>
        <w:pStyle w:val="AppendixNo"/>
        <w:rPr>
          <w:lang w:val="es-ES_tradnl"/>
        </w:rPr>
      </w:pPr>
      <w:r w:rsidRPr="001819F4">
        <w:rPr>
          <w:lang w:val="es-ES_tradnl"/>
        </w:rPr>
        <w:lastRenderedPageBreak/>
        <w:t>Apéndice 4</w:t>
      </w:r>
    </w:p>
    <w:p w14:paraId="63633C81" w14:textId="77777777" w:rsidR="00A04DF2" w:rsidRPr="001819F4" w:rsidRDefault="00A04DF2" w:rsidP="00A04DF2">
      <w:pPr>
        <w:pStyle w:val="Appendixtitle"/>
        <w:rPr>
          <w:rFonts w:eastAsia="Calibri" w:cstheme="minorHAnsi"/>
          <w:szCs w:val="24"/>
          <w:lang w:val="es-ES_tradnl"/>
        </w:rPr>
      </w:pPr>
      <w:r w:rsidRPr="001819F4">
        <w:rPr>
          <w:lang w:val="es-ES_tradnl"/>
        </w:rPr>
        <w:t>Propuestas consolidadas para el Anexo 1 a la Resolución 2 (Alcance) y el Anexo</w:t>
      </w:r>
      <w:r>
        <w:rPr>
          <w:lang w:val="es-ES_tradnl"/>
        </w:rPr>
        <w:t> </w:t>
      </w:r>
      <w:r w:rsidRPr="001819F4">
        <w:rPr>
          <w:lang w:val="es-ES_tradnl"/>
        </w:rPr>
        <w:t>2 a la Resolución 2 (Títulos de las Cuestiones), para su utilización</w:t>
      </w:r>
      <w:r>
        <w:rPr>
          <w:lang w:val="es-ES_tradnl"/>
        </w:rPr>
        <w:br/>
      </w:r>
      <w:r w:rsidRPr="001819F4">
        <w:rPr>
          <w:lang w:val="es-ES_tradnl"/>
        </w:rPr>
        <w:t xml:space="preserve">como documento de base (punto de referencia) </w:t>
      </w:r>
    </w:p>
    <w:p w14:paraId="71151AD8" w14:textId="77777777" w:rsidR="00A04DF2" w:rsidRPr="001819F4" w:rsidRDefault="00A04DF2" w:rsidP="00A04DF2">
      <w:pPr>
        <w:pStyle w:val="ResNo"/>
        <w:spacing w:before="120" w:after="120"/>
        <w:rPr>
          <w:rFonts w:cstheme="minorBidi"/>
          <w:sz w:val="24"/>
          <w:szCs w:val="24"/>
          <w:lang w:val="es-ES_tradnl"/>
        </w:rPr>
      </w:pPr>
      <w:bookmarkStart w:id="17" w:name="_Toc116556641"/>
      <w:bookmarkStart w:id="18" w:name="_Toc116557194"/>
      <w:bookmarkStart w:id="19" w:name="_Toc116636433"/>
      <w:r w:rsidRPr="001819F4">
        <w:rPr>
          <w:lang w:val="es-ES_tradnl"/>
        </w:rPr>
        <w:t>RESOLUCIÓN 2 (Rev. Baku, 2025)</w:t>
      </w:r>
    </w:p>
    <w:p w14:paraId="51B3C595" w14:textId="77777777" w:rsidR="00A04DF2" w:rsidRPr="001819F4" w:rsidRDefault="00A04DF2" w:rsidP="00A04DF2">
      <w:pPr>
        <w:pStyle w:val="Restitle"/>
        <w:spacing w:before="120" w:after="120"/>
        <w:rPr>
          <w:rFonts w:cstheme="minorBidi"/>
          <w:sz w:val="24"/>
          <w:szCs w:val="24"/>
          <w:lang w:val="es-ES_tradnl"/>
        </w:rPr>
      </w:pPr>
      <w:bookmarkStart w:id="20" w:name="_Toc116556642"/>
      <w:bookmarkStart w:id="21" w:name="_Toc116557195"/>
      <w:bookmarkStart w:id="22" w:name="_Toc116636434"/>
      <w:r w:rsidRPr="001819F4">
        <w:rPr>
          <w:bCs/>
          <w:lang w:val="es-ES_tradnl"/>
        </w:rPr>
        <w:t>Establecimiento de Comisiones de Estudio</w:t>
      </w:r>
      <w:bookmarkEnd w:id="20"/>
      <w:bookmarkEnd w:id="21"/>
      <w:bookmarkEnd w:id="22"/>
    </w:p>
    <w:p w14:paraId="78AFBB5E" w14:textId="77777777" w:rsidR="00A04DF2" w:rsidRPr="001819F4" w:rsidRDefault="00A04DF2" w:rsidP="00A04DF2">
      <w:pPr>
        <w:pStyle w:val="Normalaftertitle"/>
        <w:keepNext/>
        <w:keepLines/>
        <w:spacing w:before="120" w:after="120"/>
        <w:rPr>
          <w:rFonts w:cstheme="minorBidi"/>
          <w:lang w:val="es-ES_tradnl"/>
        </w:rPr>
      </w:pPr>
      <w:r w:rsidRPr="001819F4">
        <w:rPr>
          <w:lang w:val="es-ES_tradnl"/>
        </w:rPr>
        <w:t>La Conferencia Mundial de Desarrollo de las Telecomunicaciones (Baku, 2025),</w:t>
      </w:r>
    </w:p>
    <w:p w14:paraId="08B407FA" w14:textId="77777777" w:rsidR="00A04DF2" w:rsidRPr="001819F4" w:rsidRDefault="00A04DF2" w:rsidP="00A04DF2">
      <w:pPr>
        <w:pStyle w:val="Call"/>
        <w:rPr>
          <w:rFonts w:cstheme="minorBidi"/>
          <w:lang w:val="es-ES_tradnl"/>
        </w:rPr>
      </w:pPr>
      <w:r w:rsidRPr="00D9585B">
        <w:rPr>
          <w:lang w:val="es-ES"/>
        </w:rPr>
        <w:t>considerando</w:t>
      </w:r>
    </w:p>
    <w:p w14:paraId="7DA2BAFD" w14:textId="77777777" w:rsidR="00A04DF2" w:rsidRPr="00D9585B" w:rsidRDefault="00A04DF2" w:rsidP="00A04DF2">
      <w:pPr>
        <w:rPr>
          <w:lang w:val="es-ES"/>
        </w:rPr>
      </w:pPr>
      <w:r w:rsidRPr="001819F4">
        <w:rPr>
          <w:i/>
          <w:iCs/>
          <w:lang w:val="es-ES_tradnl"/>
        </w:rPr>
        <w:t>a)</w:t>
      </w:r>
      <w:r w:rsidRPr="001819F4">
        <w:rPr>
          <w:lang w:val="es-ES_tradnl"/>
        </w:rPr>
        <w:tab/>
        <w:t xml:space="preserve">que </w:t>
      </w:r>
      <w:r w:rsidRPr="00D9585B">
        <w:rPr>
          <w:lang w:val="es-ES"/>
        </w:rPr>
        <w:t>el mandato de cada Comisión de Estudio se ha de definir claramente a fin de evitar duplicaciones entre las Comisiones de Estudio y otros Grupos del Sector de Desarrollo de las Telecomunicaciones de la UIT (UIT-D) establecidos conforme al número 209A del Convenio de la UIT y de velar por la coherencia del programa de trabajo global del Sector, con arreglo a lo dispuesto en el Artículo 16 del Convenio;</w:t>
      </w:r>
    </w:p>
    <w:p w14:paraId="66EC6C73" w14:textId="77777777" w:rsidR="00A04DF2" w:rsidRPr="00366E73" w:rsidRDefault="00A04DF2" w:rsidP="00A04DF2">
      <w:pPr>
        <w:rPr>
          <w:lang w:val="es-ES"/>
        </w:rPr>
      </w:pPr>
      <w:r w:rsidRPr="00366E73">
        <w:rPr>
          <w:lang w:val="es-ES"/>
        </w:rPr>
        <w:t>b)</w:t>
      </w:r>
      <w:r w:rsidRPr="00366E73">
        <w:rPr>
          <w:lang w:val="es-ES"/>
        </w:rPr>
        <w:tab/>
        <w:t>que, para llevar a cabo los estudios encargados al UIT-D, conviene establecer Comisiones de Estudio, según se estipula en el Artículo 17 del Convenio, que se ocuparán de Cuestiones específicas de telecomunicaciones dotadas de una orientación práctica y que resultan prioritarias para los países en desarrollo,</w:t>
      </w:r>
      <w:r w:rsidRPr="00366E73">
        <w:rPr>
          <w:rStyle w:val="FootnoteReference"/>
          <w:rFonts w:eastAsiaTheme="majorEastAsia"/>
        </w:rPr>
        <w:footnoteReference w:id="7"/>
      </w:r>
      <w:r w:rsidRPr="00366E73">
        <w:rPr>
          <w:lang w:val="es-ES"/>
        </w:rPr>
        <w:t xml:space="preserve"> teniendo en cuenta el Plan Estratégico y los objetivos de la UIT, y prepararán documentos pertinentes en forma de Informes, Directrices y/o Recomendaciones para el desarrollo de las telecomunicaciones/tecnologías de la información y la comunicación (TIC);</w:t>
      </w:r>
    </w:p>
    <w:p w14:paraId="17097164" w14:textId="77777777" w:rsidR="00A04DF2" w:rsidRPr="00366E73" w:rsidRDefault="00A04DF2" w:rsidP="00A04DF2">
      <w:pPr>
        <w:rPr>
          <w:lang w:val="es-ES"/>
        </w:rPr>
      </w:pPr>
      <w:r w:rsidRPr="00366E73">
        <w:rPr>
          <w:lang w:val="es-ES"/>
        </w:rPr>
        <w:t>c)</w:t>
      </w:r>
      <w:r w:rsidRPr="00366E73">
        <w:rPr>
          <w:lang w:val="es-ES"/>
        </w:rPr>
        <w:tab/>
        <w:t>que se han de evitar en la medida de lo posible las duplicaciones entre los estudios emprendidos por el UIT-D y los realizados por los otros dos Sectores de la Unión;</w:t>
      </w:r>
    </w:p>
    <w:p w14:paraId="604FB53C" w14:textId="77777777" w:rsidR="00A04DF2" w:rsidRPr="001819F4" w:rsidRDefault="00A04DF2" w:rsidP="00A04DF2">
      <w:pPr>
        <w:rPr>
          <w:rFonts w:cstheme="minorBidi"/>
          <w:lang w:val="es-ES_tradnl"/>
        </w:rPr>
      </w:pPr>
      <w:r w:rsidRPr="00D9585B">
        <w:rPr>
          <w:lang w:val="es-ES"/>
        </w:rPr>
        <w:t>d)</w:t>
      </w:r>
      <w:r w:rsidRPr="00D9585B">
        <w:rPr>
          <w:lang w:val="es-ES"/>
        </w:rPr>
        <w:tab/>
        <w:t>los resultados de los estudios sobre las Cuestiones de estudio adoptadas por la Conferencia Mundial de Desarrollo de las Telecomunicaciones (Buenos Aires, 2017) y la Conferencia Mundial de Desarrollo de las Telecomunicaciones (Kigali, 2022) y asignadas a las dos Comisiones de</w:t>
      </w:r>
      <w:r w:rsidRPr="001819F4">
        <w:rPr>
          <w:lang w:val="es-ES_tradnl"/>
        </w:rPr>
        <w:t xml:space="preserve"> Estudio,</w:t>
      </w:r>
    </w:p>
    <w:p w14:paraId="6CE8A991" w14:textId="77777777" w:rsidR="00A04DF2" w:rsidRPr="001819F4" w:rsidRDefault="00A04DF2" w:rsidP="00A04DF2">
      <w:pPr>
        <w:pStyle w:val="Call"/>
        <w:rPr>
          <w:rFonts w:eastAsia="Malgun Gothic" w:cstheme="minorBidi"/>
          <w:lang w:val="es-ES_tradnl"/>
        </w:rPr>
      </w:pPr>
      <w:r w:rsidRPr="00D9585B">
        <w:rPr>
          <w:lang w:val="es-ES"/>
        </w:rPr>
        <w:t>resuelve</w:t>
      </w:r>
    </w:p>
    <w:p w14:paraId="34BE19A9" w14:textId="77777777" w:rsidR="00A04DF2" w:rsidRPr="00D9585B" w:rsidRDefault="00A04DF2" w:rsidP="00A04DF2">
      <w:pPr>
        <w:rPr>
          <w:lang w:val="es-ES"/>
        </w:rPr>
      </w:pPr>
      <w:r w:rsidRPr="001819F4">
        <w:rPr>
          <w:lang w:val="es-ES_tradnl"/>
        </w:rPr>
        <w:t>1</w:t>
      </w:r>
      <w:r w:rsidRPr="001819F4">
        <w:rPr>
          <w:lang w:val="es-ES_tradnl"/>
        </w:rPr>
        <w:tab/>
        <w:t xml:space="preserve">continuar los trabajos de las dos Comisiones de Estudio del Sector, con una </w:t>
      </w:r>
      <w:r w:rsidRPr="00D9585B">
        <w:rPr>
          <w:lang w:val="es-ES"/>
        </w:rPr>
        <w:t>responsabilidad clara y los mandatos indicados en los Anexos 1 y 3 a esta Resolución;</w:t>
      </w:r>
    </w:p>
    <w:p w14:paraId="7BEB3724" w14:textId="77777777" w:rsidR="00A04DF2" w:rsidRPr="001819F4" w:rsidRDefault="00A04DF2" w:rsidP="00A04DF2">
      <w:pPr>
        <w:rPr>
          <w:rFonts w:cstheme="minorBidi"/>
          <w:strike/>
          <w:lang w:val="es-ES_tradnl"/>
        </w:rPr>
      </w:pPr>
      <w:r w:rsidRPr="00D9585B">
        <w:rPr>
          <w:lang w:val="es-ES"/>
        </w:rPr>
        <w:t>2</w:t>
      </w:r>
      <w:r w:rsidRPr="00D9585B">
        <w:rPr>
          <w:lang w:val="es-ES"/>
        </w:rPr>
        <w:tab/>
        <w:t>que cada Comisión de Estudio y sus grupos correspondientes realicen estudios en el marco de las Cuestiones del UIT-D adoptadas por la presente Conferencia y que le hayan sido asignadas conforme a la</w:t>
      </w:r>
      <w:r w:rsidRPr="001819F4">
        <w:rPr>
          <w:lang w:val="es-ES_tradnl"/>
        </w:rPr>
        <w:t xml:space="preserve"> estructura que se presenta del Anexo 2 a esta Resolución, así como las Cuestiones de estudio del UIT-D adoptadas o revisadas entre dos Conferencias Mundiales de Desarrollo de las Telecomunicaciones (CMDT) de conformidad con lo dispuesto en la Resolución 1 (Rev. Kigali, 2022) de la presente Conferencia;</w:t>
      </w:r>
    </w:p>
    <w:p w14:paraId="09AF5C9D" w14:textId="77777777" w:rsidR="00A04DF2" w:rsidRPr="0002033A" w:rsidRDefault="00A04DF2" w:rsidP="00A04DF2">
      <w:pPr>
        <w:rPr>
          <w:lang w:val="es-ES"/>
        </w:rPr>
      </w:pPr>
      <w:r w:rsidRPr="001819F4">
        <w:rPr>
          <w:lang w:val="es-ES_tradnl"/>
        </w:rPr>
        <w:lastRenderedPageBreak/>
        <w:t>3</w:t>
      </w:r>
      <w:r w:rsidRPr="001819F4">
        <w:rPr>
          <w:lang w:val="es-ES_tradnl"/>
        </w:rPr>
        <w:tab/>
      </w:r>
      <w:r w:rsidRPr="0002033A">
        <w:rPr>
          <w:lang w:val="es-ES"/>
        </w:rPr>
        <w:t>que la organización de las Comisiones de Estudio propicie un aumento de las sinergias, la transparencia y la eficacia con un solapamiento mínimo entre las Cuestiones de estudio del UIT</w:t>
      </w:r>
      <w:r w:rsidRPr="0002033A">
        <w:rPr>
          <w:lang w:val="es-ES"/>
        </w:rPr>
        <w:noBreakHyphen/>
        <w:t>D;</w:t>
      </w:r>
    </w:p>
    <w:p w14:paraId="2780A251" w14:textId="77777777" w:rsidR="00A04DF2" w:rsidRPr="00D9585B" w:rsidRDefault="00A04DF2" w:rsidP="00A04DF2">
      <w:pPr>
        <w:rPr>
          <w:lang w:val="es-ES"/>
        </w:rPr>
      </w:pPr>
      <w:r w:rsidRPr="00D9585B">
        <w:rPr>
          <w:lang w:val="es-ES"/>
        </w:rPr>
        <w:t>4</w:t>
      </w:r>
      <w:r w:rsidRPr="00D9585B">
        <w:rPr>
          <w:lang w:val="es-ES"/>
        </w:rPr>
        <w:tab/>
        <w:t>que las Cuestiones de Estudio del UIT-D deben estar relacionadas con la ejecución de las Resoluciones de la CMDT y de la Conferencia de Plenipotenciarios (PP), y también con los programas de la Oficina de Desarrollo de las Telecomunicaciones (BDT) establecidos en el Plan de Acción del UIT-D, a fin de que dichas Comisiones de Estudio y los programas de la BDT se beneficien mutuamente de las actividades, los recursos y los conocimientos de cada uno de ellos, y contribuyan conjuntamente al logro de los Objetivos del UIT-D;</w:t>
      </w:r>
    </w:p>
    <w:p w14:paraId="0CDFC882" w14:textId="77777777" w:rsidR="00A04DF2" w:rsidRPr="006C1B27" w:rsidRDefault="00A04DF2" w:rsidP="00A04DF2">
      <w:pPr>
        <w:rPr>
          <w:lang w:val="es-ES"/>
        </w:rPr>
      </w:pPr>
      <w:r w:rsidRPr="006C1B27">
        <w:rPr>
          <w:lang w:val="es-ES"/>
        </w:rPr>
        <w:t>5</w:t>
      </w:r>
      <w:r w:rsidRPr="006C1B27">
        <w:rPr>
          <w:lang w:val="es-ES"/>
        </w:rPr>
        <w:tab/>
        <w:t>que las Comisiones de Estudio utilicen los resultados y materiales pertinentes de los otros dos Sectores y la Secretaría General relacionados con sus mandatos y colaboren estrechamente con las Comisiones de Estudio de los otros Sectores en asuntos de interés común;</w:t>
      </w:r>
    </w:p>
    <w:p w14:paraId="001BD6DB" w14:textId="77777777" w:rsidR="00A04DF2" w:rsidRPr="001819F4" w:rsidRDefault="00A04DF2" w:rsidP="00A04DF2">
      <w:pPr>
        <w:rPr>
          <w:rFonts w:cstheme="minorBidi"/>
          <w:lang w:val="es-ES_tradnl"/>
        </w:rPr>
      </w:pPr>
      <w:r w:rsidRPr="00D9585B">
        <w:rPr>
          <w:lang w:val="es-ES"/>
        </w:rPr>
        <w:t>6</w:t>
      </w:r>
      <w:r w:rsidRPr="00D9585B">
        <w:rPr>
          <w:lang w:val="es-ES"/>
        </w:rPr>
        <w:tab/>
        <w:t xml:space="preserve">que las Comisiones de Estudio sean dirigidas por los Presidentes y Vicepresidentes indicados en el </w:t>
      </w:r>
      <w:proofErr w:type="spellStart"/>
      <w:r w:rsidRPr="00D9585B">
        <w:rPr>
          <w:lang w:val="es-ES"/>
        </w:rPr>
        <w:t>Anex</w:t>
      </w:r>
      <w:proofErr w:type="spellEnd"/>
      <w:r w:rsidRPr="001819F4">
        <w:rPr>
          <w:lang w:val="es-ES_tradnl"/>
        </w:rPr>
        <w:t>o 3 a la presente Resolución.</w:t>
      </w:r>
    </w:p>
    <w:p w14:paraId="470E48CE" w14:textId="77777777" w:rsidR="00A04DF2" w:rsidRPr="001819F4" w:rsidRDefault="00A04DF2" w:rsidP="00A04DF2">
      <w:pPr>
        <w:pStyle w:val="AnnexNo"/>
        <w:spacing w:before="360" w:after="120"/>
        <w:rPr>
          <w:rFonts w:cstheme="minorBidi"/>
          <w:sz w:val="24"/>
          <w:szCs w:val="24"/>
          <w:lang w:val="es-ES_tradnl"/>
        </w:rPr>
      </w:pPr>
      <w:r w:rsidRPr="001819F4">
        <w:rPr>
          <w:lang w:val="es-ES_tradnl"/>
        </w:rPr>
        <w:t>Anexo 1 a la Resolución 2 (Rev. Baku, 2025)</w:t>
      </w:r>
    </w:p>
    <w:p w14:paraId="0A0BD7FD" w14:textId="77777777" w:rsidR="00A04DF2" w:rsidRPr="001819F4" w:rsidRDefault="00A04DF2" w:rsidP="00A04DF2">
      <w:pPr>
        <w:pStyle w:val="Annextitle"/>
        <w:rPr>
          <w:rFonts w:cstheme="minorBidi"/>
          <w:sz w:val="24"/>
          <w:szCs w:val="24"/>
          <w:lang w:val="es-ES_tradnl"/>
        </w:rPr>
      </w:pPr>
      <w:bookmarkStart w:id="23" w:name="_Toc116636435"/>
      <w:r w:rsidRPr="001819F4">
        <w:rPr>
          <w:lang w:val="es-ES_tradnl"/>
        </w:rPr>
        <w:t>Atribuciones de las Comisiones de Estudio del UIT-D</w:t>
      </w:r>
      <w:bookmarkEnd w:id="23"/>
    </w:p>
    <w:p w14:paraId="0369BBE9" w14:textId="77777777" w:rsidR="00A04DF2" w:rsidRPr="001819F4" w:rsidRDefault="00A04DF2" w:rsidP="00A04DF2">
      <w:pPr>
        <w:pStyle w:val="Heading1"/>
        <w:rPr>
          <w:rFonts w:cstheme="minorBidi"/>
          <w:sz w:val="24"/>
          <w:szCs w:val="24"/>
          <w:lang w:val="es-ES_tradnl"/>
        </w:rPr>
      </w:pPr>
      <w:bookmarkStart w:id="24" w:name="_Toc116556643"/>
      <w:bookmarkStart w:id="25" w:name="_Toc116557196"/>
      <w:bookmarkStart w:id="26" w:name="_Toc116636436"/>
      <w:r w:rsidRPr="001819F4">
        <w:rPr>
          <w:lang w:val="es-ES_tradnl"/>
        </w:rPr>
        <w:t>1</w:t>
      </w:r>
      <w:r w:rsidRPr="001819F4">
        <w:rPr>
          <w:lang w:val="es-ES_tradnl"/>
        </w:rPr>
        <w:tab/>
      </w:r>
      <w:r w:rsidRPr="00D9585B">
        <w:rPr>
          <w:lang w:val="es-ES"/>
        </w:rPr>
        <w:t>Comisión</w:t>
      </w:r>
      <w:r w:rsidRPr="001819F4">
        <w:rPr>
          <w:lang w:val="es-ES_tradnl"/>
        </w:rPr>
        <w:t xml:space="preserve"> de Estudio 1</w:t>
      </w:r>
    </w:p>
    <w:bookmarkEnd w:id="24"/>
    <w:bookmarkEnd w:id="25"/>
    <w:bookmarkEnd w:id="26"/>
    <w:p w14:paraId="0A5A9990" w14:textId="77777777" w:rsidR="00A04DF2" w:rsidRPr="00D9585B" w:rsidRDefault="00A04DF2" w:rsidP="00A04DF2">
      <w:pPr>
        <w:rPr>
          <w:rFonts w:cstheme="minorBidi"/>
          <w:lang w:val="es-ES"/>
        </w:rPr>
      </w:pPr>
      <w:r w:rsidRPr="00D9585B">
        <w:rPr>
          <w:lang w:val="es-ES"/>
        </w:rPr>
        <w:t>Conectividad efectiva universal</w:t>
      </w:r>
      <w:r w:rsidRPr="00366E73">
        <w:rPr>
          <w:rStyle w:val="FootnoteReference"/>
        </w:rPr>
        <w:footnoteReference w:id="8"/>
      </w:r>
      <w:r w:rsidRPr="00D9585B">
        <w:rPr>
          <w:rStyle w:val="FootnoteReference"/>
          <w:lang w:val="es-ES"/>
        </w:rPr>
        <w:t xml:space="preserve"> </w:t>
      </w:r>
    </w:p>
    <w:p w14:paraId="50C1DA77" w14:textId="77777777" w:rsidR="00A04DF2" w:rsidRPr="00D9585B" w:rsidRDefault="00A04DF2" w:rsidP="00A04DF2">
      <w:pPr>
        <w:pStyle w:val="enumlev1"/>
        <w:rPr>
          <w:lang w:val="es-ES"/>
        </w:rPr>
      </w:pPr>
      <w:r w:rsidRPr="00A22B4F">
        <w:rPr>
          <w:lang w:val="es-ES_tradnl"/>
        </w:rPr>
        <w:t>–</w:t>
      </w:r>
      <w:r>
        <w:rPr>
          <w:lang w:val="es-ES_tradnl"/>
        </w:rPr>
        <w:tab/>
      </w:r>
      <w:r w:rsidRPr="00D9585B">
        <w:rPr>
          <w:lang w:val="es-ES"/>
        </w:rPr>
        <w:t>Aspectos políticos y reglamentarios nacionales del desarrollo de las telecomunicaciones/TIC de banda ancha.</w:t>
      </w:r>
    </w:p>
    <w:p w14:paraId="37E6E711" w14:textId="77777777" w:rsidR="00A04DF2" w:rsidRPr="006C1B27" w:rsidRDefault="00A04DF2" w:rsidP="00A04DF2">
      <w:pPr>
        <w:pStyle w:val="enumlev1"/>
        <w:rPr>
          <w:lang w:val="es-ES"/>
        </w:rPr>
      </w:pPr>
      <w:r w:rsidRPr="006C1B27">
        <w:rPr>
          <w:lang w:val="es-ES"/>
        </w:rPr>
        <w:t>–</w:t>
      </w:r>
      <w:r w:rsidRPr="006C1B27">
        <w:rPr>
          <w:lang w:val="es-ES"/>
        </w:rPr>
        <w:tab/>
        <w:t>Aspectos económicos del ámbito de las redes nacionales de telecomunicaciones/TIC, incluida la facilitación del asentamiento de la economía digital y la prestación de servicios de telecomunicaciones/TIC, en particular para las zonas rurales y remotas.</w:t>
      </w:r>
    </w:p>
    <w:p w14:paraId="303B36DE" w14:textId="77777777" w:rsidR="00A04DF2" w:rsidRPr="00D9585B" w:rsidRDefault="00A04DF2" w:rsidP="00A04DF2">
      <w:pPr>
        <w:pStyle w:val="enumlev1"/>
        <w:rPr>
          <w:lang w:val="es-ES"/>
        </w:rPr>
      </w:pPr>
      <w:r w:rsidRPr="00D9585B">
        <w:rPr>
          <w:lang w:val="es-ES"/>
        </w:rPr>
        <w:t>–</w:t>
      </w:r>
      <w:r w:rsidRPr="00D9585B">
        <w:rPr>
          <w:lang w:val="es-ES"/>
        </w:rPr>
        <w:tab/>
        <w:t>Enfoques nacionales para la provisión de acceso a las telecomunicaciones/TIC en las zonas rurales y remotas, prestando una atención especial a los países en desarrollo, incluidos los países menos adelantados, los pequeños Estados insulares en desarrollo, los países en desarrollo sin litoral y los países con economías en transición.</w:t>
      </w:r>
    </w:p>
    <w:p w14:paraId="6AB4A542" w14:textId="77777777" w:rsidR="00A04DF2" w:rsidRPr="00D9585B" w:rsidRDefault="00A04DF2" w:rsidP="00A04DF2">
      <w:pPr>
        <w:pStyle w:val="enumlev1"/>
        <w:rPr>
          <w:lang w:val="es-ES"/>
        </w:rPr>
      </w:pPr>
      <w:r w:rsidRPr="00D9585B">
        <w:rPr>
          <w:lang w:val="es-ES"/>
        </w:rPr>
        <w:t>–</w:t>
      </w:r>
      <w:r w:rsidRPr="00D9585B">
        <w:rPr>
          <w:lang w:val="es-ES"/>
        </w:rPr>
        <w:tab/>
        <w:t>Acceso a los servicios de telecomunicaciones/TIC para permitir las comunicaciones inclusivas, especialmente para las personas con discapacidad y las personas con necesidades especiales.</w:t>
      </w:r>
    </w:p>
    <w:p w14:paraId="2F34C12D" w14:textId="77777777" w:rsidR="00A04DF2" w:rsidRPr="00D9585B" w:rsidRDefault="00A04DF2" w:rsidP="00A04DF2">
      <w:pPr>
        <w:pStyle w:val="enumlev1"/>
        <w:rPr>
          <w:lang w:val="es-ES"/>
        </w:rPr>
      </w:pPr>
      <w:r w:rsidRPr="00D9585B">
        <w:rPr>
          <w:lang w:val="es-ES"/>
        </w:rPr>
        <w:t>–</w:t>
      </w:r>
      <w:r w:rsidRPr="00D9585B">
        <w:rPr>
          <w:lang w:val="es-ES"/>
        </w:rPr>
        <w:tab/>
        <w:t>Migración y adopción de tecnologías digitales para la radiodifusión en diferentes entornos.</w:t>
      </w:r>
    </w:p>
    <w:p w14:paraId="15E399EA" w14:textId="77777777" w:rsidR="00A04DF2" w:rsidRPr="00D9585B" w:rsidRDefault="00A04DF2" w:rsidP="00A04DF2">
      <w:pPr>
        <w:pStyle w:val="enumlev1"/>
        <w:rPr>
          <w:lang w:val="es-ES"/>
        </w:rPr>
      </w:pPr>
      <w:r w:rsidRPr="00D9585B">
        <w:rPr>
          <w:lang w:val="es-ES"/>
        </w:rPr>
        <w:t>–</w:t>
      </w:r>
      <w:r w:rsidRPr="00D9585B">
        <w:rPr>
          <w:lang w:val="es-ES"/>
        </w:rPr>
        <w:tab/>
        <w:t>Utilización de las telecomunicaciones/TIC para la reducción y gestión del riesgo de catástrofes, especialmente en los países en desarrollo.</w:t>
      </w:r>
    </w:p>
    <w:p w14:paraId="5794732F" w14:textId="77777777" w:rsidR="00A04DF2" w:rsidRPr="001819F4" w:rsidRDefault="00A04DF2" w:rsidP="00A04DF2">
      <w:pPr>
        <w:pStyle w:val="enumlev1"/>
        <w:rPr>
          <w:rFonts w:cstheme="minorBidi"/>
          <w:lang w:val="es-ES_tradnl"/>
        </w:rPr>
      </w:pPr>
      <w:r w:rsidRPr="00D9585B">
        <w:rPr>
          <w:lang w:val="es-ES"/>
        </w:rPr>
        <w:t>–</w:t>
      </w:r>
      <w:r w:rsidRPr="00D9585B">
        <w:rPr>
          <w:lang w:val="es-ES"/>
        </w:rPr>
        <w:tab/>
        <w:t>Información, protección y derechos del consumidor respecto de los servicios de telecomunicaciones</w:t>
      </w:r>
      <w:r w:rsidRPr="001819F4">
        <w:rPr>
          <w:lang w:val="es-ES_tradnl"/>
        </w:rPr>
        <w:t>/TIC, en especial para los grupos vulnerables.</w:t>
      </w:r>
    </w:p>
    <w:p w14:paraId="7513AF5B" w14:textId="77777777" w:rsidR="00A04DF2" w:rsidRPr="001819F4" w:rsidRDefault="00A04DF2" w:rsidP="00A04DF2">
      <w:pPr>
        <w:pStyle w:val="Heading1"/>
        <w:rPr>
          <w:rFonts w:cstheme="minorBidi"/>
          <w:sz w:val="24"/>
          <w:szCs w:val="24"/>
          <w:lang w:val="es-ES_tradnl"/>
        </w:rPr>
      </w:pPr>
      <w:bookmarkStart w:id="27" w:name="_Toc116556644"/>
      <w:bookmarkStart w:id="28" w:name="_Toc116557197"/>
      <w:bookmarkStart w:id="29" w:name="_Toc116636437"/>
      <w:r w:rsidRPr="001819F4">
        <w:rPr>
          <w:lang w:val="es-ES_tradnl"/>
        </w:rPr>
        <w:lastRenderedPageBreak/>
        <w:t>2</w:t>
      </w:r>
      <w:r w:rsidRPr="001819F4">
        <w:rPr>
          <w:lang w:val="es-ES_tradnl"/>
        </w:rPr>
        <w:tab/>
      </w:r>
      <w:r w:rsidRPr="00D9585B">
        <w:rPr>
          <w:lang w:val="es-ES"/>
        </w:rPr>
        <w:t>Comisión</w:t>
      </w:r>
      <w:r w:rsidRPr="001819F4">
        <w:rPr>
          <w:lang w:val="es-ES_tradnl"/>
        </w:rPr>
        <w:t xml:space="preserve"> de Estudio 2 </w:t>
      </w:r>
    </w:p>
    <w:p w14:paraId="0F3B3BBC" w14:textId="77777777" w:rsidR="00A04DF2" w:rsidRPr="001819F4" w:rsidRDefault="00A04DF2" w:rsidP="00A04DF2">
      <w:pPr>
        <w:pStyle w:val="Headingb"/>
        <w:rPr>
          <w:rFonts w:cstheme="minorBidi"/>
          <w:szCs w:val="24"/>
          <w:lang w:val="es-ES_tradnl"/>
        </w:rPr>
      </w:pPr>
      <w:r w:rsidRPr="001819F4">
        <w:rPr>
          <w:lang w:val="es-ES_tradnl"/>
        </w:rPr>
        <w:t xml:space="preserve">Transformación digital </w:t>
      </w:r>
      <w:bookmarkEnd w:id="27"/>
      <w:bookmarkEnd w:id="28"/>
      <w:bookmarkEnd w:id="29"/>
    </w:p>
    <w:p w14:paraId="6E6F5092" w14:textId="77777777" w:rsidR="00A04DF2" w:rsidRPr="00D9585B" w:rsidRDefault="00A04DF2" w:rsidP="00A04DF2">
      <w:pPr>
        <w:pStyle w:val="enumlev1"/>
        <w:rPr>
          <w:lang w:val="es-ES"/>
        </w:rPr>
      </w:pPr>
      <w:r w:rsidRPr="00A22B4F">
        <w:rPr>
          <w:lang w:val="es-ES_tradnl"/>
        </w:rPr>
        <w:t>–</w:t>
      </w:r>
      <w:r>
        <w:rPr>
          <w:lang w:val="es-ES_tradnl"/>
        </w:rPr>
        <w:tab/>
      </w:r>
      <w:r w:rsidRPr="00D9585B">
        <w:rPr>
          <w:lang w:val="es-ES"/>
        </w:rPr>
        <w:t xml:space="preserve">Telecomunicaciones/TIC para servicios digitales, entre otros, la </w:t>
      </w:r>
      <w:proofErr w:type="spellStart"/>
      <w:r w:rsidRPr="00D9585B">
        <w:rPr>
          <w:lang w:val="es-ES"/>
        </w:rPr>
        <w:t>cibersalud</w:t>
      </w:r>
      <w:proofErr w:type="spellEnd"/>
      <w:r w:rsidRPr="00D9585B">
        <w:rPr>
          <w:lang w:val="es-ES"/>
        </w:rPr>
        <w:t xml:space="preserve"> y la </w:t>
      </w:r>
      <w:proofErr w:type="spellStart"/>
      <w:r w:rsidRPr="00D9585B">
        <w:rPr>
          <w:lang w:val="es-ES"/>
        </w:rPr>
        <w:t>ciberenseñanza</w:t>
      </w:r>
      <w:proofErr w:type="spellEnd"/>
      <w:r w:rsidRPr="00D9585B">
        <w:rPr>
          <w:lang w:val="es-ES"/>
        </w:rPr>
        <w:t>.</w:t>
      </w:r>
    </w:p>
    <w:p w14:paraId="3F72D080" w14:textId="77777777" w:rsidR="00A04DF2" w:rsidRPr="00D9585B" w:rsidRDefault="00A04DF2" w:rsidP="00A04DF2">
      <w:pPr>
        <w:pStyle w:val="enumlev1"/>
        <w:rPr>
          <w:lang w:val="es-ES"/>
        </w:rPr>
      </w:pPr>
      <w:r w:rsidRPr="00D9585B">
        <w:rPr>
          <w:lang w:val="es-ES"/>
        </w:rPr>
        <w:t>–</w:t>
      </w:r>
      <w:r w:rsidRPr="00D9585B">
        <w:rPr>
          <w:lang w:val="es-ES"/>
        </w:rPr>
        <w:tab/>
        <w:t xml:space="preserve">Creación de confianza y seguridad en la utilización de las TIC. </w:t>
      </w:r>
    </w:p>
    <w:p w14:paraId="32B581DD" w14:textId="77777777" w:rsidR="00A04DF2" w:rsidRPr="00D9585B" w:rsidRDefault="00A04DF2" w:rsidP="00A04DF2">
      <w:pPr>
        <w:pStyle w:val="enumlev1"/>
        <w:rPr>
          <w:lang w:val="es-ES"/>
        </w:rPr>
      </w:pPr>
      <w:r w:rsidRPr="00D9585B">
        <w:rPr>
          <w:lang w:val="es-ES"/>
        </w:rPr>
        <w:t>–</w:t>
      </w:r>
      <w:r w:rsidRPr="00D9585B">
        <w:rPr>
          <w:lang w:val="es-ES"/>
        </w:rPr>
        <w:tab/>
        <w:t>Utilización de las telecomunicaciones/TIC para supervisar y mitigar los efectos del cambio climático, y consideración de la economía circular y la eliminación segura de los residuos electrónicos.</w:t>
      </w:r>
    </w:p>
    <w:p w14:paraId="7843BA12" w14:textId="77777777" w:rsidR="00A04DF2" w:rsidRPr="00D9585B" w:rsidRDefault="00A04DF2" w:rsidP="00A04DF2">
      <w:pPr>
        <w:pStyle w:val="enumlev1"/>
        <w:rPr>
          <w:lang w:val="es-ES"/>
        </w:rPr>
      </w:pPr>
      <w:r w:rsidRPr="00D9585B">
        <w:rPr>
          <w:lang w:val="es-ES"/>
        </w:rPr>
        <w:t>–</w:t>
      </w:r>
      <w:r w:rsidRPr="00D9585B">
        <w:rPr>
          <w:lang w:val="es-ES"/>
        </w:rPr>
        <w:tab/>
        <w:t>Realización de pruebas de conformidad e interoperabilidad de dispositivos y equipos de telecomunicaciones/TIC.</w:t>
      </w:r>
    </w:p>
    <w:p w14:paraId="59464CFB" w14:textId="77777777" w:rsidR="00A04DF2" w:rsidRPr="00D9585B" w:rsidRDefault="00A04DF2" w:rsidP="00A04DF2">
      <w:pPr>
        <w:pStyle w:val="enumlev1"/>
        <w:rPr>
          <w:lang w:val="es-ES"/>
        </w:rPr>
      </w:pPr>
      <w:r w:rsidRPr="00D9585B">
        <w:rPr>
          <w:lang w:val="es-ES"/>
        </w:rPr>
        <w:t>–</w:t>
      </w:r>
      <w:r w:rsidRPr="00D9585B">
        <w:rPr>
          <w:lang w:val="es-ES"/>
        </w:rPr>
        <w:tab/>
        <w:t>Exposición de las personas a los campos electromagnéticos.</w:t>
      </w:r>
    </w:p>
    <w:p w14:paraId="7904308B" w14:textId="77777777" w:rsidR="00A04DF2" w:rsidRPr="00D9585B" w:rsidRDefault="00A04DF2" w:rsidP="00A04DF2">
      <w:pPr>
        <w:pStyle w:val="enumlev1"/>
        <w:rPr>
          <w:lang w:val="es-ES"/>
        </w:rPr>
      </w:pPr>
      <w:r w:rsidRPr="00D9585B">
        <w:rPr>
          <w:lang w:val="es-ES"/>
        </w:rPr>
        <w:t>–</w:t>
      </w:r>
      <w:r w:rsidRPr="00D9585B">
        <w:rPr>
          <w:lang w:val="es-ES"/>
        </w:rPr>
        <w:tab/>
        <w:t xml:space="preserve">Desafíos y perspectivas de los países en desarrollo respecto del acceso a las tecnologías incipientes, las plataformas, las aplicaciones y los casos de uso. </w:t>
      </w:r>
    </w:p>
    <w:p w14:paraId="30C72BE6" w14:textId="77777777" w:rsidR="00A04DF2" w:rsidRPr="00D9585B" w:rsidRDefault="00A04DF2" w:rsidP="00A04DF2">
      <w:pPr>
        <w:pStyle w:val="enumlev1"/>
        <w:rPr>
          <w:lang w:val="es-ES"/>
        </w:rPr>
      </w:pPr>
      <w:r w:rsidRPr="00D9585B">
        <w:rPr>
          <w:lang w:val="es-ES"/>
        </w:rPr>
        <w:t>–</w:t>
      </w:r>
      <w:r w:rsidRPr="00D9585B">
        <w:rPr>
          <w:lang w:val="es-ES"/>
        </w:rPr>
        <w:tab/>
        <w:t>Utilización de las telecomunicaciones/TIC para crear ciudades inteligentes y la sociedad de la información.</w:t>
      </w:r>
    </w:p>
    <w:p w14:paraId="63EBE381" w14:textId="77777777" w:rsidR="00A04DF2" w:rsidRPr="00D9585B" w:rsidRDefault="00A04DF2" w:rsidP="00A04DF2">
      <w:pPr>
        <w:pStyle w:val="enumlev1"/>
        <w:rPr>
          <w:lang w:val="es-ES"/>
        </w:rPr>
      </w:pPr>
      <w:r w:rsidRPr="00D9585B">
        <w:rPr>
          <w:lang w:val="es-ES"/>
        </w:rPr>
        <w:t>–</w:t>
      </w:r>
      <w:r w:rsidRPr="00D9585B">
        <w:rPr>
          <w:lang w:val="es-ES"/>
        </w:rPr>
        <w:tab/>
        <w:t>Adopción de las telecomunicaciones/TIC y mejora de las calificaciones digitales.</w:t>
      </w:r>
    </w:p>
    <w:p w14:paraId="6B83BA9B" w14:textId="77777777" w:rsidR="00A04DF2" w:rsidRPr="00D9585B" w:rsidRDefault="00A04DF2" w:rsidP="00A04DF2">
      <w:pPr>
        <w:pStyle w:val="enumlev1"/>
        <w:rPr>
          <w:lang w:val="es-ES"/>
        </w:rPr>
      </w:pPr>
      <w:r w:rsidRPr="00D9585B">
        <w:rPr>
          <w:lang w:val="es-ES"/>
        </w:rPr>
        <w:t>–</w:t>
      </w:r>
      <w:r w:rsidRPr="00D9585B">
        <w:rPr>
          <w:lang w:val="es-ES"/>
        </w:rPr>
        <w:tab/>
        <w:t>Disponibilidad y asequibilidad de los terminales/dispositivos de los usuarios</w:t>
      </w:r>
    </w:p>
    <w:p w14:paraId="379AB7FB" w14:textId="77777777" w:rsidR="00A04DF2" w:rsidRPr="001819F4" w:rsidRDefault="00A04DF2" w:rsidP="00A04DF2">
      <w:pPr>
        <w:pStyle w:val="enumlev1"/>
        <w:rPr>
          <w:rFonts w:cstheme="minorBidi"/>
          <w:lang w:val="es-ES_tradnl"/>
        </w:rPr>
      </w:pPr>
      <w:r w:rsidRPr="00D9585B">
        <w:rPr>
          <w:lang w:val="es-ES"/>
        </w:rPr>
        <w:t>–</w:t>
      </w:r>
      <w:r w:rsidRPr="00D9585B">
        <w:rPr>
          <w:lang w:val="es-ES"/>
        </w:rPr>
        <w:tab/>
        <w:t>Utilización de las</w:t>
      </w:r>
      <w:r w:rsidRPr="001819F4">
        <w:rPr>
          <w:lang w:val="es-ES_tradnl"/>
        </w:rPr>
        <w:t xml:space="preserve"> nuevas tecnologías TIC emergentes </w:t>
      </w:r>
    </w:p>
    <w:p w14:paraId="4590F2C6" w14:textId="77777777" w:rsidR="00A04DF2" w:rsidRPr="001819F4" w:rsidRDefault="00A04DF2" w:rsidP="00A04DF2">
      <w:pPr>
        <w:pStyle w:val="AnnexNo"/>
        <w:spacing w:before="360" w:after="120"/>
        <w:rPr>
          <w:rFonts w:cstheme="minorBidi"/>
          <w:sz w:val="24"/>
          <w:szCs w:val="24"/>
          <w:lang w:val="es-ES_tradnl"/>
        </w:rPr>
      </w:pPr>
      <w:r w:rsidRPr="001819F4">
        <w:rPr>
          <w:lang w:val="es-ES_tradnl"/>
        </w:rPr>
        <w:t>Anexo 2 a la Resolución 2 (Rev. Baku, 2025)</w:t>
      </w:r>
    </w:p>
    <w:p w14:paraId="64BE608E" w14:textId="77777777" w:rsidR="00A04DF2" w:rsidRPr="001819F4" w:rsidRDefault="00A04DF2" w:rsidP="00A04DF2">
      <w:pPr>
        <w:pStyle w:val="Annextitle"/>
        <w:rPr>
          <w:rFonts w:cstheme="minorBidi"/>
          <w:sz w:val="24"/>
          <w:szCs w:val="24"/>
          <w:lang w:val="es-ES_tradnl"/>
        </w:rPr>
      </w:pPr>
      <w:bookmarkStart w:id="30" w:name="_Toc116636438"/>
      <w:r w:rsidRPr="001819F4">
        <w:rPr>
          <w:lang w:val="es-ES_tradnl"/>
        </w:rPr>
        <w:t>Cuestiones asignadas a las Comisiones de Estudio del UIT-D por la Conferencia Mundial de Desarrollo de las Telecomunicaciones</w:t>
      </w:r>
      <w:bookmarkEnd w:id="30"/>
    </w:p>
    <w:p w14:paraId="768B247D" w14:textId="77777777" w:rsidR="00A04DF2" w:rsidRPr="001819F4" w:rsidRDefault="00A04DF2" w:rsidP="00A04DF2">
      <w:pPr>
        <w:pStyle w:val="Headingb"/>
        <w:rPr>
          <w:rFonts w:cstheme="minorBidi"/>
          <w:szCs w:val="24"/>
          <w:lang w:val="es-ES_tradnl"/>
        </w:rPr>
      </w:pPr>
      <w:bookmarkStart w:id="31" w:name="_Toc116556645"/>
      <w:bookmarkStart w:id="32" w:name="_Toc116557198"/>
      <w:bookmarkStart w:id="33" w:name="_Toc116636439"/>
      <w:r w:rsidRPr="001819F4">
        <w:rPr>
          <w:lang w:val="es-ES_tradnl"/>
        </w:rPr>
        <w:t xml:space="preserve">Comisión de Estudio 1 </w:t>
      </w:r>
      <w:bookmarkEnd w:id="31"/>
      <w:bookmarkEnd w:id="32"/>
      <w:bookmarkEnd w:id="33"/>
    </w:p>
    <w:p w14:paraId="5303C7BF" w14:textId="77777777" w:rsidR="00A04DF2" w:rsidRPr="001819F4" w:rsidRDefault="00A04DF2" w:rsidP="00A04DF2">
      <w:pPr>
        <w:rPr>
          <w:rFonts w:cstheme="minorBidi"/>
          <w:lang w:val="es-ES_tradnl"/>
        </w:rPr>
      </w:pPr>
      <w:r w:rsidRPr="001819F4">
        <w:rPr>
          <w:b/>
          <w:bCs/>
          <w:lang w:val="es-ES_tradnl"/>
        </w:rPr>
        <w:t>Cuestión A/1</w:t>
      </w:r>
      <w:r w:rsidRPr="001819F4">
        <w:rPr>
          <w:lang w:val="es-ES_tradnl"/>
        </w:rPr>
        <w:t xml:space="preserve">: Políticas y reglamentos propicios para ampliar la conectividad, incluida la banda ancha en todas partes, centrándose en las zonas rurales y remotas </w:t>
      </w:r>
    </w:p>
    <w:p w14:paraId="5312B96F" w14:textId="77777777" w:rsidR="00A04DF2" w:rsidRPr="001819F4" w:rsidRDefault="00A04DF2" w:rsidP="00A04DF2">
      <w:pPr>
        <w:rPr>
          <w:rFonts w:cstheme="minorBidi"/>
          <w:lang w:val="es-ES_tradnl"/>
        </w:rPr>
      </w:pPr>
      <w:r w:rsidRPr="001819F4">
        <w:rPr>
          <w:b/>
          <w:bCs/>
          <w:lang w:val="es-ES_tradnl"/>
        </w:rPr>
        <w:t>Cuestión 2/1</w:t>
      </w:r>
      <w:r w:rsidRPr="001819F4">
        <w:rPr>
          <w:lang w:val="es-ES_tradnl"/>
        </w:rPr>
        <w:t>: Políticas y reglamentos propicios para la adopción de tecnologías digitales para la distribución y radiodifusión de contenidos</w:t>
      </w:r>
    </w:p>
    <w:p w14:paraId="1060C95E" w14:textId="77777777" w:rsidR="00A04DF2" w:rsidRPr="001819F4" w:rsidRDefault="00A04DF2" w:rsidP="00A04DF2">
      <w:pPr>
        <w:rPr>
          <w:rFonts w:cstheme="minorBidi"/>
          <w:lang w:val="es-ES_tradnl"/>
        </w:rPr>
      </w:pPr>
      <w:r w:rsidRPr="001819F4">
        <w:rPr>
          <w:b/>
          <w:bCs/>
          <w:lang w:val="es-ES_tradnl"/>
        </w:rPr>
        <w:t>Cuestión 3/1</w:t>
      </w:r>
      <w:r w:rsidRPr="001819F4">
        <w:rPr>
          <w:lang w:val="es-ES_tradnl"/>
        </w:rPr>
        <w:t>: Utilización de las telecomunicaciones/TIC para la reducción y gestión del riesgo de catástrofes.</w:t>
      </w:r>
    </w:p>
    <w:p w14:paraId="6C19E028" w14:textId="77777777" w:rsidR="00A04DF2" w:rsidRPr="001819F4" w:rsidRDefault="00A04DF2" w:rsidP="00A04DF2">
      <w:pPr>
        <w:rPr>
          <w:rFonts w:eastAsia="Malgun Gothic" w:cstheme="minorBidi"/>
          <w:lang w:val="es-ES_tradnl"/>
        </w:rPr>
      </w:pPr>
      <w:r w:rsidRPr="001819F4">
        <w:rPr>
          <w:b/>
          <w:bCs/>
          <w:lang w:val="es-ES_tradnl"/>
        </w:rPr>
        <w:t>Cuestión 4/1</w:t>
      </w:r>
      <w:r w:rsidRPr="001819F4">
        <w:rPr>
          <w:lang w:val="es-ES_tradnl"/>
        </w:rPr>
        <w:t>: Aspectos económicos de las telecomunicaciones/TIC.</w:t>
      </w:r>
    </w:p>
    <w:p w14:paraId="37B94389" w14:textId="77777777" w:rsidR="00A04DF2" w:rsidRPr="001819F4" w:rsidRDefault="00A04DF2" w:rsidP="00A04DF2">
      <w:pPr>
        <w:rPr>
          <w:rFonts w:eastAsia="Aptos" w:cstheme="minorBidi"/>
          <w:lang w:val="es-ES_tradnl"/>
        </w:rPr>
      </w:pPr>
      <w:r w:rsidRPr="001819F4">
        <w:rPr>
          <w:b/>
          <w:bCs/>
          <w:lang w:val="es-ES_tradnl"/>
        </w:rPr>
        <w:t>Cuestión B/1</w:t>
      </w:r>
      <w:r w:rsidRPr="001819F4">
        <w:rPr>
          <w:lang w:val="es-ES_tradnl"/>
        </w:rPr>
        <w:t>: Protección del consumidor y accesibilidad universal y efectiva (fusionar la anterior C6/1 con la anterior C7/1)</w:t>
      </w:r>
      <w:r>
        <w:rPr>
          <w:lang w:val="es-ES_tradnl"/>
        </w:rPr>
        <w:t>.</w:t>
      </w:r>
    </w:p>
    <w:p w14:paraId="5960B2EA" w14:textId="77777777" w:rsidR="00A04DF2" w:rsidRPr="001819F4" w:rsidRDefault="00A04DF2" w:rsidP="00A04DF2">
      <w:pPr>
        <w:pStyle w:val="Headingb"/>
        <w:rPr>
          <w:rFonts w:cstheme="minorBidi"/>
          <w:szCs w:val="24"/>
          <w:lang w:val="es-ES_tradnl"/>
        </w:rPr>
      </w:pPr>
      <w:r w:rsidRPr="001819F4">
        <w:rPr>
          <w:lang w:val="es-ES_tradnl"/>
        </w:rPr>
        <w:t xml:space="preserve">Comisión de Estudio 2 </w:t>
      </w:r>
    </w:p>
    <w:p w14:paraId="6DBC942C" w14:textId="77777777" w:rsidR="00A04DF2" w:rsidRPr="001819F4" w:rsidRDefault="00A04DF2" w:rsidP="00A04DF2">
      <w:pPr>
        <w:rPr>
          <w:rFonts w:cstheme="minorBidi"/>
          <w:lang w:val="es-ES_tradnl"/>
        </w:rPr>
      </w:pPr>
      <w:r w:rsidRPr="001819F4">
        <w:rPr>
          <w:b/>
          <w:bCs/>
          <w:lang w:val="es-ES_tradnl"/>
        </w:rPr>
        <w:t>Cuestión A/2</w:t>
      </w:r>
      <w:r w:rsidRPr="001819F4">
        <w:rPr>
          <w:lang w:val="es-ES_tradnl"/>
        </w:rPr>
        <w:t>: Servicios digitales y ciudades y comunidades inteligentes y sostenibles.</w:t>
      </w:r>
    </w:p>
    <w:p w14:paraId="768D3BAA" w14:textId="77777777" w:rsidR="00A04DF2" w:rsidRPr="001819F4" w:rsidRDefault="00A04DF2" w:rsidP="00A04DF2">
      <w:pPr>
        <w:rPr>
          <w:rFonts w:eastAsia="Malgun Gothic" w:cstheme="minorBidi"/>
          <w:lang w:val="es-ES_tradnl"/>
        </w:rPr>
      </w:pPr>
      <w:r w:rsidRPr="001819F4">
        <w:rPr>
          <w:b/>
          <w:bCs/>
          <w:lang w:val="es-ES_tradnl"/>
        </w:rPr>
        <w:t>Cuestión B/2</w:t>
      </w:r>
      <w:r w:rsidRPr="001819F4">
        <w:rPr>
          <w:lang w:val="es-ES_tradnl"/>
        </w:rPr>
        <w:t>: TIC para el medio ambiente y exposición de las personas a los campos electromagnéticos.</w:t>
      </w:r>
    </w:p>
    <w:p w14:paraId="2336E750" w14:textId="77777777" w:rsidR="00A04DF2" w:rsidRPr="001819F4" w:rsidRDefault="00A04DF2" w:rsidP="00A04DF2">
      <w:pPr>
        <w:rPr>
          <w:rFonts w:cstheme="minorBidi"/>
          <w:b/>
          <w:bCs/>
          <w:lang w:val="es-ES_tradnl"/>
        </w:rPr>
      </w:pPr>
      <w:r w:rsidRPr="001819F4">
        <w:rPr>
          <w:b/>
          <w:bCs/>
          <w:lang w:val="es-ES_tradnl"/>
        </w:rPr>
        <w:t>Cuestión 3/2</w:t>
      </w:r>
      <w:r w:rsidRPr="001819F4">
        <w:rPr>
          <w:lang w:val="es-ES_tradnl"/>
        </w:rPr>
        <w:t xml:space="preserve">: Seguridad en las redes de información y comunicación: prácticas idóneas para el desarrollo de una cultura de ciberseguridad. </w:t>
      </w:r>
    </w:p>
    <w:p w14:paraId="0C54B9F6" w14:textId="77777777" w:rsidR="00A04DF2" w:rsidRPr="001819F4" w:rsidRDefault="00A04DF2" w:rsidP="00A04DF2">
      <w:pPr>
        <w:rPr>
          <w:rFonts w:cstheme="minorBidi"/>
          <w:lang w:val="es-ES_tradnl"/>
        </w:rPr>
      </w:pPr>
      <w:r w:rsidRPr="001819F4">
        <w:rPr>
          <w:b/>
          <w:bCs/>
          <w:lang w:val="es-ES_tradnl"/>
        </w:rPr>
        <w:lastRenderedPageBreak/>
        <w:t>Cuestión C/2</w:t>
      </w:r>
      <w:r w:rsidRPr="001819F4">
        <w:rPr>
          <w:lang w:val="es-ES_tradnl"/>
        </w:rPr>
        <w:t>: Disponibilidad y asequibilidad de los terminales/dispositivos de usuarios, y conformidad e interoperabilidad de los equipos</w:t>
      </w:r>
      <w:bookmarkStart w:id="34" w:name="_Hlk187933461"/>
      <w:bookmarkEnd w:id="34"/>
    </w:p>
    <w:p w14:paraId="296EDA4D" w14:textId="77777777" w:rsidR="00A04DF2" w:rsidRPr="001819F4" w:rsidRDefault="00A04DF2" w:rsidP="00A04DF2">
      <w:pPr>
        <w:rPr>
          <w:rFonts w:eastAsia="Malgun Gothic" w:cstheme="minorBidi"/>
          <w:lang w:val="es-ES_tradnl"/>
        </w:rPr>
      </w:pPr>
      <w:r w:rsidRPr="001819F4">
        <w:rPr>
          <w:b/>
          <w:bCs/>
          <w:lang w:val="es-ES_tradnl"/>
        </w:rPr>
        <w:t>Cuestión D/2</w:t>
      </w:r>
      <w:r w:rsidRPr="001819F4">
        <w:rPr>
          <w:lang w:val="es-ES_tradnl"/>
        </w:rPr>
        <w:t>: Utilización de tecnologías de telecomunicaciones/TIC nuevas e incipientes y desarrollo de competencias digitales</w:t>
      </w:r>
    </w:p>
    <w:p w14:paraId="1CB97DD6" w14:textId="77777777" w:rsidR="00A04DF2" w:rsidRPr="001819F4" w:rsidRDefault="00A04DF2" w:rsidP="00A04DF2">
      <w:pPr>
        <w:overflowPunct/>
        <w:autoSpaceDE/>
        <w:autoSpaceDN/>
        <w:adjustRightInd/>
        <w:spacing w:before="0" w:after="160" w:line="259" w:lineRule="auto"/>
        <w:rPr>
          <w:rFonts w:eastAsiaTheme="minorEastAsia" w:cstheme="minorBidi"/>
          <w:b/>
          <w:bCs/>
          <w:caps/>
          <w:kern w:val="2"/>
          <w:sz w:val="28"/>
          <w:szCs w:val="28"/>
          <w:lang w:val="es-ES_tradnl"/>
          <w14:ligatures w14:val="standardContextual"/>
        </w:rPr>
      </w:pPr>
      <w:r w:rsidRPr="001819F4">
        <w:rPr>
          <w:rFonts w:cstheme="minorBidi"/>
          <w:b/>
          <w:bCs/>
          <w:lang w:val="es-ES_tradnl"/>
        </w:rPr>
        <w:br w:type="page"/>
      </w:r>
    </w:p>
    <w:bookmarkEnd w:id="17"/>
    <w:bookmarkEnd w:id="18"/>
    <w:bookmarkEnd w:id="19"/>
    <w:p w14:paraId="131D479F" w14:textId="77777777" w:rsidR="00A04DF2" w:rsidRPr="001819F4" w:rsidRDefault="00A04DF2" w:rsidP="00A04DF2">
      <w:pPr>
        <w:pStyle w:val="AppendixNo"/>
        <w:rPr>
          <w:rFonts w:ascii="Calibri" w:eastAsia="Calibri" w:hAnsi="Calibri" w:cs="Calibri"/>
          <w:sz w:val="24"/>
          <w:szCs w:val="24"/>
          <w:lang w:val="es-ES_tradnl"/>
        </w:rPr>
      </w:pPr>
      <w:r w:rsidRPr="001819F4">
        <w:rPr>
          <w:lang w:val="es-ES_tradnl"/>
        </w:rPr>
        <w:lastRenderedPageBreak/>
        <w:t>Apéndice 5</w:t>
      </w:r>
    </w:p>
    <w:p w14:paraId="6551602C" w14:textId="77777777" w:rsidR="00A04DF2" w:rsidRPr="001819F4" w:rsidRDefault="00A04DF2" w:rsidP="00A04DF2">
      <w:pPr>
        <w:pStyle w:val="Appendixtitle"/>
        <w:rPr>
          <w:rFonts w:cstheme="minorBidi"/>
          <w:sz w:val="24"/>
          <w:szCs w:val="24"/>
          <w:lang w:val="es-ES_tradnl"/>
        </w:rPr>
      </w:pPr>
      <w:r w:rsidRPr="001819F4">
        <w:rPr>
          <w:lang w:val="es-ES_tradnl"/>
        </w:rPr>
        <w:t>Parte V – Cuestiones de estudio del UIT-D y sus mandatos</w:t>
      </w:r>
    </w:p>
    <w:p w14:paraId="7DE367C6" w14:textId="77777777" w:rsidR="00A04DF2" w:rsidRPr="001819F4" w:rsidRDefault="00A04DF2" w:rsidP="00A04DF2">
      <w:pPr>
        <w:tabs>
          <w:tab w:val="left" w:pos="720"/>
        </w:tabs>
        <w:overflowPunct/>
        <w:autoSpaceDE/>
        <w:spacing w:after="120"/>
        <w:jc w:val="center"/>
        <w:rPr>
          <w:rFonts w:cstheme="minorBidi"/>
          <w:b/>
          <w:bCs/>
          <w:szCs w:val="24"/>
          <w:lang w:val="es-ES_tradnl"/>
        </w:rPr>
      </w:pPr>
      <w:r w:rsidRPr="001819F4">
        <w:rPr>
          <w:b/>
          <w:bCs/>
          <w:lang w:val="es-ES_tradnl"/>
        </w:rPr>
        <w:t>Extractos del Plan de Acción de la CMDT</w:t>
      </w:r>
      <w:r w:rsidRPr="001819F4">
        <w:rPr>
          <w:rStyle w:val="FootnoteReference"/>
          <w:rFonts w:cstheme="minorHAnsi"/>
          <w:b/>
          <w:bCs/>
          <w:sz w:val="24"/>
          <w:szCs w:val="24"/>
          <w:vertAlign w:val="superscript"/>
          <w:lang w:val="es-ES_tradnl" w:eastAsia="en-GB"/>
        </w:rPr>
        <w:footnoteReference w:id="9"/>
      </w:r>
      <w:r w:rsidRPr="001819F4">
        <w:rPr>
          <w:b/>
          <w:bCs/>
          <w:lang w:val="es-ES_tradnl"/>
        </w:rPr>
        <w:t xml:space="preserve"> de 2022</w:t>
      </w:r>
    </w:p>
    <w:p w14:paraId="1811176F" w14:textId="77777777" w:rsidR="00A04DF2" w:rsidRPr="001819F4" w:rsidRDefault="00A04DF2" w:rsidP="00A04DF2">
      <w:pPr>
        <w:tabs>
          <w:tab w:val="left" w:pos="720"/>
        </w:tabs>
        <w:overflowPunct/>
        <w:autoSpaceDE/>
        <w:spacing w:after="120"/>
        <w:rPr>
          <w:rFonts w:cstheme="minorBidi"/>
          <w:b/>
          <w:bCs/>
          <w:lang w:val="es-ES_tradnl"/>
        </w:rPr>
      </w:pPr>
      <w:r w:rsidRPr="001819F4">
        <w:rPr>
          <w:b/>
          <w:bCs/>
          <w:lang w:val="es-ES_tradnl"/>
        </w:rPr>
        <w:t>CUESTIÓN A/1</w:t>
      </w:r>
      <w:r w:rsidRPr="001819F4">
        <w:rPr>
          <w:lang w:val="es-ES_tradnl"/>
        </w:rPr>
        <w:t>: Políticas y reglamentos propicios para ampliar la conectividad, incluida la banda ancha en todas partes, centrándose en las zonas rurales y remotas</w:t>
      </w:r>
    </w:p>
    <w:p w14:paraId="62BCC494" w14:textId="77777777" w:rsidR="00A04DF2" w:rsidRPr="001819F4" w:rsidRDefault="00A04DF2" w:rsidP="00A04DF2">
      <w:pPr>
        <w:pStyle w:val="Heading1"/>
        <w:rPr>
          <w:rFonts w:cstheme="minorBidi"/>
          <w:lang w:val="es-ES_tradnl"/>
        </w:rPr>
      </w:pPr>
      <w:r w:rsidRPr="001819F4">
        <w:rPr>
          <w:lang w:val="es-ES_tradnl"/>
        </w:rPr>
        <w:t>1</w:t>
      </w:r>
      <w:r>
        <w:rPr>
          <w:lang w:val="es-ES_tradnl"/>
        </w:rPr>
        <w:tab/>
      </w:r>
      <w:r w:rsidRPr="001819F4">
        <w:rPr>
          <w:lang w:val="es-ES_tradnl"/>
        </w:rPr>
        <w:t>Exposición de la situación o del problema</w:t>
      </w:r>
    </w:p>
    <w:p w14:paraId="7ECE5800" w14:textId="77777777" w:rsidR="00A04DF2" w:rsidRPr="001819F4" w:rsidRDefault="00A04DF2" w:rsidP="00A04DF2">
      <w:pPr>
        <w:rPr>
          <w:rFonts w:cstheme="minorBidi"/>
          <w:color w:val="000000" w:themeColor="text1"/>
          <w:lang w:val="es-ES_tradnl"/>
        </w:rPr>
      </w:pPr>
      <w:r w:rsidRPr="001819F4">
        <w:rPr>
          <w:lang w:val="es-ES_tradnl"/>
        </w:rPr>
        <w:t>A fin de seguir contribuyendo al logro de los objetivos fijados en el Plan de Acción de Ginebra de la Cumbre Mundial sobre la Sociedad de la Información (CMSI) y, además de contribuir a la consecución de los Objetivos de Desarrollo Sostenible (ODS), es necesario abordar la brecha digital rural-urbana mediante el desarrollo de infraestructuras digitales acopladas al acceso a servicios digitales para todos en las zonas rurales y remotas de los países en desarrollo,</w:t>
      </w:r>
      <w:r w:rsidRPr="00366E73">
        <w:rPr>
          <w:rStyle w:val="FootnoteReference"/>
        </w:rPr>
        <w:footnoteReference w:id="10"/>
      </w:r>
      <w:r w:rsidRPr="001819F4">
        <w:rPr>
          <w:lang w:val="es-ES_tradnl"/>
        </w:rPr>
        <w:t xml:space="preserve"> incluidos los PMA, los PDSL y los PEID, donde vive más de la mitad de la población mundial. Las soluciones que impliquen conectividad de banda ancha terrenal y satelital para apoyar tecnologías de red que permitan el uso de aplicaciones de banda ancha comunes que necesitan los ciudadanos para la transformación digital son ahora prioritarias </w:t>
      </w:r>
    </w:p>
    <w:p w14:paraId="4D12E9F7" w14:textId="77777777" w:rsidR="00A04DF2" w:rsidRPr="001819F4" w:rsidRDefault="00A04DF2" w:rsidP="00A04DF2">
      <w:pPr>
        <w:rPr>
          <w:rFonts w:cstheme="minorBidi"/>
          <w:lang w:val="es-ES_tradnl"/>
        </w:rPr>
      </w:pPr>
      <w:r w:rsidRPr="001819F4">
        <w:rPr>
          <w:lang w:val="es-ES_tradnl"/>
        </w:rPr>
        <w:t>De acuerdo con los datos de la UIT, 2024 ha supuesto el primer año completo en el que más del 70</w:t>
      </w:r>
      <w:r>
        <w:rPr>
          <w:lang w:val="es-ES_tradnl"/>
        </w:rPr>
        <w:t> </w:t>
      </w:r>
      <w:r w:rsidRPr="001819F4">
        <w:rPr>
          <w:lang w:val="es-ES_tradnl"/>
        </w:rPr>
        <w:t>% del mundo inició su participación en la economía digital mundial al entrar en Internet. Los datos más recientes de la UIT indican que cerca del 30</w:t>
      </w:r>
      <w:r>
        <w:rPr>
          <w:lang w:val="es-ES_tradnl"/>
        </w:rPr>
        <w:t> </w:t>
      </w:r>
      <w:r w:rsidRPr="001819F4">
        <w:rPr>
          <w:lang w:val="es-ES_tradnl"/>
        </w:rPr>
        <w:t xml:space="preserve">% de la población mundial sigue sin estar conectada (UIT, estimaciones de 2024). </w:t>
      </w:r>
    </w:p>
    <w:p w14:paraId="69A68D35" w14:textId="77777777" w:rsidR="00A04DF2" w:rsidRPr="001819F4" w:rsidRDefault="00A04DF2" w:rsidP="00A04DF2">
      <w:pPr>
        <w:rPr>
          <w:rFonts w:cstheme="minorBidi"/>
          <w:lang w:val="es-ES_tradnl"/>
        </w:rPr>
      </w:pPr>
      <w:r w:rsidRPr="001819F4">
        <w:rPr>
          <w:lang w:val="es-ES_tradnl"/>
        </w:rPr>
        <w:t>Las tecnologías de banda ancha han transformado de manera fundamental nuestra manera de vivir. La infraestructura, las aplicaciones y los servicios de banda ancha ofrecen inmensas posibilidades de acelerar el crecimiento económico, mejorar las comunicaciones, aumentar la eficiencia energética, proteger el planeta y mejorar la vida de las personas.</w:t>
      </w:r>
    </w:p>
    <w:p w14:paraId="35841A59" w14:textId="77777777" w:rsidR="00A04DF2" w:rsidRPr="001819F4" w:rsidRDefault="00A04DF2" w:rsidP="00A04DF2">
      <w:pPr>
        <w:rPr>
          <w:rFonts w:cstheme="minorBidi"/>
          <w:lang w:val="es-ES_tradnl"/>
        </w:rPr>
      </w:pPr>
      <w:r w:rsidRPr="001819F4">
        <w:rPr>
          <w:lang w:val="es-ES_tradnl"/>
        </w:rPr>
        <w:t xml:space="preserve">El acceso a la banda ancha ha tenido un impacto significativo en la economía mundial y es fundamental para proporcionar una conectividad efectiva a todos. La rápida evolución y las nuevas posibilidades de negocio están empujando rápidamente, pero de manera desigual, el crecimiento en tecnologías digitales. </w:t>
      </w:r>
    </w:p>
    <w:p w14:paraId="27F397FC" w14:textId="77777777" w:rsidR="00A04DF2" w:rsidRPr="0093488D" w:rsidRDefault="00A04DF2" w:rsidP="00A04DF2">
      <w:pPr>
        <w:rPr>
          <w:rFonts w:cstheme="minorBidi"/>
          <w:b/>
          <w:bCs/>
          <w:lang w:val="es-ES_tradnl"/>
        </w:rPr>
      </w:pPr>
      <w:r w:rsidRPr="0093488D">
        <w:rPr>
          <w:b/>
          <w:bCs/>
          <w:lang w:val="es-ES_tradnl"/>
        </w:rPr>
        <w:t>Las necesidades de los países menos adelantados, los pequeños Estados insulares en desarrollo, los países en desarrollo sin litoral y los países con economías en transición a este respecto incluyen:</w:t>
      </w:r>
    </w:p>
    <w:p w14:paraId="471A553F" w14:textId="77777777" w:rsidR="00A04DF2" w:rsidRPr="001819F4" w:rsidRDefault="00A04DF2" w:rsidP="00A04DF2">
      <w:pPr>
        <w:pStyle w:val="enumlev1"/>
        <w:rPr>
          <w:rFonts w:cstheme="minorBidi"/>
          <w:lang w:val="es-ES_tradnl"/>
        </w:rPr>
      </w:pPr>
      <w:r w:rsidRPr="00A22B4F">
        <w:rPr>
          <w:lang w:val="es-ES_tradnl"/>
        </w:rPr>
        <w:t>–</w:t>
      </w:r>
      <w:r>
        <w:rPr>
          <w:lang w:val="es-ES_tradnl"/>
        </w:rPr>
        <w:tab/>
      </w:r>
      <w:r w:rsidRPr="001819F4">
        <w:rPr>
          <w:lang w:val="es-ES_tradnl"/>
        </w:rPr>
        <w:t xml:space="preserve">Políticas, estrategias y aspectos reglamentarios de la banda ancha. </w:t>
      </w:r>
    </w:p>
    <w:p w14:paraId="58451C4A" w14:textId="77777777" w:rsidR="00A04DF2" w:rsidRPr="001819F4" w:rsidRDefault="00A04DF2" w:rsidP="00A04DF2">
      <w:pPr>
        <w:pStyle w:val="enumlev1"/>
        <w:rPr>
          <w:rFonts w:cstheme="minorBidi"/>
          <w:lang w:val="es-ES_tradnl"/>
        </w:rPr>
      </w:pPr>
      <w:r w:rsidRPr="00A22B4F">
        <w:rPr>
          <w:lang w:val="es-ES_tradnl"/>
        </w:rPr>
        <w:t>–</w:t>
      </w:r>
      <w:r>
        <w:rPr>
          <w:lang w:val="es-ES_tradnl"/>
        </w:rPr>
        <w:tab/>
      </w:r>
      <w:r w:rsidRPr="001819F4">
        <w:rPr>
          <w:lang w:val="es-ES_tradnl"/>
        </w:rPr>
        <w:t xml:space="preserve">Análisis de las prácticas idóneas de los planes nacionales de banda ancha </w:t>
      </w:r>
    </w:p>
    <w:p w14:paraId="6E5B2AE1" w14:textId="77777777" w:rsidR="00A04DF2" w:rsidRPr="001819F4" w:rsidRDefault="00A04DF2" w:rsidP="00A04DF2">
      <w:pPr>
        <w:pStyle w:val="enumlev1"/>
        <w:rPr>
          <w:rFonts w:cstheme="minorBidi"/>
          <w:lang w:val="es-ES_tradnl"/>
        </w:rPr>
      </w:pPr>
      <w:r w:rsidRPr="00A22B4F">
        <w:rPr>
          <w:lang w:val="es-ES_tradnl"/>
        </w:rPr>
        <w:t>–</w:t>
      </w:r>
      <w:r>
        <w:rPr>
          <w:lang w:val="es-ES_tradnl"/>
        </w:rPr>
        <w:tab/>
      </w:r>
      <w:r w:rsidRPr="001819F4">
        <w:rPr>
          <w:lang w:val="es-ES_tradnl"/>
        </w:rPr>
        <w:t>Tecnologías de acceso de banda ancha, incluidas las redes alámbricas/inalámbricas terrenales y no terrenales</w:t>
      </w:r>
    </w:p>
    <w:p w14:paraId="3A88FE70" w14:textId="77777777" w:rsidR="00A04DF2" w:rsidRPr="001819F4" w:rsidRDefault="00A04DF2" w:rsidP="00A04DF2">
      <w:pPr>
        <w:pStyle w:val="enumlev1"/>
        <w:rPr>
          <w:rFonts w:cstheme="minorBidi"/>
          <w:lang w:val="es-ES_tradnl"/>
        </w:rPr>
      </w:pPr>
      <w:r w:rsidRPr="00A22B4F">
        <w:rPr>
          <w:lang w:val="es-ES_tradnl"/>
        </w:rPr>
        <w:t>–</w:t>
      </w:r>
      <w:r>
        <w:rPr>
          <w:lang w:val="es-ES_tradnl"/>
        </w:rPr>
        <w:tab/>
      </w:r>
      <w:r w:rsidRPr="001819F4">
        <w:rPr>
          <w:lang w:val="es-ES_tradnl"/>
        </w:rPr>
        <w:t>Aspectos financieros y de inversión de la banda ancha</w:t>
      </w:r>
    </w:p>
    <w:p w14:paraId="3495DC8A" w14:textId="77777777" w:rsidR="00A04DF2" w:rsidRPr="001819F4" w:rsidRDefault="00A04DF2" w:rsidP="00A04DF2">
      <w:pPr>
        <w:pStyle w:val="enumlev1"/>
        <w:rPr>
          <w:rFonts w:cstheme="minorBidi"/>
          <w:lang w:val="es-ES_tradnl"/>
        </w:rPr>
      </w:pPr>
      <w:r w:rsidRPr="00A22B4F">
        <w:rPr>
          <w:lang w:val="es-ES_tradnl"/>
        </w:rPr>
        <w:lastRenderedPageBreak/>
        <w:t>–</w:t>
      </w:r>
      <w:r>
        <w:rPr>
          <w:lang w:val="es-ES_tradnl"/>
        </w:rPr>
        <w:tab/>
      </w:r>
      <w:r w:rsidRPr="001819F4">
        <w:rPr>
          <w:lang w:val="es-ES_tradnl"/>
        </w:rPr>
        <w:t xml:space="preserve">Infraestructura digital necesaria para la transformación digital inclusiva, teniendo en cuenta el despliegue conjunto y la compartición </w:t>
      </w:r>
    </w:p>
    <w:p w14:paraId="743A6967" w14:textId="77777777" w:rsidR="00A04DF2" w:rsidRPr="001819F4" w:rsidRDefault="00A04DF2" w:rsidP="00A04DF2">
      <w:pPr>
        <w:rPr>
          <w:rFonts w:cstheme="minorBidi"/>
          <w:color w:val="000000" w:themeColor="text1"/>
          <w:lang w:val="es-ES_tradnl"/>
        </w:rPr>
      </w:pPr>
      <w:r w:rsidRPr="001819F4">
        <w:rPr>
          <w:lang w:val="es-ES_tradnl"/>
        </w:rPr>
        <w:t xml:space="preserve">Para la adopción de la banda ancha y de los servicios electrónicos por parte de los habitantes de las zonas rurales y remotas también es importante considerar la creación de demanda de banda ancha y los </w:t>
      </w:r>
      <w:r w:rsidRPr="00D9585B">
        <w:rPr>
          <w:lang w:val="es-ES"/>
        </w:rPr>
        <w:t>programas</w:t>
      </w:r>
      <w:r w:rsidRPr="001819F4">
        <w:rPr>
          <w:lang w:val="es-ES_tradnl"/>
        </w:rPr>
        <w:t xml:space="preserve"> de asequibilidad Se necesitan incentivos gubernamentales, subvenciones y otros mecanismos de financiación. También se tiene que seguir trabajando en la utilización eficaz de los fondos de servicio universal y la aplicación de prácticas idóneas.</w:t>
      </w:r>
    </w:p>
    <w:p w14:paraId="7FEA9B5C" w14:textId="77777777" w:rsidR="00A04DF2" w:rsidRPr="001819F4" w:rsidRDefault="00A04DF2" w:rsidP="00A04DF2">
      <w:pPr>
        <w:pStyle w:val="Heading1"/>
        <w:rPr>
          <w:rFonts w:cstheme="minorBidi"/>
          <w:lang w:val="es-ES_tradnl"/>
        </w:rPr>
      </w:pPr>
      <w:r w:rsidRPr="001819F4">
        <w:rPr>
          <w:lang w:val="es-ES_tradnl"/>
        </w:rPr>
        <w:t>2</w:t>
      </w:r>
      <w:r>
        <w:rPr>
          <w:lang w:val="es-ES_tradnl"/>
        </w:rPr>
        <w:tab/>
      </w:r>
      <w:r w:rsidRPr="001819F4">
        <w:rPr>
          <w:lang w:val="es-ES_tradnl"/>
        </w:rPr>
        <w:t>Cuestión o asunto que ha de estudiarse</w:t>
      </w:r>
    </w:p>
    <w:p w14:paraId="66571DDE" w14:textId="77777777" w:rsidR="00A04DF2" w:rsidRPr="001819F4" w:rsidRDefault="00A04DF2" w:rsidP="00A04DF2">
      <w:pPr>
        <w:rPr>
          <w:rFonts w:cstheme="minorBidi"/>
          <w:b/>
          <w:bCs/>
          <w:lang w:val="es-ES_tradnl"/>
        </w:rPr>
      </w:pPr>
      <w:r w:rsidRPr="001819F4">
        <w:rPr>
          <w:lang w:val="es-ES_tradnl"/>
        </w:rPr>
        <w:t xml:space="preserve">Es importante actualizar el estudio de la conectividad digital de banda ancha para las zonas rurales y remotas, y </w:t>
      </w:r>
      <w:r w:rsidRPr="00D9585B">
        <w:rPr>
          <w:lang w:val="es-ES"/>
        </w:rPr>
        <w:t>adaptarse</w:t>
      </w:r>
      <w:r w:rsidRPr="001819F4">
        <w:rPr>
          <w:lang w:val="es-ES_tradnl"/>
        </w:rPr>
        <w:t xml:space="preserve"> e integrar la innovación social y las tecnologías emergentes para los habitantes rurales de los países en desarrollo, incluidos los PMA, los PDSL y los PEID en relación con los siguientes temas</w:t>
      </w:r>
    </w:p>
    <w:p w14:paraId="3721BAD2" w14:textId="77777777" w:rsidR="00A04DF2" w:rsidRPr="001819F4" w:rsidRDefault="00A04DF2" w:rsidP="00A04DF2">
      <w:pPr>
        <w:pStyle w:val="Heading2"/>
        <w:rPr>
          <w:rFonts w:cstheme="minorBidi"/>
          <w:lang w:val="es-ES_tradnl"/>
        </w:rPr>
      </w:pPr>
      <w:r w:rsidRPr="001819F4">
        <w:rPr>
          <w:lang w:val="es-ES_tradnl"/>
        </w:rPr>
        <w:t>2.1</w:t>
      </w:r>
      <w:r>
        <w:rPr>
          <w:lang w:val="es-ES_tradnl"/>
        </w:rPr>
        <w:tab/>
      </w:r>
      <w:r w:rsidRPr="001819F4">
        <w:rPr>
          <w:lang w:val="es-ES_tradnl"/>
        </w:rPr>
        <w:t>Temas a considerar de la Cuestión 1/1 y la Cuestión 5/1 del periodo de estudios 2021</w:t>
      </w:r>
      <w:r>
        <w:rPr>
          <w:lang w:val="es-ES_tradnl"/>
        </w:rPr>
        <w:noBreakHyphen/>
      </w:r>
      <w:r w:rsidRPr="001819F4">
        <w:rPr>
          <w:lang w:val="es-ES_tradnl"/>
        </w:rPr>
        <w:t>2025</w:t>
      </w:r>
    </w:p>
    <w:p w14:paraId="2408D6B8" w14:textId="77777777" w:rsidR="00A04DF2" w:rsidRPr="001819F4" w:rsidRDefault="00A04DF2" w:rsidP="00A04DF2">
      <w:pPr>
        <w:pStyle w:val="enumlev1"/>
        <w:rPr>
          <w:rFonts w:cstheme="minorBidi"/>
          <w:color w:val="000000" w:themeColor="text1"/>
          <w:lang w:val="es-ES_tradnl"/>
        </w:rPr>
      </w:pPr>
      <w:r w:rsidRPr="00A22B4F">
        <w:rPr>
          <w:lang w:val="es-ES_tradnl"/>
        </w:rPr>
        <w:t>–</w:t>
      </w:r>
      <w:r>
        <w:rPr>
          <w:lang w:val="es-ES_tradnl"/>
        </w:rPr>
        <w:tab/>
      </w:r>
      <w:r w:rsidRPr="001819F4">
        <w:rPr>
          <w:lang w:val="es-ES_tradnl"/>
        </w:rPr>
        <w:t>Técnicas y soluciones sostenibles que puedan influir en el suministro de telecomunicaciones/TIC y la disponibilidad de la infraestructura digital de banda ancha en zonas ruarles y remotas, haciéndose hincapié en aquellas que emplean las tecnologías de vanguardia diseñadas para reducir la inversión en infraestructura y los costos de explotación, y asistencia a la convergencia entre servicios y aplicaciones.</w:t>
      </w:r>
    </w:p>
    <w:p w14:paraId="02220ED0" w14:textId="77777777" w:rsidR="00A04DF2" w:rsidRPr="001819F4" w:rsidRDefault="00A04DF2" w:rsidP="00A04DF2">
      <w:pPr>
        <w:pStyle w:val="enumlev1"/>
        <w:rPr>
          <w:rFonts w:cstheme="minorBidi"/>
          <w:color w:val="000000" w:themeColor="text1"/>
          <w:lang w:val="es-ES_tradnl"/>
        </w:rPr>
      </w:pPr>
      <w:r w:rsidRPr="00A22B4F">
        <w:rPr>
          <w:lang w:val="es-ES_tradnl"/>
        </w:rPr>
        <w:t>–</w:t>
      </w:r>
      <w:r>
        <w:rPr>
          <w:lang w:val="es-ES_tradnl"/>
        </w:rPr>
        <w:tab/>
      </w:r>
      <w:r w:rsidRPr="001819F4">
        <w:rPr>
          <w:lang w:val="es-ES_tradnl"/>
        </w:rPr>
        <w:t>Desafíos inherentes a la creación, construcción o despliegue de infraestructura de banda ancha digital en zonas rurales y remotas.</w:t>
      </w:r>
    </w:p>
    <w:p w14:paraId="6F9EFD5A" w14:textId="77777777" w:rsidR="00A04DF2" w:rsidRPr="001819F4" w:rsidRDefault="00A04DF2" w:rsidP="00A04DF2">
      <w:pPr>
        <w:pStyle w:val="enumlev1"/>
        <w:rPr>
          <w:rFonts w:cstheme="minorBidi"/>
          <w:color w:val="000000" w:themeColor="text1"/>
          <w:lang w:val="es-ES_tradnl"/>
        </w:rPr>
      </w:pPr>
      <w:r w:rsidRPr="00A22B4F">
        <w:rPr>
          <w:lang w:val="es-ES_tradnl"/>
        </w:rPr>
        <w:t>–</w:t>
      </w:r>
      <w:r>
        <w:rPr>
          <w:lang w:val="es-ES_tradnl"/>
        </w:rPr>
        <w:tab/>
      </w:r>
      <w:r w:rsidRPr="001819F4">
        <w:rPr>
          <w:lang w:val="es-ES_tradnl"/>
        </w:rPr>
        <w:t>Necesidades y políticas, mecanismos o iniciativas reglamentarias para reducir la brecha digital entre las zonas rurales y urbanas mediante el incremento del acceso a la banda ancha digital, incluidas 1) metodologías de planificación y ejecución de la migración a las tecnologías de banda ancha, teniendo en cuenta las redes existentes, según corresponda; 2) políticas, estrategias y planes digitales nacionales, tendentes a garantizar que la banda ancha esté disponible para una comunidad de usuarios lo más amplia posible.</w:t>
      </w:r>
    </w:p>
    <w:p w14:paraId="416A63F4" w14:textId="77777777" w:rsidR="00A04DF2" w:rsidRPr="001819F4" w:rsidRDefault="00A04DF2" w:rsidP="00A04DF2">
      <w:pPr>
        <w:pStyle w:val="enumlev1"/>
        <w:rPr>
          <w:rFonts w:cstheme="minorBidi"/>
          <w:color w:val="000000" w:themeColor="text1"/>
          <w:lang w:val="es-ES_tradnl"/>
        </w:rPr>
      </w:pPr>
      <w:r w:rsidRPr="00A22B4F">
        <w:rPr>
          <w:lang w:val="es-ES_tradnl"/>
        </w:rPr>
        <w:t>–</w:t>
      </w:r>
      <w:r>
        <w:rPr>
          <w:lang w:val="es-ES_tradnl"/>
        </w:rPr>
        <w:tab/>
      </w:r>
      <w:r w:rsidRPr="001819F4">
        <w:rPr>
          <w:lang w:val="es-ES_tradnl"/>
        </w:rPr>
        <w:t>Mejora de la calidad de los servicios en las zonas rurales y remotas y aumento del tráfico de datos en la infraestructura de banda ancha (en colaboración con la Cuestión 4/1 y la Cuestión B/1)</w:t>
      </w:r>
      <w:r>
        <w:rPr>
          <w:lang w:val="es-ES_tradnl"/>
        </w:rPr>
        <w:t>.</w:t>
      </w:r>
    </w:p>
    <w:p w14:paraId="29895498" w14:textId="77777777" w:rsidR="00A04DF2" w:rsidRPr="001819F4" w:rsidRDefault="00A04DF2" w:rsidP="00A04DF2">
      <w:pPr>
        <w:pStyle w:val="enumlev1"/>
        <w:rPr>
          <w:rFonts w:cstheme="minorBidi"/>
          <w:color w:val="000000" w:themeColor="text1"/>
          <w:lang w:val="es-ES_tradnl"/>
        </w:rPr>
      </w:pPr>
      <w:r w:rsidRPr="00A22B4F">
        <w:rPr>
          <w:lang w:val="es-ES_tradnl"/>
        </w:rPr>
        <w:t>–</w:t>
      </w:r>
      <w:r>
        <w:rPr>
          <w:lang w:val="es-ES_tradnl"/>
        </w:rPr>
        <w:tab/>
      </w:r>
      <w:r w:rsidRPr="001819F4">
        <w:rPr>
          <w:lang w:val="es-ES_tradnl"/>
        </w:rPr>
        <w:t>Enfoques de concesión de licencias y modelos comerciales para el despliegue sostenible de redes en zonas rurales y remotas utilizando tecnologías nuevas y emergentes. Esto incluiría la consideración de asociaciones públicas, privadas y público-privadas para la inversión en el despliegue de la banda ancha en general, con una integración más efectiva del uso de la infraestructura de telecomunicaciones terrenales, satelitales, de retroceso y submarinas.</w:t>
      </w:r>
    </w:p>
    <w:p w14:paraId="147F139A" w14:textId="77777777" w:rsidR="00A04DF2" w:rsidRPr="001819F4" w:rsidRDefault="00A04DF2" w:rsidP="00A04DF2">
      <w:pPr>
        <w:pStyle w:val="enumlev1"/>
        <w:rPr>
          <w:rFonts w:cstheme="minorBidi"/>
          <w:color w:val="000000" w:themeColor="text1"/>
          <w:lang w:val="es-ES_tradnl"/>
        </w:rPr>
      </w:pPr>
      <w:r w:rsidRPr="00A22B4F">
        <w:rPr>
          <w:lang w:val="es-ES_tradnl"/>
        </w:rPr>
        <w:t>–</w:t>
      </w:r>
      <w:r>
        <w:rPr>
          <w:lang w:val="es-ES_tradnl"/>
        </w:rPr>
        <w:tab/>
      </w:r>
      <w:r w:rsidRPr="001819F4">
        <w:rPr>
          <w:lang w:val="es-ES_tradnl"/>
        </w:rPr>
        <w:t>Desarrollo de contenido nacional y políticas pertinentes para aprovechar las oportunidades que conlleva el acceso a los servicios en los idiomas locales pertinentes para los pueblos indígenas y para las personas con necesidades especiales.</w:t>
      </w:r>
    </w:p>
    <w:p w14:paraId="6A1FC040" w14:textId="77777777" w:rsidR="00A04DF2" w:rsidRPr="001819F4" w:rsidRDefault="00A04DF2" w:rsidP="00A04DF2">
      <w:pPr>
        <w:pStyle w:val="enumlev1"/>
        <w:rPr>
          <w:rFonts w:cstheme="minorBidi"/>
          <w:color w:val="000000" w:themeColor="text1"/>
          <w:lang w:val="es-ES_tradnl"/>
        </w:rPr>
      </w:pPr>
      <w:r w:rsidRPr="00A22B4F">
        <w:rPr>
          <w:lang w:val="es-ES_tradnl"/>
        </w:rPr>
        <w:t>–</w:t>
      </w:r>
      <w:r>
        <w:rPr>
          <w:lang w:val="es-ES_tradnl"/>
        </w:rPr>
        <w:tab/>
      </w:r>
      <w:r w:rsidRPr="001819F4">
        <w:rPr>
          <w:lang w:val="es-ES_tradnl"/>
        </w:rPr>
        <w:t>Asequibilidad de los servicios/dispositivos especialmente para que los usuarios los adopten y colmen sus necesidades de desarrollo (en colaboración con la Cuestión 4/1)</w:t>
      </w:r>
      <w:r>
        <w:rPr>
          <w:lang w:val="es-ES_tradnl"/>
        </w:rPr>
        <w:t>.</w:t>
      </w:r>
    </w:p>
    <w:p w14:paraId="5F1F5820" w14:textId="77777777" w:rsidR="00A04DF2" w:rsidRPr="001819F4" w:rsidRDefault="00A04DF2" w:rsidP="00A04DF2">
      <w:pPr>
        <w:pStyle w:val="enumlev1"/>
        <w:rPr>
          <w:rFonts w:cstheme="minorBidi"/>
          <w:b/>
          <w:bCs/>
          <w:lang w:val="es-ES_tradnl"/>
        </w:rPr>
      </w:pPr>
      <w:r w:rsidRPr="00A22B4F">
        <w:rPr>
          <w:lang w:val="es-ES_tradnl"/>
        </w:rPr>
        <w:lastRenderedPageBreak/>
        <w:t>–</w:t>
      </w:r>
      <w:r>
        <w:rPr>
          <w:lang w:val="es-ES_tradnl"/>
        </w:rPr>
        <w:tab/>
      </w:r>
      <w:r w:rsidRPr="001819F4">
        <w:rPr>
          <w:lang w:val="es-ES_tradnl"/>
        </w:rPr>
        <w:t xml:space="preserve">Estrategias de fomento de las pequeñas y medianas empresas (PYME), así como de las redes de acceso complementario y las redes de conectividad de las aldeas, de conformidad con la reglamentación nacional para la prestación de servicios de telecomunicaciones/TIC en zonas rurales y remotas a fin de promover la innovación, generar crecimiento económico nacional y reducir la brecha digital entre zonas urbanas y rurales. </w:t>
      </w:r>
    </w:p>
    <w:p w14:paraId="5084ADA6" w14:textId="77777777" w:rsidR="00A04DF2" w:rsidRPr="001819F4" w:rsidRDefault="00A04DF2" w:rsidP="00A04DF2">
      <w:pPr>
        <w:pStyle w:val="enumlev1"/>
        <w:rPr>
          <w:rFonts w:cstheme="minorBidi"/>
          <w:lang w:val="es-ES_tradnl"/>
        </w:rPr>
      </w:pPr>
      <w:r w:rsidRPr="00A22B4F">
        <w:rPr>
          <w:lang w:val="es-ES_tradnl"/>
        </w:rPr>
        <w:t>–</w:t>
      </w:r>
      <w:r>
        <w:rPr>
          <w:lang w:val="es-ES_tradnl"/>
        </w:rPr>
        <w:tab/>
      </w:r>
      <w:r w:rsidRPr="001819F4">
        <w:rPr>
          <w:lang w:val="es-ES_tradnl"/>
        </w:rPr>
        <w:t xml:space="preserve">Conectividad transfronteriza y dificultades para los pequeños Estados insulares en desarrollo. </w:t>
      </w:r>
    </w:p>
    <w:p w14:paraId="0D0693F9" w14:textId="77777777" w:rsidR="00A04DF2" w:rsidRPr="001819F4" w:rsidRDefault="00A04DF2" w:rsidP="00A04DF2">
      <w:pPr>
        <w:pStyle w:val="enumlev1"/>
        <w:rPr>
          <w:rFonts w:cstheme="minorBidi"/>
          <w:lang w:val="es-ES_tradnl"/>
        </w:rPr>
      </w:pPr>
      <w:r w:rsidRPr="00A22B4F">
        <w:rPr>
          <w:lang w:val="es-ES_tradnl"/>
        </w:rPr>
        <w:t>–</w:t>
      </w:r>
      <w:r>
        <w:rPr>
          <w:lang w:val="es-ES_tradnl"/>
        </w:rPr>
        <w:tab/>
      </w:r>
      <w:r w:rsidRPr="001819F4">
        <w:rPr>
          <w:lang w:val="es-ES_tradnl"/>
        </w:rPr>
        <w:t xml:space="preserve">Condiciones reglamentarias y de mercado necesarias para promover el despliegue de redes y servicios de banda ancha, incluido el establecimiento de regulación asimétrica a los operadores con capacidad significativa para influir en el mercado (SMP), como la desagregación del bucle local, de ser necesaria para esos operadores SMP, y posibles opciones organizativas de las autoridades nacionales de reglamentación resultantes de la convergencia. Esto incluirá también consideraciones sobre 1) enfoques flexibles y transparentes para promover una competencia sólida en la provisión de acceso a la red (posiblemente en colaboración con la Cuestión 4/1) y 2) coinversión, </w:t>
      </w:r>
      <w:proofErr w:type="spellStart"/>
      <w:r w:rsidRPr="001819F4">
        <w:rPr>
          <w:lang w:val="es-ES_tradnl"/>
        </w:rPr>
        <w:t>coubicación</w:t>
      </w:r>
      <w:proofErr w:type="spellEnd"/>
      <w:r w:rsidRPr="001819F4">
        <w:rPr>
          <w:lang w:val="es-ES_tradnl"/>
        </w:rPr>
        <w:t xml:space="preserve"> y despliegue y compartición de infraestructura de banda ancha con otras redes de infraestructura.</w:t>
      </w:r>
    </w:p>
    <w:p w14:paraId="506762B1" w14:textId="77777777" w:rsidR="00A04DF2" w:rsidRPr="001819F4" w:rsidRDefault="00A04DF2" w:rsidP="00A04DF2">
      <w:pPr>
        <w:pStyle w:val="Heading2"/>
        <w:rPr>
          <w:rFonts w:cstheme="minorBidi"/>
          <w:lang w:val="es-ES_tradnl"/>
        </w:rPr>
      </w:pPr>
      <w:r w:rsidRPr="001819F4">
        <w:rPr>
          <w:lang w:val="es-ES_tradnl"/>
        </w:rPr>
        <w:t>2.2</w:t>
      </w:r>
      <w:r>
        <w:rPr>
          <w:lang w:val="es-ES_tradnl"/>
        </w:rPr>
        <w:tab/>
      </w:r>
      <w:r w:rsidRPr="001819F4">
        <w:rPr>
          <w:lang w:val="es-ES_tradnl"/>
        </w:rPr>
        <w:t>Nuevos temas para este periodo de estudios</w:t>
      </w:r>
    </w:p>
    <w:p w14:paraId="2941F2B9" w14:textId="77777777" w:rsidR="00A04DF2" w:rsidRPr="001819F4" w:rsidRDefault="00A04DF2" w:rsidP="00A04DF2">
      <w:pPr>
        <w:pStyle w:val="enumlev1"/>
        <w:rPr>
          <w:rFonts w:cstheme="minorBidi"/>
          <w:color w:val="000000" w:themeColor="text1"/>
          <w:lang w:val="es-ES_tradnl"/>
        </w:rPr>
      </w:pPr>
      <w:r w:rsidRPr="00A22B4F">
        <w:rPr>
          <w:lang w:val="es-ES_tradnl"/>
        </w:rPr>
        <w:t>–</w:t>
      </w:r>
      <w:r>
        <w:rPr>
          <w:lang w:val="es-ES_tradnl"/>
        </w:rPr>
        <w:tab/>
      </w:r>
      <w:r w:rsidRPr="001819F4">
        <w:rPr>
          <w:lang w:val="es-ES_tradnl"/>
        </w:rPr>
        <w:t>Aprovechar la complementariedad de las redes terrenales y no terrenales.</w:t>
      </w:r>
    </w:p>
    <w:p w14:paraId="6209758D" w14:textId="77777777" w:rsidR="00A04DF2" w:rsidRPr="001819F4" w:rsidRDefault="00A04DF2" w:rsidP="00A04DF2">
      <w:pPr>
        <w:pStyle w:val="enumlev1"/>
        <w:rPr>
          <w:rFonts w:cstheme="minorBidi"/>
          <w:color w:val="000000" w:themeColor="text1"/>
          <w:lang w:val="es-ES_tradnl"/>
        </w:rPr>
      </w:pPr>
      <w:r w:rsidRPr="00A22B4F">
        <w:rPr>
          <w:lang w:val="es-ES_tradnl"/>
        </w:rPr>
        <w:t>–</w:t>
      </w:r>
      <w:r>
        <w:rPr>
          <w:lang w:val="es-ES_tradnl"/>
        </w:rPr>
        <w:tab/>
      </w:r>
      <w:r w:rsidRPr="001819F4">
        <w:rPr>
          <w:lang w:val="es-ES_tradnl"/>
        </w:rPr>
        <w:t>Cómo mejorar la infraestructura y el acceso en zonas rurales mediante la inteligencia artificial (en colaboración con la Cuestión D/2)</w:t>
      </w:r>
      <w:r>
        <w:rPr>
          <w:lang w:val="es-ES_tradnl"/>
        </w:rPr>
        <w:t>.</w:t>
      </w:r>
    </w:p>
    <w:p w14:paraId="1FEF93F7" w14:textId="77777777" w:rsidR="00A04DF2" w:rsidRPr="001819F4" w:rsidRDefault="00A04DF2" w:rsidP="00A04DF2">
      <w:pPr>
        <w:pStyle w:val="enumlev1"/>
        <w:rPr>
          <w:rFonts w:cstheme="minorBidi"/>
          <w:color w:val="000000" w:themeColor="text1"/>
          <w:lang w:val="es-ES_tradnl"/>
        </w:rPr>
      </w:pPr>
      <w:r w:rsidRPr="00A22B4F">
        <w:rPr>
          <w:lang w:val="es-ES_tradnl"/>
        </w:rPr>
        <w:t>–</w:t>
      </w:r>
      <w:r>
        <w:rPr>
          <w:lang w:val="es-ES_tradnl"/>
        </w:rPr>
        <w:tab/>
      </w:r>
      <w:r w:rsidRPr="001819F4">
        <w:rPr>
          <w:lang w:val="es-ES_tradnl"/>
        </w:rPr>
        <w:t>Beneficios de la inteligencia artificial (IA) y los problemas de su adopción en zonas rurales y remotas.</w:t>
      </w:r>
    </w:p>
    <w:p w14:paraId="450C3A3B" w14:textId="77777777" w:rsidR="00A04DF2" w:rsidRPr="001819F4" w:rsidRDefault="00A04DF2" w:rsidP="00A04DF2">
      <w:pPr>
        <w:pStyle w:val="enumlev1"/>
        <w:rPr>
          <w:rFonts w:cstheme="minorBidi"/>
          <w:color w:val="000000" w:themeColor="text1"/>
          <w:lang w:val="es-ES_tradnl"/>
        </w:rPr>
      </w:pPr>
      <w:r w:rsidRPr="00A22B4F">
        <w:rPr>
          <w:lang w:val="es-ES_tradnl"/>
        </w:rPr>
        <w:t>–</w:t>
      </w:r>
      <w:r>
        <w:rPr>
          <w:lang w:val="es-ES_tradnl"/>
        </w:rPr>
        <w:tab/>
      </w:r>
      <w:r w:rsidRPr="001819F4">
        <w:rPr>
          <w:lang w:val="es-ES_tradnl"/>
        </w:rPr>
        <w:t>Cómo utilizar la IA para mejorar la alfabetización y las competencias digitales en las comunidades rurales (en colaboración con la Cuestión D/2)</w:t>
      </w:r>
      <w:r>
        <w:rPr>
          <w:lang w:val="es-ES_tradnl"/>
        </w:rPr>
        <w:t>.</w:t>
      </w:r>
    </w:p>
    <w:p w14:paraId="0122B890" w14:textId="77777777" w:rsidR="00A04DF2" w:rsidRPr="001819F4" w:rsidRDefault="00A04DF2" w:rsidP="00A04DF2">
      <w:pPr>
        <w:pStyle w:val="enumlev1"/>
        <w:rPr>
          <w:rFonts w:cstheme="minorBidi"/>
          <w:color w:val="000000" w:themeColor="text1"/>
          <w:lang w:val="es-ES_tradnl"/>
        </w:rPr>
      </w:pPr>
      <w:r w:rsidRPr="00A22B4F">
        <w:rPr>
          <w:lang w:val="es-ES_tradnl"/>
        </w:rPr>
        <w:t>–</w:t>
      </w:r>
      <w:r>
        <w:rPr>
          <w:lang w:val="es-ES_tradnl"/>
        </w:rPr>
        <w:tab/>
      </w:r>
      <w:r w:rsidRPr="001819F4">
        <w:rPr>
          <w:lang w:val="es-ES_tradnl"/>
        </w:rPr>
        <w:t xml:space="preserve">Soluciones innovadoras para ofrecer conectividad de banda ancha de alta velocidad. </w:t>
      </w:r>
    </w:p>
    <w:p w14:paraId="2C0F1899" w14:textId="77777777" w:rsidR="00A04DF2" w:rsidRPr="001819F4" w:rsidRDefault="00A04DF2" w:rsidP="00A04DF2">
      <w:pPr>
        <w:pStyle w:val="enumlev1"/>
        <w:rPr>
          <w:rFonts w:cstheme="minorBidi"/>
          <w:color w:val="000000" w:themeColor="text1"/>
          <w:lang w:val="es-ES_tradnl"/>
        </w:rPr>
      </w:pPr>
      <w:r w:rsidRPr="00A22B4F">
        <w:rPr>
          <w:lang w:val="es-ES_tradnl"/>
        </w:rPr>
        <w:t>–</w:t>
      </w:r>
      <w:r>
        <w:rPr>
          <w:lang w:val="es-ES_tradnl"/>
        </w:rPr>
        <w:tab/>
      </w:r>
      <w:r w:rsidRPr="001819F4">
        <w:rPr>
          <w:lang w:val="es-ES_tradnl"/>
        </w:rPr>
        <w:t>Modelos de precios y estrategias de asequibilidad para la banda ancha por satélite (en colaboración con la Cuestión 4/1)</w:t>
      </w:r>
      <w:r>
        <w:rPr>
          <w:lang w:val="es-ES_tradnl"/>
        </w:rPr>
        <w:t>.</w:t>
      </w:r>
    </w:p>
    <w:p w14:paraId="5A2F6678" w14:textId="77777777" w:rsidR="00A04DF2" w:rsidRPr="001819F4" w:rsidRDefault="00A04DF2" w:rsidP="00A04DF2">
      <w:pPr>
        <w:pStyle w:val="enumlev1"/>
        <w:rPr>
          <w:rFonts w:cstheme="minorBidi"/>
          <w:color w:val="000000" w:themeColor="text1"/>
          <w:lang w:val="es-ES_tradnl"/>
        </w:rPr>
      </w:pPr>
      <w:r w:rsidRPr="00A22B4F">
        <w:rPr>
          <w:lang w:val="es-ES_tradnl"/>
        </w:rPr>
        <w:t>–</w:t>
      </w:r>
      <w:r>
        <w:rPr>
          <w:lang w:val="es-ES_tradnl"/>
        </w:rPr>
        <w:tab/>
      </w:r>
      <w:r w:rsidRPr="001819F4">
        <w:rPr>
          <w:lang w:val="es-ES_tradnl"/>
        </w:rPr>
        <w:t>Modelos innovadores de APP para financiar el despliegue de infraestructuras y la prestación de servicios, mecanismos e incentivos de financiación combinada, incluidos bancos multilaterales de desarrollo, organizaciones internacionales pertinentes y otros sectores privados (en colaboración con la Cuestión 4/1)</w:t>
      </w:r>
      <w:r>
        <w:rPr>
          <w:lang w:val="es-ES_tradnl"/>
        </w:rPr>
        <w:t>.</w:t>
      </w:r>
    </w:p>
    <w:p w14:paraId="677AFA79" w14:textId="77777777" w:rsidR="00A04DF2" w:rsidRPr="001819F4" w:rsidRDefault="00A04DF2" w:rsidP="00A04DF2">
      <w:pPr>
        <w:pStyle w:val="enumlev1"/>
        <w:rPr>
          <w:rFonts w:cstheme="minorBidi"/>
          <w:color w:val="000000" w:themeColor="text1"/>
          <w:lang w:val="es-ES_tradnl"/>
        </w:rPr>
      </w:pPr>
      <w:r w:rsidRPr="00A22B4F">
        <w:rPr>
          <w:lang w:val="es-ES_tradnl"/>
        </w:rPr>
        <w:t>–</w:t>
      </w:r>
      <w:r>
        <w:rPr>
          <w:lang w:val="es-ES_tradnl"/>
        </w:rPr>
        <w:tab/>
      </w:r>
      <w:r w:rsidRPr="001819F4">
        <w:rPr>
          <w:lang w:val="es-ES_tradnl"/>
        </w:rPr>
        <w:t>Fuentes de energía renovables y tecnologías energéticamente eficientes para alimentar infraestructuras de red (en colaboración con la Cuestión B/2)</w:t>
      </w:r>
      <w:r>
        <w:rPr>
          <w:lang w:val="es-ES_tradnl"/>
        </w:rPr>
        <w:t>.</w:t>
      </w:r>
    </w:p>
    <w:p w14:paraId="73E7D343" w14:textId="77777777" w:rsidR="00A04DF2" w:rsidRDefault="00A04DF2" w:rsidP="00A04DF2">
      <w:pPr>
        <w:pStyle w:val="QuestionNo"/>
        <w:rPr>
          <w:lang w:val="es-ES_tradnl"/>
        </w:rPr>
      </w:pPr>
      <w:r w:rsidRPr="001819F4">
        <w:rPr>
          <w:lang w:val="es-ES_tradnl"/>
        </w:rPr>
        <w:lastRenderedPageBreak/>
        <w:t>CUESTIÓN 2/1</w:t>
      </w:r>
    </w:p>
    <w:p w14:paraId="1FA0B358" w14:textId="77777777" w:rsidR="00A04DF2" w:rsidRPr="001819F4" w:rsidRDefault="00A04DF2" w:rsidP="00A04DF2">
      <w:pPr>
        <w:pStyle w:val="Questiontitle"/>
        <w:rPr>
          <w:rFonts w:eastAsia="Aptos" w:cstheme="minorBidi"/>
          <w:kern w:val="2"/>
          <w:lang w:val="es-ES_tradnl"/>
          <w14:ligatures w14:val="standardContextual"/>
        </w:rPr>
      </w:pPr>
      <w:r w:rsidRPr="001819F4">
        <w:rPr>
          <w:lang w:val="es-ES_tradnl"/>
        </w:rPr>
        <w:t>Políticas y reglamentos propicios para la adopción de tecnologías digitales</w:t>
      </w:r>
      <w:r>
        <w:rPr>
          <w:lang w:val="es-ES_tradnl"/>
        </w:rPr>
        <w:br/>
      </w:r>
      <w:r w:rsidRPr="001819F4">
        <w:rPr>
          <w:lang w:val="es-ES_tradnl"/>
        </w:rPr>
        <w:t xml:space="preserve">para la distribución y radiodifusión de contenidos </w:t>
      </w:r>
    </w:p>
    <w:p w14:paraId="730CF023" w14:textId="77777777" w:rsidR="00A04DF2" w:rsidRPr="001819F4" w:rsidRDefault="00A04DF2" w:rsidP="00A04DF2">
      <w:pPr>
        <w:pStyle w:val="Heading1"/>
        <w:rPr>
          <w:rFonts w:eastAsia="Aptos" w:cstheme="minorBidi"/>
          <w:kern w:val="2"/>
          <w:lang w:val="es-ES_tradnl"/>
          <w14:ligatures w14:val="standardContextual"/>
        </w:rPr>
      </w:pPr>
      <w:r w:rsidRPr="001819F4">
        <w:rPr>
          <w:lang w:val="es-ES_tradnl"/>
        </w:rPr>
        <w:t>1</w:t>
      </w:r>
      <w:r>
        <w:rPr>
          <w:lang w:val="es-ES_tradnl"/>
        </w:rPr>
        <w:tab/>
      </w:r>
      <w:r w:rsidRPr="001819F4">
        <w:rPr>
          <w:lang w:val="es-ES_tradnl"/>
        </w:rPr>
        <w:t xml:space="preserve">Exposición de la situación o del problema </w:t>
      </w:r>
    </w:p>
    <w:p w14:paraId="52655F42" w14:textId="77777777" w:rsidR="00A04DF2" w:rsidRPr="00D9585B" w:rsidRDefault="00A04DF2" w:rsidP="00A04DF2">
      <w:pPr>
        <w:rPr>
          <w:lang w:val="es-ES"/>
        </w:rPr>
      </w:pPr>
      <w:r>
        <w:rPr>
          <w:lang w:val="es-ES_tradnl"/>
        </w:rPr>
        <w:t>1.1</w:t>
      </w:r>
      <w:r>
        <w:rPr>
          <w:lang w:val="es-ES_tradnl"/>
        </w:rPr>
        <w:tab/>
      </w:r>
      <w:r w:rsidRPr="001819F4">
        <w:rPr>
          <w:lang w:val="es-ES_tradnl"/>
        </w:rPr>
        <w:t xml:space="preserve">El </w:t>
      </w:r>
      <w:r w:rsidRPr="00D9585B">
        <w:rPr>
          <w:lang w:val="es-ES"/>
        </w:rPr>
        <w:t xml:space="preserve">Sector de Desarrollo de las Telecomunicaciones de la UIT (UIT-D) puede seguir ayudando a los Estados Miembros a evaluar los aspectos técnicos y económicos de la adopción y aplicación de tecnologías y servicios digitales. En este contexto, el UIT-D ha colaborado estrechamente con el Sector de Radiocomunicaciones de la UIT (UIT-R) y el Sector de Normalización de las Telecomunicaciones de la UIT (UIT-T) para evitar la duplicación de tareas. </w:t>
      </w:r>
    </w:p>
    <w:p w14:paraId="16043A3A" w14:textId="77777777" w:rsidR="00A04DF2" w:rsidRPr="00D9585B" w:rsidRDefault="00A04DF2" w:rsidP="00A04DF2">
      <w:pPr>
        <w:rPr>
          <w:lang w:val="es-ES"/>
        </w:rPr>
      </w:pPr>
      <w:r w:rsidRPr="00D9585B">
        <w:rPr>
          <w:lang w:val="es-ES"/>
        </w:rPr>
        <w:t>1.2</w:t>
      </w:r>
      <w:r w:rsidRPr="00D9585B">
        <w:rPr>
          <w:lang w:val="es-ES"/>
        </w:rPr>
        <w:tab/>
        <w:t xml:space="preserve">La UIT ha estado trabajando en el análisis y la identificación de prácticas idóneas para la adopción e implantación de la radiodifusión digital, incluidos los sistemas nuevos e innovadores. </w:t>
      </w:r>
    </w:p>
    <w:p w14:paraId="3B3A6EFB" w14:textId="77777777" w:rsidR="00A04DF2" w:rsidRPr="00D9585B" w:rsidRDefault="00A04DF2" w:rsidP="00A04DF2">
      <w:pPr>
        <w:rPr>
          <w:lang w:val="es-ES"/>
        </w:rPr>
      </w:pPr>
      <w:r w:rsidRPr="00D9585B">
        <w:rPr>
          <w:lang w:val="es-ES"/>
        </w:rPr>
        <w:t>1.3</w:t>
      </w:r>
      <w:r w:rsidRPr="00D9585B">
        <w:rPr>
          <w:lang w:val="es-ES"/>
        </w:rPr>
        <w:tab/>
        <w:t>En este contexto, en los Informes de los últimos periodos de estudios se presentaban las prácticas idóneas para acelerar la transición y reducir la brecha digital mediante el despliegue de nuevos servicios, las estrategias de comunicación para sensibilizar al ciudadano sobre la radiodifusión digital y los aspectos relacionados con el espectro radioeléctrico en el contexto del proceso del apagón analógico, entre otros estudios de casos prácticos.</w:t>
      </w:r>
    </w:p>
    <w:p w14:paraId="4BC05798" w14:textId="77777777" w:rsidR="00A04DF2" w:rsidRPr="00D9585B" w:rsidRDefault="00A04DF2" w:rsidP="00A04DF2">
      <w:pPr>
        <w:rPr>
          <w:lang w:val="es-ES"/>
        </w:rPr>
      </w:pPr>
      <w:r w:rsidRPr="006C1B27">
        <w:rPr>
          <w:lang w:val="es-ES"/>
        </w:rPr>
        <w:t>1.4</w:t>
      </w:r>
      <w:r w:rsidRPr="006C1B27">
        <w:rPr>
          <w:lang w:val="es-ES"/>
        </w:rPr>
        <w:tab/>
        <w:t xml:space="preserve">También es importante reconocer la relación entre los distintos entornos, en particular entre la radiodifusión y la banda ancha, así como la necesidad de abordar la radiodifusión desde una perspectiva más general y considerar la relación entre las distintas redes por las que se entrega el contenido audiovisual. </w:t>
      </w:r>
      <w:r w:rsidRPr="00D9585B">
        <w:rPr>
          <w:lang w:val="es-ES"/>
        </w:rPr>
        <w:t>Así también, la adopción e implantación de nuevos e innovadores servicios y aplicaciones de radiodifusión.</w:t>
      </w:r>
    </w:p>
    <w:p w14:paraId="2CED35D7" w14:textId="77777777" w:rsidR="00A04DF2" w:rsidRPr="00D9585B" w:rsidRDefault="00A04DF2" w:rsidP="00A04DF2">
      <w:pPr>
        <w:rPr>
          <w:lang w:val="es-ES"/>
        </w:rPr>
      </w:pPr>
      <w:r w:rsidRPr="00D9585B">
        <w:rPr>
          <w:lang w:val="es-ES"/>
        </w:rPr>
        <w:t>1.5</w:t>
      </w:r>
      <w:r w:rsidRPr="00D9585B">
        <w:rPr>
          <w:lang w:val="es-ES"/>
        </w:rPr>
        <w:tab/>
        <w:t xml:space="preserve">Además, el panorama de la radiodifusión está cambiando, como están evolucionando las ofertas a los usuarios. Se brindan nuevas experiencias de acceso a contenidos audiovisuales, y una de las consecuencias de ello es que los usuarios ya no disponen únicamente de los servicios y las aplicaciones de medios tradicionales. En lugar de ello, pueden beneficiarse de contenido audiovisual de índole diversa en cuanto a servicios de radiodifusión. En este contexto, es importante analizar otras ofertas de servicios audiovisuales digitales y los sistemas, servicios y aplicaciones de distribución de contenidos audiovisuales/de radiodifusión nuevos </w:t>
      </w:r>
      <w:proofErr w:type="gramStart"/>
      <w:r w:rsidRPr="00D9585B">
        <w:rPr>
          <w:lang w:val="es-ES"/>
        </w:rPr>
        <w:t>e</w:t>
      </w:r>
      <w:proofErr w:type="gramEnd"/>
      <w:r w:rsidRPr="00D9585B">
        <w:rPr>
          <w:lang w:val="es-ES"/>
        </w:rPr>
        <w:t xml:space="preserve"> emergentes, incluidos los OTT y otras plataformas de distribución, como las redes de satélite y cable, para evaluar el panorama de la televisión.</w:t>
      </w:r>
    </w:p>
    <w:p w14:paraId="233747DB" w14:textId="77777777" w:rsidR="00A04DF2" w:rsidRPr="00D9585B" w:rsidRDefault="00A04DF2" w:rsidP="00A04DF2">
      <w:pPr>
        <w:rPr>
          <w:lang w:val="es-ES"/>
        </w:rPr>
      </w:pPr>
      <w:r w:rsidRPr="00D9585B">
        <w:rPr>
          <w:lang w:val="es-ES"/>
        </w:rPr>
        <w:t>1.6</w:t>
      </w:r>
      <w:r w:rsidRPr="00D9585B">
        <w:rPr>
          <w:lang w:val="es-ES"/>
        </w:rPr>
        <w:tab/>
        <w:t>Por consiguiente, para implementar las nuevas tecnologías, servicios y aplicaciones de radiodifusión en este nuevo entorno, en el que los proveedores de servicios parecen asumir una estrategia de medios global sin limitar las ofertas de servicio al mercado de la radiodifusión tradicional, parece que la consolidación, la inversión común y la compartición de infraestructuras son factores esenciales para reducir los costes y permitir una inversión masiva en el despliegue de redes y la entrega de contenido.</w:t>
      </w:r>
    </w:p>
    <w:p w14:paraId="1ACC72BB" w14:textId="77777777" w:rsidR="00A04DF2" w:rsidRPr="00D9585B" w:rsidRDefault="00A04DF2" w:rsidP="00A04DF2">
      <w:pPr>
        <w:rPr>
          <w:lang w:val="es-ES"/>
        </w:rPr>
      </w:pPr>
      <w:r w:rsidRPr="00D9585B">
        <w:rPr>
          <w:lang w:val="es-ES"/>
        </w:rPr>
        <w:t>1.7</w:t>
      </w:r>
      <w:r w:rsidRPr="00D9585B">
        <w:rPr>
          <w:lang w:val="es-ES"/>
        </w:rPr>
        <w:tab/>
        <w:t>Habida cuenta de lo anterior, será beneficioso estudiar la radiodifusión como infraestructura esencial para la entrega de servicios y aplicaciones innovadores en combinación con otras redes y plataformas de servicio. Además, será importante considerar esas interacciones desde un punto de vista reglamentario, económico y técnico para aprovechar los puntos fuertes de cada una de las redes en beneficio de los usuarios y para lograr la disponibilidad de una gama de servicios más diversa.</w:t>
      </w:r>
    </w:p>
    <w:p w14:paraId="305A1F11" w14:textId="77777777" w:rsidR="00A04DF2" w:rsidRPr="00D9585B" w:rsidRDefault="00A04DF2" w:rsidP="00A04DF2">
      <w:pPr>
        <w:rPr>
          <w:lang w:val="es-ES"/>
        </w:rPr>
      </w:pPr>
      <w:r w:rsidRPr="00D9585B">
        <w:rPr>
          <w:lang w:val="es-ES"/>
        </w:rPr>
        <w:lastRenderedPageBreak/>
        <w:t>1.8</w:t>
      </w:r>
      <w:r w:rsidRPr="00D9585B">
        <w:rPr>
          <w:lang w:val="es-ES"/>
        </w:rPr>
        <w:tab/>
        <w:t>Se han producido desarrollos en los sistemas de radiodifusión y en la integración con redes TIC que utilizan IP en toda la cadena de radiodifusión, y redes celulares para la transmisión de medios. Esta evolución y la convergencia entre los medios de comunicación y los sectores de las TIC exigen una consideración especial desde el punto de vista de las políticas, la inversión y la tecnología, y abren la puerta a una variedad de servicios y aplicaciones.</w:t>
      </w:r>
    </w:p>
    <w:p w14:paraId="0C668C52" w14:textId="77777777" w:rsidR="00A04DF2" w:rsidRPr="0002033A" w:rsidRDefault="00A04DF2" w:rsidP="00A04DF2">
      <w:pPr>
        <w:rPr>
          <w:lang w:val="es-ES"/>
        </w:rPr>
      </w:pPr>
      <w:r w:rsidRPr="0002033A">
        <w:rPr>
          <w:lang w:val="es-ES"/>
        </w:rPr>
        <w:t>1.9</w:t>
      </w:r>
      <w:r w:rsidRPr="0002033A">
        <w:rPr>
          <w:lang w:val="es-ES"/>
        </w:rPr>
        <w:tab/>
        <w:t xml:space="preserve">Hay que tener en cuenta que las posibles innovaciones de la radiodifusión en la banda de ondas </w:t>
      </w:r>
      <w:proofErr w:type="spellStart"/>
      <w:r w:rsidRPr="0002033A">
        <w:rPr>
          <w:lang w:val="es-ES"/>
        </w:rPr>
        <w:t>decimétricas</w:t>
      </w:r>
      <w:proofErr w:type="spellEnd"/>
      <w:r w:rsidRPr="0002033A">
        <w:rPr>
          <w:lang w:val="es-ES"/>
        </w:rPr>
        <w:t>, propuestas por nuevos sistemas como la radiodifusión 5G, ATSC3.0 y el esperado nuevo sistema de segunda generación del Brasil, así como la utilización de la Banda III de ondas métricas para la DAB o la TDT, pueden desembocar en nuevas formas de servicios y aplicaciones de radiodifusión.</w:t>
      </w:r>
    </w:p>
    <w:p w14:paraId="5521E1A8" w14:textId="77777777" w:rsidR="00A04DF2" w:rsidRPr="00D9585B" w:rsidRDefault="00A04DF2" w:rsidP="00A04DF2">
      <w:pPr>
        <w:rPr>
          <w:lang w:val="es-ES"/>
        </w:rPr>
      </w:pPr>
      <w:r w:rsidRPr="00D9585B">
        <w:rPr>
          <w:lang w:val="es-ES"/>
        </w:rPr>
        <w:t>1.10</w:t>
      </w:r>
      <w:r w:rsidRPr="00D9585B">
        <w:rPr>
          <w:lang w:val="es-ES"/>
        </w:rPr>
        <w:tab/>
        <w:t xml:space="preserve">La utilización del "dividendo digital" es un asunto importante que sigue siendo ampliamente debatido por los organismos de radiodifusión y los operadores de telecomunicaciones y de otro tipo de servicios que funcionan en las mismas bandas de frecuencia. </w:t>
      </w:r>
    </w:p>
    <w:p w14:paraId="0FDAC8E5" w14:textId="77777777" w:rsidR="00A04DF2" w:rsidRPr="001819F4" w:rsidRDefault="00A04DF2" w:rsidP="00A04DF2">
      <w:pPr>
        <w:rPr>
          <w:rFonts w:cstheme="minorBidi"/>
          <w:lang w:val="es-ES_tradnl"/>
        </w:rPr>
      </w:pPr>
      <w:r w:rsidRPr="00D9585B">
        <w:rPr>
          <w:lang w:val="es-ES"/>
        </w:rPr>
        <w:t>1.11</w:t>
      </w:r>
      <w:r w:rsidRPr="00D9585B">
        <w:rPr>
          <w:lang w:val="es-ES"/>
        </w:rPr>
        <w:tab/>
        <w:t>Por último, otro importante problema para el futuro de la radiodifusión es la aparición de nuevas tecnologías y normas de radiodifusión que podrán tomarse en consideración cuando los países en desarrollo</w:t>
      </w:r>
      <w:r w:rsidRPr="00366E73">
        <w:rPr>
          <w:rStyle w:val="FootnoteReference"/>
        </w:rPr>
        <w:footnoteReference w:id="11"/>
      </w:r>
      <w:r w:rsidRPr="00D9585B">
        <w:rPr>
          <w:lang w:val="es-ES"/>
        </w:rPr>
        <w:t xml:space="preserve"> procedan a la transición a la televisión digital y</w:t>
      </w:r>
      <w:r w:rsidRPr="001819F4">
        <w:rPr>
          <w:lang w:val="es-ES_tradnl"/>
        </w:rPr>
        <w:t xml:space="preserve"> otras plataformas de distribución de contenido audiovisual. En paralelo, se han de considerar también los servicios de radiodifusión tradicionales con o sin interacción con otras plataformas y redes.</w:t>
      </w:r>
      <w:bookmarkStart w:id="35" w:name="_Hlk198132271"/>
      <w:bookmarkEnd w:id="35"/>
    </w:p>
    <w:p w14:paraId="5759AB05" w14:textId="77777777" w:rsidR="00A04DF2" w:rsidRPr="001819F4" w:rsidRDefault="00A04DF2" w:rsidP="00A04DF2">
      <w:pPr>
        <w:pStyle w:val="Heading1"/>
        <w:rPr>
          <w:rFonts w:eastAsia="Aptos" w:cstheme="minorBidi"/>
          <w:kern w:val="2"/>
          <w:lang w:val="es-ES_tradnl"/>
          <w14:ligatures w14:val="standardContextual"/>
        </w:rPr>
      </w:pPr>
      <w:r w:rsidRPr="001819F4">
        <w:rPr>
          <w:lang w:val="es-ES_tradnl"/>
        </w:rPr>
        <w:t>2</w:t>
      </w:r>
      <w:r>
        <w:rPr>
          <w:lang w:val="es-ES_tradnl"/>
        </w:rPr>
        <w:tab/>
      </w:r>
      <w:r w:rsidRPr="001819F4">
        <w:rPr>
          <w:lang w:val="es-ES_tradnl"/>
        </w:rPr>
        <w:t xml:space="preserve">Cuestión o asunto que ha de estudiarse </w:t>
      </w:r>
    </w:p>
    <w:p w14:paraId="2602B0A4" w14:textId="77777777" w:rsidR="00A04DF2" w:rsidRPr="00D9585B" w:rsidRDefault="00A04DF2" w:rsidP="00A04DF2">
      <w:pPr>
        <w:rPr>
          <w:lang w:val="es-ES"/>
        </w:rPr>
      </w:pPr>
      <w:r w:rsidRPr="001819F4">
        <w:rPr>
          <w:lang w:val="es-ES_tradnl"/>
        </w:rPr>
        <w:t xml:space="preserve">Los temas de estudio de la Cuestión se centrarán en los sistemas, servicios y aplicaciones de distribución de contenidos audiovisuales/de radiodifusión nuevos y emergentes, incluidos los OTT y otras </w:t>
      </w:r>
      <w:r w:rsidRPr="00D9585B">
        <w:rPr>
          <w:lang w:val="es-ES"/>
        </w:rPr>
        <w:t>plataformas de distribución, como las redes de satélite y cable, y los nuevos temas orientados a nuevos resultados para el periodo de estudios 2026-2029 del UIT-D, según proceda.</w:t>
      </w:r>
    </w:p>
    <w:p w14:paraId="503F448A" w14:textId="77777777" w:rsidR="00A04DF2" w:rsidRPr="00D9585B" w:rsidRDefault="00A04DF2" w:rsidP="00A04DF2">
      <w:pPr>
        <w:rPr>
          <w:lang w:val="es-ES"/>
        </w:rPr>
      </w:pPr>
      <w:r w:rsidRPr="00D9585B">
        <w:rPr>
          <w:lang w:val="es-ES"/>
        </w:rPr>
        <w:t>Proseguirá el estudio conjunto de la planificación del espectro, la radiodifusión digital y la utilización del dividendo digital, para abarcar nuevos temas e intereses de los países en desarrollo.</w:t>
      </w:r>
    </w:p>
    <w:p w14:paraId="26354E7B" w14:textId="77777777" w:rsidR="00A04DF2" w:rsidRPr="001819F4" w:rsidRDefault="00A04DF2" w:rsidP="00A04DF2">
      <w:pPr>
        <w:rPr>
          <w:rFonts w:eastAsia="Aptos" w:cstheme="minorBidi"/>
          <w:kern w:val="2"/>
          <w:lang w:val="es-ES_tradnl"/>
          <w14:ligatures w14:val="standardContextual"/>
        </w:rPr>
      </w:pPr>
      <w:r w:rsidRPr="00D9585B">
        <w:rPr>
          <w:lang w:val="es-ES"/>
        </w:rPr>
        <w:t>La Cuestión centrará</w:t>
      </w:r>
      <w:r w:rsidRPr="001819F4">
        <w:rPr>
          <w:lang w:val="es-ES_tradnl"/>
        </w:rPr>
        <w:t xml:space="preserve"> sus estudios en los temas siguientes: </w:t>
      </w:r>
    </w:p>
    <w:p w14:paraId="6610912F" w14:textId="77777777" w:rsidR="00A04DF2" w:rsidRPr="001819F4" w:rsidRDefault="00A04DF2" w:rsidP="00A04DF2">
      <w:pPr>
        <w:pStyle w:val="Heading2"/>
        <w:rPr>
          <w:rFonts w:cstheme="minorBidi"/>
          <w:lang w:val="es-ES_tradnl"/>
        </w:rPr>
      </w:pPr>
      <w:r w:rsidRPr="001819F4">
        <w:rPr>
          <w:lang w:val="es-ES_tradnl"/>
        </w:rPr>
        <w:t>2.1</w:t>
      </w:r>
      <w:r>
        <w:rPr>
          <w:lang w:val="es-ES_tradnl"/>
        </w:rPr>
        <w:tab/>
      </w:r>
      <w:proofErr w:type="spellStart"/>
      <w:r w:rsidRPr="001819F4">
        <w:rPr>
          <w:lang w:val="es-ES_tradnl"/>
        </w:rPr>
        <w:t>emas</w:t>
      </w:r>
      <w:proofErr w:type="spellEnd"/>
      <w:r w:rsidRPr="001819F4">
        <w:rPr>
          <w:lang w:val="es-ES_tradnl"/>
        </w:rPr>
        <w:t xml:space="preserve"> a considerar de la Cuestión 2/1 del periodo de estudios 2021-2025</w:t>
      </w:r>
    </w:p>
    <w:p w14:paraId="249EA360" w14:textId="77777777" w:rsidR="00A04DF2" w:rsidRPr="001819F4" w:rsidRDefault="00A04DF2" w:rsidP="00A04DF2">
      <w:pPr>
        <w:rPr>
          <w:rFonts w:eastAsia="Aptos" w:cstheme="minorBidi"/>
          <w:kern w:val="2"/>
          <w:lang w:val="es-ES_tradnl"/>
          <w14:ligatures w14:val="standardContextual"/>
        </w:rPr>
      </w:pPr>
      <w:r>
        <w:rPr>
          <w:lang w:val="es-ES_tradnl"/>
        </w:rPr>
        <w:t>1</w:t>
      </w:r>
      <w:r>
        <w:rPr>
          <w:lang w:val="es-ES_tradnl"/>
        </w:rPr>
        <w:tab/>
      </w:r>
      <w:r w:rsidRPr="001819F4">
        <w:rPr>
          <w:lang w:val="es-ES_tradnl"/>
        </w:rPr>
        <w:t>Análisis de los métodos y problemas de la adopción e implementación de la radiodifusión digital (sonora y de televisión), incluido el despliegue de nuevos servicios y aplicaciones, como la TVUAD, la RA/RV y las aplicaciones interactivas, para los consumidores/</w:t>
      </w:r>
      <w:r w:rsidRPr="006C1B27">
        <w:rPr>
          <w:lang w:val="es-ES"/>
        </w:rPr>
        <w:t>espectadores</w:t>
      </w:r>
      <w:r w:rsidRPr="001819F4">
        <w:rPr>
          <w:lang w:val="es-ES_tradnl"/>
        </w:rPr>
        <w:t xml:space="preserve"> en diversos entornos (posiblemente en colaboración con la Cuestión A/2).</w:t>
      </w:r>
    </w:p>
    <w:p w14:paraId="74EE518B" w14:textId="77777777" w:rsidR="00A04DF2" w:rsidRPr="006C1B27" w:rsidRDefault="00A04DF2" w:rsidP="00A04DF2">
      <w:pPr>
        <w:rPr>
          <w:rFonts w:eastAsia="Aptos"/>
          <w:lang w:val="es-ES"/>
        </w:rPr>
      </w:pPr>
      <w:r>
        <w:rPr>
          <w:lang w:val="es-ES_tradnl"/>
        </w:rPr>
        <w:t>2</w:t>
      </w:r>
      <w:r>
        <w:rPr>
          <w:lang w:val="es-ES_tradnl"/>
        </w:rPr>
        <w:tab/>
      </w:r>
      <w:r w:rsidRPr="001819F4">
        <w:rPr>
          <w:lang w:val="es-ES_tradnl"/>
        </w:rPr>
        <w:t xml:space="preserve">Análisis de los efectos del rápido crecimiento de los servicios de abono a la </w:t>
      </w:r>
      <w:r w:rsidRPr="006C1B27">
        <w:rPr>
          <w:lang w:val="es-ES"/>
        </w:rPr>
        <w:t xml:space="preserve">televisión tradicional, la televisión lineal en línea y el vídeo a la demanda en los servicios de radiodifusión públicos de los países en desarrollo. </w:t>
      </w:r>
    </w:p>
    <w:p w14:paraId="75BB401F" w14:textId="77777777" w:rsidR="00A04DF2" w:rsidRPr="001819F4" w:rsidRDefault="00A04DF2" w:rsidP="00A04DF2">
      <w:pPr>
        <w:rPr>
          <w:rFonts w:eastAsia="Aptos" w:cstheme="minorBidi"/>
          <w:kern w:val="2"/>
          <w:lang w:val="es-ES_tradnl"/>
          <w14:ligatures w14:val="standardContextual"/>
        </w:rPr>
      </w:pPr>
      <w:r w:rsidRPr="00D9585B">
        <w:rPr>
          <w:lang w:val="es-ES"/>
        </w:rPr>
        <w:t>3</w:t>
      </w:r>
      <w:r w:rsidRPr="00D9585B">
        <w:rPr>
          <w:lang w:val="es-ES"/>
        </w:rPr>
        <w:tab/>
        <w:t>Experiencias nacionales con las estrategias de la introducción de nuevas tecnologías de radiodifusión, aplicaciones, nuevos servicios y capacidades, incluidos los aspectos reglamentarios</w:t>
      </w:r>
      <w:r w:rsidRPr="001819F4">
        <w:rPr>
          <w:lang w:val="es-ES_tradnl"/>
        </w:rPr>
        <w:t xml:space="preserve">, económicos, financieros y técnicos, reflejando la necesidad de efectuar inversiones masivas de </w:t>
      </w:r>
      <w:r w:rsidRPr="001819F4">
        <w:rPr>
          <w:lang w:val="es-ES_tradnl"/>
        </w:rPr>
        <w:lastRenderedPageBreak/>
        <w:t>implementación para satisfacer la cada vez mayor demanda de contenido de vídeo (posiblemente en colaboración con las Cuestiones A/2 y 4/1, según corresponda).</w:t>
      </w:r>
    </w:p>
    <w:p w14:paraId="2B97E491" w14:textId="77777777" w:rsidR="00A04DF2" w:rsidRPr="006C1B27" w:rsidRDefault="00A04DF2" w:rsidP="00A04DF2">
      <w:pPr>
        <w:rPr>
          <w:rFonts w:eastAsia="Aptos"/>
          <w:lang w:val="es-ES"/>
        </w:rPr>
      </w:pPr>
      <w:r>
        <w:rPr>
          <w:lang w:val="es-ES_tradnl"/>
        </w:rPr>
        <w:t>4</w:t>
      </w:r>
      <w:r>
        <w:rPr>
          <w:lang w:val="es-ES_tradnl"/>
        </w:rPr>
        <w:tab/>
      </w:r>
      <w:r w:rsidRPr="001819F4">
        <w:rPr>
          <w:lang w:val="es-ES_tradnl"/>
        </w:rPr>
        <w:t xml:space="preserve">Análisis de </w:t>
      </w:r>
      <w:r w:rsidRPr="006C1B27">
        <w:rPr>
          <w:lang w:val="es-ES"/>
        </w:rPr>
        <w:t xml:space="preserve">la evolución de los sistemas de radiodifusión mediante la utilización de tecnologías IP a lo largo de la cadena de radiodifusión, incluidas la producción, la contribución y la transmisión. </w:t>
      </w:r>
    </w:p>
    <w:p w14:paraId="7D285987" w14:textId="77777777" w:rsidR="00A04DF2" w:rsidRPr="00D9585B" w:rsidRDefault="00A04DF2" w:rsidP="00A04DF2">
      <w:pPr>
        <w:rPr>
          <w:rFonts w:eastAsia="Aptos"/>
          <w:lang w:val="es-ES"/>
        </w:rPr>
      </w:pPr>
      <w:r w:rsidRPr="00D9585B">
        <w:rPr>
          <w:lang w:val="es-ES"/>
        </w:rPr>
        <w:t>5</w:t>
      </w:r>
      <w:r w:rsidRPr="00D9585B">
        <w:rPr>
          <w:lang w:val="es-ES"/>
        </w:rPr>
        <w:tab/>
        <w:t>Prácticas idóneas y experiencias nacionales en materia de espectro, incluida la mitigación de la interferencia, la utilización del dividendo digital, los aspectos técnicos, reglamentarios y económicos, y otros asuntos relacionados con la gestión del espectro.</w:t>
      </w:r>
    </w:p>
    <w:p w14:paraId="0FFF7B7E" w14:textId="77777777" w:rsidR="00A04DF2" w:rsidRPr="00D9585B" w:rsidRDefault="00A04DF2" w:rsidP="00A04DF2">
      <w:pPr>
        <w:rPr>
          <w:rFonts w:eastAsia="Aptos"/>
          <w:lang w:val="es-ES"/>
        </w:rPr>
      </w:pPr>
      <w:r w:rsidRPr="00D9585B">
        <w:rPr>
          <w:lang w:val="es-ES"/>
        </w:rPr>
        <w:t>6</w:t>
      </w:r>
      <w:r w:rsidRPr="00D9585B">
        <w:rPr>
          <w:lang w:val="es-ES"/>
        </w:rPr>
        <w:tab/>
        <w:t>Análisis de la transición gradual a la radiodifusión sonora digital, estudios de casos, intercambio de experiencias y estrategias aplicadas, incluida la utilización de la Banda III de ondas métricas para la DAB o la TDT.</w:t>
      </w:r>
    </w:p>
    <w:p w14:paraId="57315688" w14:textId="77777777" w:rsidR="00A04DF2" w:rsidRPr="001819F4" w:rsidRDefault="00A04DF2" w:rsidP="00A04DF2">
      <w:pPr>
        <w:rPr>
          <w:rFonts w:eastAsia="Aptos" w:cstheme="minorBidi"/>
          <w:kern w:val="2"/>
          <w:lang w:val="es-ES_tradnl"/>
          <w14:ligatures w14:val="standardContextual"/>
        </w:rPr>
      </w:pPr>
      <w:r w:rsidRPr="0002033A">
        <w:rPr>
          <w:lang w:val="es-ES"/>
        </w:rPr>
        <w:t>7</w:t>
      </w:r>
      <w:r w:rsidRPr="0002033A">
        <w:rPr>
          <w:lang w:val="es-ES"/>
        </w:rPr>
        <w:tab/>
        <w:t xml:space="preserve">Análisis de las posibles innovaciones de la radiodifusión en la banda de ondas </w:t>
      </w:r>
      <w:proofErr w:type="spellStart"/>
      <w:r w:rsidRPr="0002033A">
        <w:rPr>
          <w:lang w:val="es-ES"/>
        </w:rPr>
        <w:t>decimétricas</w:t>
      </w:r>
      <w:proofErr w:type="spellEnd"/>
      <w:r w:rsidRPr="0002033A">
        <w:rPr>
          <w:lang w:val="es-ES"/>
        </w:rPr>
        <w:t xml:space="preserve"> propuestas por nuevos sistemas de radiodifusión, como la radiodifusión 5G, ATSC3.0 y otros sistemas</w:t>
      </w:r>
      <w:r w:rsidRPr="001819F4">
        <w:rPr>
          <w:lang w:val="es-ES_tradnl"/>
        </w:rPr>
        <w:t xml:space="preserve"> de la próxima generación. </w:t>
      </w:r>
    </w:p>
    <w:p w14:paraId="1AD17D5E" w14:textId="77777777" w:rsidR="00A04DF2" w:rsidRPr="001819F4" w:rsidRDefault="00A04DF2" w:rsidP="00A04DF2">
      <w:pPr>
        <w:pStyle w:val="Heading2"/>
        <w:rPr>
          <w:rFonts w:cstheme="minorBidi"/>
          <w:lang w:val="es-ES_tradnl"/>
        </w:rPr>
      </w:pPr>
      <w:r w:rsidRPr="001819F4">
        <w:rPr>
          <w:lang w:val="es-ES_tradnl"/>
        </w:rPr>
        <w:t>2.2</w:t>
      </w:r>
      <w:r>
        <w:rPr>
          <w:lang w:val="es-ES_tradnl"/>
        </w:rPr>
        <w:tab/>
      </w:r>
      <w:r w:rsidRPr="001819F4">
        <w:rPr>
          <w:lang w:val="es-ES_tradnl"/>
        </w:rPr>
        <w:t>Nuevos temas para este periodo de estudios</w:t>
      </w:r>
    </w:p>
    <w:p w14:paraId="71C35071" w14:textId="77777777" w:rsidR="00A04DF2" w:rsidRPr="006C1B27" w:rsidRDefault="00A04DF2" w:rsidP="00A04DF2">
      <w:pPr>
        <w:rPr>
          <w:lang w:val="es-ES"/>
        </w:rPr>
      </w:pPr>
      <w:r>
        <w:rPr>
          <w:lang w:val="es-ES_tradnl"/>
        </w:rPr>
        <w:t>1</w:t>
      </w:r>
      <w:r>
        <w:rPr>
          <w:lang w:val="es-ES_tradnl"/>
        </w:rPr>
        <w:tab/>
      </w:r>
      <w:r w:rsidRPr="006C1B27">
        <w:rPr>
          <w:lang w:val="es-ES"/>
        </w:rPr>
        <w:t>Estrategias, políticas y reglamentación para la adopción e implantación de servicios audiovisuales digitales, en el contexto de la distribución de contenidos audiovisuales.</w:t>
      </w:r>
    </w:p>
    <w:p w14:paraId="6CF20253" w14:textId="77777777" w:rsidR="00A04DF2" w:rsidRPr="0002033A" w:rsidRDefault="00A04DF2" w:rsidP="00A04DF2">
      <w:pPr>
        <w:rPr>
          <w:lang w:val="es-ES"/>
        </w:rPr>
      </w:pPr>
      <w:r w:rsidRPr="0002033A">
        <w:rPr>
          <w:lang w:val="es-ES"/>
        </w:rPr>
        <w:t>2</w:t>
      </w:r>
      <w:r w:rsidRPr="0002033A">
        <w:rPr>
          <w:lang w:val="es-ES"/>
        </w:rPr>
        <w:tab/>
        <w:t>Nuevos sistemas, servicios y tecnologías de distribución de contenido, aplicaciones y capacidades emergentes, incluidos los aspectos reglamentarios, económicos y técnicos, incluidos los sistemas de radiodifusión de la próxima generación y la provisión de IP</w:t>
      </w:r>
      <w:bookmarkStart w:id="36" w:name="_Hlk198132390"/>
      <w:r w:rsidRPr="0002033A">
        <w:rPr>
          <w:lang w:val="es-ES"/>
        </w:rPr>
        <w:t>.</w:t>
      </w:r>
    </w:p>
    <w:bookmarkEnd w:id="36"/>
    <w:p w14:paraId="1B500CFC" w14:textId="77777777" w:rsidR="00A04DF2" w:rsidRPr="0002033A" w:rsidRDefault="00A04DF2" w:rsidP="00A04DF2">
      <w:pPr>
        <w:rPr>
          <w:lang w:val="es-ES"/>
        </w:rPr>
      </w:pPr>
      <w:r w:rsidRPr="0002033A">
        <w:rPr>
          <w:lang w:val="es-ES"/>
        </w:rPr>
        <w:t>3</w:t>
      </w:r>
      <w:r w:rsidRPr="0002033A">
        <w:rPr>
          <w:lang w:val="es-ES"/>
        </w:rPr>
        <w:tab/>
        <w:t>Estrategias de despliegue de nuevos servicios y aplicaciones para plataformas de distribución de contenidos audiovisuales, como TVUAD, AR/VR, aplicaciones interactivas, metaverso e IA, entre otros; (en posible colaboración con la Cuestión D/2)</w:t>
      </w:r>
      <w:r>
        <w:rPr>
          <w:lang w:val="es-ES"/>
        </w:rPr>
        <w:t>.</w:t>
      </w:r>
    </w:p>
    <w:p w14:paraId="690EE980" w14:textId="77777777" w:rsidR="00A04DF2" w:rsidRPr="00D9585B" w:rsidRDefault="00A04DF2" w:rsidP="00A04DF2">
      <w:pPr>
        <w:rPr>
          <w:lang w:val="es-ES"/>
        </w:rPr>
      </w:pPr>
      <w:r w:rsidRPr="00D9585B">
        <w:rPr>
          <w:lang w:val="es-ES"/>
        </w:rPr>
        <w:t>4</w:t>
      </w:r>
      <w:r w:rsidRPr="00D9585B">
        <w:rPr>
          <w:lang w:val="es-ES"/>
        </w:rPr>
        <w:tab/>
        <w:t>Ofertas de servicios audiovisuales digitales, incluidos los OTT y otras plataformas de distribución, como IPTV, redes de satélite y cable, para evaluar el panorama televisivo.</w:t>
      </w:r>
    </w:p>
    <w:p w14:paraId="7C20B80D" w14:textId="77777777" w:rsidR="00A04DF2" w:rsidRDefault="00A04DF2" w:rsidP="00A04DF2">
      <w:pPr>
        <w:pStyle w:val="QuestionNo"/>
        <w:rPr>
          <w:lang w:val="es-ES_tradnl"/>
        </w:rPr>
      </w:pPr>
      <w:r w:rsidRPr="001819F4">
        <w:rPr>
          <w:lang w:val="es-ES_tradnl"/>
        </w:rPr>
        <w:t>CUESTIÓN 3/1</w:t>
      </w:r>
    </w:p>
    <w:p w14:paraId="0E41C1C9" w14:textId="77777777" w:rsidR="00A04DF2" w:rsidRPr="001819F4" w:rsidRDefault="00A04DF2" w:rsidP="00A04DF2">
      <w:pPr>
        <w:pStyle w:val="Questiontitle"/>
        <w:rPr>
          <w:rFonts w:eastAsia="Aptos" w:cstheme="minorBidi"/>
          <w:kern w:val="2"/>
          <w:lang w:val="es-ES_tradnl"/>
          <w14:ligatures w14:val="standardContextual"/>
        </w:rPr>
      </w:pPr>
      <w:r w:rsidRPr="001819F4">
        <w:rPr>
          <w:lang w:val="es-ES_tradnl"/>
        </w:rPr>
        <w:t xml:space="preserve">Utilización de las telecomunicaciones/TIC para la reducción del riesgo de catástrofes y su gestión </w:t>
      </w:r>
    </w:p>
    <w:p w14:paraId="0BB407A0" w14:textId="77777777" w:rsidR="00A04DF2" w:rsidRPr="001819F4" w:rsidRDefault="00A04DF2" w:rsidP="00A04DF2">
      <w:pPr>
        <w:pStyle w:val="Heading1"/>
        <w:rPr>
          <w:rFonts w:eastAsia="Aptos" w:cstheme="minorBidi"/>
          <w:kern w:val="2"/>
          <w:lang w:val="es-ES_tradnl"/>
          <w14:ligatures w14:val="standardContextual"/>
        </w:rPr>
      </w:pPr>
      <w:r w:rsidRPr="001819F4">
        <w:rPr>
          <w:lang w:val="es-ES_tradnl"/>
        </w:rPr>
        <w:t>1</w:t>
      </w:r>
      <w:r>
        <w:rPr>
          <w:lang w:val="es-ES_tradnl"/>
        </w:rPr>
        <w:tab/>
      </w:r>
      <w:r w:rsidRPr="001819F4">
        <w:rPr>
          <w:lang w:val="es-ES_tradnl"/>
        </w:rPr>
        <w:t xml:space="preserve">Exposición de la situación o del problema </w:t>
      </w:r>
    </w:p>
    <w:p w14:paraId="1495432B" w14:textId="77777777" w:rsidR="00A04DF2" w:rsidRPr="0002033A" w:rsidRDefault="00A04DF2" w:rsidP="00A04DF2">
      <w:pPr>
        <w:rPr>
          <w:rFonts w:eastAsia="Aptos"/>
          <w:lang w:val="es-ES"/>
        </w:rPr>
      </w:pPr>
      <w:r w:rsidRPr="001819F4">
        <w:rPr>
          <w:lang w:val="es-ES_tradnl"/>
        </w:rPr>
        <w:t>Todo el mundo tiene clara la importancia que revisten las telecomunicaciones y las TIC para la reducción del riesgo de catástrofes, la preparación previa y la intervención y recuperación después de las mismas. Durante el periodo de estudios 2022-2025, en el marco de la Cuestión</w:t>
      </w:r>
      <w:r>
        <w:rPr>
          <w:lang w:val="es-ES_tradnl"/>
        </w:rPr>
        <w:t> </w:t>
      </w:r>
      <w:r w:rsidRPr="001819F4">
        <w:rPr>
          <w:lang w:val="es-ES_tradnl"/>
        </w:rPr>
        <w:t xml:space="preserve">3/1, la Comisión de Estudio 1 del UIT-D examinó la utilización de las TIC en la reducción del riesgo de catástrofes </w:t>
      </w:r>
      <w:r w:rsidRPr="0002033A">
        <w:rPr>
          <w:lang w:val="es-ES"/>
        </w:rPr>
        <w:t>con estudios de casos, ejemplos de tecnologías, aplicaciones y planificación de la resiliencia de las TIC para la gestión de catástrofes. Anteriormente, durante el periodo de estudios 2018</w:t>
      </w:r>
      <w:r w:rsidRPr="0002033A">
        <w:rPr>
          <w:lang w:val="es-ES"/>
        </w:rPr>
        <w:noBreakHyphen/>
        <w:t xml:space="preserve">2021, la atención se centró en la utilización de las telecomunicaciones/TIC para la preparación, mitigación y respuesta en caso de catástrofe, centrándose en simulacros y ejercicios. </w:t>
      </w:r>
    </w:p>
    <w:p w14:paraId="3D3E8B62" w14:textId="77777777" w:rsidR="00A04DF2" w:rsidRPr="001819F4" w:rsidRDefault="00A04DF2" w:rsidP="00A04DF2">
      <w:pPr>
        <w:rPr>
          <w:rFonts w:eastAsia="Aptos" w:cstheme="minorBidi"/>
          <w:kern w:val="2"/>
          <w:lang w:val="es-ES_tradnl"/>
          <w14:ligatures w14:val="standardContextual"/>
        </w:rPr>
      </w:pPr>
      <w:r w:rsidRPr="00D9585B">
        <w:rPr>
          <w:lang w:val="es-ES"/>
        </w:rPr>
        <w:lastRenderedPageBreak/>
        <w:t>Las catástrofes, que van desde terremotos y huracanes hasta inundaciones y sequías, se cobran aproximadamente entre 40 000 y 50 000 vidas cada año, en promedio, durante las últimas décadas. En 2023, se registraron en la base de datos de emergencias (EM-DAT) 399 catástrofes relacionadas con peligros</w:t>
      </w:r>
      <w:r w:rsidRPr="001819F4">
        <w:rPr>
          <w:lang w:val="es-ES_tradnl"/>
        </w:rPr>
        <w:t xml:space="preserve"> naturales. Estos eventos provocaron 86 473 víctimas mortales y afectaron a 93,1 millones de personas. Las pérdidas económicas derivadas de ellos ascendieron a </w:t>
      </w:r>
      <w:r>
        <w:rPr>
          <w:lang w:val="es-ES_tradnl"/>
        </w:rPr>
        <w:t>2</w:t>
      </w:r>
      <w:r w:rsidRPr="001819F4">
        <w:rPr>
          <w:lang w:val="es-ES_tradnl"/>
        </w:rPr>
        <w:t>02</w:t>
      </w:r>
      <w:r>
        <w:rPr>
          <w:lang w:val="es-ES_tradnl"/>
        </w:rPr>
        <w:t> </w:t>
      </w:r>
      <w:r w:rsidRPr="001819F4">
        <w:rPr>
          <w:lang w:val="es-ES_tradnl"/>
        </w:rPr>
        <w:t>700 millones</w:t>
      </w:r>
      <w:r>
        <w:rPr>
          <w:lang w:val="es-ES_tradnl"/>
        </w:rPr>
        <w:t xml:space="preserve"> USD</w:t>
      </w:r>
      <w:r w:rsidRPr="001819F4">
        <w:rPr>
          <w:lang w:val="es-ES_tradnl"/>
        </w:rPr>
        <w:t>. El suceso más catastrófico del año fue el terremoto en Türkiye y la República Árabe Siria, que causó 56 683 muertos y daños por valor de 42 900 millones</w:t>
      </w:r>
      <w:r>
        <w:rPr>
          <w:lang w:val="es-ES_tradnl"/>
        </w:rPr>
        <w:t xml:space="preserve"> USD</w:t>
      </w:r>
      <w:r w:rsidRPr="001819F4">
        <w:rPr>
          <w:lang w:val="es-ES_tradnl"/>
        </w:rPr>
        <w:t>. El terremoto afectó a unos 18 millones de personas, lo que lo convierte en el segundo evento más grave en cuanto a personas afectadas, después de la sequía de Indonesia de 2023, que afectó a 18,8</w:t>
      </w:r>
      <w:r>
        <w:rPr>
          <w:lang w:val="es-ES_tradnl"/>
        </w:rPr>
        <w:t> </w:t>
      </w:r>
      <w:r w:rsidRPr="001819F4">
        <w:rPr>
          <w:lang w:val="es-ES_tradnl"/>
        </w:rPr>
        <w:t>millones de personas entre junio y septiembre.</w:t>
      </w:r>
    </w:p>
    <w:p w14:paraId="23760260" w14:textId="77777777" w:rsidR="00A04DF2" w:rsidRPr="001819F4" w:rsidRDefault="00A04DF2" w:rsidP="00A04DF2">
      <w:pPr>
        <w:rPr>
          <w:rFonts w:eastAsia="Aptos" w:cstheme="minorBidi"/>
          <w:kern w:val="2"/>
          <w:lang w:val="es-ES_tradnl"/>
          <w14:ligatures w14:val="standardContextual"/>
        </w:rPr>
      </w:pPr>
      <w:r w:rsidRPr="001819F4">
        <w:rPr>
          <w:lang w:val="es-ES_tradnl"/>
        </w:rPr>
        <w:t>Aunque estas cifras representan una fracción relativamente pequeña de las muertes mundiales, los desastres pueden tener un impacto desproporcionadamente grande en determinadas poblaciones. Los eventos extremos pueden matar de decenas a cientos de miles de personas en un solo caso. En el siglo XX, no era raro que las catástrofes se cobraran más de un millón de vidas al año.</w:t>
      </w:r>
    </w:p>
    <w:p w14:paraId="0145D334" w14:textId="77777777" w:rsidR="00A04DF2" w:rsidRPr="001819F4" w:rsidRDefault="00A04DF2" w:rsidP="00A04DF2">
      <w:pPr>
        <w:rPr>
          <w:rFonts w:eastAsia="Aptos" w:cstheme="minorBidi"/>
          <w:kern w:val="2"/>
          <w:lang w:val="es-ES_tradnl"/>
          <w14:ligatures w14:val="standardContextual"/>
        </w:rPr>
      </w:pPr>
      <w:r w:rsidRPr="001819F4">
        <w:rPr>
          <w:lang w:val="es-ES_tradnl"/>
        </w:rPr>
        <w:t>Además de la pérdida de vidas, también provocan cada año desplazamientos importantes de millones de personas que se quedan sin hogar. Los costos económicos de estos eventos pueden ser graves y difíciles de recuperar, especialmente en los países de bajos ingresos.</w:t>
      </w:r>
    </w:p>
    <w:p w14:paraId="6EC41973" w14:textId="77777777" w:rsidR="00A04DF2" w:rsidRPr="001819F4" w:rsidRDefault="00A04DF2" w:rsidP="00A04DF2">
      <w:pPr>
        <w:rPr>
          <w:rFonts w:eastAsia="Aptos" w:cstheme="minorBidi"/>
          <w:kern w:val="2"/>
          <w:lang w:val="es-ES_tradnl"/>
          <w14:ligatures w14:val="standardContextual"/>
        </w:rPr>
      </w:pPr>
      <w:r w:rsidRPr="001819F4">
        <w:rPr>
          <w:lang w:val="es-ES_tradnl"/>
        </w:rPr>
        <w:t>Con todo, no estamos indefensos ante ellos. El número de muertes por catástrofes ha disminuido considerablemente en el último siglo, gracias a los sistemas de alerta temprana y las mejora en las infraestructuras, la productividad agrícola y la coordinación de las respuestas.</w:t>
      </w:r>
    </w:p>
    <w:p w14:paraId="74114D62"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A medida que el cambio climático aumente la frecuencia y la gravedad de los fenómenos extremos, el fortalecimiento de la resiliencia será fundamental para evitar dar marcha atrás a los avances que hemos empezado a lograr. Para ello debemos seguir trabajando y mejorando la resiliencia de los países vulnerables, aprovechando las tecnologías de la información y la comunicación (TIC) y otras estrategias para reducir la vulnerabilidad de las poblaciones y garantizar que nadie en riesgo se quede atrás.</w:t>
      </w:r>
    </w:p>
    <w:p w14:paraId="56D290AD" w14:textId="77777777" w:rsidR="00A04DF2" w:rsidRPr="001819F4" w:rsidRDefault="00A04DF2" w:rsidP="00A04DF2">
      <w:pPr>
        <w:rPr>
          <w:rFonts w:eastAsia="Aptos" w:cstheme="minorBidi"/>
          <w:kern w:val="2"/>
          <w:lang w:val="es-ES_tradnl"/>
          <w14:ligatures w14:val="standardContextual"/>
        </w:rPr>
      </w:pPr>
      <w:bookmarkStart w:id="37" w:name="_Hlk198132537"/>
      <w:r w:rsidRPr="001819F4">
        <w:rPr>
          <w:lang w:val="es-ES_tradnl"/>
        </w:rPr>
        <w:t>La utilización de las TIC (especialmente las nuevas tecnologías) es importante para determinar los lugares de riesgo potencial de catástrofe y divulgar esta información entre la población.</w:t>
      </w:r>
    </w:p>
    <w:bookmarkEnd w:id="37"/>
    <w:p w14:paraId="67052239" w14:textId="77777777" w:rsidR="00A04DF2" w:rsidRPr="001819F4" w:rsidRDefault="00A04DF2" w:rsidP="00A04DF2">
      <w:pPr>
        <w:rPr>
          <w:rFonts w:eastAsia="Aptos" w:cstheme="minorBidi"/>
          <w:kern w:val="2"/>
          <w:lang w:val="es-ES_tradnl"/>
          <w14:ligatures w14:val="standardContextual"/>
        </w:rPr>
      </w:pPr>
      <w:r w:rsidRPr="001819F4">
        <w:rPr>
          <w:lang w:val="es-ES_tradnl"/>
        </w:rPr>
        <w:t>La mayoría de los países desarrollados y en desarrollo</w:t>
      </w:r>
      <w:r w:rsidRPr="001819F4">
        <w:rPr>
          <w:rStyle w:val="FootnoteReference"/>
          <w:rFonts w:eastAsia="Malgun Gothic" w:cstheme="minorHAnsi"/>
          <w:kern w:val="2"/>
          <w:szCs w:val="24"/>
          <w:lang w:val="es-ES_tradnl" w:eastAsia="ko-KR"/>
          <w14:ligatures w14:val="standardContextual"/>
        </w:rPr>
        <w:footnoteReference w:id="12"/>
      </w:r>
      <w:r w:rsidRPr="001819F4">
        <w:rPr>
          <w:lang w:val="es-ES_tradnl"/>
        </w:rPr>
        <w:t xml:space="preserve"> reconocen las telecomunicaciones de emergencia como una prioridad y están tomando medidas para:</w:t>
      </w:r>
    </w:p>
    <w:p w14:paraId="4AFEDBB1" w14:textId="77777777" w:rsidR="00A04DF2" w:rsidRPr="001819F4" w:rsidRDefault="00A04DF2" w:rsidP="00A04DF2">
      <w:pPr>
        <w:pStyle w:val="enumlev1"/>
        <w:rPr>
          <w:rFonts w:eastAsia="Aptos" w:cstheme="minorBidi"/>
          <w:kern w:val="2"/>
          <w:lang w:val="es-ES_tradnl"/>
          <w14:ligatures w14:val="standardContextual"/>
        </w:rPr>
      </w:pPr>
      <w:r w:rsidRPr="00A22B4F">
        <w:rPr>
          <w:lang w:val="es-ES_tradnl"/>
        </w:rPr>
        <w:t>–</w:t>
      </w:r>
      <w:r>
        <w:rPr>
          <w:lang w:val="es-ES_tradnl"/>
        </w:rPr>
        <w:tab/>
      </w:r>
      <w:r w:rsidRPr="001819F4">
        <w:rPr>
          <w:lang w:val="es-ES_tradnl"/>
        </w:rPr>
        <w:t xml:space="preserve">elaborar planes nacionales de telecomunicaciones de emergencia; </w:t>
      </w:r>
    </w:p>
    <w:p w14:paraId="2E3F003A" w14:textId="77777777" w:rsidR="00A04DF2" w:rsidRPr="001819F4" w:rsidRDefault="00A04DF2" w:rsidP="00A04DF2">
      <w:pPr>
        <w:pStyle w:val="enumlev1"/>
        <w:rPr>
          <w:rFonts w:eastAsia="Aptos" w:cstheme="minorBidi"/>
          <w:kern w:val="2"/>
          <w:lang w:val="es-ES_tradnl"/>
          <w14:ligatures w14:val="standardContextual"/>
        </w:rPr>
      </w:pPr>
      <w:r w:rsidRPr="00A22B4F">
        <w:rPr>
          <w:lang w:val="es-ES_tradnl"/>
        </w:rPr>
        <w:t>–</w:t>
      </w:r>
      <w:r>
        <w:rPr>
          <w:lang w:val="es-ES_tradnl"/>
        </w:rPr>
        <w:tab/>
      </w:r>
      <w:r w:rsidRPr="001819F4">
        <w:rPr>
          <w:lang w:val="es-ES_tradnl"/>
        </w:rPr>
        <w:t xml:space="preserve">desarrollar y aplicar sistemas de alerta temprana, y </w:t>
      </w:r>
    </w:p>
    <w:p w14:paraId="41F86C44" w14:textId="77777777" w:rsidR="00A04DF2" w:rsidRPr="001819F4" w:rsidRDefault="00A04DF2" w:rsidP="00A04DF2">
      <w:pPr>
        <w:pStyle w:val="enumlev1"/>
        <w:rPr>
          <w:rFonts w:eastAsia="Aptos" w:cstheme="minorBidi"/>
          <w:kern w:val="2"/>
          <w:lang w:val="es-ES_tradnl"/>
          <w14:ligatures w14:val="standardContextual"/>
        </w:rPr>
      </w:pPr>
      <w:r w:rsidRPr="00A22B4F">
        <w:rPr>
          <w:lang w:val="es-ES_tradnl"/>
        </w:rPr>
        <w:t>–</w:t>
      </w:r>
      <w:r>
        <w:rPr>
          <w:lang w:val="es-ES_tradnl"/>
        </w:rPr>
        <w:tab/>
      </w:r>
      <w:r w:rsidRPr="001819F4">
        <w:rPr>
          <w:lang w:val="es-ES_tradnl"/>
        </w:rPr>
        <w:t xml:space="preserve">comprobar que las tecnologías y los sistemas están instalados y listos para ser utilizados con miras a garantizar la resiliencia a las catástrofes. </w:t>
      </w:r>
    </w:p>
    <w:p w14:paraId="725E3335" w14:textId="77777777" w:rsidR="00A04DF2" w:rsidRPr="00D9585B" w:rsidRDefault="00A04DF2" w:rsidP="00A04DF2">
      <w:pPr>
        <w:rPr>
          <w:rFonts w:eastAsia="Aptos"/>
          <w:lang w:val="es-ES"/>
        </w:rPr>
      </w:pPr>
      <w:r w:rsidRPr="001819F4">
        <w:rPr>
          <w:lang w:val="es-ES_tradnl"/>
        </w:rPr>
        <w:t xml:space="preserve">Sobre la base de la experiencia de los últimos tres años, se considera que durante la próxima fase del </w:t>
      </w:r>
      <w:r w:rsidRPr="00D9585B">
        <w:rPr>
          <w:lang w:val="es-ES"/>
        </w:rPr>
        <w:t xml:space="preserve">estudio la atención debería centrarse en la preparación: listas de verificación; orientaciones sobre cómo preparar procedimientos operativos estándar, así como prácticas idóneas que los países puedan utilizar para aumentar la resiliencia en la respuesta a las catástrofes y la recuperación. </w:t>
      </w:r>
    </w:p>
    <w:p w14:paraId="22DF7589" w14:textId="77777777" w:rsidR="00A04DF2" w:rsidRPr="001819F4" w:rsidRDefault="00A04DF2" w:rsidP="00A04DF2">
      <w:pPr>
        <w:rPr>
          <w:rFonts w:eastAsia="Aptos" w:cstheme="minorBidi"/>
          <w:kern w:val="2"/>
          <w:lang w:val="es-ES_tradnl"/>
          <w14:ligatures w14:val="standardContextual"/>
        </w:rPr>
      </w:pPr>
      <w:r w:rsidRPr="00D9585B">
        <w:rPr>
          <w:lang w:val="es-ES"/>
        </w:rPr>
        <w:lastRenderedPageBreak/>
        <w:t>Habida cuenta de lo anterior, la Cuestión de Estudio para el periodo 2026-202X debe seguir siendo la "Utilización</w:t>
      </w:r>
      <w:r w:rsidRPr="001819F4">
        <w:rPr>
          <w:lang w:val="es-ES_tradnl"/>
        </w:rPr>
        <w:t xml:space="preserve"> de las telecomunicaciones/TIC para la respuesta y la recuperación en caso de catástrofe".</w:t>
      </w:r>
    </w:p>
    <w:p w14:paraId="71ACD737" w14:textId="77777777" w:rsidR="00A04DF2" w:rsidRPr="001819F4" w:rsidRDefault="00A04DF2" w:rsidP="00A04DF2">
      <w:pPr>
        <w:pStyle w:val="Heading1"/>
        <w:rPr>
          <w:rFonts w:eastAsia="Aptos" w:cstheme="minorBidi"/>
          <w:kern w:val="2"/>
          <w:lang w:val="es-ES_tradnl"/>
          <w14:ligatures w14:val="standardContextual"/>
        </w:rPr>
      </w:pPr>
      <w:r w:rsidRPr="001819F4">
        <w:rPr>
          <w:lang w:val="es-ES_tradnl"/>
        </w:rPr>
        <w:t>2</w:t>
      </w:r>
      <w:r>
        <w:rPr>
          <w:lang w:val="es-ES_tradnl"/>
        </w:rPr>
        <w:tab/>
      </w:r>
      <w:r w:rsidRPr="001819F4">
        <w:rPr>
          <w:lang w:val="es-ES_tradnl"/>
        </w:rPr>
        <w:t xml:space="preserve">Cuestión o asunto que ha de estudiarse </w:t>
      </w:r>
    </w:p>
    <w:p w14:paraId="0EC96001" w14:textId="77777777" w:rsidR="00A04DF2" w:rsidRPr="001819F4" w:rsidRDefault="00A04DF2" w:rsidP="00A04DF2">
      <w:pPr>
        <w:rPr>
          <w:rFonts w:eastAsia="Aptos" w:cstheme="minorBidi"/>
          <w:kern w:val="2"/>
          <w:lang w:val="es-ES_tradnl"/>
          <w14:ligatures w14:val="standardContextual"/>
        </w:rPr>
      </w:pPr>
      <w:r>
        <w:rPr>
          <w:lang w:val="es-ES_tradnl"/>
        </w:rPr>
        <w:t>1</w:t>
      </w:r>
      <w:r>
        <w:rPr>
          <w:lang w:val="es-ES_tradnl"/>
        </w:rPr>
        <w:tab/>
      </w:r>
      <w:r w:rsidRPr="001819F4">
        <w:rPr>
          <w:lang w:val="es-ES_tradnl"/>
        </w:rPr>
        <w:t xml:space="preserve">Proseguir el examen de las telecomunicaciones/TIC terrenales, espaciales e integradas para prestar asistencia a los países afectados aprovechando las aplicaciones pertinentes en materia de predicción, detección, supervisión, alerta temprana, respuesta, socorro y recuperación en caso de catástrofe, incluido el examen de prácticas idóneas/directrices en materia de aplicación y de ayuda a las administraciones para que velen por la existencia de un entorno reglamentario favorable que permita la rápida implantación y aplicación. </w:t>
      </w:r>
    </w:p>
    <w:p w14:paraId="5E74C620" w14:textId="77777777" w:rsidR="00A04DF2" w:rsidRPr="001819F4" w:rsidRDefault="00A04DF2" w:rsidP="00A04DF2">
      <w:pPr>
        <w:rPr>
          <w:rFonts w:eastAsia="Aptos" w:cstheme="minorBidi"/>
          <w:kern w:val="2"/>
          <w:lang w:val="es-ES_tradnl"/>
          <w14:ligatures w14:val="standardContextual"/>
        </w:rPr>
      </w:pPr>
      <w:r>
        <w:rPr>
          <w:lang w:val="es-ES_tradnl"/>
        </w:rPr>
        <w:t>2</w:t>
      </w:r>
      <w:r>
        <w:rPr>
          <w:lang w:val="es-ES_tradnl"/>
        </w:rPr>
        <w:tab/>
      </w:r>
      <w:r w:rsidRPr="001819F4">
        <w:rPr>
          <w:lang w:val="es-ES_tradnl"/>
        </w:rPr>
        <w:t xml:space="preserve">Seguir recopilando y examinando experiencias nacionales y casos de estudio sobre la utilización de las telecomunicaciones/TIC para la preparación, mitigación, respuesta y recuperación en caso de catástrofe, incluida la respuesta a pandemias, y analizando las enseñanzas extraídas y los elementos que tienen en común. </w:t>
      </w:r>
    </w:p>
    <w:p w14:paraId="40E1A991" w14:textId="77777777" w:rsidR="00A04DF2" w:rsidRPr="001819F4" w:rsidRDefault="00A04DF2" w:rsidP="00A04DF2">
      <w:pPr>
        <w:rPr>
          <w:rFonts w:eastAsia="Aptos" w:cstheme="minorBidi"/>
          <w:kern w:val="2"/>
          <w:lang w:val="es-ES_tradnl"/>
          <w14:ligatures w14:val="standardContextual"/>
        </w:rPr>
      </w:pPr>
      <w:r>
        <w:rPr>
          <w:lang w:val="es-ES_tradnl"/>
        </w:rPr>
        <w:t>3</w:t>
      </w:r>
      <w:r>
        <w:rPr>
          <w:lang w:val="es-ES_tradnl"/>
        </w:rPr>
        <w:tab/>
      </w:r>
      <w:r w:rsidRPr="001819F4">
        <w:rPr>
          <w:lang w:val="es-ES_tradnl"/>
        </w:rPr>
        <w:t>Examinar el papel que incumbe a las administraciones, los Miembros de Sector, otras organizaciones expertas en la materia y demás interesados en la gestión colaborativa de las catástrofes y la utilización eficaz de las telecomunicaciones/TIC, en particular en las esferas de planificación de la resiliencia de las TIC para la gestión de desastre, entre otras cosas:</w:t>
      </w:r>
    </w:p>
    <w:p w14:paraId="2C3307C1" w14:textId="77777777" w:rsidR="00A04DF2" w:rsidRPr="001819F4" w:rsidRDefault="00A04DF2" w:rsidP="00A04DF2">
      <w:pPr>
        <w:pStyle w:val="enumlev1"/>
        <w:rPr>
          <w:lang w:val="es-ES_tradnl"/>
        </w:rPr>
      </w:pPr>
      <w:r w:rsidRPr="00A22B4F">
        <w:rPr>
          <w:lang w:val="es-ES_tradnl"/>
        </w:rPr>
        <w:t>–</w:t>
      </w:r>
      <w:r>
        <w:rPr>
          <w:lang w:val="es-ES_tradnl"/>
        </w:rPr>
        <w:tab/>
      </w:r>
      <w:r w:rsidRPr="001819F4">
        <w:rPr>
          <w:lang w:val="es-ES_tradnl"/>
        </w:rPr>
        <w:t>Garantizando un diseño adecuado de la infraestructura para que sea resiliente ante cualquier posible interrupción de la conectividad (dimensión de diseño proactivo)</w:t>
      </w:r>
      <w:r>
        <w:rPr>
          <w:lang w:val="es-ES_tradnl"/>
        </w:rPr>
        <w:t>.</w:t>
      </w:r>
    </w:p>
    <w:p w14:paraId="3CBD360E" w14:textId="77777777" w:rsidR="00A04DF2" w:rsidRPr="001819F4" w:rsidRDefault="00A04DF2" w:rsidP="00A04DF2">
      <w:pPr>
        <w:pStyle w:val="enumlev1"/>
        <w:rPr>
          <w:lang w:val="es-ES_tradnl"/>
        </w:rPr>
      </w:pPr>
      <w:r w:rsidRPr="00A22B4F">
        <w:rPr>
          <w:lang w:val="es-ES_tradnl"/>
        </w:rPr>
        <w:t>–</w:t>
      </w:r>
      <w:r>
        <w:rPr>
          <w:lang w:val="es-ES_tradnl"/>
        </w:rPr>
        <w:tab/>
      </w:r>
      <w:r w:rsidRPr="001819F4">
        <w:rPr>
          <w:lang w:val="es-ES_tradnl"/>
        </w:rPr>
        <w:t>Cómo gestionar el restablecimiento de la conectividad debido a un mal funcionamiento o fallo de la red (aspecto operativo reactivo)</w:t>
      </w:r>
      <w:r>
        <w:rPr>
          <w:lang w:val="es-ES_tradnl"/>
        </w:rPr>
        <w:t>.</w:t>
      </w:r>
    </w:p>
    <w:p w14:paraId="41CF80BE" w14:textId="77777777" w:rsidR="00A04DF2" w:rsidRPr="001819F4" w:rsidRDefault="00A04DF2" w:rsidP="00A04DF2">
      <w:pPr>
        <w:pStyle w:val="enumlev1"/>
        <w:rPr>
          <w:lang w:val="es-ES_tradnl"/>
        </w:rPr>
      </w:pPr>
      <w:r w:rsidRPr="00A22B4F">
        <w:rPr>
          <w:lang w:val="es-ES_tradnl"/>
        </w:rPr>
        <w:t>–</w:t>
      </w:r>
      <w:r>
        <w:rPr>
          <w:lang w:val="es-ES_tradnl"/>
        </w:rPr>
        <w:tab/>
      </w:r>
      <w:r w:rsidRPr="001819F4">
        <w:rPr>
          <w:lang w:val="es-ES_tradnl"/>
        </w:rPr>
        <w:t>Considerar medidas para proteger los dispositivos y terminales que pueden ser una parte vulnerable en muchas aplicaciones.</w:t>
      </w:r>
    </w:p>
    <w:p w14:paraId="508AC1B4" w14:textId="77777777" w:rsidR="00A04DF2" w:rsidRPr="001819F4" w:rsidRDefault="00A04DF2" w:rsidP="00A04DF2">
      <w:pPr>
        <w:rPr>
          <w:rFonts w:eastAsia="Aptos" w:cstheme="minorBidi"/>
          <w:kern w:val="2"/>
          <w:lang w:val="es-ES_tradnl"/>
          <w14:ligatures w14:val="standardContextual"/>
        </w:rPr>
      </w:pPr>
      <w:r>
        <w:rPr>
          <w:lang w:val="es-ES_tradnl"/>
        </w:rPr>
        <w:t>4</w:t>
      </w:r>
      <w:r>
        <w:rPr>
          <w:lang w:val="es-ES_tradnl"/>
        </w:rPr>
        <w:tab/>
      </w:r>
      <w:r w:rsidRPr="001819F4">
        <w:rPr>
          <w:lang w:val="es-ES_tradnl"/>
        </w:rPr>
        <w:t xml:space="preserve">Examinar el entorno propicio para crear redes de comunicaciones más resilientes y para desplegar sistemas de comunicaciones de emergencia y las más modernas tecnologías de comunicación digital, lo que incluye, aunque no únicamente, la preparación, respuesta y recuperación de en caso de emergencia. </w:t>
      </w:r>
    </w:p>
    <w:p w14:paraId="7635F792" w14:textId="77777777" w:rsidR="00A04DF2" w:rsidRPr="001819F4" w:rsidRDefault="00A04DF2" w:rsidP="00A04DF2">
      <w:pPr>
        <w:rPr>
          <w:rFonts w:eastAsia="Aptos" w:cstheme="minorBidi"/>
          <w:kern w:val="2"/>
          <w:lang w:val="es-ES_tradnl"/>
          <w14:ligatures w14:val="standardContextual"/>
        </w:rPr>
      </w:pPr>
      <w:r>
        <w:rPr>
          <w:lang w:val="es-ES_tradnl"/>
        </w:rPr>
        <w:t>5</w:t>
      </w:r>
      <w:r>
        <w:rPr>
          <w:lang w:val="es-ES_tradnl"/>
        </w:rPr>
        <w:tab/>
      </w:r>
      <w:r w:rsidRPr="001819F4">
        <w:rPr>
          <w:lang w:val="es-ES_tradnl"/>
        </w:rPr>
        <w:t xml:space="preserve">Recopilar estudios de caso y prácticas idóneas para garantizar la inclusión de grupos vulnerables como las personas con discapacidad, las mujeres y los jóvenes en la utilización de las TIC para la gestión de desastres y la reducción de riesgos. </w:t>
      </w:r>
    </w:p>
    <w:p w14:paraId="0F678C6F" w14:textId="77777777" w:rsidR="00A04DF2" w:rsidRPr="001819F4" w:rsidRDefault="00A04DF2" w:rsidP="00A04DF2">
      <w:pPr>
        <w:rPr>
          <w:rFonts w:eastAsia="Aptos" w:cstheme="minorBidi"/>
          <w:kern w:val="2"/>
          <w:lang w:val="es-ES_tradnl"/>
          <w14:ligatures w14:val="standardContextual"/>
        </w:rPr>
      </w:pPr>
      <w:r>
        <w:rPr>
          <w:lang w:val="es-ES_tradnl"/>
        </w:rPr>
        <w:t>6</w:t>
      </w:r>
      <w:r>
        <w:rPr>
          <w:lang w:val="es-ES_tradnl"/>
        </w:rPr>
        <w:tab/>
      </w:r>
      <w:r w:rsidRPr="001819F4">
        <w:rPr>
          <w:lang w:val="es-ES_tradnl"/>
        </w:rPr>
        <w:t>Recopilar experiencias nacionales y estudios de caso y elaborar prácticas idóneas para la preparación, ejecución y perfeccionamiento de planes o marcos nacionales y regionales de gestión de las catástrofes relativos a la utilización de las telecomunicaciones/TIC en las catástrofes y/o las situaciones de emergencia, incluidas las pandemias, en coordinación con los trabajos de los programas de la BDT pertinentes, las Oficinas Regionales y otros asociados. Esto incluiría una guía para que los países desarrollen procedimientos operativos normalizados, y para la elaboración y aplicación de planes nacionales de telecomunicaciones de emergencia, así como de sistemas de alerta temprana.</w:t>
      </w:r>
    </w:p>
    <w:p w14:paraId="1283437C" w14:textId="77777777" w:rsidR="00A04DF2" w:rsidRPr="001819F4" w:rsidRDefault="00A04DF2" w:rsidP="00A04DF2">
      <w:pPr>
        <w:rPr>
          <w:rFonts w:eastAsia="Aptos" w:cstheme="minorBidi"/>
          <w:kern w:val="2"/>
          <w:lang w:val="es-ES_tradnl"/>
          <w14:ligatures w14:val="standardContextual"/>
        </w:rPr>
      </w:pPr>
      <w:bookmarkStart w:id="38" w:name="_Hlk198132629"/>
      <w:r>
        <w:rPr>
          <w:lang w:val="es-ES_tradnl"/>
        </w:rPr>
        <w:t>7</w:t>
      </w:r>
      <w:r>
        <w:rPr>
          <w:lang w:val="es-ES_tradnl"/>
        </w:rPr>
        <w:tab/>
      </w:r>
      <w:r w:rsidRPr="001819F4">
        <w:rPr>
          <w:lang w:val="es-ES_tradnl"/>
        </w:rPr>
        <w:t>Trabajar en la determinación de los lugares de riesgo para las catástrofes utilizando las tecnologías de las TIC y compartiendo información con la población.</w:t>
      </w:r>
    </w:p>
    <w:bookmarkEnd w:id="38"/>
    <w:p w14:paraId="50C0B89F" w14:textId="77777777" w:rsidR="00A04DF2" w:rsidRDefault="00A04DF2" w:rsidP="00A04DF2">
      <w:pPr>
        <w:tabs>
          <w:tab w:val="clear" w:pos="794"/>
          <w:tab w:val="clear" w:pos="1191"/>
          <w:tab w:val="clear" w:pos="1588"/>
          <w:tab w:val="clear" w:pos="1985"/>
        </w:tabs>
        <w:overflowPunct/>
        <w:autoSpaceDE/>
        <w:autoSpaceDN/>
        <w:adjustRightInd/>
        <w:spacing w:before="0"/>
        <w:textAlignment w:val="auto"/>
        <w:rPr>
          <w:lang w:val="es-ES_tradnl"/>
        </w:rPr>
      </w:pPr>
      <w:r>
        <w:rPr>
          <w:lang w:val="es-ES_tradnl"/>
        </w:rPr>
        <w:br w:type="page"/>
      </w:r>
    </w:p>
    <w:p w14:paraId="0C779E08" w14:textId="77777777" w:rsidR="00A04DF2" w:rsidRPr="001819F4" w:rsidRDefault="00A04DF2" w:rsidP="00A04DF2">
      <w:pPr>
        <w:rPr>
          <w:rFonts w:eastAsia="Aptos" w:cstheme="minorBidi"/>
          <w:kern w:val="2"/>
          <w:lang w:val="es-ES_tradnl"/>
          <w14:ligatures w14:val="standardContextual"/>
        </w:rPr>
      </w:pPr>
      <w:r w:rsidRPr="001819F4">
        <w:rPr>
          <w:lang w:val="es-ES_tradnl"/>
        </w:rPr>
        <w:lastRenderedPageBreak/>
        <w:t xml:space="preserve">Nuevos </w:t>
      </w:r>
      <w:r w:rsidRPr="00D9585B">
        <w:rPr>
          <w:lang w:val="es-ES"/>
        </w:rPr>
        <w:t>temas</w:t>
      </w:r>
      <w:r w:rsidRPr="001819F4">
        <w:rPr>
          <w:lang w:val="es-ES_tradnl"/>
        </w:rPr>
        <w:t>:</w:t>
      </w:r>
    </w:p>
    <w:p w14:paraId="63F64C74" w14:textId="77777777" w:rsidR="00A04DF2" w:rsidRPr="006C1B27" w:rsidRDefault="00A04DF2" w:rsidP="00A04DF2">
      <w:pPr>
        <w:rPr>
          <w:rFonts w:eastAsia="Aptos"/>
          <w:lang w:val="es-ES"/>
        </w:rPr>
      </w:pPr>
      <w:r>
        <w:rPr>
          <w:lang w:val="es-ES_tradnl"/>
        </w:rPr>
        <w:t>1</w:t>
      </w:r>
      <w:r>
        <w:rPr>
          <w:lang w:val="es-ES_tradnl"/>
        </w:rPr>
        <w:tab/>
      </w:r>
      <w:r w:rsidRPr="006C1B27">
        <w:rPr>
          <w:lang w:val="es-ES"/>
        </w:rPr>
        <w:t xml:space="preserve">Respuesta y gestión de cortes o indisponibilidad de infraestructuras de emergencia para garantizar la resiliencia y continuidad de la red </w:t>
      </w:r>
    </w:p>
    <w:p w14:paraId="7ADFFD24" w14:textId="77777777" w:rsidR="00A04DF2" w:rsidRPr="00283672" w:rsidRDefault="00A04DF2" w:rsidP="00A04DF2">
      <w:pPr>
        <w:rPr>
          <w:rFonts w:eastAsia="Aptos"/>
          <w:lang w:val="es-ES"/>
        </w:rPr>
      </w:pPr>
      <w:r w:rsidRPr="00283672">
        <w:rPr>
          <w:lang w:val="es-ES"/>
        </w:rPr>
        <w:t>2</w:t>
      </w:r>
      <w:r w:rsidRPr="00283672">
        <w:rPr>
          <w:lang w:val="es-ES"/>
        </w:rPr>
        <w:tab/>
        <w:t>Utilización de herramientas de IA para la predicción, reducción y gestión del riesgo de catástrofes (en colaboración con la Cuestión D/2).</w:t>
      </w:r>
    </w:p>
    <w:p w14:paraId="7DFF49B5" w14:textId="77777777" w:rsidR="00A04DF2" w:rsidRDefault="00A04DF2" w:rsidP="00A04DF2">
      <w:pPr>
        <w:pStyle w:val="QuestionNo"/>
        <w:rPr>
          <w:lang w:val="es-ES_tradnl"/>
        </w:rPr>
      </w:pPr>
      <w:r w:rsidRPr="001819F4">
        <w:rPr>
          <w:lang w:val="es-ES_tradnl"/>
        </w:rPr>
        <w:t>CUESTIÓN 4/1</w:t>
      </w:r>
    </w:p>
    <w:p w14:paraId="45BB99DE" w14:textId="77777777" w:rsidR="00A04DF2" w:rsidRPr="001819F4" w:rsidRDefault="00A04DF2" w:rsidP="00A04DF2">
      <w:pPr>
        <w:pStyle w:val="Questiontitle"/>
        <w:rPr>
          <w:rFonts w:eastAsia="Aptos" w:cstheme="minorBidi"/>
          <w:kern w:val="2"/>
          <w:lang w:val="es-ES_tradnl"/>
          <w14:ligatures w14:val="standardContextual"/>
        </w:rPr>
      </w:pPr>
      <w:r w:rsidRPr="001819F4">
        <w:rPr>
          <w:lang w:val="es-ES_tradnl"/>
        </w:rPr>
        <w:t xml:space="preserve">Aspectos económicos de las telecomunicaciones/TIC nacionales </w:t>
      </w:r>
    </w:p>
    <w:p w14:paraId="490AAFE4" w14:textId="77777777" w:rsidR="00A04DF2" w:rsidRPr="001819F4" w:rsidRDefault="00A04DF2" w:rsidP="00A04DF2">
      <w:pPr>
        <w:pStyle w:val="Heading1"/>
        <w:rPr>
          <w:rFonts w:eastAsia="Aptos" w:cstheme="minorBidi"/>
          <w:kern w:val="2"/>
          <w:lang w:val="es-ES_tradnl"/>
          <w14:ligatures w14:val="standardContextual"/>
        </w:rPr>
      </w:pPr>
      <w:r w:rsidRPr="001819F4">
        <w:rPr>
          <w:lang w:val="es-ES_tradnl"/>
        </w:rPr>
        <w:t>1</w:t>
      </w:r>
      <w:r>
        <w:rPr>
          <w:lang w:val="es-ES_tradnl"/>
        </w:rPr>
        <w:tab/>
      </w:r>
      <w:r w:rsidRPr="001819F4">
        <w:rPr>
          <w:lang w:val="es-ES_tradnl"/>
        </w:rPr>
        <w:t xml:space="preserve">Exposición de la situación o del problema </w:t>
      </w:r>
    </w:p>
    <w:p w14:paraId="3A0A9A4A" w14:textId="77777777" w:rsidR="00A04DF2" w:rsidRPr="00D9585B" w:rsidRDefault="00A04DF2" w:rsidP="00A04DF2">
      <w:pPr>
        <w:rPr>
          <w:rFonts w:eastAsia="Aptos"/>
          <w:lang w:val="es-ES"/>
        </w:rPr>
      </w:pPr>
      <w:r w:rsidRPr="001819F4">
        <w:rPr>
          <w:lang w:val="es-ES_tradnl"/>
        </w:rPr>
        <w:t xml:space="preserve">Como se reconoce en los Informes Finales de la Cuestión de Estudio 4/1, sigue siendo importante considerar los </w:t>
      </w:r>
      <w:r w:rsidRPr="00D9585B">
        <w:rPr>
          <w:lang w:val="es-ES"/>
        </w:rPr>
        <w:t xml:space="preserve">aspectos económicos en las telecomunicaciones/TIC nacionales. </w:t>
      </w:r>
    </w:p>
    <w:p w14:paraId="43CDE844" w14:textId="77777777" w:rsidR="00A04DF2" w:rsidRPr="00D9585B" w:rsidRDefault="00A04DF2" w:rsidP="00A04DF2">
      <w:pPr>
        <w:rPr>
          <w:rFonts w:eastAsia="Aptos"/>
          <w:lang w:val="es-ES"/>
        </w:rPr>
      </w:pPr>
      <w:r w:rsidRPr="006C1B27">
        <w:rPr>
          <w:lang w:val="es-ES"/>
        </w:rPr>
        <w:t xml:space="preserve">Con la aparición de nuevos tipos de empresas de telecomunicaciones, como los operadores de redes móviles virtuales (ORMV), empresas de torres, operadores de capacidad al por mayor y la convergencia de las empresas de telecomunicaciones tradicionales, resulta indispensable que los reguladores y operadores adapten sus políticas y estrategias a esta nueva realidad digital. </w:t>
      </w:r>
      <w:r w:rsidRPr="00D9585B">
        <w:rPr>
          <w:lang w:val="es-ES"/>
        </w:rPr>
        <w:t xml:space="preserve">Las autoridades nacionales de reglamentación (ANR) deberían tener por objetivo primordial hallar autorizaciones y modelos de costes y de negocio adecuados y utilizar las herramientas políticas y reglamentarias pertinentes, como la compartición de infraestructura, para ayudar a que sus mercados nacionales prosperasen, como se indica de las contribuciones recibidas tanto de las ANR como de los responsables políticos y los operadores, examinadas por el Grupo de Relator para la Cuestión 4/1 durante el último periodo de estudios. </w:t>
      </w:r>
    </w:p>
    <w:p w14:paraId="4D545B4F" w14:textId="77777777" w:rsidR="00A04DF2" w:rsidRPr="00D9585B" w:rsidRDefault="00A04DF2" w:rsidP="00A04DF2">
      <w:pPr>
        <w:rPr>
          <w:rFonts w:eastAsia="Aptos"/>
          <w:lang w:val="es-ES"/>
        </w:rPr>
      </w:pPr>
      <w:r w:rsidRPr="00D9585B">
        <w:rPr>
          <w:lang w:val="es-ES"/>
        </w:rPr>
        <w:t xml:space="preserve">Por otra parte, las nuevas fuerzas mundiales que promueven una mayor digitalización, así como las emergencias económicas nacionales y mundiales, como las derivadas de la pandemia de COVID-19, están planteando muchos nuevos asuntos importantes que habrán de ser objeto de estudio e investigación adicionales en el próximo periodo de estudios del UIT-D. </w:t>
      </w:r>
    </w:p>
    <w:p w14:paraId="383FC10A" w14:textId="77777777" w:rsidR="00A04DF2" w:rsidRPr="00D9585B" w:rsidRDefault="00A04DF2" w:rsidP="00A04DF2">
      <w:pPr>
        <w:rPr>
          <w:rFonts w:eastAsia="Aptos"/>
          <w:lang w:val="es-ES"/>
        </w:rPr>
      </w:pPr>
      <w:r w:rsidRPr="00D9585B">
        <w:rPr>
          <w:lang w:val="es-ES"/>
        </w:rPr>
        <w:t xml:space="preserve">La ampliación del número de temas obedece a la necesidad de repartir el trabajo de los Informes Finales de la Cuestión 4/1. Así pues, los temas cuyo estudio se prosigue tras el periodo de estudios 2018-2021 del UIT-D se podrían examinar en el marco de la revisión del Informe Final de la Cuestión 4/1 para ese periodo de estudios, mientras que los temas nuevos se podrían abordar en el nuevo Informe Final de la Cuestión 4/1 para el periodo de estudios 2022-2025. </w:t>
      </w:r>
    </w:p>
    <w:p w14:paraId="00DD6039" w14:textId="77777777" w:rsidR="00A04DF2" w:rsidRPr="001819F4" w:rsidRDefault="00A04DF2" w:rsidP="00A04DF2">
      <w:pPr>
        <w:rPr>
          <w:rFonts w:eastAsia="Aptos" w:cstheme="minorBidi"/>
          <w:kern w:val="2"/>
          <w:lang w:val="es-ES_tradnl"/>
          <w14:ligatures w14:val="standardContextual"/>
        </w:rPr>
      </w:pPr>
      <w:r w:rsidRPr="00D9585B">
        <w:rPr>
          <w:lang w:val="es-ES"/>
        </w:rPr>
        <w:t>De este modo, el programa de trabajo que se indica a continuación para orientar las actividades relacionadas con la Cuestión</w:t>
      </w:r>
      <w:r w:rsidRPr="001819F4">
        <w:rPr>
          <w:lang w:val="es-ES_tradnl"/>
        </w:rPr>
        <w:t xml:space="preserve"> 4/1 debería abarcar:</w:t>
      </w:r>
    </w:p>
    <w:p w14:paraId="47C1180A" w14:textId="77777777" w:rsidR="00A04DF2" w:rsidRPr="001819F4" w:rsidRDefault="00A04DF2" w:rsidP="00A04DF2">
      <w:pPr>
        <w:pStyle w:val="enumlev1"/>
        <w:rPr>
          <w:rFonts w:eastAsia="Aptos" w:cstheme="minorBidi"/>
          <w:kern w:val="2"/>
          <w:lang w:val="es-ES_tradnl"/>
          <w14:ligatures w14:val="standardContextual"/>
        </w:rPr>
      </w:pPr>
      <w:r w:rsidRPr="00A22B4F">
        <w:rPr>
          <w:lang w:val="es-ES_tradnl"/>
        </w:rPr>
        <w:t>–</w:t>
      </w:r>
      <w:r>
        <w:rPr>
          <w:lang w:val="es-ES_tradnl"/>
        </w:rPr>
        <w:tab/>
      </w:r>
      <w:r w:rsidRPr="001819F4">
        <w:rPr>
          <w:lang w:val="es-ES_tradnl"/>
        </w:rPr>
        <w:t xml:space="preserve">identificación de colaboradores activos; </w:t>
      </w:r>
    </w:p>
    <w:p w14:paraId="55C40D5A" w14:textId="77777777" w:rsidR="00A04DF2" w:rsidRPr="001819F4" w:rsidRDefault="00A04DF2" w:rsidP="00A04DF2">
      <w:pPr>
        <w:pStyle w:val="enumlev1"/>
        <w:rPr>
          <w:rFonts w:eastAsia="Aptos" w:cstheme="minorBidi"/>
          <w:kern w:val="2"/>
          <w:lang w:val="es-ES_tradnl"/>
          <w14:ligatures w14:val="standardContextual"/>
        </w:rPr>
      </w:pPr>
      <w:r w:rsidRPr="00A22B4F">
        <w:rPr>
          <w:lang w:val="es-ES_tradnl"/>
        </w:rPr>
        <w:t>–</w:t>
      </w:r>
      <w:r>
        <w:rPr>
          <w:lang w:val="es-ES_tradnl"/>
        </w:rPr>
        <w:tab/>
      </w:r>
      <w:r w:rsidRPr="001819F4">
        <w:rPr>
          <w:lang w:val="es-ES_tradnl"/>
        </w:rPr>
        <w:t>resultados esperados de la Cuestión;</w:t>
      </w:r>
    </w:p>
    <w:p w14:paraId="5D411334" w14:textId="77777777" w:rsidR="00A04DF2" w:rsidRPr="001819F4" w:rsidRDefault="00A04DF2" w:rsidP="00A04DF2">
      <w:pPr>
        <w:pStyle w:val="enumlev1"/>
        <w:rPr>
          <w:rFonts w:eastAsia="Aptos" w:cstheme="minorBidi"/>
          <w:kern w:val="2"/>
          <w:lang w:val="es-ES_tradnl"/>
          <w14:ligatures w14:val="standardContextual"/>
        </w:rPr>
      </w:pPr>
      <w:r w:rsidRPr="00A22B4F">
        <w:rPr>
          <w:lang w:val="es-ES_tradnl"/>
        </w:rPr>
        <w:t>–</w:t>
      </w:r>
      <w:r>
        <w:rPr>
          <w:lang w:val="es-ES_tradnl"/>
        </w:rPr>
        <w:tab/>
      </w:r>
      <w:r w:rsidRPr="001819F4">
        <w:rPr>
          <w:lang w:val="es-ES_tradnl"/>
        </w:rPr>
        <w:t>métodos de trabajo; y</w:t>
      </w:r>
    </w:p>
    <w:p w14:paraId="248AA61B" w14:textId="77777777" w:rsidR="00A04DF2" w:rsidRPr="001819F4" w:rsidRDefault="00A04DF2" w:rsidP="00A04DF2">
      <w:pPr>
        <w:pStyle w:val="enumlev1"/>
        <w:rPr>
          <w:rFonts w:eastAsia="Aptos" w:cstheme="minorBidi"/>
          <w:kern w:val="2"/>
          <w:lang w:val="es-ES_tradnl"/>
          <w14:ligatures w14:val="standardContextual"/>
        </w:rPr>
      </w:pPr>
      <w:r w:rsidRPr="00A22B4F">
        <w:rPr>
          <w:lang w:val="es-ES_tradnl"/>
        </w:rPr>
        <w:t>–</w:t>
      </w:r>
      <w:r>
        <w:rPr>
          <w:lang w:val="es-ES_tradnl"/>
        </w:rPr>
        <w:tab/>
      </w:r>
      <w:r w:rsidRPr="001819F4">
        <w:rPr>
          <w:lang w:val="es-ES_tradnl"/>
        </w:rPr>
        <w:t xml:space="preserve">programa de trabajo. </w:t>
      </w:r>
    </w:p>
    <w:p w14:paraId="76132914" w14:textId="77777777" w:rsidR="00A04DF2" w:rsidRPr="001819F4" w:rsidRDefault="00A04DF2" w:rsidP="00A04DF2">
      <w:pPr>
        <w:pStyle w:val="Heading1"/>
        <w:rPr>
          <w:rFonts w:eastAsia="Aptos" w:cstheme="minorBidi"/>
          <w:kern w:val="2"/>
          <w:lang w:val="es-ES_tradnl"/>
          <w14:ligatures w14:val="standardContextual"/>
        </w:rPr>
      </w:pPr>
      <w:r w:rsidRPr="001819F4">
        <w:rPr>
          <w:lang w:val="es-ES_tradnl"/>
        </w:rPr>
        <w:lastRenderedPageBreak/>
        <w:t>2</w:t>
      </w:r>
      <w:r>
        <w:rPr>
          <w:lang w:val="es-ES_tradnl"/>
        </w:rPr>
        <w:tab/>
      </w:r>
      <w:r w:rsidRPr="001819F4">
        <w:rPr>
          <w:lang w:val="es-ES_tradnl"/>
        </w:rPr>
        <w:t xml:space="preserve">Cuestión o asunto que ha de estudiarse </w:t>
      </w:r>
    </w:p>
    <w:p w14:paraId="581BEB36" w14:textId="77777777" w:rsidR="00A04DF2" w:rsidRPr="001819F4" w:rsidRDefault="00A04DF2" w:rsidP="00A04DF2">
      <w:pPr>
        <w:pStyle w:val="Heading2"/>
        <w:rPr>
          <w:rFonts w:eastAsia="Aptos" w:cstheme="minorBidi"/>
          <w:kern w:val="2"/>
          <w:lang w:val="es-ES_tradnl"/>
          <w14:ligatures w14:val="standardContextual"/>
        </w:rPr>
      </w:pPr>
      <w:r w:rsidRPr="001819F4">
        <w:rPr>
          <w:lang w:val="es-ES_tradnl"/>
        </w:rPr>
        <w:t>2.1</w:t>
      </w:r>
      <w:r>
        <w:rPr>
          <w:lang w:val="es-ES_tradnl"/>
        </w:rPr>
        <w:tab/>
      </w:r>
      <w:r w:rsidRPr="001819F4">
        <w:rPr>
          <w:lang w:val="es-ES_tradnl"/>
        </w:rPr>
        <w:t>Continuar con los temas principales del periodo de estudios 2018-2021 del UIT-D</w:t>
      </w:r>
    </w:p>
    <w:p w14:paraId="421B55B4" w14:textId="77777777" w:rsidR="00A04DF2" w:rsidRPr="001819F4" w:rsidRDefault="00A04DF2" w:rsidP="00A04DF2">
      <w:pPr>
        <w:rPr>
          <w:rFonts w:eastAsia="Aptos" w:cstheme="minorBidi"/>
          <w:kern w:val="2"/>
          <w:lang w:val="es-ES_tradnl"/>
          <w14:ligatures w14:val="standardContextual"/>
        </w:rPr>
      </w:pPr>
      <w:r w:rsidRPr="001819F4">
        <w:rPr>
          <w:lang w:val="es-ES_tradnl"/>
        </w:rPr>
        <w:t xml:space="preserve">La Cuestión seguirá abordando los siguientes temas principales desde perspectivas nacionales en vistas de </w:t>
      </w:r>
      <w:r w:rsidRPr="00995D64">
        <w:rPr>
          <w:lang w:val="es-ES"/>
        </w:rPr>
        <w:t>una</w:t>
      </w:r>
      <w:r w:rsidRPr="001819F4">
        <w:rPr>
          <w:lang w:val="es-ES_tradnl"/>
        </w:rPr>
        <w:t xml:space="preserve"> posible revisión del Informe Final de la Cuestión 4/1 correspondiente al periodo de estudios 2018-2021 del UIT-D: </w:t>
      </w:r>
    </w:p>
    <w:p w14:paraId="2DB3A120" w14:textId="77777777" w:rsidR="00A04DF2" w:rsidRPr="001819F4" w:rsidRDefault="00A04DF2" w:rsidP="00A04DF2">
      <w:pPr>
        <w:pStyle w:val="enumlev1"/>
        <w:rPr>
          <w:rFonts w:cstheme="minorBidi"/>
          <w:lang w:val="es-ES_tradnl"/>
        </w:rPr>
      </w:pPr>
      <w:r>
        <w:rPr>
          <w:lang w:val="es-ES_tradnl"/>
        </w:rPr>
        <w:t>1</w:t>
      </w:r>
      <w:r>
        <w:rPr>
          <w:lang w:val="es-ES_tradnl"/>
        </w:rPr>
        <w:tab/>
      </w:r>
      <w:r w:rsidRPr="001819F4">
        <w:rPr>
          <w:lang w:val="es-ES_tradnl"/>
        </w:rPr>
        <w:t>Nuevos métodos de tarificación (o, en su caso, nuevos modelos) para los servicios prestados a través de las redes NGN, incluidos métodos de establecimiento de modelos de costos:</w:t>
      </w:r>
    </w:p>
    <w:p w14:paraId="5F390E15" w14:textId="77777777" w:rsidR="00A04DF2" w:rsidRPr="001819F4" w:rsidRDefault="00A04DF2" w:rsidP="00A04DF2">
      <w:pPr>
        <w:pStyle w:val="enumlev1"/>
        <w:rPr>
          <w:rFonts w:eastAsia="Aptos" w:cstheme="minorBidi"/>
          <w:kern w:val="2"/>
          <w:lang w:val="es-ES_tradnl"/>
          <w14:ligatures w14:val="standardContextual"/>
        </w:rPr>
      </w:pPr>
      <w:r>
        <w:rPr>
          <w:lang w:val="es-ES_tradnl"/>
        </w:rPr>
        <w:t>2</w:t>
      </w:r>
      <w:r>
        <w:rPr>
          <w:lang w:val="es-ES_tradnl"/>
        </w:rPr>
        <w:tab/>
      </w:r>
      <w:r w:rsidRPr="001819F4">
        <w:rPr>
          <w:lang w:val="es-ES_tradnl"/>
        </w:rPr>
        <w:t xml:space="preserve">Evolución de los precios y tarifas para el consumo e incidencia en la utilización de los servicios TIC, la innovación, la inversión y los ingresos de los operadores: </w:t>
      </w:r>
    </w:p>
    <w:p w14:paraId="2ADE2415" w14:textId="77777777" w:rsidR="00A04DF2" w:rsidRPr="001819F4" w:rsidRDefault="00A04DF2" w:rsidP="00A04DF2">
      <w:pPr>
        <w:pStyle w:val="enumlev1"/>
        <w:rPr>
          <w:rFonts w:eastAsia="Aptos" w:cstheme="minorBidi"/>
          <w:kern w:val="2"/>
          <w:lang w:val="es-ES_tradnl"/>
          <w14:ligatures w14:val="standardContextual"/>
        </w:rPr>
      </w:pPr>
      <w:r>
        <w:rPr>
          <w:lang w:val="es-ES_tradnl"/>
        </w:rPr>
        <w:t>3</w:t>
      </w:r>
      <w:r>
        <w:rPr>
          <w:lang w:val="es-ES_tradnl"/>
        </w:rPr>
        <w:tab/>
      </w:r>
      <w:r w:rsidRPr="001819F4">
        <w:rPr>
          <w:lang w:val="es-ES_tradnl"/>
        </w:rPr>
        <w:t>Tendencias en el desarrollo de los operadores móviles virtuales y su marco reglamentario.</w:t>
      </w:r>
    </w:p>
    <w:p w14:paraId="271AF50D" w14:textId="77777777" w:rsidR="00A04DF2" w:rsidRPr="001819F4" w:rsidRDefault="00A04DF2" w:rsidP="00A04DF2">
      <w:pPr>
        <w:pStyle w:val="Heading2"/>
        <w:rPr>
          <w:rFonts w:eastAsia="Aptos" w:cstheme="minorBidi"/>
          <w:kern w:val="2"/>
          <w:lang w:val="es-ES_tradnl"/>
          <w14:ligatures w14:val="standardContextual"/>
        </w:rPr>
      </w:pPr>
      <w:r w:rsidRPr="001819F4">
        <w:rPr>
          <w:lang w:val="es-ES_tradnl"/>
        </w:rPr>
        <w:t>2.2</w:t>
      </w:r>
      <w:r>
        <w:rPr>
          <w:lang w:val="es-ES_tradnl"/>
        </w:rPr>
        <w:tab/>
      </w:r>
      <w:r w:rsidRPr="001819F4">
        <w:rPr>
          <w:lang w:val="es-ES_tradnl"/>
        </w:rPr>
        <w:t>Continuar con los temas principales para el periodo de estudios 2022-2025 del UIT-D</w:t>
      </w:r>
    </w:p>
    <w:p w14:paraId="5037A8C5" w14:textId="77777777" w:rsidR="00A04DF2" w:rsidRPr="001819F4" w:rsidRDefault="00A04DF2" w:rsidP="00A04DF2">
      <w:pPr>
        <w:rPr>
          <w:rFonts w:cstheme="minorBidi"/>
          <w:lang w:val="es-ES_tradnl"/>
        </w:rPr>
      </w:pPr>
      <w:r w:rsidRPr="001819F4">
        <w:rPr>
          <w:lang w:val="es-ES_tradnl"/>
        </w:rPr>
        <w:t>La Cuestión seguirá abordando los siguientes temas principales desde perspectivas nacionales en vistas de una posible revisión de la Cuestión 4/1 correspondiente al periodo de estudios 2022</w:t>
      </w:r>
      <w:r>
        <w:rPr>
          <w:lang w:val="es-ES_tradnl"/>
        </w:rPr>
        <w:noBreakHyphen/>
      </w:r>
      <w:r w:rsidRPr="001819F4">
        <w:rPr>
          <w:lang w:val="es-ES_tradnl"/>
        </w:rPr>
        <w:t>2025 del UIT-D:</w:t>
      </w:r>
    </w:p>
    <w:p w14:paraId="02527E7D" w14:textId="77777777" w:rsidR="00A04DF2" w:rsidRPr="005B36B5" w:rsidRDefault="00A04DF2" w:rsidP="00A04DF2">
      <w:pPr>
        <w:pStyle w:val="enumlev1"/>
        <w:rPr>
          <w:rFonts w:eastAsia="Aptos" w:cstheme="minorBidi"/>
          <w:kern w:val="2"/>
          <w:lang w:val="es-ES_tradnl"/>
          <w14:ligatures w14:val="standardContextual"/>
        </w:rPr>
      </w:pPr>
      <w:r>
        <w:rPr>
          <w:lang w:val="es-ES_tradnl"/>
        </w:rPr>
        <w:t>1)</w:t>
      </w:r>
      <w:r>
        <w:rPr>
          <w:lang w:val="es-ES_tradnl"/>
        </w:rPr>
        <w:tab/>
      </w:r>
      <w:r w:rsidRPr="001819F4">
        <w:rPr>
          <w:lang w:val="es-ES_tradnl"/>
        </w:rPr>
        <w:t xml:space="preserve">Efectos de las nuevas TIC convergentes en las estrategias de modelización tradicionalmente aplicadas por las partes interesadas que participan en la cadena de valor de las redes de TIC (en particular, operadores de telecomunicaciones, proveedores de </w:t>
      </w:r>
      <w:r w:rsidRPr="005B36B5">
        <w:rPr>
          <w:lang w:val="es-ES_tradnl"/>
        </w:rPr>
        <w:t xml:space="preserve">servicios superpuestos y proveedores de servicios digitales) (con la posible colaboración de la Cuestión 2/2): </w:t>
      </w:r>
    </w:p>
    <w:p w14:paraId="31CB2A9F" w14:textId="77777777" w:rsidR="00A04DF2" w:rsidRPr="005B36B5" w:rsidRDefault="00A04DF2" w:rsidP="00A04DF2">
      <w:pPr>
        <w:pStyle w:val="enumlev2"/>
        <w:tabs>
          <w:tab w:val="clear" w:pos="794"/>
          <w:tab w:val="clear" w:pos="1191"/>
          <w:tab w:val="clear" w:pos="1588"/>
          <w:tab w:val="clear" w:pos="1985"/>
        </w:tabs>
        <w:ind w:left="1418" w:hanging="567"/>
        <w:rPr>
          <w:rFonts w:eastAsia="Aptos" w:cstheme="minorBidi"/>
          <w:kern w:val="2"/>
          <w:lang w:val="es-ES_tradnl"/>
          <w14:ligatures w14:val="standardContextual"/>
        </w:rPr>
      </w:pPr>
      <w:r w:rsidRPr="005B36B5">
        <w:rPr>
          <w:lang w:val="es-ES_tradnl"/>
        </w:rPr>
        <w:t>1.1)</w:t>
      </w:r>
      <w:r w:rsidRPr="005B36B5">
        <w:rPr>
          <w:lang w:val="es-ES_tradnl"/>
        </w:rPr>
        <w:tab/>
        <w:t xml:space="preserve">El papel y el diseño de las nuevas tarifas de redes/servicios convergentes (por ejemplo, ofertas grupales). </w:t>
      </w:r>
    </w:p>
    <w:p w14:paraId="5A2EEBDB" w14:textId="77777777" w:rsidR="00A04DF2" w:rsidRPr="001819F4" w:rsidRDefault="00A04DF2" w:rsidP="00A04DF2">
      <w:pPr>
        <w:pStyle w:val="enumlev2"/>
        <w:tabs>
          <w:tab w:val="clear" w:pos="794"/>
          <w:tab w:val="clear" w:pos="1191"/>
          <w:tab w:val="clear" w:pos="1588"/>
          <w:tab w:val="clear" w:pos="1985"/>
        </w:tabs>
        <w:ind w:left="1418" w:hanging="567"/>
        <w:rPr>
          <w:rFonts w:eastAsia="Aptos" w:cstheme="minorBidi"/>
          <w:kern w:val="2"/>
          <w:lang w:val="es-ES_tradnl"/>
          <w14:ligatures w14:val="standardContextual"/>
        </w:rPr>
      </w:pPr>
      <w:r w:rsidRPr="005B36B5">
        <w:rPr>
          <w:lang w:val="es-ES_tradnl"/>
        </w:rPr>
        <w:t>1.2)</w:t>
      </w:r>
      <w:r w:rsidRPr="005B36B5">
        <w:rPr>
          <w:lang w:val="es-ES_tradnl"/>
        </w:rPr>
        <w:tab/>
        <w:t>El papel y el efecto de las empresas de torres en su entrada en el mercado de telecomunicaciones</w:t>
      </w:r>
      <w:r w:rsidRPr="001819F4">
        <w:rPr>
          <w:lang w:val="es-ES_tradnl"/>
        </w:rPr>
        <w:t>/TIC convergentes.</w:t>
      </w:r>
    </w:p>
    <w:p w14:paraId="551B1616" w14:textId="77777777" w:rsidR="00A04DF2" w:rsidRPr="001819F4" w:rsidRDefault="00A04DF2" w:rsidP="00A04DF2">
      <w:pPr>
        <w:pStyle w:val="enumlev1"/>
        <w:rPr>
          <w:rFonts w:eastAsia="Aptos" w:cstheme="minorBidi"/>
          <w:kern w:val="2"/>
          <w:lang w:val="es-ES_tradnl"/>
          <w14:ligatures w14:val="standardContextual"/>
        </w:rPr>
      </w:pPr>
      <w:r>
        <w:rPr>
          <w:lang w:val="es-ES_tradnl"/>
        </w:rPr>
        <w:t>2)</w:t>
      </w:r>
      <w:r>
        <w:rPr>
          <w:lang w:val="es-ES_tradnl"/>
        </w:rPr>
        <w:tab/>
      </w:r>
      <w:r w:rsidRPr="001819F4">
        <w:rPr>
          <w:lang w:val="es-ES_tradnl"/>
        </w:rPr>
        <w:t xml:space="preserve">El papel y el efecto para la consecución de los Objetivos de Desarrollo Sostenible de las Naciones Unidas (ODS) de los nuevos tipos y modalidades de inversión en las telecomunicaciones/TIC, en particular, mediante la realización de inversiones mixtas y la financiación colectiva. </w:t>
      </w:r>
    </w:p>
    <w:p w14:paraId="0B2B288E" w14:textId="77777777" w:rsidR="00A04DF2" w:rsidRPr="001819F4" w:rsidRDefault="00A04DF2" w:rsidP="00A04DF2">
      <w:pPr>
        <w:pStyle w:val="enumlev1"/>
        <w:rPr>
          <w:rFonts w:eastAsia="Aptos" w:cstheme="minorBidi"/>
          <w:kern w:val="2"/>
          <w:lang w:val="es-ES_tradnl"/>
          <w14:ligatures w14:val="standardContextual"/>
        </w:rPr>
      </w:pPr>
      <w:r>
        <w:rPr>
          <w:lang w:val="es-ES_tradnl"/>
        </w:rPr>
        <w:t>3)</w:t>
      </w:r>
      <w:r>
        <w:rPr>
          <w:lang w:val="es-ES_tradnl"/>
        </w:rPr>
        <w:tab/>
      </w:r>
      <w:r w:rsidRPr="001819F4">
        <w:rPr>
          <w:lang w:val="es-ES_tradnl"/>
        </w:rPr>
        <w:t>Análisis de los estudios de caso sobre la contribución económica de las tecnologías y servicios de telecomunicaciones/TIC digitales a la economía nacional y el PIB del país.</w:t>
      </w:r>
    </w:p>
    <w:p w14:paraId="11BF8BE8" w14:textId="77777777" w:rsidR="00A04DF2" w:rsidRPr="001819F4" w:rsidRDefault="00A04DF2" w:rsidP="00A04DF2">
      <w:pPr>
        <w:pStyle w:val="enumlev1"/>
        <w:rPr>
          <w:rFonts w:eastAsia="Aptos" w:cstheme="minorBidi"/>
          <w:kern w:val="2"/>
          <w:lang w:val="es-ES_tradnl"/>
          <w14:ligatures w14:val="standardContextual"/>
        </w:rPr>
      </w:pPr>
      <w:r>
        <w:rPr>
          <w:lang w:val="es-ES_tradnl"/>
        </w:rPr>
        <w:t>4)</w:t>
      </w:r>
      <w:r>
        <w:rPr>
          <w:lang w:val="es-ES_tradnl"/>
        </w:rPr>
        <w:tab/>
      </w:r>
      <w:r w:rsidRPr="001819F4">
        <w:rPr>
          <w:lang w:val="es-ES_tradnl"/>
        </w:rPr>
        <w:t>Incentivos económicos y mecanismos para reducir la brecha digital y proporcionar un acceso asequible.</w:t>
      </w:r>
    </w:p>
    <w:p w14:paraId="7C66FF38" w14:textId="77777777" w:rsidR="00A04DF2" w:rsidRPr="001819F4" w:rsidRDefault="00A04DF2" w:rsidP="00A04DF2">
      <w:pPr>
        <w:pStyle w:val="enumlev1"/>
        <w:rPr>
          <w:rFonts w:eastAsia="Aptos" w:cstheme="minorBidi"/>
          <w:kern w:val="2"/>
          <w:lang w:val="es-ES_tradnl"/>
          <w14:ligatures w14:val="standardContextual"/>
        </w:rPr>
      </w:pPr>
      <w:r>
        <w:rPr>
          <w:lang w:val="es-ES_tradnl"/>
        </w:rPr>
        <w:t>5)</w:t>
      </w:r>
      <w:r>
        <w:rPr>
          <w:lang w:val="es-ES_tradnl"/>
        </w:rPr>
        <w:tab/>
      </w:r>
      <w:r w:rsidRPr="001819F4">
        <w:rPr>
          <w:lang w:val="es-ES_tradnl"/>
        </w:rPr>
        <w:t xml:space="preserve">Análisis de las repercusiones económicas de la pandemia de COVID-19 </w:t>
      </w:r>
    </w:p>
    <w:p w14:paraId="165A138A" w14:textId="77777777" w:rsidR="00A04DF2" w:rsidRPr="001819F4" w:rsidRDefault="00A04DF2" w:rsidP="00A04DF2">
      <w:pPr>
        <w:pStyle w:val="enumlev1"/>
        <w:rPr>
          <w:rFonts w:eastAsia="Aptos" w:cstheme="minorBidi"/>
          <w:kern w:val="2"/>
          <w:lang w:val="es-ES_tradnl"/>
          <w14:ligatures w14:val="standardContextual"/>
        </w:rPr>
      </w:pPr>
      <w:r>
        <w:rPr>
          <w:lang w:val="es-ES_tradnl"/>
        </w:rPr>
        <w:t>6)</w:t>
      </w:r>
      <w:r>
        <w:rPr>
          <w:lang w:val="es-ES_tradnl"/>
        </w:rPr>
        <w:tab/>
      </w:r>
      <w:r w:rsidRPr="001819F4">
        <w:rPr>
          <w:lang w:val="es-ES_tradnl"/>
        </w:rPr>
        <w:t xml:space="preserve">Repercusiones/aspectos económicos de la transformación digital. </w:t>
      </w:r>
    </w:p>
    <w:p w14:paraId="18AC42EB" w14:textId="77777777" w:rsidR="00A04DF2" w:rsidRPr="001819F4" w:rsidRDefault="00A04DF2" w:rsidP="00A04DF2">
      <w:pPr>
        <w:pStyle w:val="enumlev1"/>
        <w:rPr>
          <w:rFonts w:eastAsia="Aptos" w:cstheme="minorBidi"/>
          <w:kern w:val="2"/>
          <w:lang w:val="es-ES_tradnl"/>
          <w14:ligatures w14:val="standardContextual"/>
        </w:rPr>
      </w:pPr>
      <w:r>
        <w:rPr>
          <w:lang w:val="es-ES_tradnl"/>
        </w:rPr>
        <w:t>7)</w:t>
      </w:r>
      <w:r>
        <w:rPr>
          <w:lang w:val="es-ES_tradnl"/>
        </w:rPr>
        <w:tab/>
      </w:r>
      <w:r w:rsidRPr="001819F4">
        <w:rPr>
          <w:lang w:val="es-ES_tradnl"/>
        </w:rPr>
        <w:t xml:space="preserve">Valor económico del uso de los datos personales (posiblemente en colaboración de las Cuestiones B/1 y 3/2). </w:t>
      </w:r>
    </w:p>
    <w:p w14:paraId="238FE42D" w14:textId="77777777" w:rsidR="00A04DF2" w:rsidRPr="001819F4" w:rsidRDefault="00A04DF2" w:rsidP="00A04DF2">
      <w:pPr>
        <w:pStyle w:val="enumlev1"/>
        <w:rPr>
          <w:rFonts w:eastAsia="Aptos" w:cstheme="minorBidi"/>
          <w:kern w:val="2"/>
          <w:lang w:val="es-ES_tradnl"/>
          <w14:ligatures w14:val="standardContextual"/>
        </w:rPr>
      </w:pPr>
      <w:r>
        <w:rPr>
          <w:lang w:val="es-ES_tradnl"/>
        </w:rPr>
        <w:t>8)</w:t>
      </w:r>
      <w:r>
        <w:rPr>
          <w:lang w:val="es-ES_tradnl"/>
        </w:rPr>
        <w:tab/>
      </w:r>
      <w:r w:rsidRPr="001819F4">
        <w:rPr>
          <w:lang w:val="es-ES_tradnl"/>
        </w:rPr>
        <w:t>Repercusiones en la innovación, la productividad y otros aspectos económicos nacionales de la inclusión financiera digital.</w:t>
      </w:r>
    </w:p>
    <w:p w14:paraId="62314BAB" w14:textId="77777777" w:rsidR="00A04DF2" w:rsidRPr="001819F4" w:rsidRDefault="00A04DF2" w:rsidP="00A04DF2">
      <w:pPr>
        <w:pStyle w:val="Heading2"/>
        <w:rPr>
          <w:rFonts w:eastAsia="Aptos" w:cstheme="minorBidi"/>
          <w:kern w:val="2"/>
          <w:lang w:val="es-ES_tradnl"/>
          <w14:ligatures w14:val="standardContextual"/>
        </w:rPr>
      </w:pPr>
      <w:r w:rsidRPr="001819F4">
        <w:rPr>
          <w:lang w:val="es-ES_tradnl"/>
        </w:rPr>
        <w:lastRenderedPageBreak/>
        <w:t>2.3</w:t>
      </w:r>
      <w:r>
        <w:rPr>
          <w:lang w:val="es-ES_tradnl"/>
        </w:rPr>
        <w:tab/>
      </w:r>
      <w:r w:rsidRPr="001819F4">
        <w:rPr>
          <w:lang w:val="es-ES_tradnl"/>
        </w:rPr>
        <w:t xml:space="preserve">Nuevos temas para el próximo periodo de estudios </w:t>
      </w:r>
    </w:p>
    <w:p w14:paraId="1830B73D" w14:textId="77777777" w:rsidR="00A04DF2" w:rsidRPr="001819F4" w:rsidRDefault="00A04DF2" w:rsidP="00A04DF2">
      <w:pPr>
        <w:rPr>
          <w:rFonts w:eastAsia="Aptos" w:cstheme="minorBidi"/>
          <w:kern w:val="2"/>
          <w:lang w:val="es-ES_tradnl"/>
          <w14:ligatures w14:val="standardContextual"/>
        </w:rPr>
      </w:pPr>
      <w:r w:rsidRPr="001819F4">
        <w:rPr>
          <w:lang w:val="es-ES_tradnl"/>
        </w:rPr>
        <w:t>Se estudiarán en el marco de esta Cuestión los siguientes temas principales desde la perspectiva nacional con miras a la preparación del nuevo Informe Final de la Cuestión 4/1 u otros productos para el periodo de estudios 2026-2029 del UIT-D:</w:t>
      </w:r>
    </w:p>
    <w:p w14:paraId="1FF26A04" w14:textId="77777777" w:rsidR="00A04DF2" w:rsidRPr="001819F4" w:rsidRDefault="00A04DF2" w:rsidP="00A04DF2">
      <w:pPr>
        <w:pStyle w:val="enumlev1"/>
        <w:rPr>
          <w:rFonts w:cstheme="minorBidi"/>
          <w:color w:val="242424"/>
          <w:lang w:val="es-ES_tradnl"/>
        </w:rPr>
      </w:pPr>
      <w:r>
        <w:rPr>
          <w:lang w:val="es-ES_tradnl"/>
        </w:rPr>
        <w:t>1)</w:t>
      </w:r>
      <w:r>
        <w:rPr>
          <w:lang w:val="es-ES_tradnl"/>
        </w:rPr>
        <w:tab/>
      </w:r>
      <w:r w:rsidRPr="001819F4">
        <w:rPr>
          <w:lang w:val="es-ES_tradnl"/>
        </w:rPr>
        <w:t>Divisas digitales</w:t>
      </w:r>
      <w:r>
        <w:rPr>
          <w:lang w:val="es-ES_tradnl"/>
        </w:rPr>
        <w:t>.</w:t>
      </w:r>
    </w:p>
    <w:p w14:paraId="31D9E08A" w14:textId="77777777" w:rsidR="00A04DF2" w:rsidRPr="001819F4" w:rsidRDefault="00A04DF2" w:rsidP="00A04DF2">
      <w:pPr>
        <w:pStyle w:val="enumlev1"/>
        <w:rPr>
          <w:rFonts w:cstheme="minorBidi"/>
          <w:color w:val="242424"/>
          <w:lang w:val="es-ES_tradnl"/>
        </w:rPr>
      </w:pPr>
      <w:r>
        <w:rPr>
          <w:lang w:val="es-ES_tradnl"/>
        </w:rPr>
        <w:t>2)</w:t>
      </w:r>
      <w:r>
        <w:rPr>
          <w:lang w:val="es-ES_tradnl"/>
        </w:rPr>
        <w:tab/>
      </w:r>
      <w:r w:rsidRPr="001819F4">
        <w:rPr>
          <w:lang w:val="es-ES_tradnl"/>
        </w:rPr>
        <w:t>Economía de la IA y el metaverso (en colaboración con la Cuestión D/2)</w:t>
      </w:r>
      <w:r>
        <w:rPr>
          <w:lang w:val="es-ES_tradnl"/>
        </w:rPr>
        <w:t>.</w:t>
      </w:r>
    </w:p>
    <w:p w14:paraId="0E87D3BF" w14:textId="77777777" w:rsidR="00A04DF2" w:rsidRPr="001819F4" w:rsidRDefault="00A04DF2" w:rsidP="00A04DF2">
      <w:pPr>
        <w:pStyle w:val="enumlev1"/>
        <w:rPr>
          <w:rFonts w:cstheme="minorBidi"/>
          <w:color w:val="242424"/>
          <w:lang w:val="es-ES_tradnl"/>
        </w:rPr>
      </w:pPr>
      <w:r>
        <w:rPr>
          <w:lang w:val="es-ES_tradnl"/>
        </w:rPr>
        <w:t>3)</w:t>
      </w:r>
      <w:r>
        <w:rPr>
          <w:lang w:val="es-ES_tradnl"/>
        </w:rPr>
        <w:tab/>
      </w:r>
      <w:r w:rsidRPr="001819F4">
        <w:rPr>
          <w:lang w:val="es-ES_tradnl"/>
        </w:rPr>
        <w:t>Impuestos digitales</w:t>
      </w:r>
      <w:r>
        <w:rPr>
          <w:lang w:val="es-ES_tradnl"/>
        </w:rPr>
        <w:t>.</w:t>
      </w:r>
    </w:p>
    <w:p w14:paraId="0BD2F00D" w14:textId="77777777" w:rsidR="00A04DF2" w:rsidRPr="001819F4" w:rsidRDefault="00A04DF2" w:rsidP="00A04DF2">
      <w:pPr>
        <w:pStyle w:val="enumlev1"/>
        <w:rPr>
          <w:rFonts w:cstheme="minorBidi"/>
          <w:color w:val="242424"/>
          <w:lang w:val="es-ES_tradnl"/>
        </w:rPr>
      </w:pPr>
      <w:r>
        <w:rPr>
          <w:lang w:val="es-ES_tradnl"/>
        </w:rPr>
        <w:t>4)</w:t>
      </w:r>
      <w:r>
        <w:rPr>
          <w:lang w:val="es-ES_tradnl"/>
        </w:rPr>
        <w:tab/>
      </w:r>
      <w:r w:rsidRPr="001819F4">
        <w:rPr>
          <w:lang w:val="es-ES_tradnl"/>
        </w:rPr>
        <w:t>Aspectos nacionales de la economía del espectro</w:t>
      </w:r>
      <w:r>
        <w:rPr>
          <w:lang w:val="es-ES_tradnl"/>
        </w:rPr>
        <w:t>.</w:t>
      </w:r>
    </w:p>
    <w:p w14:paraId="364FD5E6" w14:textId="77777777" w:rsidR="00A04DF2" w:rsidRPr="001819F4" w:rsidRDefault="00A04DF2" w:rsidP="00A04DF2">
      <w:pPr>
        <w:pStyle w:val="enumlev1"/>
        <w:rPr>
          <w:rFonts w:cstheme="minorBidi"/>
          <w:color w:val="242424"/>
          <w:lang w:val="es-ES_tradnl"/>
        </w:rPr>
      </w:pPr>
      <w:r>
        <w:rPr>
          <w:lang w:val="es-ES_tradnl"/>
        </w:rPr>
        <w:t>5)</w:t>
      </w:r>
      <w:r>
        <w:rPr>
          <w:lang w:val="es-ES_tradnl"/>
        </w:rPr>
        <w:tab/>
      </w:r>
      <w:r w:rsidRPr="001819F4">
        <w:rPr>
          <w:lang w:val="es-ES_tradnl"/>
        </w:rPr>
        <w:t>Rendimiento social de la inversión</w:t>
      </w:r>
      <w:r>
        <w:rPr>
          <w:lang w:val="es-ES_tradnl"/>
        </w:rPr>
        <w:t>.</w:t>
      </w:r>
    </w:p>
    <w:p w14:paraId="2FCDB4B8" w14:textId="77777777" w:rsidR="00A04DF2" w:rsidRPr="001819F4" w:rsidRDefault="00A04DF2" w:rsidP="00A04DF2">
      <w:pPr>
        <w:pStyle w:val="enumlev1"/>
        <w:rPr>
          <w:rFonts w:cstheme="minorBidi"/>
          <w:lang w:val="es-ES_tradnl"/>
        </w:rPr>
      </w:pPr>
      <w:r>
        <w:rPr>
          <w:lang w:val="es-ES_tradnl"/>
        </w:rPr>
        <w:t>6)</w:t>
      </w:r>
      <w:r>
        <w:rPr>
          <w:lang w:val="es-ES_tradnl"/>
        </w:rPr>
        <w:tab/>
      </w:r>
      <w:r w:rsidRPr="001819F4">
        <w:rPr>
          <w:lang w:val="es-ES_tradnl"/>
        </w:rPr>
        <w:t>Catalogación/intercambio de experiencias nacionales y prácticas idóneas en materia de recopilación de datos y medición de la asequibilidad de los dispositivos de telecomunicaciones/TIC para el usuario final, prestando especial atención al desglose por género y geografía (en colaboración con la Cuestión C/2)</w:t>
      </w:r>
      <w:r>
        <w:rPr>
          <w:lang w:val="es-ES_tradnl"/>
        </w:rPr>
        <w:t>.</w:t>
      </w:r>
    </w:p>
    <w:p w14:paraId="019ABA5C" w14:textId="77777777" w:rsidR="00A04DF2" w:rsidRDefault="00A04DF2" w:rsidP="00A04DF2">
      <w:pPr>
        <w:pStyle w:val="QuestionNo"/>
        <w:rPr>
          <w:lang w:val="es-ES_tradnl"/>
        </w:rPr>
      </w:pPr>
      <w:r w:rsidRPr="001819F4">
        <w:rPr>
          <w:lang w:val="es-ES_tradnl"/>
        </w:rPr>
        <w:t>CUESTIÓN B/1</w:t>
      </w:r>
    </w:p>
    <w:p w14:paraId="27EC01C9" w14:textId="77777777" w:rsidR="00A04DF2" w:rsidRPr="001819F4" w:rsidRDefault="00A04DF2" w:rsidP="00A04DF2">
      <w:pPr>
        <w:pStyle w:val="Questiontitle"/>
        <w:rPr>
          <w:rFonts w:cstheme="minorBidi"/>
          <w:lang w:val="es-ES_tradnl"/>
        </w:rPr>
      </w:pPr>
      <w:r w:rsidRPr="001819F4">
        <w:rPr>
          <w:lang w:val="es-ES_tradnl"/>
        </w:rPr>
        <w:t xml:space="preserve">Protección del consumidor y accesibilidad universal y efectiva </w:t>
      </w:r>
    </w:p>
    <w:p w14:paraId="240D55DD" w14:textId="77777777" w:rsidR="00A04DF2" w:rsidRPr="001819F4" w:rsidRDefault="00A04DF2" w:rsidP="00A04DF2">
      <w:pPr>
        <w:pStyle w:val="Heading1"/>
        <w:rPr>
          <w:rFonts w:eastAsia="Aptos" w:cstheme="minorBidi"/>
          <w:kern w:val="2"/>
          <w:lang w:val="es-ES_tradnl"/>
          <w14:ligatures w14:val="standardContextual"/>
        </w:rPr>
      </w:pPr>
      <w:r w:rsidRPr="001819F4">
        <w:rPr>
          <w:lang w:val="es-ES_tradnl"/>
        </w:rPr>
        <w:t>1</w:t>
      </w:r>
      <w:r>
        <w:rPr>
          <w:lang w:val="es-ES_tradnl"/>
        </w:rPr>
        <w:tab/>
      </w:r>
      <w:r w:rsidRPr="001819F4">
        <w:rPr>
          <w:lang w:val="es-ES_tradnl"/>
        </w:rPr>
        <w:t xml:space="preserve">Exposición de la situación o del problema </w:t>
      </w:r>
    </w:p>
    <w:p w14:paraId="2EA3B619" w14:textId="77777777" w:rsidR="00A04DF2" w:rsidRPr="001819F4" w:rsidRDefault="00A04DF2" w:rsidP="00A04DF2">
      <w:pPr>
        <w:rPr>
          <w:rFonts w:cstheme="minorBidi"/>
          <w:lang w:val="es-ES_tradnl"/>
        </w:rPr>
      </w:pPr>
      <w:r w:rsidRPr="001819F4">
        <w:rPr>
          <w:lang w:val="es-ES_tradnl"/>
        </w:rPr>
        <w:t>1.1</w:t>
      </w:r>
      <w:r>
        <w:rPr>
          <w:lang w:val="es-ES_tradnl"/>
        </w:rPr>
        <w:tab/>
      </w:r>
      <w:r w:rsidRPr="001819F4">
        <w:rPr>
          <w:lang w:val="es-ES_tradnl"/>
        </w:rPr>
        <w:t>Las tecnologías emergentes de las telecomunicaciones y las TIC han propiciado un cambio de paradigma en la forma en que las personas viven, trabajan e interactúan, lo que ha generado nuevas oportunidades de participación digital, empoderamiento, crecimiento socioeconómico y mejores experiencias de los consumidores. El desarrollo de las tecnologías de la inteligencia artificial (IA) y sus múltiples casos de uso promete ser un catalizador para que las telecomunicaciones/TIC contribuyan a la conectividad digital universal sostenible y al logro de los ODS de las Naciones Unidas. Los países en desarrollo, en particular, se beneficiarán de la transformación digital.</w:t>
      </w:r>
    </w:p>
    <w:p w14:paraId="598D9EC1" w14:textId="77777777" w:rsidR="00A04DF2" w:rsidRPr="001819F4" w:rsidRDefault="00A04DF2" w:rsidP="00A04DF2">
      <w:pPr>
        <w:rPr>
          <w:rFonts w:cstheme="minorBidi"/>
          <w:lang w:val="es-ES_tradnl"/>
        </w:rPr>
      </w:pPr>
      <w:r w:rsidRPr="001819F4">
        <w:rPr>
          <w:lang w:val="es-ES_tradnl"/>
        </w:rPr>
        <w:t>1.2</w:t>
      </w:r>
      <w:r>
        <w:rPr>
          <w:lang w:val="es-ES_tradnl"/>
        </w:rPr>
        <w:tab/>
      </w:r>
      <w:r w:rsidRPr="001819F4">
        <w:rPr>
          <w:lang w:val="es-ES_tradnl"/>
        </w:rPr>
        <w:t xml:space="preserve">Con todo, estas nuevas oportunidades vienen acompañadas de nuevos desafíos. Entre ellos figuran el de fomentar y mantener la confianza de los consumidores en los servicios digitales a pesar de la posibilidad de que se produzcan daños en línea, incluso cuando estos se deban a un uso indebido de los datos personales. En vista de la creciente sofisticación de la información errónea, la desinformación y las estafas en línea que se realizan a través las telecomunicaciones/TIC, la protección de los consumidores requiere un enfoque renovado y más holístico y colaborativo que el actual. </w:t>
      </w:r>
    </w:p>
    <w:p w14:paraId="2910471E" w14:textId="77777777" w:rsidR="00A04DF2" w:rsidRPr="001819F4" w:rsidRDefault="00A04DF2" w:rsidP="00A04DF2">
      <w:pPr>
        <w:rPr>
          <w:rFonts w:cstheme="minorBidi"/>
          <w:lang w:val="es-ES_tradnl"/>
        </w:rPr>
      </w:pPr>
      <w:r w:rsidRPr="001819F4">
        <w:rPr>
          <w:lang w:val="es-ES_tradnl"/>
        </w:rPr>
        <w:t>1.3</w:t>
      </w:r>
      <w:r>
        <w:rPr>
          <w:lang w:val="es-ES_tradnl"/>
        </w:rPr>
        <w:tab/>
      </w:r>
      <w:r w:rsidRPr="001819F4">
        <w:rPr>
          <w:lang w:val="es-ES_tradnl"/>
        </w:rPr>
        <w:t>La revolución digital ha hecho que el mundo entero cobre conciencia de los derechos de los consumidores, lo que hace que la información, la sensibilización y estos derechos sean sumamente pertinentes para la misión de la UIT. Por un lado, la transformación digital ha creado nuevos tipos de derechos y, por otro, está influyendo en la naturaleza y la aplicación de los derechos tradicionales de los consumidores que giran en torno al precio, la calidad y la seguridad. Esta interacción es compleja y evoluciona constantemente con los avances tecnológicos mundiales y transfronterizos, lo que requiere una cooperación y colaboración internacionales constantes.</w:t>
      </w:r>
    </w:p>
    <w:p w14:paraId="70850264" w14:textId="77777777" w:rsidR="00A04DF2" w:rsidRPr="001819F4" w:rsidRDefault="00A04DF2" w:rsidP="00A04DF2">
      <w:pPr>
        <w:rPr>
          <w:rFonts w:cstheme="minorBidi"/>
          <w:lang w:val="es-ES_tradnl"/>
        </w:rPr>
      </w:pPr>
      <w:r w:rsidRPr="001819F4">
        <w:rPr>
          <w:lang w:val="es-ES_tradnl"/>
        </w:rPr>
        <w:t>1.4</w:t>
      </w:r>
      <w:r>
        <w:rPr>
          <w:lang w:val="es-ES_tradnl"/>
        </w:rPr>
        <w:tab/>
      </w:r>
      <w:r w:rsidRPr="001819F4">
        <w:rPr>
          <w:lang w:val="es-ES_tradnl"/>
        </w:rPr>
        <w:t xml:space="preserve">Los reguladores de los países en desarrollo se enfrentan a la doble presión de garantizar el acceso universal, poner rápidamente en línea a las poblaciones no conectadas y proteger a los </w:t>
      </w:r>
      <w:r w:rsidRPr="001819F4">
        <w:rPr>
          <w:lang w:val="es-ES_tradnl"/>
        </w:rPr>
        <w:lastRenderedPageBreak/>
        <w:t>consumidores al tiempo que fomentan su confianza en las aplicaciones desplegadas para permitir la tan necesaria transformación digital. Al facilitar la comunicación de perspectivas, retos y soluciones en el marco de la Cuestión 6/1, los países en desarrollo se beneficiarán de las enseñanzas extraídas de la experiencia y las innovaciones reglamentarias del mundo desarrollado para avanzar hacia una conectividad efectiva minimizando al mismo tiempo los daños al consumidor. A su vez, las perspectivas de los países en desarrollo pueden servir de base para la transformación digital inclusiva y equitativa para todos.</w:t>
      </w:r>
    </w:p>
    <w:p w14:paraId="39B9B4E2" w14:textId="77777777" w:rsidR="00A04DF2" w:rsidRPr="001819F4" w:rsidRDefault="00A04DF2" w:rsidP="00A04DF2">
      <w:pPr>
        <w:rPr>
          <w:rFonts w:cstheme="minorBidi"/>
          <w:lang w:val="es-ES_tradnl"/>
        </w:rPr>
      </w:pPr>
      <w:r w:rsidRPr="001819F4">
        <w:rPr>
          <w:lang w:val="es-ES_tradnl"/>
        </w:rPr>
        <w:t>1.5</w:t>
      </w:r>
      <w:r>
        <w:rPr>
          <w:lang w:val="es-ES_tradnl"/>
        </w:rPr>
        <w:tab/>
      </w:r>
      <w:r w:rsidRPr="001819F4">
        <w:rPr>
          <w:lang w:val="es-ES_tradnl"/>
        </w:rPr>
        <w:t xml:space="preserve">La vulnerabilidad de los consumidores puede surgir cuando las personas se enfrentan a barreras o dificultades que limitan su capacidad para tomar decisiones con conocimiento de causa sobre el acceso seguro a las TIC. Estas vulnerabilidades pueden deberse a circunstancias personales, desigualdades sociales o factores sistémicos. También pueden ser el resultado de medidas insuficientes para empoderar a los consumidores, incluso a través de niveles adecuados de información y transparencia. Las vulnerabilidades de los consumidores pueden manifestarse como una desigualdad en el acceso a los servicios o como la dificultad para resolver controversias y hacer que estos se conviertan en víctimas de prácticas explotadoras. En cualquier caso, estas vulnerabilidades pueden poner en peligro los esfuerzos mundiales para lograr una transformación digital temprana y sostenida. </w:t>
      </w:r>
    </w:p>
    <w:p w14:paraId="245D1400" w14:textId="77777777" w:rsidR="00A04DF2" w:rsidRPr="001819F4" w:rsidRDefault="00A04DF2" w:rsidP="00A04DF2">
      <w:pPr>
        <w:rPr>
          <w:rFonts w:cstheme="minorBidi"/>
          <w:lang w:val="es-ES_tradnl"/>
        </w:rPr>
      </w:pPr>
      <w:r w:rsidRPr="001819F4">
        <w:rPr>
          <w:lang w:val="es-ES_tradnl"/>
        </w:rPr>
        <w:t>1.6</w:t>
      </w:r>
      <w:r>
        <w:rPr>
          <w:lang w:val="es-ES_tradnl"/>
        </w:rPr>
        <w:tab/>
      </w:r>
      <w:r w:rsidRPr="001819F4">
        <w:rPr>
          <w:lang w:val="es-ES_tradnl"/>
        </w:rPr>
        <w:t>Intentar resolver las vulnerabilidades de los consumidores y centrarse en la información, la sensibilización y sus derechos es fundamental para que todas las personas puedan ejercer su derecho a participar efectiva y significativamente en el mundo digital y beneficiarse de los avances tecnológicos. Así, garantizar una toma de decisiones con conocimiento de causa aumentando la concienciación y fomentando la transparencia y el respeto de los derechos e intereses de los consumidores son pilares fundamentales para fomentar la confianza y la sostenibilidad en las TIC en la era digital. Dada la naturaleza mundial y omnipresente de las telecomunicaciones/TIC, esto requiere cooperación entre múltiples partes interesadas, creación de capacidad transfronteriza y colaboración.</w:t>
      </w:r>
    </w:p>
    <w:p w14:paraId="21D50BEF" w14:textId="77777777" w:rsidR="00A04DF2" w:rsidRPr="001819F4" w:rsidRDefault="00A04DF2" w:rsidP="00A04DF2">
      <w:pPr>
        <w:rPr>
          <w:rFonts w:cstheme="minorBidi"/>
          <w:lang w:val="es-ES_tradnl"/>
        </w:rPr>
      </w:pPr>
      <w:r w:rsidRPr="001819F4">
        <w:rPr>
          <w:lang w:val="es-ES_tradnl"/>
        </w:rPr>
        <w:t>1.7</w:t>
      </w:r>
      <w:r>
        <w:rPr>
          <w:lang w:val="es-ES_tradnl"/>
        </w:rPr>
        <w:tab/>
      </w:r>
      <w:r w:rsidRPr="001819F4">
        <w:rPr>
          <w:lang w:val="es-ES_tradnl"/>
        </w:rPr>
        <w:t>Con el creciente despliegue de la IA en las TIC, pueden aparecer sin que se tenga constancia sesgos y discriminación ya que se representarán de forma desigual los diversos segmentos de la población a nivel mundial en los datos utilizados para entrenar la IA y en la gobernanza de esta, incluida la toma de decisiones en torno a su diseño y despliegue. Los consumidores de los países en desarrollo pueden ser especialmente vulnerables a este respecto, al igual que las poblaciones rurales, las personas con discapacidad y las mujeres. Por consiguiente, es importante hacer participar a los grupos marginados en las decisiones reglamentarias y de gobernanza. La Cuestión servirá de foro para promover un debate más participativo y debatir cómo fomentar una participación más amplia.</w:t>
      </w:r>
    </w:p>
    <w:p w14:paraId="053791B1" w14:textId="77777777" w:rsidR="00A04DF2" w:rsidRPr="001819F4" w:rsidRDefault="00A04DF2" w:rsidP="00A04DF2">
      <w:pPr>
        <w:rPr>
          <w:rFonts w:cstheme="minorBidi"/>
          <w:b/>
          <w:bCs/>
          <w:lang w:val="es-ES_tradnl"/>
        </w:rPr>
      </w:pPr>
      <w:r w:rsidRPr="001819F4">
        <w:rPr>
          <w:lang w:val="es-ES_tradnl"/>
        </w:rPr>
        <w:t>1.8</w:t>
      </w:r>
      <w:r>
        <w:rPr>
          <w:lang w:val="es-ES_tradnl"/>
        </w:rPr>
        <w:tab/>
      </w:r>
      <w:r w:rsidRPr="001819F4">
        <w:rPr>
          <w:lang w:val="es-ES_tradnl"/>
        </w:rPr>
        <w:t>Salvaguardar los datos personales significa informar a los consumidores de la necesidad de que sean conscientes y actúen con la debida diligencia al compartir su información en línea. También implica los incentivos reglamentarios adecuados para minimizar el uso indebido de datos personales. Unas medidas eficaces de protección de datos personales representan el compromiso de fortalecer la confianza del consumidor. Cuando las organizaciones son transparentes sobre las actividades de procesamiento de datos personales, los consumidores se sienten más seguros al compartir su información para el bien individual y social. La regulación y supervisión de la protección del consumidor requiere un enfoque renovado en el tratamiento cuidadoso de los datos personales y no perjudicar a los consumidores. Durante el periodo de estudios se fomentarán y compartirán las prácticas idóneas de la industria para gestionar la utilización, el almacenamiento, la transferencia del procesamiento, etc. de los datos personales.</w:t>
      </w:r>
    </w:p>
    <w:p w14:paraId="3FDCD9D0" w14:textId="77777777" w:rsidR="00A04DF2" w:rsidRPr="001819F4" w:rsidRDefault="00A04DF2" w:rsidP="00A04DF2">
      <w:pPr>
        <w:rPr>
          <w:rFonts w:cstheme="minorBidi"/>
          <w:lang w:val="es-ES_tradnl"/>
        </w:rPr>
      </w:pPr>
      <w:r w:rsidRPr="001819F4">
        <w:rPr>
          <w:lang w:val="es-ES_tradnl"/>
        </w:rPr>
        <w:lastRenderedPageBreak/>
        <w:t>1.9</w:t>
      </w:r>
      <w:r>
        <w:rPr>
          <w:lang w:val="es-ES_tradnl"/>
        </w:rPr>
        <w:tab/>
      </w:r>
      <w:r w:rsidRPr="001819F4">
        <w:rPr>
          <w:lang w:val="es-ES_tradnl"/>
        </w:rPr>
        <w:t xml:space="preserve">Los consumidores pueden tomar decisiones con conocimiento de causa accediendo a información clara, precisa y completa sobre las condiciones de los servicios de TIC y sus derechos y obligaciones. A medida que evolucione la tecnología, aumentará la necesidad de contar con protecciones sólidas y una comunicación clara entre las partes interesadas. </w:t>
      </w:r>
    </w:p>
    <w:p w14:paraId="169CE857" w14:textId="77777777" w:rsidR="00A04DF2" w:rsidRPr="001819F4" w:rsidRDefault="00A04DF2" w:rsidP="00A04DF2">
      <w:pPr>
        <w:rPr>
          <w:rFonts w:cstheme="minorBidi"/>
          <w:lang w:val="es-ES_tradnl"/>
        </w:rPr>
      </w:pPr>
      <w:r w:rsidRPr="001819F4">
        <w:rPr>
          <w:lang w:val="es-ES_tradnl"/>
        </w:rPr>
        <w:t xml:space="preserve">Como establece el Artículo 9 de la Convención de las Naciones Unidas sobre los Derechos de las Personas con Discapacidad (CDPD), los </w:t>
      </w:r>
      <w:proofErr w:type="gramStart"/>
      <w:r w:rsidRPr="001819F4">
        <w:rPr>
          <w:lang w:val="es-ES_tradnl"/>
        </w:rPr>
        <w:t>Estados Partes</w:t>
      </w:r>
      <w:proofErr w:type="gramEnd"/>
      <w:r w:rsidRPr="001819F4">
        <w:rPr>
          <w:lang w:val="es-ES_tradnl"/>
        </w:rPr>
        <w:t xml:space="preserve"> adoptarán medidas pertinentes para asegurar el acceso de las personas con discapacidad, en igualdad de condiciones con las demás, entre otras cosas, a la información y las comunicaciones, incluidos los sistemas y las tecnologías de la información y las comunicaciones.</w:t>
      </w:r>
    </w:p>
    <w:p w14:paraId="1C8A1B0A" w14:textId="77777777" w:rsidR="00A04DF2" w:rsidRPr="001819F4" w:rsidDel="00871D05" w:rsidRDefault="00A04DF2" w:rsidP="00A04DF2">
      <w:pPr>
        <w:rPr>
          <w:rFonts w:eastAsia="Aptos" w:cstheme="minorBidi"/>
          <w:kern w:val="2"/>
          <w:lang w:val="es-ES_tradnl"/>
          <w14:ligatures w14:val="standardContextual"/>
        </w:rPr>
      </w:pPr>
      <w:r w:rsidRPr="001819F4">
        <w:rPr>
          <w:lang w:val="es-ES_tradnl"/>
        </w:rPr>
        <w:t xml:space="preserve">En la Cumbre Mundial sobre la Sociedad de la Información (CMSI) se reconoció la necesidad de prestar una atención especial a las necesidades de las personas de edad avanzada y las personas con discapacidad. </w:t>
      </w:r>
    </w:p>
    <w:p w14:paraId="793C0268" w14:textId="77777777" w:rsidR="00A04DF2" w:rsidRPr="001819F4" w:rsidDel="00871D05" w:rsidRDefault="00A04DF2" w:rsidP="00A04DF2">
      <w:pPr>
        <w:rPr>
          <w:rFonts w:eastAsia="Aptos" w:cstheme="minorBidi"/>
          <w:kern w:val="2"/>
          <w:lang w:val="es-ES_tradnl"/>
          <w14:ligatures w14:val="standardContextual"/>
        </w:rPr>
      </w:pPr>
      <w:r w:rsidRPr="001819F4">
        <w:rPr>
          <w:lang w:val="es-ES_tradnl"/>
        </w:rPr>
        <w:t xml:space="preserve">En la Reunión de Alto Nivel de la Asamblea General de las Naciones Unidas (AGNU) sobre el examen general de la aplicación de los resultados de la CMSI se reconoció la necesidad de resolver las dificultades específicas que presentan las tecnologías de la información y las comunicaciones para los niños, jóvenes, las personas con discapacidad, las personas de edad avanzada, los pueblos indígenas, los refugiados y los desplazados internos, los migrantes y las comunidades remotas y rurales. </w:t>
      </w:r>
    </w:p>
    <w:p w14:paraId="0E353D54" w14:textId="77777777" w:rsidR="00A04DF2" w:rsidRPr="001819F4" w:rsidRDefault="00A04DF2" w:rsidP="00A04DF2">
      <w:pPr>
        <w:rPr>
          <w:rFonts w:cstheme="minorBidi"/>
          <w:lang w:val="es-ES_tradnl"/>
        </w:rPr>
      </w:pPr>
      <w:r w:rsidRPr="001819F4">
        <w:rPr>
          <w:lang w:val="es-ES_tradnl"/>
        </w:rPr>
        <w:t>La discapacidad, ya sea temporal, coyuntural o permanente, es algo que puede afectar a las personas en cualquier momento. El diseño que se realiza con y para las personas con discapacidad y necesidades específicas genera mayores beneficios para todos. La accesibilidad de las telecomunicaciones/TIC no solo es importante para las personas con discapacidad, sino que también beneficia a la creciente población de edad avanzada, a los migrantes que no hablan el idioma nativo y a las personas con bajo nivel de alfabetización.</w:t>
      </w:r>
    </w:p>
    <w:p w14:paraId="2B7E8893" w14:textId="77777777" w:rsidR="00A04DF2" w:rsidRPr="001819F4" w:rsidDel="00871D05" w:rsidRDefault="00A04DF2" w:rsidP="00A04DF2">
      <w:pPr>
        <w:rPr>
          <w:rFonts w:eastAsia="Aptos" w:cstheme="minorBidi"/>
          <w:kern w:val="2"/>
          <w:lang w:val="es-ES_tradnl"/>
          <w14:ligatures w14:val="standardContextual"/>
        </w:rPr>
      </w:pPr>
      <w:r w:rsidRPr="001819F4">
        <w:rPr>
          <w:lang w:val="es-ES_tradnl"/>
        </w:rPr>
        <w:t>La Organización Mundial de la Salud (OMS) estima que hay en el mundo mil millones de personas que padecen algún tipo de discapacidad. Según la OMS, cerca de 80</w:t>
      </w:r>
      <w:r>
        <w:rPr>
          <w:lang w:val="es-ES_tradnl"/>
        </w:rPr>
        <w:t> </w:t>
      </w:r>
      <w:r w:rsidRPr="001819F4">
        <w:rPr>
          <w:lang w:val="es-ES_tradnl"/>
        </w:rPr>
        <w:t xml:space="preserve">% de las personas con discapacidad viven en países de ingreso bajo. Existen diferentes formas y grados de discapacidad, tanto física como sensorial o mental. Asimismo, el aumento sobrevenido en la esperanza de vida hace que haya aumentado el número de personas de edad avanzada que ven reducidas sus capacidades. Así pues, es probable que la cantidad de personas con discapacidad siga aumentando. </w:t>
      </w:r>
    </w:p>
    <w:p w14:paraId="304A26B3" w14:textId="77777777" w:rsidR="00A04DF2" w:rsidRPr="001819F4" w:rsidRDefault="00A04DF2" w:rsidP="00A04DF2">
      <w:pPr>
        <w:rPr>
          <w:rFonts w:cstheme="minorBidi"/>
          <w:lang w:val="es-ES_tradnl"/>
        </w:rPr>
      </w:pPr>
      <w:r w:rsidRPr="001819F4">
        <w:rPr>
          <w:lang w:val="es-ES_tradnl"/>
        </w:rPr>
        <w:t>Para 2050, la generación de mayor edad será más numerosa que la población menor de 15</w:t>
      </w:r>
      <w:r>
        <w:rPr>
          <w:lang w:val="es-ES_tradnl"/>
        </w:rPr>
        <w:t> </w:t>
      </w:r>
      <w:r w:rsidRPr="001819F4">
        <w:rPr>
          <w:lang w:val="es-ES_tradnl"/>
        </w:rPr>
        <w:t>años. En solo diez años, el número de personas de edad superará los mil millones de personas, lo que supone un aumento de cerca de 200 millones de personas a lo largo del decenio. Hoy en día, dos de cada tres personas de 60 años o más viven en países en desarrollo. Para 2050, esta cifra aumentará a casi cuatro de cada cinco.</w:t>
      </w:r>
      <w:r w:rsidRPr="001819F4">
        <w:rPr>
          <w:rStyle w:val="FootnoteReference"/>
          <w:rFonts w:cstheme="minorHAnsi"/>
          <w:szCs w:val="18"/>
          <w:shd w:val="clear" w:color="auto" w:fill="FFFFFF"/>
          <w:lang w:val="es-ES_tradnl"/>
        </w:rPr>
        <w:footnoteReference w:id="13"/>
      </w:r>
      <w:r w:rsidRPr="001819F4">
        <w:rPr>
          <w:lang w:val="es-ES_tradnl"/>
        </w:rPr>
        <w:t xml:space="preserve"> Mientras que las personas mayores de 60</w:t>
      </w:r>
      <w:r>
        <w:rPr>
          <w:lang w:val="es-ES_tradnl"/>
        </w:rPr>
        <w:t> </w:t>
      </w:r>
      <w:r w:rsidRPr="001819F4">
        <w:rPr>
          <w:lang w:val="es-ES_tradnl"/>
        </w:rPr>
        <w:t>años representaban menos del 15</w:t>
      </w:r>
      <w:r>
        <w:rPr>
          <w:lang w:val="es-ES_tradnl"/>
        </w:rPr>
        <w:t> </w:t>
      </w:r>
      <w:r w:rsidRPr="001819F4">
        <w:rPr>
          <w:lang w:val="es-ES_tradnl"/>
        </w:rPr>
        <w:t>% de la población mundial en 2022, se estima que esta proporción alcanzará el 28</w:t>
      </w:r>
      <w:r>
        <w:rPr>
          <w:lang w:val="es-ES_tradnl"/>
        </w:rPr>
        <w:t> </w:t>
      </w:r>
      <w:r w:rsidRPr="001819F4">
        <w:rPr>
          <w:lang w:val="es-ES_tradnl"/>
        </w:rPr>
        <w:t>% a finales de siglo</w:t>
      </w:r>
      <w:r w:rsidRPr="001819F4">
        <w:rPr>
          <w:rStyle w:val="FootnoteReference"/>
          <w:rFonts w:cstheme="minorHAnsi"/>
          <w:szCs w:val="18"/>
          <w:lang w:val="es-ES_tradnl"/>
        </w:rPr>
        <w:footnoteReference w:id="14"/>
      </w:r>
      <w:r>
        <w:rPr>
          <w:lang w:val="es-ES_tradnl"/>
        </w:rPr>
        <w:t>.</w:t>
      </w:r>
    </w:p>
    <w:p w14:paraId="27BB7CD1" w14:textId="77777777" w:rsidR="00A04DF2" w:rsidRPr="001819F4" w:rsidRDefault="00A04DF2" w:rsidP="00A04DF2">
      <w:pPr>
        <w:rPr>
          <w:rFonts w:cstheme="minorBidi"/>
          <w:lang w:val="es-ES_tradnl"/>
        </w:rPr>
      </w:pPr>
      <w:r w:rsidRPr="001819F4">
        <w:rPr>
          <w:lang w:val="es-ES_tradnl"/>
        </w:rPr>
        <w:lastRenderedPageBreak/>
        <w:t xml:space="preserve">Según las World </w:t>
      </w:r>
      <w:proofErr w:type="spellStart"/>
      <w:r w:rsidRPr="001819F4">
        <w:rPr>
          <w:lang w:val="es-ES_tradnl"/>
        </w:rPr>
        <w:t>Population</w:t>
      </w:r>
      <w:proofErr w:type="spellEnd"/>
      <w:r w:rsidRPr="001819F4">
        <w:rPr>
          <w:lang w:val="es-ES_tradnl"/>
        </w:rPr>
        <w:t xml:space="preserve"> </w:t>
      </w:r>
      <w:proofErr w:type="spellStart"/>
      <w:r w:rsidRPr="001819F4">
        <w:rPr>
          <w:lang w:val="es-ES_tradnl"/>
        </w:rPr>
        <w:t>Prospects</w:t>
      </w:r>
      <w:proofErr w:type="spellEnd"/>
      <w:r w:rsidRPr="001819F4">
        <w:rPr>
          <w:lang w:val="es-ES_tradnl"/>
        </w:rPr>
        <w:t xml:space="preserve"> 2024 de las Naciones Unidas</w:t>
      </w:r>
      <w:r w:rsidRPr="00BD067A">
        <w:rPr>
          <w:rStyle w:val="FootnoteReference"/>
        </w:rPr>
        <w:footnoteReference w:id="15"/>
      </w:r>
      <w:r>
        <w:rPr>
          <w:lang w:val="es-ES_tradnl"/>
        </w:rPr>
        <w:t>,</w:t>
      </w:r>
      <w:r w:rsidRPr="001819F4">
        <w:rPr>
          <w:lang w:val="es-ES_tradnl"/>
        </w:rPr>
        <w:t xml:space="preserve"> a mediados de la década de 2030 se prevé que haya 265 millones de personas de 80 años o más, más que el número de lactantes (1 año o menos). Además, en la década de 2070, se prevé que el número de personas mayores de 65</w:t>
      </w:r>
      <w:r>
        <w:rPr>
          <w:lang w:val="es-ES_tradnl"/>
        </w:rPr>
        <w:t> </w:t>
      </w:r>
      <w:r w:rsidRPr="001819F4">
        <w:rPr>
          <w:lang w:val="es-ES_tradnl"/>
        </w:rPr>
        <w:t>años alcance los 2</w:t>
      </w:r>
      <w:r>
        <w:rPr>
          <w:lang w:val="es-ES_tradnl"/>
        </w:rPr>
        <w:t> </w:t>
      </w:r>
      <w:r w:rsidRPr="001819F4">
        <w:rPr>
          <w:lang w:val="es-ES_tradnl"/>
        </w:rPr>
        <w:t>200 millones, superando el número de niños (menores de 18</w:t>
      </w:r>
      <w:r>
        <w:rPr>
          <w:lang w:val="es-ES_tradnl"/>
        </w:rPr>
        <w:t> </w:t>
      </w:r>
      <w:r w:rsidRPr="001819F4">
        <w:rPr>
          <w:lang w:val="es-ES_tradnl"/>
        </w:rPr>
        <w:t>años).</w:t>
      </w:r>
    </w:p>
    <w:p w14:paraId="5EB024F5" w14:textId="77777777" w:rsidR="00A04DF2" w:rsidRPr="001819F4" w:rsidRDefault="00A04DF2" w:rsidP="00A04DF2">
      <w:pPr>
        <w:rPr>
          <w:rFonts w:eastAsia="Aptos" w:cstheme="minorBidi"/>
          <w:kern w:val="2"/>
          <w:lang w:val="es-ES_tradnl"/>
          <w14:ligatures w14:val="standardContextual"/>
        </w:rPr>
      </w:pPr>
      <w:r w:rsidRPr="001819F4">
        <w:rPr>
          <w:lang w:val="es-ES_tradnl"/>
        </w:rPr>
        <w:t>Teniendo en cuenta las tendencias mundiales tales como el envejecimiento de la población en un mundo cada vez más digital, el aumento previsto del número de personas con discapacidad, junto con las previsiones sobre migrantes y personas que se enfrentan a problemas de alfabetización, se subraya la importancia crítica de la accesibilidad a las TIC. Para empoderar a casi la mitad de la población mundial para que participe efectivamente en el ecosistema digital, será esencial lograr que las TIC sean universalmente accesibles.</w:t>
      </w:r>
    </w:p>
    <w:p w14:paraId="2686AC56" w14:textId="77777777" w:rsidR="00A04DF2" w:rsidRPr="001819F4" w:rsidDel="00871D05" w:rsidRDefault="00A04DF2" w:rsidP="00A04DF2">
      <w:pPr>
        <w:rPr>
          <w:rFonts w:eastAsia="Aptos" w:cstheme="minorBidi"/>
          <w:kern w:val="2"/>
          <w:lang w:val="es-ES_tradnl"/>
          <w14:ligatures w14:val="standardContextual"/>
        </w:rPr>
      </w:pPr>
      <w:r w:rsidRPr="001819F4">
        <w:rPr>
          <w:lang w:val="es-ES_tradnl"/>
        </w:rPr>
        <w:t>También es pertinente mencionar que el acceso a la banda ancha y su utilización dependen en gran medida de la alfabetización y la alfabetización en las TIC. La Organización de las Naciones Unidas para la Educación, la Ciencia y la Cultura (UNESCO) calcula que en todo el mundo 750</w:t>
      </w:r>
      <w:r>
        <w:rPr>
          <w:lang w:val="es-ES_tradnl"/>
        </w:rPr>
        <w:t> </w:t>
      </w:r>
      <w:r w:rsidRPr="001819F4">
        <w:rPr>
          <w:lang w:val="es-ES_tradnl"/>
        </w:rPr>
        <w:t>millones de personas de 15 años de edad o más son analfabetas, es decir, no saben leer ni escribir, y que dos tercios de estas son mujeres. Varios de los problemas a los que se enfrentan los grupos de personas con discapacidad y los grupos de personas analfabetas tienen soluciones comunes.</w:t>
      </w:r>
    </w:p>
    <w:p w14:paraId="178E3736" w14:textId="77777777" w:rsidR="00A04DF2" w:rsidRPr="001819F4" w:rsidDel="00871D05" w:rsidRDefault="00A04DF2" w:rsidP="00A04DF2">
      <w:pPr>
        <w:rPr>
          <w:rFonts w:eastAsia="Aptos" w:cstheme="minorBidi"/>
          <w:kern w:val="2"/>
          <w:lang w:val="es-ES_tradnl"/>
          <w14:ligatures w14:val="standardContextual"/>
        </w:rPr>
      </w:pPr>
      <w:r w:rsidRPr="001819F4">
        <w:rPr>
          <w:lang w:val="es-ES_tradnl"/>
        </w:rPr>
        <w:t xml:space="preserve">La pandemia de COVID-19 ha hecho que el tema de la inclusión digital y la accesibilidad de las telecomunicaciones/TIC ganen importancia en todo el mundo. Resulta indispensable generalizar la utilización de las TIC mediante la implementación de políticas, reglamentos y estrategias de comunicación (incluso en materia de educación, empleo y sanidad) destinados al desarrollo socioeconómico de toda la población, incluidas las personas con discapacidad y las personas con necesidades especiales. Los principios de la accesibilidad deben implementarse desde la fase de diseño de las aplicaciones y servicios de TIC para cerrar la brecha digital. </w:t>
      </w:r>
    </w:p>
    <w:p w14:paraId="45E8CF89" w14:textId="77777777" w:rsidR="00A04DF2" w:rsidRPr="001819F4" w:rsidRDefault="00A04DF2" w:rsidP="00A04DF2">
      <w:pPr>
        <w:rPr>
          <w:rFonts w:cstheme="minorBidi"/>
          <w:lang w:val="es-ES_tradnl"/>
        </w:rPr>
      </w:pPr>
      <w:r w:rsidRPr="001819F4">
        <w:rPr>
          <w:lang w:val="es-ES_tradnl"/>
        </w:rPr>
        <w:t>Como se destaca en el Informe 2018/6 de la DCI de la Dependencia Común de Inspección, "entre los organismos especializados de las Naciones Unidas, sólo la UIT tiene un mandato específico en relación con la accesibilidad asignado por su órgano legislativo". El órgano rector de la UIT ha adoptado una serie de resoluciones pertinentes sobre accesibilidad en beneficio de las personas con discapacidad y las personas con necesidades especiales, incluida la discapacidad relacionada con la edad. Entre ellas cabe citar la realización de estudios e investigaciones y la publicación de recomendaciones y directrices sobre accesibilidad de las telecomunicaciones y las TIC; la priorización de los trabajos relativos a las condiciones y definiciones de accesibilidad; la consideración de los aspectos del diseño universal, incluida la elaboración de normas no discriminatorias, reglamentos y medidas de servicio, etc.</w:t>
      </w:r>
      <w:r w:rsidRPr="001819F4">
        <w:rPr>
          <w:rStyle w:val="FootnoteReference"/>
          <w:rFonts w:cstheme="minorHAnsi"/>
          <w:szCs w:val="24"/>
          <w:lang w:val="es-ES_tradnl" w:eastAsia="en-GB"/>
        </w:rPr>
        <w:footnoteReference w:id="16"/>
      </w:r>
      <w:r w:rsidRPr="001819F4">
        <w:rPr>
          <w:lang w:val="es-ES_tradnl"/>
        </w:rPr>
        <w:t xml:space="preserve">Además, en el marco de las Naciones Unidas, </w:t>
      </w:r>
      <w:r w:rsidRPr="001819F4">
        <w:rPr>
          <w:b/>
          <w:bCs/>
          <w:lang w:val="es-ES_tradnl"/>
        </w:rPr>
        <w:t>la UIT es reconocida como "líder de las Naciones Unidas en tecnología y accesibilidad"</w:t>
      </w:r>
      <w:r w:rsidRPr="001819F4">
        <w:rPr>
          <w:lang w:val="es-ES_tradnl"/>
        </w:rPr>
        <w:t>, como se recordó en la 45.ª reunión del Comité de Alto Nivel sobre Gestión (CANG) celebrada los días 3 y 4 de abril de 2023.</w:t>
      </w:r>
    </w:p>
    <w:p w14:paraId="0F6E8819" w14:textId="77777777" w:rsidR="00A04DF2" w:rsidRPr="001819F4" w:rsidRDefault="00A04DF2" w:rsidP="00A04DF2">
      <w:pPr>
        <w:rPr>
          <w:rFonts w:cstheme="minorBidi"/>
          <w:lang w:val="es-ES_tradnl"/>
        </w:rPr>
      </w:pPr>
      <w:r w:rsidRPr="001819F4">
        <w:rPr>
          <w:lang w:val="es-ES_tradnl"/>
        </w:rPr>
        <w:t xml:space="preserve">Se reconoce que las telecomunicaciones/TIC accesibles son productos y servicios que incorporan características en las fases de diseño y fabricación para que puedan ser utilizados por personas con discapacidad y puedan beneficiar a personas con necesidades específicas </w:t>
      </w:r>
      <w:r w:rsidRPr="001819F4">
        <w:rPr>
          <w:lang w:val="es-ES_tradnl"/>
        </w:rPr>
        <w:lastRenderedPageBreak/>
        <w:t>independientemente de su capacidad, necesidades o circunstancias. La integración de las necesidades de los usuarios en el diseño universal, las normas de accesibilidad y los procedimientos de facilidad de uso garantiza que las TIC no solo sean técnicamente funcionales, sino que también puedan ser utilizadas por todas las personas, incluidas las personas con discapacidad, las personas de edad o los analfabetos.</w:t>
      </w:r>
    </w:p>
    <w:p w14:paraId="1E67EBF2" w14:textId="77777777" w:rsidR="00A04DF2" w:rsidRPr="001819F4" w:rsidDel="00871D05" w:rsidRDefault="00A04DF2" w:rsidP="00A04DF2">
      <w:pPr>
        <w:rPr>
          <w:rFonts w:eastAsia="Aptos" w:cstheme="minorBidi"/>
          <w:kern w:val="2"/>
          <w:lang w:val="es-ES_tradnl"/>
          <w14:ligatures w14:val="standardContextual"/>
        </w:rPr>
      </w:pPr>
      <w:r w:rsidRPr="001819F4">
        <w:rPr>
          <w:lang w:val="es-ES_tradnl"/>
        </w:rPr>
        <w:t xml:space="preserve">Durante el actual ciclo de trabajo sobre la Cuestión 7, los Miembros de la UIT convinieron en la necesidad de incorporar requisitos, principios y normas de accesibilidad digital desde la fase de diseño para garantizar que los productos, servicios, aplicaciones y soluciones digitales se adaptasen a la más amplia gama de usuarios finales, abarcando una amplia gama de capacidades y necesidades. Además, se reconoció que la promoción del diseño universal en la tecnología y la integración de las políticas y estrategias de accesibilidad de las TIC no solo eran un requisito obligatorio para que todas las personas utilizaran de manera igualitaria y equitativa los productos y servicios de telecomunicaciones/TIC, sino que también eran fundamentales para lograr una transformación digital inclusiva en su conjunto. En consecuencia, los Miembros de la UIT declararon en sus debates (como se refleja en los Informes de la Cuestión 7, en particular, en los Informes de las Reuniones de Relator de 2024) que la Cuestión debería evolucionar e incluir un enfoque holístico y centrado en el ser humano que abarcase las necesidades de todas las personas de utilizar la tecnología, garantizando así que la transformación digital incluyese a todos por igual y de manera equitativa. </w:t>
      </w:r>
    </w:p>
    <w:p w14:paraId="13D3539F" w14:textId="77777777" w:rsidR="00A04DF2" w:rsidRPr="001819F4" w:rsidDel="00871D05" w:rsidRDefault="00A04DF2" w:rsidP="00A04DF2">
      <w:pPr>
        <w:rPr>
          <w:rFonts w:eastAsia="Aptos" w:cstheme="minorBidi"/>
          <w:kern w:val="2"/>
          <w:lang w:val="es-ES_tradnl"/>
          <w14:ligatures w14:val="standardContextual"/>
        </w:rPr>
      </w:pPr>
      <w:r w:rsidRPr="001819F4">
        <w:rPr>
          <w:lang w:val="es-ES_tradnl"/>
        </w:rPr>
        <w:t xml:space="preserve">Recabar información y datos sobre los muy importantes aspectos relativos a la accesibilidad a las TIC/telecomunicaciones para las personas con discapacidad ofrece datos valiosos sobre la integración digital inicial y sobre cómo las personas con discapacidad y necesidades específicas pueden desenvolverse en la sociedad digital. Por consiguiente, es preciso definir una metodología que sirva de ayuda en el proceso de recopilación de información. </w:t>
      </w:r>
    </w:p>
    <w:p w14:paraId="2D3BB0C9" w14:textId="77777777" w:rsidR="00A04DF2" w:rsidRPr="001819F4" w:rsidRDefault="00A04DF2" w:rsidP="00A04DF2">
      <w:pPr>
        <w:pStyle w:val="Heading1"/>
        <w:rPr>
          <w:rFonts w:eastAsia="Aptos" w:cstheme="minorBidi"/>
          <w:kern w:val="2"/>
          <w:lang w:val="es-ES_tradnl"/>
          <w14:ligatures w14:val="standardContextual"/>
        </w:rPr>
      </w:pPr>
      <w:r w:rsidRPr="001819F4">
        <w:rPr>
          <w:lang w:val="es-ES_tradnl"/>
        </w:rPr>
        <w:t>2</w:t>
      </w:r>
      <w:r>
        <w:rPr>
          <w:lang w:val="es-ES_tradnl"/>
        </w:rPr>
        <w:tab/>
      </w:r>
      <w:r w:rsidRPr="001819F4">
        <w:rPr>
          <w:lang w:val="es-ES_tradnl"/>
        </w:rPr>
        <w:t>Cuestión o asunto que ha de estudiarse</w:t>
      </w:r>
    </w:p>
    <w:p w14:paraId="65F9E76F" w14:textId="77777777" w:rsidR="00A04DF2" w:rsidRPr="001819F4" w:rsidRDefault="00A04DF2" w:rsidP="00A04DF2">
      <w:pPr>
        <w:rPr>
          <w:rFonts w:cstheme="minorBidi"/>
          <w:lang w:val="es-ES_tradnl"/>
        </w:rPr>
      </w:pPr>
      <w:r w:rsidRPr="001819F4">
        <w:rPr>
          <w:lang w:val="es-ES_tradnl"/>
        </w:rPr>
        <w:t>2.1</w:t>
      </w:r>
      <w:r>
        <w:rPr>
          <w:lang w:val="es-ES_tradnl"/>
        </w:rPr>
        <w:tab/>
      </w:r>
      <w:r w:rsidRPr="001819F4">
        <w:rPr>
          <w:lang w:val="es-ES_tradnl"/>
        </w:rPr>
        <w:t>La Cuestión dará continuidad a los trabajos de periodos de estudio anteriores y abarcará las cuestiones existentes en materia de protección del consumidor, dado que los distintos Estados Miembros se encuentran en distintas fases de adopción de las TIC y la transformación digital. La Cuestión también abarcará nuevos temas en el ámbito que se alinean con las nuevas resoluciones aprobadas en la última Conferencia de Plenipotenciarios de la UIT y la AMNT de 2024, como las relativas a la IA, el metaverso y la transformación digital efectiva y sostenible, en posible colaboración con la Cuestión D/2. El tema general de esta Cuestión sería una transformación digital efectiva y sostenible basada en la confianza y la seguridad de los consumidores. El objetivo es que la disponibilidad, accesibilidad y asequibilidad se apoyen en medidas de información y sensibilización de los consumidores para que la conectividad alcance los ODS de manera eficaz. En este periodo de estudios, se hará hincapié en la compartición de los problemas de protección de los consumidores a nivel mundial y en los países en desarrollo en particular, y en el intercambio de experiencias entre los miembros para encontrar soluciones que promuevan la sensibilización y los derechos del consumidor en materia de información.</w:t>
      </w:r>
    </w:p>
    <w:p w14:paraId="3F30740D" w14:textId="77777777" w:rsidR="00A04DF2" w:rsidRPr="001819F4" w:rsidRDefault="00A04DF2" w:rsidP="00A04DF2">
      <w:pPr>
        <w:rPr>
          <w:rFonts w:cstheme="minorBidi"/>
          <w:lang w:val="es-ES_tradnl"/>
        </w:rPr>
      </w:pPr>
      <w:r w:rsidRPr="001819F4">
        <w:rPr>
          <w:lang w:val="es-ES_tradnl"/>
        </w:rPr>
        <w:t xml:space="preserve">En particular, la Cuestión centrará sus estudios en los temas que se indican a continuación: </w:t>
      </w:r>
    </w:p>
    <w:p w14:paraId="40E0F1B0" w14:textId="77777777" w:rsidR="00A04DF2" w:rsidRPr="001819F4" w:rsidRDefault="00A04DF2" w:rsidP="00A04DF2">
      <w:pPr>
        <w:rPr>
          <w:rFonts w:cstheme="minorBidi"/>
          <w:i/>
          <w:iCs/>
          <w:lang w:val="es-ES_tradnl"/>
        </w:rPr>
      </w:pPr>
      <w:r w:rsidRPr="001819F4">
        <w:rPr>
          <w:lang w:val="es-ES_tradnl"/>
        </w:rPr>
        <w:t>2.2.1</w:t>
      </w:r>
      <w:r>
        <w:rPr>
          <w:lang w:val="es-ES_tradnl"/>
        </w:rPr>
        <w:tab/>
      </w:r>
      <w:r w:rsidRPr="001819F4">
        <w:rPr>
          <w:lang w:val="es-ES_tradnl"/>
        </w:rPr>
        <w:t xml:space="preserve">Mejorar las respuestas tradicionales y actualizar el conjunto de herramientas de los reguladores tradicionales en la era digital. Esto consistirá en medidas para promover la innovación, la competencia y la seguridad del consumidor, así como métodos e instrumentos de protección de </w:t>
      </w:r>
      <w:r w:rsidRPr="001819F4">
        <w:rPr>
          <w:lang w:val="es-ES_tradnl"/>
        </w:rPr>
        <w:lastRenderedPageBreak/>
        <w:t xml:space="preserve">los consumidores contra las comunicaciones comerciales no solicitadas, el fraude en línea y el uso indebido de los datos personales como parte integrante de la política de telecomunicaciones/TIC. </w:t>
      </w:r>
    </w:p>
    <w:p w14:paraId="10A4B40C" w14:textId="77777777" w:rsidR="00A04DF2" w:rsidRPr="001819F4" w:rsidRDefault="00A04DF2" w:rsidP="00A04DF2">
      <w:pPr>
        <w:rPr>
          <w:rFonts w:cstheme="minorBidi"/>
          <w:lang w:val="es-ES_tradnl"/>
        </w:rPr>
      </w:pPr>
      <w:r w:rsidRPr="001819F4">
        <w:rPr>
          <w:lang w:val="es-ES_tradnl"/>
        </w:rPr>
        <w:t>2.2.2</w:t>
      </w:r>
      <w:r>
        <w:rPr>
          <w:lang w:val="es-ES_tradnl"/>
        </w:rPr>
        <w:tab/>
      </w:r>
      <w:r w:rsidRPr="001819F4">
        <w:rPr>
          <w:lang w:val="es-ES_tradnl"/>
        </w:rPr>
        <w:t>Medios innovadores y prácticas idóneas para proporcionar a los consumidores la información, la sensibilización y las competencias necesarias para ser más conscientes de las prácticas potencialmente dañinas y engañosas y poder defenderse ante ellas. Esto incluiría las medidas adoptadas por los proveedores de servicios, los reguladores y las organizaciones de consumidores. Que las jurisdicciones más y menos experimentadas intercambien información sobre las dificultades y sus posibles soluciones ayudaría a la población mundial a dar un salto hacia el cumplimiento de los ODS al beneficiarse de una adopción más rápida de la conectividad y de productos y servicios digitales avanzados.</w:t>
      </w:r>
    </w:p>
    <w:p w14:paraId="199BF24D" w14:textId="77777777" w:rsidR="00A04DF2" w:rsidRPr="001819F4" w:rsidRDefault="00A04DF2" w:rsidP="00A04DF2">
      <w:pPr>
        <w:rPr>
          <w:rFonts w:cstheme="minorBidi"/>
          <w:lang w:val="es-ES_tradnl"/>
        </w:rPr>
      </w:pPr>
      <w:r w:rsidRPr="001819F4">
        <w:rPr>
          <w:lang w:val="es-ES_tradnl"/>
        </w:rPr>
        <w:t>2.2.3</w:t>
      </w:r>
      <w:r>
        <w:rPr>
          <w:lang w:val="es-ES_tradnl"/>
        </w:rPr>
        <w:tab/>
      </w:r>
      <w:r w:rsidRPr="001819F4">
        <w:rPr>
          <w:lang w:val="es-ES_tradnl"/>
        </w:rPr>
        <w:t>Protección de consumidores vulnerables: los grandes flujos de datos en línea tienden a aumentar las asimetrías de información entre proveedores y consumidores. Por lo tanto, una pregunta clave es cómo reequilibrar esta dinámica mejorando la transparencia y aprovechando los datos para proteger a los consumidores. Los datos también pueden utilizarse para localizar segmentos de consumidores vulnerables, como personas mayores, personas con discapacidad y mujeres y niños, y proporcionarles un apoyo personalizado. La Cuestión en este periodo de estudios se centrará en cómo recopilar y utilizar información sobre el comportamiento de los consumidores para ayudar a los reguladores a, de forma colaborativa:</w:t>
      </w:r>
    </w:p>
    <w:p w14:paraId="0EAB2175" w14:textId="77777777" w:rsidR="00A04DF2" w:rsidRPr="001819F4" w:rsidRDefault="00A04DF2" w:rsidP="00A04DF2">
      <w:pPr>
        <w:rPr>
          <w:rFonts w:cstheme="minorBidi"/>
          <w:lang w:val="es-ES_tradnl"/>
        </w:rPr>
      </w:pPr>
      <w:r w:rsidRPr="001819F4">
        <w:rPr>
          <w:lang w:val="es-ES_tradnl"/>
        </w:rPr>
        <w:t>2.2.3.1</w:t>
      </w:r>
      <w:r>
        <w:rPr>
          <w:lang w:val="es-ES_tradnl"/>
        </w:rPr>
        <w:tab/>
      </w:r>
      <w:r w:rsidRPr="001819F4">
        <w:rPr>
          <w:lang w:val="es-ES_tradnl"/>
        </w:rPr>
        <w:t xml:space="preserve">Comprender la toma de decisiones de los consumidores y diseñar mejores reglamentos para informarlos y protegerlos en la era digital. </w:t>
      </w:r>
    </w:p>
    <w:p w14:paraId="562F42CB" w14:textId="77777777" w:rsidR="00A04DF2" w:rsidRPr="001819F4" w:rsidRDefault="00A04DF2" w:rsidP="00A04DF2">
      <w:pPr>
        <w:rPr>
          <w:rFonts w:cstheme="minorBidi"/>
          <w:lang w:val="es-ES_tradnl"/>
        </w:rPr>
      </w:pPr>
      <w:r w:rsidRPr="001819F4">
        <w:rPr>
          <w:lang w:val="es-ES_tradnl"/>
        </w:rPr>
        <w:t>2.2.3.2</w:t>
      </w:r>
      <w:r>
        <w:rPr>
          <w:lang w:val="es-ES_tradnl"/>
        </w:rPr>
        <w:tab/>
      </w:r>
      <w:proofErr w:type="spellStart"/>
      <w:r w:rsidRPr="001819F4">
        <w:rPr>
          <w:lang w:val="es-ES_tradnl"/>
        </w:rPr>
        <w:t>articipar</w:t>
      </w:r>
      <w:proofErr w:type="spellEnd"/>
      <w:r w:rsidRPr="001819F4">
        <w:rPr>
          <w:lang w:val="es-ES_tradnl"/>
        </w:rPr>
        <w:t xml:space="preserve"> con los proveedores de servicios en materia de información, sensibilización y seguridad de los consumidores desde el diseño, teniendo en cuenta las necesidades de los consumidores más vulnerables. </w:t>
      </w:r>
    </w:p>
    <w:p w14:paraId="6E2255E9" w14:textId="77777777" w:rsidR="00A04DF2" w:rsidRPr="001819F4" w:rsidRDefault="00A04DF2" w:rsidP="00A04DF2">
      <w:pPr>
        <w:rPr>
          <w:rFonts w:cstheme="minorBidi"/>
          <w:lang w:val="es-ES_tradnl"/>
        </w:rPr>
      </w:pPr>
      <w:r w:rsidRPr="001819F4">
        <w:rPr>
          <w:lang w:val="es-ES_tradnl"/>
        </w:rPr>
        <w:t>2.2.4</w:t>
      </w:r>
      <w:r>
        <w:rPr>
          <w:lang w:val="es-ES_tradnl"/>
        </w:rPr>
        <w:tab/>
      </w:r>
      <w:r w:rsidRPr="001819F4">
        <w:rPr>
          <w:lang w:val="es-ES_tradnl"/>
        </w:rPr>
        <w:t>En la Cuestión se deliberaría acerca de cómo pueden definirse los requisitos específicos de capacitación destinados a sensibilizar a los consumidores y aumentar la seguridad en la utilización de los servicios TIC generados en la era de las tecnologías nuevas e incipientes, incluidos los requisitos específicos de los países en desarrollo y los grupos marginados de consumidores. Aquí se incluirá cómo:</w:t>
      </w:r>
    </w:p>
    <w:p w14:paraId="3646C8A0" w14:textId="77777777" w:rsidR="00A04DF2" w:rsidRPr="001819F4" w:rsidRDefault="00A04DF2" w:rsidP="00A04DF2">
      <w:pPr>
        <w:rPr>
          <w:rFonts w:cstheme="minorBidi"/>
          <w:lang w:val="es-ES_tradnl"/>
        </w:rPr>
      </w:pPr>
      <w:r w:rsidRPr="001819F4">
        <w:rPr>
          <w:lang w:val="es-ES_tradnl"/>
        </w:rPr>
        <w:t>2.2.4.1</w:t>
      </w:r>
      <w:r>
        <w:rPr>
          <w:lang w:val="es-ES_tradnl"/>
        </w:rPr>
        <w:tab/>
      </w:r>
      <w:r w:rsidRPr="001819F4">
        <w:rPr>
          <w:lang w:val="es-ES_tradnl"/>
        </w:rPr>
        <w:t xml:space="preserve">Educar a los consumidores sobre sus derechos y cómo evitar riesgos en la era digital. </w:t>
      </w:r>
    </w:p>
    <w:p w14:paraId="548B7B10" w14:textId="77777777" w:rsidR="00A04DF2" w:rsidRPr="001819F4" w:rsidRDefault="00A04DF2" w:rsidP="00A04DF2">
      <w:pPr>
        <w:rPr>
          <w:rFonts w:cstheme="minorBidi"/>
          <w:lang w:val="es-ES_tradnl"/>
        </w:rPr>
      </w:pPr>
      <w:r w:rsidRPr="001819F4">
        <w:rPr>
          <w:lang w:val="es-ES_tradnl"/>
        </w:rPr>
        <w:t>2.2.4.2</w:t>
      </w:r>
      <w:r>
        <w:rPr>
          <w:lang w:val="es-ES_tradnl"/>
        </w:rPr>
        <w:tab/>
      </w:r>
      <w:r w:rsidRPr="001819F4">
        <w:rPr>
          <w:lang w:val="es-ES_tradnl"/>
        </w:rPr>
        <w:t xml:space="preserve">Aumentar la atención a las personas con discapacidad, los niños, las mujeres y las personas de edad avanzada para fomentar la confianza en las TIC, mantenerlas seguras en línea y ayudarlas a participar eficazmente en el mundo digital. </w:t>
      </w:r>
    </w:p>
    <w:p w14:paraId="05FD05F5" w14:textId="77777777" w:rsidR="00A04DF2" w:rsidRPr="001819F4" w:rsidRDefault="00A04DF2" w:rsidP="00A04DF2">
      <w:pPr>
        <w:rPr>
          <w:rFonts w:cstheme="minorBidi"/>
          <w:lang w:val="es-ES_tradnl"/>
        </w:rPr>
      </w:pPr>
      <w:r w:rsidRPr="001819F4">
        <w:rPr>
          <w:lang w:val="es-ES_tradnl"/>
        </w:rPr>
        <w:t>2.2.4.3</w:t>
      </w:r>
      <w:r>
        <w:rPr>
          <w:lang w:val="es-ES_tradnl"/>
        </w:rPr>
        <w:tab/>
      </w:r>
      <w:r w:rsidRPr="001819F4">
        <w:rPr>
          <w:lang w:val="es-ES_tradnl"/>
        </w:rPr>
        <w:t>Promover resultados de transformación digital más equilibrados y beneficiosos para las mujeres como grupo de consumidores, fortaleciendo su participación y sus contribuciones únicas a la gobernanza mundial de las tecnologías emergentes.</w:t>
      </w:r>
    </w:p>
    <w:p w14:paraId="56DA461E" w14:textId="77777777" w:rsidR="00A04DF2" w:rsidRPr="001819F4" w:rsidRDefault="00A04DF2" w:rsidP="00A04DF2">
      <w:pPr>
        <w:rPr>
          <w:rFonts w:cstheme="minorBidi"/>
          <w:lang w:val="es-ES_tradnl"/>
        </w:rPr>
      </w:pPr>
      <w:r w:rsidRPr="001819F4">
        <w:rPr>
          <w:lang w:val="es-ES_tradnl"/>
        </w:rPr>
        <w:t>3</w:t>
      </w:r>
      <w:r>
        <w:rPr>
          <w:lang w:val="es-ES_tradnl"/>
        </w:rPr>
        <w:tab/>
      </w:r>
      <w:r w:rsidRPr="001819F4">
        <w:rPr>
          <w:lang w:val="es-ES_tradnl"/>
        </w:rPr>
        <w:t>La Cuestión se centraría en cómo, dada la naturaleza mundial de la transformación digital y los daños que se producen en línea, puede cooperarse eficazmente para proteger los derechos de los consumidores en todo el mundo, incluso mientras se avanza para beneficiarse rápidamente de la transformación digital. ¿Podemos definir prácticas idóneas y principios comunes? A tal efecto, el periodo de estudios se utilizará para crear un conjunto de herramientas sobre un mejor diseño reglamentario para la protección del consumidor en la era digital y sensibilizar sobre la base de las experiencias y talleres de los miembros como principal producto además del informe.</w:t>
      </w:r>
    </w:p>
    <w:p w14:paraId="0EC0DCFF" w14:textId="77777777" w:rsidR="00A04DF2" w:rsidRPr="0002033A" w:rsidRDefault="00A04DF2" w:rsidP="00A04DF2">
      <w:pPr>
        <w:rPr>
          <w:rFonts w:cstheme="minorBidi"/>
          <w:lang w:val="es-ES_tradnl"/>
        </w:rPr>
      </w:pPr>
      <w:r w:rsidRPr="001819F4">
        <w:rPr>
          <w:lang w:val="es-ES_tradnl"/>
        </w:rPr>
        <w:lastRenderedPageBreak/>
        <w:t>3.1</w:t>
      </w:r>
      <w:r>
        <w:rPr>
          <w:lang w:val="es-ES_tradnl"/>
        </w:rPr>
        <w:tab/>
      </w:r>
      <w:r w:rsidRPr="001819F4">
        <w:rPr>
          <w:lang w:val="es-ES_tradnl"/>
        </w:rPr>
        <w:t>Las Recomendaciones se basarían en datos empíricos, por ejemplo sobre el efecto que tiene una buena reglamentación (que protege a los consumidores como complemento de las iniciativas de conectividad digital) en la mejora de la adopción de las iniciativas de transformación digital. Por ejemplo, el éxito de la infraestructura pública digital se basa en una buena reglamentación que fomente la confianza de los consumidores, además de un excelente diseño tecnológico.</w:t>
      </w:r>
    </w:p>
    <w:p w14:paraId="17EACBED" w14:textId="77777777" w:rsidR="00A04DF2" w:rsidRPr="001819F4" w:rsidRDefault="00A04DF2" w:rsidP="00A04DF2">
      <w:pPr>
        <w:rPr>
          <w:rFonts w:cstheme="minorBidi"/>
          <w:lang w:val="es-ES_tradnl"/>
        </w:rPr>
      </w:pPr>
      <w:r w:rsidRPr="001819F4">
        <w:rPr>
          <w:lang w:val="es-ES_tradnl"/>
        </w:rPr>
        <w:t>3.2</w:t>
      </w:r>
      <w:r>
        <w:rPr>
          <w:lang w:val="es-ES_tradnl"/>
        </w:rPr>
        <w:tab/>
      </w:r>
      <w:r w:rsidRPr="001819F4">
        <w:rPr>
          <w:lang w:val="es-ES_tradnl"/>
        </w:rPr>
        <w:t>El periodo de estudios ayudará a la C6/1 a centrarse en el intercambio de experiencias y la capacitación para que los reguladores puedan evaluar y mitigar cualquier posible efecto adverso de las tecnologías nuevas y emergentes, como la IA generativa, en la seguridad de la experiencia en línea de los consumidores, con el fin de ayudar a mantener su confianza en la conectividad digital y adoptar sin reservas la transformación digital (en colaboración con la Cuestión</w:t>
      </w:r>
      <w:r>
        <w:rPr>
          <w:lang w:val="es-ES_tradnl"/>
        </w:rPr>
        <w:t> </w:t>
      </w:r>
      <w:r w:rsidRPr="001819F4">
        <w:rPr>
          <w:lang w:val="es-ES_tradnl"/>
        </w:rPr>
        <w:t>D/2), entre otras cosas:</w:t>
      </w:r>
    </w:p>
    <w:p w14:paraId="259DF9CC" w14:textId="77777777" w:rsidR="00A04DF2" w:rsidRPr="001819F4" w:rsidRDefault="00A04DF2" w:rsidP="00A04DF2">
      <w:pPr>
        <w:rPr>
          <w:rFonts w:cstheme="minorBidi"/>
          <w:lang w:val="es-ES_tradnl"/>
        </w:rPr>
      </w:pPr>
      <w:r w:rsidRPr="001819F4">
        <w:rPr>
          <w:lang w:val="es-ES_tradnl"/>
        </w:rPr>
        <w:t>3.2.1</w:t>
      </w:r>
      <w:r>
        <w:rPr>
          <w:lang w:val="es-ES_tradnl"/>
        </w:rPr>
        <w:tab/>
      </w:r>
      <w:r w:rsidRPr="001819F4">
        <w:rPr>
          <w:lang w:val="es-ES_tradnl"/>
        </w:rPr>
        <w:t>La manera y el alcance en que los reguladores fomentan un enfoque colaborativo para la protección, educación y empoderamiento de los consumidores, es decir, con otros reguladores, organizaciones de consumidores, la sociedad civil, etc. ¿Cuáles son las prácticas idóneas que aplican?</w:t>
      </w:r>
    </w:p>
    <w:p w14:paraId="3884D184" w14:textId="77777777" w:rsidR="00A04DF2" w:rsidRPr="001819F4" w:rsidRDefault="00A04DF2" w:rsidP="00A04DF2">
      <w:pPr>
        <w:rPr>
          <w:rFonts w:cstheme="minorBidi"/>
          <w:lang w:val="es-ES_tradnl"/>
        </w:rPr>
      </w:pPr>
      <w:r w:rsidRPr="001819F4">
        <w:rPr>
          <w:lang w:val="es-ES_tradnl"/>
        </w:rPr>
        <w:t>3.2.2</w:t>
      </w:r>
      <w:r>
        <w:rPr>
          <w:lang w:val="es-ES_tradnl"/>
        </w:rPr>
        <w:tab/>
      </w:r>
      <w:r w:rsidRPr="001819F4">
        <w:rPr>
          <w:lang w:val="es-ES_tradnl"/>
        </w:rPr>
        <w:t>¿Cuáles son las prácticas idóneas de cooperación entre múltiples partes interesadas, incluidas la relativas a la autorregulación y las medidas de reglamentación conjunta de la industria?</w:t>
      </w:r>
    </w:p>
    <w:p w14:paraId="5A667697" w14:textId="77777777" w:rsidR="00A04DF2" w:rsidRPr="001819F4" w:rsidRDefault="00A04DF2" w:rsidP="00A04DF2">
      <w:pPr>
        <w:rPr>
          <w:rFonts w:cstheme="minorBidi"/>
          <w:lang w:val="es-ES_tradnl"/>
        </w:rPr>
      </w:pPr>
      <w:r w:rsidRPr="001819F4">
        <w:rPr>
          <w:lang w:val="es-ES_tradnl"/>
        </w:rPr>
        <w:t>3.2.3</w:t>
      </w:r>
      <w:r>
        <w:rPr>
          <w:lang w:val="es-ES_tradnl"/>
        </w:rPr>
        <w:tab/>
      </w:r>
      <w:r w:rsidRPr="001819F4">
        <w:rPr>
          <w:lang w:val="es-ES_tradnl"/>
        </w:rPr>
        <w:t>¿Cómo pueden los reguladores aprovechar la investigación y la evaluación del impacto reglamentario para mejorar los mecanismos, programas e iniciativas de educación y protección del consumidor?</w:t>
      </w:r>
    </w:p>
    <w:p w14:paraId="27E05D31" w14:textId="77777777" w:rsidR="00A04DF2" w:rsidRPr="001819F4" w:rsidRDefault="00A04DF2" w:rsidP="00A04DF2">
      <w:pPr>
        <w:rPr>
          <w:rFonts w:cstheme="minorBidi"/>
          <w:lang w:val="es-ES_tradnl"/>
        </w:rPr>
      </w:pPr>
      <w:r w:rsidRPr="001819F4">
        <w:rPr>
          <w:lang w:val="es-ES_tradnl"/>
        </w:rPr>
        <w:t>3.2.4</w:t>
      </w:r>
      <w:r>
        <w:rPr>
          <w:lang w:val="es-ES_tradnl"/>
        </w:rPr>
        <w:tab/>
      </w:r>
      <w:r w:rsidRPr="001819F4">
        <w:rPr>
          <w:lang w:val="es-ES_tradnl"/>
        </w:rPr>
        <w:t>¿Cómo pueden los reguladores y los proveedores de servicios aprovechar las tecnologías emergentes para mejorar los mecanismos de protección del consumidor y empoderar a los consumidores?</w:t>
      </w:r>
    </w:p>
    <w:p w14:paraId="6563EE93" w14:textId="77777777" w:rsidR="00A04DF2" w:rsidRPr="001819F4" w:rsidRDefault="00A04DF2" w:rsidP="00A04DF2">
      <w:pPr>
        <w:rPr>
          <w:rFonts w:cstheme="minorBidi"/>
          <w:lang w:val="es-ES_tradnl"/>
        </w:rPr>
      </w:pPr>
      <w:r w:rsidRPr="001819F4">
        <w:rPr>
          <w:lang w:val="es-ES_tradnl"/>
        </w:rPr>
        <w:t>3.2.5</w:t>
      </w:r>
      <w:r>
        <w:rPr>
          <w:lang w:val="es-ES_tradnl"/>
        </w:rPr>
        <w:tab/>
      </w:r>
      <w:r w:rsidRPr="001819F4">
        <w:rPr>
          <w:lang w:val="es-ES_tradnl"/>
        </w:rPr>
        <w:t>¿Cómo pueden los reguladores y la industria proporcionar a los consumidores la información necesaria y enseñarles a proteger sus datos personales contra la utilización indebida?</w:t>
      </w:r>
    </w:p>
    <w:p w14:paraId="45C46C12" w14:textId="77777777" w:rsidR="00A04DF2" w:rsidRPr="005B36B5" w:rsidDel="00871D05" w:rsidRDefault="00A04DF2" w:rsidP="00A04DF2">
      <w:pPr>
        <w:pStyle w:val="enumlev1"/>
        <w:rPr>
          <w:rFonts w:eastAsia="Aptos" w:cstheme="minorBidi"/>
          <w:kern w:val="2"/>
          <w:lang w:val="es-ES_tradnl"/>
          <w14:ligatures w14:val="standardContextual"/>
        </w:rPr>
      </w:pPr>
      <w:r w:rsidRPr="005B36B5">
        <w:rPr>
          <w:lang w:val="es-ES_tradnl"/>
        </w:rPr>
        <w:t>1)</w:t>
      </w:r>
      <w:r w:rsidRPr="005B36B5">
        <w:rPr>
          <w:lang w:val="es-ES_tradnl"/>
        </w:rPr>
        <w:tab/>
        <w:t>Intercambiar prácticas idóneas sobre la implementación de políticas nacionales de accesibilidad a las telecomunicaciones/TIC, marcos jurídicos, directivas, directrices, estrategias y soluciones tecnológicas propensas a mejorar la accesibilidad, la compatibilidad y facilidad de uso de productos digitales, herramientas, plataformas, servicios y soluciones de telecomunicaciones/TIC.</w:t>
      </w:r>
    </w:p>
    <w:p w14:paraId="1B72D33F" w14:textId="77777777" w:rsidR="00A04DF2" w:rsidRPr="005B36B5" w:rsidDel="00871D05" w:rsidRDefault="00A04DF2" w:rsidP="00A04DF2">
      <w:pPr>
        <w:pStyle w:val="enumlev1"/>
        <w:rPr>
          <w:rFonts w:eastAsia="Aptos" w:cstheme="minorBidi"/>
          <w:kern w:val="2"/>
          <w:lang w:val="es-ES_tradnl"/>
          <w14:ligatures w14:val="standardContextual"/>
        </w:rPr>
      </w:pPr>
      <w:r w:rsidRPr="005B36B5">
        <w:rPr>
          <w:lang w:val="es-ES_tradnl"/>
        </w:rPr>
        <w:t>2)</w:t>
      </w:r>
      <w:r w:rsidRPr="005B36B5">
        <w:rPr>
          <w:lang w:val="es-ES_tradnl"/>
        </w:rPr>
        <w:tab/>
        <w:t xml:space="preserve">Integrar la accesibilidad TIC/digital del gobierno electrónico y otros servicios digitales socialmente relevantes. </w:t>
      </w:r>
    </w:p>
    <w:p w14:paraId="1F1ED029" w14:textId="77777777" w:rsidR="00A04DF2" w:rsidRPr="005B36B5" w:rsidDel="00871D05" w:rsidRDefault="00A04DF2" w:rsidP="00A04DF2">
      <w:pPr>
        <w:pStyle w:val="enumlev1"/>
        <w:rPr>
          <w:rFonts w:eastAsia="Aptos" w:cstheme="minorBidi"/>
          <w:kern w:val="2"/>
          <w:lang w:val="es-ES_tradnl"/>
          <w14:ligatures w14:val="standardContextual"/>
        </w:rPr>
      </w:pPr>
      <w:r w:rsidRPr="005B36B5">
        <w:rPr>
          <w:lang w:val="es-ES_tradnl"/>
        </w:rPr>
        <w:t>3)</w:t>
      </w:r>
      <w:r w:rsidRPr="005B36B5">
        <w:rPr>
          <w:lang w:val="es-ES_tradnl"/>
        </w:rPr>
        <w:tab/>
        <w:t>Aumentar la accesibilidad de los productos y servicios de telecomunicaciones/TIC mediante la promoción de la IA y las tecnologías emergentes (en posible colaboración con la Cuestión D/2)</w:t>
      </w:r>
      <w:r>
        <w:rPr>
          <w:lang w:val="es-ES_tradnl"/>
        </w:rPr>
        <w:t>.</w:t>
      </w:r>
    </w:p>
    <w:p w14:paraId="7C24782D" w14:textId="77777777" w:rsidR="00A04DF2" w:rsidRPr="005B36B5" w:rsidRDefault="00A04DF2" w:rsidP="00A04DF2">
      <w:pPr>
        <w:pStyle w:val="enumlev1"/>
        <w:rPr>
          <w:rFonts w:eastAsia="Aptos" w:cstheme="minorBidi"/>
          <w:kern w:val="2"/>
          <w:lang w:val="es-ES_tradnl"/>
          <w14:ligatures w14:val="standardContextual"/>
        </w:rPr>
      </w:pPr>
      <w:r w:rsidRPr="005B36B5">
        <w:rPr>
          <w:lang w:val="es-ES_tradnl"/>
        </w:rPr>
        <w:t>4)</w:t>
      </w:r>
      <w:r w:rsidRPr="005B36B5">
        <w:rPr>
          <w:lang w:val="es-ES_tradnl"/>
        </w:rPr>
        <w:tab/>
        <w:t>Fomentar la educación inclusiva garantizando que las plataformas de educación digital sean accesibles desde el diseño y, por lo tanto, digitalmente accesibles para todos los usuarios destinatarios, entre ellas las personas con discapacidad (incluidas las personas sordas y ciegas).</w:t>
      </w:r>
    </w:p>
    <w:p w14:paraId="1E235AE6" w14:textId="77777777" w:rsidR="00A04DF2" w:rsidRPr="005B36B5" w:rsidRDefault="00A04DF2" w:rsidP="00A04DF2">
      <w:pPr>
        <w:pStyle w:val="enumlev1"/>
        <w:rPr>
          <w:rFonts w:eastAsia="Aptos" w:cstheme="minorBidi"/>
          <w:kern w:val="2"/>
          <w:lang w:val="es-ES_tradnl"/>
          <w14:ligatures w14:val="standardContextual"/>
        </w:rPr>
      </w:pPr>
      <w:r w:rsidRPr="005B36B5">
        <w:rPr>
          <w:lang w:val="es-ES_tradnl"/>
        </w:rPr>
        <w:t>5)</w:t>
      </w:r>
      <w:r w:rsidRPr="005B36B5">
        <w:rPr>
          <w:lang w:val="es-ES_tradnl"/>
        </w:rPr>
        <w:tab/>
        <w:t xml:space="preserve">Promover la formación de personas con discapacidad y con necesidades especiales en la utilización de las telecomunicaciones/TIC. </w:t>
      </w:r>
    </w:p>
    <w:p w14:paraId="4D62E978" w14:textId="77777777" w:rsidR="00A04DF2" w:rsidRPr="005B36B5" w:rsidDel="00871D05" w:rsidRDefault="00A04DF2" w:rsidP="00A04DF2">
      <w:pPr>
        <w:pStyle w:val="enumlev1"/>
        <w:rPr>
          <w:rFonts w:eastAsia="Aptos" w:cstheme="minorBidi"/>
          <w:kern w:val="2"/>
          <w:lang w:val="es-ES_tradnl"/>
          <w14:ligatures w14:val="standardContextual"/>
        </w:rPr>
      </w:pPr>
      <w:r w:rsidRPr="005B36B5">
        <w:rPr>
          <w:lang w:val="es-ES_tradnl"/>
        </w:rPr>
        <w:lastRenderedPageBreak/>
        <w:t>6)</w:t>
      </w:r>
      <w:r w:rsidRPr="005B36B5">
        <w:rPr>
          <w:lang w:val="es-ES_tradnl"/>
        </w:rPr>
        <w:tab/>
        <w:t xml:space="preserve">Promover el desarrollo de profesionales de la accesibilidad de las telecomunicaciones/TIC, así como la educación y conocimientos especializados para ayudar a las personas con discapacidad y a las personas con necesidades especiales (incluidas las personas de edad y analfabetas) a utilizar las telecomunicaciones/TIC. </w:t>
      </w:r>
    </w:p>
    <w:p w14:paraId="66A3781C" w14:textId="77777777" w:rsidR="00A04DF2" w:rsidRPr="005B36B5" w:rsidDel="00871D05" w:rsidRDefault="00A04DF2" w:rsidP="00A04DF2">
      <w:pPr>
        <w:pStyle w:val="enumlev1"/>
        <w:rPr>
          <w:rFonts w:eastAsia="Aptos" w:cstheme="minorBidi"/>
          <w:kern w:val="2"/>
          <w:lang w:val="es-ES_tradnl"/>
          <w14:ligatures w14:val="standardContextual"/>
        </w:rPr>
      </w:pPr>
      <w:r w:rsidRPr="005B36B5">
        <w:rPr>
          <w:lang w:val="es-ES_tradnl"/>
        </w:rPr>
        <w:t>7)</w:t>
      </w:r>
      <w:r w:rsidRPr="005B36B5">
        <w:rPr>
          <w:lang w:val="es-ES_tradnl"/>
        </w:rPr>
        <w:tab/>
        <w:t xml:space="preserve">Utilizar las telecomunicaciones/TIC accesibles para fomentar la creación de oportunidades de empleo igualitarias y equitativas para todas las personas con discapacidad a fin de garantizar una sociedad inclusiva y abierta. </w:t>
      </w:r>
    </w:p>
    <w:p w14:paraId="2843AA02" w14:textId="77777777" w:rsidR="00A04DF2" w:rsidRPr="005B36B5" w:rsidDel="00871D05" w:rsidRDefault="00A04DF2" w:rsidP="00A04DF2">
      <w:pPr>
        <w:pStyle w:val="enumlev1"/>
        <w:rPr>
          <w:rFonts w:eastAsia="Aptos" w:cstheme="minorBidi"/>
          <w:kern w:val="2"/>
          <w:lang w:val="es-ES_tradnl"/>
          <w14:ligatures w14:val="standardContextual"/>
        </w:rPr>
      </w:pPr>
      <w:r w:rsidRPr="005B36B5">
        <w:rPr>
          <w:lang w:val="es-ES_tradnl"/>
        </w:rPr>
        <w:t>8)</w:t>
      </w:r>
      <w:r w:rsidRPr="005B36B5">
        <w:rPr>
          <w:lang w:val="es-ES_tradnl"/>
        </w:rPr>
        <w:tab/>
        <w:t>Desarrollar conocimientos técnicos nacionales y garantizar la recopilación de información y estadísticas desglosadas sobre la accesibilidad de las telecomunicaciones/TIC por parte de los usuarios finales.</w:t>
      </w:r>
    </w:p>
    <w:p w14:paraId="46DDCE6A" w14:textId="77777777" w:rsidR="00A04DF2" w:rsidRPr="005B36B5" w:rsidRDefault="00A04DF2" w:rsidP="00A04DF2">
      <w:pPr>
        <w:pStyle w:val="enumlev1"/>
        <w:rPr>
          <w:rFonts w:eastAsia="Aptos" w:cstheme="minorBidi"/>
          <w:kern w:val="2"/>
          <w:lang w:val="es-ES_tradnl"/>
          <w14:ligatures w14:val="standardContextual"/>
        </w:rPr>
      </w:pPr>
      <w:r w:rsidRPr="005B36B5">
        <w:rPr>
          <w:lang w:val="es-ES_tradnl"/>
        </w:rPr>
        <w:t>9)</w:t>
      </w:r>
      <w:r w:rsidRPr="005B36B5">
        <w:rPr>
          <w:lang w:val="es-ES_tradnl"/>
        </w:rPr>
        <w:tab/>
        <w:t>Establecer mecanismos para, desde la etapa de diseño, hacer partícipes a las personas con discapacidad (como los usuarios finales más exigentes) y a las personas con necesidades específicas (como las personas mayores) en el proceso de elaboración de disposiciones jurídicas/reglamentarias, políticas públicas, normas y estrategias relacionadas con el avance de la accesibilidad de productos y servicios de telecomunicaciones/TIC/digitales. Las personas con discapacidad también pueden servir como validadores de estos productos y servicios digitales accesibles.</w:t>
      </w:r>
    </w:p>
    <w:p w14:paraId="4644A17B" w14:textId="77777777" w:rsidR="00A04DF2" w:rsidRPr="001819F4" w:rsidRDefault="00A04DF2" w:rsidP="00A04DF2">
      <w:pPr>
        <w:pStyle w:val="enumlev1"/>
        <w:rPr>
          <w:rFonts w:eastAsia="Aptos" w:cstheme="minorBidi"/>
          <w:kern w:val="2"/>
          <w:lang w:val="es-ES_tradnl"/>
          <w14:ligatures w14:val="standardContextual"/>
        </w:rPr>
      </w:pPr>
      <w:r w:rsidRPr="005B36B5">
        <w:rPr>
          <w:lang w:val="es-ES_tradnl"/>
        </w:rPr>
        <w:t>10)</w:t>
      </w:r>
      <w:r w:rsidRPr="005B36B5">
        <w:rPr>
          <w:lang w:val="es-ES_tradnl"/>
        </w:rPr>
        <w:tab/>
        <w:t>Garantizar que la accesibilidad a las TIC se trabaja desde la planificación y el diseño y se integra en el desarrollo de ciudades y aldeas inteligentes para lograr que sean ciudades y comunidades "inteli</w:t>
      </w:r>
      <w:r w:rsidRPr="001819F4">
        <w:rPr>
          <w:lang w:val="es-ES_tradnl"/>
        </w:rPr>
        <w:t>gentes para todos"</w:t>
      </w:r>
      <w:r w:rsidRPr="001819F4">
        <w:rPr>
          <w:rStyle w:val="FootnoteReference"/>
          <w:rFonts w:eastAsia="Aptos" w:cstheme="minorHAnsi"/>
          <w:kern w:val="2"/>
          <w:szCs w:val="18"/>
          <w:lang w:val="es-ES_tradnl"/>
          <w14:ligatures w14:val="standardContextual"/>
        </w:rPr>
        <w:footnoteReference w:id="17"/>
      </w:r>
      <w:r w:rsidRPr="001819F4">
        <w:rPr>
          <w:lang w:val="es-ES_tradnl"/>
        </w:rPr>
        <w:t xml:space="preserve"> en las que nadie se quede atrás.</w:t>
      </w:r>
    </w:p>
    <w:p w14:paraId="51F3D7E1" w14:textId="77777777" w:rsidR="00A04DF2" w:rsidRPr="001819F4" w:rsidRDefault="00A04DF2" w:rsidP="00A04DF2">
      <w:pPr>
        <w:pStyle w:val="Heading2"/>
        <w:rPr>
          <w:rFonts w:eastAsia="Aptos" w:cstheme="minorBidi"/>
          <w:kern w:val="2"/>
          <w:lang w:val="es-ES_tradnl"/>
          <w14:ligatures w14:val="standardContextual"/>
        </w:rPr>
      </w:pPr>
      <w:r w:rsidRPr="001819F4">
        <w:rPr>
          <w:lang w:val="es-ES_tradnl"/>
        </w:rPr>
        <w:t>2.1</w:t>
      </w:r>
      <w:r>
        <w:rPr>
          <w:lang w:val="es-ES_tradnl"/>
        </w:rPr>
        <w:tab/>
      </w:r>
      <w:r w:rsidRPr="001819F4">
        <w:rPr>
          <w:lang w:val="es-ES_tradnl"/>
        </w:rPr>
        <w:t xml:space="preserve">Nuevo tema de estudio </w:t>
      </w:r>
    </w:p>
    <w:p w14:paraId="12ADB7AB"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 xml:space="preserve">Prácticas idóneas para que la adopción de la IA mejore los beneficios sociales inclusivos, especialmente </w:t>
      </w:r>
      <w:r w:rsidRPr="0002033A">
        <w:rPr>
          <w:lang w:val="es-ES"/>
        </w:rPr>
        <w:t>para</w:t>
      </w:r>
      <w:r w:rsidRPr="001819F4">
        <w:rPr>
          <w:lang w:val="es-ES_tradnl"/>
        </w:rPr>
        <w:t xml:space="preserve"> las personas con discapacidad, las personas de edad av</w:t>
      </w:r>
      <w:r>
        <w:rPr>
          <w:lang w:val="es-ES_tradnl"/>
        </w:rPr>
        <w:t>anzada y los grupos vulnerables</w:t>
      </w:r>
      <w:r w:rsidRPr="001819F4">
        <w:rPr>
          <w:lang w:val="es-ES_tradnl"/>
        </w:rPr>
        <w:t xml:space="preserve"> (en colaboración con la Cuestión D/2)</w:t>
      </w:r>
      <w:r>
        <w:rPr>
          <w:lang w:val="es-ES_tradnl"/>
        </w:rPr>
        <w:t>.</w:t>
      </w:r>
    </w:p>
    <w:p w14:paraId="2D6BE84C" w14:textId="77777777" w:rsidR="00A04DF2" w:rsidRDefault="00A04DF2" w:rsidP="00A04DF2">
      <w:pPr>
        <w:pStyle w:val="QuestionNo"/>
        <w:rPr>
          <w:lang w:val="es-ES_tradnl"/>
        </w:rPr>
      </w:pPr>
      <w:r w:rsidRPr="001819F4">
        <w:rPr>
          <w:lang w:val="es-ES_tradnl"/>
        </w:rPr>
        <w:t>CUESTIÓN A/2</w:t>
      </w:r>
    </w:p>
    <w:p w14:paraId="1FBB88E6" w14:textId="77777777" w:rsidR="00A04DF2" w:rsidRPr="001819F4" w:rsidRDefault="00A04DF2" w:rsidP="00A04DF2">
      <w:pPr>
        <w:pStyle w:val="Questiontitle"/>
        <w:rPr>
          <w:rFonts w:eastAsia="Malgun Gothic" w:cstheme="minorBidi"/>
          <w:kern w:val="2"/>
          <w:lang w:val="es-ES_tradnl"/>
          <w14:ligatures w14:val="standardContextual"/>
        </w:rPr>
      </w:pPr>
      <w:r w:rsidRPr="001819F4">
        <w:rPr>
          <w:lang w:val="es-ES_tradnl"/>
        </w:rPr>
        <w:t>Servicios digitales y ciudades y comunidades inteligentes y sostenibles</w:t>
      </w:r>
    </w:p>
    <w:p w14:paraId="787F987F" w14:textId="77777777" w:rsidR="00A04DF2" w:rsidRPr="001819F4" w:rsidRDefault="00A04DF2" w:rsidP="00A04DF2">
      <w:pPr>
        <w:pStyle w:val="Heading1"/>
        <w:rPr>
          <w:rFonts w:eastAsia="Malgun Gothic" w:cstheme="minorBidi"/>
          <w:kern w:val="2"/>
          <w:lang w:val="es-ES_tradnl"/>
          <w14:ligatures w14:val="standardContextual"/>
        </w:rPr>
      </w:pPr>
      <w:r>
        <w:rPr>
          <w:lang w:val="es-ES_tradnl"/>
        </w:rPr>
        <w:t>1</w:t>
      </w:r>
      <w:r>
        <w:rPr>
          <w:lang w:val="es-ES_tradnl"/>
        </w:rPr>
        <w:tab/>
      </w:r>
      <w:r w:rsidRPr="001819F4">
        <w:rPr>
          <w:lang w:val="es-ES_tradnl"/>
        </w:rPr>
        <w:t>Exposición de la situación o del problema</w:t>
      </w:r>
    </w:p>
    <w:p w14:paraId="520A4223"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 xml:space="preserve">El desarrollo de todos los ámbitos de la sociedad (la cultura, la educación, la salud, el transporte, el comercio y el turismo) dependerá de los adelantos que generen los servicios y sistemas de tecnologías de la información y la comunicación (TIC) en sus actividades. Las TIC pueden desempeñar un papel fundamental en la protección de la propiedad y las personas; gestión inteligente del tráfico de vehículos motorizados; ahorro de energía eléctrica; la medición de los efectos de la contaminación del medio ambiente; la mejora del rendimiento agrícola; el aumento de la eficiencia de los viajes y el turismo mundial; la gestión de la atención sanitaria y la enseñanza; la gestión y control del abastecimiento de agua potable, y la resolución de problemas a </w:t>
      </w:r>
      <w:r w:rsidRPr="001819F4">
        <w:rPr>
          <w:lang w:val="es-ES_tradnl"/>
        </w:rPr>
        <w:lastRenderedPageBreak/>
        <w:t>los que se enfrentan las ciudades y las zonas rurales. Una sociedad inteligente puede hacerse realidad mediante la inteligencia y la digitalización, a través de:</w:t>
      </w:r>
    </w:p>
    <w:p w14:paraId="6E98183F"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i)</w:t>
      </w:r>
      <w:r>
        <w:rPr>
          <w:lang w:val="es-ES_tradnl"/>
        </w:rPr>
        <w:tab/>
      </w:r>
      <w:r w:rsidRPr="001819F4">
        <w:rPr>
          <w:lang w:val="es-ES_tradnl"/>
        </w:rPr>
        <w:t>Un sector específico, que utilice servicios digitales en diferentes ámbitos, como el de la salud, la educación y el turismo,</w:t>
      </w:r>
      <w:r>
        <w:rPr>
          <w:lang w:val="es-ES_tradnl"/>
        </w:rPr>
        <w:t xml:space="preserve"> </w:t>
      </w:r>
      <w:r w:rsidRPr="001819F4">
        <w:rPr>
          <w:lang w:val="es-ES_tradnl"/>
        </w:rPr>
        <w:t>...</w:t>
      </w:r>
    </w:p>
    <w:p w14:paraId="5BE7196D" w14:textId="77777777" w:rsidR="00A04DF2" w:rsidRPr="001819F4" w:rsidRDefault="00A04DF2" w:rsidP="00A04DF2">
      <w:pPr>
        <w:pStyle w:val="enumlev1"/>
        <w:rPr>
          <w:rFonts w:eastAsia="Malgun Gothic" w:cstheme="minorBidi"/>
          <w:kern w:val="2"/>
          <w:lang w:val="es-ES_tradnl"/>
          <w14:ligatures w14:val="standardContextual"/>
        </w:rPr>
      </w:pPr>
      <w:proofErr w:type="spellStart"/>
      <w:r>
        <w:rPr>
          <w:lang w:val="es-ES_tradnl"/>
        </w:rPr>
        <w:t>ii</w:t>
      </w:r>
      <w:proofErr w:type="spellEnd"/>
      <w:r>
        <w:rPr>
          <w:lang w:val="es-ES_tradnl"/>
        </w:rPr>
        <w:t>)</w:t>
      </w:r>
      <w:r>
        <w:rPr>
          <w:lang w:val="es-ES_tradnl"/>
        </w:rPr>
        <w:tab/>
      </w:r>
      <w:r w:rsidRPr="001819F4">
        <w:rPr>
          <w:lang w:val="es-ES_tradnl"/>
        </w:rPr>
        <w:t>Una región específica: a nivel de ciudad, aldea o comunidad.</w:t>
      </w:r>
    </w:p>
    <w:p w14:paraId="4BC76435"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 xml:space="preserve">Igualmente, de acuerdo con la Cumbre Mundial sobre la Sociedad de la Información (CMSI), las aplicaciones y servicios TIC pueden apoyar al desarrollo sostenible en la administración pública, los negocios, la educación y la capacitación, la salud, el medio ambiente, la agricultura y la ciencia en el marco de </w:t>
      </w:r>
      <w:proofErr w:type="spellStart"/>
      <w:r w:rsidRPr="001819F4">
        <w:rPr>
          <w:lang w:val="es-ES_tradnl"/>
        </w:rPr>
        <w:t>ciberestrategias</w:t>
      </w:r>
      <w:proofErr w:type="spellEnd"/>
      <w:r w:rsidRPr="001819F4">
        <w:rPr>
          <w:lang w:val="es-ES_tradnl"/>
        </w:rPr>
        <w:t xml:space="preserve"> nacionales. Las ofertas de servicios digitales, incluidos los servicios electrónicos, los servicios móviles y aplicaciones de servicios superpuestos (OTT) presentan nuevas oportunidades de desarrollo económico, en particular en los países en desarrollo. Las tecnologías habilitadoras como la computación en la nube ofrecen el acceso ubicuo, práctico, por demanda y a través de la red a un conjunto compartido de recursos informáticos configurables (como, por ejemplo, redes, servidores, almacenamiento, aplicaciones y servicios) que pueden ser configurados y liberados rápidamente con una gestión o interacción mínima con el proveedor de servicio. Además, la aplicación de la IA en la agricultura mejora la productividad, promoviendo la mitigación de la pobreza y el desarrollo industrial rural. La IA también mejora la precisión del diagnóstico clínico y la accesibilidad de los tratamientos médicos. </w:t>
      </w:r>
    </w:p>
    <w:p w14:paraId="3B5C1787"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La Agenda 2030 para el Desarrollo Sostenible de las Naciones Unidas reconoce las grandes posibilidades que encierran las TIC y exhorta a que se aumente significativamente el acceso a esas tecnologías, que han de aportar una contribución decisiva en apoyo a la aplicación de todos los Objetivos de Desarrollo Sostenible (ODS). Por lo anterior, la UIT considera una prioridad apoyar a sus Miembros en el logro de estos objetivos, en estrecha colaboración con otros asociados.</w:t>
      </w:r>
    </w:p>
    <w:p w14:paraId="56FF5A74"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En 2024, Naciones Unidas aceptó el Pacto Digital Mundial, y entre sus acciones está el establecer relaciones y conectar todas las escuelas y hospitales a Internet, en el marco de la iniciativa Giga de la UIT y UNICEF, y mejorar los servicios y capacidades de telemedicina.</w:t>
      </w:r>
    </w:p>
    <w:p w14:paraId="1D3DE7C3"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 xml:space="preserve">La promesa de la sociedad inteligente se basa en tres pilares tecnológicos (la conectividad, los terminales/dispositivos inteligentes y el </w:t>
      </w:r>
      <w:r w:rsidRPr="008167FC">
        <w:rPr>
          <w:i/>
          <w:iCs/>
          <w:lang w:val="es-ES_tradnl"/>
        </w:rPr>
        <w:t>software</w:t>
      </w:r>
      <w:r w:rsidRPr="001819F4">
        <w:rPr>
          <w:lang w:val="es-ES_tradnl"/>
        </w:rPr>
        <w:t>), así como en los principios de desarrollo sostenible.</w:t>
      </w:r>
    </w:p>
    <w:p w14:paraId="6AF0F296"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 xml:space="preserve">La conectividad o la infraestructura subyacente abarcan tanto las redes tradicionales e incipientes como las tecnologías nuevas, y es un factor esencial con el que se podrían proporcionar todos los servicios inteligentes. Es un factor esencial con el que se podrían proporcionar todos los servicios inteligentes. Como ejemplos cabe citar las comunicaciones máquina a máquina (M2M), la Internet de las cosas (IoT) y las aplicaciones y los servicios resultantes, tales como el </w:t>
      </w:r>
      <w:proofErr w:type="spellStart"/>
      <w:r w:rsidRPr="001819F4">
        <w:rPr>
          <w:lang w:val="es-ES_tradnl"/>
        </w:rPr>
        <w:t>cibergobierno</w:t>
      </w:r>
      <w:proofErr w:type="spellEnd"/>
      <w:r w:rsidRPr="001819F4">
        <w:rPr>
          <w:lang w:val="es-ES_tradnl"/>
        </w:rPr>
        <w:t>, la gestión del tráfico y la seguridad vial.</w:t>
      </w:r>
    </w:p>
    <w:p w14:paraId="38976106"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 xml:space="preserve">Los dispositivos/terminales inteligentes son los componentes periféricos y los elementos conectados, a través de la capa de infraestructura y conectividad, para intercambiar datos entre el centro de operaciones urbano y el terreno. Coches, semáforos y cámaras de tráfico, bombas de agua, redes eléctricas, equipos domésticos, alumbrado público y monitores de salud son ejemplos de elementos que deben convertirse en inteligentes para generar importantes avances hacia el </w:t>
      </w:r>
      <w:r w:rsidRPr="001819F4">
        <w:rPr>
          <w:lang w:val="es-ES_tradnl"/>
        </w:rPr>
        <w:lastRenderedPageBreak/>
        <w:t>logro de las metas de sostenibilidad, sociales y económicas. Esto es especialmente importante en los países en desarrollo.</w:t>
      </w:r>
      <w:r w:rsidRPr="001819F4">
        <w:rPr>
          <w:rStyle w:val="FootnoteReference"/>
          <w:rFonts w:eastAsia="Malgun Gothic" w:cstheme="minorHAnsi"/>
          <w:kern w:val="2"/>
          <w:szCs w:val="18"/>
          <w:lang w:val="es-ES_tradnl" w:eastAsia="ko-KR"/>
          <w14:ligatures w14:val="standardContextual"/>
        </w:rPr>
        <w:footnoteReference w:id="18"/>
      </w:r>
    </w:p>
    <w:p w14:paraId="2271F8D3"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 xml:space="preserve">Por tanto, el papel del desarrollo de </w:t>
      </w:r>
      <w:r w:rsidRPr="008167FC">
        <w:rPr>
          <w:i/>
          <w:iCs/>
          <w:lang w:val="es-ES_tradnl"/>
        </w:rPr>
        <w:t>software</w:t>
      </w:r>
      <w:r w:rsidRPr="001819F4">
        <w:rPr>
          <w:lang w:val="es-ES_tradnl"/>
        </w:rPr>
        <w:t xml:space="preserve"> se vuelve indispensable para utilizar y aprovechar los dos primeros pilares (conectividad y terminales), de modo que los tres pilares pueden funcionar juntos para dar soporte a nuevos servicios que, de otra manera, no habrían sido posibles. El </w:t>
      </w:r>
      <w:r w:rsidRPr="008167FC">
        <w:rPr>
          <w:i/>
          <w:iCs/>
          <w:lang w:val="es-ES_tradnl"/>
        </w:rPr>
        <w:t>software</w:t>
      </w:r>
      <w:r w:rsidRPr="001819F4">
        <w:rPr>
          <w:lang w:val="es-ES_tradnl"/>
        </w:rPr>
        <w:t xml:space="preserve"> incluye tanto la plataforma urbana que interactúa adecuadamente con todos los terminales como las funciones de servicios específicos ajustadas para realizar cada aplicación o servicio vertical en la ciudad.</w:t>
      </w:r>
    </w:p>
    <w:p w14:paraId="096381BC"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El trabajo que se realice al amparo de esta Cuestión de Estudio, podrá fundamentarse en la Resolución 11 (Kigali, 2022) sobre servicios de telecomunicaciones/TIC en las zonas rurales, aisladas e insuficientemente atendidas, la Resolución 68 (Rev. Kigali, 2022) sobre la prestación de asistencia a las comunidades indígenas y promoción de las mismas a través de las TIC y la Recomendación 19 del UIT-D sobre telecomunicaciones para las zonas rurales y distantes de la Conferencia Mundial de Desarrollo de las Telecomunicaciones; en las Resoluciones</w:t>
      </w:r>
      <w:r>
        <w:rPr>
          <w:lang w:val="es-ES_tradnl"/>
        </w:rPr>
        <w:t> </w:t>
      </w:r>
      <w:r w:rsidRPr="001819F4">
        <w:rPr>
          <w:lang w:val="es-ES_tradnl"/>
        </w:rPr>
        <w:t>139 (Rev.</w:t>
      </w:r>
      <w:r>
        <w:rPr>
          <w:lang w:val="es-ES_tradnl"/>
        </w:rPr>
        <w:t> </w:t>
      </w:r>
      <w:r w:rsidRPr="001819F4">
        <w:rPr>
          <w:lang w:val="es-ES_tradnl"/>
        </w:rPr>
        <w:t>Bucarest, 2022) sobre la utilización de las telecomunicaciones/TIC para reducir la brecha digital y crear una sociedad de la información integradora y 197 (Rev. Dubái, 2018) sobre la facilitación de IoT como preparación para un mundo globalmente conectado, de la Conferencia de Plenipotenciarios; en las Resoluciones 44 (Rev. Nueva Delhi, 2024) sobre la reducción de la brecha de normalización entre los países en desarrollo y los desarrollados y 98 (Rev. Nueva Delhi, 2024) sobre la mejora de la normalización de IoT, los gemelos digitales y las ciudades y comunidades inteligentes (CCI) para el desarrollo mundial, de la Asamblea Mundial de Normalización de las Telecomunicaciones; y en la Resolución UIT-R 66-2 (Rev. Dubái, 2023) de la Asamblea de Radiocomunicaciones, sobre estudios relativos a sistemas y aplicaciones inalámbricos para el desarrollo de la IoT.</w:t>
      </w:r>
    </w:p>
    <w:p w14:paraId="4974BCEC" w14:textId="77777777" w:rsidR="00A04DF2" w:rsidRPr="001819F4" w:rsidRDefault="00A04DF2" w:rsidP="00A04DF2">
      <w:pPr>
        <w:pStyle w:val="Heading1"/>
        <w:rPr>
          <w:rFonts w:eastAsia="Malgun Gothic" w:cstheme="minorBidi"/>
          <w:kern w:val="2"/>
          <w:lang w:val="es-ES_tradnl"/>
          <w14:ligatures w14:val="standardContextual"/>
        </w:rPr>
      </w:pPr>
      <w:r>
        <w:rPr>
          <w:lang w:val="es-ES_tradnl"/>
        </w:rPr>
        <w:t>2</w:t>
      </w:r>
      <w:r>
        <w:rPr>
          <w:lang w:val="es-ES_tradnl"/>
        </w:rPr>
        <w:tab/>
      </w:r>
      <w:r w:rsidRPr="001819F4">
        <w:rPr>
          <w:lang w:val="es-ES_tradnl"/>
        </w:rPr>
        <w:t xml:space="preserve">Cuestión o asunto que ha de estudiarse </w:t>
      </w:r>
    </w:p>
    <w:p w14:paraId="1E808958"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Habida cuenta de lo expuesto en el § 1, el tema de estudio girará en torno a los tres pilares principales, además de otros aspectos complementarios, a saber:</w:t>
      </w:r>
    </w:p>
    <w:p w14:paraId="4421C61E"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1)</w:t>
      </w:r>
      <w:r>
        <w:rPr>
          <w:lang w:val="es-ES_tradnl"/>
        </w:rPr>
        <w:tab/>
      </w:r>
      <w:r w:rsidRPr="001819F4">
        <w:rPr>
          <w:lang w:val="es-ES_tradnl"/>
        </w:rPr>
        <w:t xml:space="preserve">Consideración de las ciudades y comunidades inteligentes y sostenibles (CCIS) para ampliar el ámbito de estudio e incluir las aldeas inteligentes y cualquier tipo de comunidad. </w:t>
      </w:r>
    </w:p>
    <w:p w14:paraId="5EBA3BDF"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2)</w:t>
      </w:r>
      <w:r>
        <w:rPr>
          <w:lang w:val="es-ES_tradnl"/>
        </w:rPr>
        <w:tab/>
      </w:r>
      <w:r w:rsidRPr="001819F4">
        <w:rPr>
          <w:lang w:val="es-ES_tradnl"/>
        </w:rPr>
        <w:t>Sensibilización e intercambio de experiencias sobre cómo mejorar la conectividad y la infraestructura subyacente para favorecer la sociedad inteligente y los posibles servicios digitales inteligentes, la administración pública, el transporte, las empresas, el medio ambiente, la agricultura, el turismo y la ciencia, la educación, la sanidad, el comercio y las finanzas.</w:t>
      </w:r>
    </w:p>
    <w:p w14:paraId="2997C516"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3)</w:t>
      </w:r>
      <w:r>
        <w:rPr>
          <w:lang w:val="es-ES_tradnl"/>
        </w:rPr>
        <w:tab/>
      </w:r>
      <w:r w:rsidRPr="001819F4">
        <w:rPr>
          <w:lang w:val="es-ES_tradnl"/>
        </w:rPr>
        <w:t xml:space="preserve">Estudiar métodos y ejemplos de cómo el </w:t>
      </w:r>
      <w:r w:rsidRPr="008167FC">
        <w:rPr>
          <w:i/>
          <w:iCs/>
          <w:lang w:val="es-ES_tradnl"/>
        </w:rPr>
        <w:t>software</w:t>
      </w:r>
      <w:r w:rsidRPr="001819F4">
        <w:rPr>
          <w:lang w:val="es-ES_tradnl"/>
        </w:rPr>
        <w:t xml:space="preserve"> y las plataformas, tanto de código abierto como patentado, permiten una arquitectura y un funcionamiento eficientes de los servicios inteligentes. </w:t>
      </w:r>
    </w:p>
    <w:p w14:paraId="3E70A61F"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lastRenderedPageBreak/>
        <w:t>4)</w:t>
      </w:r>
      <w:r>
        <w:rPr>
          <w:lang w:val="es-ES_tradnl"/>
        </w:rPr>
        <w:tab/>
      </w:r>
      <w:r w:rsidRPr="001819F4">
        <w:rPr>
          <w:lang w:val="es-ES_tradnl"/>
        </w:rPr>
        <w:t>El estudio de políticas y modelos corporativos que garanticen la participación de las distintas partes interesadas y fomenten el desarrollo sostenible y armonioso de ciudades y comunidades inteligentes.</w:t>
      </w:r>
    </w:p>
    <w:p w14:paraId="02A1D7E5"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5)</w:t>
      </w:r>
      <w:r>
        <w:rPr>
          <w:lang w:val="es-ES_tradnl"/>
        </w:rPr>
        <w:tab/>
      </w:r>
      <w:r w:rsidRPr="001819F4">
        <w:rPr>
          <w:lang w:val="es-ES_tradnl"/>
        </w:rPr>
        <w:t>Examen y compartición de arquitecturas de referencia para la gestión de datos que fomenten y faciliten el desarrollo de ciudades y comunidades inteligentes.</w:t>
      </w:r>
    </w:p>
    <w:p w14:paraId="15E41D7F"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6)</w:t>
      </w:r>
      <w:r>
        <w:rPr>
          <w:lang w:val="es-ES_tradnl"/>
        </w:rPr>
        <w:tab/>
      </w:r>
      <w:r w:rsidRPr="001819F4">
        <w:rPr>
          <w:lang w:val="es-ES_tradnl"/>
        </w:rPr>
        <w:t>La definición de mecanismos comparativos y de evaluación del rendimiento en lo que respecta a la calidad de vida, los aspectos técnicos y los mecanismos políticos.</w:t>
      </w:r>
    </w:p>
    <w:p w14:paraId="6B4C588B"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7)</w:t>
      </w:r>
      <w:r>
        <w:rPr>
          <w:lang w:val="es-ES_tradnl"/>
        </w:rPr>
        <w:tab/>
      </w:r>
      <w:r w:rsidRPr="001819F4">
        <w:rPr>
          <w:lang w:val="es-ES_tradnl"/>
        </w:rPr>
        <w:t>El intercambio de experiencias y prácticas idóneas y el desarrollo de un marco jurídico adecuado para la construcción de ciudades inteligentes y la selección/prestación de aplicaciones y servicios inteligentes.</w:t>
      </w:r>
    </w:p>
    <w:p w14:paraId="6AEDC14F"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8)</w:t>
      </w:r>
      <w:r>
        <w:rPr>
          <w:lang w:val="es-ES_tradnl"/>
        </w:rPr>
        <w:tab/>
      </w:r>
      <w:r w:rsidRPr="001819F4">
        <w:rPr>
          <w:lang w:val="es-ES_tradnl"/>
        </w:rPr>
        <w:t>El fomento de la capacitación y la adquisición de conocimientos sobre las TIC para la adopción de las competencias necesarias para el desarrollo de una sociedad inteligente.</w:t>
      </w:r>
    </w:p>
    <w:p w14:paraId="3E1DD46F"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9)</w:t>
      </w:r>
      <w:r>
        <w:rPr>
          <w:lang w:val="es-ES_tradnl"/>
        </w:rPr>
        <w:tab/>
      </w:r>
      <w:r w:rsidRPr="001819F4">
        <w:rPr>
          <w:lang w:val="es-ES_tradnl"/>
        </w:rPr>
        <w:t>El incentivo a los planificadores y funcionarios urbanos a participar en el estudio y compartir sus experiencias.</w:t>
      </w:r>
    </w:p>
    <w:p w14:paraId="196B6CFC"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10)</w:t>
      </w:r>
      <w:r>
        <w:rPr>
          <w:lang w:val="es-ES_tradnl"/>
        </w:rPr>
        <w:tab/>
      </w:r>
      <w:r w:rsidRPr="001819F4">
        <w:rPr>
          <w:lang w:val="es-ES_tradnl"/>
        </w:rPr>
        <w:t>Estrategias y políticas para fomentar el surgimiento de un ecosistema de computación en la nube en los países en desarrollo, habida cuenta de las normas pertinentes reconocidas o en fase de estudio en los otros dos Sectores de la UIT.</w:t>
      </w:r>
    </w:p>
    <w:p w14:paraId="4940BE09"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11)</w:t>
      </w:r>
      <w:r>
        <w:rPr>
          <w:lang w:val="es-ES_tradnl"/>
        </w:rPr>
        <w:tab/>
      </w:r>
      <w:r w:rsidRPr="001819F4">
        <w:rPr>
          <w:lang w:val="es-ES_tradnl"/>
        </w:rPr>
        <w:t>La aplicación y repercusión de las tecnologías de IA en apoyo de los servicios y aplicaciones digitales para propiciar un ecosistema de telecomunicaciones/TIC eficiente y empoderar a la industria tradicional de las TIC (en colaboración con la Cuestión</w:t>
      </w:r>
      <w:r>
        <w:rPr>
          <w:lang w:val="es-ES_tradnl"/>
        </w:rPr>
        <w:t> </w:t>
      </w:r>
      <w:r w:rsidRPr="001819F4">
        <w:rPr>
          <w:lang w:val="es-ES_tradnl"/>
        </w:rPr>
        <w:t>D/2)</w:t>
      </w:r>
      <w:r>
        <w:rPr>
          <w:lang w:val="es-ES_tradnl"/>
        </w:rPr>
        <w:t>.</w:t>
      </w:r>
    </w:p>
    <w:p w14:paraId="53C74BD7" w14:textId="77777777" w:rsidR="00A04DF2" w:rsidRPr="001819F4" w:rsidRDefault="00A04DF2" w:rsidP="00A04DF2">
      <w:pPr>
        <w:pStyle w:val="enumlev1"/>
        <w:rPr>
          <w:rFonts w:cstheme="minorBidi"/>
          <w:kern w:val="2"/>
          <w:lang w:val="es-ES_tradnl"/>
          <w14:ligatures w14:val="standardContextual"/>
        </w:rPr>
      </w:pPr>
      <w:r>
        <w:rPr>
          <w:lang w:val="es-ES_tradnl"/>
        </w:rPr>
        <w:t>12)</w:t>
      </w:r>
      <w:r>
        <w:rPr>
          <w:lang w:val="es-ES_tradnl"/>
        </w:rPr>
        <w:tab/>
      </w:r>
      <w:r w:rsidRPr="001819F4">
        <w:rPr>
          <w:lang w:val="es-ES_tradnl"/>
        </w:rPr>
        <w:t>Apoyo de conocimientos avanzados a los proyectos de servicios y aplicaciones digitales de la BDT en cooperación con la OMS y otros organismos de las Naciones Unidas.</w:t>
      </w:r>
    </w:p>
    <w:p w14:paraId="1FB55884" w14:textId="77777777" w:rsidR="00A04DF2" w:rsidRDefault="00A04DF2" w:rsidP="00A04DF2">
      <w:pPr>
        <w:pStyle w:val="QuestionNo"/>
        <w:rPr>
          <w:lang w:val="es-ES_tradnl"/>
        </w:rPr>
      </w:pPr>
      <w:r w:rsidRPr="001819F4">
        <w:rPr>
          <w:lang w:val="es-ES_tradnl"/>
        </w:rPr>
        <w:t>CUESTIÓN B/2</w:t>
      </w:r>
    </w:p>
    <w:p w14:paraId="0B117887" w14:textId="77777777" w:rsidR="00A04DF2" w:rsidRPr="001819F4" w:rsidRDefault="00A04DF2" w:rsidP="00A04DF2">
      <w:pPr>
        <w:pStyle w:val="Questiontitle"/>
        <w:rPr>
          <w:rFonts w:eastAsia="Malgun Gothic" w:cstheme="minorBidi"/>
          <w:kern w:val="2"/>
          <w:lang w:val="es-ES_tradnl"/>
          <w14:ligatures w14:val="standardContextual"/>
        </w:rPr>
      </w:pPr>
      <w:r w:rsidRPr="001819F4">
        <w:rPr>
          <w:lang w:val="es-ES_tradnl"/>
        </w:rPr>
        <w:t>TIC para el medio ambiente y exposición de las personas a los campos electromagnéticos</w:t>
      </w:r>
    </w:p>
    <w:p w14:paraId="38498BD7" w14:textId="77777777" w:rsidR="00A04DF2" w:rsidRPr="001819F4" w:rsidRDefault="00A04DF2" w:rsidP="00A04DF2">
      <w:pPr>
        <w:pStyle w:val="Heading1"/>
        <w:rPr>
          <w:rFonts w:eastAsia="Malgun Gothic" w:cstheme="minorBidi"/>
          <w:kern w:val="2"/>
          <w:lang w:val="es-ES_tradnl"/>
          <w14:ligatures w14:val="standardContextual"/>
        </w:rPr>
      </w:pPr>
      <w:r>
        <w:rPr>
          <w:lang w:val="es-ES_tradnl"/>
        </w:rPr>
        <w:t>1</w:t>
      </w:r>
      <w:r>
        <w:rPr>
          <w:lang w:val="es-ES_tradnl"/>
        </w:rPr>
        <w:tab/>
      </w:r>
      <w:r w:rsidRPr="001819F4">
        <w:rPr>
          <w:lang w:val="es-ES_tradnl"/>
        </w:rPr>
        <w:t>Exposición de la situación o del problema</w:t>
      </w:r>
    </w:p>
    <w:p w14:paraId="788684CE" w14:textId="77777777" w:rsidR="00A04DF2" w:rsidRPr="001819F4" w:rsidRDefault="00A04DF2" w:rsidP="00A04DF2">
      <w:pPr>
        <w:pStyle w:val="Heading2"/>
        <w:rPr>
          <w:rFonts w:eastAsia="Malgun Gothic" w:cstheme="minorBidi"/>
          <w:kern w:val="2"/>
          <w:lang w:val="es-ES_tradnl"/>
          <w14:ligatures w14:val="standardContextual"/>
        </w:rPr>
      </w:pPr>
      <w:r>
        <w:rPr>
          <w:lang w:val="es-ES_tradnl"/>
        </w:rPr>
        <w:t>1.1</w:t>
      </w:r>
      <w:r>
        <w:rPr>
          <w:lang w:val="es-ES_tradnl"/>
        </w:rPr>
        <w:tab/>
      </w:r>
      <w:r w:rsidRPr="001819F4">
        <w:rPr>
          <w:lang w:val="es-ES_tradnl"/>
        </w:rPr>
        <w:t>Las TIC y el cambio climático</w:t>
      </w:r>
    </w:p>
    <w:p w14:paraId="5BA1BA89"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La cuestión del cambio climático se ha convertido en un problema de alcance mundial que requiere la colaboración de todos los implicados del planeta, en particular los países en desarrollo</w:t>
      </w:r>
      <w:r w:rsidRPr="001819F4">
        <w:rPr>
          <w:rStyle w:val="FootnoteReference"/>
          <w:rFonts w:eastAsia="Malgun Gothic" w:cstheme="minorHAnsi"/>
          <w:kern w:val="2"/>
          <w:szCs w:val="18"/>
          <w:lang w:val="es-ES_tradnl" w:eastAsia="ko-KR"/>
          <w14:ligatures w14:val="standardContextual"/>
        </w:rPr>
        <w:footnoteReference w:id="19"/>
      </w:r>
      <w:r w:rsidRPr="001819F4">
        <w:rPr>
          <w:lang w:val="es-ES_tradnl"/>
        </w:rPr>
        <w:t xml:space="preserve"> (que son los más vulnerables en lo que respecta al cambio climático); las iniciativas internacionales en este campo tratan de lograr un desarrollo sostenible y definir las formas en que las tecnologías de la información y la comunicación (TIC) pueden ayudar a supervisar dicho cambio climático mediante, por ejemplo, imágenes por satélite, drones, IA, etc. y reducir las emisiones totales de gases de efecto invernadero (GEI). El núcleo de esta Cuestión de estudio es "el consumo y la producción responsables".</w:t>
      </w:r>
    </w:p>
    <w:p w14:paraId="667E0298"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lastRenderedPageBreak/>
        <w:t>Las TIC influyen directa e indirectamente en el medio ambiente. Las TIC tienen su propia huella directa, que deberá reducirse para cumplir los objetivos del Acuerdo de París. Al mismo tiempo, las TIC pueden ayudar a las economías emergentes a superar obstáculos y florecer a pesar del cambio y las fluctuaciones climáticas, al tiempo que ayudan al mundo a mitigar el cambio climático.</w:t>
      </w:r>
    </w:p>
    <w:p w14:paraId="0B365F7B"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Las nuevas tecnologías, sistemas y aplicaciones pueden supervisar el cambio climático y reducir sus consecuencias negativas gracias a, por ejemplo, los macrodatos. Estos pueden ser clave para ayudar a los responsables políticos y a la industria a hacer frente a los retos que plantean los cambios medioambientales a la hora de formular nuevas políticas y fijar nuevas normas de producción para reducir las emisiones. También la inteligencia artificial (IA) puede ayudar a recopilar información con diversos métodos y por diversos canales, empleando la experiencia humana e histórica para hacer frente a fenómenos meteorológicos extremos e impredecibles. La IA contribuye a la conservación del medio ambiente mediante el seguimiento del cambio climático, la optimización del uso de los recursos y el apoyo al desarrollo de energías renovables.</w:t>
      </w:r>
    </w:p>
    <w:p w14:paraId="3FF9B87E"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La Comisión de Estudio 5 del Sector de Normalización de las Telecomunicaciones de la UIT (UIT</w:t>
      </w:r>
      <w:r>
        <w:rPr>
          <w:lang w:val="es-ES_tradnl"/>
        </w:rPr>
        <w:noBreakHyphen/>
      </w:r>
      <w:r w:rsidRPr="001819F4">
        <w:rPr>
          <w:lang w:val="es-ES_tradnl"/>
        </w:rPr>
        <w:t>T) es la Comisión de Estudio Rectora encargada de los aspectos medioambientales de los fenómenos electromagnéticos, el medio ambiente y el cambio climático, incluidas las metodologías y orientaciones para reducir las consecuencias medioambientales, como el reciclado de instalaciones y equipos de TIC; y la Comisión de Estudio 7 (Servicios científicos) del Sector de Radiocomunicaciones de la UIT (UIT-R) es la Comisión de Estudio Rectora para los estudios relacionados con la utilización de tecnologías, sistemas y aplicaciones de radiocomunicaciones, incluidos los sistemas de satélite, para la vigilancia del medio ambiente y el cambio climático y la predicción del cambio climático.</w:t>
      </w:r>
    </w:p>
    <w:p w14:paraId="6A278633"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A este respecto, los resultados de las Resoluciones y Recomendaciones del UIT-T y el UIT</w:t>
      </w:r>
      <w:r>
        <w:rPr>
          <w:lang w:val="es-ES_tradnl"/>
        </w:rPr>
        <w:noBreakHyphen/>
      </w:r>
      <w:r w:rsidRPr="001819F4">
        <w:rPr>
          <w:lang w:val="es-ES_tradnl"/>
        </w:rPr>
        <w:t>R, y en particular la Resolución 73 (Rev. Ginebra, 2022) de la Asamblea Mundial de Normalización de las Telecomunicaciones y la Resolución 673 (Rev.CMR-12) de la Conferencia Mundial de Radiocomunicaciones deberían servir de base para el estudio de esta Cuestión.</w:t>
      </w:r>
    </w:p>
    <w:p w14:paraId="095436DC" w14:textId="77777777" w:rsidR="00A04DF2" w:rsidRPr="001819F4" w:rsidRDefault="00A04DF2" w:rsidP="00A04DF2">
      <w:pPr>
        <w:pStyle w:val="Heading2"/>
        <w:rPr>
          <w:rFonts w:eastAsia="Malgun Gothic" w:cstheme="minorBidi"/>
          <w:kern w:val="2"/>
          <w:lang w:val="es-ES_tradnl"/>
          <w14:ligatures w14:val="standardContextual"/>
        </w:rPr>
      </w:pPr>
      <w:r>
        <w:rPr>
          <w:lang w:val="es-ES_tradnl"/>
        </w:rPr>
        <w:t>1.2</w:t>
      </w:r>
      <w:r>
        <w:rPr>
          <w:lang w:val="es-ES_tradnl"/>
        </w:rPr>
        <w:tab/>
      </w:r>
      <w:r w:rsidRPr="001819F4">
        <w:rPr>
          <w:lang w:val="es-ES_tradnl"/>
        </w:rPr>
        <w:t>Residuos generados por las telecomunicaciones/TIC</w:t>
      </w:r>
    </w:p>
    <w:p w14:paraId="7EC951B6"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En los últimos años se ha observado un crecimiento exponencial de las telecomunicaciones/TIC, especialmente en los países en desarrollo. Por ejemplo, entre 2002 y 2007, la penetración de la telefonía móvil en la Región de las Américas aumentó de 19 a 70 terminales por cada 100</w:t>
      </w:r>
      <w:r>
        <w:rPr>
          <w:lang w:val="es-ES_tradnl"/>
        </w:rPr>
        <w:t> </w:t>
      </w:r>
      <w:r w:rsidRPr="001819F4">
        <w:rPr>
          <w:lang w:val="es-ES_tradnl"/>
        </w:rPr>
        <w:t>habitantes. A nivel mundial, la parte correspondiente a los abonos a la telefonía móvil en los países en desarrollo registró un aumento de 20 puntos porcentuales, pasando del 44 al 64</w:t>
      </w:r>
      <w:r>
        <w:rPr>
          <w:lang w:val="es-ES_tradnl"/>
        </w:rPr>
        <w:t> %</w:t>
      </w:r>
      <w:r w:rsidRPr="001819F4">
        <w:rPr>
          <w:lang w:val="es-ES_tradnl"/>
        </w:rPr>
        <w:t xml:space="preserve"> en el mismo periodo de tiempo.</w:t>
      </w:r>
    </w:p>
    <w:p w14:paraId="0C50B160"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El aumento de equipos eléctricos y electrónicos y sus respectivos periféricos, así como la renovación constante de la tecnología, ha ocasionado un crecimiento nada desdeñable de residuos generados por las telecomunicaciones/TIC. Se estima que cada año se generan entre 20 y 50</w:t>
      </w:r>
      <w:r>
        <w:rPr>
          <w:lang w:val="es-ES_tradnl"/>
        </w:rPr>
        <w:t> </w:t>
      </w:r>
      <w:r w:rsidRPr="001819F4">
        <w:rPr>
          <w:lang w:val="es-ES_tradnl"/>
        </w:rPr>
        <w:t>millones de toneladas de residuos resultantes de las telecomunicaciones/TIC en todo el mundo. Sin embargo, es muy bajo el nivel de reciclado y eliminación responsable, siendo difícil incluso encontrar datos al respecto a escala regional.</w:t>
      </w:r>
    </w:p>
    <w:p w14:paraId="0EB165E7"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De acuerdo con The Global E-</w:t>
      </w:r>
      <w:proofErr w:type="spellStart"/>
      <w:r w:rsidRPr="001819F4">
        <w:rPr>
          <w:lang w:val="es-ES_tradnl"/>
        </w:rPr>
        <w:t>waste</w:t>
      </w:r>
      <w:proofErr w:type="spellEnd"/>
      <w:r w:rsidRPr="001819F4">
        <w:rPr>
          <w:lang w:val="es-ES_tradnl"/>
        </w:rPr>
        <w:t xml:space="preserve"> Monitor 2020, en 2019 se generaron 53,6 millones de toneladas de residuos-e en todo el mundo, y se prevé que la generación mundial de residuos alcance los 74 millones de toneladas en 2030, casi duplicando las cifras de 2014. Esto equivale a una media de 7,3 kg por persona.</w:t>
      </w:r>
    </w:p>
    <w:p w14:paraId="469F00F8"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lastRenderedPageBreak/>
        <w:t>El reciclaje y la eliminación eficiente de los residuos de telecomunicaciones/TIC no se han tratado adecuadamente y resulta extremadamente difícil hasta obtener las cifras totales correctas de residuos de TIC/residuos-e a nivel mundial.</w:t>
      </w:r>
    </w:p>
    <w:p w14:paraId="5CF510D2"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La ausencia de un sistema adecuado de reciclado o eliminación de residuos-e ha ocasionado gravísimos problemas sanitarios y medioambientales en materia de medio ambiente, en particular en los países en desarrollo.</w:t>
      </w:r>
    </w:p>
    <w:p w14:paraId="40932341"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Debido al crecimiento exponencial de terminales de las telecomunicaciones/TIC junto con su elevado grado de renovación, y a los avances tecnológicos, resulta imprescindible en el futuro inmediato adoptar medidas para evitar la catástrofe ambiental que podría sobrevenir en los países en desarrollo si no se elabora un marco reglamentario adecuado ni se conciben políticas que resuelvan este problema.</w:t>
      </w:r>
    </w:p>
    <w:p w14:paraId="67BC3BB8" w14:textId="77777777" w:rsidR="00A04DF2" w:rsidRPr="001819F4" w:rsidRDefault="00A04DF2" w:rsidP="00A04DF2">
      <w:pPr>
        <w:pStyle w:val="Heading2"/>
        <w:rPr>
          <w:rFonts w:eastAsia="Malgun Gothic" w:cstheme="minorBidi"/>
          <w:kern w:val="2"/>
          <w:lang w:val="es-ES_tradnl"/>
          <w14:ligatures w14:val="standardContextual"/>
        </w:rPr>
      </w:pPr>
      <w:r>
        <w:rPr>
          <w:lang w:val="es-ES_tradnl"/>
        </w:rPr>
        <w:t>1.3</w:t>
      </w:r>
      <w:r>
        <w:rPr>
          <w:lang w:val="es-ES_tradnl"/>
        </w:rPr>
        <w:tab/>
      </w:r>
      <w:r w:rsidRPr="001819F4">
        <w:rPr>
          <w:lang w:val="es-ES_tradnl"/>
        </w:rPr>
        <w:t>Las TIC y la biodiversidad</w:t>
      </w:r>
    </w:p>
    <w:p w14:paraId="3B4BEA25"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La COP 15 de las Naciones Unidas sobre Biodiversidad, organizada por el Convenio sobre la Diversidad Biológica de las Naciones Unidas, definió en 2022 una hoja de ruta más allá de 2030 sobre la biodiversidad. Esta COP dio lugar a un atractivo acuerdo mundial centrado en varios objetivos para todo el planeta para 2050 y generó en torno a 23</w:t>
      </w:r>
      <w:r>
        <w:rPr>
          <w:lang w:val="es-ES_tradnl"/>
        </w:rPr>
        <w:t> </w:t>
      </w:r>
      <w:r w:rsidRPr="001819F4">
        <w:rPr>
          <w:lang w:val="es-ES_tradnl"/>
        </w:rPr>
        <w:t>metas para 2030: se trata de la adopción del Marco Mundial de Biodiversidad de Kunming-Montreal por 196</w:t>
      </w:r>
      <w:r>
        <w:rPr>
          <w:lang w:val="es-ES_tradnl"/>
        </w:rPr>
        <w:t> </w:t>
      </w:r>
      <w:r w:rsidRPr="001819F4">
        <w:rPr>
          <w:lang w:val="es-ES_tradnl"/>
        </w:rPr>
        <w:t>naciones. El acuerdo incluye la protección del 30</w:t>
      </w:r>
      <w:r>
        <w:rPr>
          <w:lang w:val="es-ES_tradnl"/>
        </w:rPr>
        <w:t> </w:t>
      </w:r>
      <w:r w:rsidRPr="001819F4">
        <w:rPr>
          <w:lang w:val="es-ES_tradnl"/>
        </w:rPr>
        <w:t>% de la tierra y el 30</w:t>
      </w:r>
      <w:r>
        <w:rPr>
          <w:lang w:val="es-ES_tradnl"/>
        </w:rPr>
        <w:t> </w:t>
      </w:r>
      <w:r w:rsidRPr="001819F4">
        <w:rPr>
          <w:lang w:val="es-ES_tradnl"/>
        </w:rPr>
        <w:t xml:space="preserve">% de los mares para 2030 y el despliegue de soluciones basadas en la naturaleza para luchar contra el cambio climático. </w:t>
      </w:r>
    </w:p>
    <w:p w14:paraId="6A626149"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 xml:space="preserve">Durante la COP 15, se fijó el siguiente objetivo fundacional: Detener e invertir la pérdida de diversidad biológica para 2030. Este objetivo implica la necesidad de poder evaluar el impacto en la biodiversidad de las actividades humanas, incluido el de las organizaciones. </w:t>
      </w:r>
    </w:p>
    <w:p w14:paraId="5B3B112C"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 xml:space="preserve">A diferencia de muchos otros productos y servicios, las tecnologías de la información y la comunicación (TIC) se distinguen por su carácter de doble filo. Aunque el sector de las TIC no es uno de los principales sectores que afectan a la biodiversidad, sí tiene repercusiones a través de la extracción de materiales, por ejemplo de materias primas, el aumento de la producción, la eliminación contaminante de equipos TIC al final de su vida útil, la ocupación del suelo e, indirectamente, las emisiones de gases de efecto invernadero generadas. </w:t>
      </w:r>
    </w:p>
    <w:p w14:paraId="040EB528"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 xml:space="preserve">Con todo, al mismo tiempo, las TIC y las tecnologías digitales como la IoT, la inteligencia artificial, los drones y las imágenes satelitales pueden ayudar a hacer un seguimiento de la biodiversidad y facilitar su protección y restauración a través de redes de sensores remotos, la recopilación y gestión de datos para promover su conservación. </w:t>
      </w:r>
    </w:p>
    <w:p w14:paraId="43486FC9" w14:textId="77777777" w:rsidR="00A04DF2" w:rsidRPr="001819F4" w:rsidRDefault="00A04DF2" w:rsidP="00A04DF2">
      <w:pPr>
        <w:pStyle w:val="Heading2"/>
        <w:rPr>
          <w:rFonts w:eastAsia="Malgun Gothic" w:cstheme="minorBidi"/>
          <w:kern w:val="2"/>
          <w:lang w:val="es-ES_tradnl"/>
          <w14:ligatures w14:val="standardContextual"/>
        </w:rPr>
      </w:pPr>
      <w:r>
        <w:rPr>
          <w:lang w:val="es-ES_tradnl"/>
        </w:rPr>
        <w:t>1.4</w:t>
      </w:r>
      <w:r>
        <w:rPr>
          <w:lang w:val="es-ES_tradnl"/>
        </w:rPr>
        <w:tab/>
      </w:r>
      <w:r w:rsidRPr="001819F4">
        <w:rPr>
          <w:lang w:val="es-ES_tradnl"/>
        </w:rPr>
        <w:t>Exposición de las personas a los campos electromagnéticos.</w:t>
      </w:r>
    </w:p>
    <w:p w14:paraId="4CF54AF5"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 xml:space="preserve">La aparición de las tecnologías inalámbricas ha suscitado una preocupación general por la exposición de las personas a campos electromagnéticos (CEM). Mucho se ha debatido acerca de la importancia de elaborar estrategias y orientaciones relativas a la exposición de las personas a los CEM. A lo largo del ciclo de estudios 2018-2021 la Cuestión 7/2 de la Comisión de Estudio 2 del Sector de Desarrollo de las Telecomunicaciones de la UIT (UIT-D) se ha dedicado a estudiar las políticas científicas, directrices, experiencias nacionales y evaluaciones de la exposición de las personas a los campos electromagnéticos de frecuencias radioeléctricas (CEM-RF). A lo largo de este ciclo de estudio también se han publicado nuevas versiones de la normativa relativa a los CEM: en marzo de 2020, la Comisión Internacional de Protección contra la Radiación No Ionizante (ICNIRP) publicó una actualización de las Directrices de la ICNIRP (1998). El Instituto de Ingenieros </w:t>
      </w:r>
      <w:r w:rsidRPr="001819F4">
        <w:rPr>
          <w:lang w:val="es-ES_tradnl"/>
        </w:rPr>
        <w:lastRenderedPageBreak/>
        <w:t>Eléctricos y Electrónicos (IEEE) también publicó la actualización de la norma C95.1</w:t>
      </w:r>
      <w:r>
        <w:rPr>
          <w:lang w:val="es-ES_tradnl"/>
        </w:rPr>
        <w:noBreakHyphen/>
      </w:r>
      <w:r w:rsidRPr="001819F4">
        <w:rPr>
          <w:lang w:val="es-ES_tradnl"/>
        </w:rPr>
        <w:t>2019 en octubre de 2019. Los límites establecidos por la ICNIRP y el IEEE están en gran medida armonizados y, por encima de los 30 MHz, los límites de densidad de potencia para la exposición de todo el cuerpo a campos continuos son idénticos.</w:t>
      </w:r>
    </w:p>
    <w:p w14:paraId="79498A24"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Debido a las características de las tecnologías MIMO (entradas múltiples, salidas múltiples), de conformación del haz y de ondas milimétricas utilizadas en el nuevo sistema de comunicaciones, se han llevado a cabo varios estudios pioneros destinados a evaluar los niveles de CEM</w:t>
      </w:r>
      <w:r>
        <w:rPr>
          <w:lang w:val="es-ES_tradnl"/>
        </w:rPr>
        <w:noBreakHyphen/>
      </w:r>
      <w:r w:rsidRPr="001819F4">
        <w:rPr>
          <w:lang w:val="es-ES_tradnl"/>
        </w:rPr>
        <w:t>RF. Además, la comunicación de los riesgos, comprendidas las ventajas de las nuevas tecnologías inalámbricas para las personas, sobre todo durante la pandemia, es un método importante para reducir la preocupación pública innecesaria acerca de la exposición a los CEM-RF. La OMS y la UIT contribuyen constantemente al intercambio de conocimientos entre países y regiones sobre la situación actual de la ciencia.</w:t>
      </w:r>
    </w:p>
    <w:p w14:paraId="154591EC" w14:textId="77777777" w:rsidR="00A04DF2" w:rsidRPr="001819F4" w:rsidRDefault="00A04DF2" w:rsidP="00A04DF2">
      <w:pPr>
        <w:pStyle w:val="Heading1"/>
        <w:rPr>
          <w:rFonts w:eastAsia="Malgun Gothic" w:cstheme="minorBidi"/>
          <w:kern w:val="2"/>
          <w:lang w:val="es-ES_tradnl"/>
          <w14:ligatures w14:val="standardContextual"/>
        </w:rPr>
      </w:pPr>
      <w:r>
        <w:rPr>
          <w:lang w:val="es-ES_tradnl"/>
        </w:rPr>
        <w:t>2</w:t>
      </w:r>
      <w:r>
        <w:rPr>
          <w:lang w:val="es-ES_tradnl"/>
        </w:rPr>
        <w:tab/>
      </w:r>
      <w:r w:rsidRPr="001819F4">
        <w:rPr>
          <w:lang w:val="es-ES_tradnl"/>
        </w:rPr>
        <w:t>Cuestión o asunto que ha de estudiarse</w:t>
      </w:r>
    </w:p>
    <w:p w14:paraId="28FBD48A" w14:textId="77777777" w:rsidR="00A04DF2" w:rsidRPr="001819F4" w:rsidRDefault="00A04DF2" w:rsidP="00A04DF2">
      <w:pPr>
        <w:overflowPunct/>
        <w:autoSpaceDE/>
        <w:autoSpaceDN/>
        <w:spacing w:after="120"/>
        <w:rPr>
          <w:rFonts w:eastAsia="Malgun Gothic" w:cstheme="minorBidi"/>
          <w:kern w:val="2"/>
          <w:lang w:val="es-ES_tradnl"/>
          <w14:ligatures w14:val="standardContextual"/>
        </w:rPr>
      </w:pPr>
      <w:r w:rsidRPr="001819F4">
        <w:rPr>
          <w:lang w:val="es-ES_tradnl"/>
        </w:rPr>
        <w:t xml:space="preserve">Existen </w:t>
      </w:r>
      <w:r w:rsidRPr="00995D64">
        <w:rPr>
          <w:lang w:val="es-ES"/>
        </w:rPr>
        <w:t>varios asuntos que los Miembros abordarán durante los próximos cuatro años en el marco de esta Cuestión. Se</w:t>
      </w:r>
      <w:r w:rsidRPr="001819F4">
        <w:rPr>
          <w:lang w:val="es-ES_tradnl"/>
        </w:rPr>
        <w:t xml:space="preserve"> prevé que las siguientes actividades en el marco de este estudio desempeñarán un papel importante en el futuro para cumplir los objetivos de esta Cuestión:</w:t>
      </w:r>
    </w:p>
    <w:p w14:paraId="601588C0"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1)</w:t>
      </w:r>
      <w:r>
        <w:rPr>
          <w:lang w:val="es-ES_tradnl"/>
        </w:rPr>
        <w:tab/>
      </w:r>
      <w:r w:rsidRPr="001819F4">
        <w:rPr>
          <w:lang w:val="es-ES_tradnl"/>
        </w:rPr>
        <w:t>En estrecha colaboración con los respectivos programas de la BDT, identificar las necesidades regionales de los países en desarrollo para estas aplicaciones.</w:t>
      </w:r>
    </w:p>
    <w:p w14:paraId="352C06B1"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2)</w:t>
      </w:r>
      <w:r>
        <w:rPr>
          <w:lang w:val="es-ES_tradnl"/>
        </w:rPr>
        <w:tab/>
      </w:r>
      <w:r w:rsidRPr="001819F4">
        <w:rPr>
          <w:lang w:val="es-ES_tradnl"/>
        </w:rPr>
        <w:t>Elaborar la metodología para la aplicación de esta Cuestión, en particular con miras a obtener experiencia probada e información sobre las prácticas idóneas sobre cómo pueden ayudar las TIC a reducir las emisiones globales de GEI, incluidas las propias emisiones del sector de las TIC y habida cuenta de los progresos logrados por el UIT-T y el UIT</w:t>
      </w:r>
      <w:r>
        <w:rPr>
          <w:lang w:val="es-ES_tradnl"/>
        </w:rPr>
        <w:noBreakHyphen/>
      </w:r>
      <w:r w:rsidRPr="001819F4">
        <w:rPr>
          <w:lang w:val="es-ES_tradnl"/>
        </w:rPr>
        <w:t>R a este respecto.</w:t>
      </w:r>
    </w:p>
    <w:p w14:paraId="75097F14"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3)</w:t>
      </w:r>
      <w:r>
        <w:rPr>
          <w:lang w:val="es-ES_tradnl"/>
        </w:rPr>
        <w:tab/>
      </w:r>
      <w:r w:rsidRPr="001819F4">
        <w:rPr>
          <w:lang w:val="es-ES_tradnl"/>
        </w:rPr>
        <w:t>Estudiar la función que desempeña la observación de la Tierra en relación con el cambio climático, con arreglo a la aplicación de la Resolución 673 (Rev.CMR-12), relativa a la utilización de las radiocomunicaciones para aplicaciones de observación de la Tierra, con el fin de mejorar los conocimientos y comprensión en los países en desarrollo acerca de la utilización y las ventajas de las correspondientes aplicaciones en lo que respecta al cambio climático.</w:t>
      </w:r>
    </w:p>
    <w:p w14:paraId="085D06C0"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4)</w:t>
      </w:r>
      <w:r>
        <w:rPr>
          <w:lang w:val="es-ES_tradnl"/>
        </w:rPr>
        <w:tab/>
      </w:r>
      <w:r w:rsidRPr="001819F4">
        <w:rPr>
          <w:lang w:val="es-ES_tradnl"/>
        </w:rPr>
        <w:t>Elaborar directrices sobre prácticas idóneas para la aplicación de las Recomendaciones pertinentes adoptadas por el UIT-T, resultantes de la aplicación de la Resolución</w:t>
      </w:r>
      <w:r>
        <w:rPr>
          <w:lang w:val="es-ES_tradnl"/>
        </w:rPr>
        <w:t> </w:t>
      </w:r>
      <w:r w:rsidRPr="001819F4">
        <w:rPr>
          <w:lang w:val="es-ES_tradnl"/>
        </w:rPr>
        <w:t>73 (Rev.</w:t>
      </w:r>
      <w:r>
        <w:rPr>
          <w:lang w:val="es-ES_tradnl"/>
        </w:rPr>
        <w:t> </w:t>
      </w:r>
      <w:r w:rsidRPr="001819F4">
        <w:rPr>
          <w:lang w:val="es-ES_tradnl"/>
        </w:rPr>
        <w:t>Ginebra, 2022) para la supervisión del cambio climático y para la mitigación de sus efectos, recurriendo para ello el Plan de Acción de la Resolución 44 (Rev. Ginebra, 2022) de la AMNT en particular los Programas 1, 2, 3 y 4 de esta Resolución.</w:t>
      </w:r>
    </w:p>
    <w:p w14:paraId="73D89730"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5)</w:t>
      </w:r>
      <w:r>
        <w:rPr>
          <w:lang w:val="es-ES_tradnl"/>
        </w:rPr>
        <w:tab/>
      </w:r>
      <w:r w:rsidRPr="001819F4">
        <w:rPr>
          <w:lang w:val="es-ES_tradnl"/>
        </w:rPr>
        <w:t>Estrategias encaminadas a elaborar un sistema responsable y un tratamiento integral de los residuos generados por las telecomunicaciones/TIC: medidas en materia de política y reglamentación necesarias en los países en desarrollo en estrecha colaboración con la Comisión de Estudio 5 y la Cuestión C/2 del UIT-T.</w:t>
      </w:r>
    </w:p>
    <w:p w14:paraId="572D096B"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6)</w:t>
      </w:r>
      <w:r>
        <w:rPr>
          <w:lang w:val="es-ES_tradnl"/>
        </w:rPr>
        <w:tab/>
      </w:r>
      <w:r w:rsidRPr="001819F4">
        <w:rPr>
          <w:lang w:val="es-ES_tradnl"/>
        </w:rPr>
        <w:t>El papel de las TIC y de las tecnologías inteligentes de vanguardia, como la IA, en la gestión eficiente de los residuos electrónicos y en la reducción de las catástrofes relacionadas con el cambio climático, como las inundaciones repentinas y los incendios a gran escala (en colaboración con la Cuestión 3/1 y la Cuestión D/2).</w:t>
      </w:r>
    </w:p>
    <w:p w14:paraId="75CF26CF" w14:textId="77777777" w:rsidR="00A04DF2" w:rsidRPr="001819F4" w:rsidRDefault="00A04DF2" w:rsidP="00A04DF2">
      <w:pPr>
        <w:pStyle w:val="enumlev1"/>
        <w:rPr>
          <w:rFonts w:cstheme="minorBidi"/>
          <w:lang w:val="es-ES_tradnl"/>
        </w:rPr>
      </w:pPr>
      <w:r>
        <w:rPr>
          <w:lang w:val="es-ES_tradnl"/>
        </w:rPr>
        <w:lastRenderedPageBreak/>
        <w:t>7)</w:t>
      </w:r>
      <w:r>
        <w:rPr>
          <w:lang w:val="es-ES_tradnl"/>
        </w:rPr>
        <w:tab/>
      </w:r>
      <w:r w:rsidRPr="001819F4">
        <w:rPr>
          <w:lang w:val="es-ES_tradnl"/>
        </w:rPr>
        <w:t>El papel de las TIC en la supervisión y protección de la biodiversidad en todo el mundo y, en particular, en los puntos críticos de biodiversidad donde la variedad y riqueza de los ecosistemas es particularmente alta.</w:t>
      </w:r>
    </w:p>
    <w:p w14:paraId="2710C458"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8)</w:t>
      </w:r>
      <w:r>
        <w:rPr>
          <w:lang w:val="es-ES_tradnl"/>
        </w:rPr>
        <w:tab/>
      </w:r>
      <w:r w:rsidRPr="001819F4">
        <w:rPr>
          <w:lang w:val="es-ES_tradnl"/>
        </w:rPr>
        <w:t>Recopilación de estudios de caso, establecimiento de lecciones aprendidas y prácticas idóneas relacionadas con la exposición de las personas a los campos electromagnéticos.</w:t>
      </w:r>
    </w:p>
    <w:p w14:paraId="4949223C"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9)</w:t>
      </w:r>
      <w:r>
        <w:rPr>
          <w:lang w:val="es-ES_tradnl"/>
        </w:rPr>
        <w:tab/>
      </w:r>
      <w:r w:rsidRPr="001819F4">
        <w:rPr>
          <w:lang w:val="es-ES_tradnl"/>
        </w:rPr>
        <w:t>Examinar nuevas tecnologías inalámbricas, prácticas idóneas en materia de gestión de CEM, la armonización de las normas y la comunicación de los riesgos, dedicándose de manera prioritaria a:</w:t>
      </w:r>
    </w:p>
    <w:p w14:paraId="15B32F77" w14:textId="77777777" w:rsidR="00A04DF2" w:rsidRPr="001819F4" w:rsidRDefault="00A04DF2" w:rsidP="00A04DF2">
      <w:pPr>
        <w:pStyle w:val="enumlev2"/>
        <w:rPr>
          <w:rFonts w:eastAsia="Malgun Gothic" w:cstheme="minorBidi"/>
          <w:kern w:val="2"/>
          <w:lang w:val="es-ES_tradnl"/>
          <w14:ligatures w14:val="standardContextual"/>
        </w:rPr>
      </w:pPr>
      <w:r w:rsidRPr="00A22B4F">
        <w:rPr>
          <w:lang w:val="es-ES_tradnl"/>
        </w:rPr>
        <w:t>–</w:t>
      </w:r>
      <w:r>
        <w:rPr>
          <w:lang w:val="es-ES_tradnl"/>
        </w:rPr>
        <w:tab/>
      </w:r>
      <w:r w:rsidRPr="001819F4">
        <w:rPr>
          <w:lang w:val="es-ES_tradnl"/>
        </w:rPr>
        <w:t>rebatir las comunicaciones erróneas relativas a los CEM;</w:t>
      </w:r>
    </w:p>
    <w:p w14:paraId="1630AFA4" w14:textId="77777777" w:rsidR="00A04DF2" w:rsidRPr="001819F4" w:rsidRDefault="00A04DF2" w:rsidP="00A04DF2">
      <w:pPr>
        <w:pStyle w:val="enumlev2"/>
        <w:rPr>
          <w:rFonts w:eastAsia="Malgun Gothic" w:cstheme="minorBidi"/>
          <w:kern w:val="2"/>
          <w:lang w:val="es-ES_tradnl"/>
          <w14:ligatures w14:val="standardContextual"/>
        </w:rPr>
      </w:pPr>
      <w:r w:rsidRPr="00A22B4F">
        <w:rPr>
          <w:lang w:val="es-ES_tradnl"/>
        </w:rPr>
        <w:t>–</w:t>
      </w:r>
      <w:r>
        <w:rPr>
          <w:lang w:val="es-ES_tradnl"/>
        </w:rPr>
        <w:tab/>
      </w:r>
      <w:r w:rsidRPr="001819F4">
        <w:rPr>
          <w:lang w:val="es-ES_tradnl"/>
        </w:rPr>
        <w:t>estudiar la exposición a nuevos tipos de CEM;</w:t>
      </w:r>
    </w:p>
    <w:p w14:paraId="64CEDE06" w14:textId="77777777" w:rsidR="00A04DF2" w:rsidRPr="001819F4" w:rsidRDefault="00A04DF2" w:rsidP="00A04DF2">
      <w:pPr>
        <w:pStyle w:val="enumlev2"/>
        <w:rPr>
          <w:rFonts w:eastAsia="Malgun Gothic" w:cstheme="minorBidi"/>
          <w:kern w:val="2"/>
          <w:lang w:val="es-ES_tradnl"/>
          <w14:ligatures w14:val="standardContextual"/>
        </w:rPr>
      </w:pPr>
      <w:r w:rsidRPr="00A22B4F">
        <w:rPr>
          <w:lang w:val="es-ES_tradnl"/>
        </w:rPr>
        <w:t>–</w:t>
      </w:r>
      <w:r>
        <w:rPr>
          <w:lang w:val="es-ES_tradnl"/>
        </w:rPr>
        <w:tab/>
      </w:r>
      <w:r w:rsidRPr="001819F4">
        <w:rPr>
          <w:lang w:val="es-ES_tradnl"/>
        </w:rPr>
        <w:t>examinar la imposición de límites de exposición mediante diversos estudios de casos de país, en particular sobre las Directrices del ICNIRP (2020);</w:t>
      </w:r>
    </w:p>
    <w:p w14:paraId="6F2875E7" w14:textId="77777777" w:rsidR="00A04DF2" w:rsidRPr="001819F4" w:rsidRDefault="00A04DF2" w:rsidP="00A04DF2">
      <w:pPr>
        <w:pStyle w:val="enumlev2"/>
        <w:rPr>
          <w:rFonts w:eastAsia="Malgun Gothic" w:cstheme="minorBidi"/>
          <w:kern w:val="2"/>
          <w:lang w:val="es-ES_tradnl"/>
          <w14:ligatures w14:val="standardContextual"/>
        </w:rPr>
      </w:pPr>
      <w:r w:rsidRPr="00A22B4F">
        <w:rPr>
          <w:lang w:val="es-ES_tradnl"/>
        </w:rPr>
        <w:t>–</w:t>
      </w:r>
      <w:r>
        <w:rPr>
          <w:lang w:val="es-ES_tradnl"/>
        </w:rPr>
        <w:tab/>
      </w:r>
      <w:r w:rsidRPr="001819F4">
        <w:rPr>
          <w:lang w:val="es-ES_tradnl"/>
        </w:rPr>
        <w:t>aspectos de los CEM de los nuevos métodos de despliegue de equipos inalámbricos;</w:t>
      </w:r>
    </w:p>
    <w:p w14:paraId="7E400411" w14:textId="77777777" w:rsidR="00A04DF2" w:rsidRPr="001819F4" w:rsidRDefault="00A04DF2" w:rsidP="00A04DF2">
      <w:pPr>
        <w:pStyle w:val="enumlev2"/>
        <w:rPr>
          <w:rFonts w:cstheme="minorBidi"/>
          <w:lang w:val="es-ES_tradnl"/>
        </w:rPr>
      </w:pPr>
      <w:r w:rsidRPr="00A22B4F">
        <w:rPr>
          <w:lang w:val="es-ES_tradnl"/>
        </w:rPr>
        <w:t>–</w:t>
      </w:r>
      <w:r>
        <w:rPr>
          <w:lang w:val="es-ES_tradnl"/>
        </w:rPr>
        <w:tab/>
      </w:r>
      <w:r w:rsidRPr="001819F4">
        <w:rPr>
          <w:lang w:val="es-ES_tradnl"/>
        </w:rPr>
        <w:t>CEM 5G</w:t>
      </w:r>
      <w:r>
        <w:rPr>
          <w:lang w:val="es-ES_tradnl"/>
        </w:rPr>
        <w:t>;</w:t>
      </w:r>
    </w:p>
    <w:p w14:paraId="78E908C4" w14:textId="77777777" w:rsidR="00A04DF2" w:rsidRPr="001819F4" w:rsidRDefault="00A04DF2" w:rsidP="00A04DF2">
      <w:pPr>
        <w:pStyle w:val="enumlev2"/>
        <w:rPr>
          <w:rFonts w:cstheme="minorBidi"/>
          <w:lang w:val="es-ES_tradnl"/>
        </w:rPr>
      </w:pPr>
      <w:r w:rsidRPr="00A22B4F">
        <w:rPr>
          <w:lang w:val="es-ES_tradnl"/>
        </w:rPr>
        <w:t>–</w:t>
      </w:r>
      <w:r>
        <w:rPr>
          <w:lang w:val="es-ES_tradnl"/>
        </w:rPr>
        <w:tab/>
      </w:r>
      <w:r w:rsidRPr="001819F4">
        <w:rPr>
          <w:lang w:val="es-ES_tradnl"/>
        </w:rPr>
        <w:t>CEM en el espacio aéreo a baja altitud y drones</w:t>
      </w:r>
      <w:r>
        <w:rPr>
          <w:lang w:val="es-ES_tradnl"/>
        </w:rPr>
        <w:t>;</w:t>
      </w:r>
    </w:p>
    <w:p w14:paraId="1F024C81" w14:textId="77777777" w:rsidR="00A04DF2" w:rsidRPr="001819F4" w:rsidRDefault="00A04DF2" w:rsidP="00A04DF2">
      <w:pPr>
        <w:pStyle w:val="enumlev2"/>
        <w:rPr>
          <w:rFonts w:cstheme="minorBidi"/>
          <w:lang w:val="es-ES_tradnl"/>
        </w:rPr>
      </w:pPr>
      <w:r w:rsidRPr="00A22B4F">
        <w:rPr>
          <w:lang w:val="es-ES_tradnl"/>
        </w:rPr>
        <w:t>–</w:t>
      </w:r>
      <w:r>
        <w:rPr>
          <w:lang w:val="es-ES_tradnl"/>
        </w:rPr>
        <w:tab/>
        <w:t>e</w:t>
      </w:r>
      <w:r w:rsidRPr="001819F4">
        <w:rPr>
          <w:lang w:val="es-ES_tradnl"/>
        </w:rPr>
        <w:t>valuación de la IA en los CEM (en colaboración con la Cuestión D/2)</w:t>
      </w:r>
      <w:r>
        <w:rPr>
          <w:lang w:val="es-ES_tradnl"/>
        </w:rPr>
        <w:t>;</w:t>
      </w:r>
    </w:p>
    <w:p w14:paraId="363DA9BC" w14:textId="77777777" w:rsidR="00A04DF2" w:rsidRPr="001819F4" w:rsidRDefault="00A04DF2" w:rsidP="00A04DF2">
      <w:pPr>
        <w:pStyle w:val="enumlev2"/>
        <w:rPr>
          <w:rFonts w:cstheme="minorBidi"/>
          <w:lang w:val="es-ES_tradnl"/>
        </w:rPr>
      </w:pPr>
      <w:r w:rsidRPr="00A22B4F">
        <w:rPr>
          <w:lang w:val="es-ES_tradnl"/>
        </w:rPr>
        <w:t>–</w:t>
      </w:r>
      <w:r>
        <w:rPr>
          <w:lang w:val="es-ES_tradnl"/>
        </w:rPr>
        <w:tab/>
      </w:r>
      <w:r w:rsidRPr="001819F4">
        <w:rPr>
          <w:lang w:val="es-ES_tradnl"/>
        </w:rPr>
        <w:t>CEM en dispositivos ponibles inteligentes.</w:t>
      </w:r>
    </w:p>
    <w:p w14:paraId="76A565F6" w14:textId="77777777" w:rsidR="00A04DF2" w:rsidRDefault="00A04DF2" w:rsidP="00A04DF2">
      <w:pPr>
        <w:pStyle w:val="QuestionNo"/>
        <w:rPr>
          <w:lang w:val="es-ES_tradnl"/>
        </w:rPr>
      </w:pPr>
      <w:r w:rsidRPr="001819F4">
        <w:rPr>
          <w:lang w:val="es-ES_tradnl"/>
        </w:rPr>
        <w:t>CUESTIÓN 3/2</w:t>
      </w:r>
    </w:p>
    <w:p w14:paraId="4245984F" w14:textId="77777777" w:rsidR="00A04DF2" w:rsidRPr="001819F4" w:rsidRDefault="00A04DF2" w:rsidP="00A04DF2">
      <w:pPr>
        <w:pStyle w:val="Questiontitle"/>
        <w:rPr>
          <w:rFonts w:eastAsia="Malgun Gothic" w:cstheme="minorBidi"/>
          <w:kern w:val="2"/>
          <w:lang w:val="es-ES_tradnl"/>
          <w14:ligatures w14:val="standardContextual"/>
        </w:rPr>
      </w:pPr>
      <w:r w:rsidRPr="001819F4">
        <w:rPr>
          <w:lang w:val="es-ES_tradnl"/>
        </w:rPr>
        <w:t>Seguridad en las redes de información y comunicación: prácticas idóneas</w:t>
      </w:r>
      <w:r>
        <w:rPr>
          <w:lang w:val="es-ES_tradnl"/>
        </w:rPr>
        <w:br/>
      </w:r>
      <w:r w:rsidRPr="001819F4">
        <w:rPr>
          <w:lang w:val="es-ES_tradnl"/>
        </w:rPr>
        <w:t>para el desarrollo de una cultura de ciberseguridad en</w:t>
      </w:r>
      <w:r>
        <w:rPr>
          <w:lang w:val="es-ES_tradnl"/>
        </w:rPr>
        <w:br/>
      </w:r>
      <w:r w:rsidRPr="001819F4">
        <w:rPr>
          <w:lang w:val="es-ES_tradnl"/>
        </w:rPr>
        <w:t>el sector de las telecomunicaciones/TIC</w:t>
      </w:r>
    </w:p>
    <w:p w14:paraId="02F0F7FA" w14:textId="77777777" w:rsidR="00A04DF2" w:rsidRPr="001819F4" w:rsidRDefault="00A04DF2" w:rsidP="00A04DF2">
      <w:pPr>
        <w:pStyle w:val="Heading1"/>
        <w:rPr>
          <w:rFonts w:eastAsia="Malgun Gothic" w:cstheme="minorBidi"/>
          <w:kern w:val="2"/>
          <w:lang w:val="es-ES_tradnl"/>
          <w14:ligatures w14:val="standardContextual"/>
        </w:rPr>
      </w:pPr>
      <w:r>
        <w:rPr>
          <w:lang w:val="es-ES_tradnl"/>
        </w:rPr>
        <w:t>1</w:t>
      </w:r>
      <w:r>
        <w:rPr>
          <w:lang w:val="es-ES_tradnl"/>
        </w:rPr>
        <w:tab/>
      </w:r>
      <w:r w:rsidRPr="001819F4">
        <w:rPr>
          <w:lang w:val="es-ES_tradnl"/>
        </w:rPr>
        <w:t>Exposición de la situación o del problema</w:t>
      </w:r>
    </w:p>
    <w:p w14:paraId="7165ED29"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 xml:space="preserve">Las telecomunicaciones y las tecnologías de la información y la comunicación (TIC) han resultado inestimables a la hora de fomentar el desarrollo y el crecimiento social y económico mundial. A pesar de todos los beneficios y utilidades que ofrecen estas tecnologías, existen también riesgos y amenazas de seguridad. </w:t>
      </w:r>
    </w:p>
    <w:p w14:paraId="6E4838B4"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Desde las finanzas personales hasta las operaciones de negocios y desde las infraestructuras nacionales esenciales hasta las privadas, todas las transacciones se gestionan cada vez más a través de redes de información y comunicación, y por lo tanto, son más vulnerables a algún tipo de ataque.</w:t>
      </w:r>
    </w:p>
    <w:p w14:paraId="63B43711"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A fin de fomentar la confianza en la utilización y aprovechamiento de las telecomunicaciones/TIC para todo tipo de aplicaciones y contenidos, sobre todo para aquellos que repercuten muy positivamente en los aspectos socioeconómicos donde todos los actores influyen en la protección de datos personales, la seguridad de redes y en el propio usuario de las mismas, se requiere una intensa colaboración entre autoridades nacionales, autoridades extranjeras, industria, instituciones académicas y usuarios.</w:t>
      </w:r>
    </w:p>
    <w:p w14:paraId="13B173C0"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Habida cuenta lo anterior, la seguridad en las redes de información y comunicación y el fomento de una cultura de la ciberseguridad son hoy en día fundamentales por una serie de razones, entre las que se cuentan las siguientes:</w:t>
      </w:r>
    </w:p>
    <w:p w14:paraId="19B247CC"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lastRenderedPageBreak/>
        <w:t>a)</w:t>
      </w:r>
      <w:r>
        <w:rPr>
          <w:lang w:val="es-ES_tradnl"/>
        </w:rPr>
        <w:tab/>
      </w:r>
      <w:r w:rsidRPr="001819F4">
        <w:rPr>
          <w:lang w:val="es-ES_tradnl"/>
        </w:rPr>
        <w:t>el crecimiento explosivo del desarrollo y la utilización de las TIC;</w:t>
      </w:r>
    </w:p>
    <w:p w14:paraId="677915AE"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b)</w:t>
      </w:r>
      <w:r>
        <w:rPr>
          <w:lang w:val="es-ES_tradnl"/>
        </w:rPr>
        <w:tab/>
      </w:r>
      <w:r w:rsidRPr="001819F4">
        <w:rPr>
          <w:lang w:val="es-ES_tradnl"/>
        </w:rPr>
        <w:t>que la ciberseguridad continúa siendo una preocupación para todos y por ello es necesario prestar asistencia a los países, en particular a los países en desarrollo</w:t>
      </w:r>
      <w:r w:rsidRPr="001819F4">
        <w:rPr>
          <w:rStyle w:val="FootnoteReference"/>
          <w:rFonts w:eastAsia="Malgun Gothic" w:cstheme="minorHAnsi"/>
          <w:kern w:val="2"/>
          <w:szCs w:val="24"/>
          <w:lang w:val="es-ES_tradnl" w:eastAsia="ko-KR"/>
          <w14:ligatures w14:val="standardContextual"/>
        </w:rPr>
        <w:footnoteReference w:id="20"/>
      </w:r>
      <w:r w:rsidRPr="001819F4">
        <w:rPr>
          <w:lang w:val="es-ES_tradnl"/>
        </w:rPr>
        <w:t>, para proteger sus redes de telecomunicaciones/TIC contra ciberataques y amenazas;</w:t>
      </w:r>
    </w:p>
    <w:p w14:paraId="2B41935F"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c)</w:t>
      </w:r>
      <w:r>
        <w:rPr>
          <w:lang w:val="es-ES_tradnl"/>
        </w:rPr>
        <w:tab/>
      </w:r>
      <w:r w:rsidRPr="001819F4">
        <w:rPr>
          <w:lang w:val="es-ES_tradnl"/>
        </w:rPr>
        <w:t>la necesidad de esforzarse por garantizar la seguridad en estas infraestructuras interconectadas mundialmente, si se desea que la sociedad de la información rinda su potencial;</w:t>
      </w:r>
    </w:p>
    <w:p w14:paraId="0DBF7137"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d)</w:t>
      </w:r>
      <w:r>
        <w:rPr>
          <w:lang w:val="es-ES_tradnl"/>
        </w:rPr>
        <w:tab/>
      </w:r>
      <w:r w:rsidRPr="001819F4">
        <w:rPr>
          <w:lang w:val="es-ES_tradnl"/>
        </w:rPr>
        <w:t>el creciente reconocimiento en el plano nacional, regional e internacional de la necesidad de definir y promover prácticas idóneas, normas, directrices técnicas y procedimientos para reducir las vulnerabilidades y los riesgos que pesan sobre las TIC;</w:t>
      </w:r>
    </w:p>
    <w:p w14:paraId="04670C52"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e)</w:t>
      </w:r>
      <w:r>
        <w:rPr>
          <w:lang w:val="es-ES_tradnl"/>
        </w:rPr>
        <w:tab/>
      </w:r>
      <w:r w:rsidRPr="001819F4">
        <w:rPr>
          <w:lang w:val="es-ES_tradnl"/>
        </w:rPr>
        <w:t>la necesidad de tomar medidas a escala nacional y de cooperar en los planos regional e internacional para constituir una cultura mundial de ciberseguridad que incluya entre otros: la coordinación nacional, las infraestructuras jurídicas nacionales adecuadas, las capacidades de vigilancia, alerta y recuperación, las asociaciones entre el gobierno y la industria, y la información ofrecida a la sociedad civil y los consumidores;</w:t>
      </w:r>
    </w:p>
    <w:p w14:paraId="00506841"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f)</w:t>
      </w:r>
      <w:r>
        <w:rPr>
          <w:lang w:val="es-ES_tradnl"/>
        </w:rPr>
        <w:tab/>
      </w:r>
      <w:r w:rsidRPr="001819F4">
        <w:rPr>
          <w:lang w:val="es-ES_tradnl"/>
        </w:rPr>
        <w:t xml:space="preserve">la necesidad de aplicar un enfoque </w:t>
      </w:r>
      <w:proofErr w:type="spellStart"/>
      <w:r w:rsidRPr="001819F4">
        <w:rPr>
          <w:lang w:val="es-ES_tradnl"/>
        </w:rPr>
        <w:t>multipartito</w:t>
      </w:r>
      <w:proofErr w:type="spellEnd"/>
      <w:r w:rsidRPr="001819F4">
        <w:rPr>
          <w:lang w:val="es-ES_tradnl"/>
        </w:rPr>
        <w:t xml:space="preserve"> para aprovechar las diversas herramientas disponibles a fin de aumentar la confianza en la utilización de las redes TIC;</w:t>
      </w:r>
    </w:p>
    <w:p w14:paraId="27BC3D83"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g)</w:t>
      </w:r>
      <w:r>
        <w:rPr>
          <w:lang w:val="es-ES_tradnl"/>
        </w:rPr>
        <w:tab/>
      </w:r>
      <w:r w:rsidRPr="001819F4">
        <w:rPr>
          <w:lang w:val="es-ES_tradnl"/>
        </w:rPr>
        <w:t>que en la Resolución 57/239 de la Asamblea General de las Naciones Unidas (AGNU) sobre la creación de una cultura mundial de ciberseguridad, se invita a los Estados Miembros a "promover en todas sus sociedades una cultura de seguridad cibernética en la aplicación y utilización de las tecnologías de la información";</w:t>
      </w:r>
    </w:p>
    <w:p w14:paraId="7B909165"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h)</w:t>
      </w:r>
      <w:r>
        <w:rPr>
          <w:lang w:val="es-ES_tradnl"/>
        </w:rPr>
        <w:tab/>
      </w:r>
      <w:r w:rsidRPr="001819F4">
        <w:rPr>
          <w:lang w:val="es-ES_tradnl"/>
        </w:rPr>
        <w:t>el hecho de que en las Resoluciones 68/167, 69/166 y 71/199 de la AGNU sobre el derecho a la privacidad en la era digital, se afirma, entre otras cosas, que los derechos de las personas también deben estar protegidos en Internet, incluido el derecho a la privacidad;</w:t>
      </w:r>
    </w:p>
    <w:p w14:paraId="7426D0DD"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i)</w:t>
      </w:r>
      <w:r>
        <w:rPr>
          <w:lang w:val="es-ES_tradnl"/>
        </w:rPr>
        <w:tab/>
      </w:r>
      <w:r w:rsidRPr="001819F4">
        <w:rPr>
          <w:lang w:val="es-ES_tradnl"/>
        </w:rPr>
        <w:t>que las prácticas idóneas en materia de ciberseguridad deben proteger y respetar los derechos de privacidad y libertad de expresión establecidos en las partes pertinentes de la Declaración Universal de Derechos Humanos, la Declaración de Principios de Ginebra, adoptada por la Cumbre Mundial sobre la Sociedad de la Información (CMSI) y otros instrumentos internacionales pertinentes relativos a los derechos humanos;</w:t>
      </w:r>
    </w:p>
    <w:p w14:paraId="1027B42F"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j)</w:t>
      </w:r>
      <w:r>
        <w:rPr>
          <w:lang w:val="es-ES_tradnl"/>
        </w:rPr>
        <w:tab/>
      </w:r>
      <w:r w:rsidRPr="001819F4">
        <w:rPr>
          <w:lang w:val="es-ES_tradnl"/>
        </w:rPr>
        <w:t>que en la Declaración de Principios de Ginebra de la CMSI se señala que "se debe fomentar, desarrollar y poner en práctica una cultura global de la ciberseguridad, en cooperación con todas las partes interesadas y los organismos internacionales especializados", y que el Plan de Acción de Ginebra alienta a compartir las prácticas idóneas y tomar las medidas adecuadas contra el spam a nivel nacional e internacional y que en la Agenda de Túnez para la sociedad de la información se reafirma la necesidad de contar con una cultura mundial de ciberseguridad, especialmente en el marco de la Línea de Acción C5 (Creación de confianza y seguridad en la utilización de las TIC);</w:t>
      </w:r>
    </w:p>
    <w:p w14:paraId="5E383954"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k)</w:t>
      </w:r>
      <w:r>
        <w:rPr>
          <w:lang w:val="es-ES_tradnl"/>
        </w:rPr>
        <w:tab/>
      </w:r>
      <w:r w:rsidRPr="001819F4">
        <w:rPr>
          <w:lang w:val="es-ES_tradnl"/>
        </w:rPr>
        <w:t xml:space="preserve">que la CMSI (Túnez, 2005) pidió en su Agenda a la UIT que ejerciese de facilitador/moderador principal para la puesta en aplicación y el seguimiento de la Línea de Acción C5 (Creación de confianza y seguridad en la utilización de las TIC) y que la </w:t>
      </w:r>
      <w:r w:rsidRPr="001819F4">
        <w:rPr>
          <w:lang w:val="es-ES_tradnl"/>
        </w:rPr>
        <w:lastRenderedPageBreak/>
        <w:t>Conferencia de Plenipotenciarios, la Asamblea Mundial de Normalización de las Telecomunicaciones (AMNT) y la Conferencia Mundial de Desarrollo de las Telecomunicaciones (CMDT) han adoptado Resoluciones pertinentes;</w:t>
      </w:r>
    </w:p>
    <w:p w14:paraId="2DFC2595"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l)</w:t>
      </w:r>
      <w:r>
        <w:rPr>
          <w:lang w:val="es-ES_tradnl"/>
        </w:rPr>
        <w:tab/>
      </w:r>
      <w:r w:rsidRPr="001819F4">
        <w:rPr>
          <w:lang w:val="es-ES_tradnl"/>
        </w:rPr>
        <w:t>la Resolución 70/125 de la AGNU, que representa el Documento Final de la reunión de alto nivel de la Asamblea General sobre el examen general de la aplicación de los resultados de la CMSI;</w:t>
      </w:r>
    </w:p>
    <w:p w14:paraId="3D3A8558"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m)</w:t>
      </w:r>
      <w:r>
        <w:rPr>
          <w:lang w:val="es-ES_tradnl"/>
        </w:rPr>
        <w:tab/>
      </w:r>
      <w:r w:rsidRPr="001819F4">
        <w:rPr>
          <w:lang w:val="es-ES_tradnl"/>
        </w:rPr>
        <w:t>la Declaración de la CMSI+10 relativa a la aplicación de los resultados de la CMSI y la perspectiva de la CMSI+10 para la CMSI después de 2015, adoptada en el evento de Alto Nivel de la CMSI+10 (Ginebra, 2014), coordinado por la UIT, y refrendada por la Conferencia de Plenipotenciarios (</w:t>
      </w:r>
      <w:proofErr w:type="spellStart"/>
      <w:r w:rsidRPr="001819F4">
        <w:rPr>
          <w:lang w:val="es-ES_tradnl"/>
        </w:rPr>
        <w:t>Busán</w:t>
      </w:r>
      <w:proofErr w:type="spellEnd"/>
      <w:r w:rsidRPr="001819F4">
        <w:rPr>
          <w:lang w:val="es-ES_tradnl"/>
        </w:rPr>
        <w:t>, 2014), que se presentó como contribución al examen general realizado por la AGNU sobre la aplicación de los resultados de la CMSI;</w:t>
      </w:r>
    </w:p>
    <w:p w14:paraId="091A4E00"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n)</w:t>
      </w:r>
      <w:r>
        <w:rPr>
          <w:lang w:val="es-ES_tradnl"/>
        </w:rPr>
        <w:tab/>
      </w:r>
      <w:r w:rsidRPr="001819F4">
        <w:rPr>
          <w:lang w:val="es-ES_tradnl"/>
        </w:rPr>
        <w:t>que la Resolución 45 (Rev. Kigali, 2022) de la CMDT refrenda mejorar la ciberseguridad entre los Estados Miembros interesados;</w:t>
      </w:r>
    </w:p>
    <w:p w14:paraId="512EFEFC"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o)</w:t>
      </w:r>
      <w:r>
        <w:rPr>
          <w:lang w:val="es-ES_tradnl"/>
        </w:rPr>
        <w:tab/>
      </w:r>
      <w:r w:rsidRPr="001819F4">
        <w:rPr>
          <w:lang w:val="es-ES_tradnl"/>
        </w:rPr>
        <w:t>que la Resolución 130 (Rev. Bucarest, 2022) de la Conferencia de Plenipotenciarios resuelve continuar promoviendo el entendimiento común entre los gobiernos y otras partes interesadas acerca de la creación de confianza y seguridad en la utilización de las TIC en los planos nacional, regional e internacional;</w:t>
      </w:r>
    </w:p>
    <w:p w14:paraId="12F8F11A"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p)</w:t>
      </w:r>
      <w:r>
        <w:rPr>
          <w:lang w:val="es-ES_tradnl"/>
        </w:rPr>
        <w:tab/>
      </w:r>
      <w:r w:rsidRPr="001819F4">
        <w:rPr>
          <w:lang w:val="es-ES_tradnl"/>
        </w:rPr>
        <w:t xml:space="preserve">que la Resolución 50 (Rev. Nueva Delhi, 2024) de la AMNT resalta la necesidad de fortalecer y defender los sistemas de información y telecomunicaciones contra </w:t>
      </w:r>
      <w:proofErr w:type="spellStart"/>
      <w:r w:rsidRPr="001819F4">
        <w:rPr>
          <w:lang w:val="es-ES_tradnl"/>
        </w:rPr>
        <w:t>ciberamenazas</w:t>
      </w:r>
      <w:proofErr w:type="spellEnd"/>
      <w:r w:rsidRPr="001819F4">
        <w:rPr>
          <w:lang w:val="es-ES_tradnl"/>
        </w:rPr>
        <w:t xml:space="preserve"> y ciberataques y de seguir fomentando la cooperación entre las organizaciones internacionales y regionales correspondientes a los efectos de aumentar el intercambio de información técnica en el campo de la seguridad de las redes de información y telecomunicaciones;</w:t>
      </w:r>
    </w:p>
    <w:p w14:paraId="734626F8"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q)</w:t>
      </w:r>
      <w:r>
        <w:rPr>
          <w:lang w:val="es-ES_tradnl"/>
        </w:rPr>
        <w:tab/>
      </w:r>
      <w:r w:rsidRPr="001819F4">
        <w:rPr>
          <w:lang w:val="es-ES_tradnl"/>
        </w:rPr>
        <w:t>que se han desplegado importantes esfuerzos encaminados a facilitar la mejora de la seguridad de la red, incluidas la labor de los Estados Miembros y de los Miembros de Sector en las actividades de normalización en el Sector de Normalización de las Telecomunicaciones de la UIT (UIT-T) y en la elaboración de informes sobre prácticas idóneas en el UIT-D; la labor de la Secretaría General de la UIT en relación con la Agenda sobre Ciberseguridad Global, y las actividades de capacitación realizadas por el UIT</w:t>
      </w:r>
      <w:r>
        <w:rPr>
          <w:lang w:val="es-ES_tradnl"/>
        </w:rPr>
        <w:noBreakHyphen/>
      </w:r>
      <w:r w:rsidRPr="001819F4">
        <w:rPr>
          <w:lang w:val="es-ES_tradnl"/>
        </w:rPr>
        <w:t>D en el marco del programa pertinente, y, en ciertos casos, la labor realizada por expertos de todo el mundo;</w:t>
      </w:r>
    </w:p>
    <w:p w14:paraId="6551DE98"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r)</w:t>
      </w:r>
      <w:r>
        <w:rPr>
          <w:lang w:val="es-ES_tradnl"/>
        </w:rPr>
        <w:tab/>
      </w:r>
      <w:r w:rsidRPr="001819F4">
        <w:rPr>
          <w:lang w:val="es-ES_tradnl"/>
        </w:rPr>
        <w:t>que los gobiernos, los proveedores de servicios y los usuarios finales, especialmente en los países menos adelantados (PMA), se enfrentan a retos peculiares a la hora de elaborar políticas y métodos de seguridad adecuados a sus circunstancias;</w:t>
      </w:r>
    </w:p>
    <w:p w14:paraId="10D559A5"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s)</w:t>
      </w:r>
      <w:r>
        <w:rPr>
          <w:lang w:val="es-ES_tradnl"/>
        </w:rPr>
        <w:tab/>
      </w:r>
      <w:r w:rsidRPr="001819F4">
        <w:rPr>
          <w:lang w:val="es-ES_tradnl"/>
        </w:rPr>
        <w:t>que los informes adicionales que detallen los diversos recursos, estrategias y herramientas disponibles para crear confianza en la utilización de las redes TIC y en el papel de la cooperación internacional a este respecto redundarán en beneficio de todos los interesados;</w:t>
      </w:r>
    </w:p>
    <w:p w14:paraId="63DCBC0C"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t)</w:t>
      </w:r>
      <w:r>
        <w:rPr>
          <w:lang w:val="es-ES_tradnl"/>
        </w:rPr>
        <w:tab/>
      </w:r>
      <w:r w:rsidRPr="001819F4">
        <w:rPr>
          <w:lang w:val="es-ES_tradnl"/>
        </w:rPr>
        <w:t xml:space="preserve">que el spam y el </w:t>
      </w:r>
      <w:r w:rsidRPr="00283672">
        <w:rPr>
          <w:i/>
          <w:iCs/>
          <w:lang w:val="es-ES_tradnl"/>
        </w:rPr>
        <w:t>malware</w:t>
      </w:r>
      <w:r w:rsidRPr="001819F4">
        <w:rPr>
          <w:lang w:val="es-ES_tradnl"/>
        </w:rPr>
        <w:t xml:space="preserve"> siguen siendo un asunto muy preocupante, si bien es necesario estudiar además las amenazas emergentes y evolutivas;</w:t>
      </w:r>
    </w:p>
    <w:p w14:paraId="2626FF8A"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u)</w:t>
      </w:r>
      <w:r>
        <w:rPr>
          <w:lang w:val="es-ES_tradnl"/>
        </w:rPr>
        <w:tab/>
      </w:r>
      <w:r w:rsidRPr="001819F4">
        <w:rPr>
          <w:lang w:val="es-ES_tradnl"/>
        </w:rPr>
        <w:t>la necesidad de establecer procedimientos de prueba simplificados a un nivel básico para las pruebas de seguridad de las redes de telecomunicaciones a fin de promover una cultura de seguridad.</w:t>
      </w:r>
    </w:p>
    <w:p w14:paraId="4126092E" w14:textId="77777777" w:rsidR="00A04DF2" w:rsidRPr="001819F4" w:rsidRDefault="00A04DF2" w:rsidP="00A04DF2">
      <w:pPr>
        <w:pStyle w:val="Heading1"/>
        <w:rPr>
          <w:rFonts w:eastAsia="Malgun Gothic" w:cstheme="minorBidi"/>
          <w:kern w:val="2"/>
          <w:lang w:val="es-ES_tradnl"/>
          <w14:ligatures w14:val="standardContextual"/>
        </w:rPr>
      </w:pPr>
      <w:r>
        <w:rPr>
          <w:lang w:val="es-ES_tradnl"/>
        </w:rPr>
        <w:lastRenderedPageBreak/>
        <w:t>2</w:t>
      </w:r>
      <w:r>
        <w:rPr>
          <w:lang w:val="es-ES_tradnl"/>
        </w:rPr>
        <w:tab/>
      </w:r>
      <w:r w:rsidRPr="001819F4">
        <w:rPr>
          <w:lang w:val="es-ES_tradnl"/>
        </w:rPr>
        <w:t>Cuestión o asunto que ha de estudiarse</w:t>
      </w:r>
    </w:p>
    <w:p w14:paraId="6B3AFE74" w14:textId="77777777" w:rsidR="00A04DF2" w:rsidRPr="001819F4" w:rsidRDefault="00A04DF2" w:rsidP="00A04DF2">
      <w:pPr>
        <w:rPr>
          <w:lang w:val="es-ES_tradnl"/>
        </w:rPr>
      </w:pPr>
      <w:r w:rsidRPr="001819F4">
        <w:rPr>
          <w:lang w:val="es-ES_tradnl"/>
        </w:rPr>
        <w:t xml:space="preserve">Debatir </w:t>
      </w:r>
      <w:r w:rsidRPr="00D9585B">
        <w:rPr>
          <w:lang w:val="es-ES"/>
        </w:rPr>
        <w:t>enfoques</w:t>
      </w:r>
      <w:r w:rsidRPr="001819F4">
        <w:rPr>
          <w:lang w:val="es-ES_tradnl"/>
        </w:rPr>
        <w:t xml:space="preserve"> y compartir experiencias sobre cómo promover la ciberseguridad y la </w:t>
      </w:r>
      <w:proofErr w:type="spellStart"/>
      <w:r w:rsidRPr="001819F4">
        <w:rPr>
          <w:lang w:val="es-ES_tradnl"/>
        </w:rPr>
        <w:t>ciberresiliencia</w:t>
      </w:r>
      <w:proofErr w:type="spellEnd"/>
      <w:r w:rsidRPr="001819F4">
        <w:rPr>
          <w:lang w:val="es-ES_tradnl"/>
        </w:rPr>
        <w:t xml:space="preserve"> en el sector de las telecomunicaciones/TIC, en particular:</w:t>
      </w:r>
    </w:p>
    <w:p w14:paraId="514092B0" w14:textId="77777777" w:rsidR="00A04DF2" w:rsidRPr="00D9585B" w:rsidRDefault="00A04DF2" w:rsidP="00A04DF2">
      <w:pPr>
        <w:pStyle w:val="enumlev1"/>
        <w:rPr>
          <w:lang w:val="es-ES"/>
        </w:rPr>
      </w:pPr>
      <w:r>
        <w:rPr>
          <w:lang w:val="es-ES_tradnl"/>
        </w:rPr>
        <w:t>1)</w:t>
      </w:r>
      <w:r>
        <w:rPr>
          <w:lang w:val="es-ES_tradnl"/>
        </w:rPr>
        <w:tab/>
      </w:r>
      <w:r w:rsidRPr="00D9585B">
        <w:rPr>
          <w:lang w:val="es-ES"/>
        </w:rPr>
        <w:t>Políticas y reglamentos públicos de ciberseguridad aplicables al sector de las telecomunicaciones/TIC, incluidas las obligaciones y prácticas de garantía.</w:t>
      </w:r>
    </w:p>
    <w:p w14:paraId="35484F2B" w14:textId="77777777" w:rsidR="00A04DF2" w:rsidRPr="00D9585B" w:rsidRDefault="00A04DF2" w:rsidP="00A04DF2">
      <w:pPr>
        <w:pStyle w:val="enumlev1"/>
        <w:rPr>
          <w:lang w:val="es-ES"/>
        </w:rPr>
      </w:pPr>
      <w:r w:rsidRPr="00D9585B">
        <w:rPr>
          <w:lang w:val="es-ES"/>
        </w:rPr>
        <w:t>2)</w:t>
      </w:r>
      <w:r w:rsidRPr="00D9585B">
        <w:rPr>
          <w:lang w:val="es-ES"/>
        </w:rPr>
        <w:tab/>
        <w:t xml:space="preserve">Medidas, iniciativas y proyectos específicos para mejorar la ciberseguridad y la </w:t>
      </w:r>
      <w:proofErr w:type="spellStart"/>
      <w:r w:rsidRPr="00D9585B">
        <w:rPr>
          <w:lang w:val="es-ES"/>
        </w:rPr>
        <w:t>ciberresiliencia</w:t>
      </w:r>
      <w:proofErr w:type="spellEnd"/>
      <w:r w:rsidRPr="00D9585B">
        <w:rPr>
          <w:lang w:val="es-ES"/>
        </w:rPr>
        <w:t xml:space="preserve"> de los pequeños y medianos proveedores de servicios de telecomunicaciones.</w:t>
      </w:r>
    </w:p>
    <w:p w14:paraId="3211E74F" w14:textId="77777777" w:rsidR="00A04DF2" w:rsidRPr="001819F4" w:rsidRDefault="00A04DF2" w:rsidP="00A04DF2">
      <w:pPr>
        <w:pStyle w:val="enumlev1"/>
        <w:rPr>
          <w:lang w:val="es-ES_tradnl"/>
        </w:rPr>
      </w:pPr>
      <w:r w:rsidRPr="00D9585B">
        <w:rPr>
          <w:lang w:val="es-ES"/>
        </w:rPr>
        <w:t>3)</w:t>
      </w:r>
      <w:r w:rsidRPr="00D9585B">
        <w:rPr>
          <w:lang w:val="es-ES"/>
        </w:rPr>
        <w:tab/>
        <w:t>Cómo los Miembros de la UIT gestionan las dificultades y oportunidades de ciberseguridad de las tecnologías y servicios de telecomunicaciones/TIC nuevos y emergente</w:t>
      </w:r>
      <w:r w:rsidRPr="001819F4">
        <w:rPr>
          <w:lang w:val="es-ES_tradnl"/>
        </w:rPr>
        <w:t xml:space="preserve"> en el sector.</w:t>
      </w:r>
    </w:p>
    <w:p w14:paraId="73E38E7F" w14:textId="77777777" w:rsidR="00A04DF2" w:rsidRPr="001819F4" w:rsidRDefault="00A04DF2" w:rsidP="00A04DF2">
      <w:pPr>
        <w:rPr>
          <w:rFonts w:eastAsia="Malgun Gothic" w:cstheme="minorBidi"/>
          <w:kern w:val="2"/>
          <w:lang w:val="es-ES_tradnl"/>
          <w14:ligatures w14:val="standardContextual"/>
        </w:rPr>
      </w:pPr>
      <w:r w:rsidRPr="00D9585B">
        <w:rPr>
          <w:lang w:val="es-ES"/>
        </w:rPr>
        <w:t>Nuevos</w:t>
      </w:r>
      <w:r w:rsidRPr="001819F4">
        <w:rPr>
          <w:lang w:val="es-ES_tradnl"/>
        </w:rPr>
        <w:t xml:space="preserve"> temas:</w:t>
      </w:r>
    </w:p>
    <w:p w14:paraId="7BDEA54E"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1)</w:t>
      </w:r>
      <w:r>
        <w:rPr>
          <w:lang w:val="es-ES_tradnl"/>
        </w:rPr>
        <w:tab/>
      </w:r>
      <w:r w:rsidRPr="001819F4">
        <w:rPr>
          <w:lang w:val="es-ES_tradnl"/>
        </w:rPr>
        <w:t>Prácticas idóneas para evaluar las medidas y el rendimiento de la ciberseguridad</w:t>
      </w:r>
    </w:p>
    <w:p w14:paraId="27789540"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2)</w:t>
      </w:r>
      <w:r>
        <w:rPr>
          <w:lang w:val="es-ES_tradnl"/>
        </w:rPr>
        <w:tab/>
      </w:r>
      <w:r w:rsidRPr="001819F4">
        <w:rPr>
          <w:lang w:val="es-ES_tradnl"/>
        </w:rPr>
        <w:t xml:space="preserve">Pruebas y medidas de ciberseguridad para garantizar el acceso seguro y aprobado de los terminales (especialmente los dispositivos IoT vulnerables) a los servicios inteligentes, con especial atención a los esenciales. </w:t>
      </w:r>
    </w:p>
    <w:p w14:paraId="58029216"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3)</w:t>
      </w:r>
      <w:r>
        <w:rPr>
          <w:lang w:val="es-ES_tradnl"/>
        </w:rPr>
        <w:tab/>
      </w:r>
      <w:r w:rsidRPr="001819F4">
        <w:rPr>
          <w:lang w:val="es-ES_tradnl"/>
        </w:rPr>
        <w:t>Mecanismos institucionales, jurídicos y reglamentarios para hacer frente a los nuevos retos de ciberseguridad derivados de la aplicación generalizada de la IA (en colaboración con la Cuestión</w:t>
      </w:r>
      <w:r>
        <w:rPr>
          <w:lang w:val="es-ES_tradnl"/>
        </w:rPr>
        <w:t> </w:t>
      </w:r>
      <w:r w:rsidRPr="001819F4">
        <w:rPr>
          <w:lang w:val="es-ES_tradnl"/>
        </w:rPr>
        <w:t>D/2).</w:t>
      </w:r>
    </w:p>
    <w:p w14:paraId="75AB4E06" w14:textId="77777777" w:rsidR="00A04DF2" w:rsidRDefault="00A04DF2" w:rsidP="00A04DF2">
      <w:pPr>
        <w:pStyle w:val="QuestionNo"/>
        <w:rPr>
          <w:lang w:val="es-ES_tradnl"/>
        </w:rPr>
      </w:pPr>
      <w:r w:rsidRPr="001819F4">
        <w:rPr>
          <w:lang w:val="es-ES_tradnl"/>
        </w:rPr>
        <w:t>CUESTIÓN C/2</w:t>
      </w:r>
    </w:p>
    <w:p w14:paraId="47DD3BEF" w14:textId="77777777" w:rsidR="00A04DF2" w:rsidRPr="001819F4" w:rsidRDefault="00A04DF2" w:rsidP="00A04DF2">
      <w:pPr>
        <w:pStyle w:val="Questiontitle"/>
        <w:rPr>
          <w:rFonts w:eastAsia="Malgun Gothic" w:cstheme="minorBidi"/>
          <w:lang w:val="es-ES_tradnl"/>
        </w:rPr>
      </w:pPr>
      <w:r w:rsidRPr="001819F4">
        <w:rPr>
          <w:lang w:val="es-ES_tradnl"/>
        </w:rPr>
        <w:t>Disponibilidad y asequibilidad de los terminales/dispositivos de usuarios, y conformidad e interoperabilidad de los equipos</w:t>
      </w:r>
    </w:p>
    <w:p w14:paraId="0D510E21" w14:textId="77777777" w:rsidR="00A04DF2" w:rsidRPr="001819F4" w:rsidRDefault="00A04DF2" w:rsidP="00A04DF2">
      <w:pPr>
        <w:pStyle w:val="Heading1"/>
        <w:rPr>
          <w:rFonts w:eastAsia="Malgun Gothic" w:cstheme="minorBidi"/>
          <w:kern w:val="2"/>
          <w:lang w:val="es-ES_tradnl"/>
          <w14:ligatures w14:val="standardContextual"/>
        </w:rPr>
      </w:pPr>
      <w:r>
        <w:rPr>
          <w:lang w:val="es-ES_tradnl"/>
        </w:rPr>
        <w:t>1</w:t>
      </w:r>
      <w:r>
        <w:rPr>
          <w:lang w:val="es-ES_tradnl"/>
        </w:rPr>
        <w:tab/>
      </w:r>
      <w:r w:rsidRPr="001819F4">
        <w:rPr>
          <w:lang w:val="es-ES_tradnl"/>
        </w:rPr>
        <w:t>Exposición de la situación o del problema</w:t>
      </w:r>
    </w:p>
    <w:p w14:paraId="7997B458"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El indicador 5.b.1 – proporción de personas que poseen un teléfono móvil, por sexo, es uno de los siete indicadores de las TIC acordados por la Asamblea General de las Naciones Unidas para medir el progreso mundial en relación con los Objetivos de Desarrollo Sostenible (A/RES/71/313) y también es un indicador del Índice de Desarrollo de las TIC. Los últimos datos de la UIT muestran que este indicador se sitúa en un 81</w:t>
      </w:r>
      <w:r>
        <w:rPr>
          <w:lang w:val="es-ES_tradnl"/>
        </w:rPr>
        <w:t> </w:t>
      </w:r>
      <w:r w:rsidRPr="001819F4">
        <w:rPr>
          <w:lang w:val="es-ES_tradnl"/>
        </w:rPr>
        <w:t>% para los hombres y en un 75</w:t>
      </w:r>
      <w:r>
        <w:rPr>
          <w:lang w:val="es-ES_tradnl"/>
        </w:rPr>
        <w:t> </w:t>
      </w:r>
      <w:r w:rsidRPr="001819F4">
        <w:rPr>
          <w:lang w:val="es-ES_tradnl"/>
        </w:rPr>
        <w:t>% para las mujeres en todo el mundo, lo que supone una notable disparidad por género, lo mismo que ocurre en relación con la región geográfica (UIT, 2023).</w:t>
      </w:r>
      <w:hyperlink r:id="rId387" w:history="1"/>
      <w:hyperlink r:id="rId388" w:history="1"/>
    </w:p>
    <w:p w14:paraId="4BEE8230"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 xml:space="preserve">Varios factores están relacionados con la disponibilidad y asequibilidad de los terminales/dispositivos de los usuarios en todo el mundo. Las políticas y reglamentos adoptados por los Estados Miembros de la UIT en relación con la asequibilidad de los terminales/dispositivos de los usuarios, la conformidad e interoperabilidad, las falsificaciones y el robo de dispositivos influyen en el precio final que los consumidores pagan por los dispositivos que utilizan. Además, obstáculos como las normas de género también pueden impedir la disponibilidad de terminales/dispositivos de usuarios y, en última instancia, la consecución colectiva de los Objetivos de Desarrollo Sostenible relacionados con las TIC. </w:t>
      </w:r>
    </w:p>
    <w:p w14:paraId="18054CC6"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Este problema y las tácticas políticas y reglamentarias conexas merecen ser estudiados por los Miembros del UIT-D y que se facilite orientación a la comunidad de las TIC.</w:t>
      </w:r>
    </w:p>
    <w:p w14:paraId="1E5EF989" w14:textId="77777777" w:rsidR="00A04DF2" w:rsidRPr="001819F4" w:rsidRDefault="00A04DF2" w:rsidP="00A04DF2">
      <w:pPr>
        <w:pStyle w:val="Heading1"/>
        <w:rPr>
          <w:rFonts w:eastAsia="Malgun Gothic" w:cstheme="minorBidi"/>
          <w:kern w:val="2"/>
          <w:lang w:val="es-ES_tradnl"/>
          <w14:ligatures w14:val="standardContextual"/>
        </w:rPr>
      </w:pPr>
      <w:r>
        <w:rPr>
          <w:lang w:val="es-ES_tradnl"/>
        </w:rPr>
        <w:lastRenderedPageBreak/>
        <w:t>2</w:t>
      </w:r>
      <w:r>
        <w:rPr>
          <w:lang w:val="es-ES_tradnl"/>
        </w:rPr>
        <w:tab/>
      </w:r>
      <w:r w:rsidRPr="001819F4">
        <w:rPr>
          <w:lang w:val="es-ES_tradnl"/>
        </w:rPr>
        <w:t>Cuestión o asunto que ha de estudiarse</w:t>
      </w:r>
    </w:p>
    <w:p w14:paraId="3C97B9B0"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 xml:space="preserve">Se espera que la Cuestión de Estudio 4/2 examine cuestiones relacionadas con la disponibilidad y asequibilidad de los terminales/dispositivos de los usuarios. Esta labor abarca los siguientes temas: </w:t>
      </w:r>
    </w:p>
    <w:p w14:paraId="23BB6244"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1)</w:t>
      </w:r>
      <w:r>
        <w:rPr>
          <w:lang w:val="es-ES_tradnl"/>
        </w:rPr>
        <w:tab/>
      </w:r>
      <w:r w:rsidRPr="001819F4">
        <w:rPr>
          <w:lang w:val="es-ES_tradnl"/>
        </w:rPr>
        <w:t>Catalogar/compartir experiencias nacionales y prácticas idóneas de terminales/dispositivos de usuario en el marco de la política y la reglamentación de la banda ancha, como los planes nacionales de banda ancha, las estrategias de TIC y los mandatos de los Fondos de Servicio Universal (FSU) (en colaboración con la Cuestión</w:t>
      </w:r>
      <w:r>
        <w:rPr>
          <w:lang w:val="es-ES_tradnl"/>
        </w:rPr>
        <w:t> </w:t>
      </w:r>
      <w:r w:rsidRPr="001819F4">
        <w:rPr>
          <w:lang w:val="es-ES_tradnl"/>
        </w:rPr>
        <w:t>A/1)</w:t>
      </w:r>
      <w:r>
        <w:rPr>
          <w:lang w:val="es-ES_tradnl"/>
        </w:rPr>
        <w:t>.</w:t>
      </w:r>
    </w:p>
    <w:p w14:paraId="66B58F8F"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2)</w:t>
      </w:r>
      <w:r>
        <w:rPr>
          <w:lang w:val="es-ES_tradnl"/>
        </w:rPr>
        <w:tab/>
      </w:r>
      <w:r w:rsidRPr="001819F4">
        <w:rPr>
          <w:lang w:val="es-ES_tradnl"/>
        </w:rPr>
        <w:t>Catalogar/compartir experiencias nacionales y prácticas idóneas en materia de recopilación de datos y medición de la disponibilidad y asequibilidad (en colaboración con la Cuestión</w:t>
      </w:r>
      <w:r>
        <w:rPr>
          <w:lang w:val="es-ES_tradnl"/>
        </w:rPr>
        <w:t> </w:t>
      </w:r>
      <w:r w:rsidRPr="001819F4">
        <w:rPr>
          <w:lang w:val="es-ES_tradnl"/>
        </w:rPr>
        <w:t>4/1) de terminales/dispositivos de usuario, prestando especial atención al desglose por género y geografía</w:t>
      </w:r>
      <w:r>
        <w:rPr>
          <w:lang w:val="es-ES_tradnl"/>
        </w:rPr>
        <w:t>.</w:t>
      </w:r>
    </w:p>
    <w:p w14:paraId="5E515E61"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3)</w:t>
      </w:r>
      <w:r>
        <w:rPr>
          <w:lang w:val="es-ES_tradnl"/>
        </w:rPr>
        <w:tab/>
      </w:r>
      <w:r w:rsidRPr="001819F4">
        <w:rPr>
          <w:lang w:val="es-ES_tradnl"/>
        </w:rPr>
        <w:t>Catalogar/compartir experiencias nacionales y prácticas idóneas en materia de suministro público de terminales/dispositivos de usuario, por ejemplo, en escuelas, bibliotecas y otros puntos de acceso público</w:t>
      </w:r>
      <w:r>
        <w:rPr>
          <w:lang w:val="es-ES_tradnl"/>
        </w:rPr>
        <w:t>.</w:t>
      </w:r>
    </w:p>
    <w:p w14:paraId="729E8B9F"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4)</w:t>
      </w:r>
      <w:r>
        <w:rPr>
          <w:lang w:val="es-ES_tradnl"/>
        </w:rPr>
        <w:tab/>
      </w:r>
      <w:r w:rsidRPr="001819F4">
        <w:rPr>
          <w:lang w:val="es-ES_tradnl"/>
        </w:rPr>
        <w:t>Analizar las repercusiones de la disponibilidad y asequibilidad (en colaboración con la Cuestión</w:t>
      </w:r>
      <w:r>
        <w:rPr>
          <w:lang w:val="es-ES_tradnl"/>
        </w:rPr>
        <w:t> </w:t>
      </w:r>
      <w:r w:rsidRPr="001819F4">
        <w:rPr>
          <w:lang w:val="es-ES_tradnl"/>
        </w:rPr>
        <w:t>4/1) de los terminales/dispositivos de usuarios en la consecución de los Objetivos de Desarrollo Sostenible.</w:t>
      </w:r>
    </w:p>
    <w:p w14:paraId="475F518A"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5)</w:t>
      </w:r>
      <w:r>
        <w:rPr>
          <w:lang w:val="es-ES_tradnl"/>
        </w:rPr>
        <w:tab/>
      </w:r>
      <w:r w:rsidRPr="001819F4">
        <w:rPr>
          <w:lang w:val="es-ES_tradnl"/>
        </w:rPr>
        <w:t>Catalogar/intercambiar experiencias nacionales y prácticas idóneas en materia de desarrollo de competencias digitales con los terminales/dispositivos de usuario disponibles (en colaboración con la Cuestión D/2)</w:t>
      </w:r>
      <w:r>
        <w:rPr>
          <w:lang w:val="es-ES_tradnl"/>
        </w:rPr>
        <w:t>.</w:t>
      </w:r>
    </w:p>
    <w:p w14:paraId="2EC801DC"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6)</w:t>
      </w:r>
      <w:r>
        <w:rPr>
          <w:lang w:val="es-ES_tradnl"/>
        </w:rPr>
        <w:tab/>
      </w:r>
      <w:r w:rsidRPr="001819F4">
        <w:rPr>
          <w:lang w:val="es-ES_tradnl"/>
        </w:rPr>
        <w:t>Catalogar/intercambiar experiencias nacionales y prácticas idóneas en materia de sensibilización de los consumidores sobre cuestiones relacionadas con los terminales/dispositivos de usuarios, entre otras sobre el robo de dispositivos y la voluntad y capacidad de pago de los consumidores (posiblemente en colaboración con la Cuestión</w:t>
      </w:r>
      <w:r>
        <w:rPr>
          <w:lang w:val="es-ES_tradnl"/>
        </w:rPr>
        <w:t> </w:t>
      </w:r>
      <w:r w:rsidRPr="001819F4">
        <w:rPr>
          <w:lang w:val="es-ES_tradnl"/>
        </w:rPr>
        <w:t>B/1)</w:t>
      </w:r>
      <w:r>
        <w:rPr>
          <w:lang w:val="es-ES_tradnl"/>
        </w:rPr>
        <w:t>.</w:t>
      </w:r>
    </w:p>
    <w:p w14:paraId="49FC2FE2"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7)</w:t>
      </w:r>
      <w:r>
        <w:rPr>
          <w:lang w:val="es-ES_tradnl"/>
        </w:rPr>
        <w:tab/>
      </w:r>
      <w:r w:rsidRPr="001819F4">
        <w:rPr>
          <w:lang w:val="es-ES_tradnl"/>
        </w:rPr>
        <w:t>Identificar/compartir innovaciones y desarrollos en materia de prácticas idóneas de conformidad e interoperabilidad (C&amp;I), incluidas las actividades de normalización del UIT</w:t>
      </w:r>
      <w:r>
        <w:rPr>
          <w:lang w:val="es-ES_tradnl"/>
        </w:rPr>
        <w:noBreakHyphen/>
      </w:r>
      <w:r w:rsidRPr="001819F4">
        <w:rPr>
          <w:lang w:val="es-ES_tradnl"/>
        </w:rPr>
        <w:t>T, los programas de la BDT y las experiencias nacionales</w:t>
      </w:r>
      <w:r>
        <w:rPr>
          <w:lang w:val="es-ES_tradnl"/>
        </w:rPr>
        <w:t>.</w:t>
      </w:r>
    </w:p>
    <w:p w14:paraId="6AC5DE92"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8)</w:t>
      </w:r>
      <w:r>
        <w:rPr>
          <w:lang w:val="es-ES_tradnl"/>
        </w:rPr>
        <w:tab/>
      </w:r>
      <w:r w:rsidRPr="001819F4">
        <w:rPr>
          <w:lang w:val="es-ES_tradnl"/>
        </w:rPr>
        <w:t>Examinar de qué manera la capacitación puede reforzar las posibilidades de los países en desarrollo para reducir los riesgos asociados a la baja calidad de los equipos y los problemas de interoperabilidad de equipos</w:t>
      </w:r>
      <w:r>
        <w:rPr>
          <w:lang w:val="es-ES_tradnl"/>
        </w:rPr>
        <w:t>.</w:t>
      </w:r>
    </w:p>
    <w:p w14:paraId="43F86F57"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9)</w:t>
      </w:r>
      <w:r>
        <w:rPr>
          <w:lang w:val="es-ES_tradnl"/>
        </w:rPr>
        <w:tab/>
      </w:r>
      <w:r w:rsidRPr="001819F4">
        <w:rPr>
          <w:lang w:val="es-ES_tradnl"/>
        </w:rPr>
        <w:t>Compartir información respecto del establecimiento de ARM entre los países</w:t>
      </w:r>
      <w:r>
        <w:rPr>
          <w:lang w:val="es-ES_tradnl"/>
        </w:rPr>
        <w:t>.</w:t>
      </w:r>
    </w:p>
    <w:p w14:paraId="2CD43074"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10)</w:t>
      </w:r>
      <w:r>
        <w:rPr>
          <w:lang w:val="es-ES_tradnl"/>
        </w:rPr>
        <w:tab/>
      </w:r>
      <w:r w:rsidRPr="001819F4">
        <w:rPr>
          <w:lang w:val="es-ES_tradnl"/>
        </w:rPr>
        <w:t>Evaluar la incidencia del aumento del número de dispositivos de TIC en el entorno de radiocomunicaciones, incluida Internet de las cosas (IoT), y proporcionar directrices para los Miembros del UIT-D acerca del grado de preparación para las TIC en lo que respecta a C+I (posiblemente en colaboración con la Cuestión B/2), y</w:t>
      </w:r>
    </w:p>
    <w:p w14:paraId="63538F6E"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11)</w:t>
      </w:r>
      <w:r>
        <w:rPr>
          <w:lang w:val="es-ES_tradnl"/>
        </w:rPr>
        <w:tab/>
      </w:r>
      <w:r w:rsidRPr="001819F4">
        <w:rPr>
          <w:lang w:val="es-ES_tradnl"/>
        </w:rPr>
        <w:t>Catalogar/compartir experiencias nacionales y prácticas idóneas en materia de lucha contra los dispositivos falsificados, manipulados y de baja calidad.</w:t>
      </w:r>
    </w:p>
    <w:p w14:paraId="17B25F22"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Debido a su prevalencia mundial y a su relación con los Objetivos de Desarrollo Sostenible, la Cuestión debería dar prioridad a la consideración de la disponibilidad y asequibilidad de los teléfonos móviles (en particular los teléfonos inteligentes), incluida la voluntad y la capacidad de pago, pero también podría considerar la disponibilidad y asequibilidad de otros terminales/dispositivos de usuario, como los ordenadores personales.</w:t>
      </w:r>
    </w:p>
    <w:p w14:paraId="30F84B9B" w14:textId="77777777" w:rsidR="00A04DF2" w:rsidRDefault="00A04DF2" w:rsidP="00A04DF2">
      <w:pPr>
        <w:pStyle w:val="QuestionNo"/>
        <w:rPr>
          <w:lang w:val="es-ES_tradnl"/>
        </w:rPr>
      </w:pPr>
      <w:r w:rsidRPr="001819F4">
        <w:rPr>
          <w:lang w:val="es-ES_tradnl"/>
        </w:rPr>
        <w:lastRenderedPageBreak/>
        <w:t>CUESTIÓN D/2</w:t>
      </w:r>
    </w:p>
    <w:p w14:paraId="40795240" w14:textId="77777777" w:rsidR="00A04DF2" w:rsidRPr="001819F4" w:rsidRDefault="00A04DF2" w:rsidP="00A04DF2">
      <w:pPr>
        <w:pStyle w:val="Questiontitle"/>
        <w:rPr>
          <w:rFonts w:eastAsia="Malgun Gothic" w:cstheme="minorBidi"/>
          <w:kern w:val="2"/>
          <w:lang w:val="es-ES_tradnl"/>
          <w14:ligatures w14:val="standardContextual"/>
        </w:rPr>
      </w:pPr>
      <w:r w:rsidRPr="001819F4">
        <w:rPr>
          <w:lang w:val="es-ES_tradnl"/>
        </w:rPr>
        <w:t>Utilización de tecnologías de telecomunicaciones/TIC nuevas e incipientes y desarrollo de competencias digitales</w:t>
      </w:r>
    </w:p>
    <w:p w14:paraId="09552C08" w14:textId="77777777" w:rsidR="00A04DF2" w:rsidRPr="001819F4" w:rsidRDefault="00A04DF2" w:rsidP="00A04DF2">
      <w:pPr>
        <w:pStyle w:val="Heading1"/>
        <w:rPr>
          <w:rFonts w:eastAsia="Malgun Gothic" w:cstheme="minorBidi"/>
          <w:kern w:val="2"/>
          <w:lang w:val="es-ES_tradnl"/>
          <w14:ligatures w14:val="standardContextual"/>
        </w:rPr>
      </w:pPr>
      <w:r>
        <w:rPr>
          <w:lang w:val="es-ES_tradnl"/>
        </w:rPr>
        <w:t>1</w:t>
      </w:r>
      <w:r>
        <w:rPr>
          <w:lang w:val="es-ES_tradnl"/>
        </w:rPr>
        <w:tab/>
      </w:r>
      <w:r w:rsidRPr="001819F4">
        <w:rPr>
          <w:lang w:val="es-ES_tradnl"/>
        </w:rPr>
        <w:t>Exposición de la situación o del problema</w:t>
      </w:r>
    </w:p>
    <w:p w14:paraId="2386ED06" w14:textId="77777777" w:rsidR="00A04DF2" w:rsidRPr="001819F4" w:rsidRDefault="00A04DF2" w:rsidP="00A04DF2">
      <w:pPr>
        <w:pStyle w:val="Heading2"/>
        <w:rPr>
          <w:rFonts w:eastAsia="Malgun Gothic" w:cstheme="minorBidi"/>
          <w:kern w:val="2"/>
          <w:lang w:val="es-ES_tradnl"/>
          <w14:ligatures w14:val="standardContextual"/>
        </w:rPr>
      </w:pPr>
      <w:r>
        <w:rPr>
          <w:lang w:val="es-ES_tradnl"/>
        </w:rPr>
        <w:t>1.1</w:t>
      </w:r>
      <w:r>
        <w:rPr>
          <w:lang w:val="es-ES_tradnl"/>
        </w:rPr>
        <w:tab/>
      </w:r>
      <w:r w:rsidRPr="001819F4">
        <w:rPr>
          <w:lang w:val="es-ES_tradnl"/>
        </w:rPr>
        <w:t xml:space="preserve">Utilización de las nuevas tecnologías TIC emergentes </w:t>
      </w:r>
    </w:p>
    <w:p w14:paraId="0A3FC8EA" w14:textId="77777777" w:rsidR="00A04DF2" w:rsidRPr="00D9585B" w:rsidRDefault="00A04DF2" w:rsidP="00A04DF2">
      <w:pPr>
        <w:rPr>
          <w:rFonts w:eastAsia="Malgun Gothic"/>
          <w:lang w:val="es-ES"/>
        </w:rPr>
      </w:pPr>
      <w:r w:rsidRPr="001819F4">
        <w:rPr>
          <w:lang w:val="es-ES_tradnl"/>
        </w:rPr>
        <w:t xml:space="preserve">Con el rápido desarrollo y la aplicación generalizada de nuevas tecnologías de TIC emergentes, como la inteligencia artificial (IA), la consecución de los objetivos de desarrollo sostenible (ODS) y la </w:t>
      </w:r>
      <w:r w:rsidRPr="00D9585B">
        <w:rPr>
          <w:lang w:val="es-ES"/>
        </w:rPr>
        <w:t>reducción de la brecha digital siguen siendo un tema vital. Como los Estados Miembros se enfrentan a diversos problemas en estos ámbitos, es fundamental fomentar el diálogo y la colaboración para encontrar soluciones eficaces.</w:t>
      </w:r>
    </w:p>
    <w:p w14:paraId="4C0B624B" w14:textId="77777777" w:rsidR="00A04DF2" w:rsidRPr="00D9585B" w:rsidRDefault="00A04DF2" w:rsidP="00A04DF2">
      <w:pPr>
        <w:rPr>
          <w:rFonts w:eastAsia="Malgun Gothic"/>
          <w:lang w:val="es-ES"/>
        </w:rPr>
      </w:pPr>
      <w:r w:rsidRPr="00D9585B">
        <w:rPr>
          <w:lang w:val="es-ES"/>
        </w:rPr>
        <w:t xml:space="preserve">Como motor clave de la transformación digital y la innovación tecnológica, estas tecnologías han demostrado su potencial y capacidad para hacer frente a problemas críticos a través de diversos casos de utilización. </w:t>
      </w:r>
    </w:p>
    <w:p w14:paraId="6BC6B44E" w14:textId="77777777" w:rsidR="00A04DF2" w:rsidRPr="001819F4" w:rsidRDefault="00A04DF2" w:rsidP="00A04DF2">
      <w:pPr>
        <w:rPr>
          <w:rFonts w:eastAsia="Malgun Gothic" w:cstheme="minorBidi"/>
          <w:kern w:val="2"/>
          <w:lang w:val="es-ES_tradnl"/>
          <w14:ligatures w14:val="standardContextual"/>
        </w:rPr>
      </w:pPr>
      <w:r w:rsidRPr="00D9585B">
        <w:rPr>
          <w:lang w:val="es-ES"/>
        </w:rPr>
        <w:t>Al reducir la brecha digital, fomentan la accesibilidad y la inclusión a través de herramientas y plataformas</w:t>
      </w:r>
      <w:r w:rsidRPr="001819F4">
        <w:rPr>
          <w:lang w:val="es-ES_tradnl"/>
        </w:rPr>
        <w:t xml:space="preserve"> innovadoras. Las aplicaciones, la infraestructura digital y el acceso equitativo a la tecnología son vitales para garantizar beneficios a todos los grupos sociales. </w:t>
      </w:r>
    </w:p>
    <w:p w14:paraId="4100051A"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 xml:space="preserve">Los Estados Miembros pueden participar activamente en el diálogo y explorar las mejores prácticas para maximizar los </w:t>
      </w:r>
      <w:r w:rsidRPr="00D9585B">
        <w:rPr>
          <w:lang w:val="es-ES"/>
        </w:rPr>
        <w:t>beneficios</w:t>
      </w:r>
      <w:r w:rsidRPr="001819F4">
        <w:rPr>
          <w:lang w:val="es-ES_tradnl"/>
        </w:rPr>
        <w:t xml:space="preserve"> sociales de estas tecnologías y construir un futuro más inclusivo y sostenible.</w:t>
      </w:r>
    </w:p>
    <w:p w14:paraId="38D09E85" w14:textId="77777777" w:rsidR="00A04DF2" w:rsidRPr="001819F4" w:rsidRDefault="00A04DF2" w:rsidP="00A04DF2">
      <w:pPr>
        <w:pStyle w:val="Heading2"/>
        <w:rPr>
          <w:rFonts w:eastAsia="Malgun Gothic" w:cstheme="minorBidi"/>
          <w:kern w:val="2"/>
          <w:lang w:val="es-ES_tradnl"/>
          <w14:ligatures w14:val="standardContextual"/>
        </w:rPr>
      </w:pPr>
      <w:r>
        <w:rPr>
          <w:lang w:val="es-ES_tradnl"/>
        </w:rPr>
        <w:t>1.2</w:t>
      </w:r>
      <w:r>
        <w:rPr>
          <w:lang w:val="es-ES_tradnl"/>
        </w:rPr>
        <w:tab/>
      </w:r>
      <w:r w:rsidRPr="001819F4">
        <w:rPr>
          <w:lang w:val="es-ES_tradnl"/>
        </w:rPr>
        <w:t xml:space="preserve">Desarrollo de competencias digitales </w:t>
      </w:r>
    </w:p>
    <w:p w14:paraId="365E399F"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Las tecnologías de banda ancha están transformando de manera fundamental nuestra manera de vivir. La infraestructura, las aplicaciones y los servicios de banda ancha ofrecen inmensas posibilidades de acelerar el crecimiento económico, mejorar las comunicaciones, aumentar la eficiencia energética, proteger el planeta y mejorar la vida de las personas. El acceso de banda ancha y su adopción tienen repercusiones significativas sobre la economía mundial y contribuyen a reducir la brecha digital.</w:t>
      </w:r>
    </w:p>
    <w:p w14:paraId="57D5526A"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 xml:space="preserve">De acuerdo con la edición de 2021 de la publicación </w:t>
      </w:r>
      <w:proofErr w:type="spellStart"/>
      <w:r w:rsidRPr="001819F4">
        <w:rPr>
          <w:lang w:val="es-ES_tradnl"/>
        </w:rPr>
        <w:t>Facts</w:t>
      </w:r>
      <w:proofErr w:type="spellEnd"/>
      <w:r w:rsidRPr="001819F4">
        <w:rPr>
          <w:lang w:val="es-ES_tradnl"/>
        </w:rPr>
        <w:t xml:space="preserve"> and Figures de la UIT, se calcula que 2</w:t>
      </w:r>
      <w:r>
        <w:rPr>
          <w:lang w:val="es-ES_tradnl"/>
        </w:rPr>
        <w:t> </w:t>
      </w:r>
      <w:r w:rsidRPr="001819F4">
        <w:rPr>
          <w:lang w:val="es-ES_tradnl"/>
        </w:rPr>
        <w:t>900</w:t>
      </w:r>
      <w:r>
        <w:rPr>
          <w:lang w:val="es-ES_tradnl"/>
        </w:rPr>
        <w:t> </w:t>
      </w:r>
      <w:r w:rsidRPr="001819F4">
        <w:rPr>
          <w:lang w:val="es-ES_tradnl"/>
        </w:rPr>
        <w:t>millones de personas – es decir un 37</w:t>
      </w:r>
      <w:r>
        <w:rPr>
          <w:lang w:val="es-ES_tradnl"/>
        </w:rPr>
        <w:t xml:space="preserve"> % </w:t>
      </w:r>
      <w:r w:rsidRPr="001819F4">
        <w:rPr>
          <w:lang w:val="es-ES_tradnl"/>
        </w:rPr>
        <w:t>de la población mundial – siguen sin estar conectadas. En los países desarrollados, el 90</w:t>
      </w:r>
      <w:r>
        <w:rPr>
          <w:lang w:val="es-ES_tradnl"/>
        </w:rPr>
        <w:t> </w:t>
      </w:r>
      <w:r w:rsidRPr="001819F4">
        <w:rPr>
          <w:lang w:val="es-ES_tradnl"/>
        </w:rPr>
        <w:t>% de la población está conectada, frente al 57</w:t>
      </w:r>
      <w:r>
        <w:rPr>
          <w:lang w:val="es-ES_tradnl"/>
        </w:rPr>
        <w:t> </w:t>
      </w:r>
      <w:r w:rsidRPr="001819F4">
        <w:rPr>
          <w:lang w:val="es-ES_tradnl"/>
        </w:rPr>
        <w:t>% en los países en desarrollo</w:t>
      </w:r>
      <w:r w:rsidRPr="001819F4">
        <w:rPr>
          <w:rStyle w:val="FootnoteReference"/>
          <w:rFonts w:eastAsia="Malgun Gothic" w:cstheme="minorHAnsi"/>
          <w:kern w:val="2"/>
          <w:szCs w:val="24"/>
          <w:lang w:val="es-ES_tradnl" w:eastAsia="ko-KR"/>
          <w14:ligatures w14:val="standardContextual"/>
        </w:rPr>
        <w:footnoteReference w:id="21"/>
      </w:r>
      <w:r w:rsidRPr="001819F4">
        <w:rPr>
          <w:lang w:val="es-ES_tradnl"/>
        </w:rPr>
        <w:t xml:space="preserve"> y el 27</w:t>
      </w:r>
      <w:r>
        <w:rPr>
          <w:lang w:val="es-ES_tradnl"/>
        </w:rPr>
        <w:t> </w:t>
      </w:r>
      <w:r w:rsidRPr="001819F4">
        <w:rPr>
          <w:lang w:val="es-ES_tradnl"/>
        </w:rPr>
        <w:t>% en los países menos adelantados (PMA). Del 37</w:t>
      </w:r>
      <w:r>
        <w:rPr>
          <w:lang w:val="es-ES_tradnl"/>
        </w:rPr>
        <w:t> </w:t>
      </w:r>
      <w:r w:rsidRPr="001819F4">
        <w:rPr>
          <w:lang w:val="es-ES_tradnl"/>
        </w:rPr>
        <w:t>% de personas que no están conectadas, un 5</w:t>
      </w:r>
      <w:r>
        <w:rPr>
          <w:lang w:val="es-ES_tradnl"/>
        </w:rPr>
        <w:t xml:space="preserve"> % </w:t>
      </w:r>
      <w:r w:rsidRPr="001819F4">
        <w:rPr>
          <w:lang w:val="es-ES_tradnl"/>
        </w:rPr>
        <w:t>no puede conectarse aunque lo desee debido a la falta de cobertura de la red (</w:t>
      </w:r>
      <w:r>
        <w:rPr>
          <w:lang w:val="es-ES_tradnl"/>
        </w:rPr>
        <w:t>"</w:t>
      </w:r>
      <w:r w:rsidRPr="001819F4">
        <w:rPr>
          <w:lang w:val="es-ES_tradnl"/>
        </w:rPr>
        <w:t>brecha de cobertura</w:t>
      </w:r>
      <w:r>
        <w:rPr>
          <w:lang w:val="es-ES_tradnl"/>
        </w:rPr>
        <w:t>"</w:t>
      </w:r>
      <w:r w:rsidRPr="001819F4">
        <w:rPr>
          <w:lang w:val="es-ES_tradnl"/>
        </w:rPr>
        <w:t>), mientras que el 32</w:t>
      </w:r>
      <w:r>
        <w:rPr>
          <w:lang w:val="es-ES_tradnl"/>
        </w:rPr>
        <w:t> %</w:t>
      </w:r>
      <w:r w:rsidRPr="001819F4">
        <w:rPr>
          <w:lang w:val="es-ES_tradnl"/>
        </w:rPr>
        <w:t xml:space="preserve"> restante sigue sin conexión por otros motivos (</w:t>
      </w:r>
      <w:r>
        <w:rPr>
          <w:lang w:val="es-ES_tradnl"/>
        </w:rPr>
        <w:t>"</w:t>
      </w:r>
      <w:r w:rsidRPr="001819F4">
        <w:rPr>
          <w:lang w:val="es-ES_tradnl"/>
        </w:rPr>
        <w:t>brecha de uso</w:t>
      </w:r>
      <w:r>
        <w:rPr>
          <w:lang w:val="es-ES_tradnl"/>
        </w:rPr>
        <w:t>"</w:t>
      </w:r>
      <w:r w:rsidRPr="001819F4">
        <w:rPr>
          <w:lang w:val="es-ES_tradnl"/>
        </w:rPr>
        <w:t>).</w:t>
      </w:r>
    </w:p>
    <w:p w14:paraId="2DC79B8E"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Desde la aparición de la pandemia de COVID-19, la conectividad a Internet ha sido un factor decisivo para que la población pudiera continuar participando en las actividades sociales, políticas y económicas cotidianas, con el acceso de millones de personas al teletrabajo, la teleeducación, el comercio electrónico y los servicios de telesalud por Internet. En algunos países, casi el 70</w:t>
      </w:r>
      <w:r>
        <w:rPr>
          <w:lang w:val="es-ES_tradnl"/>
        </w:rPr>
        <w:t> </w:t>
      </w:r>
      <w:r w:rsidRPr="001819F4">
        <w:rPr>
          <w:lang w:val="es-ES_tradnl"/>
        </w:rPr>
        <w:t xml:space="preserve">% de la </w:t>
      </w:r>
      <w:r w:rsidRPr="001819F4">
        <w:rPr>
          <w:lang w:val="es-ES_tradnl"/>
        </w:rPr>
        <w:lastRenderedPageBreak/>
        <w:t>fuerza laboral ha adoptado el teletrabajo, y el 94</w:t>
      </w:r>
      <w:r>
        <w:rPr>
          <w:lang w:val="es-ES_tradnl"/>
        </w:rPr>
        <w:t> </w:t>
      </w:r>
      <w:r w:rsidRPr="001819F4">
        <w:rPr>
          <w:lang w:val="es-ES_tradnl"/>
        </w:rPr>
        <w:t>% de la población estudiantil mundial ha resultado afectada por el cierre de las escuelas. Lamentablemente, al menos el 31</w:t>
      </w:r>
      <w:r>
        <w:rPr>
          <w:lang w:val="es-ES_tradnl"/>
        </w:rPr>
        <w:t> </w:t>
      </w:r>
      <w:r w:rsidRPr="001819F4">
        <w:rPr>
          <w:lang w:val="es-ES_tradnl"/>
        </w:rPr>
        <w:t>% de los niños en edad escolar afectados siguen sin poder acceder a contenido educativo en línea.</w:t>
      </w:r>
    </w:p>
    <w:p w14:paraId="5DA75167"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Existen desigualdades entre los países. En lo que respecta al género, en términos mundiales, solo el 48</w:t>
      </w:r>
      <w:r>
        <w:rPr>
          <w:lang w:val="es-ES_tradnl"/>
        </w:rPr>
        <w:t> </w:t>
      </w:r>
      <w:r w:rsidRPr="001819F4">
        <w:rPr>
          <w:lang w:val="es-ES_tradnl"/>
        </w:rPr>
        <w:t>% de las mujeres utilizan Internet, frente al 55</w:t>
      </w:r>
      <w:r>
        <w:rPr>
          <w:lang w:val="es-ES_tradnl"/>
        </w:rPr>
        <w:t> </w:t>
      </w:r>
      <w:r w:rsidRPr="001819F4">
        <w:rPr>
          <w:lang w:val="es-ES_tradnl"/>
        </w:rPr>
        <w:t>% de los hombres. En los países en desarrollo, las mujeres tienen casi un 10</w:t>
      </w:r>
      <w:r>
        <w:rPr>
          <w:lang w:val="es-ES_tradnl"/>
        </w:rPr>
        <w:t> </w:t>
      </w:r>
      <w:r w:rsidRPr="001819F4">
        <w:rPr>
          <w:lang w:val="es-ES_tradnl"/>
        </w:rPr>
        <w:t>% menos de probabilidades que los hombres de utilizar Internet, frente a solo el 2</w:t>
      </w:r>
      <w:r>
        <w:rPr>
          <w:lang w:val="es-ES_tradnl"/>
        </w:rPr>
        <w:t> </w:t>
      </w:r>
      <w:r w:rsidRPr="001819F4">
        <w:rPr>
          <w:lang w:val="es-ES_tradnl"/>
        </w:rPr>
        <w:t>% en los países desarrollados. La brecha de género se agranda aún más en los PMA (15</w:t>
      </w:r>
      <w:r>
        <w:rPr>
          <w:lang w:val="es-ES_tradnl"/>
        </w:rPr>
        <w:t> </w:t>
      </w:r>
      <w:r w:rsidRPr="001819F4">
        <w:rPr>
          <w:lang w:val="es-ES_tradnl"/>
        </w:rPr>
        <w:t>% de mujeres/28</w:t>
      </w:r>
      <w:r>
        <w:rPr>
          <w:lang w:val="es-ES_tradnl"/>
        </w:rPr>
        <w:t> </w:t>
      </w:r>
      <w:r w:rsidRPr="001819F4">
        <w:rPr>
          <w:lang w:val="es-ES_tradnl"/>
        </w:rPr>
        <w:t>% de hombres) y en los PDSL (21</w:t>
      </w:r>
      <w:r>
        <w:rPr>
          <w:lang w:val="es-ES_tradnl"/>
        </w:rPr>
        <w:t> </w:t>
      </w:r>
      <w:r w:rsidRPr="001819F4">
        <w:rPr>
          <w:lang w:val="es-ES_tradnl"/>
        </w:rPr>
        <w:t>% de mujeres/33</w:t>
      </w:r>
      <w:r>
        <w:rPr>
          <w:lang w:val="es-ES_tradnl"/>
        </w:rPr>
        <w:t> </w:t>
      </w:r>
      <w:r w:rsidRPr="001819F4">
        <w:rPr>
          <w:lang w:val="es-ES_tradnl"/>
        </w:rPr>
        <w:t xml:space="preserve">% de hombres). La adopción de la banda ancha contribuye de forma directa a la probabilidad de participación de una comunidad en la economía digital y al disfrute de sus beneficios. </w:t>
      </w:r>
    </w:p>
    <w:p w14:paraId="76EACCCF"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 xml:space="preserve">En las comunidades indígenas, la contribución de la brecha digital al agrandamiento de las brechas económica, educativa y social es aún mayor. Debido a la escasa población de las zonas rurales remotas, donde viven muchos pueblos indígenas, y a las dificultades de cartografiar la banda ancha y recopilar datos, la información sobre el acceso a Internet y su adopción que facilitan las fuentes disponibles no suele ser completa. En condiciones idóneas, los métodos para incrementar la asimilación en estas zonas deberían centrarse en factores del hogar y personales y tener en cuenta el precio, la disponibilidad de equipos informáticos u otros dispositivos, el contenido proporcionado en el idioma local y las competencias digitales. </w:t>
      </w:r>
    </w:p>
    <w:p w14:paraId="28C00CB9"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Las partes interesadas a escala mundial dedican cada vez más esfuerzos a mitigar las desigualdades de adopción de la banda ancha con inversiones en enfoques que se ocupan de la asequibilidad de los dispositivos y servicios y que destacan la importancia de las competencias y los conocimientos digitales para participar de forma efectiva en la economía mundial. Una encuesta realizada por la UIT atribuyó competencias básicas de TIC a menos del 40</w:t>
      </w:r>
      <w:r>
        <w:rPr>
          <w:lang w:val="es-ES_tradnl"/>
        </w:rPr>
        <w:t> </w:t>
      </w:r>
      <w:r w:rsidRPr="001819F4">
        <w:rPr>
          <w:lang w:val="es-ES_tradnl"/>
        </w:rPr>
        <w:t>% de la población en el 40</w:t>
      </w:r>
      <w:r>
        <w:rPr>
          <w:lang w:val="es-ES_tradnl"/>
        </w:rPr>
        <w:t> </w:t>
      </w:r>
      <w:r w:rsidRPr="001819F4">
        <w:rPr>
          <w:lang w:val="es-ES_tradnl"/>
        </w:rPr>
        <w:t>% de los países analizados, competencias estándar de TIC a menos del 40</w:t>
      </w:r>
      <w:r>
        <w:rPr>
          <w:lang w:val="es-ES_tradnl"/>
        </w:rPr>
        <w:t> </w:t>
      </w:r>
      <w:r w:rsidRPr="001819F4">
        <w:rPr>
          <w:lang w:val="es-ES_tradnl"/>
        </w:rPr>
        <w:t>% de la población en más del 70</w:t>
      </w:r>
      <w:r>
        <w:rPr>
          <w:lang w:val="es-ES_tradnl"/>
        </w:rPr>
        <w:t> </w:t>
      </w:r>
      <w:r w:rsidRPr="001819F4">
        <w:rPr>
          <w:lang w:val="es-ES_tradnl"/>
        </w:rPr>
        <w:t>% de los países estudiados, y competencias avanzadas de TIC a menos del 15</w:t>
      </w:r>
      <w:r>
        <w:rPr>
          <w:lang w:val="es-ES_tradnl"/>
        </w:rPr>
        <w:t> </w:t>
      </w:r>
      <w:r w:rsidRPr="001819F4">
        <w:rPr>
          <w:lang w:val="es-ES_tradnl"/>
        </w:rPr>
        <w:t>% de la población en más del 95</w:t>
      </w:r>
      <w:r>
        <w:rPr>
          <w:lang w:val="es-ES_tradnl"/>
        </w:rPr>
        <w:t> </w:t>
      </w:r>
      <w:r w:rsidRPr="001819F4">
        <w:rPr>
          <w:lang w:val="es-ES_tradnl"/>
        </w:rPr>
        <w:t xml:space="preserve">% de los países. </w:t>
      </w:r>
    </w:p>
    <w:p w14:paraId="6AB4E1DB" w14:textId="77777777" w:rsidR="00A04DF2" w:rsidRPr="001819F4" w:rsidRDefault="00A04DF2" w:rsidP="00A04DF2">
      <w:pPr>
        <w:rPr>
          <w:rFonts w:eastAsia="Malgun Gothic" w:cstheme="minorBidi"/>
          <w:kern w:val="2"/>
          <w:lang w:val="es-ES_tradnl"/>
          <w14:ligatures w14:val="standardContextual"/>
        </w:rPr>
      </w:pPr>
      <w:r w:rsidRPr="001819F4">
        <w:rPr>
          <w:lang w:val="es-ES_tradnl"/>
        </w:rPr>
        <w:t>Para que una comunidad pueda participar plenamente en la economía digital, debe mostrar una asimilación significativa de los servicios y tecnologías de banda ancha. Además de los esfuerzos de partes interesadas de todo el mundo por desplegar redes de banda ancha, es importante desarrollar y ejecutar estrategias que ayuden a los ciudadanos a adoptar y utilizar con eficacia las tecnologías, los servicios y los dispositivos de banda ancha, con el apoyo adecuado de las competencias digitales. Cada vez más partes interesadas utilizan la iconografía y el idioma locales para mejorar los conocimientos informáticos y generales. Sería conveniente analizar todas las estrategias de adopción en el contexto de los factores sociales, económicos y culturales que afrontan los habitantes de las zonas urbanas, rurales y remotas de países tanto desarrollados como en desarrollo.</w:t>
      </w:r>
    </w:p>
    <w:p w14:paraId="384987CB" w14:textId="77777777" w:rsidR="00A04DF2" w:rsidRPr="001819F4" w:rsidRDefault="00A04DF2" w:rsidP="00A04DF2">
      <w:pPr>
        <w:pStyle w:val="Heading1"/>
        <w:rPr>
          <w:rFonts w:eastAsia="Malgun Gothic" w:cstheme="minorBidi"/>
          <w:kern w:val="2"/>
          <w:lang w:val="es-ES_tradnl"/>
          <w14:ligatures w14:val="standardContextual"/>
        </w:rPr>
      </w:pPr>
      <w:r>
        <w:rPr>
          <w:lang w:val="es-ES_tradnl"/>
        </w:rPr>
        <w:t>2</w:t>
      </w:r>
      <w:r>
        <w:rPr>
          <w:lang w:val="es-ES_tradnl"/>
        </w:rPr>
        <w:tab/>
      </w:r>
      <w:r w:rsidRPr="001819F4">
        <w:rPr>
          <w:lang w:val="es-ES_tradnl"/>
        </w:rPr>
        <w:t>Cuestión o asunto que ha de estudiarse</w:t>
      </w:r>
    </w:p>
    <w:p w14:paraId="77EB4C89" w14:textId="77777777" w:rsidR="00A04DF2" w:rsidRPr="001819F4" w:rsidRDefault="00A04DF2" w:rsidP="00A04DF2">
      <w:pPr>
        <w:rPr>
          <w:rFonts w:eastAsia="Malgun Gothic" w:cstheme="minorBidi"/>
          <w:kern w:val="2"/>
          <w:lang w:val="es-ES_tradnl"/>
          <w14:ligatures w14:val="standardContextual"/>
        </w:rPr>
      </w:pPr>
      <w:r>
        <w:rPr>
          <w:lang w:val="es-ES_tradnl"/>
        </w:rPr>
        <w:t>1</w:t>
      </w:r>
      <w:r>
        <w:rPr>
          <w:lang w:val="es-ES_tradnl"/>
        </w:rPr>
        <w:tab/>
      </w:r>
      <w:r w:rsidRPr="001819F4">
        <w:rPr>
          <w:lang w:val="es-ES_tradnl"/>
        </w:rPr>
        <w:t xml:space="preserve">Políticas, reglamentaciones e iniciativas adoptadas para el desarrollo de nuevas tecnologías de TIC emergentes, como la IA, por las autoridades nacionales de reglamentación y otras organizaciones nacionales, regionales e internacionales para permitir el desarrollo de estas tecnologías y la transformación digital. </w:t>
      </w:r>
    </w:p>
    <w:p w14:paraId="18E42326" w14:textId="77777777" w:rsidR="00A04DF2" w:rsidRPr="001819F4" w:rsidRDefault="00A04DF2" w:rsidP="00A04DF2">
      <w:pPr>
        <w:pStyle w:val="enumlev1"/>
        <w:rPr>
          <w:rFonts w:eastAsia="Malgun Gothic" w:cstheme="minorBidi"/>
          <w:kern w:val="2"/>
          <w:lang w:val="es-ES_tradnl"/>
          <w14:ligatures w14:val="standardContextual"/>
        </w:rPr>
      </w:pPr>
      <w:r>
        <w:rPr>
          <w:lang w:val="es-ES_tradnl"/>
        </w:rPr>
        <w:t>i)</w:t>
      </w:r>
      <w:r>
        <w:rPr>
          <w:lang w:val="es-ES_tradnl"/>
        </w:rPr>
        <w:tab/>
      </w:r>
      <w:r w:rsidRPr="001819F4">
        <w:rPr>
          <w:lang w:val="es-ES_tradnl"/>
        </w:rPr>
        <w:t>La aplicación de estas tecnologías, la forma de potenciar la industria tradicional de las TIC y el suministro de prácticas idóneas a los miembros de la UIT.</w:t>
      </w:r>
    </w:p>
    <w:p w14:paraId="03253A8E" w14:textId="77777777" w:rsidR="00A04DF2" w:rsidRPr="001819F4" w:rsidRDefault="00A04DF2" w:rsidP="00A04DF2">
      <w:pPr>
        <w:pStyle w:val="enumlev1"/>
        <w:rPr>
          <w:rFonts w:eastAsia="Malgun Gothic" w:cstheme="minorBidi"/>
          <w:kern w:val="2"/>
          <w:lang w:val="es-ES_tradnl"/>
          <w14:ligatures w14:val="standardContextual"/>
        </w:rPr>
      </w:pPr>
      <w:proofErr w:type="spellStart"/>
      <w:r>
        <w:rPr>
          <w:lang w:val="es-ES_tradnl"/>
        </w:rPr>
        <w:t>ii</w:t>
      </w:r>
      <w:proofErr w:type="spellEnd"/>
      <w:r>
        <w:rPr>
          <w:lang w:val="es-ES_tradnl"/>
        </w:rPr>
        <w:t>)</w:t>
      </w:r>
      <w:r>
        <w:rPr>
          <w:lang w:val="es-ES_tradnl"/>
        </w:rPr>
        <w:tab/>
      </w:r>
      <w:r w:rsidRPr="001819F4">
        <w:rPr>
          <w:lang w:val="es-ES_tradnl"/>
        </w:rPr>
        <w:t>Aplicación de estas tecnologías para alcanzar los ODS y reducir la brecha digital.</w:t>
      </w:r>
    </w:p>
    <w:p w14:paraId="46441395" w14:textId="77777777" w:rsidR="00A04DF2" w:rsidRPr="001819F4" w:rsidRDefault="00A04DF2" w:rsidP="00A04DF2">
      <w:pPr>
        <w:pStyle w:val="enumlev1"/>
        <w:rPr>
          <w:rFonts w:eastAsia="Malgun Gothic" w:cstheme="minorBidi"/>
          <w:kern w:val="2"/>
          <w:lang w:val="es-ES_tradnl"/>
          <w14:ligatures w14:val="standardContextual"/>
        </w:rPr>
      </w:pPr>
      <w:proofErr w:type="spellStart"/>
      <w:r>
        <w:rPr>
          <w:lang w:val="es-ES_tradnl"/>
        </w:rPr>
        <w:lastRenderedPageBreak/>
        <w:t>iii</w:t>
      </w:r>
      <w:proofErr w:type="spellEnd"/>
      <w:r>
        <w:rPr>
          <w:lang w:val="es-ES_tradnl"/>
        </w:rPr>
        <w:t>)</w:t>
      </w:r>
      <w:r>
        <w:rPr>
          <w:lang w:val="es-ES_tradnl"/>
        </w:rPr>
        <w:tab/>
      </w:r>
      <w:r w:rsidRPr="001819F4">
        <w:rPr>
          <w:lang w:val="es-ES_tradnl"/>
        </w:rPr>
        <w:t>Enfoque de la creación de capacidad para estas tecnologías.</w:t>
      </w:r>
    </w:p>
    <w:p w14:paraId="3CB0053C" w14:textId="77777777" w:rsidR="00A04DF2" w:rsidRPr="001819F4" w:rsidRDefault="00A04DF2" w:rsidP="00A04DF2">
      <w:pPr>
        <w:rPr>
          <w:rFonts w:eastAsia="Malgun Gothic" w:cstheme="minorBidi"/>
          <w:kern w:val="2"/>
          <w:lang w:val="es-ES_tradnl"/>
          <w14:ligatures w14:val="standardContextual"/>
        </w:rPr>
      </w:pPr>
      <w:r>
        <w:rPr>
          <w:lang w:val="es-ES_tradnl"/>
        </w:rPr>
        <w:t>2</w:t>
      </w:r>
      <w:r>
        <w:rPr>
          <w:lang w:val="es-ES_tradnl"/>
        </w:rPr>
        <w:tab/>
      </w:r>
      <w:r w:rsidRPr="001819F4">
        <w:rPr>
          <w:lang w:val="es-ES_tradnl"/>
        </w:rPr>
        <w:t>Medios que pueden adoptarse para fomentar la cooperación y el intercambio de información efectivos entre responsables políticos y reguladores.</w:t>
      </w:r>
    </w:p>
    <w:p w14:paraId="47C5B1ED" w14:textId="77777777" w:rsidR="00A04DF2" w:rsidRPr="001819F4" w:rsidRDefault="00A04DF2" w:rsidP="00A04DF2">
      <w:pPr>
        <w:rPr>
          <w:rFonts w:eastAsia="Malgun Gothic" w:cstheme="minorBidi"/>
          <w:kern w:val="2"/>
          <w:lang w:val="es-ES_tradnl"/>
          <w14:ligatures w14:val="standardContextual"/>
        </w:rPr>
      </w:pPr>
      <w:r>
        <w:rPr>
          <w:lang w:val="es-ES_tradnl"/>
        </w:rPr>
        <w:t>3</w:t>
      </w:r>
      <w:r>
        <w:rPr>
          <w:lang w:val="es-ES_tradnl"/>
        </w:rPr>
        <w:tab/>
      </w:r>
      <w:r w:rsidRPr="001819F4">
        <w:rPr>
          <w:lang w:val="es-ES_tradnl"/>
        </w:rPr>
        <w:t>Colaboración sobre nuevas tecnologías TIC emergentes con las Cuestiones de estudio pertinentes del UIT-D.</w:t>
      </w:r>
    </w:p>
    <w:p w14:paraId="0647B6DB" w14:textId="77777777" w:rsidR="00A04DF2" w:rsidRPr="001819F4" w:rsidRDefault="00A04DF2" w:rsidP="00A04DF2">
      <w:pPr>
        <w:rPr>
          <w:rFonts w:eastAsia="Malgun Gothic" w:cstheme="minorBidi"/>
          <w:kern w:val="2"/>
          <w:lang w:val="es-ES_tradnl"/>
          <w14:ligatures w14:val="standardContextual"/>
        </w:rPr>
      </w:pPr>
      <w:r>
        <w:rPr>
          <w:lang w:val="es-ES_tradnl"/>
        </w:rPr>
        <w:t>4</w:t>
      </w:r>
      <w:r>
        <w:rPr>
          <w:lang w:val="es-ES_tradnl"/>
        </w:rPr>
        <w:tab/>
      </w:r>
      <w:r w:rsidRPr="001819F4">
        <w:rPr>
          <w:lang w:val="es-ES_tradnl"/>
        </w:rPr>
        <w:t>Garantizando un diseño adecuado de la infraestructura para que sea resiliente ante cualquier posible interrupción de la conectividad (dimensión de diseño proactivo)</w:t>
      </w:r>
      <w:r>
        <w:rPr>
          <w:lang w:val="es-ES_tradnl"/>
        </w:rPr>
        <w:t>.</w:t>
      </w:r>
    </w:p>
    <w:p w14:paraId="083E964D" w14:textId="77777777" w:rsidR="00A04DF2" w:rsidRPr="001819F4" w:rsidRDefault="00A04DF2" w:rsidP="00A04DF2">
      <w:pPr>
        <w:rPr>
          <w:rFonts w:eastAsia="Malgun Gothic" w:cstheme="minorBidi"/>
          <w:kern w:val="2"/>
          <w:lang w:val="es-ES_tradnl"/>
          <w14:ligatures w14:val="standardContextual"/>
        </w:rPr>
      </w:pPr>
      <w:r>
        <w:rPr>
          <w:lang w:val="es-ES_tradnl"/>
        </w:rPr>
        <w:t>5</w:t>
      </w:r>
      <w:r>
        <w:rPr>
          <w:lang w:val="es-ES_tradnl"/>
        </w:rPr>
        <w:tab/>
      </w:r>
      <w:r w:rsidRPr="001819F4">
        <w:rPr>
          <w:lang w:val="es-ES_tradnl"/>
        </w:rPr>
        <w:t>Cómo gestionar el restablecimiento de la conectividad debido a un mal funcionamiento o fallo de la red (aspecto operativo reactivo)</w:t>
      </w:r>
      <w:r>
        <w:rPr>
          <w:lang w:val="es-ES_tradnl"/>
        </w:rPr>
        <w:t>.</w:t>
      </w:r>
    </w:p>
    <w:p w14:paraId="6418B7ED" w14:textId="77777777" w:rsidR="00A04DF2" w:rsidRPr="001819F4" w:rsidRDefault="00A04DF2" w:rsidP="00A04DF2">
      <w:pPr>
        <w:rPr>
          <w:rFonts w:eastAsia="Malgun Gothic" w:cstheme="minorBidi"/>
          <w:kern w:val="2"/>
          <w:lang w:val="es-ES_tradnl"/>
          <w14:ligatures w14:val="standardContextual"/>
        </w:rPr>
      </w:pPr>
      <w:r>
        <w:rPr>
          <w:lang w:val="es-ES_tradnl"/>
        </w:rPr>
        <w:t>6</w:t>
      </w:r>
      <w:r>
        <w:rPr>
          <w:lang w:val="es-ES_tradnl"/>
        </w:rPr>
        <w:tab/>
      </w:r>
      <w:r w:rsidRPr="001819F4">
        <w:rPr>
          <w:lang w:val="es-ES_tradnl"/>
        </w:rPr>
        <w:t>Análisis de las oportunidades, los desafíos y las desigualdades asociados a la adopción de las telecomunicaciones/TIC incluida la banda ancha.</w:t>
      </w:r>
    </w:p>
    <w:p w14:paraId="2354E288" w14:textId="77777777" w:rsidR="00A04DF2" w:rsidRPr="001819F4" w:rsidRDefault="00A04DF2" w:rsidP="00A04DF2">
      <w:pPr>
        <w:rPr>
          <w:rFonts w:eastAsia="Malgun Gothic" w:cstheme="minorBidi"/>
          <w:kern w:val="2"/>
          <w:lang w:val="es-ES_tradnl"/>
          <w14:ligatures w14:val="standardContextual"/>
        </w:rPr>
      </w:pPr>
      <w:r>
        <w:rPr>
          <w:lang w:val="es-ES_tradnl"/>
        </w:rPr>
        <w:t>7</w:t>
      </w:r>
      <w:r>
        <w:rPr>
          <w:lang w:val="es-ES_tradnl"/>
        </w:rPr>
        <w:tab/>
      </w:r>
      <w:r w:rsidRPr="001819F4">
        <w:rPr>
          <w:lang w:val="es-ES_tradnl"/>
        </w:rPr>
        <w:t>Tendencias en la adopción de las telecomunicaciones/TIC en todo el mundo, en especial en las zonas urbanas, rurales y remotas, entre otras.</w:t>
      </w:r>
    </w:p>
    <w:p w14:paraId="0A83304F" w14:textId="77777777" w:rsidR="00A04DF2" w:rsidRPr="001819F4" w:rsidRDefault="00A04DF2" w:rsidP="00A04DF2">
      <w:pPr>
        <w:rPr>
          <w:rFonts w:eastAsia="Malgun Gothic" w:cstheme="minorBidi"/>
          <w:kern w:val="2"/>
          <w:lang w:val="es-ES_tradnl"/>
          <w14:ligatures w14:val="standardContextual"/>
        </w:rPr>
      </w:pPr>
      <w:r>
        <w:rPr>
          <w:lang w:val="es-ES_tradnl"/>
        </w:rPr>
        <w:t>8</w:t>
      </w:r>
      <w:r>
        <w:rPr>
          <w:lang w:val="es-ES_tradnl"/>
        </w:rPr>
        <w:tab/>
      </w:r>
      <w:r w:rsidRPr="001819F4">
        <w:rPr>
          <w:lang w:val="es-ES_tradnl"/>
        </w:rPr>
        <w:t>Tendencias del tráfico en Internet e impacto de la demanda de banda ancha de alta velocidad, en especial durante pandemias y catástrofes.</w:t>
      </w:r>
    </w:p>
    <w:p w14:paraId="65E10350" w14:textId="77777777" w:rsidR="00A04DF2" w:rsidRPr="001819F4" w:rsidRDefault="00A04DF2" w:rsidP="00A04DF2">
      <w:pPr>
        <w:rPr>
          <w:rFonts w:eastAsia="Malgun Gothic" w:cstheme="minorBidi"/>
          <w:kern w:val="2"/>
          <w:lang w:val="es-ES_tradnl"/>
          <w14:ligatures w14:val="standardContextual"/>
        </w:rPr>
      </w:pPr>
      <w:r>
        <w:rPr>
          <w:lang w:val="es-ES_tradnl"/>
        </w:rPr>
        <w:t>9</w:t>
      </w:r>
      <w:r>
        <w:rPr>
          <w:lang w:val="es-ES_tradnl"/>
        </w:rPr>
        <w:tab/>
      </w:r>
      <w:r w:rsidRPr="001819F4">
        <w:rPr>
          <w:lang w:val="es-ES_tradnl"/>
        </w:rPr>
        <w:t>Tendencias del desarrollo de las calificaciones digitales y los programas de formación.</w:t>
      </w:r>
    </w:p>
    <w:p w14:paraId="0449123F" w14:textId="77777777" w:rsidR="00A04DF2" w:rsidRPr="001819F4" w:rsidRDefault="00A04DF2" w:rsidP="00A04DF2">
      <w:pPr>
        <w:rPr>
          <w:rFonts w:eastAsia="Malgun Gothic" w:cstheme="minorBidi"/>
          <w:kern w:val="2"/>
          <w:lang w:val="es-ES_tradnl"/>
          <w14:ligatures w14:val="standardContextual"/>
        </w:rPr>
      </w:pPr>
      <w:r>
        <w:rPr>
          <w:lang w:val="es-ES_tradnl"/>
        </w:rPr>
        <w:t>10</w:t>
      </w:r>
      <w:r>
        <w:rPr>
          <w:lang w:val="es-ES_tradnl"/>
        </w:rPr>
        <w:tab/>
      </w:r>
      <w:r w:rsidRPr="001819F4">
        <w:rPr>
          <w:lang w:val="es-ES_tradnl"/>
        </w:rPr>
        <w:t>Métodos para promover e impulsar la alfabetización, la capacitación y el desarrollo de competencias en el ámbito digital en todos los niveles del panorama socioeconómico mundial, con miras a cerrar la brecha de competencias digitales.</w:t>
      </w:r>
    </w:p>
    <w:p w14:paraId="024DA9DF" w14:textId="77777777" w:rsidR="00A04DF2" w:rsidRPr="001819F4" w:rsidRDefault="00A04DF2" w:rsidP="00A04DF2">
      <w:pPr>
        <w:rPr>
          <w:rFonts w:eastAsia="Malgun Gothic" w:cstheme="minorBidi"/>
          <w:kern w:val="2"/>
          <w:lang w:val="es-ES_tradnl"/>
          <w14:ligatures w14:val="standardContextual"/>
        </w:rPr>
      </w:pPr>
      <w:r>
        <w:rPr>
          <w:lang w:val="es-ES_tradnl"/>
        </w:rPr>
        <w:t>11</w:t>
      </w:r>
      <w:r>
        <w:rPr>
          <w:lang w:val="es-ES_tradnl"/>
        </w:rPr>
        <w:tab/>
      </w:r>
      <w:r w:rsidRPr="001819F4">
        <w:rPr>
          <w:lang w:val="es-ES_tradnl"/>
        </w:rPr>
        <w:t xml:space="preserve">Enfoques para fortalecer la formación en materia de calificaciones digitales para la adopción de servicios electrónicos, incluyendo la </w:t>
      </w:r>
      <w:proofErr w:type="spellStart"/>
      <w:r w:rsidRPr="001819F4">
        <w:rPr>
          <w:lang w:val="es-ES_tradnl"/>
        </w:rPr>
        <w:t>ciberagricultura</w:t>
      </w:r>
      <w:proofErr w:type="spellEnd"/>
      <w:r w:rsidRPr="001819F4">
        <w:rPr>
          <w:lang w:val="es-ES_tradnl"/>
        </w:rPr>
        <w:t xml:space="preserve">, el comercio electrónico, la </w:t>
      </w:r>
      <w:proofErr w:type="spellStart"/>
      <w:r w:rsidRPr="001819F4">
        <w:rPr>
          <w:lang w:val="es-ES_tradnl"/>
        </w:rPr>
        <w:t>cibereducación</w:t>
      </w:r>
      <w:proofErr w:type="spellEnd"/>
      <w:r w:rsidRPr="001819F4">
        <w:rPr>
          <w:lang w:val="es-ES_tradnl"/>
        </w:rPr>
        <w:t xml:space="preserve"> y la </w:t>
      </w:r>
      <w:proofErr w:type="spellStart"/>
      <w:r w:rsidRPr="001819F4">
        <w:rPr>
          <w:lang w:val="es-ES_tradnl"/>
        </w:rPr>
        <w:t>cibersalud</w:t>
      </w:r>
      <w:proofErr w:type="spellEnd"/>
      <w:r w:rsidRPr="001819F4">
        <w:rPr>
          <w:lang w:val="es-ES_tradnl"/>
        </w:rPr>
        <w:t>.</w:t>
      </w:r>
    </w:p>
    <w:p w14:paraId="787A7F37" w14:textId="77777777" w:rsidR="00A04DF2" w:rsidRPr="001819F4" w:rsidRDefault="00A04DF2" w:rsidP="00A04DF2">
      <w:pPr>
        <w:rPr>
          <w:rFonts w:eastAsia="Malgun Gothic" w:cstheme="minorBidi"/>
          <w:kern w:val="2"/>
          <w:lang w:val="es-ES_tradnl"/>
          <w14:ligatures w14:val="standardContextual"/>
        </w:rPr>
      </w:pPr>
      <w:r>
        <w:rPr>
          <w:lang w:val="es-ES_tradnl"/>
        </w:rPr>
        <w:t>12</w:t>
      </w:r>
      <w:r>
        <w:rPr>
          <w:lang w:val="es-ES_tradnl"/>
        </w:rPr>
        <w:tab/>
      </w:r>
      <w:r w:rsidRPr="001819F4">
        <w:rPr>
          <w:lang w:val="es-ES_tradnl"/>
        </w:rPr>
        <w:t>Métodos para fomentar la adopción de dispositivos y servicios de telecomunicaciones/TIC entre los niños y jóvenes en edad escolar y para enseñarles competencias digitales básicas, intermedias y avanzadas de manera que puedan participar plenamente y con seguridad en la sociedad de la información.</w:t>
      </w:r>
    </w:p>
    <w:p w14:paraId="0E6F4B76" w14:textId="77777777" w:rsidR="00A04DF2" w:rsidRPr="001819F4" w:rsidRDefault="00A04DF2" w:rsidP="00A04DF2">
      <w:pPr>
        <w:rPr>
          <w:rFonts w:eastAsia="Malgun Gothic" w:cstheme="minorBidi"/>
          <w:kern w:val="2"/>
          <w:lang w:val="es-ES_tradnl"/>
          <w14:ligatures w14:val="standardContextual"/>
        </w:rPr>
      </w:pPr>
      <w:r>
        <w:rPr>
          <w:lang w:val="es-ES_tradnl"/>
        </w:rPr>
        <w:t>13</w:t>
      </w:r>
      <w:r>
        <w:rPr>
          <w:lang w:val="es-ES_tradnl"/>
        </w:rPr>
        <w:tab/>
      </w:r>
      <w:r w:rsidRPr="001819F4">
        <w:rPr>
          <w:lang w:val="es-ES_tradnl"/>
        </w:rPr>
        <w:t>Métodos para fomentar la adopción generalizada de los servicios y tecnologías de telecomunicaciones/TIC nuevos e incipientes a fin de potenciar la conectividad fiable y rápida para todos, y en especial para las mujeres y los habitantes de los países en desarrollo y los países menos adelantados (PMA), los países en desarrollo sin litoral (PDSL) y los pequeños Estados insulares en desarrollo (PEID).</w:t>
      </w:r>
    </w:p>
    <w:p w14:paraId="5EAE9641" w14:textId="77777777" w:rsidR="00A04DF2" w:rsidRPr="001819F4" w:rsidRDefault="00A04DF2" w:rsidP="00A04DF2">
      <w:pPr>
        <w:rPr>
          <w:rFonts w:eastAsia="Malgun Gothic" w:cstheme="minorBidi"/>
          <w:kern w:val="2"/>
          <w:lang w:val="es-ES_tradnl"/>
          <w14:ligatures w14:val="standardContextual"/>
        </w:rPr>
      </w:pPr>
      <w:r>
        <w:rPr>
          <w:lang w:val="es-ES_tradnl"/>
        </w:rPr>
        <w:t>14</w:t>
      </w:r>
      <w:r>
        <w:rPr>
          <w:lang w:val="es-ES_tradnl"/>
        </w:rPr>
        <w:tab/>
      </w:r>
      <w:r w:rsidRPr="001819F4">
        <w:rPr>
          <w:lang w:val="es-ES_tradnl"/>
        </w:rPr>
        <w:t>Estrategias y políticas para mejorar la asequibilidad de los dispositivos habilitados para Internet, incluidos los teléfonos y servicios de datos, a fin de satisfacer la creciente demanda de servicios y dispositivos de Internet a precios asequibles (en colaboración con la Cuestión 4/1).</w:t>
      </w:r>
    </w:p>
    <w:p w14:paraId="6AC711C7" w14:textId="77777777" w:rsidR="00A04DF2" w:rsidRPr="001819F4" w:rsidRDefault="00A04DF2" w:rsidP="00A04DF2">
      <w:pPr>
        <w:rPr>
          <w:rFonts w:eastAsia="Malgun Gothic" w:cstheme="minorBidi"/>
          <w:kern w:val="2"/>
          <w:lang w:val="es-ES_tradnl"/>
          <w14:ligatures w14:val="standardContextual"/>
        </w:rPr>
      </w:pPr>
      <w:r>
        <w:rPr>
          <w:lang w:val="es-ES_tradnl"/>
        </w:rPr>
        <w:t>15</w:t>
      </w:r>
      <w:r>
        <w:rPr>
          <w:lang w:val="es-ES_tradnl"/>
        </w:rPr>
        <w:tab/>
      </w:r>
      <w:r w:rsidRPr="001819F4">
        <w:rPr>
          <w:lang w:val="es-ES_tradnl"/>
        </w:rPr>
        <w:t>La influencia de los factores culturales, sociales y de otros tipos sobre la producción de métodos únicos y a menudo creativos para animar a los residentes de los países en desarrollo a adoptar los servicios electrónicos, incluidos los contenidos pertinentes en los idiomas locales.</w:t>
      </w:r>
    </w:p>
    <w:p w14:paraId="7201FB26" w14:textId="77777777" w:rsidR="00A04DF2" w:rsidRPr="001819F4" w:rsidRDefault="00A04DF2" w:rsidP="00A04DF2">
      <w:pPr>
        <w:overflowPunct/>
        <w:autoSpaceDE/>
        <w:autoSpaceDN/>
        <w:adjustRightInd/>
        <w:spacing w:after="120"/>
        <w:jc w:val="center"/>
        <w:textAlignment w:val="auto"/>
        <w:rPr>
          <w:rFonts w:ascii="Calibri" w:eastAsia="Calibri" w:hAnsi="Calibri" w:cs="Calibri"/>
          <w:b/>
          <w:bCs/>
          <w:color w:val="000000" w:themeColor="text1"/>
          <w:lang w:val="es-ES_tradnl"/>
        </w:rPr>
      </w:pPr>
      <w:r w:rsidRPr="001819F4">
        <w:rPr>
          <w:rFonts w:ascii="Calibri" w:eastAsia="Calibri" w:hAnsi="Calibri" w:cs="Calibri"/>
          <w:b/>
          <w:bCs/>
          <w:color w:val="000000" w:themeColor="text1"/>
          <w:lang w:val="es-ES_tradnl"/>
        </w:rPr>
        <w:br w:type="page"/>
      </w:r>
    </w:p>
    <w:p w14:paraId="510CC462" w14:textId="77777777" w:rsidR="00A04DF2" w:rsidRPr="001819F4" w:rsidRDefault="00A04DF2" w:rsidP="00A04DF2">
      <w:pPr>
        <w:pStyle w:val="BodyText"/>
        <w:autoSpaceDE/>
        <w:autoSpaceDN/>
        <w:spacing w:before="120" w:after="120"/>
        <w:jc w:val="center"/>
        <w:rPr>
          <w:rFonts w:ascii="Calibri" w:eastAsia="Calibri" w:hAnsi="Calibri" w:cs="Calibri"/>
          <w:color w:val="000000" w:themeColor="text1"/>
          <w:sz w:val="24"/>
          <w:szCs w:val="24"/>
          <w:lang w:val="es-ES_tradnl"/>
        </w:rPr>
      </w:pPr>
    </w:p>
    <w:tbl>
      <w:tblPr>
        <w:tblpPr w:leftFromText="181" w:rightFromText="181" w:vertAnchor="page" w:horzAnchor="margin" w:tblpY="1381"/>
        <w:tblW w:w="10206" w:type="dxa"/>
        <w:tblLayout w:type="fixed"/>
        <w:tblLook w:val="0000" w:firstRow="0" w:lastRow="0" w:firstColumn="0" w:lastColumn="0" w:noHBand="0" w:noVBand="0"/>
      </w:tblPr>
      <w:tblGrid>
        <w:gridCol w:w="10206"/>
      </w:tblGrid>
      <w:tr w:rsidR="00A04DF2" w:rsidRPr="00995D64" w14:paraId="6AEAC093" w14:textId="77777777" w:rsidTr="00D04740">
        <w:trPr>
          <w:cantSplit/>
          <w:trHeight w:val="300"/>
        </w:trPr>
        <w:tc>
          <w:tcPr>
            <w:tcW w:w="10206" w:type="dxa"/>
            <w:shd w:val="clear" w:color="auto" w:fill="auto"/>
          </w:tcPr>
          <w:p w14:paraId="71D6CCE0" w14:textId="77777777" w:rsidR="00A04DF2" w:rsidRPr="001819F4" w:rsidRDefault="00A04DF2" w:rsidP="00D04740">
            <w:pPr>
              <w:pStyle w:val="AnnexNo"/>
              <w:rPr>
                <w:rFonts w:ascii="Calibri" w:eastAsia="Calibri" w:hAnsi="Calibri" w:cs="Calibri"/>
                <w:color w:val="000000" w:themeColor="text1"/>
                <w:sz w:val="24"/>
                <w:szCs w:val="24"/>
                <w:lang w:val="es-ES_tradnl"/>
              </w:rPr>
            </w:pPr>
            <w:r w:rsidRPr="001819F4">
              <w:rPr>
                <w:lang w:val="es-ES_tradnl"/>
              </w:rPr>
              <w:t>ANEXO F</w:t>
            </w:r>
          </w:p>
          <w:p w14:paraId="587E8F15" w14:textId="77777777" w:rsidR="00A04DF2" w:rsidRPr="001819F4" w:rsidRDefault="00A04DF2" w:rsidP="00D04740">
            <w:pPr>
              <w:pStyle w:val="Annextitle"/>
              <w:rPr>
                <w:sz w:val="24"/>
                <w:szCs w:val="24"/>
                <w:lang w:val="es-ES_tradnl"/>
              </w:rPr>
            </w:pPr>
            <w:r w:rsidRPr="001819F4">
              <w:rPr>
                <w:lang w:val="es-ES_tradnl"/>
              </w:rPr>
              <w:t>PROPUESTAS SOBRE LA RACIONALIZACIÓN DE LAS RESOLUCIONES</w:t>
            </w:r>
          </w:p>
          <w:p w14:paraId="0A43ED14" w14:textId="77777777" w:rsidR="00A04DF2" w:rsidRPr="001819F4" w:rsidRDefault="00A04DF2" w:rsidP="00D04740">
            <w:pPr>
              <w:pStyle w:val="Source"/>
              <w:spacing w:before="120" w:after="120"/>
              <w:rPr>
                <w:sz w:val="24"/>
                <w:szCs w:val="24"/>
                <w:lang w:val="es-ES_tradnl"/>
              </w:rPr>
            </w:pPr>
            <w:r w:rsidRPr="001819F4">
              <w:rPr>
                <w:bCs/>
                <w:color w:val="000000"/>
                <w:lang w:val="es-ES_tradnl"/>
              </w:rPr>
              <w:t>Presidente del GT-GADT-RR</w:t>
            </w:r>
          </w:p>
        </w:tc>
      </w:tr>
      <w:tr w:rsidR="00A04DF2" w:rsidRPr="00995D64" w14:paraId="2A60296C" w14:textId="77777777" w:rsidTr="00D04740">
        <w:trPr>
          <w:cantSplit/>
          <w:trHeight w:val="300"/>
        </w:trPr>
        <w:tc>
          <w:tcPr>
            <w:tcW w:w="10206" w:type="dxa"/>
            <w:shd w:val="clear" w:color="auto" w:fill="auto"/>
            <w:vAlign w:val="center"/>
          </w:tcPr>
          <w:p w14:paraId="4AEABCF7" w14:textId="77777777" w:rsidR="00A04DF2" w:rsidRPr="001819F4" w:rsidRDefault="00A04DF2" w:rsidP="00D04740">
            <w:pPr>
              <w:pStyle w:val="Title1"/>
              <w:rPr>
                <w:caps/>
                <w:sz w:val="24"/>
                <w:szCs w:val="24"/>
                <w:lang w:val="es-ES_tradnl"/>
              </w:rPr>
            </w:pPr>
            <w:r w:rsidRPr="001819F4">
              <w:rPr>
                <w:color w:val="000000"/>
                <w:lang w:val="es-ES_tradnl"/>
              </w:rPr>
              <w:t>Informe del Grupo de Trabajo del GADT sobre la Racionalización de las Resoluciones (GT-GADT-RR)</w:t>
            </w:r>
          </w:p>
        </w:tc>
      </w:tr>
      <w:tr w:rsidR="00A04DF2" w:rsidRPr="001819F4" w14:paraId="28A32D99" w14:textId="77777777" w:rsidTr="00D04740">
        <w:trPr>
          <w:cantSplit/>
          <w:trHeight w:val="300"/>
        </w:trPr>
        <w:tc>
          <w:tcPr>
            <w:tcW w:w="10206" w:type="dxa"/>
            <w:tcBorders>
              <w:top w:val="single" w:sz="4" w:space="0" w:color="auto"/>
              <w:left w:val="single" w:sz="4" w:space="0" w:color="auto"/>
              <w:bottom w:val="single" w:sz="4" w:space="0" w:color="auto"/>
              <w:right w:val="single" w:sz="4" w:space="0" w:color="auto"/>
            </w:tcBorders>
            <w:shd w:val="clear" w:color="auto" w:fill="auto"/>
          </w:tcPr>
          <w:p w14:paraId="4621D7F8" w14:textId="77777777" w:rsidR="00A04DF2" w:rsidRPr="001819F4" w:rsidRDefault="00A04DF2" w:rsidP="00D04740">
            <w:pPr>
              <w:spacing w:after="120"/>
              <w:rPr>
                <w:b/>
                <w:bCs/>
                <w:lang w:val="es-ES_tradnl"/>
              </w:rPr>
            </w:pPr>
            <w:r w:rsidRPr="001819F4">
              <w:rPr>
                <w:b/>
                <w:bCs/>
                <w:color w:val="000000"/>
                <w:lang w:val="es-ES_tradnl"/>
              </w:rPr>
              <w:t>Resumen:</w:t>
            </w:r>
          </w:p>
          <w:p w14:paraId="1B6726BA" w14:textId="77777777" w:rsidR="00A04DF2" w:rsidRPr="001819F4" w:rsidRDefault="00A04DF2" w:rsidP="00D04740">
            <w:pPr>
              <w:rPr>
                <w:lang w:val="es-ES_tradnl"/>
              </w:rPr>
            </w:pPr>
            <w:r w:rsidRPr="001819F4">
              <w:rPr>
                <w:lang w:val="es-ES_tradnl"/>
              </w:rPr>
              <w:t xml:space="preserve">En el presente </w:t>
            </w:r>
            <w:r w:rsidRPr="00995D64">
              <w:rPr>
                <w:lang w:val="es-ES"/>
              </w:rPr>
              <w:t>documento</w:t>
            </w:r>
            <w:r w:rsidRPr="001819F4">
              <w:rPr>
                <w:lang w:val="es-ES_tradnl"/>
              </w:rPr>
              <w:t xml:space="preserve"> figura el informe del Grupo de Trabajo del GADT sobre la Racionalización de las Resoluciones (GT-GADT-RR)</w:t>
            </w:r>
          </w:p>
          <w:p w14:paraId="5F457B0B" w14:textId="77777777" w:rsidR="00A04DF2" w:rsidRPr="001819F4" w:rsidRDefault="00A04DF2" w:rsidP="00D04740">
            <w:pPr>
              <w:spacing w:after="120"/>
              <w:rPr>
                <w:b/>
                <w:bCs/>
                <w:lang w:val="es-ES_tradnl"/>
              </w:rPr>
            </w:pPr>
            <w:r w:rsidRPr="001819F4">
              <w:rPr>
                <w:b/>
                <w:bCs/>
                <w:color w:val="000000"/>
                <w:lang w:val="es-ES_tradnl"/>
              </w:rPr>
              <w:t>Acción solicitada:</w:t>
            </w:r>
          </w:p>
          <w:p w14:paraId="078E4E29" w14:textId="77777777" w:rsidR="00A04DF2" w:rsidRPr="001819F4" w:rsidRDefault="00A04DF2" w:rsidP="00D04740">
            <w:pPr>
              <w:rPr>
                <w:lang w:val="es-ES_tradnl"/>
              </w:rPr>
            </w:pPr>
            <w:r w:rsidRPr="001819F4">
              <w:rPr>
                <w:lang w:val="es-ES_tradnl"/>
              </w:rPr>
              <w:t>Se invita al GADT a tomar nota de este documento y formular las orientaciones que estime convenientes.</w:t>
            </w:r>
          </w:p>
          <w:p w14:paraId="7959235A" w14:textId="77777777" w:rsidR="00A04DF2" w:rsidRPr="001819F4" w:rsidRDefault="00A04DF2" w:rsidP="00D04740">
            <w:pPr>
              <w:spacing w:after="120"/>
              <w:rPr>
                <w:b/>
                <w:bCs/>
                <w:lang w:val="es-ES_tradnl"/>
              </w:rPr>
            </w:pPr>
            <w:r w:rsidRPr="001819F4">
              <w:rPr>
                <w:b/>
                <w:bCs/>
                <w:color w:val="000000"/>
                <w:lang w:val="es-ES_tradnl"/>
              </w:rPr>
              <w:t>Referencias:</w:t>
            </w:r>
          </w:p>
          <w:p w14:paraId="6BAE3731" w14:textId="77777777" w:rsidR="00A04DF2" w:rsidRPr="001819F4" w:rsidRDefault="00A04DF2" w:rsidP="00D04740">
            <w:pPr>
              <w:rPr>
                <w:lang w:val="es-ES_tradnl"/>
              </w:rPr>
            </w:pPr>
            <w:r w:rsidRPr="001819F4">
              <w:rPr>
                <w:lang w:val="es-ES_tradnl"/>
              </w:rPr>
              <w:t>Informe Final de la CMDT-17</w:t>
            </w:r>
          </w:p>
          <w:p w14:paraId="15884A9D" w14:textId="77777777" w:rsidR="00A04DF2" w:rsidRPr="001819F4" w:rsidRDefault="00A04DF2" w:rsidP="00D04740">
            <w:pPr>
              <w:rPr>
                <w:lang w:val="es-ES_tradnl"/>
              </w:rPr>
            </w:pPr>
            <w:r w:rsidRPr="001819F4">
              <w:rPr>
                <w:lang w:val="es-ES_tradnl"/>
              </w:rPr>
              <w:t>Informe Final de la CMDT-22</w:t>
            </w:r>
          </w:p>
        </w:tc>
      </w:tr>
    </w:tbl>
    <w:p w14:paraId="171901C7" w14:textId="77777777" w:rsidR="00A04DF2" w:rsidRPr="001819F4" w:rsidRDefault="00A04DF2" w:rsidP="00A04DF2">
      <w:pPr>
        <w:pStyle w:val="Heading1"/>
        <w:spacing w:after="120"/>
        <w:rPr>
          <w:rFonts w:cstheme="minorBidi"/>
          <w:lang w:val="es-ES_tradnl"/>
        </w:rPr>
      </w:pPr>
      <w:r>
        <w:rPr>
          <w:lang w:val="es-ES_tradnl"/>
        </w:rPr>
        <w:t>A</w:t>
      </w:r>
      <w:r>
        <w:rPr>
          <w:lang w:val="es-ES_tradnl"/>
        </w:rPr>
        <w:tab/>
      </w:r>
      <w:r w:rsidRPr="001819F4">
        <w:rPr>
          <w:lang w:val="es-ES_tradnl"/>
        </w:rPr>
        <w:t>El Grupo de Trabajo del GADT sobre la Racionalización de las Resoluciones (GT-GADT-RR) celebró las seis (6) reuniones que se indican a continuación:</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62"/>
        <w:gridCol w:w="2115"/>
        <w:gridCol w:w="4536"/>
      </w:tblGrid>
      <w:tr w:rsidR="00A04DF2" w:rsidRPr="001819F4" w14:paraId="646B24F3" w14:textId="77777777" w:rsidTr="00D04740">
        <w:trPr>
          <w:trHeight w:val="300"/>
        </w:trPr>
        <w:tc>
          <w:tcPr>
            <w:tcW w:w="25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565F5CD" w14:textId="77777777" w:rsidR="00A04DF2" w:rsidRPr="001819F4" w:rsidRDefault="00A04DF2" w:rsidP="00D04740">
            <w:pPr>
              <w:pStyle w:val="Tablehead"/>
              <w:rPr>
                <w:szCs w:val="22"/>
                <w:lang w:val="es-ES_tradnl"/>
                <w14:ligatures w14:val="standardContextual"/>
              </w:rPr>
            </w:pPr>
            <w:r w:rsidRPr="001819F4">
              <w:rPr>
                <w:lang w:val="es-ES_tradnl"/>
              </w:rPr>
              <w:t>Nombre de la reunión</w:t>
            </w:r>
          </w:p>
        </w:tc>
        <w:tc>
          <w:tcPr>
            <w:tcW w:w="211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hideMark/>
          </w:tcPr>
          <w:p w14:paraId="23939064" w14:textId="77777777" w:rsidR="00A04DF2" w:rsidRPr="001819F4" w:rsidRDefault="00A04DF2" w:rsidP="00D04740">
            <w:pPr>
              <w:pStyle w:val="Tablehead"/>
              <w:rPr>
                <w:szCs w:val="22"/>
                <w:lang w:val="es-ES_tradnl"/>
                <w14:ligatures w14:val="standardContextual"/>
              </w:rPr>
            </w:pPr>
            <w:r w:rsidRPr="001819F4">
              <w:rPr>
                <w:lang w:val="es-ES_tradnl"/>
              </w:rPr>
              <w:t>Fechas</w:t>
            </w:r>
          </w:p>
        </w:tc>
        <w:tc>
          <w:tcPr>
            <w:tcW w:w="453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hideMark/>
          </w:tcPr>
          <w:p w14:paraId="6F171AC7" w14:textId="77777777" w:rsidR="00A04DF2" w:rsidRPr="001819F4" w:rsidRDefault="00A04DF2" w:rsidP="00D04740">
            <w:pPr>
              <w:pStyle w:val="Tablehead"/>
              <w:rPr>
                <w:szCs w:val="22"/>
                <w:lang w:val="es-ES_tradnl"/>
              </w:rPr>
            </w:pPr>
            <w:r w:rsidRPr="001819F4">
              <w:rPr>
                <w:lang w:val="es-ES_tradnl"/>
              </w:rPr>
              <w:t>Finalidad</w:t>
            </w:r>
          </w:p>
        </w:tc>
      </w:tr>
      <w:tr w:rsidR="00A04DF2" w:rsidRPr="00995D64" w14:paraId="1BF2852F" w14:textId="77777777" w:rsidTr="00D04740">
        <w:trPr>
          <w:trHeight w:val="300"/>
        </w:trPr>
        <w:tc>
          <w:tcPr>
            <w:tcW w:w="2562" w:type="dxa"/>
            <w:tcBorders>
              <w:top w:val="single" w:sz="4" w:space="0" w:color="auto"/>
              <w:left w:val="single" w:sz="4" w:space="0" w:color="auto"/>
              <w:bottom w:val="single" w:sz="4" w:space="0" w:color="auto"/>
              <w:right w:val="single" w:sz="4" w:space="0" w:color="auto"/>
            </w:tcBorders>
          </w:tcPr>
          <w:p w14:paraId="7D756467" w14:textId="77777777" w:rsidR="00A04DF2" w:rsidRPr="001819F4" w:rsidRDefault="00A04DF2" w:rsidP="00D04740">
            <w:pPr>
              <w:pStyle w:val="Tabletext"/>
              <w:rPr>
                <w:szCs w:val="22"/>
                <w:lang w:val="es-ES_tradnl"/>
                <w14:ligatures w14:val="standardContextual"/>
              </w:rPr>
            </w:pPr>
            <w:r w:rsidRPr="001819F4">
              <w:rPr>
                <w:lang w:val="es-ES_tradnl"/>
              </w:rPr>
              <w:t>1.ª reunión del GT-GADT-RR</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99B35D" w14:textId="77777777" w:rsidR="00A04DF2" w:rsidRPr="001819F4" w:rsidRDefault="00A04DF2" w:rsidP="00D04740">
            <w:pPr>
              <w:pStyle w:val="Tabletext"/>
              <w:rPr>
                <w:szCs w:val="22"/>
                <w:lang w:val="es-ES_tradnl"/>
                <w14:ligatures w14:val="standardContextual"/>
              </w:rPr>
            </w:pPr>
            <w:r w:rsidRPr="001819F4">
              <w:rPr>
                <w:lang w:val="es-ES_tradnl"/>
              </w:rPr>
              <w:t>18 de abril de 2024</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2B8A5" w14:textId="77777777" w:rsidR="00A04DF2" w:rsidRPr="001819F4" w:rsidRDefault="00A04DF2" w:rsidP="00D04740">
            <w:pPr>
              <w:pStyle w:val="Tabletext"/>
              <w:rPr>
                <w:szCs w:val="22"/>
                <w:lang w:val="es-ES_tradnl"/>
              </w:rPr>
            </w:pPr>
            <w:r w:rsidRPr="001819F4">
              <w:rPr>
                <w:lang w:val="es-ES_tradnl"/>
              </w:rPr>
              <w:t>Enriquecer el mandato Petición de contribuciones</w:t>
            </w:r>
          </w:p>
        </w:tc>
      </w:tr>
      <w:tr w:rsidR="00A04DF2" w:rsidRPr="00995D64" w14:paraId="65319779" w14:textId="77777777" w:rsidTr="00D04740">
        <w:trPr>
          <w:trHeight w:val="300"/>
        </w:trPr>
        <w:tc>
          <w:tcPr>
            <w:tcW w:w="2562" w:type="dxa"/>
            <w:tcBorders>
              <w:top w:val="single" w:sz="4" w:space="0" w:color="auto"/>
              <w:left w:val="single" w:sz="4" w:space="0" w:color="auto"/>
              <w:bottom w:val="single" w:sz="4" w:space="0" w:color="auto"/>
              <w:right w:val="single" w:sz="4" w:space="0" w:color="auto"/>
            </w:tcBorders>
          </w:tcPr>
          <w:p w14:paraId="41EC1DA3" w14:textId="77777777" w:rsidR="00A04DF2" w:rsidRPr="001819F4" w:rsidRDefault="00A04DF2" w:rsidP="00D04740">
            <w:pPr>
              <w:pStyle w:val="Tabletext"/>
              <w:rPr>
                <w:szCs w:val="22"/>
                <w:lang w:val="es-ES_tradnl"/>
                <w14:ligatures w14:val="standardContextual"/>
              </w:rPr>
            </w:pPr>
            <w:r w:rsidRPr="001819F4">
              <w:rPr>
                <w:lang w:val="es-ES_tradnl"/>
              </w:rPr>
              <w:t>2.ª reunión del GT-GADT-RR</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39CD95" w14:textId="77777777" w:rsidR="00A04DF2" w:rsidRPr="001819F4" w:rsidRDefault="00A04DF2" w:rsidP="00D04740">
            <w:pPr>
              <w:pStyle w:val="Tabletext"/>
              <w:rPr>
                <w:szCs w:val="22"/>
                <w:lang w:val="es-ES_tradnl"/>
                <w14:ligatures w14:val="standardContextual"/>
              </w:rPr>
            </w:pPr>
            <w:r w:rsidRPr="001819F4">
              <w:rPr>
                <w:lang w:val="es-ES_tradnl"/>
              </w:rPr>
              <w:t>21 de mayo de 2024</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909F07" w14:textId="77777777" w:rsidR="00A04DF2" w:rsidRPr="001819F4" w:rsidRDefault="00A04DF2" w:rsidP="00D04740">
            <w:pPr>
              <w:pStyle w:val="Tabletext"/>
              <w:rPr>
                <w:szCs w:val="22"/>
                <w:lang w:val="es-ES_tradnl"/>
              </w:rPr>
            </w:pPr>
            <w:r w:rsidRPr="001819F4">
              <w:rPr>
                <w:lang w:val="es-ES_tradnl"/>
              </w:rPr>
              <w:t>Concluir el mandato Petición de contribuciones</w:t>
            </w:r>
          </w:p>
        </w:tc>
      </w:tr>
      <w:tr w:rsidR="00A04DF2" w:rsidRPr="00995D64" w14:paraId="161CF485" w14:textId="77777777" w:rsidTr="00D04740">
        <w:trPr>
          <w:trHeight w:val="300"/>
        </w:trPr>
        <w:tc>
          <w:tcPr>
            <w:tcW w:w="2562" w:type="dxa"/>
            <w:tcBorders>
              <w:top w:val="single" w:sz="4" w:space="0" w:color="auto"/>
              <w:left w:val="single" w:sz="4" w:space="0" w:color="auto"/>
              <w:bottom w:val="single" w:sz="4" w:space="0" w:color="auto"/>
              <w:right w:val="single" w:sz="4" w:space="0" w:color="auto"/>
            </w:tcBorders>
          </w:tcPr>
          <w:p w14:paraId="3A8CE52F" w14:textId="77777777" w:rsidR="00A04DF2" w:rsidRPr="001819F4" w:rsidRDefault="00A04DF2" w:rsidP="00D04740">
            <w:pPr>
              <w:pStyle w:val="Tabletext"/>
              <w:rPr>
                <w:szCs w:val="22"/>
                <w:lang w:val="es-ES_tradnl"/>
                <w14:ligatures w14:val="standardContextual"/>
              </w:rPr>
            </w:pPr>
            <w:r w:rsidRPr="001819F4">
              <w:rPr>
                <w:lang w:val="es-ES_tradnl"/>
              </w:rPr>
              <w:t>3.ª reunión del GT-GADT-RR</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4108F3" w14:textId="77777777" w:rsidR="00A04DF2" w:rsidRPr="001819F4" w:rsidRDefault="00A04DF2" w:rsidP="00D04740">
            <w:pPr>
              <w:pStyle w:val="Tabletext"/>
              <w:rPr>
                <w:szCs w:val="22"/>
                <w:lang w:val="es-ES_tradnl"/>
                <w14:ligatures w14:val="standardContextual"/>
              </w:rPr>
            </w:pPr>
            <w:r w:rsidRPr="001819F4">
              <w:rPr>
                <w:lang w:val="es-ES_tradnl"/>
              </w:rPr>
              <w:t>5 de septiembre de 2024</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013A0E" w14:textId="77777777" w:rsidR="00A04DF2" w:rsidRPr="001819F4" w:rsidRDefault="00A04DF2" w:rsidP="00D04740">
            <w:pPr>
              <w:pStyle w:val="Tabletext"/>
              <w:rPr>
                <w:szCs w:val="22"/>
                <w:lang w:val="es-ES_tradnl"/>
              </w:rPr>
            </w:pPr>
            <w:r w:rsidRPr="001819F4">
              <w:rPr>
                <w:lang w:val="es-ES_tradnl"/>
              </w:rPr>
              <w:t>Petición de contribuciones  Debate de las contribuciones</w:t>
            </w:r>
          </w:p>
        </w:tc>
      </w:tr>
      <w:tr w:rsidR="00A04DF2" w:rsidRPr="00995D64" w14:paraId="7B8E311D" w14:textId="77777777" w:rsidTr="00D04740">
        <w:trPr>
          <w:trHeight w:val="300"/>
        </w:trPr>
        <w:tc>
          <w:tcPr>
            <w:tcW w:w="2562" w:type="dxa"/>
            <w:tcBorders>
              <w:top w:val="single" w:sz="4" w:space="0" w:color="auto"/>
              <w:left w:val="single" w:sz="4" w:space="0" w:color="auto"/>
              <w:bottom w:val="single" w:sz="4" w:space="0" w:color="auto"/>
              <w:right w:val="single" w:sz="4" w:space="0" w:color="auto"/>
            </w:tcBorders>
          </w:tcPr>
          <w:p w14:paraId="6FDD4617" w14:textId="77777777" w:rsidR="00A04DF2" w:rsidRPr="001819F4" w:rsidRDefault="00A04DF2" w:rsidP="00D04740">
            <w:pPr>
              <w:pStyle w:val="Tabletext"/>
              <w:rPr>
                <w:szCs w:val="22"/>
                <w:lang w:val="es-ES_tradnl"/>
                <w14:ligatures w14:val="standardContextual"/>
              </w:rPr>
            </w:pPr>
            <w:r w:rsidRPr="001819F4">
              <w:rPr>
                <w:lang w:val="es-ES_tradnl"/>
              </w:rPr>
              <w:t>4.ª reunión del GT-GADT-RR</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D6CDE7" w14:textId="77777777" w:rsidR="00A04DF2" w:rsidRPr="001819F4" w:rsidRDefault="00A04DF2" w:rsidP="00D04740">
            <w:pPr>
              <w:pStyle w:val="Tabletext"/>
              <w:rPr>
                <w:szCs w:val="22"/>
                <w:lang w:val="es-ES_tradnl"/>
                <w14:ligatures w14:val="standardContextual"/>
              </w:rPr>
            </w:pPr>
            <w:r w:rsidRPr="001819F4">
              <w:rPr>
                <w:lang w:val="es-ES_tradnl"/>
              </w:rPr>
              <w:t>5 de diciembre de 2024</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A5DFF9" w14:textId="77777777" w:rsidR="00A04DF2" w:rsidRPr="001819F4" w:rsidRDefault="00A04DF2" w:rsidP="00D04740">
            <w:pPr>
              <w:pStyle w:val="Tabletext"/>
              <w:rPr>
                <w:szCs w:val="22"/>
                <w:lang w:val="es-ES_tradnl"/>
              </w:rPr>
            </w:pPr>
            <w:r w:rsidRPr="001819F4">
              <w:rPr>
                <w:lang w:val="es-ES_tradnl"/>
              </w:rPr>
              <w:t>Petición de contribuciones  Debate de las contribuciones</w:t>
            </w:r>
          </w:p>
        </w:tc>
      </w:tr>
      <w:tr w:rsidR="00A04DF2" w:rsidRPr="00995D64" w14:paraId="63722F74" w14:textId="77777777" w:rsidTr="00D04740">
        <w:trPr>
          <w:trHeight w:val="300"/>
        </w:trPr>
        <w:tc>
          <w:tcPr>
            <w:tcW w:w="2562" w:type="dxa"/>
            <w:tcBorders>
              <w:top w:val="single" w:sz="4" w:space="0" w:color="auto"/>
              <w:left w:val="single" w:sz="4" w:space="0" w:color="auto"/>
              <w:bottom w:val="single" w:sz="4" w:space="0" w:color="auto"/>
              <w:right w:val="single" w:sz="4" w:space="0" w:color="auto"/>
            </w:tcBorders>
          </w:tcPr>
          <w:p w14:paraId="18FF27B0" w14:textId="77777777" w:rsidR="00A04DF2" w:rsidRPr="001819F4" w:rsidRDefault="00A04DF2" w:rsidP="00D04740">
            <w:pPr>
              <w:pStyle w:val="Tabletext"/>
              <w:rPr>
                <w:szCs w:val="22"/>
                <w:lang w:val="es-ES_tradnl"/>
                <w14:ligatures w14:val="standardContextual"/>
              </w:rPr>
            </w:pPr>
            <w:r w:rsidRPr="001819F4">
              <w:rPr>
                <w:lang w:val="es-ES_tradnl"/>
              </w:rPr>
              <w:t>5.ª reunión del GT-GADT-RR</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2520C" w14:textId="77777777" w:rsidR="00A04DF2" w:rsidRPr="001819F4" w:rsidRDefault="00A04DF2" w:rsidP="00D04740">
            <w:pPr>
              <w:pStyle w:val="Tabletext"/>
              <w:rPr>
                <w:szCs w:val="22"/>
                <w:lang w:val="es-ES_tradnl"/>
                <w14:ligatures w14:val="standardContextual"/>
              </w:rPr>
            </w:pPr>
            <w:r w:rsidRPr="001819F4">
              <w:rPr>
                <w:lang w:val="es-ES_tradnl"/>
              </w:rPr>
              <w:t>26 de marzo de 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2584B" w14:textId="77777777" w:rsidR="00A04DF2" w:rsidRPr="001819F4" w:rsidRDefault="00A04DF2" w:rsidP="00D04740">
            <w:pPr>
              <w:pStyle w:val="Tabletext"/>
              <w:rPr>
                <w:szCs w:val="22"/>
                <w:lang w:val="es-ES_tradnl"/>
              </w:rPr>
            </w:pPr>
            <w:r w:rsidRPr="001819F4">
              <w:rPr>
                <w:lang w:val="es-ES_tradnl"/>
              </w:rPr>
              <w:t>Concluir las contribuciones y reanudar las propuestas del GT-GADT-RR al GADT</w:t>
            </w:r>
          </w:p>
        </w:tc>
      </w:tr>
      <w:tr w:rsidR="00A04DF2" w:rsidRPr="00995D64" w14:paraId="61AFE910" w14:textId="77777777" w:rsidTr="00D04740">
        <w:trPr>
          <w:trHeight w:val="300"/>
        </w:trPr>
        <w:tc>
          <w:tcPr>
            <w:tcW w:w="2562" w:type="dxa"/>
            <w:tcBorders>
              <w:top w:val="single" w:sz="4" w:space="0" w:color="auto"/>
              <w:left w:val="single" w:sz="4" w:space="0" w:color="auto"/>
              <w:bottom w:val="single" w:sz="4" w:space="0" w:color="auto"/>
              <w:right w:val="single" w:sz="4" w:space="0" w:color="auto"/>
            </w:tcBorders>
          </w:tcPr>
          <w:p w14:paraId="2E9358CC" w14:textId="77777777" w:rsidR="00A04DF2" w:rsidRPr="001819F4" w:rsidRDefault="00A04DF2" w:rsidP="00D04740">
            <w:pPr>
              <w:pStyle w:val="Tabletext"/>
              <w:rPr>
                <w:szCs w:val="22"/>
                <w:lang w:val="es-ES_tradnl"/>
                <w14:ligatures w14:val="standardContextual"/>
              </w:rPr>
            </w:pPr>
            <w:r w:rsidRPr="001819F4">
              <w:rPr>
                <w:lang w:val="es-ES_tradnl"/>
              </w:rPr>
              <w:t>6.ª reunión del GT-GADT-RR</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253E9" w14:textId="77777777" w:rsidR="00A04DF2" w:rsidRPr="001819F4" w:rsidRDefault="00A04DF2" w:rsidP="00D04740">
            <w:pPr>
              <w:pStyle w:val="Tabletext"/>
              <w:rPr>
                <w:szCs w:val="22"/>
                <w:lang w:val="es-ES_tradnl"/>
                <w14:ligatures w14:val="standardContextual"/>
              </w:rPr>
            </w:pPr>
            <w:r w:rsidRPr="001819F4">
              <w:rPr>
                <w:lang w:val="es-ES_tradnl"/>
              </w:rPr>
              <w:t>2 de mayo de 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A0E9F" w14:textId="77777777" w:rsidR="00A04DF2" w:rsidRPr="001819F4" w:rsidRDefault="00A04DF2" w:rsidP="00D04740">
            <w:pPr>
              <w:pStyle w:val="Tabletext"/>
              <w:rPr>
                <w:szCs w:val="22"/>
                <w:lang w:val="es-ES_tradnl"/>
              </w:rPr>
            </w:pPr>
            <w:r w:rsidRPr="001819F4">
              <w:rPr>
                <w:lang w:val="es-ES_tradnl"/>
              </w:rPr>
              <w:t>Concluir las contribuciones y reanudar las propuestas del GT-GADT-RR al GADT</w:t>
            </w:r>
          </w:p>
        </w:tc>
      </w:tr>
    </w:tbl>
    <w:p w14:paraId="348CFC08" w14:textId="77777777" w:rsidR="00A04DF2" w:rsidRPr="001819F4" w:rsidRDefault="00A04DF2" w:rsidP="00A04DF2">
      <w:pPr>
        <w:pStyle w:val="Heading1"/>
        <w:rPr>
          <w:rFonts w:cstheme="minorBidi"/>
          <w:lang w:val="es-ES_tradnl"/>
        </w:rPr>
      </w:pPr>
      <w:r>
        <w:rPr>
          <w:lang w:val="es-ES_tradnl"/>
        </w:rPr>
        <w:t>1</w:t>
      </w:r>
      <w:r>
        <w:rPr>
          <w:lang w:val="es-ES_tradnl"/>
        </w:rPr>
        <w:tab/>
      </w:r>
      <w:r w:rsidRPr="001819F4">
        <w:rPr>
          <w:lang w:val="es-ES_tradnl"/>
        </w:rPr>
        <w:t>La primera reunión del GT-GADT-RR se celebró en línea el 18 de abril de</w:t>
      </w:r>
      <w:r>
        <w:rPr>
          <w:lang w:val="es-ES_tradnl"/>
        </w:rPr>
        <w:t> </w:t>
      </w:r>
      <w:r w:rsidRPr="001819F4">
        <w:rPr>
          <w:lang w:val="es-ES_tradnl"/>
        </w:rPr>
        <w:t xml:space="preserve">2024 </w:t>
      </w:r>
    </w:p>
    <w:p w14:paraId="1FAD83FE" w14:textId="77777777" w:rsidR="00A04DF2" w:rsidRPr="001819F4" w:rsidRDefault="00A04DF2" w:rsidP="00A04DF2">
      <w:pPr>
        <w:rPr>
          <w:rFonts w:cstheme="minorBidi"/>
          <w:lang w:val="es-ES_tradnl"/>
        </w:rPr>
      </w:pPr>
      <w:r>
        <w:rPr>
          <w:lang w:val="es-ES_tradnl"/>
        </w:rPr>
        <w:t>1.1</w:t>
      </w:r>
      <w:r>
        <w:rPr>
          <w:lang w:val="es-ES_tradnl"/>
        </w:rPr>
        <w:tab/>
      </w:r>
      <w:r w:rsidRPr="001819F4">
        <w:rPr>
          <w:lang w:val="es-ES_tradnl"/>
        </w:rPr>
        <w:t xml:space="preserve">Para la primera reunión del GT-GADT-RR, la Presidenta presentó un </w:t>
      </w:r>
      <w:hyperlink r:id="rId389" w:history="1">
        <w:r w:rsidRPr="001819F4">
          <w:rPr>
            <w:rStyle w:val="Hyperlink"/>
            <w:lang w:val="es-ES_tradnl"/>
          </w:rPr>
          <w:t>documento de antecedentes</w:t>
        </w:r>
      </w:hyperlink>
      <w:r w:rsidRPr="001819F4">
        <w:rPr>
          <w:lang w:val="es-ES_tradnl"/>
        </w:rPr>
        <w:t xml:space="preserve">, las </w:t>
      </w:r>
      <w:hyperlink r:id="rId390" w:history="1">
        <w:r w:rsidRPr="001819F4">
          <w:rPr>
            <w:rStyle w:val="Hyperlink"/>
            <w:lang w:val="es-ES_tradnl"/>
          </w:rPr>
          <w:t>fechas propuestas para futuras reuniones</w:t>
        </w:r>
      </w:hyperlink>
      <w:r w:rsidRPr="001819F4">
        <w:rPr>
          <w:lang w:val="es-ES_tradnl"/>
        </w:rPr>
        <w:t xml:space="preserve"> y el </w:t>
      </w:r>
      <w:hyperlink r:id="rId391" w:history="1">
        <w:r w:rsidRPr="001819F4">
          <w:rPr>
            <w:rStyle w:val="Hyperlink"/>
            <w:lang w:val="es-ES_tradnl"/>
          </w:rPr>
          <w:t>proyecto de mandato</w:t>
        </w:r>
      </w:hyperlink>
      <w:r w:rsidRPr="001819F4">
        <w:rPr>
          <w:lang w:val="es-ES_tradnl"/>
        </w:rPr>
        <w:t>.</w:t>
      </w:r>
      <w:hyperlink r:id="rId392"/>
      <w:hyperlink r:id="rId393"/>
      <w:hyperlink r:id="rId394"/>
    </w:p>
    <w:p w14:paraId="5EAD6CE1" w14:textId="77777777" w:rsidR="00A04DF2" w:rsidRPr="001819F4" w:rsidRDefault="00A04DF2" w:rsidP="00A04DF2">
      <w:pPr>
        <w:rPr>
          <w:rFonts w:cstheme="minorBidi"/>
          <w:lang w:val="es-ES_tradnl"/>
        </w:rPr>
      </w:pPr>
      <w:r>
        <w:rPr>
          <w:lang w:val="es-ES_tradnl"/>
        </w:rPr>
        <w:lastRenderedPageBreak/>
        <w:t>1.2</w:t>
      </w:r>
      <w:r>
        <w:rPr>
          <w:lang w:val="es-ES_tradnl"/>
        </w:rPr>
        <w:tab/>
      </w:r>
      <w:r w:rsidRPr="001819F4">
        <w:rPr>
          <w:lang w:val="es-ES_tradnl"/>
        </w:rPr>
        <w:t xml:space="preserve">En el </w:t>
      </w:r>
      <w:hyperlink r:id="rId395" w:history="1">
        <w:r w:rsidRPr="001819F4">
          <w:rPr>
            <w:rStyle w:val="Hyperlink"/>
            <w:lang w:val="es-ES_tradnl"/>
          </w:rPr>
          <w:t>informe de la primera reunión del GT-GADT-RR</w:t>
        </w:r>
      </w:hyperlink>
      <w:r w:rsidRPr="001819F4">
        <w:rPr>
          <w:lang w:val="es-ES_tradnl"/>
        </w:rPr>
        <w:t xml:space="preserve"> se resumen los debates celebrados.</w:t>
      </w:r>
      <w:hyperlink r:id="rId396"/>
    </w:p>
    <w:p w14:paraId="3E36EA20" w14:textId="77777777" w:rsidR="00A04DF2" w:rsidRPr="001819F4" w:rsidRDefault="00A04DF2" w:rsidP="00A04DF2">
      <w:pPr>
        <w:pStyle w:val="Heading1"/>
        <w:rPr>
          <w:rFonts w:cstheme="minorBidi"/>
          <w:lang w:val="es-ES_tradnl"/>
        </w:rPr>
      </w:pPr>
      <w:r>
        <w:rPr>
          <w:lang w:val="es-ES_tradnl"/>
        </w:rPr>
        <w:t>2</w:t>
      </w:r>
      <w:r>
        <w:rPr>
          <w:lang w:val="es-ES_tradnl"/>
        </w:rPr>
        <w:tab/>
      </w:r>
      <w:r w:rsidRPr="001819F4">
        <w:rPr>
          <w:lang w:val="es-ES_tradnl"/>
        </w:rPr>
        <w:t>La segunda reunión del GT-GADT-RR se llevó a cabo de forma presencial y virtual el 21 de mayo de 2024, en paralelo con el GADT-24</w:t>
      </w:r>
    </w:p>
    <w:p w14:paraId="5BC0A72A" w14:textId="77777777" w:rsidR="00A04DF2" w:rsidRPr="001819F4" w:rsidRDefault="00A04DF2" w:rsidP="00A04DF2">
      <w:pPr>
        <w:rPr>
          <w:rFonts w:cstheme="minorBidi"/>
          <w:lang w:val="es-ES_tradnl"/>
        </w:rPr>
      </w:pPr>
      <w:r>
        <w:rPr>
          <w:lang w:val="es-ES_tradnl"/>
        </w:rPr>
        <w:t>2.1</w:t>
      </w:r>
      <w:r>
        <w:rPr>
          <w:lang w:val="es-ES_tradnl"/>
        </w:rPr>
        <w:tab/>
      </w:r>
      <w:r w:rsidRPr="001819F4">
        <w:rPr>
          <w:lang w:val="es-ES_tradnl"/>
        </w:rPr>
        <w:t>En la segunda reunión del GT-GADT-RR se debatió el proyecto de mandato: ATDI, Francia presentó una contribución sobre la "</w:t>
      </w:r>
      <w:hyperlink r:id="rId397" w:history="1">
        <w:r w:rsidRPr="001819F4">
          <w:rPr>
            <w:rStyle w:val="Hyperlink"/>
            <w:lang w:val="es-ES_tradnl"/>
          </w:rPr>
          <w:t>Revisión del mandato</w:t>
        </w:r>
      </w:hyperlink>
      <w:r w:rsidRPr="001819F4">
        <w:rPr>
          <w:lang w:val="es-ES_tradnl"/>
        </w:rPr>
        <w:t>" y la Presidenta del GT-GADT-RR presentó una contribución sobre el "</w:t>
      </w:r>
      <w:hyperlink r:id="rId398" w:history="1">
        <w:r w:rsidRPr="001819F4">
          <w:rPr>
            <w:rStyle w:val="Hyperlink"/>
            <w:lang w:val="es-ES_tradnl"/>
          </w:rPr>
          <w:t>Proyecto de mandato</w:t>
        </w:r>
      </w:hyperlink>
      <w:r w:rsidRPr="001819F4">
        <w:rPr>
          <w:lang w:val="es-ES_tradnl"/>
        </w:rPr>
        <w:t>".</w:t>
      </w:r>
      <w:hyperlink r:id="rId399"/>
      <w:hyperlink r:id="rId400"/>
    </w:p>
    <w:p w14:paraId="08D9D26C" w14:textId="77777777" w:rsidR="00A04DF2" w:rsidRPr="001819F4" w:rsidRDefault="00A04DF2" w:rsidP="00A04DF2">
      <w:pPr>
        <w:rPr>
          <w:rFonts w:cstheme="minorBidi"/>
          <w:lang w:val="es-ES_tradnl"/>
        </w:rPr>
      </w:pPr>
      <w:r>
        <w:rPr>
          <w:lang w:val="es-ES_tradnl"/>
        </w:rPr>
        <w:t>2.2</w:t>
      </w:r>
      <w:r>
        <w:rPr>
          <w:lang w:val="es-ES_tradnl"/>
        </w:rPr>
        <w:tab/>
      </w:r>
      <w:r w:rsidRPr="001819F4">
        <w:rPr>
          <w:lang w:val="es-ES_tradnl"/>
        </w:rPr>
        <w:t xml:space="preserve">En el GADT-24 se presentó el </w:t>
      </w:r>
      <w:hyperlink r:id="rId401" w:history="1">
        <w:r w:rsidRPr="001819F4">
          <w:rPr>
            <w:rStyle w:val="Hyperlink"/>
            <w:lang w:val="es-ES_tradnl"/>
          </w:rPr>
          <w:t>informe sobre los avances de los trabajos del GT-GADT-RR</w:t>
        </w:r>
      </w:hyperlink>
      <w:r w:rsidRPr="001819F4">
        <w:rPr>
          <w:lang w:val="es-ES_tradnl"/>
        </w:rPr>
        <w:t xml:space="preserve">, se aprobó el </w:t>
      </w:r>
      <w:hyperlink r:id="rId402" w:history="1">
        <w:r w:rsidRPr="001819F4">
          <w:rPr>
            <w:rStyle w:val="Hyperlink"/>
            <w:lang w:val="es-ES_tradnl"/>
          </w:rPr>
          <w:t>mandato del GT-GADT-RR</w:t>
        </w:r>
      </w:hyperlink>
      <w:r w:rsidRPr="001819F4">
        <w:rPr>
          <w:lang w:val="es-ES_tradnl"/>
        </w:rPr>
        <w:t xml:space="preserve"> y se nombraron las dos Vicepresidentas siguientes:</w:t>
      </w:r>
      <w:hyperlink r:id="rId403"/>
      <w:hyperlink r:id="rId404"/>
    </w:p>
    <w:p w14:paraId="276A3CBF" w14:textId="77777777" w:rsidR="00A04DF2" w:rsidRPr="001819F4" w:rsidRDefault="00A04DF2" w:rsidP="00A04DF2">
      <w:pPr>
        <w:pStyle w:val="enumlev1"/>
        <w:rPr>
          <w:lang w:val="es-ES_tradnl"/>
        </w:rPr>
      </w:pPr>
      <w:r>
        <w:rPr>
          <w:lang w:val="es-ES_tradnl"/>
        </w:rPr>
        <w:t>a)</w:t>
      </w:r>
      <w:r>
        <w:rPr>
          <w:lang w:val="es-ES_tradnl"/>
        </w:rPr>
        <w:tab/>
      </w:r>
      <w:r w:rsidRPr="001819F4">
        <w:rPr>
          <w:lang w:val="es-ES_tradnl"/>
        </w:rPr>
        <w:t>Sra. Blanca González (España)</w:t>
      </w:r>
    </w:p>
    <w:p w14:paraId="31A9381D" w14:textId="77777777" w:rsidR="00A04DF2" w:rsidRPr="001819F4" w:rsidRDefault="00A04DF2" w:rsidP="00A04DF2">
      <w:pPr>
        <w:pStyle w:val="enumlev1"/>
        <w:rPr>
          <w:rFonts w:cstheme="minorBidi"/>
          <w:b/>
          <w:bCs/>
          <w:lang w:val="es-ES_tradnl"/>
        </w:rPr>
      </w:pPr>
      <w:r>
        <w:rPr>
          <w:lang w:val="es-ES_tradnl"/>
        </w:rPr>
        <w:t>b)</w:t>
      </w:r>
      <w:r>
        <w:rPr>
          <w:lang w:val="es-ES_tradnl"/>
        </w:rPr>
        <w:tab/>
      </w:r>
      <w:r w:rsidRPr="001819F4">
        <w:rPr>
          <w:lang w:val="es-ES_tradnl"/>
        </w:rPr>
        <w:t>Sra. Agustina Brizo (Argentina)</w:t>
      </w:r>
    </w:p>
    <w:p w14:paraId="43DA8A60" w14:textId="77777777" w:rsidR="00A04DF2" w:rsidRPr="001819F4" w:rsidRDefault="00A04DF2" w:rsidP="00A04DF2">
      <w:pPr>
        <w:pStyle w:val="Heading1"/>
        <w:rPr>
          <w:rFonts w:cstheme="minorBidi"/>
          <w:lang w:val="es-ES_tradnl"/>
        </w:rPr>
      </w:pPr>
      <w:r>
        <w:rPr>
          <w:lang w:val="es-ES_tradnl"/>
        </w:rPr>
        <w:t>3</w:t>
      </w:r>
      <w:r>
        <w:rPr>
          <w:lang w:val="es-ES_tradnl"/>
        </w:rPr>
        <w:tab/>
      </w:r>
      <w:r w:rsidRPr="001819F4">
        <w:rPr>
          <w:lang w:val="es-ES_tradnl"/>
        </w:rPr>
        <w:t>La tercera reunión del GT-GADT-RR se celebró en línea el 5 de septiembre de 2024 y prosiguió por correspondencia hasta el 23 de noviembre de 2024</w:t>
      </w:r>
    </w:p>
    <w:p w14:paraId="31FB568C" w14:textId="77777777" w:rsidR="00A04DF2" w:rsidRPr="001819F4" w:rsidRDefault="00A04DF2" w:rsidP="00A04DF2">
      <w:pPr>
        <w:rPr>
          <w:rFonts w:cstheme="minorBidi"/>
          <w:lang w:val="es-ES_tradnl"/>
        </w:rPr>
      </w:pPr>
      <w:r>
        <w:rPr>
          <w:lang w:val="es-ES_tradnl"/>
        </w:rPr>
        <w:t>3.1</w:t>
      </w:r>
      <w:r>
        <w:rPr>
          <w:lang w:val="es-ES_tradnl"/>
        </w:rPr>
        <w:tab/>
      </w:r>
      <w:r w:rsidRPr="001819F4">
        <w:rPr>
          <w:lang w:val="es-ES_tradnl"/>
        </w:rPr>
        <w:t>Para la tercera reunión del GT-GADT-RR, el Reino Unido presentó una contribución sobre "</w:t>
      </w:r>
      <w:hyperlink r:id="rId405" w:history="1">
        <w:r w:rsidRPr="001819F4">
          <w:rPr>
            <w:rStyle w:val="Hyperlink"/>
            <w:lang w:val="es-ES_tradnl"/>
          </w:rPr>
          <w:t>Correspondencia con el Informe Final</w:t>
        </w:r>
      </w:hyperlink>
      <w:r w:rsidRPr="001819F4">
        <w:rPr>
          <w:lang w:val="es-ES_tradnl"/>
        </w:rPr>
        <w:t>" y se refirió a una contribución anterior de la Federación de Rusia que se había presentado en el GADT-23 (</w:t>
      </w:r>
      <w:hyperlink r:id="rId406" w:history="1">
        <w:r w:rsidRPr="001819F4">
          <w:rPr>
            <w:rStyle w:val="Hyperlink"/>
            <w:lang w:val="es-ES_tradnl"/>
          </w:rPr>
          <w:t>TDAG-23/31</w:t>
        </w:r>
      </w:hyperlink>
      <w:r w:rsidRPr="001819F4">
        <w:rPr>
          <w:lang w:val="es-ES_tradnl"/>
        </w:rPr>
        <w:t xml:space="preserve">). Esta contribución fue bien apreciada y tenía por objeto estructurar y apoyar la reunión del mandato del GT-GADT-RR con una lista de Resoluciones de la CMDT que podrían considerarse para su racionalización. </w:t>
      </w:r>
      <w:hyperlink r:id="rId407"/>
      <w:hyperlink r:id="rId408"/>
    </w:p>
    <w:p w14:paraId="12341240" w14:textId="77777777" w:rsidR="00A04DF2" w:rsidRPr="001819F4" w:rsidRDefault="00A04DF2" w:rsidP="00A04DF2">
      <w:pPr>
        <w:rPr>
          <w:lang w:val="es-ES_tradnl"/>
        </w:rPr>
      </w:pPr>
      <w:r>
        <w:rPr>
          <w:lang w:val="es-ES_tradnl"/>
        </w:rPr>
        <w:t>3.2</w:t>
      </w:r>
      <w:r>
        <w:rPr>
          <w:lang w:val="es-ES_tradnl"/>
        </w:rPr>
        <w:tab/>
      </w:r>
      <w:r w:rsidRPr="001819F4">
        <w:rPr>
          <w:lang w:val="es-ES_tradnl"/>
        </w:rPr>
        <w:t>Esta contribución del Reino Unido también se incorporó a la contribución de la Presidencia "</w:t>
      </w:r>
      <w:hyperlink r:id="rId409" w:history="1">
        <w:r w:rsidRPr="001819F4">
          <w:rPr>
            <w:rStyle w:val="Hyperlink"/>
            <w:lang w:val="es-ES_tradnl"/>
          </w:rPr>
          <w:t>Propuesta de agrupación de Resoluciones</w:t>
        </w:r>
      </w:hyperlink>
      <w:r w:rsidRPr="001819F4">
        <w:rPr>
          <w:lang w:val="es-ES_tradnl"/>
        </w:rPr>
        <w:t xml:space="preserve">", que se utilizó como medio para buscar voluntarios para examinar las agrupaciones de Resoluciones de la CMDT. </w:t>
      </w:r>
      <w:hyperlink r:id="rId410"/>
    </w:p>
    <w:p w14:paraId="72ACEF79" w14:textId="77777777" w:rsidR="00A04DF2" w:rsidRPr="001819F4" w:rsidRDefault="00A04DF2" w:rsidP="00A04DF2">
      <w:pPr>
        <w:rPr>
          <w:lang w:val="es-ES_tradnl"/>
        </w:rPr>
      </w:pPr>
      <w:r>
        <w:rPr>
          <w:lang w:val="es-ES_tradnl"/>
        </w:rPr>
        <w:t>3.3</w:t>
      </w:r>
      <w:r>
        <w:rPr>
          <w:lang w:val="es-ES_tradnl"/>
        </w:rPr>
        <w:tab/>
      </w:r>
      <w:r w:rsidRPr="001819F4">
        <w:rPr>
          <w:lang w:val="es-ES_tradnl"/>
        </w:rPr>
        <w:t>Un proyecto de documento que podría adaptarse para su ulterior elaboración en la preparación de contribuciones sobre racionalización de resoluciones y referencias a ejemplos se compartió con el GT-GADT-RR por correo electrónico (</w:t>
      </w:r>
      <w:hyperlink r:id="rId411" w:history="1">
        <w:r w:rsidRPr="001819F4">
          <w:rPr>
            <w:rStyle w:val="Hyperlink"/>
            <w:lang w:val="es-ES_tradnl"/>
          </w:rPr>
          <w:t>tdag-wg-streamres@lists.itu.int</w:t>
        </w:r>
      </w:hyperlink>
      <w:r w:rsidRPr="001819F4">
        <w:rPr>
          <w:lang w:val="es-ES_tradnl"/>
        </w:rPr>
        <w:t xml:space="preserve">) y en el </w:t>
      </w:r>
      <w:hyperlink r:id="rId412" w:history="1">
        <w:r w:rsidRPr="001819F4">
          <w:rPr>
            <w:rStyle w:val="Hyperlink"/>
            <w:lang w:val="es-ES_tradnl"/>
          </w:rPr>
          <w:t>espacio de trabajo colaborativo de equipos del GT-GADT-RR</w:t>
        </w:r>
      </w:hyperlink>
      <w:r w:rsidRPr="001819F4">
        <w:rPr>
          <w:lang w:val="es-ES_tradnl"/>
        </w:rPr>
        <w:t xml:space="preserve"> para el trabajo por correspondencia. También se facilitó como referencia el cuadro de correspondencias de la PP y otras resoluciones sectoriales del </w:t>
      </w:r>
      <w:hyperlink r:id="rId413" w:history="1">
        <w:r w:rsidRPr="001819F4">
          <w:rPr>
            <w:rStyle w:val="Hyperlink"/>
            <w:lang w:val="es-ES_tradnl"/>
          </w:rPr>
          <w:t>Grupo de Coordinación Intersectorial</w:t>
        </w:r>
      </w:hyperlink>
      <w:r w:rsidRPr="001819F4">
        <w:rPr>
          <w:lang w:val="es-ES_tradnl"/>
        </w:rPr>
        <w:t xml:space="preserve"> de la UIT.</w:t>
      </w:r>
      <w:hyperlink r:id="rId414"/>
      <w:hyperlink r:id="rId415"/>
      <w:hyperlink r:id="rId416"/>
    </w:p>
    <w:p w14:paraId="6F6BE712" w14:textId="77777777" w:rsidR="00A04DF2" w:rsidRPr="001819F4" w:rsidRDefault="00A04DF2" w:rsidP="00A04DF2">
      <w:pPr>
        <w:rPr>
          <w:lang w:val="es-ES_tradnl"/>
        </w:rPr>
      </w:pPr>
      <w:r w:rsidRPr="001819F4">
        <w:rPr>
          <w:lang w:val="es-ES_tradnl"/>
        </w:rPr>
        <w:t>3.4</w:t>
      </w:r>
      <w:r>
        <w:rPr>
          <w:lang w:val="es-ES_tradnl"/>
        </w:rPr>
        <w:tab/>
      </w:r>
      <w:r w:rsidRPr="001819F4">
        <w:rPr>
          <w:lang w:val="es-ES_tradnl"/>
        </w:rPr>
        <w:t xml:space="preserve">En el </w:t>
      </w:r>
      <w:hyperlink r:id="rId417" w:history="1">
        <w:r w:rsidRPr="001819F4">
          <w:rPr>
            <w:rStyle w:val="Hyperlink"/>
            <w:lang w:val="es-ES_tradnl"/>
          </w:rPr>
          <w:t>informe de la tercera reunión del GT-GADT-RR</w:t>
        </w:r>
      </w:hyperlink>
      <w:r w:rsidRPr="001819F4">
        <w:rPr>
          <w:lang w:val="es-ES_tradnl"/>
        </w:rPr>
        <w:t xml:space="preserve"> se resumen los debates celebrados.</w:t>
      </w:r>
      <w:hyperlink r:id="rId418"/>
    </w:p>
    <w:p w14:paraId="198C8FF5" w14:textId="77777777" w:rsidR="00A04DF2" w:rsidRPr="001819F4" w:rsidRDefault="00A04DF2" w:rsidP="00A04DF2">
      <w:pPr>
        <w:pStyle w:val="Heading1"/>
        <w:rPr>
          <w:rFonts w:cstheme="minorBidi"/>
          <w:lang w:val="es-ES_tradnl"/>
        </w:rPr>
      </w:pPr>
      <w:r>
        <w:rPr>
          <w:lang w:val="es-ES_tradnl"/>
        </w:rPr>
        <w:t>4</w:t>
      </w:r>
      <w:r>
        <w:rPr>
          <w:lang w:val="es-ES_tradnl"/>
        </w:rPr>
        <w:tab/>
      </w:r>
      <w:r w:rsidRPr="001819F4">
        <w:rPr>
          <w:lang w:val="es-ES_tradnl"/>
        </w:rPr>
        <w:t>La cuarta reunión del GT-GADT-RR se celebró en línea el 5 de diciembre de 2024</w:t>
      </w:r>
    </w:p>
    <w:p w14:paraId="407B6B91" w14:textId="77777777" w:rsidR="00A04DF2" w:rsidRPr="001819F4" w:rsidRDefault="00A04DF2" w:rsidP="00A04DF2">
      <w:pPr>
        <w:rPr>
          <w:lang w:val="es-ES_tradnl"/>
        </w:rPr>
      </w:pPr>
      <w:r w:rsidRPr="001819F4">
        <w:rPr>
          <w:lang w:val="es-ES_tradnl"/>
        </w:rPr>
        <w:t>4.1</w:t>
      </w:r>
      <w:r w:rsidRPr="001819F4">
        <w:rPr>
          <w:lang w:val="es-ES_tradnl"/>
        </w:rPr>
        <w:tab/>
      </w:r>
      <w:r>
        <w:rPr>
          <w:lang w:val="es-ES_tradnl"/>
        </w:rPr>
        <w:t>4.1</w:t>
      </w:r>
      <w:r>
        <w:rPr>
          <w:lang w:val="es-ES_tradnl"/>
        </w:rPr>
        <w:tab/>
      </w:r>
      <w:r w:rsidRPr="001819F4">
        <w:rPr>
          <w:lang w:val="es-ES_tradnl"/>
        </w:rPr>
        <w:t>Para la cuarta reunión del GT-GADT-RR, Australia presentó una contribución sobre el "</w:t>
      </w:r>
      <w:hyperlink r:id="rId419" w:history="1">
        <w:r w:rsidRPr="001819F4">
          <w:rPr>
            <w:rStyle w:val="Hyperlink"/>
            <w:lang w:val="es-ES_tradnl"/>
          </w:rPr>
          <w:t>Proyecto de revisión de la Resolución 17 (Rev. Kigali, 2022) de la CMDT – Ejecución de las iniciativas regionales aprobadas en los planos nacional, regional, interregional y mundial y cooperación al respecto</w:t>
        </w:r>
      </w:hyperlink>
      <w:r w:rsidRPr="001819F4">
        <w:rPr>
          <w:lang w:val="es-ES_tradnl"/>
        </w:rPr>
        <w:t>" y Ghana presentó una contribución sobre la "</w:t>
      </w:r>
      <w:hyperlink r:id="rId420" w:history="1">
        <w:r w:rsidRPr="001819F4">
          <w:rPr>
            <w:rStyle w:val="Hyperlink"/>
            <w:lang w:val="es-ES_tradnl"/>
          </w:rPr>
          <w:t>Propuesta de enmienda de la Resolución 22 de la CMDT</w:t>
        </w:r>
      </w:hyperlink>
      <w:r w:rsidRPr="001819F4">
        <w:rPr>
          <w:lang w:val="es-ES_tradnl"/>
        </w:rPr>
        <w:t>". Se felicitó a Australia y Ghana por sus contribuciones.</w:t>
      </w:r>
      <w:hyperlink r:id="rId421"/>
      <w:hyperlink r:id="rId422"/>
    </w:p>
    <w:p w14:paraId="59DA710A" w14:textId="77777777" w:rsidR="00A04DF2" w:rsidRPr="001819F4" w:rsidRDefault="00A04DF2" w:rsidP="00A04DF2">
      <w:pPr>
        <w:rPr>
          <w:lang w:val="es-ES_tradnl"/>
        </w:rPr>
      </w:pPr>
      <w:r>
        <w:rPr>
          <w:lang w:val="es-ES_tradnl"/>
        </w:rPr>
        <w:t>4.2</w:t>
      </w:r>
      <w:r>
        <w:rPr>
          <w:lang w:val="es-ES_tradnl"/>
        </w:rPr>
        <w:tab/>
      </w:r>
      <w:r w:rsidRPr="001819F4">
        <w:rPr>
          <w:lang w:val="es-ES_tradnl"/>
        </w:rPr>
        <w:t xml:space="preserve">En el </w:t>
      </w:r>
      <w:hyperlink r:id="rId423" w:history="1">
        <w:r w:rsidRPr="001819F4">
          <w:rPr>
            <w:rStyle w:val="Hyperlink"/>
            <w:lang w:val="es-ES_tradnl"/>
          </w:rPr>
          <w:t>informe de la cuarta reunión del GT-GADT-RR</w:t>
        </w:r>
      </w:hyperlink>
      <w:r w:rsidRPr="001819F4">
        <w:rPr>
          <w:lang w:val="es-ES_tradnl"/>
        </w:rPr>
        <w:t xml:space="preserve"> se presenta un resumen de la misma.</w:t>
      </w:r>
      <w:hyperlink r:id="rId424"/>
    </w:p>
    <w:p w14:paraId="2C2F84E5" w14:textId="77777777" w:rsidR="00A04DF2" w:rsidRPr="001819F4" w:rsidRDefault="00A04DF2" w:rsidP="00A04DF2">
      <w:pPr>
        <w:pStyle w:val="Heading1"/>
        <w:rPr>
          <w:rFonts w:cstheme="minorBidi"/>
          <w:lang w:val="es-ES_tradnl"/>
        </w:rPr>
      </w:pPr>
      <w:r>
        <w:rPr>
          <w:lang w:val="es-ES_tradnl"/>
        </w:rPr>
        <w:lastRenderedPageBreak/>
        <w:t>5</w:t>
      </w:r>
      <w:r>
        <w:rPr>
          <w:lang w:val="es-ES_tradnl"/>
        </w:rPr>
        <w:tab/>
      </w:r>
      <w:r w:rsidRPr="001819F4">
        <w:rPr>
          <w:lang w:val="es-ES_tradnl"/>
        </w:rPr>
        <w:t>La quinta reunión del GT-GADT-RR se celebró en línea el 26 de marzo de</w:t>
      </w:r>
      <w:r>
        <w:rPr>
          <w:lang w:val="es-ES_tradnl"/>
        </w:rPr>
        <w:t> </w:t>
      </w:r>
      <w:r w:rsidRPr="001819F4">
        <w:rPr>
          <w:lang w:val="es-ES_tradnl"/>
        </w:rPr>
        <w:t>2025</w:t>
      </w:r>
    </w:p>
    <w:p w14:paraId="360A0D20" w14:textId="77777777" w:rsidR="00A04DF2" w:rsidRPr="001819F4" w:rsidRDefault="00A04DF2" w:rsidP="00A04DF2">
      <w:pPr>
        <w:rPr>
          <w:rFonts w:cstheme="minorBidi"/>
          <w:lang w:val="es-ES_tradnl"/>
        </w:rPr>
      </w:pPr>
      <w:r w:rsidRPr="001819F4">
        <w:rPr>
          <w:lang w:val="es-ES_tradnl"/>
        </w:rPr>
        <w:t>5.1</w:t>
      </w:r>
      <w:r>
        <w:rPr>
          <w:lang w:val="es-ES_tradnl"/>
        </w:rPr>
        <w:tab/>
      </w:r>
      <w:r w:rsidRPr="001819F4">
        <w:rPr>
          <w:lang w:val="es-ES_tradnl"/>
        </w:rPr>
        <w:t xml:space="preserve">En la quinta reunión del GT-GADT-RR, Ghana presentó una contribución sobre la </w:t>
      </w:r>
      <w:hyperlink r:id="rId425" w:history="1">
        <w:r w:rsidRPr="001819F4">
          <w:rPr>
            <w:rStyle w:val="Hyperlink"/>
            <w:lang w:val="es-ES_tradnl"/>
          </w:rPr>
          <w:t>propuesta de enmienda de la Resolución 20 de la CMDT</w:t>
        </w:r>
      </w:hyperlink>
      <w:r w:rsidRPr="001819F4">
        <w:rPr>
          <w:lang w:val="es-ES_tradnl"/>
        </w:rPr>
        <w:t xml:space="preserve">. </w:t>
      </w:r>
      <w:hyperlink r:id="rId426"/>
    </w:p>
    <w:p w14:paraId="3AA6467D" w14:textId="77777777" w:rsidR="00A04DF2" w:rsidRPr="001819F4" w:rsidRDefault="00A04DF2" w:rsidP="00A04DF2">
      <w:pPr>
        <w:rPr>
          <w:rFonts w:cstheme="minorBidi"/>
          <w:lang w:val="es-ES_tradnl"/>
        </w:rPr>
      </w:pPr>
      <w:r w:rsidRPr="001819F4">
        <w:rPr>
          <w:lang w:val="es-ES_tradnl"/>
        </w:rPr>
        <w:t>5.2</w:t>
      </w:r>
      <w:r>
        <w:rPr>
          <w:lang w:val="es-ES_tradnl"/>
        </w:rPr>
        <w:tab/>
      </w:r>
      <w:r w:rsidRPr="001819F4">
        <w:rPr>
          <w:lang w:val="es-ES_tradnl"/>
        </w:rPr>
        <w:t>La Federación de Rusia presentó siete (7) contribuciones sobre los temas siguientes: a)</w:t>
      </w:r>
      <w:r>
        <w:rPr>
          <w:lang w:val="es-ES_tradnl"/>
        </w:rPr>
        <w:t> </w:t>
      </w:r>
      <w:hyperlink r:id="rId427" w:history="1">
        <w:r w:rsidRPr="001819F4">
          <w:rPr>
            <w:rStyle w:val="Hyperlink"/>
            <w:lang w:val="es-ES_tradnl"/>
          </w:rPr>
          <w:t>proyecto de nueva Resolución sobre la promoción del desarrollo y la implementación del metaverso</w:t>
        </w:r>
      </w:hyperlink>
      <w:r w:rsidRPr="001819F4">
        <w:rPr>
          <w:lang w:val="es-ES_tradnl"/>
        </w:rPr>
        <w:t xml:space="preserve">; b) </w:t>
      </w:r>
      <w:hyperlink r:id="rId428" w:history="1">
        <w:r w:rsidRPr="001819F4">
          <w:rPr>
            <w:rStyle w:val="Hyperlink"/>
            <w:lang w:val="es-ES_tradnl"/>
          </w:rPr>
          <w:t>proyecto de la Resolución 11 (Rev. Kigali, 2022)</w:t>
        </w:r>
      </w:hyperlink>
      <w:r w:rsidRPr="001819F4">
        <w:rPr>
          <w:lang w:val="es-ES_tradnl"/>
        </w:rPr>
        <w:t xml:space="preserve">, Servicios de telecomunicaciones/tecnologías de la información y la comunicación en zonas rurales, aisladas e insuficientemente atendidas; c) </w:t>
      </w:r>
      <w:hyperlink r:id="rId429" w:history="1">
        <w:r w:rsidRPr="001819F4">
          <w:rPr>
            <w:rStyle w:val="Hyperlink"/>
            <w:lang w:val="es-ES_tradnl"/>
          </w:rPr>
          <w:t>proyecto de la Resolución 24 (Rev. Kigali, 2022)</w:t>
        </w:r>
      </w:hyperlink>
      <w:r w:rsidRPr="001819F4">
        <w:rPr>
          <w:lang w:val="es-ES_tradnl"/>
        </w:rPr>
        <w:t xml:space="preserve">, Autorización para que el Grupo Asesor de Desarrollo de las Telecomunicaciones actúe en el periodo entre Conferencias Mundiales de Desarrollo de las Telecomunicaciones; d) </w:t>
      </w:r>
      <w:hyperlink r:id="rId430" w:history="1">
        <w:r w:rsidRPr="001819F4">
          <w:rPr>
            <w:rStyle w:val="Hyperlink"/>
            <w:lang w:val="es-ES_tradnl"/>
          </w:rPr>
          <w:t>proyecto de Resolución 58 (Rev. Kigali, 2022)</w:t>
        </w:r>
      </w:hyperlink>
      <w:r w:rsidRPr="001819F4">
        <w:rPr>
          <w:lang w:val="es-ES_tradnl"/>
        </w:rPr>
        <w:t xml:space="preserve">, Accesibilidad de las telecomunicaciones/tecnologías de la información y la comunicación para las personas con discapacidad y las personas con necesidades especiales; e) </w:t>
      </w:r>
      <w:hyperlink r:id="rId431" w:history="1">
        <w:r w:rsidRPr="001819F4">
          <w:rPr>
            <w:rStyle w:val="Hyperlink"/>
            <w:lang w:val="es-ES_tradnl"/>
          </w:rPr>
          <w:t>proyecto de Resolución 1 (Rev. Kigali, 2022)</w:t>
        </w:r>
      </w:hyperlink>
      <w:r w:rsidRPr="001819F4">
        <w:rPr>
          <w:lang w:val="es-ES_tradnl"/>
        </w:rPr>
        <w:t xml:space="preserve">, Reglamento Interno del Sector de Desarrollo de las Telecomunicaciones de la UIT; f) </w:t>
      </w:r>
      <w:hyperlink r:id="rId432" w:history="1">
        <w:r w:rsidRPr="001819F4">
          <w:rPr>
            <w:rStyle w:val="Hyperlink"/>
            <w:lang w:val="es-ES_tradnl"/>
          </w:rPr>
          <w:t>proyecto de Resolución 31 (Rev. Kigali, 2022)</w:t>
        </w:r>
      </w:hyperlink>
      <w:r w:rsidRPr="001819F4">
        <w:rPr>
          <w:lang w:val="es-ES_tradnl"/>
        </w:rPr>
        <w:t xml:space="preserve">, Preparación regional de las Conferencias Mundiales de Desarrollo de las Telecomunicaciones; y g) </w:t>
      </w:r>
      <w:hyperlink r:id="rId433" w:history="1">
        <w:r w:rsidRPr="001819F4">
          <w:rPr>
            <w:rStyle w:val="Hyperlink"/>
            <w:lang w:val="es-ES_tradnl"/>
          </w:rPr>
          <w:t>proyecto de Resolución 59 (Rev. Kigali, 2022)</w:t>
        </w:r>
      </w:hyperlink>
      <w:r w:rsidRPr="001819F4">
        <w:rPr>
          <w:lang w:val="es-ES_tradnl"/>
        </w:rPr>
        <w:t>, Fortalecimiento de la coordinación y la cooperación entre los tres Sectores en asuntos de interés mutuo.</w:t>
      </w:r>
      <w:hyperlink r:id="rId434"/>
      <w:hyperlink r:id="rId435"/>
      <w:hyperlink r:id="rId436"/>
      <w:hyperlink r:id="rId437"/>
      <w:hyperlink r:id="rId438"/>
      <w:hyperlink r:id="rId439"/>
      <w:hyperlink r:id="rId440"/>
    </w:p>
    <w:p w14:paraId="17EAF64A" w14:textId="77777777" w:rsidR="00A04DF2" w:rsidRPr="001819F4" w:rsidRDefault="00A04DF2" w:rsidP="00A04DF2">
      <w:pPr>
        <w:rPr>
          <w:lang w:val="es-ES_tradnl"/>
        </w:rPr>
      </w:pPr>
      <w:r w:rsidRPr="001819F4">
        <w:rPr>
          <w:lang w:val="es-ES_tradnl"/>
        </w:rPr>
        <w:t>5.3</w:t>
      </w:r>
      <w:r>
        <w:rPr>
          <w:lang w:val="es-ES_tradnl"/>
        </w:rPr>
        <w:tab/>
      </w:r>
      <w:r w:rsidRPr="001819F4">
        <w:rPr>
          <w:lang w:val="es-ES_tradnl"/>
        </w:rPr>
        <w:t xml:space="preserve">En el </w:t>
      </w:r>
      <w:hyperlink r:id="rId441" w:history="1">
        <w:r w:rsidRPr="001819F4">
          <w:rPr>
            <w:rStyle w:val="Hyperlink"/>
            <w:lang w:val="es-ES_tradnl"/>
          </w:rPr>
          <w:t>informe de la quinta reunión del GT-GADT-RR</w:t>
        </w:r>
      </w:hyperlink>
      <w:r w:rsidRPr="001819F4">
        <w:rPr>
          <w:lang w:val="es-ES_tradnl"/>
        </w:rPr>
        <w:t xml:space="preserve"> se presenta un resumen de la misma.</w:t>
      </w:r>
      <w:hyperlink r:id="rId442"/>
    </w:p>
    <w:p w14:paraId="2BF7364C" w14:textId="77777777" w:rsidR="00A04DF2" w:rsidRPr="001819F4" w:rsidRDefault="00A04DF2" w:rsidP="00A04DF2">
      <w:pPr>
        <w:pStyle w:val="Heading1"/>
        <w:rPr>
          <w:rFonts w:cstheme="minorBidi"/>
          <w:lang w:val="es-ES_tradnl"/>
        </w:rPr>
      </w:pPr>
      <w:r>
        <w:rPr>
          <w:lang w:val="es-ES_tradnl"/>
        </w:rPr>
        <w:t>6</w:t>
      </w:r>
      <w:r>
        <w:rPr>
          <w:lang w:val="es-ES_tradnl"/>
        </w:rPr>
        <w:tab/>
      </w:r>
      <w:r w:rsidRPr="001819F4">
        <w:rPr>
          <w:lang w:val="es-ES_tradnl"/>
        </w:rPr>
        <w:t>La sexta y última reunión del GT-GADT-RR se celebró en línea el 2 de mayo de 2025.</w:t>
      </w:r>
    </w:p>
    <w:p w14:paraId="45EACB0A" w14:textId="77777777" w:rsidR="00A04DF2" w:rsidRPr="001819F4" w:rsidRDefault="00A04DF2" w:rsidP="00A04DF2">
      <w:pPr>
        <w:rPr>
          <w:rFonts w:cstheme="minorBidi"/>
          <w:lang w:val="es-ES_tradnl"/>
        </w:rPr>
      </w:pPr>
      <w:r w:rsidRPr="001819F4">
        <w:rPr>
          <w:lang w:val="es-ES_tradnl"/>
        </w:rPr>
        <w:t>6.1</w:t>
      </w:r>
      <w:r>
        <w:rPr>
          <w:lang w:val="es-ES_tradnl"/>
        </w:rPr>
        <w:tab/>
      </w:r>
      <w:r w:rsidRPr="001819F4">
        <w:rPr>
          <w:lang w:val="es-ES_tradnl"/>
        </w:rPr>
        <w:t xml:space="preserve">En la sexta reunión del GT-GADT-RR, el Brasil presentó una contribución relativa al </w:t>
      </w:r>
      <w:hyperlink r:id="rId443" w:history="1">
        <w:r w:rsidRPr="001819F4">
          <w:rPr>
            <w:rStyle w:val="Hyperlink"/>
            <w:lang w:val="es-ES_tradnl"/>
          </w:rPr>
          <w:t>proyecto de Resolución 64 (Rev. Kigali, 2022) – Protección y apoyo al usuario, consumidor de servicios de telecomunicaciones/tecnologías de la información y la comunicación</w:t>
        </w:r>
      </w:hyperlink>
      <w:r w:rsidRPr="001819F4">
        <w:rPr>
          <w:lang w:val="es-ES_tradnl"/>
        </w:rPr>
        <w:t>.</w:t>
      </w:r>
      <w:hyperlink r:id="rId444" w:history="1"/>
    </w:p>
    <w:p w14:paraId="5B7C18C5" w14:textId="77777777" w:rsidR="00A04DF2" w:rsidRPr="001819F4" w:rsidRDefault="00A04DF2" w:rsidP="00A04DF2">
      <w:pPr>
        <w:rPr>
          <w:rFonts w:cstheme="minorBidi"/>
          <w:lang w:val="es-ES_tradnl"/>
        </w:rPr>
      </w:pPr>
      <w:r w:rsidRPr="001819F4">
        <w:rPr>
          <w:lang w:val="es-ES_tradnl"/>
        </w:rPr>
        <w:t>6.2</w:t>
      </w:r>
      <w:r>
        <w:rPr>
          <w:lang w:val="es-ES_tradnl"/>
        </w:rPr>
        <w:tab/>
      </w:r>
      <w:r w:rsidRPr="001819F4">
        <w:rPr>
          <w:lang w:val="es-ES_tradnl"/>
        </w:rPr>
        <w:t xml:space="preserve">La Presidenta presentó una contribución sobre el </w:t>
      </w:r>
      <w:hyperlink r:id="rId445" w:history="1">
        <w:r w:rsidRPr="001819F4">
          <w:rPr>
            <w:rStyle w:val="Hyperlink"/>
            <w:lang w:val="es-ES_tradnl"/>
          </w:rPr>
          <w:t>informe de la quinta reunión del GT</w:t>
        </w:r>
        <w:r>
          <w:rPr>
            <w:rStyle w:val="Hyperlink"/>
            <w:lang w:val="es-ES_tradnl"/>
          </w:rPr>
          <w:noBreakHyphen/>
        </w:r>
        <w:r w:rsidRPr="001819F4">
          <w:rPr>
            <w:rStyle w:val="Hyperlink"/>
            <w:lang w:val="es-ES_tradnl"/>
          </w:rPr>
          <w:t>GADT-RR</w:t>
        </w:r>
      </w:hyperlink>
      <w:r w:rsidRPr="001819F4">
        <w:rPr>
          <w:lang w:val="es-ES_tradnl"/>
        </w:rPr>
        <w:t xml:space="preserve"> y presentó dos documentos informativos titulados: </w:t>
      </w:r>
      <w:hyperlink r:id="rId446" w:history="1">
        <w:r w:rsidRPr="001819F4">
          <w:rPr>
            <w:rStyle w:val="Hyperlink"/>
            <w:lang w:val="es-ES_tradnl"/>
          </w:rPr>
          <w:t>Presentación de la Presidenta sobre la marcha de los trabajos del GT-GADT-RR</w:t>
        </w:r>
      </w:hyperlink>
      <w:r w:rsidRPr="001819F4">
        <w:rPr>
          <w:lang w:val="es-ES_tradnl"/>
        </w:rPr>
        <w:t xml:space="preserve"> y </w:t>
      </w:r>
      <w:hyperlink r:id="rId447" w:history="1">
        <w:r w:rsidRPr="001819F4">
          <w:rPr>
            <w:rStyle w:val="Hyperlink"/>
            <w:lang w:val="es-ES_tradnl"/>
          </w:rPr>
          <w:t>Presentación de la Presidenta sobre las conclusiones del GT-GADT-RR</w:t>
        </w:r>
      </w:hyperlink>
      <w:r w:rsidRPr="001819F4">
        <w:rPr>
          <w:lang w:val="es-ES_tradnl"/>
        </w:rPr>
        <w:t>.</w:t>
      </w:r>
      <w:hyperlink r:id="rId448"/>
      <w:hyperlink r:id="rId449"/>
      <w:hyperlink r:id="rId450"/>
    </w:p>
    <w:p w14:paraId="42CF2B1D" w14:textId="77777777" w:rsidR="00A04DF2" w:rsidRPr="001819F4" w:rsidRDefault="00A04DF2" w:rsidP="00A04DF2">
      <w:pPr>
        <w:rPr>
          <w:rFonts w:cstheme="minorBidi"/>
          <w:lang w:val="es-ES_tradnl"/>
        </w:rPr>
      </w:pPr>
      <w:r w:rsidRPr="001819F4">
        <w:rPr>
          <w:lang w:val="es-ES_tradnl"/>
        </w:rPr>
        <w:t>6.3</w:t>
      </w:r>
      <w:r>
        <w:rPr>
          <w:lang w:val="es-ES_tradnl"/>
        </w:rPr>
        <w:tab/>
      </w:r>
      <w:r w:rsidRPr="001819F4">
        <w:rPr>
          <w:lang w:val="es-ES_tradnl"/>
        </w:rPr>
        <w:t xml:space="preserve">En el </w:t>
      </w:r>
      <w:hyperlink r:id="rId451" w:history="1">
        <w:r w:rsidRPr="001819F4">
          <w:rPr>
            <w:rStyle w:val="Hyperlink"/>
            <w:lang w:val="es-ES_tradnl"/>
          </w:rPr>
          <w:t>informe de la sexta reunión del GT-GADT-RR</w:t>
        </w:r>
      </w:hyperlink>
      <w:r w:rsidRPr="001819F4">
        <w:rPr>
          <w:lang w:val="es-ES_tradnl"/>
        </w:rPr>
        <w:t xml:space="preserve"> se presenta un resumen de la misma.</w:t>
      </w:r>
      <w:hyperlink r:id="rId452"/>
    </w:p>
    <w:p w14:paraId="20B5C071" w14:textId="77777777" w:rsidR="00A04DF2" w:rsidRDefault="00A04DF2" w:rsidP="00A04DF2">
      <w:pPr>
        <w:tabs>
          <w:tab w:val="clear" w:pos="794"/>
          <w:tab w:val="clear" w:pos="1191"/>
          <w:tab w:val="clear" w:pos="1588"/>
          <w:tab w:val="clear" w:pos="1985"/>
        </w:tabs>
        <w:overflowPunct/>
        <w:autoSpaceDE/>
        <w:autoSpaceDN/>
        <w:adjustRightInd/>
        <w:spacing w:before="0"/>
        <w:textAlignment w:val="auto"/>
        <w:rPr>
          <w:b/>
          <w:sz w:val="28"/>
          <w:lang w:val="es-ES_tradnl"/>
        </w:rPr>
      </w:pPr>
      <w:r>
        <w:rPr>
          <w:lang w:val="es-ES_tradnl"/>
        </w:rPr>
        <w:br w:type="page"/>
      </w:r>
    </w:p>
    <w:p w14:paraId="77A47EC5" w14:textId="77777777" w:rsidR="00A04DF2" w:rsidRPr="001819F4" w:rsidRDefault="00A04DF2" w:rsidP="00A04DF2">
      <w:pPr>
        <w:pStyle w:val="Heading1"/>
        <w:rPr>
          <w:rFonts w:cstheme="minorBidi"/>
          <w:lang w:val="es-ES_tradnl"/>
        </w:rPr>
      </w:pPr>
      <w:r>
        <w:rPr>
          <w:lang w:val="es-ES_tradnl"/>
        </w:rPr>
        <w:lastRenderedPageBreak/>
        <w:t>B</w:t>
      </w:r>
      <w:r>
        <w:rPr>
          <w:lang w:val="es-ES_tradnl"/>
        </w:rPr>
        <w:tab/>
      </w:r>
      <w:r w:rsidRPr="001819F4">
        <w:rPr>
          <w:lang w:val="es-ES_tradnl"/>
        </w:rPr>
        <w:t>A fin de apoyar la labor de racionalización de las Resoluciones, se ha agrupado un subconjunto de Resoluciones de la CMDT, tal y como se presenta en la contribución de la Presidencia sobre "</w:t>
      </w:r>
      <w:hyperlink r:id="rId453" w:history="1">
        <w:r w:rsidRPr="001819F4">
          <w:rPr>
            <w:rStyle w:val="Hyperlink"/>
            <w:bCs/>
            <w:lang w:val="es-ES_tradnl"/>
          </w:rPr>
          <w:t>Propuesta de agrupación de Resoluciones</w:t>
        </w:r>
      </w:hyperlink>
      <w:r w:rsidRPr="001819F4">
        <w:rPr>
          <w:lang w:val="es-ES_tradnl"/>
        </w:rPr>
        <w:t>", y se invitó a voluntarios a revisar estas Resoluciones para su racionalización.</w:t>
      </w:r>
      <w:hyperlink r:id="rId454"/>
    </w:p>
    <w:p w14:paraId="7CA055F5" w14:textId="77777777" w:rsidR="00A04DF2" w:rsidRPr="001819F4" w:rsidRDefault="00A04DF2" w:rsidP="00A04DF2">
      <w:pPr>
        <w:spacing w:before="240" w:after="120"/>
        <w:rPr>
          <w:lang w:val="es-ES_tradnl"/>
        </w:rPr>
      </w:pPr>
      <w:r>
        <w:rPr>
          <w:lang w:val="es-ES_tradnl"/>
        </w:rPr>
        <w:t>1</w:t>
      </w:r>
      <w:r>
        <w:rPr>
          <w:lang w:val="es-ES_tradnl"/>
        </w:rPr>
        <w:tab/>
      </w:r>
      <w:r w:rsidRPr="001819F4">
        <w:rPr>
          <w:lang w:val="es-ES_tradnl"/>
        </w:rPr>
        <w:t>El siguiente Cuadro presenta un extracto de la agrupación de Resoluciones propuesta y de los voluntarios disponibles:</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1701"/>
        <w:gridCol w:w="1842"/>
        <w:gridCol w:w="2977"/>
      </w:tblGrid>
      <w:tr w:rsidR="00A04DF2" w:rsidRPr="001819F4" w14:paraId="7A9338F8" w14:textId="77777777" w:rsidTr="00D04740">
        <w:trPr>
          <w:trHeight w:val="300"/>
        </w:trPr>
        <w:tc>
          <w:tcPr>
            <w:tcW w:w="2835" w:type="dxa"/>
            <w:shd w:val="clear" w:color="auto" w:fill="C6D9F1" w:themeFill="text2" w:themeFillTint="33"/>
            <w:tcMar>
              <w:top w:w="0" w:type="dxa"/>
              <w:left w:w="108" w:type="dxa"/>
              <w:bottom w:w="0" w:type="dxa"/>
              <w:right w:w="108" w:type="dxa"/>
            </w:tcMar>
          </w:tcPr>
          <w:p w14:paraId="2E0E84BA" w14:textId="77777777" w:rsidR="00A04DF2" w:rsidRPr="001819F4" w:rsidRDefault="00A04DF2" w:rsidP="00D04740">
            <w:pPr>
              <w:pStyle w:val="Tablehead"/>
              <w:rPr>
                <w:color w:val="000000" w:themeColor="text1"/>
                <w:szCs w:val="22"/>
                <w:lang w:val="es-ES_tradnl"/>
                <w14:ligatures w14:val="standardContextual"/>
              </w:rPr>
            </w:pPr>
            <w:r w:rsidRPr="001819F4">
              <w:rPr>
                <w:lang w:val="es-ES_tradnl"/>
              </w:rPr>
              <w:t>Agrupación</w:t>
            </w:r>
          </w:p>
        </w:tc>
        <w:tc>
          <w:tcPr>
            <w:tcW w:w="1701" w:type="dxa"/>
            <w:shd w:val="clear" w:color="auto" w:fill="C6D9F1" w:themeFill="text2" w:themeFillTint="33"/>
            <w:tcMar>
              <w:top w:w="0" w:type="dxa"/>
              <w:left w:w="108" w:type="dxa"/>
              <w:bottom w:w="0" w:type="dxa"/>
              <w:right w:w="108" w:type="dxa"/>
            </w:tcMar>
          </w:tcPr>
          <w:p w14:paraId="7E069C9F" w14:textId="77777777" w:rsidR="00A04DF2" w:rsidRPr="001819F4" w:rsidRDefault="00A04DF2" w:rsidP="00D04740">
            <w:pPr>
              <w:pStyle w:val="Tablehead"/>
              <w:rPr>
                <w:color w:val="000000" w:themeColor="text1"/>
                <w:szCs w:val="22"/>
                <w:lang w:val="es-ES_tradnl"/>
                <w14:ligatures w14:val="standardContextual"/>
              </w:rPr>
            </w:pPr>
            <w:r w:rsidRPr="001819F4">
              <w:rPr>
                <w:lang w:val="es-ES_tradnl"/>
              </w:rPr>
              <w:t>Resolución de la CMDT</w:t>
            </w:r>
          </w:p>
        </w:tc>
        <w:tc>
          <w:tcPr>
            <w:tcW w:w="1842" w:type="dxa"/>
            <w:shd w:val="clear" w:color="auto" w:fill="C6D9F1" w:themeFill="text2" w:themeFillTint="33"/>
          </w:tcPr>
          <w:p w14:paraId="5EB383C9" w14:textId="77777777" w:rsidR="00A04DF2" w:rsidRPr="001819F4" w:rsidRDefault="00A04DF2" w:rsidP="00D04740">
            <w:pPr>
              <w:pStyle w:val="Tablehead"/>
              <w:rPr>
                <w:color w:val="000000" w:themeColor="text1"/>
                <w:szCs w:val="22"/>
                <w:lang w:val="es-ES_tradnl"/>
              </w:rPr>
            </w:pPr>
            <w:r w:rsidRPr="001819F4">
              <w:rPr>
                <w:lang w:val="es-ES_tradnl"/>
              </w:rPr>
              <w:t>Resolución de la PP</w:t>
            </w:r>
          </w:p>
        </w:tc>
        <w:tc>
          <w:tcPr>
            <w:tcW w:w="2977" w:type="dxa"/>
            <w:shd w:val="clear" w:color="auto" w:fill="C6D9F1" w:themeFill="text2" w:themeFillTint="33"/>
            <w:tcMar>
              <w:top w:w="0" w:type="dxa"/>
              <w:left w:w="108" w:type="dxa"/>
              <w:bottom w:w="0" w:type="dxa"/>
              <w:right w:w="108" w:type="dxa"/>
            </w:tcMar>
          </w:tcPr>
          <w:p w14:paraId="27D391F5" w14:textId="77777777" w:rsidR="00A04DF2" w:rsidRPr="001819F4" w:rsidRDefault="00A04DF2" w:rsidP="00D04740">
            <w:pPr>
              <w:pStyle w:val="Tablehead"/>
              <w:rPr>
                <w:color w:val="000000" w:themeColor="text1"/>
                <w:szCs w:val="22"/>
                <w:lang w:val="es-ES_tradnl"/>
              </w:rPr>
            </w:pPr>
            <w:r w:rsidRPr="001819F4">
              <w:rPr>
                <w:lang w:val="es-ES_tradnl"/>
              </w:rPr>
              <w:t xml:space="preserve">Voluntarios </w:t>
            </w:r>
          </w:p>
        </w:tc>
      </w:tr>
      <w:tr w:rsidR="00A04DF2" w:rsidRPr="001819F4" w14:paraId="69829325" w14:textId="77777777" w:rsidTr="00D04740">
        <w:trPr>
          <w:trHeight w:val="300"/>
        </w:trPr>
        <w:tc>
          <w:tcPr>
            <w:tcW w:w="2835" w:type="dxa"/>
            <w:shd w:val="clear" w:color="auto" w:fill="auto"/>
            <w:tcMar>
              <w:top w:w="0" w:type="dxa"/>
              <w:left w:w="108" w:type="dxa"/>
              <w:bottom w:w="0" w:type="dxa"/>
              <w:right w:w="108" w:type="dxa"/>
            </w:tcMar>
          </w:tcPr>
          <w:p w14:paraId="7CFD818B" w14:textId="77777777" w:rsidR="00A04DF2" w:rsidRPr="001819F4" w:rsidRDefault="00A04DF2" w:rsidP="00D04740">
            <w:pPr>
              <w:pStyle w:val="Tabletext"/>
              <w:rPr>
                <w:color w:val="000000" w:themeColor="text1"/>
                <w:szCs w:val="22"/>
                <w:lang w:val="es-ES_tradnl"/>
                <w14:ligatures w14:val="standardContextual"/>
              </w:rPr>
            </w:pPr>
            <w:r>
              <w:rPr>
                <w:lang w:val="es-ES_tradnl"/>
              </w:rPr>
              <w:t>1</w:t>
            </w:r>
            <w:r>
              <w:rPr>
                <w:lang w:val="es-ES_tradnl"/>
              </w:rPr>
              <w:tab/>
            </w:r>
            <w:r w:rsidRPr="001819F4">
              <w:rPr>
                <w:lang w:val="es-ES_tradnl"/>
              </w:rPr>
              <w:t>Información y estadística</w:t>
            </w:r>
          </w:p>
        </w:tc>
        <w:tc>
          <w:tcPr>
            <w:tcW w:w="1701" w:type="dxa"/>
            <w:shd w:val="clear" w:color="auto" w:fill="auto"/>
            <w:tcMar>
              <w:top w:w="0" w:type="dxa"/>
              <w:left w:w="108" w:type="dxa"/>
              <w:bottom w:w="0" w:type="dxa"/>
              <w:right w:w="108" w:type="dxa"/>
            </w:tcMar>
          </w:tcPr>
          <w:p w14:paraId="245FB0A7" w14:textId="77777777" w:rsidR="00A04DF2" w:rsidRPr="001819F4" w:rsidRDefault="00A04DF2" w:rsidP="00D04740">
            <w:pPr>
              <w:pStyle w:val="Tabletext"/>
              <w:rPr>
                <w:color w:val="000000" w:themeColor="text1"/>
                <w:szCs w:val="22"/>
                <w:lang w:val="es-ES_tradnl"/>
                <w14:ligatures w14:val="standardContextual"/>
              </w:rPr>
            </w:pPr>
            <w:r w:rsidRPr="001819F4">
              <w:rPr>
                <w:lang w:val="es-ES_tradnl"/>
              </w:rPr>
              <w:t>Res. 8</w:t>
            </w:r>
          </w:p>
        </w:tc>
        <w:tc>
          <w:tcPr>
            <w:tcW w:w="1842" w:type="dxa"/>
          </w:tcPr>
          <w:p w14:paraId="0608B397" w14:textId="77777777" w:rsidR="00A04DF2" w:rsidRPr="001819F4" w:rsidRDefault="00A04DF2" w:rsidP="00D04740">
            <w:pPr>
              <w:pStyle w:val="Tabletext"/>
              <w:rPr>
                <w:rFonts w:eastAsiaTheme="minorEastAsia" w:cstheme="minorBidi"/>
                <w:szCs w:val="22"/>
                <w:lang w:val="es-ES_tradnl"/>
              </w:rPr>
            </w:pPr>
            <w:r w:rsidRPr="001819F4">
              <w:rPr>
                <w:lang w:val="es-ES_tradnl"/>
              </w:rPr>
              <w:t>Res. 131</w:t>
            </w:r>
          </w:p>
        </w:tc>
        <w:tc>
          <w:tcPr>
            <w:tcW w:w="2977" w:type="dxa"/>
            <w:shd w:val="clear" w:color="auto" w:fill="auto"/>
            <w:tcMar>
              <w:top w:w="0" w:type="dxa"/>
              <w:left w:w="108" w:type="dxa"/>
              <w:bottom w:w="0" w:type="dxa"/>
              <w:right w:w="108" w:type="dxa"/>
            </w:tcMar>
          </w:tcPr>
          <w:p w14:paraId="16DE4ED2" w14:textId="77777777" w:rsidR="00A04DF2" w:rsidRPr="001819F4" w:rsidRDefault="00A04DF2" w:rsidP="00D04740">
            <w:pPr>
              <w:pStyle w:val="Tabletext"/>
              <w:rPr>
                <w:rFonts w:ascii="Aptos" w:eastAsia="Aptos" w:hAnsi="Aptos" w:cs="Aptos"/>
                <w:szCs w:val="22"/>
                <w:lang w:val="es-ES_tradnl"/>
              </w:rPr>
            </w:pPr>
            <w:r w:rsidRPr="001819F4">
              <w:rPr>
                <w:lang w:val="es-ES_tradnl"/>
              </w:rPr>
              <w:t>Federación de Rusia</w:t>
            </w:r>
          </w:p>
        </w:tc>
      </w:tr>
      <w:tr w:rsidR="00A04DF2" w:rsidRPr="001819F4" w14:paraId="765EA9D3" w14:textId="77777777" w:rsidTr="00D04740">
        <w:trPr>
          <w:trHeight w:val="300"/>
        </w:trPr>
        <w:tc>
          <w:tcPr>
            <w:tcW w:w="2835" w:type="dxa"/>
            <w:shd w:val="clear" w:color="auto" w:fill="auto"/>
            <w:tcMar>
              <w:top w:w="0" w:type="dxa"/>
              <w:left w:w="108" w:type="dxa"/>
              <w:bottom w:w="0" w:type="dxa"/>
              <w:right w:w="108" w:type="dxa"/>
            </w:tcMar>
          </w:tcPr>
          <w:p w14:paraId="5153EFDF" w14:textId="77777777" w:rsidR="00A04DF2" w:rsidRPr="001819F4" w:rsidRDefault="00A04DF2" w:rsidP="00D04740">
            <w:pPr>
              <w:pStyle w:val="Tabletext"/>
              <w:rPr>
                <w:color w:val="000000" w:themeColor="text1"/>
                <w:szCs w:val="22"/>
                <w:lang w:val="es-ES_tradnl"/>
                <w14:ligatures w14:val="standardContextual"/>
              </w:rPr>
            </w:pPr>
            <w:r>
              <w:rPr>
                <w:lang w:val="es-ES_tradnl"/>
              </w:rPr>
              <w:t>2</w:t>
            </w:r>
            <w:r>
              <w:rPr>
                <w:lang w:val="es-ES_tradnl"/>
              </w:rPr>
              <w:tab/>
            </w:r>
            <w:r w:rsidRPr="001819F4">
              <w:rPr>
                <w:lang w:val="es-ES_tradnl"/>
              </w:rPr>
              <w:t>Cooperación y representación regional</w:t>
            </w:r>
          </w:p>
        </w:tc>
        <w:tc>
          <w:tcPr>
            <w:tcW w:w="1701" w:type="dxa"/>
            <w:shd w:val="clear" w:color="auto" w:fill="auto"/>
            <w:tcMar>
              <w:top w:w="0" w:type="dxa"/>
              <w:left w:w="108" w:type="dxa"/>
              <w:bottom w:w="0" w:type="dxa"/>
              <w:right w:w="108" w:type="dxa"/>
            </w:tcMar>
          </w:tcPr>
          <w:p w14:paraId="1C261A67" w14:textId="77777777" w:rsidR="00A04DF2" w:rsidRPr="001819F4" w:rsidRDefault="00A04DF2" w:rsidP="00D04740">
            <w:pPr>
              <w:pStyle w:val="Tabletext"/>
              <w:rPr>
                <w:color w:val="000000" w:themeColor="text1"/>
                <w:szCs w:val="22"/>
                <w:lang w:val="es-ES_tradnl"/>
                <w14:ligatures w14:val="standardContextual"/>
              </w:rPr>
            </w:pPr>
            <w:r w:rsidRPr="001819F4">
              <w:rPr>
                <w:lang w:val="es-ES_tradnl"/>
              </w:rPr>
              <w:t>Res. 17</w:t>
            </w:r>
          </w:p>
        </w:tc>
        <w:tc>
          <w:tcPr>
            <w:tcW w:w="1842" w:type="dxa"/>
          </w:tcPr>
          <w:p w14:paraId="7CCF9377" w14:textId="77777777" w:rsidR="00A04DF2" w:rsidRPr="001819F4" w:rsidRDefault="00A04DF2" w:rsidP="00D04740">
            <w:pPr>
              <w:pStyle w:val="Tabletext"/>
              <w:rPr>
                <w:color w:val="000000" w:themeColor="text1"/>
                <w:szCs w:val="22"/>
                <w:lang w:val="es-ES_tradnl"/>
              </w:rPr>
            </w:pPr>
            <w:r w:rsidRPr="001819F4">
              <w:rPr>
                <w:lang w:val="es-ES_tradnl"/>
              </w:rPr>
              <w:t>Res. 25, Res. 135, Res. 157</w:t>
            </w:r>
          </w:p>
        </w:tc>
        <w:tc>
          <w:tcPr>
            <w:tcW w:w="2977" w:type="dxa"/>
            <w:shd w:val="clear" w:color="auto" w:fill="auto"/>
            <w:tcMar>
              <w:top w:w="0" w:type="dxa"/>
              <w:left w:w="108" w:type="dxa"/>
              <w:bottom w:w="0" w:type="dxa"/>
              <w:right w:w="108" w:type="dxa"/>
            </w:tcMar>
          </w:tcPr>
          <w:p w14:paraId="42594952" w14:textId="77777777" w:rsidR="00A04DF2" w:rsidRPr="001819F4" w:rsidRDefault="00A04DF2" w:rsidP="00D04740">
            <w:pPr>
              <w:pStyle w:val="Tabletext"/>
              <w:rPr>
                <w:color w:val="000000" w:themeColor="text1"/>
                <w:szCs w:val="22"/>
                <w:lang w:val="es-ES_tradnl"/>
              </w:rPr>
            </w:pPr>
            <w:r w:rsidRPr="001819F4">
              <w:rPr>
                <w:lang w:val="es-ES_tradnl"/>
              </w:rPr>
              <w:t>Australia</w:t>
            </w:r>
          </w:p>
        </w:tc>
      </w:tr>
      <w:tr w:rsidR="00A04DF2" w:rsidRPr="001819F4" w14:paraId="023F33F9" w14:textId="77777777" w:rsidTr="00D04740">
        <w:trPr>
          <w:trHeight w:val="300"/>
        </w:trPr>
        <w:tc>
          <w:tcPr>
            <w:tcW w:w="2835" w:type="dxa"/>
            <w:shd w:val="clear" w:color="auto" w:fill="auto"/>
            <w:tcMar>
              <w:top w:w="0" w:type="dxa"/>
              <w:left w:w="108" w:type="dxa"/>
              <w:bottom w:w="0" w:type="dxa"/>
              <w:right w:w="108" w:type="dxa"/>
            </w:tcMar>
          </w:tcPr>
          <w:p w14:paraId="28A5F818" w14:textId="77777777" w:rsidR="00A04DF2" w:rsidRPr="001819F4" w:rsidRDefault="00A04DF2" w:rsidP="00D04740">
            <w:pPr>
              <w:pStyle w:val="Tabletext"/>
              <w:rPr>
                <w:color w:val="000000" w:themeColor="text1"/>
                <w:szCs w:val="22"/>
                <w:lang w:val="es-ES_tradnl"/>
                <w14:ligatures w14:val="standardContextual"/>
              </w:rPr>
            </w:pPr>
            <w:r>
              <w:rPr>
                <w:lang w:val="es-ES_tradnl"/>
              </w:rPr>
              <w:t>3</w:t>
            </w:r>
            <w:r>
              <w:rPr>
                <w:lang w:val="es-ES_tradnl"/>
              </w:rPr>
              <w:tab/>
            </w:r>
            <w:r w:rsidRPr="001819F4">
              <w:rPr>
                <w:lang w:val="es-ES_tradnl"/>
              </w:rPr>
              <w:t>Infraestructura y redes de acceso</w:t>
            </w:r>
          </w:p>
        </w:tc>
        <w:tc>
          <w:tcPr>
            <w:tcW w:w="1701" w:type="dxa"/>
            <w:shd w:val="clear" w:color="auto" w:fill="auto"/>
            <w:tcMar>
              <w:top w:w="0" w:type="dxa"/>
              <w:left w:w="108" w:type="dxa"/>
              <w:bottom w:w="0" w:type="dxa"/>
              <w:right w:w="108" w:type="dxa"/>
            </w:tcMar>
          </w:tcPr>
          <w:p w14:paraId="022B6EB0" w14:textId="77777777" w:rsidR="00A04DF2" w:rsidRPr="001819F4" w:rsidRDefault="00A04DF2" w:rsidP="00D04740">
            <w:pPr>
              <w:pStyle w:val="Tabletext"/>
              <w:rPr>
                <w:color w:val="000000" w:themeColor="text1"/>
                <w:szCs w:val="22"/>
                <w:lang w:val="es-ES_tradnl"/>
                <w14:ligatures w14:val="standardContextual"/>
              </w:rPr>
            </w:pPr>
            <w:r w:rsidRPr="001819F4">
              <w:rPr>
                <w:lang w:val="es-ES_tradnl"/>
              </w:rPr>
              <w:t>Res. 20, Res. 22, Res. 23, Res. 63</w:t>
            </w:r>
          </w:p>
        </w:tc>
        <w:tc>
          <w:tcPr>
            <w:tcW w:w="1842" w:type="dxa"/>
          </w:tcPr>
          <w:p w14:paraId="574211BB" w14:textId="77777777" w:rsidR="00A04DF2" w:rsidRPr="001819F4" w:rsidRDefault="00A04DF2" w:rsidP="00D04740">
            <w:pPr>
              <w:pStyle w:val="Tabletext"/>
              <w:rPr>
                <w:color w:val="000000" w:themeColor="text1"/>
                <w:szCs w:val="22"/>
                <w:lang w:val="es-ES_tradnl"/>
              </w:rPr>
            </w:pPr>
            <w:r w:rsidRPr="001819F4">
              <w:rPr>
                <w:lang w:val="es-ES_tradnl"/>
              </w:rPr>
              <w:t>Res. 64, Res. 21, Res. 101, Res. 180</w:t>
            </w:r>
          </w:p>
        </w:tc>
        <w:tc>
          <w:tcPr>
            <w:tcW w:w="2977" w:type="dxa"/>
            <w:shd w:val="clear" w:color="auto" w:fill="auto"/>
            <w:tcMar>
              <w:top w:w="0" w:type="dxa"/>
              <w:left w:w="108" w:type="dxa"/>
              <w:bottom w:w="0" w:type="dxa"/>
              <w:right w:w="108" w:type="dxa"/>
            </w:tcMar>
          </w:tcPr>
          <w:p w14:paraId="1CAF0AD4" w14:textId="77777777" w:rsidR="00A04DF2" w:rsidRPr="001819F4" w:rsidRDefault="00A04DF2" w:rsidP="00D04740">
            <w:pPr>
              <w:pStyle w:val="Tabletext"/>
              <w:rPr>
                <w:color w:val="000000" w:themeColor="text1"/>
                <w:szCs w:val="22"/>
                <w:lang w:val="es-ES_tradnl"/>
              </w:rPr>
            </w:pPr>
            <w:r w:rsidRPr="001819F4">
              <w:rPr>
                <w:lang w:val="es-ES_tradnl"/>
              </w:rPr>
              <w:t>Ghana</w:t>
            </w:r>
          </w:p>
        </w:tc>
      </w:tr>
      <w:tr w:rsidR="00A04DF2" w:rsidRPr="001819F4" w14:paraId="2F21DC47" w14:textId="77777777" w:rsidTr="00D04740">
        <w:trPr>
          <w:trHeight w:val="300"/>
        </w:trPr>
        <w:tc>
          <w:tcPr>
            <w:tcW w:w="2835" w:type="dxa"/>
            <w:shd w:val="clear" w:color="auto" w:fill="auto"/>
            <w:tcMar>
              <w:top w:w="0" w:type="dxa"/>
              <w:left w:w="108" w:type="dxa"/>
              <w:bottom w:w="0" w:type="dxa"/>
              <w:right w:w="108" w:type="dxa"/>
            </w:tcMar>
            <w:hideMark/>
          </w:tcPr>
          <w:p w14:paraId="4DB97979" w14:textId="77777777" w:rsidR="00A04DF2" w:rsidRPr="001819F4" w:rsidRDefault="00A04DF2" w:rsidP="00D04740">
            <w:pPr>
              <w:pStyle w:val="Tabletext"/>
              <w:rPr>
                <w:color w:val="000000" w:themeColor="text1"/>
                <w:szCs w:val="22"/>
                <w:lang w:val="es-ES_tradnl"/>
                <w14:ligatures w14:val="standardContextual"/>
              </w:rPr>
            </w:pPr>
            <w:r>
              <w:rPr>
                <w:lang w:val="es-ES_tradnl"/>
              </w:rPr>
              <w:t>4</w:t>
            </w:r>
            <w:r>
              <w:rPr>
                <w:lang w:val="es-ES_tradnl"/>
              </w:rPr>
              <w:tab/>
            </w:r>
            <w:r w:rsidRPr="001819F4">
              <w:rPr>
                <w:lang w:val="es-ES_tradnl"/>
              </w:rPr>
              <w:t>Función de la UIT en los foros estratégicos y la coordinación sectorial</w:t>
            </w:r>
          </w:p>
        </w:tc>
        <w:tc>
          <w:tcPr>
            <w:tcW w:w="1701" w:type="dxa"/>
            <w:shd w:val="clear" w:color="auto" w:fill="auto"/>
            <w:tcMar>
              <w:top w:w="0" w:type="dxa"/>
              <w:left w:w="108" w:type="dxa"/>
              <w:bottom w:w="0" w:type="dxa"/>
              <w:right w:w="108" w:type="dxa"/>
            </w:tcMar>
            <w:hideMark/>
          </w:tcPr>
          <w:p w14:paraId="5F7602A1" w14:textId="77777777" w:rsidR="00A04DF2" w:rsidRPr="001819F4" w:rsidRDefault="00A04DF2" w:rsidP="00D04740">
            <w:pPr>
              <w:pStyle w:val="Tabletext"/>
              <w:rPr>
                <w:color w:val="000000" w:themeColor="text1"/>
                <w:szCs w:val="22"/>
                <w:lang w:val="es-ES_tradnl"/>
                <w14:ligatures w14:val="standardContextual"/>
              </w:rPr>
            </w:pPr>
            <w:r w:rsidRPr="001819F4">
              <w:rPr>
                <w:lang w:val="es-ES_tradnl"/>
              </w:rPr>
              <w:t>Res. 30, Res. 48, Res. 59</w:t>
            </w:r>
          </w:p>
        </w:tc>
        <w:tc>
          <w:tcPr>
            <w:tcW w:w="1842" w:type="dxa"/>
          </w:tcPr>
          <w:p w14:paraId="4D4FCC01" w14:textId="77777777" w:rsidR="00A04DF2" w:rsidRPr="001819F4" w:rsidRDefault="00A04DF2" w:rsidP="00D04740">
            <w:pPr>
              <w:pStyle w:val="Tabletext"/>
              <w:rPr>
                <w:color w:val="000000" w:themeColor="text1"/>
                <w:szCs w:val="22"/>
                <w:lang w:val="es-ES_tradnl"/>
              </w:rPr>
            </w:pPr>
            <w:r w:rsidRPr="001819F4">
              <w:rPr>
                <w:lang w:val="es-ES_tradnl"/>
              </w:rPr>
              <w:t>Res. 140, Res. 138, Res. 191</w:t>
            </w:r>
          </w:p>
        </w:tc>
        <w:tc>
          <w:tcPr>
            <w:tcW w:w="2977" w:type="dxa"/>
            <w:shd w:val="clear" w:color="auto" w:fill="auto"/>
            <w:tcMar>
              <w:top w:w="0" w:type="dxa"/>
              <w:left w:w="108" w:type="dxa"/>
              <w:bottom w:w="0" w:type="dxa"/>
              <w:right w:w="108" w:type="dxa"/>
            </w:tcMar>
          </w:tcPr>
          <w:p w14:paraId="09522353" w14:textId="77777777" w:rsidR="00A04DF2" w:rsidRPr="001819F4" w:rsidRDefault="00A04DF2" w:rsidP="00D04740">
            <w:pPr>
              <w:pStyle w:val="Tabletext"/>
              <w:rPr>
                <w:color w:val="000000" w:themeColor="text1"/>
                <w:szCs w:val="22"/>
                <w:lang w:val="es-ES_tradnl"/>
              </w:rPr>
            </w:pPr>
          </w:p>
        </w:tc>
      </w:tr>
      <w:tr w:rsidR="00A04DF2" w:rsidRPr="001819F4" w14:paraId="0F795800" w14:textId="77777777" w:rsidTr="00D04740">
        <w:trPr>
          <w:trHeight w:val="300"/>
        </w:trPr>
        <w:tc>
          <w:tcPr>
            <w:tcW w:w="2835" w:type="dxa"/>
            <w:shd w:val="clear" w:color="auto" w:fill="auto"/>
            <w:tcMar>
              <w:top w:w="0" w:type="dxa"/>
              <w:left w:w="108" w:type="dxa"/>
              <w:bottom w:w="0" w:type="dxa"/>
              <w:right w:w="108" w:type="dxa"/>
            </w:tcMar>
            <w:hideMark/>
          </w:tcPr>
          <w:p w14:paraId="410C6151" w14:textId="77777777" w:rsidR="00A04DF2" w:rsidRPr="001819F4" w:rsidRDefault="00A04DF2" w:rsidP="00D04740">
            <w:pPr>
              <w:pStyle w:val="Tabletext"/>
              <w:rPr>
                <w:color w:val="000000" w:themeColor="text1"/>
                <w:szCs w:val="22"/>
                <w:lang w:val="es-ES_tradnl"/>
                <w14:ligatures w14:val="standardContextual"/>
              </w:rPr>
            </w:pPr>
            <w:r>
              <w:rPr>
                <w:lang w:val="es-ES_tradnl"/>
              </w:rPr>
              <w:t>5</w:t>
            </w:r>
            <w:r>
              <w:rPr>
                <w:lang w:val="es-ES_tradnl"/>
              </w:rPr>
              <w:tab/>
            </w:r>
            <w:r w:rsidRPr="001819F4">
              <w:rPr>
                <w:lang w:val="es-ES_tradnl"/>
              </w:rPr>
              <w:t>Entorno</w:t>
            </w:r>
          </w:p>
        </w:tc>
        <w:tc>
          <w:tcPr>
            <w:tcW w:w="1701" w:type="dxa"/>
            <w:shd w:val="clear" w:color="auto" w:fill="auto"/>
            <w:tcMar>
              <w:top w:w="0" w:type="dxa"/>
              <w:left w:w="108" w:type="dxa"/>
              <w:bottom w:w="0" w:type="dxa"/>
              <w:right w:w="108" w:type="dxa"/>
            </w:tcMar>
            <w:hideMark/>
          </w:tcPr>
          <w:p w14:paraId="12FE2BE2" w14:textId="77777777" w:rsidR="00A04DF2" w:rsidRPr="001819F4" w:rsidRDefault="00A04DF2" w:rsidP="00D04740">
            <w:pPr>
              <w:pStyle w:val="Tabletext"/>
              <w:rPr>
                <w:color w:val="000000" w:themeColor="text1"/>
                <w:szCs w:val="22"/>
                <w:lang w:val="es-ES_tradnl"/>
                <w14:ligatures w14:val="standardContextual"/>
              </w:rPr>
            </w:pPr>
            <w:r w:rsidRPr="001819F4">
              <w:rPr>
                <w:lang w:val="es-ES_tradnl"/>
              </w:rPr>
              <w:t>Res. 34, Res. 66, Res. 62</w:t>
            </w:r>
          </w:p>
        </w:tc>
        <w:tc>
          <w:tcPr>
            <w:tcW w:w="1842" w:type="dxa"/>
          </w:tcPr>
          <w:p w14:paraId="3BE62D35" w14:textId="77777777" w:rsidR="00A04DF2" w:rsidRPr="001819F4" w:rsidRDefault="00A04DF2" w:rsidP="00D04740">
            <w:pPr>
              <w:pStyle w:val="Tabletext"/>
              <w:rPr>
                <w:color w:val="000000" w:themeColor="text1"/>
                <w:szCs w:val="22"/>
                <w:lang w:val="es-ES_tradnl"/>
              </w:rPr>
            </w:pPr>
            <w:r w:rsidRPr="001819F4">
              <w:rPr>
                <w:lang w:val="es-ES_tradnl"/>
              </w:rPr>
              <w:t>Res. 136, Res. 182, Res. 176</w:t>
            </w:r>
          </w:p>
        </w:tc>
        <w:tc>
          <w:tcPr>
            <w:tcW w:w="2977" w:type="dxa"/>
            <w:shd w:val="clear" w:color="auto" w:fill="auto"/>
            <w:tcMar>
              <w:top w:w="0" w:type="dxa"/>
              <w:left w:w="108" w:type="dxa"/>
              <w:bottom w:w="0" w:type="dxa"/>
              <w:right w:w="108" w:type="dxa"/>
            </w:tcMar>
          </w:tcPr>
          <w:p w14:paraId="08611543" w14:textId="77777777" w:rsidR="00A04DF2" w:rsidRPr="001819F4" w:rsidRDefault="00A04DF2" w:rsidP="00D04740">
            <w:pPr>
              <w:pStyle w:val="Tabletext"/>
              <w:rPr>
                <w:color w:val="000000" w:themeColor="text1"/>
                <w:szCs w:val="22"/>
                <w:lang w:val="es-ES_tradnl"/>
              </w:rPr>
            </w:pPr>
          </w:p>
        </w:tc>
      </w:tr>
      <w:tr w:rsidR="00A04DF2" w:rsidRPr="001819F4" w14:paraId="190E7002" w14:textId="77777777" w:rsidTr="00D04740">
        <w:trPr>
          <w:trHeight w:val="300"/>
        </w:trPr>
        <w:tc>
          <w:tcPr>
            <w:tcW w:w="2835" w:type="dxa"/>
            <w:shd w:val="clear" w:color="auto" w:fill="auto"/>
            <w:tcMar>
              <w:top w:w="0" w:type="dxa"/>
              <w:left w:w="108" w:type="dxa"/>
              <w:bottom w:w="0" w:type="dxa"/>
              <w:right w:w="108" w:type="dxa"/>
            </w:tcMar>
            <w:hideMark/>
          </w:tcPr>
          <w:p w14:paraId="3D31B55E" w14:textId="77777777" w:rsidR="00A04DF2" w:rsidRPr="001819F4" w:rsidRDefault="00A04DF2" w:rsidP="00D04740">
            <w:pPr>
              <w:pStyle w:val="Tabletext"/>
              <w:rPr>
                <w:color w:val="000000" w:themeColor="text1"/>
                <w:szCs w:val="22"/>
                <w:lang w:val="es-ES_tradnl"/>
                <w14:ligatures w14:val="standardContextual"/>
              </w:rPr>
            </w:pPr>
            <w:r>
              <w:rPr>
                <w:lang w:val="es-ES_tradnl"/>
              </w:rPr>
              <w:t>6</w:t>
            </w:r>
            <w:r>
              <w:rPr>
                <w:lang w:val="es-ES_tradnl"/>
              </w:rPr>
              <w:tab/>
            </w:r>
            <w:r w:rsidRPr="001819F4">
              <w:rPr>
                <w:lang w:val="es-ES_tradnl"/>
              </w:rPr>
              <w:t>Género y juventud</w:t>
            </w:r>
          </w:p>
        </w:tc>
        <w:tc>
          <w:tcPr>
            <w:tcW w:w="1701" w:type="dxa"/>
            <w:shd w:val="clear" w:color="auto" w:fill="auto"/>
            <w:tcMar>
              <w:top w:w="0" w:type="dxa"/>
              <w:left w:w="108" w:type="dxa"/>
              <w:bottom w:w="0" w:type="dxa"/>
              <w:right w:w="108" w:type="dxa"/>
            </w:tcMar>
            <w:hideMark/>
          </w:tcPr>
          <w:p w14:paraId="3707A7EC" w14:textId="77777777" w:rsidR="00A04DF2" w:rsidRPr="001819F4" w:rsidRDefault="00A04DF2" w:rsidP="00D04740">
            <w:pPr>
              <w:pStyle w:val="Tabletext"/>
              <w:rPr>
                <w:color w:val="000000" w:themeColor="text1"/>
                <w:szCs w:val="22"/>
                <w:lang w:val="es-ES_tradnl"/>
                <w14:ligatures w14:val="standardContextual"/>
              </w:rPr>
            </w:pPr>
            <w:r w:rsidRPr="001819F4">
              <w:rPr>
                <w:lang w:val="es-ES_tradnl"/>
              </w:rPr>
              <w:t>Res. 55, Res. 76</w:t>
            </w:r>
          </w:p>
        </w:tc>
        <w:tc>
          <w:tcPr>
            <w:tcW w:w="1842" w:type="dxa"/>
          </w:tcPr>
          <w:p w14:paraId="3BC1DB3B" w14:textId="77777777" w:rsidR="00A04DF2" w:rsidRPr="001819F4" w:rsidRDefault="00A04DF2" w:rsidP="00D04740">
            <w:pPr>
              <w:pStyle w:val="Tabletext"/>
              <w:rPr>
                <w:color w:val="000000" w:themeColor="text1"/>
                <w:szCs w:val="22"/>
                <w:lang w:val="es-ES_tradnl"/>
              </w:rPr>
            </w:pPr>
            <w:r w:rsidRPr="001819F4">
              <w:rPr>
                <w:lang w:val="es-ES_tradnl"/>
              </w:rPr>
              <w:t>Res. 70, Res. 198</w:t>
            </w:r>
          </w:p>
        </w:tc>
        <w:tc>
          <w:tcPr>
            <w:tcW w:w="2977" w:type="dxa"/>
            <w:shd w:val="clear" w:color="auto" w:fill="auto"/>
            <w:tcMar>
              <w:top w:w="0" w:type="dxa"/>
              <w:left w:w="108" w:type="dxa"/>
              <w:bottom w:w="0" w:type="dxa"/>
              <w:right w:w="108" w:type="dxa"/>
            </w:tcMar>
          </w:tcPr>
          <w:p w14:paraId="17043FC0" w14:textId="77777777" w:rsidR="00A04DF2" w:rsidRPr="001819F4" w:rsidRDefault="00A04DF2" w:rsidP="00D04740">
            <w:pPr>
              <w:pStyle w:val="Tabletext"/>
              <w:rPr>
                <w:color w:val="000000" w:themeColor="text1"/>
                <w:szCs w:val="22"/>
                <w:lang w:val="es-ES_tradnl"/>
              </w:rPr>
            </w:pPr>
            <w:r w:rsidRPr="001819F4">
              <w:rPr>
                <w:lang w:val="es-ES_tradnl"/>
              </w:rPr>
              <w:t>Canadá, República Dominicana</w:t>
            </w:r>
          </w:p>
        </w:tc>
      </w:tr>
      <w:tr w:rsidR="00A04DF2" w:rsidRPr="001819F4" w14:paraId="2E42EE00" w14:textId="77777777" w:rsidTr="00D04740">
        <w:trPr>
          <w:trHeight w:val="300"/>
        </w:trPr>
        <w:tc>
          <w:tcPr>
            <w:tcW w:w="2835" w:type="dxa"/>
            <w:shd w:val="clear" w:color="auto" w:fill="auto"/>
            <w:tcMar>
              <w:top w:w="0" w:type="dxa"/>
              <w:left w:w="108" w:type="dxa"/>
              <w:bottom w:w="0" w:type="dxa"/>
              <w:right w:w="108" w:type="dxa"/>
            </w:tcMar>
          </w:tcPr>
          <w:p w14:paraId="59EBCC99" w14:textId="77777777" w:rsidR="00A04DF2" w:rsidRPr="001819F4" w:rsidRDefault="00A04DF2" w:rsidP="00D04740">
            <w:pPr>
              <w:pStyle w:val="Tabletext"/>
              <w:rPr>
                <w:color w:val="000000" w:themeColor="text1"/>
                <w:szCs w:val="22"/>
                <w:lang w:val="es-ES_tradnl"/>
                <w14:ligatures w14:val="standardContextual"/>
              </w:rPr>
            </w:pPr>
            <w:r>
              <w:rPr>
                <w:lang w:val="es-ES_tradnl"/>
              </w:rPr>
              <w:t>7</w:t>
            </w:r>
            <w:r>
              <w:rPr>
                <w:lang w:val="es-ES_tradnl"/>
              </w:rPr>
              <w:tab/>
            </w:r>
            <w:r w:rsidRPr="001819F4">
              <w:rPr>
                <w:lang w:val="es-ES_tradnl"/>
              </w:rPr>
              <w:t>Conectividad</w:t>
            </w:r>
          </w:p>
        </w:tc>
        <w:tc>
          <w:tcPr>
            <w:tcW w:w="1701" w:type="dxa"/>
            <w:shd w:val="clear" w:color="auto" w:fill="auto"/>
            <w:tcMar>
              <w:top w:w="0" w:type="dxa"/>
              <w:left w:w="108" w:type="dxa"/>
              <w:bottom w:w="0" w:type="dxa"/>
              <w:right w:w="108" w:type="dxa"/>
            </w:tcMar>
          </w:tcPr>
          <w:p w14:paraId="4614FB8C" w14:textId="77777777" w:rsidR="00A04DF2" w:rsidRPr="001819F4" w:rsidRDefault="00A04DF2" w:rsidP="00D04740">
            <w:pPr>
              <w:pStyle w:val="Tabletext"/>
              <w:rPr>
                <w:color w:val="000000" w:themeColor="text1"/>
                <w:szCs w:val="22"/>
                <w:lang w:val="es-ES_tradnl"/>
                <w14:ligatures w14:val="standardContextual"/>
              </w:rPr>
            </w:pPr>
            <w:r w:rsidRPr="001819F4">
              <w:rPr>
                <w:lang w:val="es-ES_tradnl"/>
              </w:rPr>
              <w:t>Res. 16, Res. 37</w:t>
            </w:r>
          </w:p>
        </w:tc>
        <w:tc>
          <w:tcPr>
            <w:tcW w:w="1842" w:type="dxa"/>
          </w:tcPr>
          <w:p w14:paraId="2E030E44" w14:textId="77777777" w:rsidR="00A04DF2" w:rsidRPr="001819F4" w:rsidRDefault="00A04DF2" w:rsidP="00D04740">
            <w:pPr>
              <w:pStyle w:val="Tabletext"/>
              <w:rPr>
                <w:color w:val="000000" w:themeColor="text1"/>
                <w:szCs w:val="22"/>
                <w:lang w:val="es-ES_tradnl"/>
              </w:rPr>
            </w:pPr>
            <w:r w:rsidRPr="001819F4">
              <w:rPr>
                <w:lang w:val="es-ES_tradnl"/>
              </w:rPr>
              <w:t>Res. 30, Res. 123, Res. 203</w:t>
            </w:r>
          </w:p>
        </w:tc>
        <w:tc>
          <w:tcPr>
            <w:tcW w:w="2977" w:type="dxa"/>
            <w:shd w:val="clear" w:color="auto" w:fill="auto"/>
            <w:tcMar>
              <w:top w:w="0" w:type="dxa"/>
              <w:left w:w="108" w:type="dxa"/>
              <w:bottom w:w="0" w:type="dxa"/>
              <w:right w:w="108" w:type="dxa"/>
            </w:tcMar>
          </w:tcPr>
          <w:p w14:paraId="46470977" w14:textId="77777777" w:rsidR="00A04DF2" w:rsidRPr="001819F4" w:rsidRDefault="00A04DF2" w:rsidP="00D04740">
            <w:pPr>
              <w:pStyle w:val="Tabletext"/>
              <w:rPr>
                <w:color w:val="000000" w:themeColor="text1"/>
                <w:szCs w:val="22"/>
                <w:lang w:val="es-ES_tradnl"/>
              </w:rPr>
            </w:pPr>
            <w:r w:rsidRPr="001819F4">
              <w:rPr>
                <w:lang w:val="es-ES_tradnl"/>
              </w:rPr>
              <w:t>Sudán, Malasia</w:t>
            </w:r>
          </w:p>
        </w:tc>
      </w:tr>
      <w:tr w:rsidR="00A04DF2" w:rsidRPr="001819F4" w14:paraId="6A75F63F" w14:textId="77777777" w:rsidTr="00D04740">
        <w:trPr>
          <w:trHeight w:val="300"/>
        </w:trPr>
        <w:tc>
          <w:tcPr>
            <w:tcW w:w="2835" w:type="dxa"/>
            <w:shd w:val="clear" w:color="auto" w:fill="auto"/>
            <w:tcMar>
              <w:top w:w="0" w:type="dxa"/>
              <w:left w:w="108" w:type="dxa"/>
              <w:bottom w:w="0" w:type="dxa"/>
              <w:right w:w="108" w:type="dxa"/>
            </w:tcMar>
          </w:tcPr>
          <w:p w14:paraId="58B152AF" w14:textId="77777777" w:rsidR="00A04DF2" w:rsidRPr="001819F4" w:rsidRDefault="00A04DF2" w:rsidP="00D04740">
            <w:pPr>
              <w:pStyle w:val="Tabletext"/>
              <w:rPr>
                <w:color w:val="000000" w:themeColor="text1"/>
                <w:szCs w:val="22"/>
                <w:lang w:val="es-ES_tradnl"/>
                <w14:ligatures w14:val="standardContextual"/>
              </w:rPr>
            </w:pPr>
            <w:r>
              <w:rPr>
                <w:lang w:val="es-ES_tradnl"/>
              </w:rPr>
              <w:t>8</w:t>
            </w:r>
            <w:r>
              <w:rPr>
                <w:lang w:val="es-ES_tradnl"/>
              </w:rPr>
              <w:tab/>
            </w:r>
            <w:r w:rsidRPr="001819F4">
              <w:rPr>
                <w:lang w:val="es-ES_tradnl"/>
              </w:rPr>
              <w:t>Seguridad y conformidad</w:t>
            </w:r>
          </w:p>
        </w:tc>
        <w:tc>
          <w:tcPr>
            <w:tcW w:w="1701" w:type="dxa"/>
            <w:shd w:val="clear" w:color="auto" w:fill="auto"/>
            <w:tcMar>
              <w:top w:w="0" w:type="dxa"/>
              <w:left w:w="108" w:type="dxa"/>
              <w:bottom w:w="0" w:type="dxa"/>
              <w:right w:w="108" w:type="dxa"/>
            </w:tcMar>
          </w:tcPr>
          <w:p w14:paraId="25BDF7DD" w14:textId="77777777" w:rsidR="00A04DF2" w:rsidRPr="001819F4" w:rsidRDefault="00A04DF2" w:rsidP="00D04740">
            <w:pPr>
              <w:pStyle w:val="Tabletext"/>
              <w:rPr>
                <w:color w:val="000000" w:themeColor="text1"/>
                <w:szCs w:val="22"/>
                <w:lang w:val="es-ES_tradnl"/>
                <w14:ligatures w14:val="standardContextual"/>
              </w:rPr>
            </w:pPr>
            <w:r w:rsidRPr="001819F4">
              <w:rPr>
                <w:lang w:val="es-ES_tradnl"/>
              </w:rPr>
              <w:t>Res. 45, Res. 47, Res. 79, Res. 84</w:t>
            </w:r>
          </w:p>
        </w:tc>
        <w:tc>
          <w:tcPr>
            <w:tcW w:w="1842" w:type="dxa"/>
          </w:tcPr>
          <w:p w14:paraId="03DAAF88" w14:textId="77777777" w:rsidR="00A04DF2" w:rsidRPr="001819F4" w:rsidRDefault="00A04DF2" w:rsidP="00D04740">
            <w:pPr>
              <w:pStyle w:val="Tabletext"/>
              <w:rPr>
                <w:color w:val="000000" w:themeColor="text1"/>
                <w:szCs w:val="22"/>
                <w:lang w:val="es-ES_tradnl"/>
              </w:rPr>
            </w:pPr>
            <w:r w:rsidRPr="001819F4">
              <w:rPr>
                <w:lang w:val="es-ES_tradnl"/>
              </w:rPr>
              <w:t>Res. 139, Res. 177, Res. 188, Res. 189</w:t>
            </w:r>
          </w:p>
        </w:tc>
        <w:tc>
          <w:tcPr>
            <w:tcW w:w="2977" w:type="dxa"/>
            <w:shd w:val="clear" w:color="auto" w:fill="auto"/>
            <w:tcMar>
              <w:top w:w="0" w:type="dxa"/>
              <w:left w:w="108" w:type="dxa"/>
              <w:bottom w:w="0" w:type="dxa"/>
              <w:right w:w="108" w:type="dxa"/>
            </w:tcMar>
          </w:tcPr>
          <w:p w14:paraId="778CAA80" w14:textId="77777777" w:rsidR="00A04DF2" w:rsidRPr="001819F4" w:rsidRDefault="00A04DF2" w:rsidP="00D04740">
            <w:pPr>
              <w:pStyle w:val="Tabletext"/>
              <w:rPr>
                <w:color w:val="000000" w:themeColor="text1"/>
                <w:szCs w:val="22"/>
                <w:lang w:val="es-ES_tradnl"/>
              </w:rPr>
            </w:pPr>
          </w:p>
        </w:tc>
      </w:tr>
      <w:tr w:rsidR="00A04DF2" w:rsidRPr="001819F4" w14:paraId="4BDB09F6" w14:textId="77777777" w:rsidTr="00D04740">
        <w:trPr>
          <w:trHeight w:val="300"/>
        </w:trPr>
        <w:tc>
          <w:tcPr>
            <w:tcW w:w="2835" w:type="dxa"/>
            <w:shd w:val="clear" w:color="auto" w:fill="auto"/>
            <w:tcMar>
              <w:top w:w="0" w:type="dxa"/>
              <w:left w:w="108" w:type="dxa"/>
              <w:bottom w:w="0" w:type="dxa"/>
              <w:right w:w="108" w:type="dxa"/>
            </w:tcMar>
          </w:tcPr>
          <w:p w14:paraId="4A74B191" w14:textId="77777777" w:rsidR="00A04DF2" w:rsidRPr="001819F4" w:rsidRDefault="00A04DF2" w:rsidP="00D04740">
            <w:pPr>
              <w:pStyle w:val="Tabletext"/>
              <w:rPr>
                <w:color w:val="000000" w:themeColor="text1"/>
                <w:szCs w:val="22"/>
                <w:lang w:val="es-ES_tradnl"/>
                <w14:ligatures w14:val="standardContextual"/>
              </w:rPr>
            </w:pPr>
            <w:r>
              <w:rPr>
                <w:lang w:val="es-ES_tradnl"/>
              </w:rPr>
              <w:t>9</w:t>
            </w:r>
            <w:r>
              <w:rPr>
                <w:lang w:val="es-ES_tradnl"/>
              </w:rPr>
              <w:tab/>
            </w:r>
            <w:r w:rsidRPr="001819F4">
              <w:rPr>
                <w:lang w:val="es-ES_tradnl"/>
              </w:rPr>
              <w:t>Accesibilidad, consumidores y protección de la infancia en línea (usuarios vulnerables)</w:t>
            </w:r>
          </w:p>
        </w:tc>
        <w:tc>
          <w:tcPr>
            <w:tcW w:w="1701" w:type="dxa"/>
            <w:shd w:val="clear" w:color="auto" w:fill="auto"/>
            <w:tcMar>
              <w:top w:w="0" w:type="dxa"/>
              <w:left w:w="108" w:type="dxa"/>
              <w:bottom w:w="0" w:type="dxa"/>
              <w:right w:w="108" w:type="dxa"/>
            </w:tcMar>
          </w:tcPr>
          <w:p w14:paraId="79CCE9FA" w14:textId="77777777" w:rsidR="00A04DF2" w:rsidRPr="001819F4" w:rsidRDefault="00A04DF2" w:rsidP="00D04740">
            <w:pPr>
              <w:pStyle w:val="Tabletext"/>
              <w:rPr>
                <w:color w:val="000000" w:themeColor="text1"/>
                <w:szCs w:val="22"/>
                <w:lang w:val="es-ES_tradnl"/>
                <w14:ligatures w14:val="standardContextual"/>
              </w:rPr>
            </w:pPr>
            <w:r w:rsidRPr="001819F4">
              <w:rPr>
                <w:lang w:val="es-ES_tradnl"/>
              </w:rPr>
              <w:t>Res. 58, Res. 64, Res. 67, Res. 82</w:t>
            </w:r>
          </w:p>
        </w:tc>
        <w:tc>
          <w:tcPr>
            <w:tcW w:w="1842" w:type="dxa"/>
          </w:tcPr>
          <w:p w14:paraId="45392803" w14:textId="77777777" w:rsidR="00A04DF2" w:rsidRPr="001819F4" w:rsidRDefault="00A04DF2" w:rsidP="00D04740">
            <w:pPr>
              <w:pStyle w:val="Tabletext"/>
              <w:rPr>
                <w:color w:val="000000" w:themeColor="text1"/>
                <w:szCs w:val="22"/>
                <w:lang w:val="es-ES_tradnl"/>
              </w:rPr>
            </w:pPr>
            <w:r w:rsidRPr="001819F4">
              <w:rPr>
                <w:lang w:val="es-ES_tradnl"/>
              </w:rPr>
              <w:t>Res. 175, Res. 196, Res. 179, Res. 133</w:t>
            </w:r>
          </w:p>
        </w:tc>
        <w:tc>
          <w:tcPr>
            <w:tcW w:w="2977" w:type="dxa"/>
            <w:shd w:val="clear" w:color="auto" w:fill="auto"/>
            <w:tcMar>
              <w:top w:w="0" w:type="dxa"/>
              <w:left w:w="108" w:type="dxa"/>
              <w:bottom w:w="0" w:type="dxa"/>
              <w:right w:w="108" w:type="dxa"/>
            </w:tcMar>
          </w:tcPr>
          <w:p w14:paraId="3CC0CF3C" w14:textId="77777777" w:rsidR="00A04DF2" w:rsidRPr="001819F4" w:rsidRDefault="00A04DF2" w:rsidP="00D04740">
            <w:pPr>
              <w:pStyle w:val="Tabletext"/>
              <w:rPr>
                <w:color w:val="000000" w:themeColor="text1"/>
                <w:szCs w:val="22"/>
                <w:lang w:val="es-ES_tradnl"/>
              </w:rPr>
            </w:pPr>
            <w:r w:rsidRPr="001819F4">
              <w:rPr>
                <w:lang w:val="es-ES_tradnl"/>
              </w:rPr>
              <w:t>Brasil</w:t>
            </w:r>
          </w:p>
        </w:tc>
      </w:tr>
      <w:tr w:rsidR="00A04DF2" w:rsidRPr="001819F4" w14:paraId="052627C1" w14:textId="77777777" w:rsidTr="00D04740">
        <w:trPr>
          <w:trHeight w:val="300"/>
        </w:trPr>
        <w:tc>
          <w:tcPr>
            <w:tcW w:w="2835" w:type="dxa"/>
            <w:shd w:val="clear" w:color="auto" w:fill="auto"/>
            <w:tcMar>
              <w:top w:w="0" w:type="dxa"/>
              <w:left w:w="108" w:type="dxa"/>
              <w:bottom w:w="0" w:type="dxa"/>
              <w:right w:w="108" w:type="dxa"/>
            </w:tcMar>
          </w:tcPr>
          <w:p w14:paraId="2D1A020D" w14:textId="77777777" w:rsidR="00A04DF2" w:rsidRPr="001819F4" w:rsidRDefault="00A04DF2" w:rsidP="00D04740">
            <w:pPr>
              <w:pStyle w:val="Tabletext"/>
              <w:rPr>
                <w:color w:val="000000" w:themeColor="text1"/>
                <w:szCs w:val="22"/>
                <w:lang w:val="es-ES_tradnl"/>
                <w14:ligatures w14:val="standardContextual"/>
              </w:rPr>
            </w:pPr>
            <w:r>
              <w:rPr>
                <w:lang w:val="es-ES_tradnl"/>
              </w:rPr>
              <w:t>10</w:t>
            </w:r>
            <w:r>
              <w:rPr>
                <w:lang w:val="es-ES_tradnl"/>
              </w:rPr>
              <w:tab/>
            </w:r>
            <w:r w:rsidRPr="001819F4">
              <w:rPr>
                <w:lang w:val="es-ES_tradnl"/>
              </w:rPr>
              <w:t>Innovación</w:t>
            </w:r>
          </w:p>
        </w:tc>
        <w:tc>
          <w:tcPr>
            <w:tcW w:w="1701" w:type="dxa"/>
            <w:shd w:val="clear" w:color="auto" w:fill="auto"/>
            <w:tcMar>
              <w:top w:w="0" w:type="dxa"/>
              <w:left w:w="108" w:type="dxa"/>
              <w:bottom w:w="0" w:type="dxa"/>
              <w:right w:w="108" w:type="dxa"/>
            </w:tcMar>
          </w:tcPr>
          <w:p w14:paraId="59CD84D6" w14:textId="77777777" w:rsidR="00A04DF2" w:rsidRPr="001819F4" w:rsidRDefault="00A04DF2" w:rsidP="00D04740">
            <w:pPr>
              <w:pStyle w:val="Tabletext"/>
              <w:rPr>
                <w:color w:val="000000" w:themeColor="text1"/>
                <w:szCs w:val="22"/>
                <w:lang w:val="es-ES_tradnl"/>
                <w14:ligatures w14:val="standardContextual"/>
              </w:rPr>
            </w:pPr>
            <w:r w:rsidRPr="001819F4">
              <w:rPr>
                <w:lang w:val="es-ES_tradnl"/>
              </w:rPr>
              <w:t>Res. 85, Res. 90</w:t>
            </w:r>
          </w:p>
        </w:tc>
        <w:tc>
          <w:tcPr>
            <w:tcW w:w="1842" w:type="dxa"/>
          </w:tcPr>
          <w:p w14:paraId="3C6DF6F6" w14:textId="77777777" w:rsidR="00A04DF2" w:rsidRPr="001819F4" w:rsidRDefault="00A04DF2" w:rsidP="00D04740">
            <w:pPr>
              <w:pStyle w:val="Tabletext"/>
              <w:rPr>
                <w:color w:val="000000" w:themeColor="text1"/>
                <w:szCs w:val="22"/>
                <w:lang w:val="es-ES_tradnl"/>
              </w:rPr>
            </w:pPr>
            <w:r w:rsidRPr="001819F4">
              <w:rPr>
                <w:lang w:val="es-ES_tradnl"/>
              </w:rPr>
              <w:t>Res. 197, Res. 205</w:t>
            </w:r>
          </w:p>
        </w:tc>
        <w:tc>
          <w:tcPr>
            <w:tcW w:w="2977" w:type="dxa"/>
            <w:shd w:val="clear" w:color="auto" w:fill="auto"/>
            <w:tcMar>
              <w:top w:w="0" w:type="dxa"/>
              <w:left w:w="108" w:type="dxa"/>
              <w:bottom w:w="0" w:type="dxa"/>
              <w:right w:w="108" w:type="dxa"/>
            </w:tcMar>
          </w:tcPr>
          <w:p w14:paraId="61A80073" w14:textId="77777777" w:rsidR="00A04DF2" w:rsidRPr="001819F4" w:rsidRDefault="00A04DF2" w:rsidP="00D04740">
            <w:pPr>
              <w:pStyle w:val="Tabletext"/>
              <w:rPr>
                <w:color w:val="000000" w:themeColor="text1"/>
                <w:szCs w:val="22"/>
                <w:lang w:val="es-ES_tradnl"/>
              </w:rPr>
            </w:pPr>
          </w:p>
        </w:tc>
      </w:tr>
    </w:tbl>
    <w:p w14:paraId="23CFC0C7" w14:textId="77777777" w:rsidR="00A04DF2" w:rsidRPr="001819F4" w:rsidRDefault="00A04DF2" w:rsidP="00A04DF2">
      <w:pPr>
        <w:rPr>
          <w:rFonts w:cstheme="minorBidi"/>
          <w:lang w:val="es-ES_tradnl"/>
        </w:rPr>
      </w:pPr>
      <w:r>
        <w:rPr>
          <w:lang w:val="es-ES_tradnl"/>
        </w:rPr>
        <w:t>2</w:t>
      </w:r>
      <w:r>
        <w:rPr>
          <w:lang w:val="es-ES_tradnl"/>
        </w:rPr>
        <w:tab/>
      </w:r>
      <w:r w:rsidRPr="001819F4">
        <w:rPr>
          <w:lang w:val="es-ES_tradnl"/>
        </w:rPr>
        <w:t>En cada Reunión Preparatoria Regional se presentó un informe sobre la marcha de los trabajos del GT-GADT-RR.</w:t>
      </w:r>
    </w:p>
    <w:p w14:paraId="74234577" w14:textId="77777777" w:rsidR="00A04DF2" w:rsidRPr="001819F4" w:rsidRDefault="00A04DF2" w:rsidP="00A04DF2">
      <w:pPr>
        <w:rPr>
          <w:rFonts w:cstheme="minorBidi"/>
          <w:lang w:val="es-ES_tradnl"/>
        </w:rPr>
      </w:pPr>
      <w:r>
        <w:rPr>
          <w:lang w:val="es-ES_tradnl"/>
        </w:rPr>
        <w:t>3</w:t>
      </w:r>
      <w:r>
        <w:rPr>
          <w:lang w:val="es-ES_tradnl"/>
        </w:rPr>
        <w:tab/>
      </w:r>
      <w:r w:rsidRPr="001819F4">
        <w:rPr>
          <w:lang w:val="es-ES_tradnl"/>
        </w:rPr>
        <w:t>Además, la Presidencia del GT-GADT-RR facilitó información a las organizaciones regionales de telecomunicaciones sobre las próximas reuniones del Grupo de Trabajo, destacando la labor realizada en aras de la coordinación.</w:t>
      </w:r>
    </w:p>
    <w:p w14:paraId="082CE8C2" w14:textId="77777777" w:rsidR="00A04DF2" w:rsidRPr="001819F4" w:rsidRDefault="00A04DF2" w:rsidP="00A04DF2">
      <w:pPr>
        <w:rPr>
          <w:rFonts w:cstheme="minorBidi"/>
          <w:lang w:val="es-ES_tradnl"/>
        </w:rPr>
      </w:pPr>
      <w:r>
        <w:rPr>
          <w:lang w:val="es-ES_tradnl"/>
        </w:rPr>
        <w:t>4</w:t>
      </w:r>
      <w:r>
        <w:rPr>
          <w:lang w:val="es-ES_tradnl"/>
        </w:rPr>
        <w:tab/>
      </w:r>
      <w:r w:rsidRPr="001819F4">
        <w:rPr>
          <w:lang w:val="es-ES_tradnl"/>
        </w:rPr>
        <w:t>La sexta reunión del GT-GADT-RR, celebrada el 2 de mayo de 2025, fue la última reunión de este Grupo de Trabajo. En nombre del Director de la BDT, se agradeció a la Presidenta, a los Vicepresidentes y a todos los participantes la ardua labor, el compromiso y las contribuciones a la racionalización de las resoluciones durante más de un año a través del GT-GADT-RR.</w:t>
      </w:r>
    </w:p>
    <w:p w14:paraId="3DEA1E23" w14:textId="77777777" w:rsidR="00A04DF2" w:rsidRDefault="00A04DF2" w:rsidP="00A04DF2">
      <w:pPr>
        <w:tabs>
          <w:tab w:val="clear" w:pos="794"/>
          <w:tab w:val="clear" w:pos="1191"/>
          <w:tab w:val="clear" w:pos="1588"/>
          <w:tab w:val="clear" w:pos="1985"/>
        </w:tabs>
        <w:overflowPunct/>
        <w:autoSpaceDE/>
        <w:autoSpaceDN/>
        <w:adjustRightInd/>
        <w:spacing w:before="0"/>
        <w:textAlignment w:val="auto"/>
        <w:rPr>
          <w:lang w:val="es-ES_tradnl"/>
        </w:rPr>
      </w:pPr>
      <w:r>
        <w:rPr>
          <w:lang w:val="es-ES_tradnl"/>
        </w:rPr>
        <w:br w:type="page"/>
      </w:r>
    </w:p>
    <w:p w14:paraId="5992FF60" w14:textId="1D752A39" w:rsidR="00A04DF2" w:rsidRPr="001819F4" w:rsidRDefault="00A04DF2" w:rsidP="00A04DF2">
      <w:pPr>
        <w:rPr>
          <w:rFonts w:cstheme="minorBidi"/>
          <w:lang w:val="es-ES_tradnl"/>
        </w:rPr>
      </w:pPr>
      <w:r>
        <w:rPr>
          <w:lang w:val="es-ES_tradnl"/>
        </w:rPr>
        <w:lastRenderedPageBreak/>
        <w:t>5</w:t>
      </w:r>
      <w:r>
        <w:rPr>
          <w:lang w:val="es-ES_tradnl"/>
        </w:rPr>
        <w:tab/>
      </w:r>
      <w:r w:rsidRPr="001819F4">
        <w:rPr>
          <w:lang w:val="es-ES_tradnl"/>
        </w:rPr>
        <w:t>Podrían presentarse nuevas contribuciones en las próximas reuniones interregionales (RIR) virtuales que se celebrarían en julio y septiembre de 2025.</w:t>
      </w:r>
    </w:p>
    <w:p w14:paraId="775BFDD5" w14:textId="2716F6D1" w:rsidR="00A04DF2" w:rsidRPr="001819F4" w:rsidRDefault="00A04DF2" w:rsidP="00A04DF2">
      <w:pPr>
        <w:rPr>
          <w:lang w:val="es-ES_tradnl"/>
        </w:rPr>
      </w:pPr>
      <w:r w:rsidRPr="001819F4">
        <w:rPr>
          <w:lang w:val="es-ES_tradnl"/>
        </w:rPr>
        <w:t xml:space="preserve">Para consultar el Anexo 1 al presente informe, puede utilizarse este </w:t>
      </w:r>
      <w:hyperlink r:id="rId455" w:history="1">
        <w:r w:rsidRPr="001819F4">
          <w:rPr>
            <w:rStyle w:val="Hyperlink"/>
            <w:lang w:val="es-ES_tradnl"/>
          </w:rPr>
          <w:t>enlace</w:t>
        </w:r>
      </w:hyperlink>
      <w:r w:rsidRPr="001819F4">
        <w:rPr>
          <w:lang w:val="es-ES_tradnl"/>
        </w:rPr>
        <w:t>.</w:t>
      </w:r>
      <w:hyperlink r:id="rId456"/>
    </w:p>
    <w:p w14:paraId="1F25CD2A" w14:textId="77777777" w:rsidR="00A04DF2" w:rsidRPr="00195F89" w:rsidRDefault="00A04DF2" w:rsidP="00A04DF2">
      <w:pPr>
        <w:rPr>
          <w:b/>
          <w:bCs/>
          <w:lang w:val="es-ES"/>
        </w:rPr>
      </w:pPr>
      <w:r w:rsidRPr="001819F4">
        <w:rPr>
          <w:lang w:val="es-ES_tradnl"/>
        </w:rPr>
        <w:t xml:space="preserve">Para consultar el Anexo 2 al presente informe, puede utilizarse este </w:t>
      </w:r>
      <w:hyperlink r:id="rId457" w:history="1">
        <w:r w:rsidRPr="001819F4">
          <w:rPr>
            <w:rStyle w:val="Hyperlink"/>
            <w:lang w:val="es-ES_tradnl"/>
          </w:rPr>
          <w:t>enlace</w:t>
        </w:r>
      </w:hyperlink>
      <w:r w:rsidRPr="001819F4">
        <w:rPr>
          <w:lang w:val="es-ES_tradnl"/>
        </w:rPr>
        <w:t>.</w:t>
      </w:r>
    </w:p>
    <w:p w14:paraId="083C969C" w14:textId="77777777" w:rsidR="00A04DF2" w:rsidRPr="00D8041C" w:rsidRDefault="00A04DF2" w:rsidP="00A04DF2">
      <w:pPr>
        <w:tabs>
          <w:tab w:val="clear" w:pos="794"/>
          <w:tab w:val="clear" w:pos="1191"/>
          <w:tab w:val="clear" w:pos="1588"/>
          <w:tab w:val="clear" w:pos="1985"/>
        </w:tabs>
        <w:spacing w:after="120"/>
        <w:jc w:val="center"/>
        <w:rPr>
          <w:lang w:val="es-ES_tradnl"/>
        </w:rPr>
      </w:pPr>
      <w:bookmarkStart w:id="39" w:name="Proposal"/>
      <w:bookmarkEnd w:id="39"/>
      <w:r w:rsidRPr="00D8041C">
        <w:rPr>
          <w:lang w:val="es-ES_tradnl"/>
        </w:rPr>
        <w:t>_______________</w:t>
      </w:r>
    </w:p>
    <w:sectPr w:rsidR="00A04DF2" w:rsidRPr="00D8041C" w:rsidSect="00473791">
      <w:headerReference w:type="default" r:id="rId458"/>
      <w:footerReference w:type="first" r:id="rId45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D2D9" w14:textId="77777777" w:rsidR="00B20F46" w:rsidRDefault="00B20F46">
      <w:r>
        <w:separator/>
      </w:r>
    </w:p>
  </w:endnote>
  <w:endnote w:type="continuationSeparator" w:id="0">
    <w:p w14:paraId="613BC48E" w14:textId="77777777" w:rsidR="00B20F46" w:rsidRDefault="00B2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9C2903" w14:paraId="656716D9" w14:textId="77777777" w:rsidTr="005539C3">
      <w:tc>
        <w:tcPr>
          <w:tcW w:w="993" w:type="dxa"/>
          <w:tcBorders>
            <w:top w:val="single" w:sz="4" w:space="0" w:color="000000" w:themeColor="text1"/>
          </w:tcBorders>
        </w:tcPr>
        <w:p w14:paraId="0F4C4A5A" w14:textId="77777777" w:rsidR="004B6F0B" w:rsidRPr="00AA7892" w:rsidRDefault="004B6F0B" w:rsidP="004B6F0B">
          <w:pPr>
            <w:pStyle w:val="FirstFooter"/>
            <w:tabs>
              <w:tab w:val="left" w:pos="1559"/>
              <w:tab w:val="left" w:pos="3828"/>
            </w:tabs>
            <w:rPr>
              <w:sz w:val="18"/>
              <w:szCs w:val="18"/>
            </w:rPr>
          </w:pPr>
          <w:r w:rsidRPr="00AA7892">
            <w:rPr>
              <w:sz w:val="18"/>
              <w:szCs w:val="18"/>
            </w:rPr>
            <w:t>Contacto:</w:t>
          </w:r>
        </w:p>
      </w:tc>
      <w:tc>
        <w:tcPr>
          <w:tcW w:w="2693" w:type="dxa"/>
          <w:tcBorders>
            <w:top w:val="single" w:sz="4" w:space="0" w:color="000000" w:themeColor="text1"/>
          </w:tcBorders>
        </w:tcPr>
        <w:p w14:paraId="7CCD04E8"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Nombre/Organización/Entidad:</w:t>
          </w:r>
        </w:p>
      </w:tc>
      <w:tc>
        <w:tcPr>
          <w:tcW w:w="5919" w:type="dxa"/>
          <w:tcBorders>
            <w:top w:val="single" w:sz="4" w:space="0" w:color="000000" w:themeColor="text1"/>
          </w:tcBorders>
        </w:tcPr>
        <w:p w14:paraId="60422A8C" w14:textId="1441E707" w:rsidR="004B6F0B" w:rsidRPr="009C2903" w:rsidRDefault="005905B6" w:rsidP="004B6F0B">
          <w:pPr>
            <w:pStyle w:val="FirstFooter"/>
            <w:rPr>
              <w:sz w:val="18"/>
              <w:szCs w:val="18"/>
              <w:highlight w:val="yellow"/>
            </w:rPr>
          </w:pPr>
          <w:r w:rsidRPr="005905B6">
            <w:rPr>
              <w:sz w:val="18"/>
              <w:szCs w:val="18"/>
              <w:lang w:val="en-US"/>
            </w:rPr>
            <w:t>Sra. Roxanne McElvane Webber, Presidenta del GADT</w:t>
          </w:r>
        </w:p>
      </w:tc>
    </w:tr>
    <w:tr w:rsidR="004B6F0B" w:rsidRPr="00CB110F" w14:paraId="68C18A92" w14:textId="77777777" w:rsidTr="005539C3">
      <w:tc>
        <w:tcPr>
          <w:tcW w:w="993" w:type="dxa"/>
        </w:tcPr>
        <w:p w14:paraId="3EE46271" w14:textId="77777777" w:rsidR="004B6F0B" w:rsidRPr="00AA7892" w:rsidRDefault="004B6F0B" w:rsidP="004B6F0B">
          <w:pPr>
            <w:pStyle w:val="FirstFooter"/>
            <w:tabs>
              <w:tab w:val="left" w:pos="1559"/>
              <w:tab w:val="left" w:pos="3828"/>
            </w:tabs>
            <w:rPr>
              <w:sz w:val="18"/>
              <w:szCs w:val="18"/>
            </w:rPr>
          </w:pPr>
        </w:p>
      </w:tc>
      <w:tc>
        <w:tcPr>
          <w:tcW w:w="2693" w:type="dxa"/>
        </w:tcPr>
        <w:p w14:paraId="5AA15A32" w14:textId="77777777" w:rsidR="004B6F0B" w:rsidRPr="00AA7892" w:rsidRDefault="004B6F0B" w:rsidP="004B6F0B">
          <w:pPr>
            <w:pStyle w:val="FirstFooter"/>
            <w:tabs>
              <w:tab w:val="left" w:pos="2302"/>
            </w:tabs>
            <w:rPr>
              <w:sz w:val="18"/>
              <w:szCs w:val="18"/>
            </w:rPr>
          </w:pPr>
          <w:r w:rsidRPr="00AA7892">
            <w:rPr>
              <w:sz w:val="18"/>
              <w:szCs w:val="18"/>
            </w:rPr>
            <w:t>Teléfono:</w:t>
          </w:r>
        </w:p>
      </w:tc>
      <w:tc>
        <w:tcPr>
          <w:tcW w:w="5919" w:type="dxa"/>
        </w:tcPr>
        <w:p w14:paraId="7B0E2580" w14:textId="60705D40" w:rsidR="004B6F0B" w:rsidRPr="009359B8" w:rsidRDefault="005905B6" w:rsidP="004B6F0B">
          <w:pPr>
            <w:pStyle w:val="FirstFooter"/>
            <w:tabs>
              <w:tab w:val="left" w:pos="2302"/>
            </w:tabs>
            <w:rPr>
              <w:sz w:val="18"/>
              <w:szCs w:val="18"/>
              <w:highlight w:val="yellow"/>
              <w:lang w:val="en-US"/>
            </w:rPr>
          </w:pPr>
          <w:r w:rsidRPr="005905B6">
            <w:rPr>
              <w:sz w:val="18"/>
              <w:szCs w:val="18"/>
              <w:lang w:val="en-US"/>
            </w:rPr>
            <w:t>+1 202 418 1489</w:t>
          </w:r>
        </w:p>
      </w:tc>
    </w:tr>
    <w:tr w:rsidR="004B6F0B" w:rsidRPr="00CB110F" w14:paraId="74482ECB" w14:textId="77777777" w:rsidTr="005539C3">
      <w:tc>
        <w:tcPr>
          <w:tcW w:w="993" w:type="dxa"/>
        </w:tcPr>
        <w:p w14:paraId="63EDF29B" w14:textId="77777777" w:rsidR="004B6F0B" w:rsidRPr="00AA7892" w:rsidRDefault="004B6F0B" w:rsidP="004B6F0B">
          <w:pPr>
            <w:pStyle w:val="FirstFooter"/>
            <w:tabs>
              <w:tab w:val="left" w:pos="1559"/>
              <w:tab w:val="left" w:pos="3828"/>
            </w:tabs>
            <w:rPr>
              <w:sz w:val="18"/>
              <w:szCs w:val="18"/>
            </w:rPr>
          </w:pPr>
        </w:p>
      </w:tc>
      <w:tc>
        <w:tcPr>
          <w:tcW w:w="2693" w:type="dxa"/>
        </w:tcPr>
        <w:p w14:paraId="3A810FE8" w14:textId="77777777" w:rsidR="004B6F0B" w:rsidRPr="00AA7892" w:rsidRDefault="004B6F0B" w:rsidP="004B6F0B">
          <w:pPr>
            <w:pStyle w:val="FirstFooter"/>
            <w:tabs>
              <w:tab w:val="left" w:pos="2302"/>
            </w:tabs>
            <w:rPr>
              <w:sz w:val="18"/>
              <w:szCs w:val="18"/>
            </w:rPr>
          </w:pPr>
          <w:r w:rsidRPr="00AA7892">
            <w:rPr>
              <w:sz w:val="18"/>
              <w:szCs w:val="18"/>
            </w:rPr>
            <w:t>Correo-e:</w:t>
          </w:r>
        </w:p>
      </w:tc>
      <w:tc>
        <w:tcPr>
          <w:tcW w:w="5919" w:type="dxa"/>
        </w:tcPr>
        <w:p w14:paraId="044C0AD5" w14:textId="693D697B" w:rsidR="004B6F0B" w:rsidRPr="00B80715" w:rsidRDefault="005905B6" w:rsidP="004B6F0B">
          <w:pPr>
            <w:pStyle w:val="FirstFooter"/>
            <w:tabs>
              <w:tab w:val="left" w:pos="2302"/>
            </w:tabs>
            <w:rPr>
              <w:sz w:val="18"/>
              <w:szCs w:val="18"/>
              <w:lang w:val="en-US"/>
            </w:rPr>
          </w:pPr>
          <w:hyperlink r:id="rId1" w:history="1">
            <w:r w:rsidRPr="009D28E6">
              <w:rPr>
                <w:rStyle w:val="Hyperlink"/>
                <w:sz w:val="18"/>
                <w:szCs w:val="18"/>
                <w:lang w:val="en-US"/>
              </w:rPr>
              <w:t>Roxanne.Webber@fcc.gov</w:t>
            </w:r>
          </w:hyperlink>
          <w:r>
            <w:rPr>
              <w:sz w:val="18"/>
              <w:szCs w:val="18"/>
              <w:lang w:val="en-US"/>
            </w:rPr>
            <w:t xml:space="preserve"> </w:t>
          </w:r>
        </w:p>
      </w:tc>
    </w:tr>
  </w:tbl>
  <w:p w14:paraId="1C0FBBF5"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670C" w14:textId="77777777" w:rsidR="00B20F46" w:rsidRDefault="00B20F46">
      <w:r>
        <w:t>____________________</w:t>
      </w:r>
    </w:p>
  </w:footnote>
  <w:footnote w:type="continuationSeparator" w:id="0">
    <w:p w14:paraId="3AC7861E" w14:textId="77777777" w:rsidR="00B20F46" w:rsidRDefault="00B20F46">
      <w:r>
        <w:continuationSeparator/>
      </w:r>
    </w:p>
  </w:footnote>
  <w:footnote w:id="1">
    <w:p w14:paraId="373912CC" w14:textId="7CCA3D35" w:rsidR="005905B6" w:rsidRPr="00486283" w:rsidRDefault="005905B6" w:rsidP="00213B1C">
      <w:pPr>
        <w:pStyle w:val="FootnoteText"/>
        <w:tabs>
          <w:tab w:val="clear" w:pos="255"/>
          <w:tab w:val="clear" w:pos="794"/>
          <w:tab w:val="left" w:pos="284"/>
        </w:tabs>
        <w:spacing w:before="0"/>
        <w:ind w:left="90" w:hanging="90"/>
        <w:rPr>
          <w:rFonts w:cstheme="minorHAnsi"/>
          <w:sz w:val="20"/>
          <w:lang w:val="es-ES"/>
        </w:rPr>
      </w:pPr>
      <w:r w:rsidRPr="008F4B6B">
        <w:rPr>
          <w:rStyle w:val="FootnoteReference"/>
          <w:rFonts w:cstheme="minorHAnsi"/>
          <w:sz w:val="20"/>
          <w:lang w:val="es-ES"/>
        </w:rPr>
        <w:footnoteRef/>
      </w:r>
      <w:r w:rsidR="00213B1C">
        <w:rPr>
          <w:lang w:val="es-ES"/>
        </w:rPr>
        <w:tab/>
      </w:r>
      <w:r>
        <w:rPr>
          <w:lang w:val="es-ES"/>
        </w:rPr>
        <w:t>Christopher Kipkoech Kemei representó admirablemente a África durante este ciclo de 2022 a 2024, antes de jubilarse a finales de 2024, y presidió también el Grupo de Trabajo del GADT sobre las Prioridades del UIT-D de 2023 a 2024.</w:t>
      </w:r>
    </w:p>
  </w:footnote>
  <w:footnote w:id="2">
    <w:p w14:paraId="2392F2CE" w14:textId="5A0AEF8F" w:rsidR="005905B6" w:rsidRPr="00486283" w:rsidRDefault="005905B6" w:rsidP="00213B1C">
      <w:pPr>
        <w:pStyle w:val="FootnoteText"/>
        <w:tabs>
          <w:tab w:val="clear" w:pos="255"/>
          <w:tab w:val="clear" w:pos="794"/>
          <w:tab w:val="left" w:pos="284"/>
        </w:tabs>
        <w:spacing w:before="0"/>
        <w:ind w:left="90" w:hanging="90"/>
        <w:rPr>
          <w:rFonts w:cstheme="minorHAnsi"/>
          <w:sz w:val="20"/>
          <w:lang w:val="es-ES"/>
        </w:rPr>
      </w:pPr>
      <w:r w:rsidRPr="008F4B6B">
        <w:rPr>
          <w:rStyle w:val="FootnoteReference"/>
          <w:rFonts w:cstheme="minorHAnsi"/>
          <w:sz w:val="20"/>
          <w:lang w:val="es-ES"/>
        </w:rPr>
        <w:footnoteRef/>
      </w:r>
      <w:r w:rsidR="00213B1C">
        <w:rPr>
          <w:lang w:val="es-ES"/>
        </w:rPr>
        <w:tab/>
      </w:r>
      <w:r>
        <w:rPr>
          <w:lang w:val="es-ES"/>
        </w:rPr>
        <w:t>Por otra parte, y en relación con la representación de Europa, la Sra. Blanca González, como representante del GADT ante el GCIS para la Transformación Digital y como Vicepresidenta tanto del Grupo de Trabajo del GADT sobre las Prioridades del UIT-D y como del Grupo de Trabajo del GADT sobre la Racionalización de las Resoluciones, no pudo asistir a esta reunión.</w:t>
      </w:r>
    </w:p>
  </w:footnote>
  <w:footnote w:id="3">
    <w:p w14:paraId="57798261" w14:textId="236B0678" w:rsidR="005905B6" w:rsidRPr="00486283" w:rsidRDefault="005905B6" w:rsidP="005905B6">
      <w:pPr>
        <w:pStyle w:val="FootnoteText"/>
        <w:tabs>
          <w:tab w:val="clear" w:pos="255"/>
        </w:tabs>
        <w:spacing w:before="0"/>
        <w:rPr>
          <w:rFonts w:cstheme="minorHAnsi"/>
          <w:sz w:val="20"/>
          <w:lang w:val="es-ES"/>
        </w:rPr>
      </w:pPr>
      <w:r w:rsidRPr="008F4B6B">
        <w:rPr>
          <w:rStyle w:val="FootnoteReference"/>
          <w:rFonts w:cstheme="minorHAnsi"/>
          <w:sz w:val="20"/>
          <w:lang w:val="es-ES"/>
        </w:rPr>
        <w:footnoteRef/>
      </w:r>
      <w:r w:rsidR="00213B1C">
        <w:rPr>
          <w:lang w:val="es-ES"/>
        </w:rPr>
        <w:tab/>
      </w:r>
      <w:r>
        <w:rPr>
          <w:lang w:val="es-ES"/>
        </w:rPr>
        <w:t>No hubo Vicepresidentes presentes en representación de la Comunidad de Estados Independientes.</w:t>
      </w:r>
    </w:p>
  </w:footnote>
  <w:footnote w:id="4">
    <w:p w14:paraId="6B8BB042" w14:textId="73C33756" w:rsidR="005905B6" w:rsidRPr="00486283" w:rsidRDefault="005905B6" w:rsidP="00213B1C">
      <w:pPr>
        <w:pStyle w:val="FootnoteText"/>
        <w:tabs>
          <w:tab w:val="clear" w:pos="255"/>
          <w:tab w:val="clear" w:pos="794"/>
          <w:tab w:val="left" w:pos="284"/>
        </w:tabs>
        <w:spacing w:before="0"/>
        <w:ind w:left="90" w:hanging="90"/>
        <w:rPr>
          <w:rFonts w:cstheme="minorHAnsi"/>
          <w:sz w:val="20"/>
          <w:lang w:val="es-ES"/>
        </w:rPr>
      </w:pPr>
      <w:r w:rsidRPr="008F4B6B">
        <w:rPr>
          <w:rStyle w:val="FootnoteReference"/>
          <w:rFonts w:cstheme="minorHAnsi"/>
          <w:sz w:val="20"/>
          <w:lang w:val="es-ES"/>
        </w:rPr>
        <w:footnoteRef/>
      </w:r>
      <w:r w:rsidR="00213B1C">
        <w:rPr>
          <w:lang w:val="es-ES"/>
        </w:rPr>
        <w:tab/>
      </w:r>
      <w:r>
        <w:rPr>
          <w:lang w:val="es-ES"/>
        </w:rPr>
        <w:t>Los productos reflejan las aportaciones de los miembros en el sentido de que se han elaborado durante el último o últimos dos años, tiempo durante el cual cada Grupo de Trabajo ha celebrado entre cuatro y siete reuniones. De acuerdo con la práctica habitual, la BDT transmitirá estos productos a las reuniones interregionales para ayudar a que se siga avanzando en las negociaciones.</w:t>
      </w:r>
    </w:p>
  </w:footnote>
  <w:footnote w:id="5">
    <w:p w14:paraId="68F5B8D4" w14:textId="77777777" w:rsidR="005905B6" w:rsidRPr="00486283" w:rsidRDefault="005905B6" w:rsidP="005905B6">
      <w:pPr>
        <w:pStyle w:val="FootnoteText"/>
        <w:spacing w:before="0"/>
        <w:rPr>
          <w:rFonts w:cstheme="minorHAnsi"/>
          <w:sz w:val="20"/>
          <w:lang w:val="es-ES"/>
        </w:rPr>
      </w:pPr>
      <w:r w:rsidRPr="008F4B6B">
        <w:rPr>
          <w:rStyle w:val="FootnoteReference"/>
          <w:rFonts w:cstheme="minorHAnsi"/>
          <w:sz w:val="20"/>
          <w:lang w:val="es-ES"/>
        </w:rPr>
        <w:footnoteRef/>
      </w:r>
      <w:r>
        <w:rPr>
          <w:lang w:val="es-ES"/>
        </w:rPr>
        <w:t xml:space="preserve">Véase </w:t>
      </w:r>
      <w:hyperlink r:id="rId1" w:history="1">
        <w:r w:rsidRPr="001A3576">
          <w:rPr>
            <w:rStyle w:val="Hyperlink"/>
            <w:lang w:val="es-ES"/>
          </w:rPr>
          <w:t>https://www.itu.int/itu-d/meetings/global-youth-summit-25/</w:t>
        </w:r>
      </w:hyperlink>
      <w:r>
        <w:rPr>
          <w:lang w:val="es-ES"/>
        </w:rPr>
        <w:t xml:space="preserve">; y </w:t>
      </w:r>
      <w:hyperlink r:id="rId2" w:history="1"/>
    </w:p>
    <w:p w14:paraId="35C089BD" w14:textId="77777777" w:rsidR="005905B6" w:rsidRPr="00486283" w:rsidRDefault="005905B6" w:rsidP="005905B6">
      <w:pPr>
        <w:pStyle w:val="FootnoteText"/>
        <w:spacing w:before="0"/>
        <w:rPr>
          <w:rFonts w:cstheme="minorHAnsi"/>
          <w:sz w:val="20"/>
          <w:lang w:val="es-ES"/>
        </w:rPr>
      </w:pPr>
      <w:hyperlink r:id="rId3" w:history="1">
        <w:r w:rsidRPr="00770301">
          <w:rPr>
            <w:rStyle w:val="Hyperlink"/>
            <w:lang w:val="es-ES"/>
          </w:rPr>
          <w:t>https://www.youtube.com/watch?v=QvCYhjH9gKs.</w:t>
        </w:r>
      </w:hyperlink>
    </w:p>
  </w:footnote>
  <w:footnote w:id="6">
    <w:p w14:paraId="0BAB85D1" w14:textId="77777777" w:rsidR="00A04DF2" w:rsidRPr="00A0698C" w:rsidRDefault="00A04DF2" w:rsidP="00A04DF2">
      <w:pPr>
        <w:pStyle w:val="FootnoteText"/>
        <w:spacing w:before="0"/>
        <w:rPr>
          <w:rFonts w:cstheme="minorHAnsi"/>
          <w:sz w:val="20"/>
          <w:lang w:val="es-ES"/>
        </w:rPr>
      </w:pPr>
      <w:r w:rsidRPr="008F4B6B">
        <w:rPr>
          <w:rStyle w:val="FootnoteReference"/>
          <w:rFonts w:cstheme="minorHAnsi"/>
          <w:sz w:val="20"/>
          <w:lang w:val="es-ES"/>
        </w:rPr>
        <w:footnoteRef/>
      </w:r>
      <w:r>
        <w:rPr>
          <w:lang w:val="es-ES"/>
        </w:rPr>
        <w:tab/>
        <w:t xml:space="preserve">Puede consultarse el texto completo del Informe y todos los anexos en este </w:t>
      </w:r>
      <w:hyperlink r:id="rId4" w:history="1">
        <w:r w:rsidRPr="00ED7037">
          <w:rPr>
            <w:rStyle w:val="Hyperlink"/>
            <w:lang w:val="es-ES"/>
          </w:rPr>
          <w:t>enlace</w:t>
        </w:r>
      </w:hyperlink>
      <w:r>
        <w:rPr>
          <w:lang w:val="es-ES"/>
        </w:rPr>
        <w:t>.</w:t>
      </w:r>
      <w:hyperlink r:id="rId5" w:history="1"/>
    </w:p>
  </w:footnote>
  <w:footnote w:id="7">
    <w:p w14:paraId="4E394F35" w14:textId="77777777" w:rsidR="00A04DF2" w:rsidRPr="00A0698C" w:rsidRDefault="00A04DF2" w:rsidP="00A04DF2">
      <w:pPr>
        <w:pStyle w:val="FootnoteText"/>
        <w:spacing w:before="0"/>
        <w:rPr>
          <w:rFonts w:cstheme="minorHAnsi"/>
          <w:sz w:val="20"/>
          <w:lang w:val="es-ES"/>
        </w:rPr>
      </w:pPr>
      <w:r w:rsidRPr="008F4B6B">
        <w:rPr>
          <w:rStyle w:val="FootnoteReference"/>
          <w:rFonts w:eastAsiaTheme="majorEastAsia" w:cstheme="minorHAnsi"/>
          <w:sz w:val="20"/>
          <w:lang w:val="es-ES"/>
        </w:rPr>
        <w:footnoteRef/>
      </w:r>
      <w:r>
        <w:rPr>
          <w:lang w:val="es-ES"/>
        </w:rPr>
        <w:tab/>
        <w:t>Este término comprende los países menos adelantados, los pequeños Estados insulares en desarrollo, los países en desarrollo sin litoral y, los países con economías en transición.</w:t>
      </w:r>
    </w:p>
  </w:footnote>
  <w:footnote w:id="8">
    <w:p w14:paraId="07A08B82" w14:textId="77777777" w:rsidR="00A04DF2" w:rsidRPr="00A0698C" w:rsidRDefault="00A04DF2" w:rsidP="00A04DF2">
      <w:pPr>
        <w:pStyle w:val="FootnoteText"/>
        <w:spacing w:before="0"/>
        <w:rPr>
          <w:rFonts w:cstheme="minorHAnsi"/>
          <w:sz w:val="20"/>
          <w:lang w:val="es-ES"/>
        </w:rPr>
      </w:pPr>
      <w:r w:rsidRPr="008F4B6B">
        <w:rPr>
          <w:rStyle w:val="FootnoteReference"/>
          <w:rFonts w:cstheme="minorHAnsi"/>
          <w:sz w:val="20"/>
          <w:lang w:val="es-ES"/>
        </w:rPr>
        <w:footnoteRef/>
      </w:r>
      <w:r>
        <w:rPr>
          <w:lang w:val="es-ES"/>
        </w:rPr>
        <w:tab/>
        <w:t xml:space="preserve">Se entiende por </w:t>
      </w:r>
      <w:hyperlink r:id="rId6" w:history="1">
        <w:r w:rsidRPr="00EA711F">
          <w:rPr>
            <w:rStyle w:val="Hyperlink"/>
            <w:lang w:val="es-ES"/>
          </w:rPr>
          <w:t>conectividad efectiva</w:t>
        </w:r>
      </w:hyperlink>
      <w:r>
        <w:rPr>
          <w:lang w:val="es-ES"/>
        </w:rPr>
        <w:t xml:space="preserve"> la que permite al usuario disfrutar de una experiencia en línea segura, satisfactoria, enriquecedora y productiva a un coste asequible.</w:t>
      </w:r>
      <w:hyperlink r:id="rId7" w:history="1"/>
    </w:p>
  </w:footnote>
  <w:footnote w:id="9">
    <w:p w14:paraId="3514B93E" w14:textId="77777777" w:rsidR="00A04DF2" w:rsidRPr="00A0698C" w:rsidRDefault="00A04DF2" w:rsidP="00A04DF2">
      <w:pPr>
        <w:pStyle w:val="FootnoteText"/>
        <w:spacing w:before="0"/>
        <w:rPr>
          <w:rFonts w:cstheme="minorHAnsi"/>
          <w:sz w:val="20"/>
          <w:lang w:val="es-ES"/>
        </w:rPr>
      </w:pPr>
      <w:r w:rsidRPr="008F4B6B">
        <w:rPr>
          <w:rStyle w:val="FootnoteReference"/>
          <w:rFonts w:cstheme="minorHAnsi"/>
          <w:sz w:val="20"/>
          <w:lang w:val="es-ES"/>
        </w:rPr>
        <w:footnoteRef/>
      </w:r>
      <w:r>
        <w:rPr>
          <w:lang w:val="es-ES"/>
        </w:rPr>
        <w:tab/>
      </w:r>
      <w:hyperlink r:id="rId8" w:history="1">
        <w:r w:rsidRPr="000558FD">
          <w:rPr>
            <w:rStyle w:val="Hyperlink"/>
            <w:lang w:val="es-ES"/>
          </w:rPr>
          <w:t>https://www.itu.int/dms_pub/itu-d/opb/tdc/D-TDC-WTDC-2022-PDF-E.pdf</w:t>
        </w:r>
      </w:hyperlink>
      <w:r>
        <w:rPr>
          <w:lang w:val="es-ES"/>
        </w:rPr>
        <w:t xml:space="preserve"> </w:t>
      </w:r>
      <w:hyperlink r:id="rId9" w:history="1"/>
    </w:p>
  </w:footnote>
  <w:footnote w:id="10">
    <w:p w14:paraId="77135025" w14:textId="77777777" w:rsidR="00A04DF2" w:rsidRPr="00366E73" w:rsidRDefault="00A04DF2" w:rsidP="00A04DF2">
      <w:pPr>
        <w:pStyle w:val="BodyText"/>
        <w:ind w:left="284" w:hanging="284"/>
        <w:rPr>
          <w:rFonts w:asciiTheme="minorHAnsi" w:eastAsia="Times New Roman" w:hAnsiTheme="minorHAnsi" w:cstheme="minorHAnsi"/>
          <w:sz w:val="24"/>
          <w:szCs w:val="20"/>
          <w:lang w:val="es-ES"/>
        </w:rPr>
      </w:pPr>
      <w:r w:rsidRPr="008F4B6B">
        <w:rPr>
          <w:rStyle w:val="FootnoteReference"/>
          <w:rFonts w:cstheme="minorHAnsi"/>
          <w:color w:val="000000" w:themeColor="text1"/>
          <w:sz w:val="20"/>
          <w:szCs w:val="20"/>
          <w:lang w:val="es-ES"/>
        </w:rPr>
        <w:footnoteRef/>
      </w:r>
      <w:r w:rsidRPr="00366E73">
        <w:rPr>
          <w:rFonts w:asciiTheme="minorHAnsi" w:eastAsia="Times New Roman" w:hAnsiTheme="minorHAnsi" w:cstheme="minorHAnsi"/>
          <w:sz w:val="24"/>
          <w:szCs w:val="20"/>
          <w:lang w:val="es-ES"/>
        </w:rPr>
        <w:tab/>
        <w:t>Este término comprende los países menos adelantados, los pequeños Estados insulares en desarrollo, los países en desarrollo sin litoral y, los países con economías en transición.</w:t>
      </w:r>
    </w:p>
  </w:footnote>
  <w:footnote w:id="11">
    <w:p w14:paraId="3AF6865D" w14:textId="77777777" w:rsidR="00A04DF2" w:rsidRPr="00BD067A" w:rsidRDefault="00A04DF2" w:rsidP="00A04DF2">
      <w:pPr>
        <w:pStyle w:val="FootnoteReference10pt"/>
        <w:ind w:left="284" w:hanging="284"/>
        <w:rPr>
          <w:rFonts w:asciiTheme="minorHAnsi" w:hAnsiTheme="minorHAnsi"/>
          <w:sz w:val="24"/>
          <w:szCs w:val="24"/>
        </w:rPr>
      </w:pPr>
      <w:r w:rsidRPr="008F4B6B">
        <w:rPr>
          <w:rStyle w:val="FootnoteReference"/>
          <w:sz w:val="20"/>
        </w:rPr>
        <w:footnoteRef/>
      </w:r>
      <w:r w:rsidRPr="00BD067A">
        <w:rPr>
          <w:rFonts w:asciiTheme="minorHAnsi" w:hAnsiTheme="minorHAnsi"/>
          <w:sz w:val="24"/>
          <w:szCs w:val="24"/>
        </w:rPr>
        <w:tab/>
        <w:t>Este término comprende los países menos adelantados, los pequeños Estados insulares en desarrollo, los países en desarrollo sin litoral y, los países con economías en transición.</w:t>
      </w:r>
    </w:p>
  </w:footnote>
  <w:footnote w:id="12">
    <w:p w14:paraId="1E8D7F6B" w14:textId="77777777" w:rsidR="00A04DF2" w:rsidRPr="00A0698C" w:rsidRDefault="00A04DF2" w:rsidP="00A04DF2">
      <w:pPr>
        <w:pStyle w:val="FootnoteText"/>
        <w:spacing w:before="0"/>
        <w:rPr>
          <w:rFonts w:eastAsia="Malgun Gothic" w:cstheme="minorHAnsi"/>
          <w:sz w:val="20"/>
          <w:lang w:val="es-ES"/>
        </w:rPr>
      </w:pPr>
      <w:r w:rsidRPr="008F4B6B">
        <w:rPr>
          <w:rStyle w:val="FootnoteReference"/>
          <w:rFonts w:cstheme="minorHAnsi"/>
          <w:sz w:val="20"/>
          <w:lang w:val="es-ES"/>
        </w:rPr>
        <w:footnoteRef/>
      </w:r>
      <w:r>
        <w:rPr>
          <w:lang w:val="es-ES"/>
        </w:rPr>
        <w:tab/>
        <w:t>Este término comprende los países menos adelantados, los pequeños Estados insulares en desarrollo, los países en desarrollo sin litoral y, los países con economías en transición.</w:t>
      </w:r>
    </w:p>
  </w:footnote>
  <w:footnote w:id="13">
    <w:p w14:paraId="355DF959" w14:textId="77777777" w:rsidR="00A04DF2" w:rsidRPr="00A0698C" w:rsidRDefault="00A04DF2" w:rsidP="00A04DF2">
      <w:pPr>
        <w:pStyle w:val="FootnoteText"/>
        <w:spacing w:before="0"/>
        <w:rPr>
          <w:u w:val="single"/>
          <w:lang w:val="en-US"/>
        </w:rPr>
      </w:pPr>
      <w:r w:rsidRPr="008F4B6B">
        <w:rPr>
          <w:rStyle w:val="FootnoteReference"/>
          <w:rFonts w:cstheme="minorHAnsi"/>
          <w:sz w:val="20"/>
          <w:lang w:val="es-ES"/>
        </w:rPr>
        <w:footnoteRef/>
      </w:r>
      <w:r>
        <w:rPr>
          <w:lang w:val="en-US"/>
        </w:rPr>
        <w:tab/>
      </w:r>
      <w:hyperlink r:id="rId10" w:anchor=":~:text=In%20just%2010%20years%2C%20the%20number,200%20million%20people%20over%20the%20decade.&amp;text=In%20just%2010%20years%2C,people%20over%20the%20decade.&amp;text=10%20years%2C%20the%20number,200%20million%20people%20over" w:history="1">
        <w:r w:rsidRPr="00A0698C">
          <w:rPr>
            <w:rStyle w:val="Hyperlink"/>
            <w:lang w:val="en-US"/>
          </w:rPr>
          <w:t>Population of Over-60-Year-Olds to Reach One Billion within the Decade (unfpa.org)</w:t>
        </w:r>
      </w:hyperlink>
      <w:hyperlink r:id="rId11" w:anchor=":~:text=In%20just%2010%20years%2C%20the%20number,200%20million%20people%20over%20the%20decade.&amp;text=In%20just%2010%20years%2C,people%20over%20the%20decade.&amp;text=10%20years%2C%20the%20number,200%20million%20people%20over" w:history="1"/>
    </w:p>
  </w:footnote>
  <w:footnote w:id="14">
    <w:p w14:paraId="71339E20" w14:textId="77777777" w:rsidR="00A04DF2" w:rsidRPr="008F4B6B" w:rsidRDefault="00A04DF2" w:rsidP="00A04DF2">
      <w:pPr>
        <w:pStyle w:val="FootnoteText"/>
        <w:spacing w:before="0"/>
        <w:rPr>
          <w:rFonts w:cstheme="minorHAnsi"/>
          <w:sz w:val="20"/>
        </w:rPr>
      </w:pPr>
      <w:r w:rsidRPr="008F4B6B">
        <w:rPr>
          <w:rStyle w:val="FootnoteReference"/>
          <w:rFonts w:cstheme="minorHAnsi"/>
          <w:sz w:val="20"/>
          <w:lang w:val="es-ES"/>
        </w:rPr>
        <w:footnoteRef/>
      </w:r>
      <w:r>
        <w:rPr>
          <w:lang w:val="en-US"/>
        </w:rPr>
        <w:tab/>
      </w:r>
      <w:hyperlink r:id="rId12" w:anchor=":~:text=Whereas%20people%20over%2060%20years%20made%20up%20less,is%20estimated%20to%20reach%2028%20percent%20in%202100." w:history="1">
        <w:r w:rsidRPr="00A0698C">
          <w:rPr>
            <w:rStyle w:val="Hyperlink"/>
            <w:lang w:val="en-US"/>
          </w:rPr>
          <w:t>Projected world population distribution, by age group 2100 | Statista</w:t>
        </w:r>
      </w:hyperlink>
      <w:hyperlink r:id="rId13" w:anchor=":~:text=Whereas%20people%20over%2060%20years%20made%20up%20less,is%20estimated%20to%20reach%2028%20percent%20in%202100." w:history="1"/>
    </w:p>
  </w:footnote>
  <w:footnote w:id="15">
    <w:p w14:paraId="644626D0" w14:textId="77777777" w:rsidR="00A04DF2" w:rsidRPr="0002033A" w:rsidRDefault="00A04DF2" w:rsidP="00A04DF2">
      <w:pPr>
        <w:pStyle w:val="FootnoteText"/>
        <w:spacing w:before="0"/>
        <w:rPr>
          <w:u w:val="single"/>
          <w:lang w:val="en-US"/>
        </w:rPr>
      </w:pPr>
      <w:r w:rsidRPr="008F4B6B">
        <w:rPr>
          <w:rStyle w:val="FootnoteReference"/>
          <w:rFonts w:cstheme="minorHAnsi"/>
          <w:sz w:val="20"/>
          <w:lang w:val="es-ES"/>
        </w:rPr>
        <w:footnoteRef/>
      </w:r>
      <w:r>
        <w:tab/>
      </w:r>
      <w:hyperlink r:id="rId14" w:history="1">
        <w:r w:rsidRPr="00A0698C">
          <w:rPr>
            <w:rStyle w:val="Hyperlink"/>
            <w:lang w:val="en-US"/>
          </w:rPr>
          <w:t xml:space="preserve">World Population Prospects 2024 </w:t>
        </w:r>
        <w:r w:rsidRPr="00F162F6">
          <w:rPr>
            <w:rStyle w:val="Hyperlink"/>
            <w:lang w:val="en-US"/>
          </w:rPr>
          <w:t>–</w:t>
        </w:r>
        <w:r w:rsidRPr="00A0698C">
          <w:rPr>
            <w:rStyle w:val="Hyperlink"/>
            <w:lang w:val="en-US"/>
          </w:rPr>
          <w:t xml:space="preserve"> Population Division </w:t>
        </w:r>
        <w:r w:rsidRPr="00F162F6">
          <w:rPr>
            <w:rStyle w:val="Hyperlink"/>
            <w:lang w:val="en-US"/>
          </w:rPr>
          <w:t>–</w:t>
        </w:r>
        <w:r w:rsidRPr="00A0698C">
          <w:rPr>
            <w:rStyle w:val="Hyperlink"/>
            <w:lang w:val="en-US"/>
          </w:rPr>
          <w:t xml:space="preserve"> United Nations/wpp2022_summary_of_results.pdf (un.org)</w:t>
        </w:r>
      </w:hyperlink>
      <w:r w:rsidRPr="0002033A">
        <w:rPr>
          <w:lang w:val="en-US"/>
        </w:rPr>
        <w:t>.</w:t>
      </w:r>
    </w:p>
  </w:footnote>
  <w:footnote w:id="16">
    <w:p w14:paraId="724BD6B2" w14:textId="77777777" w:rsidR="00A04DF2" w:rsidRPr="008F4B6B" w:rsidRDefault="00A04DF2" w:rsidP="00A04DF2">
      <w:pPr>
        <w:pStyle w:val="FootnoteText"/>
        <w:spacing w:before="0"/>
        <w:rPr>
          <w:rFonts w:cstheme="minorHAnsi"/>
          <w:sz w:val="20"/>
        </w:rPr>
      </w:pPr>
      <w:r w:rsidRPr="008F4B6B">
        <w:rPr>
          <w:rStyle w:val="FootnoteReference"/>
          <w:rFonts w:cstheme="minorHAnsi"/>
          <w:sz w:val="20"/>
          <w:lang w:val="es-ES"/>
        </w:rPr>
        <w:footnoteRef/>
      </w:r>
      <w:r>
        <w:rPr>
          <w:lang w:val="en-US"/>
        </w:rPr>
        <w:tab/>
      </w:r>
      <w:hyperlink r:id="rId15" w:history="1">
        <w:r w:rsidRPr="00A0698C">
          <w:rPr>
            <w:rStyle w:val="Hyperlink"/>
            <w:lang w:val="en-US"/>
          </w:rPr>
          <w:t>jiu_rep_2018_6_english_0.pdf, page 11</w:t>
        </w:r>
      </w:hyperlink>
      <w:r w:rsidRPr="0002033A">
        <w:rPr>
          <w:lang w:val="en-US"/>
        </w:rPr>
        <w:t>.</w:t>
      </w:r>
      <w:hyperlink r:id="rId16" w:history="1"/>
    </w:p>
  </w:footnote>
  <w:footnote w:id="17">
    <w:p w14:paraId="62786266" w14:textId="77777777" w:rsidR="00A04DF2" w:rsidRPr="008F4B6B" w:rsidRDefault="00A04DF2" w:rsidP="00A04DF2">
      <w:pPr>
        <w:pStyle w:val="FootnoteText"/>
        <w:spacing w:before="0"/>
        <w:rPr>
          <w:rFonts w:cstheme="minorHAnsi"/>
          <w:sz w:val="20"/>
        </w:rPr>
      </w:pPr>
      <w:r w:rsidRPr="008F4B6B">
        <w:rPr>
          <w:rStyle w:val="FootnoteReference"/>
          <w:rFonts w:cstheme="minorHAnsi"/>
          <w:sz w:val="20"/>
          <w:lang w:val="es-ES"/>
        </w:rPr>
        <w:footnoteRef/>
      </w:r>
      <w:r>
        <w:rPr>
          <w:lang w:val="en-US"/>
        </w:rPr>
        <w:tab/>
      </w:r>
      <w:proofErr w:type="spellStart"/>
      <w:r w:rsidRPr="00A0698C">
        <w:rPr>
          <w:lang w:val="en-US"/>
        </w:rPr>
        <w:t>Formación</w:t>
      </w:r>
      <w:proofErr w:type="spellEnd"/>
      <w:r w:rsidRPr="00A0698C">
        <w:rPr>
          <w:lang w:val="en-US"/>
        </w:rPr>
        <w:t xml:space="preserve"> de la UIT – </w:t>
      </w:r>
      <w:r w:rsidRPr="00A0698C">
        <w:rPr>
          <w:b/>
          <w:bCs/>
          <w:lang w:val="en-US"/>
        </w:rPr>
        <w:t xml:space="preserve">"Smart for all: Beyond smart cities </w:t>
      </w:r>
      <w:r>
        <w:rPr>
          <w:b/>
          <w:bCs/>
          <w:lang w:val="en-US"/>
        </w:rPr>
        <w:t>'</w:t>
      </w:r>
      <w:r w:rsidRPr="00A0698C">
        <w:rPr>
          <w:b/>
          <w:bCs/>
          <w:lang w:val="en-US"/>
        </w:rPr>
        <w:t>Smart for all</w:t>
      </w:r>
      <w:r>
        <w:rPr>
          <w:b/>
          <w:bCs/>
          <w:lang w:val="en-US"/>
        </w:rPr>
        <w:t>'</w:t>
      </w:r>
      <w:r w:rsidRPr="00A0698C">
        <w:rPr>
          <w:b/>
          <w:bCs/>
          <w:lang w:val="en-US"/>
        </w:rPr>
        <w:t>, Towards building inclusive and digitally accessible environments and communities"</w:t>
      </w:r>
      <w:r w:rsidRPr="0002033A">
        <w:rPr>
          <w:lang w:val="en-US"/>
        </w:rPr>
        <w:t xml:space="preserve"> </w:t>
      </w:r>
      <w:r w:rsidRPr="00A0698C">
        <w:rPr>
          <w:lang w:val="en-US"/>
        </w:rPr>
        <w:t xml:space="preserve">(Disponible </w:t>
      </w:r>
      <w:proofErr w:type="spellStart"/>
      <w:r w:rsidRPr="00A0698C">
        <w:rPr>
          <w:lang w:val="en-US"/>
        </w:rPr>
        <w:t>en</w:t>
      </w:r>
      <w:proofErr w:type="spellEnd"/>
      <w:r w:rsidRPr="00A0698C">
        <w:rPr>
          <w:lang w:val="en-US"/>
        </w:rPr>
        <w:t xml:space="preserve"> </w:t>
      </w:r>
      <w:proofErr w:type="spellStart"/>
      <w:r w:rsidRPr="00A0698C">
        <w:rPr>
          <w:lang w:val="en-US"/>
        </w:rPr>
        <w:t>árabe</w:t>
      </w:r>
      <w:proofErr w:type="spellEnd"/>
      <w:r w:rsidRPr="00A0698C">
        <w:rPr>
          <w:lang w:val="en-US"/>
        </w:rPr>
        <w:t xml:space="preserve">, </w:t>
      </w:r>
      <w:proofErr w:type="spellStart"/>
      <w:r w:rsidRPr="00A0698C">
        <w:rPr>
          <w:lang w:val="en-US"/>
        </w:rPr>
        <w:t>español</w:t>
      </w:r>
      <w:proofErr w:type="spellEnd"/>
      <w:r w:rsidRPr="00A0698C">
        <w:rPr>
          <w:lang w:val="en-US"/>
        </w:rPr>
        <w:t xml:space="preserve">, </w:t>
      </w:r>
      <w:proofErr w:type="spellStart"/>
      <w:r w:rsidRPr="00A0698C">
        <w:rPr>
          <w:lang w:val="en-US"/>
        </w:rPr>
        <w:t>francés</w:t>
      </w:r>
      <w:proofErr w:type="spellEnd"/>
      <w:r w:rsidRPr="00A0698C">
        <w:rPr>
          <w:lang w:val="en-US"/>
        </w:rPr>
        <w:t xml:space="preserve">, </w:t>
      </w:r>
      <w:proofErr w:type="spellStart"/>
      <w:r w:rsidRPr="00A0698C">
        <w:rPr>
          <w:lang w:val="en-US"/>
        </w:rPr>
        <w:t>inglés</w:t>
      </w:r>
      <w:proofErr w:type="spellEnd"/>
      <w:r w:rsidRPr="00A0698C">
        <w:rPr>
          <w:lang w:val="en-US"/>
        </w:rPr>
        <w:t xml:space="preserve"> y </w:t>
      </w:r>
      <w:proofErr w:type="spellStart"/>
      <w:r w:rsidRPr="00A0698C">
        <w:rPr>
          <w:lang w:val="en-US"/>
        </w:rPr>
        <w:t>ruso</w:t>
      </w:r>
      <w:proofErr w:type="spellEnd"/>
      <w:r w:rsidRPr="00A0698C">
        <w:rPr>
          <w:lang w:val="en-US"/>
        </w:rPr>
        <w:t>)</w:t>
      </w:r>
      <w:r>
        <w:rPr>
          <w:lang w:val="en-US"/>
        </w:rPr>
        <w:t>.</w:t>
      </w:r>
    </w:p>
  </w:footnote>
  <w:footnote w:id="18">
    <w:p w14:paraId="3F63C716" w14:textId="77777777" w:rsidR="00A04DF2" w:rsidRPr="00A0698C" w:rsidRDefault="00A04DF2" w:rsidP="00A04DF2">
      <w:pPr>
        <w:pStyle w:val="FootnoteText"/>
        <w:spacing w:before="0"/>
        <w:rPr>
          <w:rFonts w:cstheme="minorHAnsi"/>
          <w:sz w:val="20"/>
          <w:lang w:val="es-ES"/>
        </w:rPr>
      </w:pPr>
      <w:r w:rsidRPr="008F4B6B">
        <w:rPr>
          <w:rStyle w:val="FootnoteReference"/>
          <w:rFonts w:cstheme="minorHAnsi"/>
          <w:sz w:val="20"/>
          <w:lang w:val="es-ES"/>
        </w:rPr>
        <w:footnoteRef/>
      </w:r>
      <w:r>
        <w:rPr>
          <w:lang w:val="es-ES"/>
        </w:rPr>
        <w:tab/>
        <w:t>Este término comprende los países menos adelantados, los pequeños Estados insulares en desarrollo, los países en desarrollo sin litoral y, los países con economías en transición.</w:t>
      </w:r>
    </w:p>
  </w:footnote>
  <w:footnote w:id="19">
    <w:p w14:paraId="71D95D46" w14:textId="77777777" w:rsidR="00A04DF2" w:rsidRPr="00A0698C" w:rsidRDefault="00A04DF2" w:rsidP="00A04DF2">
      <w:pPr>
        <w:pStyle w:val="FootnoteText"/>
        <w:spacing w:before="0"/>
        <w:rPr>
          <w:rFonts w:eastAsia="Malgun Gothic" w:cstheme="minorHAnsi"/>
          <w:sz w:val="20"/>
          <w:lang w:val="es-ES"/>
        </w:rPr>
      </w:pPr>
      <w:r w:rsidRPr="008F4B6B">
        <w:rPr>
          <w:rStyle w:val="FootnoteReference"/>
          <w:rFonts w:cstheme="minorHAnsi"/>
          <w:sz w:val="20"/>
          <w:lang w:val="es-ES"/>
        </w:rPr>
        <w:footnoteRef/>
      </w:r>
      <w:r>
        <w:rPr>
          <w:lang w:val="es-ES"/>
        </w:rPr>
        <w:tab/>
        <w:t>Este término comprende los países menos adelantados, los pequeños Estados insulares en desarrollo, los países en desarrollo sin litoral y, los países con economías en transición.</w:t>
      </w:r>
    </w:p>
  </w:footnote>
  <w:footnote w:id="20">
    <w:p w14:paraId="3ADC2ECE" w14:textId="77777777" w:rsidR="00A04DF2" w:rsidRPr="00A0698C" w:rsidRDefault="00A04DF2" w:rsidP="00A04DF2">
      <w:pPr>
        <w:pStyle w:val="FootnoteText"/>
        <w:spacing w:before="0"/>
        <w:rPr>
          <w:rFonts w:eastAsia="Malgun Gothic" w:cstheme="minorHAnsi"/>
          <w:sz w:val="20"/>
          <w:lang w:val="es-ES"/>
        </w:rPr>
      </w:pPr>
      <w:r w:rsidRPr="008F4B6B">
        <w:rPr>
          <w:rStyle w:val="FootnoteReference"/>
          <w:rFonts w:cstheme="minorHAnsi"/>
          <w:sz w:val="20"/>
          <w:lang w:val="es-ES"/>
        </w:rPr>
        <w:footnoteRef/>
      </w:r>
      <w:r>
        <w:rPr>
          <w:lang w:val="es-ES"/>
        </w:rPr>
        <w:tab/>
        <w:t>Este término comprende los países menos adelantados, los pequeños Estados insulares en desarrollo, los países en desarrollo sin litoral y, los países con economías en transición.</w:t>
      </w:r>
    </w:p>
  </w:footnote>
  <w:footnote w:id="21">
    <w:p w14:paraId="2BFC6FBA" w14:textId="77777777" w:rsidR="00A04DF2" w:rsidRPr="00A0698C" w:rsidRDefault="00A04DF2" w:rsidP="00A04DF2">
      <w:pPr>
        <w:pStyle w:val="FootnoteText"/>
        <w:spacing w:before="0"/>
        <w:rPr>
          <w:rFonts w:eastAsia="Malgun Gothic" w:cstheme="minorHAnsi"/>
          <w:sz w:val="20"/>
          <w:lang w:val="es-ES"/>
        </w:rPr>
      </w:pPr>
      <w:r w:rsidRPr="008F4B6B">
        <w:rPr>
          <w:rStyle w:val="FootnoteReference"/>
          <w:rFonts w:cstheme="minorHAnsi"/>
          <w:sz w:val="20"/>
          <w:lang w:val="es-ES"/>
        </w:rPr>
        <w:footnoteRef/>
      </w:r>
      <w:r>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F2B6" w14:textId="77777777" w:rsidR="00A04DF2" w:rsidRDefault="00A04DF2" w:rsidP="00C34E71">
    <w:pPr>
      <w:tabs>
        <w:tab w:val="clear" w:pos="794"/>
        <w:tab w:val="clear" w:pos="1191"/>
        <w:tab w:val="clear" w:pos="1588"/>
        <w:tab w:val="clear" w:pos="1985"/>
        <w:tab w:val="center" w:pos="4820"/>
        <w:tab w:val="right" w:pos="9639"/>
      </w:tabs>
      <w:spacing w:before="0"/>
    </w:pPr>
    <w:r w:rsidRPr="00972BCD">
      <w:rPr>
        <w:sz w:val="22"/>
        <w:szCs w:val="22"/>
      </w:rPr>
      <w:tab/>
    </w:r>
    <w:r w:rsidRPr="00A24A75">
      <w:rPr>
        <w:sz w:val="22"/>
        <w:szCs w:val="22"/>
        <w:lang w:val="de-CH"/>
      </w:rPr>
      <w:t>TDAG-25/62-</w:t>
    </w:r>
    <w:r>
      <w:rPr>
        <w:sz w:val="22"/>
        <w:szCs w:val="22"/>
        <w:lang w:val="de-CH"/>
      </w:rPr>
      <w:t>S</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73</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EFD1" w14:textId="77777777" w:rsidR="00A04DF2" w:rsidRDefault="00A04DF2" w:rsidP="00AD7AAD">
    <w:pPr>
      <w:tabs>
        <w:tab w:val="clear" w:pos="794"/>
        <w:tab w:val="clear" w:pos="1191"/>
        <w:tab w:val="clear" w:pos="1588"/>
        <w:tab w:val="clear" w:pos="1985"/>
        <w:tab w:val="center" w:pos="7088"/>
        <w:tab w:val="right" w:pos="13998"/>
      </w:tabs>
      <w:spacing w:before="0"/>
    </w:pPr>
    <w:r w:rsidRPr="00972BCD">
      <w:rPr>
        <w:sz w:val="22"/>
        <w:szCs w:val="22"/>
      </w:rPr>
      <w:tab/>
    </w:r>
    <w:r w:rsidRPr="00A24A75">
      <w:rPr>
        <w:sz w:val="22"/>
        <w:szCs w:val="22"/>
        <w:lang w:val="de-CH"/>
      </w:rPr>
      <w:t>TDAG-25/62-</w:t>
    </w:r>
    <w:r>
      <w:rPr>
        <w:sz w:val="22"/>
        <w:szCs w:val="22"/>
        <w:lang w:val="de-CH"/>
      </w:rPr>
      <w:t>S</w:t>
    </w:r>
    <w:r w:rsidRPr="006D271A">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88</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70FD" w14:textId="1069D467"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5905B6">
      <w:rPr>
        <w:sz w:val="22"/>
        <w:szCs w:val="22"/>
        <w:lang w:val="de-CH"/>
      </w:rPr>
      <w:t>62</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17A0B"/>
    <w:rsid w:val="0002520B"/>
    <w:rsid w:val="00037A9E"/>
    <w:rsid w:val="00037F91"/>
    <w:rsid w:val="000539F1"/>
    <w:rsid w:val="00054747"/>
    <w:rsid w:val="00055A2A"/>
    <w:rsid w:val="000615C1"/>
    <w:rsid w:val="00061675"/>
    <w:rsid w:val="00066F5D"/>
    <w:rsid w:val="000743AA"/>
    <w:rsid w:val="0009076F"/>
    <w:rsid w:val="0009225C"/>
    <w:rsid w:val="000A17C4"/>
    <w:rsid w:val="000A36A4"/>
    <w:rsid w:val="000B2352"/>
    <w:rsid w:val="000C00B2"/>
    <w:rsid w:val="000C7B84"/>
    <w:rsid w:val="000D261B"/>
    <w:rsid w:val="000D58A3"/>
    <w:rsid w:val="000E3ED4"/>
    <w:rsid w:val="000E3F9C"/>
    <w:rsid w:val="000F1550"/>
    <w:rsid w:val="000F251B"/>
    <w:rsid w:val="000F5FE8"/>
    <w:rsid w:val="000F6644"/>
    <w:rsid w:val="00100833"/>
    <w:rsid w:val="00102F72"/>
    <w:rsid w:val="001061BE"/>
    <w:rsid w:val="00107E85"/>
    <w:rsid w:val="00111964"/>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77AE6"/>
    <w:rsid w:val="001828DB"/>
    <w:rsid w:val="001850FE"/>
    <w:rsid w:val="00185135"/>
    <w:rsid w:val="00185B7B"/>
    <w:rsid w:val="0019037C"/>
    <w:rsid w:val="001905A9"/>
    <w:rsid w:val="00191273"/>
    <w:rsid w:val="001942A7"/>
    <w:rsid w:val="0019587B"/>
    <w:rsid w:val="001A163D"/>
    <w:rsid w:val="001A441E"/>
    <w:rsid w:val="001A6733"/>
    <w:rsid w:val="001B12F1"/>
    <w:rsid w:val="001B357F"/>
    <w:rsid w:val="001C3444"/>
    <w:rsid w:val="001C3702"/>
    <w:rsid w:val="001C4656"/>
    <w:rsid w:val="001C46BC"/>
    <w:rsid w:val="001D1E06"/>
    <w:rsid w:val="001F23E6"/>
    <w:rsid w:val="001F4238"/>
    <w:rsid w:val="00200A38"/>
    <w:rsid w:val="00200A46"/>
    <w:rsid w:val="00211B6F"/>
    <w:rsid w:val="00213B1C"/>
    <w:rsid w:val="00217CC3"/>
    <w:rsid w:val="00220AB6"/>
    <w:rsid w:val="0022120F"/>
    <w:rsid w:val="0022754A"/>
    <w:rsid w:val="00234BB7"/>
    <w:rsid w:val="00235831"/>
    <w:rsid w:val="00236560"/>
    <w:rsid w:val="0023662E"/>
    <w:rsid w:val="00245D0F"/>
    <w:rsid w:val="002548C3"/>
    <w:rsid w:val="00257ACD"/>
    <w:rsid w:val="00262908"/>
    <w:rsid w:val="002650F4"/>
    <w:rsid w:val="002707B1"/>
    <w:rsid w:val="002715FD"/>
    <w:rsid w:val="002770B1"/>
    <w:rsid w:val="00285B33"/>
    <w:rsid w:val="00287A3C"/>
    <w:rsid w:val="002A2FC6"/>
    <w:rsid w:val="002A651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5D07"/>
    <w:rsid w:val="00307769"/>
    <w:rsid w:val="00311AF8"/>
    <w:rsid w:val="003125C3"/>
    <w:rsid w:val="00312AE6"/>
    <w:rsid w:val="00317D1A"/>
    <w:rsid w:val="003211FF"/>
    <w:rsid w:val="003242AB"/>
    <w:rsid w:val="00327247"/>
    <w:rsid w:val="00327A9D"/>
    <w:rsid w:val="0033130E"/>
    <w:rsid w:val="0033269C"/>
    <w:rsid w:val="00341DA6"/>
    <w:rsid w:val="003510E3"/>
    <w:rsid w:val="00351C79"/>
    <w:rsid w:val="0035516C"/>
    <w:rsid w:val="00355A4C"/>
    <w:rsid w:val="003604FB"/>
    <w:rsid w:val="00360B73"/>
    <w:rsid w:val="00373120"/>
    <w:rsid w:val="00376B64"/>
    <w:rsid w:val="00376D40"/>
    <w:rsid w:val="00380B71"/>
    <w:rsid w:val="0038365A"/>
    <w:rsid w:val="00386A89"/>
    <w:rsid w:val="00391233"/>
    <w:rsid w:val="0039648E"/>
    <w:rsid w:val="003A5AFE"/>
    <w:rsid w:val="003A5D5F"/>
    <w:rsid w:val="003A7FFE"/>
    <w:rsid w:val="003B0A63"/>
    <w:rsid w:val="003B1C12"/>
    <w:rsid w:val="003B50E1"/>
    <w:rsid w:val="003C1746"/>
    <w:rsid w:val="003C2AA9"/>
    <w:rsid w:val="003C48FA"/>
    <w:rsid w:val="003C58BF"/>
    <w:rsid w:val="003C6C09"/>
    <w:rsid w:val="003D2618"/>
    <w:rsid w:val="003D451D"/>
    <w:rsid w:val="003D4648"/>
    <w:rsid w:val="003D5603"/>
    <w:rsid w:val="003F2DD8"/>
    <w:rsid w:val="003F3F2D"/>
    <w:rsid w:val="003F50B2"/>
    <w:rsid w:val="00400CCF"/>
    <w:rsid w:val="004010E2"/>
    <w:rsid w:val="00401BFF"/>
    <w:rsid w:val="00404424"/>
    <w:rsid w:val="0041156B"/>
    <w:rsid w:val="004122C5"/>
    <w:rsid w:val="00413B78"/>
    <w:rsid w:val="00416DDE"/>
    <w:rsid w:val="00426AB5"/>
    <w:rsid w:val="0044411E"/>
    <w:rsid w:val="00450B37"/>
    <w:rsid w:val="00453435"/>
    <w:rsid w:val="004551B2"/>
    <w:rsid w:val="00460089"/>
    <w:rsid w:val="00463A60"/>
    <w:rsid w:val="00466398"/>
    <w:rsid w:val="0047306D"/>
    <w:rsid w:val="00473791"/>
    <w:rsid w:val="00475402"/>
    <w:rsid w:val="00476E48"/>
    <w:rsid w:val="00481DE9"/>
    <w:rsid w:val="0049128B"/>
    <w:rsid w:val="00493B49"/>
    <w:rsid w:val="00495501"/>
    <w:rsid w:val="004A070A"/>
    <w:rsid w:val="004A079A"/>
    <w:rsid w:val="004A320E"/>
    <w:rsid w:val="004A4E9C"/>
    <w:rsid w:val="004B1A3C"/>
    <w:rsid w:val="004B6F0B"/>
    <w:rsid w:val="004D2CC3"/>
    <w:rsid w:val="004D35CB"/>
    <w:rsid w:val="004D7DAB"/>
    <w:rsid w:val="004E20E5"/>
    <w:rsid w:val="004E64EA"/>
    <w:rsid w:val="004E7828"/>
    <w:rsid w:val="004F46AA"/>
    <w:rsid w:val="004F6A70"/>
    <w:rsid w:val="00500AD7"/>
    <w:rsid w:val="00502ABF"/>
    <w:rsid w:val="00504447"/>
    <w:rsid w:val="00504DB0"/>
    <w:rsid w:val="00507C35"/>
    <w:rsid w:val="00510735"/>
    <w:rsid w:val="00514D2F"/>
    <w:rsid w:val="00517ABF"/>
    <w:rsid w:val="00541888"/>
    <w:rsid w:val="00541920"/>
    <w:rsid w:val="0054420E"/>
    <w:rsid w:val="00544D1B"/>
    <w:rsid w:val="00545C24"/>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05B6"/>
    <w:rsid w:val="00592518"/>
    <w:rsid w:val="00592E87"/>
    <w:rsid w:val="0059420B"/>
    <w:rsid w:val="00594C4D"/>
    <w:rsid w:val="005A33B0"/>
    <w:rsid w:val="005A53B6"/>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0EA5"/>
    <w:rsid w:val="00601585"/>
    <w:rsid w:val="00606B89"/>
    <w:rsid w:val="00611EAF"/>
    <w:rsid w:val="00617560"/>
    <w:rsid w:val="00617572"/>
    <w:rsid w:val="00623F30"/>
    <w:rsid w:val="00625FB8"/>
    <w:rsid w:val="006261BD"/>
    <w:rsid w:val="006279E3"/>
    <w:rsid w:val="00635EDB"/>
    <w:rsid w:val="0064734E"/>
    <w:rsid w:val="00650137"/>
    <w:rsid w:val="006509D7"/>
    <w:rsid w:val="00651CE8"/>
    <w:rsid w:val="0065521B"/>
    <w:rsid w:val="0066406B"/>
    <w:rsid w:val="00671EF6"/>
    <w:rsid w:val="0067205B"/>
    <w:rsid w:val="00673259"/>
    <w:rsid w:val="006748F8"/>
    <w:rsid w:val="00680489"/>
    <w:rsid w:val="00683C32"/>
    <w:rsid w:val="00690BB2"/>
    <w:rsid w:val="006922DF"/>
    <w:rsid w:val="00693D09"/>
    <w:rsid w:val="006A02DF"/>
    <w:rsid w:val="006A6549"/>
    <w:rsid w:val="006A7710"/>
    <w:rsid w:val="006A7A61"/>
    <w:rsid w:val="006B1E59"/>
    <w:rsid w:val="006B2FFB"/>
    <w:rsid w:val="006B5AA9"/>
    <w:rsid w:val="006C10A2"/>
    <w:rsid w:val="006C1F18"/>
    <w:rsid w:val="006C7DE5"/>
    <w:rsid w:val="006D40D5"/>
    <w:rsid w:val="006E3301"/>
    <w:rsid w:val="006E4155"/>
    <w:rsid w:val="006E635C"/>
    <w:rsid w:val="006F009A"/>
    <w:rsid w:val="006F30F5"/>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370BF"/>
    <w:rsid w:val="008419B1"/>
    <w:rsid w:val="00842E57"/>
    <w:rsid w:val="00844A56"/>
    <w:rsid w:val="00844DB3"/>
    <w:rsid w:val="00845B11"/>
    <w:rsid w:val="00852081"/>
    <w:rsid w:val="008667E3"/>
    <w:rsid w:val="00867B04"/>
    <w:rsid w:val="00872B6E"/>
    <w:rsid w:val="00874DFD"/>
    <w:rsid w:val="008802F9"/>
    <w:rsid w:val="00883086"/>
    <w:rsid w:val="008879FD"/>
    <w:rsid w:val="00893422"/>
    <w:rsid w:val="00894C37"/>
    <w:rsid w:val="008A00EA"/>
    <w:rsid w:val="008A2965"/>
    <w:rsid w:val="008A3F93"/>
    <w:rsid w:val="008A6236"/>
    <w:rsid w:val="008A6E1C"/>
    <w:rsid w:val="008A72FD"/>
    <w:rsid w:val="008B2EDF"/>
    <w:rsid w:val="008B47C7"/>
    <w:rsid w:val="008B54CB"/>
    <w:rsid w:val="008B5A3D"/>
    <w:rsid w:val="008C4010"/>
    <w:rsid w:val="008C4FDF"/>
    <w:rsid w:val="008C6B1F"/>
    <w:rsid w:val="008D5E4F"/>
    <w:rsid w:val="008D7E99"/>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19C2"/>
    <w:rsid w:val="00952667"/>
    <w:rsid w:val="00960F42"/>
    <w:rsid w:val="0096201B"/>
    <w:rsid w:val="00962081"/>
    <w:rsid w:val="00966CB5"/>
    <w:rsid w:val="009716D1"/>
    <w:rsid w:val="00975786"/>
    <w:rsid w:val="00976CD2"/>
    <w:rsid w:val="00981CB7"/>
    <w:rsid w:val="00983E1F"/>
    <w:rsid w:val="0099193F"/>
    <w:rsid w:val="00993F46"/>
    <w:rsid w:val="00995D64"/>
    <w:rsid w:val="00997358"/>
    <w:rsid w:val="009A452B"/>
    <w:rsid w:val="009B050C"/>
    <w:rsid w:val="009B087F"/>
    <w:rsid w:val="009B2AF4"/>
    <w:rsid w:val="009B72EE"/>
    <w:rsid w:val="009C110B"/>
    <w:rsid w:val="009C5441"/>
    <w:rsid w:val="009D119F"/>
    <w:rsid w:val="009D49A2"/>
    <w:rsid w:val="009D5B1D"/>
    <w:rsid w:val="009D66B8"/>
    <w:rsid w:val="009F3940"/>
    <w:rsid w:val="009F3EB2"/>
    <w:rsid w:val="009F6EB1"/>
    <w:rsid w:val="009F7F22"/>
    <w:rsid w:val="009F7FBC"/>
    <w:rsid w:val="00A04DF2"/>
    <w:rsid w:val="00A11337"/>
    <w:rsid w:val="00A1159A"/>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609F"/>
    <w:rsid w:val="00A9392C"/>
    <w:rsid w:val="00A9462B"/>
    <w:rsid w:val="00A97D59"/>
    <w:rsid w:val="00AA3E09"/>
    <w:rsid w:val="00AA4BEF"/>
    <w:rsid w:val="00AA7095"/>
    <w:rsid w:val="00AB1659"/>
    <w:rsid w:val="00AB4962"/>
    <w:rsid w:val="00AB734E"/>
    <w:rsid w:val="00AB740F"/>
    <w:rsid w:val="00AC6F14"/>
    <w:rsid w:val="00AC7221"/>
    <w:rsid w:val="00AD4677"/>
    <w:rsid w:val="00AE5961"/>
    <w:rsid w:val="00AE6369"/>
    <w:rsid w:val="00AF0745"/>
    <w:rsid w:val="00AF4971"/>
    <w:rsid w:val="00AF51AE"/>
    <w:rsid w:val="00AF5276"/>
    <w:rsid w:val="00AF7C86"/>
    <w:rsid w:val="00B01046"/>
    <w:rsid w:val="00B04F70"/>
    <w:rsid w:val="00B15CAE"/>
    <w:rsid w:val="00B20F46"/>
    <w:rsid w:val="00B310F9"/>
    <w:rsid w:val="00B37866"/>
    <w:rsid w:val="00B37B73"/>
    <w:rsid w:val="00B412FB"/>
    <w:rsid w:val="00B42366"/>
    <w:rsid w:val="00B4576B"/>
    <w:rsid w:val="00B461A2"/>
    <w:rsid w:val="00B46350"/>
    <w:rsid w:val="00B46DF3"/>
    <w:rsid w:val="00B648C7"/>
    <w:rsid w:val="00B66E8F"/>
    <w:rsid w:val="00B80157"/>
    <w:rsid w:val="00B82FB3"/>
    <w:rsid w:val="00B83D5E"/>
    <w:rsid w:val="00B8460A"/>
    <w:rsid w:val="00B8650D"/>
    <w:rsid w:val="00B879B4"/>
    <w:rsid w:val="00B90BE3"/>
    <w:rsid w:val="00B90F07"/>
    <w:rsid w:val="00B96396"/>
    <w:rsid w:val="00B9710C"/>
    <w:rsid w:val="00B97BB9"/>
    <w:rsid w:val="00BA0009"/>
    <w:rsid w:val="00BB02B5"/>
    <w:rsid w:val="00BB1863"/>
    <w:rsid w:val="00BB25EE"/>
    <w:rsid w:val="00BB363A"/>
    <w:rsid w:val="00BC06EA"/>
    <w:rsid w:val="00BC10A0"/>
    <w:rsid w:val="00BC3202"/>
    <w:rsid w:val="00BC7BA2"/>
    <w:rsid w:val="00BD426B"/>
    <w:rsid w:val="00BD79F0"/>
    <w:rsid w:val="00BE2B4D"/>
    <w:rsid w:val="00C015F8"/>
    <w:rsid w:val="00C02C2A"/>
    <w:rsid w:val="00C07E26"/>
    <w:rsid w:val="00C1011C"/>
    <w:rsid w:val="00C12F94"/>
    <w:rsid w:val="00C177C5"/>
    <w:rsid w:val="00C31351"/>
    <w:rsid w:val="00C32FA9"/>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4F70"/>
    <w:rsid w:val="00C86600"/>
    <w:rsid w:val="00C87BCA"/>
    <w:rsid w:val="00C87EED"/>
    <w:rsid w:val="00C94506"/>
    <w:rsid w:val="00C954BC"/>
    <w:rsid w:val="00CA1F0B"/>
    <w:rsid w:val="00CB110F"/>
    <w:rsid w:val="00CB1353"/>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070BD"/>
    <w:rsid w:val="00D10FC7"/>
    <w:rsid w:val="00D1519F"/>
    <w:rsid w:val="00D20E99"/>
    <w:rsid w:val="00D21C83"/>
    <w:rsid w:val="00D35BDD"/>
    <w:rsid w:val="00D63006"/>
    <w:rsid w:val="00D67337"/>
    <w:rsid w:val="00D72301"/>
    <w:rsid w:val="00D8041C"/>
    <w:rsid w:val="00D849F7"/>
    <w:rsid w:val="00D911DE"/>
    <w:rsid w:val="00D91B97"/>
    <w:rsid w:val="00D93ACC"/>
    <w:rsid w:val="00D93C08"/>
    <w:rsid w:val="00D9585B"/>
    <w:rsid w:val="00D95DAC"/>
    <w:rsid w:val="00DA0B53"/>
    <w:rsid w:val="00DB1171"/>
    <w:rsid w:val="00DB1519"/>
    <w:rsid w:val="00DB2840"/>
    <w:rsid w:val="00DC1BD3"/>
    <w:rsid w:val="00DC2C1A"/>
    <w:rsid w:val="00DD66B4"/>
    <w:rsid w:val="00DE1972"/>
    <w:rsid w:val="00DE27AB"/>
    <w:rsid w:val="00DF2AB3"/>
    <w:rsid w:val="00DF3F4F"/>
    <w:rsid w:val="00DF7250"/>
    <w:rsid w:val="00E00CAA"/>
    <w:rsid w:val="00E01DCC"/>
    <w:rsid w:val="00E03EBF"/>
    <w:rsid w:val="00E05209"/>
    <w:rsid w:val="00E05AC1"/>
    <w:rsid w:val="00E11BCF"/>
    <w:rsid w:val="00E15AF8"/>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66A04"/>
    <w:rsid w:val="00E67ADC"/>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668A"/>
    <w:rsid w:val="00F077FD"/>
    <w:rsid w:val="00F14D80"/>
    <w:rsid w:val="00F1746F"/>
    <w:rsid w:val="00F204F3"/>
    <w:rsid w:val="00F218AB"/>
    <w:rsid w:val="00F22AB4"/>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0EB1"/>
    <w:rsid w:val="00F9211C"/>
    <w:rsid w:val="00F921F5"/>
    <w:rsid w:val="00F92361"/>
    <w:rsid w:val="00FA095D"/>
    <w:rsid w:val="00FA6C8B"/>
    <w:rsid w:val="00FA6CDA"/>
    <w:rsid w:val="00FA7C89"/>
    <w:rsid w:val="00FB2BD2"/>
    <w:rsid w:val="00FB4139"/>
    <w:rsid w:val="00FB476E"/>
    <w:rsid w:val="00FC0D90"/>
    <w:rsid w:val="00FC7D8C"/>
    <w:rsid w:val="00FD34D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qFormat/>
    <w:rsid w:val="00F52741"/>
    <w:rPr>
      <w:rFonts w:asciiTheme="minorHAnsi" w:hAnsiTheme="minorHAnsi"/>
      <w:position w:val="6"/>
      <w:sz w:val="18"/>
    </w:rPr>
  </w:style>
  <w:style w:type="paragraph" w:styleId="FootnoteText">
    <w:name w:val="footnote text"/>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aliases w:val="표준표"/>
    <w:basedOn w:val="TableNormal"/>
    <w:uiPriority w:val="59"/>
    <w:qFormat/>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iPriority w:val="99"/>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RestitleChar">
    <w:name w:val="Res_title Char"/>
    <w:basedOn w:val="DefaultParagraphFont"/>
    <w:link w:val="Restitle"/>
    <w:qFormat/>
    <w:rsid w:val="005905B6"/>
    <w:rPr>
      <w:rFonts w:asciiTheme="minorHAnsi" w:hAnsiTheme="minorHAnsi"/>
      <w:b/>
      <w:sz w:val="28"/>
      <w:lang w:val="en-GB" w:eastAsia="en-US"/>
    </w:rPr>
  </w:style>
  <w:style w:type="character" w:styleId="Strong">
    <w:name w:val="Strong"/>
    <w:basedOn w:val="DefaultParagraphFont"/>
    <w:uiPriority w:val="22"/>
    <w:qFormat/>
    <w:rsid w:val="005905B6"/>
    <w:rPr>
      <w:b/>
      <w:bCs/>
    </w:rPr>
  </w:style>
  <w:style w:type="character" w:customStyle="1" w:styleId="UnresolvedMention1">
    <w:name w:val="Unresolved Mention1"/>
    <w:basedOn w:val="DefaultParagraphFont"/>
    <w:uiPriority w:val="99"/>
    <w:semiHidden/>
    <w:unhideWhenUsed/>
    <w:rsid w:val="005905B6"/>
    <w:rPr>
      <w:color w:val="605E5C"/>
      <w:shd w:val="clear" w:color="auto" w:fill="E1DFDD"/>
    </w:rPr>
  </w:style>
  <w:style w:type="paragraph" w:customStyle="1" w:styleId="western">
    <w:name w:val="western"/>
    <w:basedOn w:val="Normal"/>
    <w:qFormat/>
    <w:rsid w:val="005905B6"/>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uiPriority w:val="99"/>
    <w:qFormat/>
    <w:rsid w:val="005905B6"/>
    <w:rPr>
      <w:rFonts w:asciiTheme="minorHAnsi" w:hAnsiTheme="minorHAnsi"/>
      <w:sz w:val="24"/>
      <w:lang w:val="en-GB" w:eastAsia="en-US"/>
    </w:rPr>
  </w:style>
  <w:style w:type="character" w:customStyle="1" w:styleId="normaltextrun">
    <w:name w:val="normaltextrun"/>
    <w:basedOn w:val="DefaultParagraphFont"/>
    <w:rsid w:val="005905B6"/>
  </w:style>
  <w:style w:type="paragraph" w:styleId="Revision">
    <w:name w:val="Revision"/>
    <w:hidden/>
    <w:uiPriority w:val="99"/>
    <w:semiHidden/>
    <w:rsid w:val="005905B6"/>
    <w:rPr>
      <w:rFonts w:asciiTheme="minorHAnsi" w:hAnsiTheme="minorHAnsi"/>
      <w:sz w:val="24"/>
      <w:lang w:val="en-GB" w:eastAsia="en-US"/>
    </w:rPr>
  </w:style>
  <w:style w:type="paragraph" w:styleId="BodyText">
    <w:name w:val="Body Text"/>
    <w:basedOn w:val="Normal"/>
    <w:link w:val="BodyTextChar"/>
    <w:uiPriority w:val="1"/>
    <w:qFormat/>
    <w:rsid w:val="005905B6"/>
    <w:pPr>
      <w:widowControl w:val="0"/>
      <w:tabs>
        <w:tab w:val="clear" w:pos="794"/>
        <w:tab w:val="clear" w:pos="1191"/>
        <w:tab w:val="clear" w:pos="1588"/>
        <w:tab w:val="clear" w:pos="1985"/>
      </w:tabs>
      <w:overflowPunct/>
      <w:adjustRightInd/>
      <w:spacing w:before="0"/>
      <w:textAlignment w:val="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5905B6"/>
    <w:rPr>
      <w:rFonts w:ascii="Arial" w:eastAsia="Arial" w:hAnsi="Arial" w:cs="Arial"/>
      <w:sz w:val="22"/>
      <w:szCs w:val="22"/>
      <w:lang w:eastAsia="en-US"/>
    </w:rPr>
  </w:style>
  <w:style w:type="paragraph" w:styleId="Title">
    <w:name w:val="Title"/>
    <w:basedOn w:val="Normal"/>
    <w:link w:val="TitleChar"/>
    <w:uiPriority w:val="10"/>
    <w:qFormat/>
    <w:rsid w:val="005905B6"/>
    <w:pPr>
      <w:widowControl w:val="0"/>
      <w:tabs>
        <w:tab w:val="clear" w:pos="794"/>
        <w:tab w:val="clear" w:pos="1191"/>
        <w:tab w:val="clear" w:pos="1588"/>
        <w:tab w:val="clear" w:pos="1985"/>
      </w:tabs>
      <w:overflowPunct/>
      <w:adjustRightInd/>
      <w:spacing w:before="75"/>
      <w:ind w:left="1773" w:right="1773"/>
      <w:jc w:val="center"/>
      <w:textAlignment w:val="auto"/>
    </w:pPr>
    <w:rPr>
      <w:rFonts w:ascii="Arial" w:eastAsia="Arial" w:hAnsi="Arial" w:cs="Arial"/>
      <w:b/>
      <w:bCs/>
      <w:szCs w:val="24"/>
      <w:lang w:val="en-US"/>
    </w:rPr>
  </w:style>
  <w:style w:type="character" w:customStyle="1" w:styleId="TitleChar">
    <w:name w:val="Title Char"/>
    <w:basedOn w:val="DefaultParagraphFont"/>
    <w:link w:val="Title"/>
    <w:uiPriority w:val="10"/>
    <w:rsid w:val="005905B6"/>
    <w:rPr>
      <w:rFonts w:ascii="Arial" w:eastAsia="Arial" w:hAnsi="Arial" w:cs="Arial"/>
      <w:b/>
      <w:bCs/>
      <w:sz w:val="24"/>
      <w:szCs w:val="24"/>
      <w:lang w:eastAsia="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qFormat/>
    <w:locked/>
    <w:rsid w:val="005905B6"/>
    <w:rPr>
      <w:rFonts w:asciiTheme="minorHAnsi" w:hAnsiTheme="minorHAnsi"/>
      <w:sz w:val="24"/>
      <w:lang w:val="en-GB" w:eastAsia="en-US"/>
    </w:rPr>
  </w:style>
  <w:style w:type="paragraph" w:customStyle="1" w:styleId="Default">
    <w:name w:val="Default"/>
    <w:rsid w:val="005905B6"/>
    <w:pPr>
      <w:autoSpaceDE w:val="0"/>
      <w:autoSpaceDN w:val="0"/>
      <w:adjustRightInd w:val="0"/>
    </w:pPr>
    <w:rPr>
      <w:rFonts w:ascii="Calibri" w:eastAsiaTheme="minorEastAsia" w:hAnsi="Calibri" w:cs="Calibri"/>
      <w:color w:val="000000"/>
      <w:sz w:val="24"/>
      <w:szCs w:val="24"/>
    </w:rPr>
  </w:style>
  <w:style w:type="paragraph" w:customStyle="1" w:styleId="CEONormal">
    <w:name w:val="CEO_Normal"/>
    <w:link w:val="CEONormalChar"/>
    <w:rsid w:val="005905B6"/>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5905B6"/>
    <w:rPr>
      <w:rFonts w:ascii="Verdana" w:eastAsia="SimHei" w:hAnsi="Verdana" w:cs="Simplified Arabic"/>
      <w:sz w:val="19"/>
      <w:szCs w:val="28"/>
      <w:lang w:val="en-GB" w:eastAsia="en-US"/>
    </w:rPr>
  </w:style>
  <w:style w:type="character" w:styleId="CommentReference">
    <w:name w:val="annotation reference"/>
    <w:basedOn w:val="DefaultParagraphFont"/>
    <w:uiPriority w:val="99"/>
    <w:semiHidden/>
    <w:unhideWhenUsed/>
    <w:rsid w:val="005905B6"/>
    <w:rPr>
      <w:sz w:val="16"/>
      <w:szCs w:val="16"/>
    </w:rPr>
  </w:style>
  <w:style w:type="paragraph" w:styleId="CommentText">
    <w:name w:val="annotation text"/>
    <w:basedOn w:val="Normal"/>
    <w:link w:val="CommentTextChar"/>
    <w:uiPriority w:val="99"/>
    <w:unhideWhenUsed/>
    <w:rsid w:val="005905B6"/>
    <w:rPr>
      <w:sz w:val="20"/>
    </w:rPr>
  </w:style>
  <w:style w:type="character" w:customStyle="1" w:styleId="CommentTextChar">
    <w:name w:val="Comment Text Char"/>
    <w:basedOn w:val="DefaultParagraphFont"/>
    <w:link w:val="CommentText"/>
    <w:uiPriority w:val="99"/>
    <w:rsid w:val="005905B6"/>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5905B6"/>
    <w:rPr>
      <w:b/>
      <w:bCs/>
    </w:rPr>
  </w:style>
  <w:style w:type="character" w:customStyle="1" w:styleId="CommentSubjectChar">
    <w:name w:val="Comment Subject Char"/>
    <w:basedOn w:val="CommentTextChar"/>
    <w:link w:val="CommentSubject"/>
    <w:uiPriority w:val="99"/>
    <w:semiHidden/>
    <w:rsid w:val="005905B6"/>
    <w:rPr>
      <w:rFonts w:asciiTheme="minorHAnsi" w:hAnsiTheme="minorHAnsi"/>
      <w:b/>
      <w:bCs/>
      <w:lang w:val="en-GB" w:eastAsia="en-US"/>
    </w:rPr>
  </w:style>
  <w:style w:type="character" w:customStyle="1" w:styleId="Mention1">
    <w:name w:val="Mention1"/>
    <w:basedOn w:val="DefaultParagraphFont"/>
    <w:uiPriority w:val="99"/>
    <w:unhideWhenUsed/>
    <w:rsid w:val="005905B6"/>
    <w:rPr>
      <w:color w:val="2B579A"/>
      <w:shd w:val="clear" w:color="auto" w:fill="E1DFDD"/>
    </w:rPr>
  </w:style>
  <w:style w:type="paragraph" w:styleId="BalloonText">
    <w:name w:val="Balloon Text"/>
    <w:basedOn w:val="Normal"/>
    <w:link w:val="BalloonTextChar"/>
    <w:semiHidden/>
    <w:unhideWhenUsed/>
    <w:rsid w:val="005905B6"/>
    <w:pPr>
      <w:spacing w:before="0"/>
    </w:pPr>
    <w:rPr>
      <w:rFonts w:ascii="Times New Roman" w:hAnsi="Times New Roman"/>
      <w:sz w:val="18"/>
      <w:szCs w:val="18"/>
    </w:rPr>
  </w:style>
  <w:style w:type="character" w:customStyle="1" w:styleId="BalloonTextChar">
    <w:name w:val="Balloon Text Char"/>
    <w:basedOn w:val="DefaultParagraphFont"/>
    <w:link w:val="BalloonText"/>
    <w:semiHidden/>
    <w:rsid w:val="005905B6"/>
    <w:rPr>
      <w:rFonts w:ascii="Times New Roman" w:hAnsi="Times New Roman"/>
      <w:sz w:val="18"/>
      <w:szCs w:val="18"/>
      <w:lang w:val="en-GB" w:eastAsia="en-US"/>
    </w:rPr>
  </w:style>
  <w:style w:type="paragraph" w:customStyle="1" w:styleId="s21">
    <w:name w:val="s21"/>
    <w:basedOn w:val="Normal"/>
    <w:rsid w:val="005905B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styleId="NormalWeb">
    <w:name w:val="Normal (Web)"/>
    <w:basedOn w:val="Normal"/>
    <w:uiPriority w:val="99"/>
    <w:semiHidden/>
    <w:unhideWhenUsed/>
    <w:rsid w:val="005905B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ui-provider">
    <w:name w:val="ui-provider"/>
    <w:basedOn w:val="DefaultParagraphFont"/>
    <w:rsid w:val="005905B6"/>
  </w:style>
  <w:style w:type="paragraph" w:customStyle="1" w:styleId="Normal0">
    <w:name w:val="Normal 0"/>
    <w:basedOn w:val="Normal"/>
    <w:uiPriority w:val="1"/>
    <w:rsid w:val="005905B6"/>
    <w:pPr>
      <w:widowControl w:val="0"/>
      <w:ind w:hanging="719"/>
    </w:pPr>
    <w:rPr>
      <w:rFonts w:ascii="Courier New" w:eastAsiaTheme="minorEastAsia" w:hAnsi="Courier New" w:cs="Courier New"/>
    </w:rPr>
  </w:style>
  <w:style w:type="character" w:customStyle="1" w:styleId="ms-rtethemeforecolor-2-0">
    <w:name w:val="ms-rtethemeforecolor-2-0"/>
    <w:basedOn w:val="DefaultParagraphFont"/>
    <w:rsid w:val="005905B6"/>
  </w:style>
  <w:style w:type="character" w:customStyle="1" w:styleId="ms-rtefontface-13">
    <w:name w:val="ms-rtefontface-13"/>
    <w:basedOn w:val="DefaultParagraphFont"/>
    <w:rsid w:val="005905B6"/>
  </w:style>
  <w:style w:type="character" w:customStyle="1" w:styleId="ms-rtethemeforecolor-5-0">
    <w:name w:val="ms-rtethemeforecolor-5-0"/>
    <w:basedOn w:val="DefaultParagraphFont"/>
    <w:rsid w:val="005905B6"/>
  </w:style>
  <w:style w:type="character" w:customStyle="1" w:styleId="ms-rteforecolor-9">
    <w:name w:val="ms-rteforecolor-9"/>
    <w:basedOn w:val="DefaultParagraphFont"/>
    <w:rsid w:val="005905B6"/>
  </w:style>
  <w:style w:type="character" w:customStyle="1" w:styleId="ms-rtethemeforecolor-6-4">
    <w:name w:val="ms-rtethemeforecolor-6-4"/>
    <w:basedOn w:val="DefaultParagraphFont"/>
    <w:rsid w:val="005905B6"/>
  </w:style>
  <w:style w:type="character" w:customStyle="1" w:styleId="cf01">
    <w:name w:val="cf01"/>
    <w:basedOn w:val="DefaultParagraphFont"/>
    <w:rsid w:val="005905B6"/>
    <w:rPr>
      <w:rFonts w:ascii="Segoe UI" w:hAnsi="Segoe UI" w:cs="Segoe UI" w:hint="default"/>
      <w:color w:val="262626"/>
      <w:sz w:val="21"/>
      <w:szCs w:val="21"/>
    </w:rPr>
  </w:style>
  <w:style w:type="paragraph" w:customStyle="1" w:styleId="Colloquy1">
    <w:name w:val="Colloquy 1"/>
    <w:basedOn w:val="Normal"/>
    <w:next w:val="Normal"/>
    <w:uiPriority w:val="99"/>
    <w:rsid w:val="005905B6"/>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firstLine="720"/>
      <w:textAlignment w:val="auto"/>
    </w:pPr>
    <w:rPr>
      <w:rFonts w:ascii="Courier New" w:eastAsiaTheme="minorEastAsia" w:hAnsi="Courier New" w:cs="Courier New"/>
      <w:szCs w:val="24"/>
      <w:lang w:val="en-US"/>
      <w14:ligatures w14:val="standardContextual"/>
    </w:rPr>
  </w:style>
  <w:style w:type="character" w:customStyle="1" w:styleId="eop">
    <w:name w:val="eop"/>
    <w:basedOn w:val="DefaultParagraphFont"/>
    <w:rsid w:val="005905B6"/>
  </w:style>
  <w:style w:type="paragraph" w:customStyle="1" w:styleId="paragraph">
    <w:name w:val="paragraph"/>
    <w:basedOn w:val="Normal"/>
    <w:rsid w:val="005905B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en-GB"/>
    </w:rPr>
  </w:style>
  <w:style w:type="character" w:customStyle="1" w:styleId="scxw207633463">
    <w:name w:val="scxw207633463"/>
    <w:basedOn w:val="DefaultParagraphFont"/>
    <w:rsid w:val="005905B6"/>
  </w:style>
  <w:style w:type="paragraph" w:customStyle="1" w:styleId="p1">
    <w:name w:val="p1"/>
    <w:basedOn w:val="Normal"/>
    <w:rsid w:val="005905B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2">
    <w:name w:val="p2"/>
    <w:basedOn w:val="Normal"/>
    <w:rsid w:val="005905B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apple-converted-space">
    <w:name w:val="apple-converted-space"/>
    <w:basedOn w:val="DefaultParagraphFont"/>
    <w:rsid w:val="005905B6"/>
  </w:style>
  <w:style w:type="paragraph" w:customStyle="1" w:styleId="p3">
    <w:name w:val="p3"/>
    <w:basedOn w:val="Normal"/>
    <w:rsid w:val="005905B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table" w:styleId="GridTable4-Accent1">
    <w:name w:val="Grid Table 4 Accent 1"/>
    <w:basedOn w:val="TableNormal"/>
    <w:uiPriority w:val="49"/>
    <w:rsid w:val="005905B6"/>
    <w:pPr>
      <w:widowControl w:val="0"/>
      <w:autoSpaceDE w:val="0"/>
      <w:autoSpaceDN w:val="0"/>
    </w:pPr>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sonormal0">
    <w:name w:val="msonormal"/>
    <w:basedOn w:val="Normal"/>
    <w:rsid w:val="005905B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textrun">
    <w:name w:val="textrun"/>
    <w:basedOn w:val="DefaultParagraphFont"/>
    <w:rsid w:val="005905B6"/>
  </w:style>
  <w:style w:type="paragraph" w:customStyle="1" w:styleId="outlineelement">
    <w:name w:val="outlineelement"/>
    <w:basedOn w:val="Normal"/>
    <w:rsid w:val="005905B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pagebreakblob">
    <w:name w:val="pagebreakblob"/>
    <w:basedOn w:val="DefaultParagraphFont"/>
    <w:rsid w:val="005905B6"/>
  </w:style>
  <w:style w:type="character" w:customStyle="1" w:styleId="pagebreaktextspan">
    <w:name w:val="pagebreaktextspan"/>
    <w:basedOn w:val="DefaultParagraphFont"/>
    <w:rsid w:val="005905B6"/>
  </w:style>
  <w:style w:type="character" w:customStyle="1" w:styleId="pagebreakborderspan">
    <w:name w:val="pagebreakborderspan"/>
    <w:basedOn w:val="DefaultParagraphFont"/>
    <w:rsid w:val="005905B6"/>
  </w:style>
  <w:style w:type="character" w:customStyle="1" w:styleId="scxw216800342">
    <w:name w:val="scxw216800342"/>
    <w:basedOn w:val="DefaultParagraphFont"/>
    <w:rsid w:val="005905B6"/>
  </w:style>
  <w:style w:type="character" w:customStyle="1" w:styleId="wacimagecontainer">
    <w:name w:val="wacimagecontainer"/>
    <w:basedOn w:val="DefaultParagraphFont"/>
    <w:rsid w:val="005905B6"/>
  </w:style>
  <w:style w:type="character" w:customStyle="1" w:styleId="linebreakblob">
    <w:name w:val="linebreakblob"/>
    <w:basedOn w:val="DefaultParagraphFont"/>
    <w:rsid w:val="005905B6"/>
  </w:style>
  <w:style w:type="character" w:customStyle="1" w:styleId="AnnexNoChar">
    <w:name w:val="Annex_No Char"/>
    <w:basedOn w:val="DefaultParagraphFont"/>
    <w:link w:val="AnnexNo"/>
    <w:locked/>
    <w:rsid w:val="005905B6"/>
    <w:rPr>
      <w:rFonts w:asciiTheme="minorHAnsi" w:hAnsiTheme="minorHAnsi"/>
      <w:caps/>
      <w:sz w:val="28"/>
      <w:lang w:val="en-GB" w:eastAsia="en-US"/>
    </w:rPr>
  </w:style>
  <w:style w:type="character" w:customStyle="1" w:styleId="CallChar">
    <w:name w:val="Call Char"/>
    <w:basedOn w:val="DefaultParagraphFont"/>
    <w:link w:val="Call"/>
    <w:locked/>
    <w:rsid w:val="005905B6"/>
    <w:rPr>
      <w:rFonts w:asciiTheme="minorHAnsi" w:hAnsiTheme="minorHAnsi"/>
      <w:i/>
      <w:sz w:val="24"/>
      <w:lang w:val="en-GB" w:eastAsia="en-US"/>
    </w:rPr>
  </w:style>
  <w:style w:type="character" w:customStyle="1" w:styleId="enumlev1Char">
    <w:name w:val="enumlev1 Char"/>
    <w:basedOn w:val="DefaultParagraphFont"/>
    <w:link w:val="enumlev1"/>
    <w:locked/>
    <w:rsid w:val="005905B6"/>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5905B6"/>
    <w:rPr>
      <w:rFonts w:asciiTheme="minorHAnsi" w:hAnsiTheme="minorHAnsi"/>
      <w:sz w:val="24"/>
      <w:lang w:val="en-GB" w:eastAsia="en-US"/>
    </w:rPr>
  </w:style>
  <w:style w:type="character" w:customStyle="1" w:styleId="ResNoChar">
    <w:name w:val="Res_No Char"/>
    <w:basedOn w:val="DefaultParagraphFont"/>
    <w:link w:val="ResNo"/>
    <w:locked/>
    <w:rsid w:val="005905B6"/>
    <w:rPr>
      <w:rFonts w:asciiTheme="minorHAnsi" w:hAnsiTheme="minorHAnsi"/>
      <w:caps/>
      <w:sz w:val="28"/>
      <w:lang w:val="en-GB" w:eastAsia="en-US"/>
    </w:rPr>
  </w:style>
  <w:style w:type="character" w:customStyle="1" w:styleId="href">
    <w:name w:val="href"/>
    <w:basedOn w:val="DefaultParagraphFont"/>
    <w:rsid w:val="005905B6"/>
    <w:rPr>
      <w:color w:val="auto"/>
    </w:rPr>
  </w:style>
  <w:style w:type="character" w:customStyle="1" w:styleId="Heading1Char">
    <w:name w:val="Heading 1 Char"/>
    <w:basedOn w:val="DefaultParagraphFont"/>
    <w:link w:val="Heading1"/>
    <w:rsid w:val="005905B6"/>
    <w:rPr>
      <w:rFonts w:asciiTheme="minorHAnsi" w:hAnsiTheme="minorHAnsi"/>
      <w:b/>
      <w:sz w:val="28"/>
      <w:lang w:val="en-GB" w:eastAsia="en-US"/>
    </w:rPr>
  </w:style>
  <w:style w:type="character" w:customStyle="1" w:styleId="HeadingbChar">
    <w:name w:val="Heading_b Char"/>
    <w:basedOn w:val="DefaultParagraphFont"/>
    <w:link w:val="Headingb"/>
    <w:locked/>
    <w:rsid w:val="005905B6"/>
    <w:rPr>
      <w:rFonts w:asciiTheme="minorHAnsi" w:hAnsiTheme="minorHAnsi"/>
      <w:b/>
      <w:sz w:val="24"/>
      <w:lang w:val="en-GB" w:eastAsia="en-US"/>
    </w:rPr>
  </w:style>
  <w:style w:type="character" w:customStyle="1" w:styleId="Heading2Char">
    <w:name w:val="Heading 2 Char"/>
    <w:basedOn w:val="DefaultParagraphFont"/>
    <w:link w:val="Heading2"/>
    <w:uiPriority w:val="9"/>
    <w:rsid w:val="005905B6"/>
    <w:rPr>
      <w:rFonts w:asciiTheme="minorHAnsi" w:hAnsiTheme="minorHAnsi"/>
      <w:b/>
      <w:sz w:val="24"/>
      <w:lang w:val="en-GB" w:eastAsia="en-US"/>
    </w:rPr>
  </w:style>
  <w:style w:type="paragraph" w:customStyle="1" w:styleId="Heading30">
    <w:name w:val="Heading_3"/>
    <w:basedOn w:val="Headingb"/>
    <w:rsid w:val="00177AE6"/>
    <w:rPr>
      <w:lang w:val="es-ES_tradnl"/>
    </w:rPr>
  </w:style>
  <w:style w:type="paragraph" w:customStyle="1" w:styleId="Heading20">
    <w:name w:val="Heading_2"/>
    <w:basedOn w:val="Heading30"/>
    <w:rsid w:val="00177AE6"/>
  </w:style>
  <w:style w:type="paragraph" w:customStyle="1" w:styleId="Figure">
    <w:name w:val="Figure"/>
    <w:basedOn w:val="Normal"/>
    <w:rsid w:val="00376D40"/>
    <w:rPr>
      <w:noProof/>
    </w:rPr>
  </w:style>
  <w:style w:type="paragraph" w:customStyle="1" w:styleId="FootnoteReference10pt">
    <w:name w:val="Footnote Reference + 10 pt"/>
    <w:basedOn w:val="BodyText"/>
    <w:rsid w:val="00A04DF2"/>
    <w:rPr>
      <w:rFonts w:cstheme="minorHAnsi"/>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22-TDAG32-INF-0015/es" TargetMode="External"/><Relationship Id="rId299" Type="http://schemas.openxmlformats.org/officeDocument/2006/relationships/hyperlink" Target="https://www.itu.int/md/D22-TDAG.WG.SGQ-C-0043" TargetMode="External"/><Relationship Id="rId21" Type="http://schemas.openxmlformats.org/officeDocument/2006/relationships/hyperlink" Target="https://www.youtube.com/watch?v=TbcJt2Zgfxo" TargetMode="External"/><Relationship Id="rId63" Type="http://schemas.openxmlformats.org/officeDocument/2006/relationships/hyperlink" Target="https://www.itu.int/md/D22-TDAG32-C-0011/" TargetMode="External"/><Relationship Id="rId159" Type="http://schemas.openxmlformats.org/officeDocument/2006/relationships/hyperlink" Target="https://www.itu.int/md/D22-TDAG32-250512-TD-0008/es" TargetMode="External"/><Relationship Id="rId324" Type="http://schemas.openxmlformats.org/officeDocument/2006/relationships/hyperlink" Target="https://www.itu.int/md/D22-TDAG.WG.SGQ-C-0019/en" TargetMode="External"/><Relationship Id="rId366" Type="http://schemas.openxmlformats.org/officeDocument/2006/relationships/hyperlink" Target="https://www.itu.int/md/D22-TDAG.WG.SGQ-C-0023/en" TargetMode="External"/><Relationship Id="rId170" Type="http://schemas.openxmlformats.org/officeDocument/2006/relationships/hyperlink" Target="https://www.itu.int/md/D22-TDAG32-C-0027/" TargetMode="External"/><Relationship Id="rId226" Type="http://schemas.openxmlformats.org/officeDocument/2006/relationships/hyperlink" Target="https://www.itu.int/md/D22-TDAG31-240520-TD-0004/en" TargetMode="External"/><Relationship Id="rId433" Type="http://schemas.openxmlformats.org/officeDocument/2006/relationships/hyperlink" Target="https://www.itu.int/md/D22-TDAG.WG.SR-C-0029/" TargetMode="External"/><Relationship Id="rId268" Type="http://schemas.openxmlformats.org/officeDocument/2006/relationships/hyperlink" Target="https://www.itu.int/md/D22-TDAG.WG.DEC-C-0012/" TargetMode="External"/><Relationship Id="rId32" Type="http://schemas.openxmlformats.org/officeDocument/2006/relationships/hyperlink" Target="https://www.itu.int/md/D22-TDAG32-C-0043/en" TargetMode="External"/><Relationship Id="rId74" Type="http://schemas.openxmlformats.org/officeDocument/2006/relationships/hyperlink" Target="https://www.itu.int/md/D22-TDAG32-C-0015/" TargetMode="External"/><Relationship Id="rId128" Type="http://schemas.openxmlformats.org/officeDocument/2006/relationships/hyperlink" Target="https://www.itu.int/md/meetingdoc.asp?lang=en&amp;parent=D22-TDAG32-250512-TD-0002" TargetMode="External"/><Relationship Id="rId335" Type="http://schemas.openxmlformats.org/officeDocument/2006/relationships/hyperlink" Target="https://www.itu.int/md/D22-TDAG.WG.SGQ-C-0028" TargetMode="External"/><Relationship Id="rId377" Type="http://schemas.openxmlformats.org/officeDocument/2006/relationships/hyperlink" Target="https://www.itu.int/md/D22-TDAG.WG.SGQ-C-0038" TargetMode="External"/><Relationship Id="rId5" Type="http://schemas.openxmlformats.org/officeDocument/2006/relationships/numbering" Target="numbering.xml"/><Relationship Id="rId181" Type="http://schemas.openxmlformats.org/officeDocument/2006/relationships/hyperlink" Target="https://youtu.be/0Q1A-_uFb2U?feature=shared" TargetMode="External"/><Relationship Id="rId237" Type="http://schemas.openxmlformats.org/officeDocument/2006/relationships/hyperlink" Target="https://www.itu.int/md/D22-TDAG.WG.DEC-INF-0001/" TargetMode="External"/><Relationship Id="rId402" Type="http://schemas.openxmlformats.org/officeDocument/2006/relationships/hyperlink" Target="https://www.itu.int/md/D22-TDAG31-240520-TD-0003/" TargetMode="External"/><Relationship Id="rId279" Type="http://schemas.openxmlformats.org/officeDocument/2006/relationships/hyperlink" Target="https://www.itu.int/md/D22-TDAG31-C-0025/es" TargetMode="External"/><Relationship Id="rId444" Type="http://schemas.openxmlformats.org/officeDocument/2006/relationships/hyperlink" Target="https://www.itu.int/md/D22-TDAG.WG.SR-C-0033/en" TargetMode="External"/><Relationship Id="rId43" Type="http://schemas.openxmlformats.org/officeDocument/2006/relationships/hyperlink" Target="https://www.itu.int/md/D22-TDAG32-C-0036/es" TargetMode="External"/><Relationship Id="rId139" Type="http://schemas.openxmlformats.org/officeDocument/2006/relationships/hyperlink" Target="https://www.itu.int/md/D22-TDAG32-250512-TD-0004/es" TargetMode="External"/><Relationship Id="rId290" Type="http://schemas.openxmlformats.org/officeDocument/2006/relationships/hyperlink" Target="https://www.itu.int/md/D22-TDAG.WG.SGQ-C-0023/en" TargetMode="External"/><Relationship Id="rId304" Type="http://schemas.openxmlformats.org/officeDocument/2006/relationships/hyperlink" Target="https://www.itu.int/md/D22-TDAG.WG.SGQ-C-0043" TargetMode="External"/><Relationship Id="rId346" Type="http://schemas.openxmlformats.org/officeDocument/2006/relationships/hyperlink" Target="https://www.itu.int/md/D22-TDAG.WG.SGQ-C-0037" TargetMode="External"/><Relationship Id="rId388" Type="http://schemas.openxmlformats.org/officeDocument/2006/relationships/hyperlink" Target="https://www.itu.int/en/ITU-D/Statistics/Pages/SDGs-ITU-ICT-indicators.aspx" TargetMode="External"/><Relationship Id="rId85" Type="http://schemas.openxmlformats.org/officeDocument/2006/relationships/hyperlink" Target="https://www.itu.int/md/D22-TDAG32-C-0056/es" TargetMode="External"/><Relationship Id="rId150" Type="http://schemas.openxmlformats.org/officeDocument/2006/relationships/hyperlink" Target="https://www.itu.int/md/D22-TDAG32-C-0059/" TargetMode="External"/><Relationship Id="rId192" Type="http://schemas.openxmlformats.org/officeDocument/2006/relationships/hyperlink" Target="https://www.itu.int/md/D22-TDAG31-240520-TD-0005/en" TargetMode="External"/><Relationship Id="rId206" Type="http://schemas.openxmlformats.org/officeDocument/2006/relationships/hyperlink" Target="https://www.itu.int/md/D22-TDAG.WG.ITUDP-C-0013/en" TargetMode="External"/><Relationship Id="rId413" Type="http://schemas.openxmlformats.org/officeDocument/2006/relationships/hyperlink" Target="https://www.itu.int/en/general-secretariat/Pages/ISCG/default.aspx" TargetMode="External"/><Relationship Id="rId248" Type="http://schemas.openxmlformats.org/officeDocument/2006/relationships/hyperlink" Target="https://www.itu.int/md/D22-TDAG.WG.DEC-250514-TD-0001/en" TargetMode="External"/><Relationship Id="rId455" Type="http://schemas.openxmlformats.org/officeDocument/2006/relationships/hyperlink" Target="https://www.itu.int/dms_pub/itu-d/md/22/tdag32/c/D22-TDAG32-C-0020!N1!PDF-E.pdf" TargetMode="External"/><Relationship Id="rId12" Type="http://schemas.openxmlformats.org/officeDocument/2006/relationships/image" Target="media/image2.jpeg"/><Relationship Id="rId108" Type="http://schemas.openxmlformats.org/officeDocument/2006/relationships/hyperlink" Target="https://www.itu.int/md/D22-TDAG32-C-0021/" TargetMode="External"/><Relationship Id="rId315" Type="http://schemas.openxmlformats.org/officeDocument/2006/relationships/hyperlink" Target="https://www.itu.int/md/D22-TDAG.WG.SGQ-C-0027" TargetMode="External"/><Relationship Id="rId357" Type="http://schemas.openxmlformats.org/officeDocument/2006/relationships/image" Target="media/image5.png"/><Relationship Id="rId54" Type="http://schemas.openxmlformats.org/officeDocument/2006/relationships/hyperlink" Target="https://www.itu.int/md/D22-TDAG32-C-0010/" TargetMode="External"/><Relationship Id="rId96" Type="http://schemas.openxmlformats.org/officeDocument/2006/relationships/hyperlink" Target="https://www.itu.int/md/D22-TDAG32-C-0053/" TargetMode="External"/><Relationship Id="rId161" Type="http://schemas.openxmlformats.org/officeDocument/2006/relationships/hyperlink" Target="https://www.itu.int/md/D22-TDAG32-C-0045/es" TargetMode="External"/><Relationship Id="rId217" Type="http://schemas.openxmlformats.org/officeDocument/2006/relationships/hyperlink" Target="https://www.itu.int/md/D22-TDAG32-C-0056/es" TargetMode="External"/><Relationship Id="rId399" Type="http://schemas.openxmlformats.org/officeDocument/2006/relationships/hyperlink" Target="https://www.itu.int/md/D22-TDAG31-C-0037/" TargetMode="External"/><Relationship Id="rId259" Type="http://schemas.openxmlformats.org/officeDocument/2006/relationships/hyperlink" Target="https://www.itu.int/md/D22-TDAG.WG.DEC-INF-0001/" TargetMode="External"/><Relationship Id="rId424" Type="http://schemas.openxmlformats.org/officeDocument/2006/relationships/hyperlink" Target="https://www.itu.int/md/D22-TDAG.WG.SR-C-0019/" TargetMode="External"/><Relationship Id="rId23" Type="http://schemas.openxmlformats.org/officeDocument/2006/relationships/hyperlink" Target="https://www.youtube.com/watch?v=TbcJt2Zgfxo" TargetMode="External"/><Relationship Id="rId119" Type="http://schemas.openxmlformats.org/officeDocument/2006/relationships/hyperlink" Target="https://www.itu.int/md/D22-TDAG32-C-0023/" TargetMode="External"/><Relationship Id="rId270" Type="http://schemas.openxmlformats.org/officeDocument/2006/relationships/hyperlink" Target="https://www.itu.int/md/D22-TDAG.WG.DEC-C-0012/" TargetMode="External"/><Relationship Id="rId326" Type="http://schemas.openxmlformats.org/officeDocument/2006/relationships/hyperlink" Target="https://www.itu.int/md/D22-TDAG.WG.SGQ-C-0030" TargetMode="External"/><Relationship Id="rId65" Type="http://schemas.openxmlformats.org/officeDocument/2006/relationships/hyperlink" Target="https://www.itu.int/md/D22-TDAG32-C-0012/es" TargetMode="External"/><Relationship Id="rId130" Type="http://schemas.openxmlformats.org/officeDocument/2006/relationships/hyperlink" Target="https://www.itu.int/md/meetingdoc.asp?lang=en&amp;parent=D22-TDAG32-C-0030" TargetMode="External"/><Relationship Id="rId368" Type="http://schemas.openxmlformats.org/officeDocument/2006/relationships/hyperlink" Target="https://www.itu.int/md/D22-TDAG.WG.SGQ-C-0023/en" TargetMode="External"/><Relationship Id="rId172" Type="http://schemas.openxmlformats.org/officeDocument/2006/relationships/hyperlink" Target="https://www.itu.int/md/D22-TDAG32-C-0028/" TargetMode="External"/><Relationship Id="rId228" Type="http://schemas.openxmlformats.org/officeDocument/2006/relationships/hyperlink" Target="https://www.itu.int/md/D22-TDAG.WG.DEC-C-0002/" TargetMode="External"/><Relationship Id="rId435" Type="http://schemas.openxmlformats.org/officeDocument/2006/relationships/hyperlink" Target="https://www.itu.int/md/D22-TDAG.WG.SR-C-0024/" TargetMode="External"/><Relationship Id="rId281" Type="http://schemas.openxmlformats.org/officeDocument/2006/relationships/hyperlink" Target="https://www.itu.int/md/D22-TDAG.EXTRA-C-0004/es" TargetMode="External"/><Relationship Id="rId337" Type="http://schemas.openxmlformats.org/officeDocument/2006/relationships/hyperlink" Target="https://www.itu.int/md/D22-TDAG.WG.SGQ-C-0022/es" TargetMode="External"/><Relationship Id="rId34" Type="http://schemas.openxmlformats.org/officeDocument/2006/relationships/hyperlink" Target="https://www.itu.int/md/D22-TDAG32-C-0041/en" TargetMode="External"/><Relationship Id="rId76" Type="http://schemas.openxmlformats.org/officeDocument/2006/relationships/hyperlink" Target="https://www.itu.int/md/D22-TDAG32-C-0048/" TargetMode="External"/><Relationship Id="rId141" Type="http://schemas.openxmlformats.org/officeDocument/2006/relationships/hyperlink" Target="https://www.itu.int/md/D22-TDAG32-C-0032/es" TargetMode="External"/><Relationship Id="rId379" Type="http://schemas.openxmlformats.org/officeDocument/2006/relationships/hyperlink" Target="https://www.itu.int/md/D22-TDAG.WG.SGQ-C-0038" TargetMode="External"/><Relationship Id="rId7" Type="http://schemas.openxmlformats.org/officeDocument/2006/relationships/settings" Target="settings.xml"/><Relationship Id="rId183" Type="http://schemas.openxmlformats.org/officeDocument/2006/relationships/hyperlink" Target="https://youtu.be/_TmRrANEy9Y?feature=shared" TargetMode="External"/><Relationship Id="rId239" Type="http://schemas.openxmlformats.org/officeDocument/2006/relationships/hyperlink" Target="https://www.itu.int/md/D22-TDAG.WG.DEC-C-0007/" TargetMode="External"/><Relationship Id="rId390" Type="http://schemas.openxmlformats.org/officeDocument/2006/relationships/hyperlink" Target="https://www.itu.int/md/D22-TDAG.WG.SR-C-0002/" TargetMode="External"/><Relationship Id="rId404" Type="http://schemas.openxmlformats.org/officeDocument/2006/relationships/hyperlink" Target="https://www.itu.int/md/D22-TDAG31-240520-TD-0003/" TargetMode="External"/><Relationship Id="rId446" Type="http://schemas.openxmlformats.org/officeDocument/2006/relationships/hyperlink" Target="https://www.itu.int/md/D22-TDAG.WG.SR-INF-0001/es" TargetMode="External"/><Relationship Id="rId250" Type="http://schemas.openxmlformats.org/officeDocument/2006/relationships/hyperlink" Target="https://www.itu.int/en/ITU-D/Conferences/TDAG/Pages/2024/default.aspx" TargetMode="External"/><Relationship Id="rId292" Type="http://schemas.openxmlformats.org/officeDocument/2006/relationships/hyperlink" Target="https://www.itu.int/md/D22-TDAG.WG.SGQ-C-0025/en" TargetMode="External"/><Relationship Id="rId306" Type="http://schemas.openxmlformats.org/officeDocument/2006/relationships/hyperlink" Target="https://www.itu.int/md/D22-TDAG32-C-0019/en" TargetMode="External"/><Relationship Id="rId45" Type="http://schemas.openxmlformats.org/officeDocument/2006/relationships/hyperlink" Target="https://www.itu.int/md/D22-TDAG32-C-0008/" TargetMode="External"/><Relationship Id="rId87" Type="http://schemas.openxmlformats.org/officeDocument/2006/relationships/hyperlink" Target="https://www.itu.int/md/D22-TDAG32-C-0016/es" TargetMode="External"/><Relationship Id="rId110" Type="http://schemas.openxmlformats.org/officeDocument/2006/relationships/hyperlink" Target="https://www.itu.int/md/D22-TDAG32-C-0022/" TargetMode="External"/><Relationship Id="rId348" Type="http://schemas.openxmlformats.org/officeDocument/2006/relationships/hyperlink" Target="https://www.itu.int/md/D22-TDAG.WG.SGQ-C-0039" TargetMode="External"/><Relationship Id="rId152" Type="http://schemas.openxmlformats.org/officeDocument/2006/relationships/hyperlink" Target="https://www.itu.int/md/meetingdoc.asp?lang=en&amp;parent=D22-TDAG32-250512-TD-0005" TargetMode="External"/><Relationship Id="rId194" Type="http://schemas.openxmlformats.org/officeDocument/2006/relationships/hyperlink" Target="https://www.itu.int/md/D22-TDAG.WG.ITUDP-C-0003/en" TargetMode="External"/><Relationship Id="rId208" Type="http://schemas.openxmlformats.org/officeDocument/2006/relationships/hyperlink" Target="https://www.itu.int/md/D22-TDAG.WG.ITUDP-C-0018/en" TargetMode="External"/><Relationship Id="rId415" Type="http://schemas.openxmlformats.org/officeDocument/2006/relationships/hyperlink" Target="https://eur03.safelinks.protection.outlook.com/?url=https%3A%2F%2Fteams.microsoft.com%2Fl%2Fteam%2F19%253A3WrhCSCdZ2JTeqexFL4IHSY3A901wMByGTKgu1zzf241%2540thread.tacv2%2Fconversations%3FgroupId%3D0ae7b5ea-5684-4e49-9878-a2478c3bc049%26tenantId%3D23e464d7-04e6-4b87-913c-24bd89219fd3&amp;data=05%7C02%7Cramita.sharma%40itu.int%7Cd15f9ac962144c0e902908dccdadd7c4%7C23e464d704e64b87913c24bd89219fd3%7C0%7C0%7C638611394155041397%7CUnknown%7CTWFpbGZsb3d8eyJWIjoiMC4wLjAwMDAiLCJQIjoiV2luMzIiLCJBTiI6Ik1haWwiLCJXVCI6Mn0%3D%7C0%7C%7C%7C&amp;sdata=vJ77TRwobxW%2BEi0S4D%2BL17SOBs4HH7I108eCPhlMzzs%3D&amp;reserved=0" TargetMode="External"/><Relationship Id="rId457" Type="http://schemas.openxmlformats.org/officeDocument/2006/relationships/hyperlink" Target="https://www.itu.int/dms_pub/itu-d/md/22/tdag32/c/D22-TDAG32-C-0020!N2!PDF-E.pdf" TargetMode="External"/><Relationship Id="rId261" Type="http://schemas.openxmlformats.org/officeDocument/2006/relationships/hyperlink" Target="https://www.itu.int/md/D22-TDAG.WG.DEC-INF-0001/" TargetMode="External"/><Relationship Id="rId14" Type="http://schemas.openxmlformats.org/officeDocument/2006/relationships/hyperlink" Target="https://www.itu.int/dms_ties/itu-d/md/22/tdag32/c/D22-TDAG32-C-0061!!PDF-E.pdf" TargetMode="External"/><Relationship Id="rId56" Type="http://schemas.openxmlformats.org/officeDocument/2006/relationships/hyperlink" Target="https://www.itu.int/md/D22-TDAG32-C-0049/" TargetMode="External"/><Relationship Id="rId317" Type="http://schemas.openxmlformats.org/officeDocument/2006/relationships/hyperlink" Target="https://www.itu.int/md/D22-TDAG.WG.SGQ-C-0018/es" TargetMode="External"/><Relationship Id="rId359" Type="http://schemas.openxmlformats.org/officeDocument/2006/relationships/hyperlink" Target="https://www.itu.int/md/D22-TDAG.WG.SGQ-C-0025/" TargetMode="External"/><Relationship Id="rId98" Type="http://schemas.openxmlformats.org/officeDocument/2006/relationships/hyperlink" Target="https://www.itu.int/md/D22-TDAG32-C-0057/" TargetMode="External"/><Relationship Id="rId121" Type="http://schemas.openxmlformats.org/officeDocument/2006/relationships/hyperlink" Target="https://www.itu.int/md/D22-TDAG32-C-0024/es" TargetMode="External"/><Relationship Id="rId163" Type="http://schemas.openxmlformats.org/officeDocument/2006/relationships/hyperlink" Target="https://www.itu.int/md/D22-TDAG32-250512-TD-0010/es" TargetMode="External"/><Relationship Id="rId219" Type="http://schemas.openxmlformats.org/officeDocument/2006/relationships/hyperlink" Target="https://www.itu.int/md/D22-TDAG31-C-0002/es" TargetMode="External"/><Relationship Id="rId370" Type="http://schemas.openxmlformats.org/officeDocument/2006/relationships/hyperlink" Target="https://www.itu.int/md/D22-TDAG.WG.SGQ-C-0034/" TargetMode="External"/><Relationship Id="rId426" Type="http://schemas.openxmlformats.org/officeDocument/2006/relationships/hyperlink" Target="https://www.itu.int/md/D22-TDAG.WG.SR-C-0021/en" TargetMode="External"/><Relationship Id="rId230" Type="http://schemas.openxmlformats.org/officeDocument/2006/relationships/hyperlink" Target="https://www.itu.int/md/D22-TDAG.WG.DEC-C-0006/" TargetMode="External"/><Relationship Id="rId25" Type="http://schemas.openxmlformats.org/officeDocument/2006/relationships/hyperlink" Target="https://www.itu.int/md/D22-TDAG32-C-0003/es" TargetMode="External"/><Relationship Id="rId67" Type="http://schemas.openxmlformats.org/officeDocument/2006/relationships/hyperlink" Target="https://youtu.be/AnALX0PEerA?si=uZ31pHoe8nKDbc9r" TargetMode="External"/><Relationship Id="rId272" Type="http://schemas.openxmlformats.org/officeDocument/2006/relationships/hyperlink" Target="https://www.itu.int/md/D22-TDAG.WG.DEC-250514-TD-0001/es" TargetMode="External"/><Relationship Id="rId328" Type="http://schemas.openxmlformats.org/officeDocument/2006/relationships/hyperlink" Target="https://www.itu.int/md/D22-TDAG.WG.SGQ-C-0030" TargetMode="External"/><Relationship Id="rId132" Type="http://schemas.openxmlformats.org/officeDocument/2006/relationships/hyperlink" Target="https://www.itu.int/md/meetingdoc.asp?lang=en&amp;parent=D22-TDAG32-250512-TD-0003" TargetMode="External"/><Relationship Id="rId174" Type="http://schemas.openxmlformats.org/officeDocument/2006/relationships/hyperlink" Target="https://www.itu.int/md/D22-TDAG32-C-0055/" TargetMode="External"/><Relationship Id="rId381" Type="http://schemas.openxmlformats.org/officeDocument/2006/relationships/hyperlink" Target="https://www.itu.int/md/D22-TDAG.WG.SGQ-C-0050/" TargetMode="External"/><Relationship Id="rId241" Type="http://schemas.openxmlformats.org/officeDocument/2006/relationships/hyperlink" Target="https://www.itu.int/md/D22-TDAG.WG.DEC-C-0009/es" TargetMode="External"/><Relationship Id="rId437" Type="http://schemas.openxmlformats.org/officeDocument/2006/relationships/hyperlink" Target="https://www.itu.int/md/D22-TDAG.WG.SR-C-0026/" TargetMode="External"/><Relationship Id="rId36" Type="http://schemas.openxmlformats.org/officeDocument/2006/relationships/hyperlink" Target="https://www.itu.int/md/D22-TDAG32-C-0006/" TargetMode="External"/><Relationship Id="rId283" Type="http://schemas.openxmlformats.org/officeDocument/2006/relationships/hyperlink" Target="https://www.itu.int/md/D22-TDAG.WG.SGQ-C-0006/es" TargetMode="External"/><Relationship Id="rId339" Type="http://schemas.openxmlformats.org/officeDocument/2006/relationships/hyperlink" Target="https://www.itu.int/md/D22-TDAG.WG.SGQ-C-0022/en" TargetMode="External"/><Relationship Id="rId78" Type="http://schemas.openxmlformats.org/officeDocument/2006/relationships/hyperlink" Target="https://www.itu.int/md/D22-TDAG32-C-0034/" TargetMode="External"/><Relationship Id="rId101" Type="http://schemas.openxmlformats.org/officeDocument/2006/relationships/hyperlink" Target="https://www.itu.int/md/D22-TDAG32-C-0042/es" TargetMode="External"/><Relationship Id="rId143" Type="http://schemas.openxmlformats.org/officeDocument/2006/relationships/hyperlink" Target="https://www.itu.int/md/D22-TDAG32-250512-TD-0005/es" TargetMode="External"/><Relationship Id="rId185" Type="http://schemas.openxmlformats.org/officeDocument/2006/relationships/hyperlink" Target="https://youtu.be/n-9xwzs0i9I?feature=shared" TargetMode="External"/><Relationship Id="rId350" Type="http://schemas.openxmlformats.org/officeDocument/2006/relationships/hyperlink" Target="https://www.itu.int/md/D22-TDAG.WG.SGQ-C-0044" TargetMode="External"/><Relationship Id="rId406" Type="http://schemas.openxmlformats.org/officeDocument/2006/relationships/hyperlink" Target="https://www.itu.int/md/D22-TDAG30-C-0031/" TargetMode="External"/><Relationship Id="rId9" Type="http://schemas.openxmlformats.org/officeDocument/2006/relationships/footnotes" Target="footnotes.xml"/><Relationship Id="rId210" Type="http://schemas.openxmlformats.org/officeDocument/2006/relationships/hyperlink" Target="https://www.itu.int/md/D22-TDAG.WG.ITUDP-C-0019/es" TargetMode="External"/><Relationship Id="rId392" Type="http://schemas.openxmlformats.org/officeDocument/2006/relationships/hyperlink" Target="https://www.itu.int/md/D22-TDAG.WG.SR-C-0003/" TargetMode="External"/><Relationship Id="rId448" Type="http://schemas.openxmlformats.org/officeDocument/2006/relationships/hyperlink" Target="https://www.itu.int/md/D22-TDAG.WG.SR-C-0031/" TargetMode="External"/><Relationship Id="rId252" Type="http://schemas.openxmlformats.org/officeDocument/2006/relationships/hyperlink" Target="https://www.itu.int/md/D22-TDAG31-240520-TD-0004/es" TargetMode="External"/><Relationship Id="rId294" Type="http://schemas.openxmlformats.org/officeDocument/2006/relationships/hyperlink" Target="https://www.itu.int/md/D22-TDAG.WG.SGQ-C-0029" TargetMode="External"/><Relationship Id="rId308" Type="http://schemas.openxmlformats.org/officeDocument/2006/relationships/hyperlink" Target="https://www.itu.int/md/D22-TDAG.WG.SGQ-C-0043/" TargetMode="External"/><Relationship Id="rId47" Type="http://schemas.openxmlformats.org/officeDocument/2006/relationships/hyperlink" Target="https://www.itu.int/md/D22-TDAG32-INF-0001/es" TargetMode="External"/><Relationship Id="rId89" Type="http://schemas.openxmlformats.org/officeDocument/2006/relationships/hyperlink" Target="https://www.itu.int/md/D22-TDAG32-C-0017/es" TargetMode="External"/><Relationship Id="rId112" Type="http://schemas.openxmlformats.org/officeDocument/2006/relationships/hyperlink" Target="https://youtu.be/QvCYhjH9gKs?si=9EJEAJTkXgXpYbgN" TargetMode="External"/><Relationship Id="rId154" Type="http://schemas.openxmlformats.org/officeDocument/2006/relationships/hyperlink" Target="https://www.itu.int/md/D22-TDAG32-C-0035/" TargetMode="External"/><Relationship Id="rId361" Type="http://schemas.openxmlformats.org/officeDocument/2006/relationships/hyperlink" Target="https://www.itu.int/md/D22-TDAG.WG.SGQ-C-0018/es" TargetMode="External"/><Relationship Id="rId196" Type="http://schemas.openxmlformats.org/officeDocument/2006/relationships/hyperlink" Target="https://www.itu.int/md/D22-TDAG.WG.ITUDP-C-0006/" TargetMode="External"/><Relationship Id="rId417" Type="http://schemas.openxmlformats.org/officeDocument/2006/relationships/hyperlink" Target="https://www.itu.int/md/D22-TDAG.WG.SR-C-0014/" TargetMode="External"/><Relationship Id="rId459" Type="http://schemas.openxmlformats.org/officeDocument/2006/relationships/footer" Target="footer1.xml"/><Relationship Id="rId16" Type="http://schemas.openxmlformats.org/officeDocument/2006/relationships/hyperlink" Target="https://www.itu.int/md/D22-TDAG32-C-0001/es" TargetMode="External"/><Relationship Id="rId221" Type="http://schemas.openxmlformats.org/officeDocument/2006/relationships/image" Target="media/image3.png"/><Relationship Id="rId263" Type="http://schemas.openxmlformats.org/officeDocument/2006/relationships/hyperlink" Target="https://www.itu.int/md/D22-TDAG.WG.DEC-C-0009/en" TargetMode="External"/><Relationship Id="rId319" Type="http://schemas.openxmlformats.org/officeDocument/2006/relationships/hyperlink" Target="https://www.itu.int/md/D22-TDAG.WG.SGQ-C-0045" TargetMode="External"/><Relationship Id="rId58" Type="http://schemas.openxmlformats.org/officeDocument/2006/relationships/hyperlink" Target="https://www.itu.int/md/D22-TDAG32-C-0050/" TargetMode="External"/><Relationship Id="rId123" Type="http://schemas.openxmlformats.org/officeDocument/2006/relationships/hyperlink" Target="https://www.itu.int/md/D22-TDAG32-C-0046/es" TargetMode="External"/><Relationship Id="rId330" Type="http://schemas.openxmlformats.org/officeDocument/2006/relationships/hyperlink" Target="https://www.itu.int/md/D22-TDAG.WG.SGQ-C-0021/es" TargetMode="External"/><Relationship Id="rId165" Type="http://schemas.openxmlformats.org/officeDocument/2006/relationships/hyperlink" Target="https://www.itu.int/md/D22-TDAG32-C-0025/es" TargetMode="External"/><Relationship Id="rId372" Type="http://schemas.openxmlformats.org/officeDocument/2006/relationships/hyperlink" Target="https://www.itu.int/md/D22-TDAG.WG.SGQ-C-0029" TargetMode="External"/><Relationship Id="rId428" Type="http://schemas.openxmlformats.org/officeDocument/2006/relationships/hyperlink" Target="https://www.itu.int/md/D22-TDAG.WG.SR-C-0024/" TargetMode="External"/><Relationship Id="rId232" Type="http://schemas.openxmlformats.org/officeDocument/2006/relationships/hyperlink" Target="https://www.itu.int/md/meetingdoc.asp?lang=en&amp;parent=D22-TDAG.WG.DEC-C-0010" TargetMode="External"/><Relationship Id="rId274" Type="http://schemas.openxmlformats.org/officeDocument/2006/relationships/hyperlink" Target="https://www.itu.int/md/D22-TDAG32-C-0056/es" TargetMode="External"/><Relationship Id="rId27" Type="http://schemas.openxmlformats.org/officeDocument/2006/relationships/hyperlink" Target="https://www.itu.int/md/D22-TDAG32-C-0004/es" TargetMode="External"/><Relationship Id="rId69" Type="http://schemas.openxmlformats.org/officeDocument/2006/relationships/hyperlink" Target="https://www.itu.int/md/D22-TDAG32-C-0013/es" TargetMode="External"/><Relationship Id="rId134" Type="http://schemas.openxmlformats.org/officeDocument/2006/relationships/hyperlink" Target="https://www.itu.int/md/D22-TDAG32-C-0031/" TargetMode="External"/><Relationship Id="rId80" Type="http://schemas.openxmlformats.org/officeDocument/2006/relationships/hyperlink" Target="https://www.itu.int/md/D22-TDAG32-250512-TD-0006/en" TargetMode="External"/><Relationship Id="rId176" Type="http://schemas.openxmlformats.org/officeDocument/2006/relationships/hyperlink" Target="https://www.itu.int/md/D22-TDAG32-C-0060/" TargetMode="External"/><Relationship Id="rId341" Type="http://schemas.openxmlformats.org/officeDocument/2006/relationships/hyperlink" Target="https://www.itu.int/md/D22-TDAG.WG.SGQ-C-0031" TargetMode="External"/><Relationship Id="rId383" Type="http://schemas.openxmlformats.org/officeDocument/2006/relationships/hyperlink" Target="https://www.itu.int/md/D22-TDAG.WG.SGQ-C-0043" TargetMode="External"/><Relationship Id="rId439" Type="http://schemas.openxmlformats.org/officeDocument/2006/relationships/hyperlink" Target="https://www.itu.int/md/D22-TDAG.WG.SR-C-0028/" TargetMode="External"/><Relationship Id="rId201" Type="http://schemas.openxmlformats.org/officeDocument/2006/relationships/hyperlink" Target="https://www.itu.int/en/ITU-D/Conferences/TDAG/Pages/2024/TDAG_WG_ITUDP.aspx" TargetMode="External"/><Relationship Id="rId243" Type="http://schemas.openxmlformats.org/officeDocument/2006/relationships/hyperlink" Target="https://www.itu.int/md/D22-TDAG.WG.DEC-C-0012/" TargetMode="External"/><Relationship Id="rId285" Type="http://schemas.openxmlformats.org/officeDocument/2006/relationships/hyperlink" Target="https://www.itu.int/md/D22-TDAG.WG.SGQ-C-0010/es" TargetMode="External"/><Relationship Id="rId450" Type="http://schemas.openxmlformats.org/officeDocument/2006/relationships/hyperlink" Target="https://www.itu.int/md/D22-TDAG.WG.SR-INF-0002/en" TargetMode="External"/><Relationship Id="rId38" Type="http://schemas.openxmlformats.org/officeDocument/2006/relationships/hyperlink" Target="https://www.itu.int/dms_pub/itu-d/md/22/tdag32/c/D22-TDAG32-C-0006!N6B!PDF-E.pdf" TargetMode="External"/><Relationship Id="rId103" Type="http://schemas.openxmlformats.org/officeDocument/2006/relationships/hyperlink" Target="https://www.itu.int/md/D22-TDAG32-C-0047/es" TargetMode="External"/><Relationship Id="rId310" Type="http://schemas.openxmlformats.org/officeDocument/2006/relationships/hyperlink" Target="https://www.itu.int/md/D22-TDAG.WG.SGQ-C-0050/" TargetMode="External"/><Relationship Id="rId91" Type="http://schemas.openxmlformats.org/officeDocument/2006/relationships/hyperlink" Target="https://www.itu.int/md/D22-TDAG32-C-0018/es" TargetMode="External"/><Relationship Id="rId145" Type="http://schemas.openxmlformats.org/officeDocument/2006/relationships/hyperlink" Target="https://www.itu.int/md/D22-TDAG32-C-0058/es" TargetMode="External"/><Relationship Id="rId187" Type="http://schemas.openxmlformats.org/officeDocument/2006/relationships/hyperlink" Target="https://youtu.be/lWymn4RNG0I?feature=shared" TargetMode="External"/><Relationship Id="rId352" Type="http://schemas.openxmlformats.org/officeDocument/2006/relationships/hyperlink" Target="https://www.itu.int/md/D22-TDAG.WG.SGQ-C-0046" TargetMode="External"/><Relationship Id="rId394" Type="http://schemas.openxmlformats.org/officeDocument/2006/relationships/hyperlink" Target="https://www.itu.int/md/D22-TDAG.WG.SR-C-0004/" TargetMode="External"/><Relationship Id="rId408" Type="http://schemas.openxmlformats.org/officeDocument/2006/relationships/hyperlink" Target="https://www.itu.int/md/D22-TDAG30-C-0031/" TargetMode="External"/><Relationship Id="rId212" Type="http://schemas.openxmlformats.org/officeDocument/2006/relationships/hyperlink" Target="https://www.itu.int/md/D22-TDAG.WG.ITUDP-C-0019/en" TargetMode="External"/><Relationship Id="rId254" Type="http://schemas.openxmlformats.org/officeDocument/2006/relationships/hyperlink" Target="https://www.itu.int/en/ITU-D/Conferences/TDAG/Pages/2024/TDAG_WG_DEC.aspx" TargetMode="External"/><Relationship Id="rId49" Type="http://schemas.openxmlformats.org/officeDocument/2006/relationships/hyperlink" Target="https://www.itu.int/md/meetingdoc.asp?lang=en&amp;parent=D22-TDAG32-INF-0001" TargetMode="External"/><Relationship Id="rId114" Type="http://schemas.openxmlformats.org/officeDocument/2006/relationships/hyperlink" Target="https://www.itu.int/md/D22-TDAG32-C-0038/" TargetMode="External"/><Relationship Id="rId296" Type="http://schemas.openxmlformats.org/officeDocument/2006/relationships/hyperlink" Target="https://www.itu.int/md/D22-TDAG.WG.SGQ-C-0034/" TargetMode="External"/><Relationship Id="rId461" Type="http://schemas.openxmlformats.org/officeDocument/2006/relationships/theme" Target="theme/theme1.xml"/><Relationship Id="rId60" Type="http://schemas.openxmlformats.org/officeDocument/2006/relationships/hyperlink" Target="https://www.itu.int/md/D22-TDAG32-C-0051/" TargetMode="External"/><Relationship Id="rId156" Type="http://schemas.openxmlformats.org/officeDocument/2006/relationships/hyperlink" Target="https://www.itu.int/md/meetingdoc.asp?lang=en&amp;parent=D22-TDAG32-250512-TD-0007" TargetMode="External"/><Relationship Id="rId198" Type="http://schemas.openxmlformats.org/officeDocument/2006/relationships/hyperlink" Target="https://www.itu.int/md/D22-TDAG.WG.ITUDP-C-0008/" TargetMode="External"/><Relationship Id="rId321" Type="http://schemas.openxmlformats.org/officeDocument/2006/relationships/hyperlink" Target="https://www.itu.int/md/D22-TDAG.WG.SGQ-C-0036" TargetMode="External"/><Relationship Id="rId363" Type="http://schemas.openxmlformats.org/officeDocument/2006/relationships/hyperlink" Target="https://www.itu.int/md/D22-TDAG.WG.SGQ-C-0023/es" TargetMode="External"/><Relationship Id="rId419" Type="http://schemas.openxmlformats.org/officeDocument/2006/relationships/hyperlink" Target="https://www.itu.int/md/D22-TDAG.WG.SR-C-0016/" TargetMode="External"/><Relationship Id="rId223" Type="http://schemas.openxmlformats.org/officeDocument/2006/relationships/hyperlink" Target="https://www.itu.int/md/D22-TDAG.WG.DEC-250514-TD-0001/es" TargetMode="External"/><Relationship Id="rId430" Type="http://schemas.openxmlformats.org/officeDocument/2006/relationships/hyperlink" Target="https://www.itu.int/md/D22-TDAG.WG.SR-C-0026/" TargetMode="External"/><Relationship Id="rId18" Type="http://schemas.openxmlformats.org/officeDocument/2006/relationships/hyperlink" Target="https://www.itu.int/md/D22-TDAG32-250512-TD-0001/es" TargetMode="External"/><Relationship Id="rId265" Type="http://schemas.openxmlformats.org/officeDocument/2006/relationships/hyperlink" Target="https://www.itu.int/md/D22-TDAG.WG.DEC-C-0012/" TargetMode="External"/><Relationship Id="rId125" Type="http://schemas.openxmlformats.org/officeDocument/2006/relationships/hyperlink" Target="https://www.itu.int/md/D22-TDAG32-C-0029/es" TargetMode="External"/><Relationship Id="rId167" Type="http://schemas.openxmlformats.org/officeDocument/2006/relationships/hyperlink" Target="https://www.itu.int/md/D22-TDAG32-C-0026/" TargetMode="External"/><Relationship Id="rId332" Type="http://schemas.openxmlformats.org/officeDocument/2006/relationships/hyperlink" Target="https://www.itu.int/md/D22-TDAG.WG.SGQ-C-0047/es" TargetMode="External"/><Relationship Id="rId374" Type="http://schemas.openxmlformats.org/officeDocument/2006/relationships/hyperlink" Target="https://www.itu.int/md/D22-TDAG.WG.SGQ-C-0041/" TargetMode="External"/><Relationship Id="rId71" Type="http://schemas.openxmlformats.org/officeDocument/2006/relationships/hyperlink" Target="https://www.itu.int/md/D22-TDAG32-C-0014/es" TargetMode="External"/><Relationship Id="rId234" Type="http://schemas.openxmlformats.org/officeDocument/2006/relationships/hyperlink" Target="https://www.itu.int/md/D22-TDAG.WG.DEC-C-0016/" TargetMode="External"/><Relationship Id="rId2" Type="http://schemas.openxmlformats.org/officeDocument/2006/relationships/customXml" Target="../customXml/item2.xml"/><Relationship Id="rId29" Type="http://schemas.openxmlformats.org/officeDocument/2006/relationships/hyperlink" Target="https://www.itu.int/md/D22-TDAG32-C-0040/es" TargetMode="External"/><Relationship Id="rId276" Type="http://schemas.openxmlformats.org/officeDocument/2006/relationships/hyperlink" Target="https://translate.itu.int/documents" TargetMode="External"/><Relationship Id="rId441" Type="http://schemas.openxmlformats.org/officeDocument/2006/relationships/hyperlink" Target="https://www.itu.int/md/D22-TDAG.WG.SR-C-0031/" TargetMode="External"/><Relationship Id="rId40" Type="http://schemas.openxmlformats.org/officeDocument/2006/relationships/hyperlink" Target="https://www.itu.int/dms_pub/itu-d/md/22/tdag32/c/D22-TDAG32-C-0006!N6B!PDF-E.pdf" TargetMode="External"/><Relationship Id="rId115" Type="http://schemas.openxmlformats.org/officeDocument/2006/relationships/hyperlink" Target="https://www.itu.int/md/D22-TDAG32-C-0039/es" TargetMode="External"/><Relationship Id="rId136" Type="http://schemas.openxmlformats.org/officeDocument/2006/relationships/hyperlink" Target="https://www.itu.int/md/meetingdoc.asp?lang=en&amp;parent=D22-TDAG32-250512-TD-0004" TargetMode="External"/><Relationship Id="rId157" Type="http://schemas.openxmlformats.org/officeDocument/2006/relationships/hyperlink" Target="https://www.itu.int/md/D22-TDAG32-C-0037/es" TargetMode="External"/><Relationship Id="rId178" Type="http://schemas.openxmlformats.org/officeDocument/2006/relationships/hyperlink" Target="https://www.itu.int/md/meetingdoc.asp?lang=en&amp;parent=D22-TDAG32-250512-TD-0011" TargetMode="External"/><Relationship Id="rId301" Type="http://schemas.openxmlformats.org/officeDocument/2006/relationships/hyperlink" Target="https://www.itu.int/md/D22-TDAG.WG.SGQ-C-0041/" TargetMode="External"/><Relationship Id="rId322" Type="http://schemas.openxmlformats.org/officeDocument/2006/relationships/hyperlink" Target="https://www.itu.int/md/D22-TDAG.WG.SGQ-C-0045" TargetMode="External"/><Relationship Id="rId343" Type="http://schemas.openxmlformats.org/officeDocument/2006/relationships/hyperlink" Target="https://www.itu.int/md/D22-TDAG.WG.SGQ-C-0032" TargetMode="External"/><Relationship Id="rId364" Type="http://schemas.openxmlformats.org/officeDocument/2006/relationships/hyperlink" Target="https://www.itu.int/md/D22-TDAG.WG.SGQ-C-0023/en" TargetMode="External"/><Relationship Id="rId61" Type="http://schemas.openxmlformats.org/officeDocument/2006/relationships/hyperlink" Target="https://www.itu.int/md/D22-TDAG32-C-0052/es" TargetMode="External"/><Relationship Id="rId82" Type="http://schemas.openxmlformats.org/officeDocument/2006/relationships/hyperlink" Target="https://www.itu.int/md/D22-TDAG32-C-0054/" TargetMode="External"/><Relationship Id="rId199" Type="http://schemas.openxmlformats.org/officeDocument/2006/relationships/hyperlink" Target="https://www.itu.int/md/D22-TDAG.WG.ITUDP-C-0016/es" TargetMode="External"/><Relationship Id="rId203" Type="http://schemas.openxmlformats.org/officeDocument/2006/relationships/hyperlink" Target="https://www.itu.int/md/D22-TDAG.WG.ITUDP-C-0008/es" TargetMode="External"/><Relationship Id="rId385" Type="http://schemas.openxmlformats.org/officeDocument/2006/relationships/header" Target="header1.xml"/><Relationship Id="rId19" Type="http://schemas.openxmlformats.org/officeDocument/2006/relationships/hyperlink" Target="https://www.itu.int/md/D22-TDAG32-250512-TD-0001/" TargetMode="External"/><Relationship Id="rId224" Type="http://schemas.openxmlformats.org/officeDocument/2006/relationships/hyperlink" Target="https://www.itu.int/md/D22-TDAG.WG.DEC-250514-TD-0001/en" TargetMode="External"/><Relationship Id="rId245" Type="http://schemas.openxmlformats.org/officeDocument/2006/relationships/hyperlink" Target="https://www.itu.int/md/D22-TDAG.WG.DEC-C-0014/" TargetMode="External"/><Relationship Id="rId266" Type="http://schemas.openxmlformats.org/officeDocument/2006/relationships/hyperlink" Target="https://www.itu.int/md/D22-TDAG.WG.DEC-C-0014/" TargetMode="External"/><Relationship Id="rId287" Type="http://schemas.openxmlformats.org/officeDocument/2006/relationships/hyperlink" Target="https://www.itu.int/md/D22-TDAG.WG.SGQ-C-0016/es" TargetMode="External"/><Relationship Id="rId410" Type="http://schemas.openxmlformats.org/officeDocument/2006/relationships/hyperlink" Target="https://www.itu.int/md/D22-TDAG.WG.SR-C-0013/" TargetMode="External"/><Relationship Id="rId431" Type="http://schemas.openxmlformats.org/officeDocument/2006/relationships/hyperlink" Target="https://www.itu.int/md/D22-TDAG.WG.SR-C-0027/" TargetMode="External"/><Relationship Id="rId452" Type="http://schemas.openxmlformats.org/officeDocument/2006/relationships/hyperlink" Target="https://www.itu.int/md/D22-TDAG.WG.SR-C-0035/" TargetMode="External"/><Relationship Id="rId30" Type="http://schemas.openxmlformats.org/officeDocument/2006/relationships/hyperlink" Target="https://www.itu.int/md/D22-TDAG32-C-0040/" TargetMode="External"/><Relationship Id="rId105" Type="http://schemas.openxmlformats.org/officeDocument/2006/relationships/hyperlink" Target="https://www.itu.int/md/D22-TDAG32-C-0020/es" TargetMode="External"/><Relationship Id="rId126" Type="http://schemas.openxmlformats.org/officeDocument/2006/relationships/hyperlink" Target="https://www.itu.int/md/D22-TDAG32-C-0029/" TargetMode="External"/><Relationship Id="rId147" Type="http://schemas.openxmlformats.org/officeDocument/2006/relationships/hyperlink" Target="https://www.itu.int/md/D22-TDAG32-250512-TD-0005/es" TargetMode="External"/><Relationship Id="rId168" Type="http://schemas.openxmlformats.org/officeDocument/2006/relationships/hyperlink" Target="https://www.itu.int/md/D22-TDAG32-C-0026/" TargetMode="External"/><Relationship Id="rId312" Type="http://schemas.openxmlformats.org/officeDocument/2006/relationships/hyperlink" Target="https://www.itu.int/md/D22-TDAG.WG.SGQ-C-0027" TargetMode="External"/><Relationship Id="rId333" Type="http://schemas.openxmlformats.org/officeDocument/2006/relationships/hyperlink" Target="https://www.itu.int/md/D22-TDAG.WG.SGQ-C-0012/" TargetMode="External"/><Relationship Id="rId354" Type="http://schemas.openxmlformats.org/officeDocument/2006/relationships/hyperlink" Target="https://www.itu.int/md/D22-TDAG.WG.SGQ-C-0010/" TargetMode="External"/><Relationship Id="rId51" Type="http://schemas.openxmlformats.org/officeDocument/2006/relationships/hyperlink" Target="https://www.itu.int/md/D22-TDAG32-C-0009/es" TargetMode="External"/><Relationship Id="rId72" Type="http://schemas.openxmlformats.org/officeDocument/2006/relationships/hyperlink" Target="https://www.itu.int/md/D22-TDAG32-C-0014/" TargetMode="External"/><Relationship Id="rId93" Type="http://schemas.openxmlformats.org/officeDocument/2006/relationships/hyperlink" Target="https://www.itu.int/md/D22-TDAG32-C-0044/es" TargetMode="External"/><Relationship Id="rId189" Type="http://schemas.openxmlformats.org/officeDocument/2006/relationships/hyperlink" Target="https://youtu.be/KbGUKDoOwoU?feature=shared" TargetMode="External"/><Relationship Id="rId375" Type="http://schemas.openxmlformats.org/officeDocument/2006/relationships/hyperlink" Target="https://www.itu.int/md/D22-TDAG.WG.SGQ-C-0038" TargetMode="External"/><Relationship Id="rId396" Type="http://schemas.openxmlformats.org/officeDocument/2006/relationships/hyperlink" Target="https://www.itu.int/md/D22-TDAG.WG.SR-C-0006/" TargetMode="External"/><Relationship Id="rId3" Type="http://schemas.openxmlformats.org/officeDocument/2006/relationships/customXml" Target="../customXml/item3.xml"/><Relationship Id="rId214" Type="http://schemas.openxmlformats.org/officeDocument/2006/relationships/hyperlink" Target="https://www.itu.int/md/D22-TDAG.WG.ITUDP-C-0020/es" TargetMode="External"/><Relationship Id="rId235" Type="http://schemas.openxmlformats.org/officeDocument/2006/relationships/hyperlink" Target="https://www.itu.int/md/D22-TDAG.WG.DEC-C-0023/" TargetMode="External"/><Relationship Id="rId256" Type="http://schemas.openxmlformats.org/officeDocument/2006/relationships/hyperlink" Target="https://www.itu.int/md/D22-TDAG.WG.DEC-C-0004/" TargetMode="External"/><Relationship Id="rId277" Type="http://schemas.openxmlformats.org/officeDocument/2006/relationships/hyperlink" Target="https://translate.itu.int/documents" TargetMode="External"/><Relationship Id="rId298" Type="http://schemas.openxmlformats.org/officeDocument/2006/relationships/hyperlink" Target="https://www.itu.int/md/D22-TDAG.WG.SGQ-C-0038" TargetMode="External"/><Relationship Id="rId400" Type="http://schemas.openxmlformats.org/officeDocument/2006/relationships/hyperlink" Target="https://www.itu.int/md/D22-TDAG.WG.SR-C-0009/" TargetMode="External"/><Relationship Id="rId421" Type="http://schemas.openxmlformats.org/officeDocument/2006/relationships/hyperlink" Target="https://www.itu.int/md/D22-TDAG.WG.SR-C-0016/" TargetMode="External"/><Relationship Id="rId442" Type="http://schemas.openxmlformats.org/officeDocument/2006/relationships/hyperlink" Target="https://www.itu.int/md/D22-TDAG.WG.SR-C-0031/" TargetMode="External"/><Relationship Id="rId116" Type="http://schemas.openxmlformats.org/officeDocument/2006/relationships/hyperlink" Target="https://www.itu.int/md/D22-TDAG32-C-0039/" TargetMode="External"/><Relationship Id="rId137" Type="http://schemas.openxmlformats.org/officeDocument/2006/relationships/hyperlink" Target="https://www.itu.int/md/D22-TDAG32-C-0033/es" TargetMode="External"/><Relationship Id="rId158" Type="http://schemas.openxmlformats.org/officeDocument/2006/relationships/hyperlink" Target="https://www.itu.int/md/D22-TDAG32-C-0037/" TargetMode="External"/><Relationship Id="rId302" Type="http://schemas.openxmlformats.org/officeDocument/2006/relationships/hyperlink" Target="https://www.itu.int/md/D22-TDAG.WG.SGQ-C-0041/" TargetMode="External"/><Relationship Id="rId323" Type="http://schemas.openxmlformats.org/officeDocument/2006/relationships/hyperlink" Target="https://www.itu.int/md/D22-TDAG.WG.SGQ-C-0019/es" TargetMode="External"/><Relationship Id="rId344" Type="http://schemas.openxmlformats.org/officeDocument/2006/relationships/hyperlink" Target="https://www.itu.int/md/D22-TDAG.WG.SGQ-C-0032" TargetMode="External"/><Relationship Id="rId20" Type="http://schemas.openxmlformats.org/officeDocument/2006/relationships/hyperlink" Target="https://www.itu.int/md/D22-TDAG32-C-0002/" TargetMode="External"/><Relationship Id="rId41" Type="http://schemas.openxmlformats.org/officeDocument/2006/relationships/hyperlink" Target="https://www.itu.int/md/D22-TDAG32-C-0007/es" TargetMode="External"/><Relationship Id="rId62" Type="http://schemas.openxmlformats.org/officeDocument/2006/relationships/hyperlink" Target="https://www.itu.int/md/D22-TDAG32-C-0052/" TargetMode="External"/><Relationship Id="rId83" Type="http://schemas.openxmlformats.org/officeDocument/2006/relationships/hyperlink" Target="https://view.officeapps.live.com/op/view.aspx?src=https%3A%2F%2Fwww.itu.int%2Fdms_pub%2Fitu-s%2Fmd%2F25%2Fcwgfhr20%2Fc%2FS25-CWGFHR20-C-0003!R2!MSW-E.docx&amp;wdOrigin=BROWSELINK" TargetMode="External"/><Relationship Id="rId179" Type="http://schemas.openxmlformats.org/officeDocument/2006/relationships/hyperlink" Target="https://youtu.be/TQMlkFoVHQ4?feature=shared" TargetMode="External"/><Relationship Id="rId365" Type="http://schemas.openxmlformats.org/officeDocument/2006/relationships/hyperlink" Target="https://www.itu.int/md/D22-TDAG.WG.SGQ-C-0023/es" TargetMode="External"/><Relationship Id="rId386" Type="http://schemas.openxmlformats.org/officeDocument/2006/relationships/header" Target="header2.xml"/><Relationship Id="rId190" Type="http://schemas.openxmlformats.org/officeDocument/2006/relationships/hyperlink" Target="https://youtu.be/KbGUKDoOwoU?feature=shared" TargetMode="External"/><Relationship Id="rId204" Type="http://schemas.openxmlformats.org/officeDocument/2006/relationships/hyperlink" Target="https://www.itu.int/md/D22-TDAG.WG.ITUDP-C-0008/en" TargetMode="External"/><Relationship Id="rId225" Type="http://schemas.openxmlformats.org/officeDocument/2006/relationships/hyperlink" Target="https://www.itu.int/md/D22-TDAG31-240520-TD-0004/es" TargetMode="External"/><Relationship Id="rId246" Type="http://schemas.openxmlformats.org/officeDocument/2006/relationships/hyperlink" Target="https://www.itu.int/md/D22-TDAG.WG.DEC-C-0014/" TargetMode="External"/><Relationship Id="rId267" Type="http://schemas.openxmlformats.org/officeDocument/2006/relationships/hyperlink" Target="https://www.itu.int/md/D22-TDAG.WG.DEC-C-0014/" TargetMode="External"/><Relationship Id="rId288" Type="http://schemas.openxmlformats.org/officeDocument/2006/relationships/hyperlink" Target="https://www.itu.int/md/D22-TDAG.WG.SGQ-C-0016/en" TargetMode="External"/><Relationship Id="rId411" Type="http://schemas.openxmlformats.org/officeDocument/2006/relationships/hyperlink" Target="mailto:tdag-wg-streamres@lists.itu.int" TargetMode="External"/><Relationship Id="rId432" Type="http://schemas.openxmlformats.org/officeDocument/2006/relationships/hyperlink" Target="https://www.itu.int/md/D22-TDAG.WG.SR-C-0028/" TargetMode="External"/><Relationship Id="rId453" Type="http://schemas.openxmlformats.org/officeDocument/2006/relationships/hyperlink" Target="https://www.itu.int/md/D22-TDAG.WG.SR-C-0013/" TargetMode="External"/><Relationship Id="rId106" Type="http://schemas.openxmlformats.org/officeDocument/2006/relationships/hyperlink" Target="https://www.itu.int/md/D22-TDAG32-C-0020/" TargetMode="External"/><Relationship Id="rId127" Type="http://schemas.openxmlformats.org/officeDocument/2006/relationships/hyperlink" Target="https://www.itu.int/md/D22-TDAG32-250512-TD-0002/es" TargetMode="External"/><Relationship Id="rId313" Type="http://schemas.openxmlformats.org/officeDocument/2006/relationships/hyperlink" Target="https://www.itu.int/md/D22-TDAG.WG.SGQ-C-0049" TargetMode="External"/><Relationship Id="rId10" Type="http://schemas.openxmlformats.org/officeDocument/2006/relationships/endnotes" Target="endnotes.xml"/><Relationship Id="rId31" Type="http://schemas.openxmlformats.org/officeDocument/2006/relationships/hyperlink" Target="https://www.itu.int/md/D22-TDAG32-C-0043/es" TargetMode="External"/><Relationship Id="rId52" Type="http://schemas.openxmlformats.org/officeDocument/2006/relationships/hyperlink" Target="https://www.itu.int/md/D22-TDAG32-C-0009/" TargetMode="External"/><Relationship Id="rId73" Type="http://schemas.openxmlformats.org/officeDocument/2006/relationships/hyperlink" Target="https://www.itu.int/md/D22-TDAG32-C-0015/es" TargetMode="External"/><Relationship Id="rId94" Type="http://schemas.openxmlformats.org/officeDocument/2006/relationships/hyperlink" Target="https://www.itu.int/md/D22-TDAG32-C-0044/" TargetMode="External"/><Relationship Id="rId148" Type="http://schemas.openxmlformats.org/officeDocument/2006/relationships/hyperlink" Target="https://www.itu.int/md/meetingdoc.asp?lang=en&amp;parent=D22-TDAG32-250512-TD-0005" TargetMode="External"/><Relationship Id="rId169" Type="http://schemas.openxmlformats.org/officeDocument/2006/relationships/hyperlink" Target="https://www.itu.int/md/D22-TDAG32-C-0027/es" TargetMode="External"/><Relationship Id="rId334" Type="http://schemas.openxmlformats.org/officeDocument/2006/relationships/hyperlink" Target="https://www.itu.int/md/D22-TDAG.WG.SGQ-C-0021/en" TargetMode="External"/><Relationship Id="rId355" Type="http://schemas.openxmlformats.org/officeDocument/2006/relationships/hyperlink" Target="https://www.itu.int/md/D22-TDAG.WG.SGQ-C-0016/" TargetMode="External"/><Relationship Id="rId376" Type="http://schemas.openxmlformats.org/officeDocument/2006/relationships/hyperlink" Target="https://www.itu.int/md/D22-TDAG.WG.SGQ-C-0038" TargetMode="External"/><Relationship Id="rId397" Type="http://schemas.openxmlformats.org/officeDocument/2006/relationships/hyperlink" Target="https://www.itu.int/md/D22-TDAG31-C-0037/" TargetMode="External"/><Relationship Id="rId4" Type="http://schemas.openxmlformats.org/officeDocument/2006/relationships/customXml" Target="../customXml/item4.xml"/><Relationship Id="rId180" Type="http://schemas.openxmlformats.org/officeDocument/2006/relationships/hyperlink" Target="https://youtu.be/TQMlkFoVHQ4?feature=shared" TargetMode="External"/><Relationship Id="rId215" Type="http://schemas.openxmlformats.org/officeDocument/2006/relationships/hyperlink" Target="https://www.itu.int/md/D22-TDAG.WG.ITUDP-C-0021/en" TargetMode="External"/><Relationship Id="rId236" Type="http://schemas.openxmlformats.org/officeDocument/2006/relationships/hyperlink" Target="https://www.itu.int/md/D22-TDAG.WG.DEC-C-0023/" TargetMode="External"/><Relationship Id="rId257" Type="http://schemas.openxmlformats.org/officeDocument/2006/relationships/hyperlink" Target="https://www.itu.int/md/D22-TDAG.WG.DEC-C-0004/" TargetMode="External"/><Relationship Id="rId278" Type="http://schemas.openxmlformats.org/officeDocument/2006/relationships/hyperlink" Target="https://www.itu.int/pub/D-RES-D.2-2022/es" TargetMode="External"/><Relationship Id="rId401" Type="http://schemas.openxmlformats.org/officeDocument/2006/relationships/hyperlink" Target="https://www.itu.int/md/D22-TDAG31-C-0019/" TargetMode="External"/><Relationship Id="rId422" Type="http://schemas.openxmlformats.org/officeDocument/2006/relationships/hyperlink" Target="https://www.itu.int/md/D22-TDAG.WG.SR-C-0015/" TargetMode="External"/><Relationship Id="rId443" Type="http://schemas.openxmlformats.org/officeDocument/2006/relationships/hyperlink" Target="https://www.itu.int/md/D22-TDAG.WG.SR-C-0033/es" TargetMode="External"/><Relationship Id="rId303" Type="http://schemas.openxmlformats.org/officeDocument/2006/relationships/hyperlink" Target="https://www.itu.int/md/D22-TDAG.WG.SGQ-C-0043" TargetMode="External"/><Relationship Id="rId42" Type="http://schemas.openxmlformats.org/officeDocument/2006/relationships/hyperlink" Target="https://www.itu.int/md/D22-TDAG32-C-0007/" TargetMode="External"/><Relationship Id="rId84" Type="http://schemas.openxmlformats.org/officeDocument/2006/relationships/hyperlink" Target="https://view.officeapps.live.com/op/view.aspx?src=https%3A%2F%2Fwww.itu.int%2Fdms_pub%2Fitu-s%2Fmd%2F25%2Fcwgfhr20%2Fc%2FS25-CWGFHR20-C-0003!R2!MSW-E.docx&amp;wdOrigin=BROWSELINK" TargetMode="External"/><Relationship Id="rId138" Type="http://schemas.openxmlformats.org/officeDocument/2006/relationships/hyperlink" Target="https://www.itu.int/md/D22-TDAG32-C-0033/" TargetMode="External"/><Relationship Id="rId345" Type="http://schemas.openxmlformats.org/officeDocument/2006/relationships/hyperlink" Target="https://www.itu.int/md/D22-TDAG.WG.SGQ-C-0037" TargetMode="External"/><Relationship Id="rId387" Type="http://schemas.openxmlformats.org/officeDocument/2006/relationships/hyperlink" Target="https://undocs.org/A/RES/71/313" TargetMode="External"/><Relationship Id="rId191" Type="http://schemas.openxmlformats.org/officeDocument/2006/relationships/hyperlink" Target="https://www.itu.int/md/D22-TDAG31-240520-TD-0005/es" TargetMode="External"/><Relationship Id="rId205" Type="http://schemas.openxmlformats.org/officeDocument/2006/relationships/hyperlink" Target="https://www.itu.int/md/D22-TDAG.WG.ITUDP-C-0013/es" TargetMode="External"/><Relationship Id="rId247" Type="http://schemas.openxmlformats.org/officeDocument/2006/relationships/hyperlink" Target="https://www.itu.int/md/D22-TDAG.WG.DEC-250514-TD-0001/es" TargetMode="External"/><Relationship Id="rId412" Type="http://schemas.openxmlformats.org/officeDocument/2006/relationships/hyperlink" Target="https://eur03.safelinks.protection.outlook.com/?url=https%3A%2F%2Fteams.microsoft.com%2Fl%2Fteam%2F19%253A3WrhCSCdZ2JTeqexFL4IHSY3A901wMByGTKgu1zzf241%2540thread.tacv2%2Fconversations%3FgroupId%3D0ae7b5ea-5684-4e49-9878-a2478c3bc049%26tenantId%3D23e464d7-04e6-4b87-913c-24bd89219fd3&amp;data=05%7C02%7Cramita.sharma%40itu.int%7Cd15f9ac962144c0e902908dccdadd7c4%7C23e464d704e64b87913c24bd89219fd3%7C0%7C0%7C638611394155041397%7CUnknown%7CTWFpbGZsb3d8eyJWIjoiMC4wLjAwMDAiLCJQIjoiV2luMzIiLCJBTiI6Ik1haWwiLCJXVCI6Mn0%3D%7C0%7C%7C%7C&amp;sdata=vJ77TRwobxW%2BEi0S4D%2BL17SOBs4HH7I108eCPhlMzzs%3D&amp;reserved=0" TargetMode="External"/><Relationship Id="rId107" Type="http://schemas.openxmlformats.org/officeDocument/2006/relationships/hyperlink" Target="https://www.itu.int/md/D22-TDAG32-C-0021/es" TargetMode="External"/><Relationship Id="rId289" Type="http://schemas.openxmlformats.org/officeDocument/2006/relationships/hyperlink" Target="https://www.itu.int/md/D22-TDAG.WG.SGQ-C-0023/es" TargetMode="External"/><Relationship Id="rId454" Type="http://schemas.openxmlformats.org/officeDocument/2006/relationships/hyperlink" Target="https://www.itu.int/md/D22-TDAG.WG.SR-C-0013/" TargetMode="External"/><Relationship Id="rId11" Type="http://schemas.openxmlformats.org/officeDocument/2006/relationships/image" Target="media/image1.png"/><Relationship Id="rId53" Type="http://schemas.openxmlformats.org/officeDocument/2006/relationships/hyperlink" Target="https://www.itu.int/md/D22-TDAG32-C-0010/es" TargetMode="External"/><Relationship Id="rId149" Type="http://schemas.openxmlformats.org/officeDocument/2006/relationships/hyperlink" Target="https://www.itu.int/md/D22-TDAG32-C-0059/es" TargetMode="External"/><Relationship Id="rId314" Type="http://schemas.openxmlformats.org/officeDocument/2006/relationships/hyperlink" Target="https://www.itu.int/md/D22-TDAG.WG.SGQ-C-0014" TargetMode="External"/><Relationship Id="rId356" Type="http://schemas.openxmlformats.org/officeDocument/2006/relationships/hyperlink" Target="https://www.itu.int/md/D22-TDAG.WG.SGQ-C-0016/" TargetMode="External"/><Relationship Id="rId398" Type="http://schemas.openxmlformats.org/officeDocument/2006/relationships/hyperlink" Target="https://www.itu.int/md/D22-TDAG.WG.SR-C-0009/" TargetMode="External"/><Relationship Id="rId95" Type="http://schemas.openxmlformats.org/officeDocument/2006/relationships/hyperlink" Target="https://www.itu.int/md/D22-TDAG32-C-0053/es" TargetMode="External"/><Relationship Id="rId160" Type="http://schemas.openxmlformats.org/officeDocument/2006/relationships/hyperlink" Target="https://www.itu.int/md/meetingdoc.asp?lang=en&amp;parent=D22-TDAG32-250512-TD-0008" TargetMode="External"/><Relationship Id="rId216" Type="http://schemas.openxmlformats.org/officeDocument/2006/relationships/hyperlink" Target="https://www.itu.int/md/D22-TDAG.WG.ITUDP-C-0020/en" TargetMode="External"/><Relationship Id="rId423" Type="http://schemas.openxmlformats.org/officeDocument/2006/relationships/hyperlink" Target="https://www.itu.int/md/D22-TDAG.WG.SR-C-0019/" TargetMode="External"/><Relationship Id="rId258" Type="http://schemas.openxmlformats.org/officeDocument/2006/relationships/hyperlink" Target="https://www.itu.int/md/D22-TDAG.WG.DEC-C-0004/" TargetMode="External"/><Relationship Id="rId22" Type="http://schemas.openxmlformats.org/officeDocument/2006/relationships/hyperlink" Target="https://www.youtube.com/watch?v=TbcJt2Zgfxo" TargetMode="External"/><Relationship Id="rId64" Type="http://schemas.openxmlformats.org/officeDocument/2006/relationships/hyperlink" Target="https://www.itu.int/md/D22-TDAG32-C-0011/" TargetMode="External"/><Relationship Id="rId118" Type="http://schemas.openxmlformats.org/officeDocument/2006/relationships/hyperlink" Target="https://www.itu.int/md/meetingdoc.asp?lang=en&amp;parent=D22-TDAG32-INF-0015" TargetMode="External"/><Relationship Id="rId325" Type="http://schemas.openxmlformats.org/officeDocument/2006/relationships/hyperlink" Target="https://www.itu.int/md/D22-TDAG.WG.SGQ-C-0020/es" TargetMode="External"/><Relationship Id="rId367" Type="http://schemas.openxmlformats.org/officeDocument/2006/relationships/hyperlink" Target="https://www.itu.int/md/D22-TDAG.WG.SGQ-C-0023/es" TargetMode="External"/><Relationship Id="rId171" Type="http://schemas.openxmlformats.org/officeDocument/2006/relationships/hyperlink" Target="https://www.itu.int/md/D22-TDAG32-C-0028/es" TargetMode="External"/><Relationship Id="rId227" Type="http://schemas.openxmlformats.org/officeDocument/2006/relationships/hyperlink" Target="https://www.itu.int/md/D22-TDAG.WG.DEC-C-0002/" TargetMode="External"/><Relationship Id="rId269" Type="http://schemas.openxmlformats.org/officeDocument/2006/relationships/hyperlink" Target="https://www.itu.int/md/D22-TDAG.WG.DEC-C-0014/es" TargetMode="External"/><Relationship Id="rId434" Type="http://schemas.openxmlformats.org/officeDocument/2006/relationships/hyperlink" Target="https://www.itu.int/md/D22-TDAG.WG.SR-C-0023/en" TargetMode="External"/><Relationship Id="rId33" Type="http://schemas.openxmlformats.org/officeDocument/2006/relationships/hyperlink" Target="https://www.itu.int/md/D22-TDAG32-C-0041/es" TargetMode="External"/><Relationship Id="rId129" Type="http://schemas.openxmlformats.org/officeDocument/2006/relationships/hyperlink" Target="https://www.itu.int/md/D22-TDAG32-C-0030/es" TargetMode="External"/><Relationship Id="rId280" Type="http://schemas.openxmlformats.org/officeDocument/2006/relationships/hyperlink" Target="https://www.itu.int/md/D22-TDAG31-C-0025/" TargetMode="External"/><Relationship Id="rId336" Type="http://schemas.openxmlformats.org/officeDocument/2006/relationships/hyperlink" Target="https://www.itu.int/md/D22-TDAG.WG.SGQ-C-0047/en" TargetMode="External"/><Relationship Id="rId75" Type="http://schemas.openxmlformats.org/officeDocument/2006/relationships/hyperlink" Target="https://www.itu.int/md/D22-TDAG32-C-0048/" TargetMode="External"/><Relationship Id="rId140" Type="http://schemas.openxmlformats.org/officeDocument/2006/relationships/hyperlink" Target="https://www.itu.int/md/meetingdoc.asp?lang=en&amp;parent=D22-TDAG32-250512-TD-0004" TargetMode="External"/><Relationship Id="rId182" Type="http://schemas.openxmlformats.org/officeDocument/2006/relationships/hyperlink" Target="https://youtu.be/0Q1A-_uFb2U?feature=shared" TargetMode="External"/><Relationship Id="rId378" Type="http://schemas.openxmlformats.org/officeDocument/2006/relationships/hyperlink" Target="https://www.itu.int/md/D22-TDAG.WG.SGQ-C-0043" TargetMode="External"/><Relationship Id="rId403" Type="http://schemas.openxmlformats.org/officeDocument/2006/relationships/hyperlink" Target="https://www.itu.int/md/D22-TDAG31-C-0019/" TargetMode="External"/><Relationship Id="rId6" Type="http://schemas.openxmlformats.org/officeDocument/2006/relationships/styles" Target="styles.xml"/><Relationship Id="rId238" Type="http://schemas.openxmlformats.org/officeDocument/2006/relationships/hyperlink" Target="https://www.itu.int/md/D22-TDAG.WG.DEC-INF-0001/" TargetMode="External"/><Relationship Id="rId445" Type="http://schemas.openxmlformats.org/officeDocument/2006/relationships/hyperlink" Target="https://www.itu.int/md/D22-TDAG.WG.SR-C-0031/" TargetMode="External"/><Relationship Id="rId291" Type="http://schemas.openxmlformats.org/officeDocument/2006/relationships/hyperlink" Target="https://www.itu.int/md/D22-TDAG.WG.SGQ-C-0025/es" TargetMode="External"/><Relationship Id="rId305" Type="http://schemas.openxmlformats.org/officeDocument/2006/relationships/hyperlink" Target="https://www.itu.int/md/D22-TDAG32-C-0019/es" TargetMode="External"/><Relationship Id="rId347" Type="http://schemas.openxmlformats.org/officeDocument/2006/relationships/hyperlink" Target="https://www.itu.int/md/D22-TDAG.WG.SGQ-C-0039" TargetMode="External"/><Relationship Id="rId44" Type="http://schemas.openxmlformats.org/officeDocument/2006/relationships/hyperlink" Target="https://www.itu.int/md/D22-TDAG32-C-0036/" TargetMode="External"/><Relationship Id="rId86" Type="http://schemas.openxmlformats.org/officeDocument/2006/relationships/hyperlink" Target="https://www.itu.int/md/D22-TDAG32-C-0056" TargetMode="External"/><Relationship Id="rId151" Type="http://schemas.openxmlformats.org/officeDocument/2006/relationships/hyperlink" Target="https://www.itu.int/md/D22-TDAG32-250512-TD-0005/es" TargetMode="External"/><Relationship Id="rId389" Type="http://schemas.openxmlformats.org/officeDocument/2006/relationships/hyperlink" Target="https://www.itu.int/md/D22-TDAG.WG.SR-C-0003/" TargetMode="External"/><Relationship Id="rId193" Type="http://schemas.openxmlformats.org/officeDocument/2006/relationships/hyperlink" Target="https://www.itu.int/md/D22-TDAG.WG.ITUDP-C-0003/es" TargetMode="External"/><Relationship Id="rId207" Type="http://schemas.openxmlformats.org/officeDocument/2006/relationships/hyperlink" Target="https://www.itu.int/md/D22-TDAG.WG.ITUDP-C-0018/es" TargetMode="External"/><Relationship Id="rId249" Type="http://schemas.openxmlformats.org/officeDocument/2006/relationships/hyperlink" Target="https://www.itu.int/en/ITU-D/Conferences/TDAG/Pages/2024/TDAG_WG_DEC.aspx" TargetMode="External"/><Relationship Id="rId414" Type="http://schemas.openxmlformats.org/officeDocument/2006/relationships/hyperlink" Target="mailto:tdag-wg-streamres@lists.itu.int" TargetMode="External"/><Relationship Id="rId456" Type="http://schemas.openxmlformats.org/officeDocument/2006/relationships/hyperlink" Target="https://www.itu.int/dms_pub/itu-d/md/22/tdag32/c/D22-TDAG32-C-0020!N1!PDF-E.pdf" TargetMode="External"/><Relationship Id="rId13" Type="http://schemas.openxmlformats.org/officeDocument/2006/relationships/hyperlink" Target="https://www.itu.int/dms_ties/itu-d/md/22/tdag32/c/D22-TDAG32-C-0061!!PDF-E.pdf" TargetMode="External"/><Relationship Id="rId109" Type="http://schemas.openxmlformats.org/officeDocument/2006/relationships/hyperlink" Target="https://www.itu.int/md/D22-TDAG32-C-0022/es" TargetMode="External"/><Relationship Id="rId260" Type="http://schemas.openxmlformats.org/officeDocument/2006/relationships/hyperlink" Target="https://www.itu.int/md/D22-TDAG.WG.DEC-C-0004/" TargetMode="External"/><Relationship Id="rId316" Type="http://schemas.openxmlformats.org/officeDocument/2006/relationships/hyperlink" Target="https://www.itu.int/md/D22-TDAG.WG.SGQ-C-0049" TargetMode="External"/><Relationship Id="rId55" Type="http://schemas.openxmlformats.org/officeDocument/2006/relationships/hyperlink" Target="https://www.itu.int/md/D22-TDAG32-C-0049/es" TargetMode="External"/><Relationship Id="rId97" Type="http://schemas.openxmlformats.org/officeDocument/2006/relationships/hyperlink" Target="https://www.itu.int/md/D22-TDAG32-C-0057/es" TargetMode="External"/><Relationship Id="rId120" Type="http://schemas.openxmlformats.org/officeDocument/2006/relationships/hyperlink" Target="https://www.itu.int/md/D22-TDAG32-C-0023/" TargetMode="External"/><Relationship Id="rId358" Type="http://schemas.openxmlformats.org/officeDocument/2006/relationships/image" Target="media/image6.svg"/><Relationship Id="rId162" Type="http://schemas.openxmlformats.org/officeDocument/2006/relationships/hyperlink" Target="https://www.itu.int/md/D22-TDAG32-C-0045/" TargetMode="External"/><Relationship Id="rId218" Type="http://schemas.openxmlformats.org/officeDocument/2006/relationships/hyperlink" Target="https://www.itu.int/md/D22-TDAG32-C-0056/en" TargetMode="External"/><Relationship Id="rId425" Type="http://schemas.openxmlformats.org/officeDocument/2006/relationships/hyperlink" Target="https://www.itu.int/md/D22-TDAG.WG.SR-C-0021/es" TargetMode="External"/><Relationship Id="rId271" Type="http://schemas.openxmlformats.org/officeDocument/2006/relationships/hyperlink" Target="https://www.itu.int/md/D22-TDAG.WG.DEC-C-0014/en" TargetMode="External"/><Relationship Id="rId24" Type="http://schemas.openxmlformats.org/officeDocument/2006/relationships/hyperlink" Target="https://www.youtube.com/watch?v=TbcJt2Zgfxo" TargetMode="External"/><Relationship Id="rId66" Type="http://schemas.openxmlformats.org/officeDocument/2006/relationships/hyperlink" Target="https://www.itu.int/md/D22-TDAG32-C-0012/" TargetMode="External"/><Relationship Id="rId131" Type="http://schemas.openxmlformats.org/officeDocument/2006/relationships/hyperlink" Target="https://www.itu.int/md/D22-TDAG32-250512-TD-0003/es" TargetMode="External"/><Relationship Id="rId327" Type="http://schemas.openxmlformats.org/officeDocument/2006/relationships/hyperlink" Target="https://www.itu.int/md/D22-TDAG.WG.SGQ-C-0020/en" TargetMode="External"/><Relationship Id="rId369" Type="http://schemas.openxmlformats.org/officeDocument/2006/relationships/hyperlink" Target="https://www.itu.int/md/D22-TDAG.WG.SGQ-C-0034/" TargetMode="External"/><Relationship Id="rId173" Type="http://schemas.openxmlformats.org/officeDocument/2006/relationships/hyperlink" Target="https://www.itu.int/md/D22-TDAG32-C-0055/es" TargetMode="External"/><Relationship Id="rId229" Type="http://schemas.openxmlformats.org/officeDocument/2006/relationships/hyperlink" Target="https://www.itu.int/md/D22-TDAG.WG.DEC-C-0006/" TargetMode="External"/><Relationship Id="rId380" Type="http://schemas.openxmlformats.org/officeDocument/2006/relationships/hyperlink" Target="https://www.itu.int/md/D22-TDAG.WG.SGQ-C-0043" TargetMode="External"/><Relationship Id="rId436" Type="http://schemas.openxmlformats.org/officeDocument/2006/relationships/hyperlink" Target="https://www.itu.int/md/D22-TDAG.WG.SR-C-0025/" TargetMode="External"/><Relationship Id="rId240" Type="http://schemas.openxmlformats.org/officeDocument/2006/relationships/hyperlink" Target="https://www.itu.int/md/D22-TDAG.WG.DEC-C-0007/" TargetMode="External"/><Relationship Id="rId35" Type="http://schemas.openxmlformats.org/officeDocument/2006/relationships/hyperlink" Target="https://www.itu.int/md/meetingdoc.asp?lang=en&amp;parent=D22-TDAG32-C-0005" TargetMode="External"/><Relationship Id="rId77" Type="http://schemas.openxmlformats.org/officeDocument/2006/relationships/hyperlink" Target="https://www.itu.int/md/D22-TDAG32-C-0034/es" TargetMode="External"/><Relationship Id="rId100" Type="http://schemas.openxmlformats.org/officeDocument/2006/relationships/hyperlink" Target="https://www.itu.int/md/D22-TDAG32-C-0019/" TargetMode="External"/><Relationship Id="rId282" Type="http://schemas.openxmlformats.org/officeDocument/2006/relationships/hyperlink" Target="https://www.itu.int/md/D22-TDAG.EXTRA-C-0004/en" TargetMode="External"/><Relationship Id="rId338" Type="http://schemas.openxmlformats.org/officeDocument/2006/relationships/hyperlink" Target="https://www.itu.int/md/D22-TDAG.WG.SGQ-C-0048" TargetMode="External"/><Relationship Id="rId8" Type="http://schemas.openxmlformats.org/officeDocument/2006/relationships/webSettings" Target="webSettings.xml"/><Relationship Id="rId142" Type="http://schemas.openxmlformats.org/officeDocument/2006/relationships/hyperlink" Target="https://www.itu.int/md/D22-TDAG32-C-0032/" TargetMode="External"/><Relationship Id="rId184" Type="http://schemas.openxmlformats.org/officeDocument/2006/relationships/hyperlink" Target="https://youtu.be/_TmRrANEy9Y?feature=shared" TargetMode="External"/><Relationship Id="rId391" Type="http://schemas.openxmlformats.org/officeDocument/2006/relationships/hyperlink" Target="https://www.itu.int/md/D22-TDAG.WG.SR-C-0004/" TargetMode="External"/><Relationship Id="rId405" Type="http://schemas.openxmlformats.org/officeDocument/2006/relationships/hyperlink" Target="https://www.itu.int/md/D22-TDAG.WG.SR-C-0010/" TargetMode="External"/><Relationship Id="rId447" Type="http://schemas.openxmlformats.org/officeDocument/2006/relationships/hyperlink" Target="https://www.itu.int/md/D22-TDAG.WG.SR-INF-0002/es" TargetMode="External"/><Relationship Id="rId251" Type="http://schemas.openxmlformats.org/officeDocument/2006/relationships/hyperlink" Target="https://www.itu.int/en/ITU-D/Conferences/TDAG/Pages/2024/default.aspx" TargetMode="External"/><Relationship Id="rId46" Type="http://schemas.openxmlformats.org/officeDocument/2006/relationships/hyperlink" Target="https://www.itu.int/md/D22-TDAG32-C-0008/" TargetMode="External"/><Relationship Id="rId293" Type="http://schemas.openxmlformats.org/officeDocument/2006/relationships/hyperlink" Target="https://www.itu.int/md/D22-TDAG.WG.SGQ-C-0029" TargetMode="External"/><Relationship Id="rId307" Type="http://schemas.openxmlformats.org/officeDocument/2006/relationships/hyperlink" Target="https://www.itu.int/md/D22-TDAG.WG.SGQ-C-0043/" TargetMode="External"/><Relationship Id="rId349" Type="http://schemas.openxmlformats.org/officeDocument/2006/relationships/hyperlink" Target="https://www.itu.int/md/D22-TDAG.WG.SGQ-C-0044" TargetMode="External"/><Relationship Id="rId88" Type="http://schemas.openxmlformats.org/officeDocument/2006/relationships/hyperlink" Target="https://www.itu.int/md/D22-TDAG32-C-0016/" TargetMode="External"/><Relationship Id="rId111" Type="http://schemas.openxmlformats.org/officeDocument/2006/relationships/hyperlink" Target="https://youtu.be/QvCYhjH9gKs?si=9EJEAJTkXgXpYbgN" TargetMode="External"/><Relationship Id="rId153" Type="http://schemas.openxmlformats.org/officeDocument/2006/relationships/hyperlink" Target="https://www.itu.int/md/D22-TDAG32-C-0035/es" TargetMode="External"/><Relationship Id="rId195" Type="http://schemas.openxmlformats.org/officeDocument/2006/relationships/hyperlink" Target="https://www.itu.int/md/D22-TDAG.WG.ITUDP-C-0006/es" TargetMode="External"/><Relationship Id="rId209" Type="http://schemas.openxmlformats.org/officeDocument/2006/relationships/hyperlink" Target="https://www.itu.int/md/D22-TDAG.WG.ITUDP-C-0018/es" TargetMode="External"/><Relationship Id="rId360" Type="http://schemas.openxmlformats.org/officeDocument/2006/relationships/hyperlink" Target="https://www.itu.int/md/D22-TDAG.WG.SGQ-C-0025/" TargetMode="External"/><Relationship Id="rId416" Type="http://schemas.openxmlformats.org/officeDocument/2006/relationships/hyperlink" Target="https://www.itu.int/en/general-secretariat/Pages/ISCG/default.aspx" TargetMode="External"/><Relationship Id="rId220" Type="http://schemas.openxmlformats.org/officeDocument/2006/relationships/hyperlink" Target="https://www.itu.int/md/D22-TDAG31-C-0002/en" TargetMode="External"/><Relationship Id="rId458" Type="http://schemas.openxmlformats.org/officeDocument/2006/relationships/header" Target="header3.xml"/><Relationship Id="rId15" Type="http://schemas.openxmlformats.org/officeDocument/2006/relationships/hyperlink" Target="https://www.itu.int/en/ITU-D/bdt-director/Pages/Speeches.aspx?ItemID=579" TargetMode="External"/><Relationship Id="rId57" Type="http://schemas.openxmlformats.org/officeDocument/2006/relationships/hyperlink" Target="https://www.itu.int/md/D22-TDAG32-C-0050/es" TargetMode="External"/><Relationship Id="rId262" Type="http://schemas.openxmlformats.org/officeDocument/2006/relationships/hyperlink" Target="https://www.itu.int/md/D22-TDAG.WG.DEC-C-0009/es" TargetMode="External"/><Relationship Id="rId318" Type="http://schemas.openxmlformats.org/officeDocument/2006/relationships/hyperlink" Target="https://www.itu.int/md/D22-TDAG.WG.SGQ-C-0036" TargetMode="External"/><Relationship Id="rId99" Type="http://schemas.openxmlformats.org/officeDocument/2006/relationships/hyperlink" Target="https://www.itu.int/md/D22-TDAG32-C-0019/es" TargetMode="External"/><Relationship Id="rId122" Type="http://schemas.openxmlformats.org/officeDocument/2006/relationships/hyperlink" Target="https://www.itu.int/md/D22-TDAG32-C-0024/" TargetMode="External"/><Relationship Id="rId164" Type="http://schemas.openxmlformats.org/officeDocument/2006/relationships/hyperlink" Target="https://www.itu.int/md/meetingdoc.asp?lang=en&amp;parent=D22-TDAG32-250512-TD-0010" TargetMode="External"/><Relationship Id="rId371" Type="http://schemas.openxmlformats.org/officeDocument/2006/relationships/hyperlink" Target="https://www.itu.int/md/D22-TDAG.WG.SGQ-C-0029" TargetMode="External"/><Relationship Id="rId427" Type="http://schemas.openxmlformats.org/officeDocument/2006/relationships/hyperlink" Target="https://www.itu.int/md/D22-TDAG.WG.SR-C-0023/es" TargetMode="External"/><Relationship Id="rId26" Type="http://schemas.openxmlformats.org/officeDocument/2006/relationships/hyperlink" Target="https://www.itu.int/md/D22-TDAG32-C-0003/en" TargetMode="External"/><Relationship Id="rId231" Type="http://schemas.openxmlformats.org/officeDocument/2006/relationships/hyperlink" Target="https://www.itu.int/md/meetingdoc.asp?lang=en&amp;parent=D22-TDAG.WG.DEC-C-0010" TargetMode="External"/><Relationship Id="rId273" Type="http://schemas.openxmlformats.org/officeDocument/2006/relationships/hyperlink" Target="https://www.itu.int/md/D22-TDAG.WG.DEC-250514-TD-0001/en" TargetMode="External"/><Relationship Id="rId329" Type="http://schemas.openxmlformats.org/officeDocument/2006/relationships/hyperlink" Target="https://www.itu.int/md/D22-TDAG.WG.SGQ-C-0012/" TargetMode="External"/><Relationship Id="rId68" Type="http://schemas.openxmlformats.org/officeDocument/2006/relationships/hyperlink" Target="https://youtu.be/AnALX0PEerA?si=uZ31pHoe8nKDbc9r" TargetMode="External"/><Relationship Id="rId133" Type="http://schemas.openxmlformats.org/officeDocument/2006/relationships/hyperlink" Target="https://www.itu.int/md/D22-TDAG32-C-0031/es" TargetMode="External"/><Relationship Id="rId175" Type="http://schemas.openxmlformats.org/officeDocument/2006/relationships/hyperlink" Target="https://www.itu.int/md/D22-TDAG32-C-0060/es" TargetMode="External"/><Relationship Id="rId340" Type="http://schemas.openxmlformats.org/officeDocument/2006/relationships/hyperlink" Target="https://www.itu.int/md/D22-TDAG.WG.SGQ-C-0048" TargetMode="External"/><Relationship Id="rId200" Type="http://schemas.openxmlformats.org/officeDocument/2006/relationships/hyperlink" Target="https://www.itu.int/md/D22-TDAG.WG.ITUDP-C-0016/en" TargetMode="External"/><Relationship Id="rId382" Type="http://schemas.openxmlformats.org/officeDocument/2006/relationships/hyperlink" Target="https://www.itu.int/md/D22-TDAG.WG.SGQ-C-0050/" TargetMode="External"/><Relationship Id="rId438" Type="http://schemas.openxmlformats.org/officeDocument/2006/relationships/hyperlink" Target="https://www.itu.int/md/D22-TDAG.WG.SR-C-0027/" TargetMode="External"/><Relationship Id="rId242" Type="http://schemas.openxmlformats.org/officeDocument/2006/relationships/hyperlink" Target="https://www.itu.int/md/D22-TDAG.WG.DEC-C-0009/en" TargetMode="External"/><Relationship Id="rId284" Type="http://schemas.openxmlformats.org/officeDocument/2006/relationships/hyperlink" Target="https://www.itu.int/md/D22-TDAG.WG.SGQ-C-0006/en" TargetMode="External"/><Relationship Id="rId37" Type="http://schemas.openxmlformats.org/officeDocument/2006/relationships/hyperlink" Target="https://www.itu.int/dms_pub/itu-d/md/22/tdag32/c/D22-TDAG32-C-0006!N6A!PDF-E.pdf" TargetMode="External"/><Relationship Id="rId79" Type="http://schemas.openxmlformats.org/officeDocument/2006/relationships/hyperlink" Target="https://www.itu.int/md/D22-TDAG32-250512-TD-0006/es" TargetMode="External"/><Relationship Id="rId102" Type="http://schemas.openxmlformats.org/officeDocument/2006/relationships/hyperlink" Target="https://www.itu.int/md/D22-TDAG32-C-0042/" TargetMode="External"/><Relationship Id="rId144" Type="http://schemas.openxmlformats.org/officeDocument/2006/relationships/hyperlink" Target="https://www.itu.int/md/meetingdoc.asp?lang=en&amp;parent=D22-TDAG32-250512-TD-0005" TargetMode="External"/><Relationship Id="rId90" Type="http://schemas.openxmlformats.org/officeDocument/2006/relationships/hyperlink" Target="https://www.itu.int/md/D22-TDAG32-C-0017/" TargetMode="External"/><Relationship Id="rId186" Type="http://schemas.openxmlformats.org/officeDocument/2006/relationships/hyperlink" Target="https://youtu.be/n-9xwzs0i9I?feature=shared" TargetMode="External"/><Relationship Id="rId351" Type="http://schemas.openxmlformats.org/officeDocument/2006/relationships/hyperlink" Target="https://www.itu.int/md/D22-TDAG.WG.SGQ-C-0046" TargetMode="External"/><Relationship Id="rId393" Type="http://schemas.openxmlformats.org/officeDocument/2006/relationships/hyperlink" Target="https://www.itu.int/md/D22-TDAG.WG.SR-C-0002/" TargetMode="External"/><Relationship Id="rId407" Type="http://schemas.openxmlformats.org/officeDocument/2006/relationships/hyperlink" Target="https://www.itu.int/md/D22-TDAG.WG.SR-C-0010/" TargetMode="External"/><Relationship Id="rId449" Type="http://schemas.openxmlformats.org/officeDocument/2006/relationships/hyperlink" Target="https://www.itu.int/md/D22-TDAG.WG.SR-INF-0001/en" TargetMode="External"/><Relationship Id="rId211" Type="http://schemas.openxmlformats.org/officeDocument/2006/relationships/hyperlink" Target="https://www.itu.int/md/D22-TDAG.WG.ITUDP-C-0018/en" TargetMode="External"/><Relationship Id="rId253" Type="http://schemas.openxmlformats.org/officeDocument/2006/relationships/hyperlink" Target="https://www.itu.int/md/D22-TDAG31-240520-TD-0004/en" TargetMode="External"/><Relationship Id="rId295" Type="http://schemas.openxmlformats.org/officeDocument/2006/relationships/hyperlink" Target="https://www.itu.int/md/D22-TDAG.WG.SGQ-C-0034/" TargetMode="External"/><Relationship Id="rId309" Type="http://schemas.openxmlformats.org/officeDocument/2006/relationships/hyperlink" Target="https://www.itu.int/md/D22-TDAG.WG.SGQ-C-0050/" TargetMode="External"/><Relationship Id="rId460" Type="http://schemas.openxmlformats.org/officeDocument/2006/relationships/fontTable" Target="fontTable.xml"/><Relationship Id="rId48" Type="http://schemas.openxmlformats.org/officeDocument/2006/relationships/hyperlink" Target="https://www.itu.int/md/meetingdoc.asp?lang=en&amp;parent=D22-TDAG32-INF-0002/es" TargetMode="External"/><Relationship Id="rId113" Type="http://schemas.openxmlformats.org/officeDocument/2006/relationships/hyperlink" Target="https://www.itu.int/md/D22-TDAG32-C-0038/es" TargetMode="External"/><Relationship Id="rId320" Type="http://schemas.openxmlformats.org/officeDocument/2006/relationships/hyperlink" Target="https://www.itu.int/md/D22-TDAG.WG.SGQ-C-0018/en" TargetMode="External"/><Relationship Id="rId155" Type="http://schemas.openxmlformats.org/officeDocument/2006/relationships/hyperlink" Target="https://www.itu.int/md/D22-TDAG32-250512-TD-0007/es" TargetMode="External"/><Relationship Id="rId197" Type="http://schemas.openxmlformats.org/officeDocument/2006/relationships/hyperlink" Target="https://www.itu.int/md/D22-TDAG.WG.ITUDP-C-0008/es" TargetMode="External"/><Relationship Id="rId362" Type="http://schemas.openxmlformats.org/officeDocument/2006/relationships/hyperlink" Target="https://www.itu.int/md/D22-TDAG.WG.SGQ-C-0018/en" TargetMode="External"/><Relationship Id="rId418" Type="http://schemas.openxmlformats.org/officeDocument/2006/relationships/hyperlink" Target="https://www.itu.int/md/D22-TDAG.WG.SR-C-0014/" TargetMode="External"/><Relationship Id="rId222" Type="http://schemas.openxmlformats.org/officeDocument/2006/relationships/image" Target="media/image4.svg"/><Relationship Id="rId264" Type="http://schemas.openxmlformats.org/officeDocument/2006/relationships/hyperlink" Target="https://www.itu.int/md/D22-TDAG.WG.DEC-C-0012/" TargetMode="External"/><Relationship Id="rId17" Type="http://schemas.openxmlformats.org/officeDocument/2006/relationships/hyperlink" Target="https://www.itu.int/md/D22-TDAG32-C-0001/" TargetMode="External"/><Relationship Id="rId59" Type="http://schemas.openxmlformats.org/officeDocument/2006/relationships/hyperlink" Target="https://www.itu.int/md/D22-TDAG32-C-0051/" TargetMode="External"/><Relationship Id="rId124" Type="http://schemas.openxmlformats.org/officeDocument/2006/relationships/hyperlink" Target="https://www.itu.int/md/D22-TDAG32-C-0046/" TargetMode="External"/><Relationship Id="rId70" Type="http://schemas.openxmlformats.org/officeDocument/2006/relationships/hyperlink" Target="https://www.itu.int/md/D22-TDAG32-C-0013/" TargetMode="External"/><Relationship Id="rId166" Type="http://schemas.openxmlformats.org/officeDocument/2006/relationships/hyperlink" Target="https://www.itu.int/md/D22-TDAG32-C-0025/" TargetMode="External"/><Relationship Id="rId331" Type="http://schemas.openxmlformats.org/officeDocument/2006/relationships/hyperlink" Target="https://www.itu.int/md/D22-TDAG.WG.SGQ-C-0028" TargetMode="External"/><Relationship Id="rId373" Type="http://schemas.openxmlformats.org/officeDocument/2006/relationships/hyperlink" Target="https://www.itu.int/md/D22-TDAG.WG.SGQ-C-0041/" TargetMode="External"/><Relationship Id="rId429" Type="http://schemas.openxmlformats.org/officeDocument/2006/relationships/hyperlink" Target="https://www.itu.int/md/D22-TDAG.WG.SR-C-0025/" TargetMode="External"/><Relationship Id="rId1" Type="http://schemas.openxmlformats.org/officeDocument/2006/relationships/customXml" Target="../customXml/item1.xml"/><Relationship Id="rId233" Type="http://schemas.openxmlformats.org/officeDocument/2006/relationships/hyperlink" Target="https://www.itu.int/md/D22-TDAG.WG.DEC-C-0016/" TargetMode="External"/><Relationship Id="rId440" Type="http://schemas.openxmlformats.org/officeDocument/2006/relationships/hyperlink" Target="https://www.itu.int/md/D22-TDAG.WG.SR-C-0029/" TargetMode="External"/><Relationship Id="rId28" Type="http://schemas.openxmlformats.org/officeDocument/2006/relationships/hyperlink" Target="https://www.itu.int/md/D22-TDAG32-C-0004/" TargetMode="External"/><Relationship Id="rId275" Type="http://schemas.openxmlformats.org/officeDocument/2006/relationships/hyperlink" Target="https://www.itu.int/md/D22-TDAG32-C-0048/es" TargetMode="External"/><Relationship Id="rId300" Type="http://schemas.openxmlformats.org/officeDocument/2006/relationships/hyperlink" Target="https://www.itu.int/md/D22-TDAG.WG.SGQ-C-0043" TargetMode="External"/><Relationship Id="rId81" Type="http://schemas.openxmlformats.org/officeDocument/2006/relationships/hyperlink" Target="https://www.itu.int/md/D22-TDAG32-C-0054/es" TargetMode="External"/><Relationship Id="rId135" Type="http://schemas.openxmlformats.org/officeDocument/2006/relationships/hyperlink" Target="https://www.itu.int/md/D22-TDAG32-250512-TD-0004/es" TargetMode="External"/><Relationship Id="rId177" Type="http://schemas.openxmlformats.org/officeDocument/2006/relationships/hyperlink" Target="https://www.itu.int/md/D22-TDAG32-250512-TD-0011/es" TargetMode="External"/><Relationship Id="rId342" Type="http://schemas.openxmlformats.org/officeDocument/2006/relationships/hyperlink" Target="https://www.itu.int/md/D22-TDAG.WG.SGQ-C-0031" TargetMode="External"/><Relationship Id="rId384" Type="http://schemas.openxmlformats.org/officeDocument/2006/relationships/hyperlink" Target="https://www.itu.int/md/D22-TDAG.WG.SGQ-C-0043" TargetMode="External"/><Relationship Id="rId202" Type="http://schemas.openxmlformats.org/officeDocument/2006/relationships/hyperlink" Target="https://www.itu.int/en/ITU-D/Conferences/TDAG/Pages/2024/TDAG_WG_ITUDP.aspx" TargetMode="External"/><Relationship Id="rId244" Type="http://schemas.openxmlformats.org/officeDocument/2006/relationships/hyperlink" Target="https://www.itu.int/md/D22-TDAG.WG.DEC-C-0012/" TargetMode="External"/><Relationship Id="rId39" Type="http://schemas.openxmlformats.org/officeDocument/2006/relationships/hyperlink" Target="https://www.itu.int/dms_pub/itu-d/md/22/tdag32/c/D22-TDAG32-C-0006!N6A!PDF-E.pdf" TargetMode="External"/><Relationship Id="rId286" Type="http://schemas.openxmlformats.org/officeDocument/2006/relationships/hyperlink" Target="https://www.itu.int/md/D22-TDAG.WG.SGQ-C-0010/en" TargetMode="External"/><Relationship Id="rId451" Type="http://schemas.openxmlformats.org/officeDocument/2006/relationships/hyperlink" Target="https://www.itu.int/md/D22-TDAG.WG.SR-C-0035/" TargetMode="External"/><Relationship Id="rId50" Type="http://schemas.openxmlformats.org/officeDocument/2006/relationships/hyperlink" Target="https://www.itu.int/md/meetingdoc.asp?lang=en&amp;parent=D22-TDAG32-INF-0002" TargetMode="External"/><Relationship Id="rId104" Type="http://schemas.openxmlformats.org/officeDocument/2006/relationships/hyperlink" Target="https://www.itu.int/md/D22-TDAG32-C-0047/" TargetMode="External"/><Relationship Id="rId146" Type="http://schemas.openxmlformats.org/officeDocument/2006/relationships/hyperlink" Target="https://www.itu.int/md/D22-TDAG32-C-0058/" TargetMode="External"/><Relationship Id="rId188" Type="http://schemas.openxmlformats.org/officeDocument/2006/relationships/hyperlink" Target="https://youtu.be/lWymn4RNG0I?feature=shared" TargetMode="External"/><Relationship Id="rId311" Type="http://schemas.openxmlformats.org/officeDocument/2006/relationships/hyperlink" Target="https://www.itu.int/md/D22-TDAG.WG.SGQ-C-0014" TargetMode="External"/><Relationship Id="rId353" Type="http://schemas.openxmlformats.org/officeDocument/2006/relationships/hyperlink" Target="https://www.itu.int/md/D22-TDAG.WG.SGQ-C-0010/" TargetMode="External"/><Relationship Id="rId395" Type="http://schemas.openxmlformats.org/officeDocument/2006/relationships/hyperlink" Target="https://www.itu.int/md/D22-TDAG.WG.SR-C-0006/" TargetMode="External"/><Relationship Id="rId409" Type="http://schemas.openxmlformats.org/officeDocument/2006/relationships/hyperlink" Target="https://www.itu.int/md/D22-TDAG.WG.SR-C-0013/" TargetMode="External"/><Relationship Id="rId92" Type="http://schemas.openxmlformats.org/officeDocument/2006/relationships/hyperlink" Target="https://www.itu.int/md/D22-TDAG32-C-0018/" TargetMode="External"/><Relationship Id="rId213" Type="http://schemas.openxmlformats.org/officeDocument/2006/relationships/hyperlink" Target="https://www.itu.int/md/D22-TDAG.WG.ITUDP-C-0021/es" TargetMode="External"/><Relationship Id="rId420" Type="http://schemas.openxmlformats.org/officeDocument/2006/relationships/hyperlink" Target="https://www.itu.int/md/D22-TDAG.WG.SR-C-0015/" TargetMode="External"/><Relationship Id="rId255" Type="http://schemas.openxmlformats.org/officeDocument/2006/relationships/hyperlink" Target="https://www.itu.int/en/ITU-D/Conferences/TDAG/Pages/2024/TDAG_WG_DEC.aspx" TargetMode="External"/><Relationship Id="rId297" Type="http://schemas.openxmlformats.org/officeDocument/2006/relationships/hyperlink" Target="https://www.itu.int/md/D22-TDAG.WG.SGQ-C-003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oxanne.Webber@fcc.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dms_pub/itu-d/opb/tdc/D-TDC-WTDC-2022-PDF-E.pdf" TargetMode="External"/><Relationship Id="rId13" Type="http://schemas.openxmlformats.org/officeDocument/2006/relationships/hyperlink" Target="https://www.statista.com/statistics/672546/projected-world-population-distribution-by-age-group/" TargetMode="External"/><Relationship Id="rId3" Type="http://schemas.openxmlformats.org/officeDocument/2006/relationships/hyperlink" Target="https://www.youtube.com/watch?v=QvCYhjH9gKs" TargetMode="External"/><Relationship Id="rId7" Type="http://schemas.openxmlformats.org/officeDocument/2006/relationships/hyperlink" Target="https://www.itu.int/itu-d/meetings/statistics/wp-content/uploads/sites/8/2022/04/UniversalMeaningfulDigitalConnectivityTargets2030_BackgroundPaper.pdf" TargetMode="External"/><Relationship Id="rId12" Type="http://schemas.openxmlformats.org/officeDocument/2006/relationships/hyperlink" Target="https://www.statista.com/statistics/672546/projected-world-population-distribution-by-age-group/" TargetMode="External"/><Relationship Id="rId2" Type="http://schemas.openxmlformats.org/officeDocument/2006/relationships/hyperlink" Target="https://www.itu.int/itu-d/meetings/global-youth-summit-25/" TargetMode="External"/><Relationship Id="rId16" Type="http://schemas.openxmlformats.org/officeDocument/2006/relationships/hyperlink" Target="https://www.unjiu.org/sites/www.unjiu.org/files/jiu_rep_2018_6_english_0.pdf" TargetMode="External"/><Relationship Id="rId1" Type="http://schemas.openxmlformats.org/officeDocument/2006/relationships/hyperlink" Target="https://www.itu.int/itu-d/meetings/global-youth-summit-25/" TargetMode="External"/><Relationship Id="rId6" Type="http://schemas.openxmlformats.org/officeDocument/2006/relationships/hyperlink" Target="https://www.itu.int/itu-d/meetings/statistics/wp-content/uploads/sites/8/2022/04/UniversalMeaningfulDigitalConnectivityTargets2030_BackgroundPaper.pdf" TargetMode="External"/><Relationship Id="rId11" Type="http://schemas.openxmlformats.org/officeDocument/2006/relationships/hyperlink" Target="https://www.unfpa.org/press/population-over-60-year-olds-reach-one-billion-within-decade" TargetMode="External"/><Relationship Id="rId5" Type="http://schemas.openxmlformats.org/officeDocument/2006/relationships/hyperlink" Target="https://www.itu.int/md/D22-TDAG32-C-0019/en" TargetMode="External"/><Relationship Id="rId15" Type="http://schemas.openxmlformats.org/officeDocument/2006/relationships/hyperlink" Target="https://www.unjiu.org/sites/www.unjiu.org/files/jiu_rep_2018_6_english_0.pdf" TargetMode="External"/><Relationship Id="rId10" Type="http://schemas.openxmlformats.org/officeDocument/2006/relationships/hyperlink" Target="https://www.unfpa.org/press/population-over-60-year-olds-reach-one-billion-within-decade" TargetMode="External"/><Relationship Id="rId4" Type="http://schemas.openxmlformats.org/officeDocument/2006/relationships/hyperlink" Target="https://www.itu.int/md/D22-TDAG32-C-0019/en" TargetMode="External"/><Relationship Id="rId9" Type="http://schemas.openxmlformats.org/officeDocument/2006/relationships/hyperlink" Target="https://www.itu.int/dms_pub/itu-d/opb/tdc/D-TDC-WTDC-2022-PDF-E.pdf" TargetMode="External"/><Relationship Id="rId14" Type="http://schemas.openxmlformats.org/officeDocument/2006/relationships/hyperlink" Target="https://population.un.org/w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2.xml><?xml version="1.0" encoding="utf-8"?>
<ds:datastoreItem xmlns:ds="http://schemas.openxmlformats.org/officeDocument/2006/customXml" ds:itemID="{3CED6984-1CEF-41FA-AF41-14B349C5ADB0}"/>
</file>

<file path=customXml/itemProps3.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131</Pages>
  <Words>59852</Words>
  <Characters>359988</Characters>
  <Application>Microsoft Office Word</Application>
  <DocSecurity>0</DocSecurity>
  <Lines>2999</Lines>
  <Paragraphs>838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Spanish</cp:lastModifiedBy>
  <cp:revision>4</cp:revision>
  <cp:lastPrinted>2014-11-04T09:22:00Z</cp:lastPrinted>
  <dcterms:created xsi:type="dcterms:W3CDTF">2025-07-08T07:04:00Z</dcterms:created>
  <dcterms:modified xsi:type="dcterms:W3CDTF">2025-07-08T07:07:00Z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