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500A19" w14:paraId="5589E21D" w14:textId="77777777" w:rsidTr="000D6EAB">
        <w:trPr>
          <w:cantSplit/>
          <w:trHeight w:val="1276"/>
        </w:trPr>
        <w:tc>
          <w:tcPr>
            <w:tcW w:w="1985" w:type="dxa"/>
          </w:tcPr>
          <w:p w14:paraId="3220FE94" w14:textId="77777777" w:rsidR="00AE1244" w:rsidRPr="00500A19" w:rsidRDefault="000E1F4F" w:rsidP="00A259A2">
            <w:pPr>
              <w:spacing w:after="40"/>
              <w:rPr>
                <w:b/>
                <w:bCs/>
                <w:sz w:val="30"/>
                <w:szCs w:val="30"/>
              </w:rPr>
            </w:pPr>
            <w:r w:rsidRPr="00500A19">
              <w:rPr>
                <w:b/>
                <w:bCs/>
                <w:sz w:val="30"/>
                <w:szCs w:val="30"/>
              </w:rPr>
              <w:drawing>
                <wp:inline distT="0" distB="0" distL="0" distR="0" wp14:anchorId="6ACD40F8" wp14:editId="306BE050">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36D33FBE" w14:textId="77777777" w:rsidR="008E1A73" w:rsidRPr="00500A19" w:rsidRDefault="008E1A73" w:rsidP="002978E6">
            <w:pPr>
              <w:spacing w:before="240" w:after="240" w:line="240" w:lineRule="atLeast"/>
              <w:ind w:left="34"/>
              <w:rPr>
                <w:b/>
                <w:bCs/>
                <w:sz w:val="30"/>
                <w:szCs w:val="30"/>
              </w:rPr>
            </w:pPr>
            <w:r w:rsidRPr="00500A19">
              <w:rPr>
                <w:b/>
                <w:bCs/>
                <w:sz w:val="30"/>
                <w:szCs w:val="30"/>
              </w:rPr>
              <w:t xml:space="preserve">Консультативная группа </w:t>
            </w:r>
            <w:r w:rsidRPr="00500A19">
              <w:rPr>
                <w:b/>
                <w:bCs/>
                <w:sz w:val="30"/>
                <w:szCs w:val="30"/>
              </w:rPr>
              <w:br/>
              <w:t>по развитию электросвязи (КГРЭ)</w:t>
            </w:r>
          </w:p>
          <w:p w14:paraId="61413CE7" w14:textId="77777777" w:rsidR="00AE1244" w:rsidRPr="00500A19" w:rsidRDefault="00AE1244" w:rsidP="00294BF6">
            <w:pPr>
              <w:spacing w:after="48" w:line="240" w:lineRule="atLeast"/>
              <w:ind w:left="34"/>
              <w:rPr>
                <w:b/>
                <w:bCs/>
                <w:szCs w:val="22"/>
              </w:rPr>
            </w:pPr>
            <w:r w:rsidRPr="00500A19">
              <w:rPr>
                <w:rFonts w:cstheme="minorHAnsi"/>
                <w:b/>
                <w:bCs/>
                <w:szCs w:val="22"/>
                <w:lang w:eastAsia="zh-CN"/>
              </w:rPr>
              <w:t>32-е собрание, Женева, Швейцария, 12–16 мая 2025 года</w:t>
            </w:r>
          </w:p>
        </w:tc>
        <w:tc>
          <w:tcPr>
            <w:tcW w:w="1384" w:type="dxa"/>
          </w:tcPr>
          <w:p w14:paraId="1ECA64CD" w14:textId="77777777" w:rsidR="00AE1244" w:rsidRPr="00500A19" w:rsidRDefault="00AE1244" w:rsidP="00303F7C">
            <w:pPr>
              <w:spacing w:before="240" w:after="120"/>
              <w:jc w:val="right"/>
              <w:rPr>
                <w:rFonts w:cstheme="minorHAnsi"/>
              </w:rPr>
            </w:pPr>
            <w:bookmarkStart w:id="0" w:name="ditulogo"/>
            <w:bookmarkEnd w:id="0"/>
            <w:r w:rsidRPr="00500A19">
              <w:rPr>
                <w:lang w:eastAsia="fr-FR"/>
              </w:rPr>
              <w:drawing>
                <wp:inline distT="0" distB="0" distL="0" distR="0" wp14:anchorId="0CB373E2" wp14:editId="5B71699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500A19" w14:paraId="190BAFCF" w14:textId="77777777" w:rsidTr="005C3173">
        <w:trPr>
          <w:cantSplit/>
        </w:trPr>
        <w:tc>
          <w:tcPr>
            <w:tcW w:w="6663" w:type="dxa"/>
            <w:gridSpan w:val="2"/>
            <w:tcBorders>
              <w:top w:val="single" w:sz="12" w:space="0" w:color="auto"/>
            </w:tcBorders>
          </w:tcPr>
          <w:p w14:paraId="25B463FB" w14:textId="77777777" w:rsidR="00D83BF5" w:rsidRPr="00500A19"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146C47D0" w14:textId="77777777" w:rsidR="00D83BF5" w:rsidRPr="00500A19" w:rsidRDefault="00D83BF5" w:rsidP="00CE66E4">
            <w:pPr>
              <w:spacing w:before="0"/>
              <w:rPr>
                <w:rFonts w:cstheme="minorHAnsi"/>
                <w:sz w:val="20"/>
              </w:rPr>
            </w:pPr>
          </w:p>
        </w:tc>
      </w:tr>
      <w:tr w:rsidR="00D87035" w:rsidRPr="00500A19" w14:paraId="0C717D90" w14:textId="77777777" w:rsidTr="005C3173">
        <w:trPr>
          <w:cantSplit/>
          <w:trHeight w:val="23"/>
        </w:trPr>
        <w:tc>
          <w:tcPr>
            <w:tcW w:w="6663" w:type="dxa"/>
            <w:gridSpan w:val="2"/>
            <w:shd w:val="clear" w:color="auto" w:fill="auto"/>
          </w:tcPr>
          <w:p w14:paraId="70646958" w14:textId="77777777" w:rsidR="00D87035" w:rsidRPr="00500A19"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572A4A4E" w14:textId="33AF9BB9" w:rsidR="00D87035" w:rsidRPr="00500A19" w:rsidRDefault="005E032D" w:rsidP="00CE66E4">
            <w:pPr>
              <w:tabs>
                <w:tab w:val="left" w:pos="851"/>
              </w:tabs>
              <w:spacing w:before="0"/>
              <w:rPr>
                <w:rFonts w:cstheme="minorHAnsi"/>
                <w:szCs w:val="22"/>
              </w:rPr>
            </w:pPr>
            <w:r w:rsidRPr="00500A19">
              <w:rPr>
                <w:b/>
                <w:bCs/>
                <w:szCs w:val="22"/>
              </w:rPr>
              <w:t>Документ</w:t>
            </w:r>
            <w:r w:rsidR="00D87035" w:rsidRPr="00500A19">
              <w:rPr>
                <w:b/>
                <w:bCs/>
                <w:szCs w:val="22"/>
              </w:rPr>
              <w:t xml:space="preserve"> </w:t>
            </w:r>
            <w:bookmarkStart w:id="4" w:name="DocRef1"/>
            <w:bookmarkEnd w:id="4"/>
            <w:r w:rsidR="00D87035" w:rsidRPr="00500A19">
              <w:rPr>
                <w:b/>
                <w:bCs/>
                <w:szCs w:val="22"/>
              </w:rPr>
              <w:t>TDAG-</w:t>
            </w:r>
            <w:r w:rsidR="00523934" w:rsidRPr="00500A19">
              <w:rPr>
                <w:b/>
                <w:bCs/>
                <w:szCs w:val="22"/>
              </w:rPr>
              <w:t>2</w:t>
            </w:r>
            <w:r w:rsidR="0081159E" w:rsidRPr="00500A19">
              <w:rPr>
                <w:b/>
                <w:bCs/>
                <w:szCs w:val="22"/>
              </w:rPr>
              <w:t>5</w:t>
            </w:r>
            <w:r w:rsidR="00D87035" w:rsidRPr="00500A19">
              <w:rPr>
                <w:b/>
                <w:bCs/>
                <w:szCs w:val="22"/>
              </w:rPr>
              <w:t>/</w:t>
            </w:r>
            <w:bookmarkStart w:id="5" w:name="DocNo1"/>
            <w:bookmarkEnd w:id="5"/>
            <w:r w:rsidR="00D345DB" w:rsidRPr="00500A19">
              <w:rPr>
                <w:b/>
                <w:bCs/>
                <w:szCs w:val="22"/>
              </w:rPr>
              <w:t>62-R</w:t>
            </w:r>
          </w:p>
        </w:tc>
      </w:tr>
      <w:tr w:rsidR="00D87035" w:rsidRPr="00500A19" w14:paraId="73272F98" w14:textId="77777777" w:rsidTr="005C3173">
        <w:trPr>
          <w:cantSplit/>
          <w:trHeight w:val="23"/>
        </w:trPr>
        <w:tc>
          <w:tcPr>
            <w:tcW w:w="6663" w:type="dxa"/>
            <w:gridSpan w:val="2"/>
            <w:shd w:val="clear" w:color="auto" w:fill="auto"/>
          </w:tcPr>
          <w:p w14:paraId="78EAAE03" w14:textId="77777777" w:rsidR="00D87035" w:rsidRPr="00500A19"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5E22ABD7" w14:textId="473EF9BB" w:rsidR="00D87035" w:rsidRPr="00500A19" w:rsidRDefault="00D345DB" w:rsidP="00CE66E4">
            <w:pPr>
              <w:spacing w:before="0"/>
              <w:rPr>
                <w:rFonts w:cstheme="minorHAnsi"/>
                <w:szCs w:val="22"/>
              </w:rPr>
            </w:pPr>
            <w:r w:rsidRPr="00500A19">
              <w:rPr>
                <w:b/>
                <w:bCs/>
                <w:szCs w:val="22"/>
              </w:rPr>
              <w:t>9 июня 2025 года</w:t>
            </w:r>
          </w:p>
        </w:tc>
      </w:tr>
      <w:bookmarkEnd w:id="6"/>
      <w:bookmarkEnd w:id="7"/>
      <w:tr w:rsidR="00D87035" w:rsidRPr="00500A19" w14:paraId="28469CAE" w14:textId="77777777" w:rsidTr="005C3173">
        <w:trPr>
          <w:cantSplit/>
          <w:trHeight w:val="23"/>
        </w:trPr>
        <w:tc>
          <w:tcPr>
            <w:tcW w:w="6663" w:type="dxa"/>
            <w:gridSpan w:val="2"/>
            <w:shd w:val="clear" w:color="auto" w:fill="auto"/>
          </w:tcPr>
          <w:p w14:paraId="4159C7EA" w14:textId="77777777" w:rsidR="00D87035" w:rsidRPr="00500A19" w:rsidRDefault="00D87035" w:rsidP="00CE66E4">
            <w:pPr>
              <w:tabs>
                <w:tab w:val="left" w:pos="851"/>
              </w:tabs>
              <w:spacing w:before="0"/>
              <w:rPr>
                <w:rFonts w:cstheme="minorHAnsi"/>
                <w:szCs w:val="24"/>
              </w:rPr>
            </w:pPr>
          </w:p>
        </w:tc>
        <w:tc>
          <w:tcPr>
            <w:tcW w:w="3368" w:type="dxa"/>
            <w:gridSpan w:val="2"/>
          </w:tcPr>
          <w:p w14:paraId="2C5732DA" w14:textId="77777777" w:rsidR="00D87035" w:rsidRPr="00500A19" w:rsidRDefault="005E032D" w:rsidP="00CE66E4">
            <w:pPr>
              <w:tabs>
                <w:tab w:val="left" w:pos="993"/>
              </w:tabs>
              <w:spacing w:before="0"/>
              <w:rPr>
                <w:rFonts w:cstheme="minorHAnsi"/>
                <w:b/>
                <w:szCs w:val="22"/>
              </w:rPr>
            </w:pPr>
            <w:r w:rsidRPr="00500A19">
              <w:rPr>
                <w:b/>
                <w:bCs/>
                <w:szCs w:val="22"/>
              </w:rPr>
              <w:t>Оригинал</w:t>
            </w:r>
            <w:r w:rsidR="00D87035" w:rsidRPr="00500A19">
              <w:rPr>
                <w:b/>
                <w:bCs/>
                <w:szCs w:val="22"/>
              </w:rPr>
              <w:t xml:space="preserve">: </w:t>
            </w:r>
            <w:r w:rsidRPr="00500A19">
              <w:rPr>
                <w:b/>
                <w:bCs/>
                <w:szCs w:val="22"/>
              </w:rPr>
              <w:t>английский</w:t>
            </w:r>
          </w:p>
        </w:tc>
      </w:tr>
      <w:tr w:rsidR="00D83BF5" w:rsidRPr="00500A19" w14:paraId="5FE148BA" w14:textId="77777777" w:rsidTr="00D87035">
        <w:trPr>
          <w:cantSplit/>
          <w:trHeight w:val="23"/>
        </w:trPr>
        <w:tc>
          <w:tcPr>
            <w:tcW w:w="10031" w:type="dxa"/>
            <w:gridSpan w:val="4"/>
            <w:shd w:val="clear" w:color="auto" w:fill="auto"/>
          </w:tcPr>
          <w:p w14:paraId="37F57DA1" w14:textId="37D682CE" w:rsidR="00D83BF5" w:rsidRPr="00500A19" w:rsidRDefault="00D345DB" w:rsidP="006774C6">
            <w:pPr>
              <w:pStyle w:val="Source"/>
            </w:pPr>
            <w:bookmarkStart w:id="8" w:name="dbluepink" w:colFirst="0" w:colLast="0"/>
            <w:bookmarkStart w:id="9" w:name="dorlang" w:colFirst="1" w:colLast="1"/>
            <w:r w:rsidRPr="00500A19">
              <w:t>Консультативная группа по развитию электросвязи (КГРЭ)</w:t>
            </w:r>
          </w:p>
        </w:tc>
      </w:tr>
      <w:tr w:rsidR="00D83BF5" w:rsidRPr="00500A19" w14:paraId="5827B6A4" w14:textId="77777777" w:rsidTr="00D87035">
        <w:trPr>
          <w:cantSplit/>
          <w:trHeight w:val="23"/>
        </w:trPr>
        <w:tc>
          <w:tcPr>
            <w:tcW w:w="10031" w:type="dxa"/>
            <w:gridSpan w:val="4"/>
            <w:shd w:val="clear" w:color="auto" w:fill="auto"/>
            <w:vAlign w:val="center"/>
          </w:tcPr>
          <w:p w14:paraId="49889723" w14:textId="77777777" w:rsidR="00D83BF5" w:rsidRPr="00500A19" w:rsidRDefault="00D345DB" w:rsidP="006774C6">
            <w:pPr>
              <w:pStyle w:val="Title1"/>
            </w:pPr>
            <w:r w:rsidRPr="00500A19">
              <w:t>Отчет о тридцать втором собрании КГРЭ</w:t>
            </w:r>
          </w:p>
          <w:p w14:paraId="60AFED19" w14:textId="0F8355BE" w:rsidR="00500A19" w:rsidRPr="00500A19" w:rsidRDefault="00500A19" w:rsidP="00500A19"/>
        </w:tc>
      </w:tr>
      <w:bookmarkEnd w:id="8"/>
      <w:bookmarkEnd w:id="9"/>
    </w:tbl>
    <w:p w14:paraId="4CEC1173" w14:textId="77777777" w:rsidR="00075C63" w:rsidRPr="00500A19" w:rsidRDefault="00075C63" w:rsidP="00CE66E4">
      <w:pPr>
        <w:rPr>
          <w:szCs w:val="24"/>
        </w:rPr>
      </w:pPr>
      <w:r w:rsidRPr="00500A19">
        <w:rPr>
          <w:szCs w:val="24"/>
        </w:rPr>
        <w:br w:type="page"/>
      </w:r>
    </w:p>
    <w:p w14:paraId="34E4A252" w14:textId="77777777" w:rsidR="00D345DB" w:rsidRPr="00500A19" w:rsidRDefault="00D345DB" w:rsidP="00E104CD">
      <w:pPr>
        <w:pStyle w:val="Headingb"/>
        <w:rPr>
          <w:rFonts w:cstheme="minorBidi"/>
          <w:lang w:val="ru-RU"/>
        </w:rPr>
      </w:pPr>
      <w:r w:rsidRPr="00500A19">
        <w:rPr>
          <w:lang w:val="ru-RU"/>
        </w:rPr>
        <w:lastRenderedPageBreak/>
        <w:t>Введение и основные результаты</w:t>
      </w:r>
    </w:p>
    <w:p w14:paraId="4233FAB5" w14:textId="399FB810" w:rsidR="00D345DB" w:rsidRPr="00500A19" w:rsidRDefault="00D345DB" w:rsidP="00E104CD">
      <w:pPr>
        <w:rPr>
          <w:rFonts w:cstheme="minorBidi"/>
        </w:rPr>
      </w:pPr>
      <w:r w:rsidRPr="00500A19">
        <w:t>Консультативная группа по развитию электросвязи (КГРЭ) провела свое ежегодное собрание под председательством Роксаны Макэлвейн Веббер (Соединенные Штаты Америки) с 12 по 16 мая 2025</w:t>
      </w:r>
      <w:r w:rsidR="00E104CD" w:rsidRPr="00500A19">
        <w:t> </w:t>
      </w:r>
      <w:r w:rsidRPr="00500A19">
        <w:t>года. В собрании приняли участие 224 человека, в том числе 101 женщина и 123 мужчины из 73</w:t>
      </w:r>
      <w:r w:rsidR="00E104CD" w:rsidRPr="00500A19">
        <w:t> </w:t>
      </w:r>
      <w:r w:rsidRPr="00500A19">
        <w:t>стран, при этом 123 процента участников присутствовали очно, на собрании было рассмотрено 60</w:t>
      </w:r>
      <w:r w:rsidR="00E104CD" w:rsidRPr="00500A19">
        <w:t> </w:t>
      </w:r>
      <w:r w:rsidRPr="00500A19">
        <w:t>вкладов. К г-же Веббер присоединились 10 заместителей Председателя, представляющих регионы: от Африки</w:t>
      </w:r>
      <w:r w:rsidRPr="00500A19">
        <w:rPr>
          <w:rStyle w:val="FootnoteReference"/>
          <w:rFonts w:cstheme="minorBidi"/>
        </w:rPr>
        <w:footnoteReference w:id="2"/>
      </w:r>
      <w:r w:rsidRPr="00500A19">
        <w:t>; – Абдулкарим Олойеде (Нигерия); от Северной и Южной Америки – Августина Брицио (Аргентина) и Андреа Гриппа (Бразилия); от Азиатско-Тихоокеанского региона – Ке Ван (Китай) и Ахмад Шарафат (Иран); от арабских государств – Ахмед Абд эль-Азиз Гад (Египет) и Шахад Альбалави (Саудовская Аравия); от Европы</w:t>
      </w:r>
      <w:r w:rsidRPr="00500A19">
        <w:rPr>
          <w:rStyle w:val="FootnoteReference"/>
          <w:rFonts w:cstheme="minorBidi"/>
        </w:rPr>
        <w:footnoteReference w:id="3"/>
      </w:r>
      <w:r w:rsidRPr="00500A19">
        <w:t xml:space="preserve"> – Инга Римкевичене и Председатели 1-й и 2</w:t>
      </w:r>
      <w:r w:rsidR="00E104CD" w:rsidRPr="00500A19">
        <w:t>­</w:t>
      </w:r>
      <w:r w:rsidRPr="00500A19">
        <w:t>й</w:t>
      </w:r>
      <w:r w:rsidR="00E104CD" w:rsidRPr="00500A19">
        <w:t> </w:t>
      </w:r>
      <w:r w:rsidRPr="00500A19">
        <w:t>Исследовательских комиссий МСЭ-D Регина Флёр Ассуму-Бессу и д-р Фадель Дигхам, соответственно</w:t>
      </w:r>
      <w:r w:rsidRPr="00500A19">
        <w:rPr>
          <w:rStyle w:val="FootnoteReference"/>
          <w:rFonts w:cstheme="minorBidi"/>
        </w:rPr>
        <w:footnoteReference w:id="4"/>
      </w:r>
      <w:r w:rsidRPr="00500A19">
        <w:t xml:space="preserve">. Окончательный список участников представлен </w:t>
      </w:r>
      <w:hyperlink r:id="rId13" w:history="1">
        <w:r w:rsidRPr="00500A19">
          <w:rPr>
            <w:rStyle w:val="Hyperlink"/>
          </w:rPr>
          <w:t>здесь</w:t>
        </w:r>
      </w:hyperlink>
      <w:r w:rsidRPr="00500A19">
        <w:t>.</w:t>
      </w:r>
    </w:p>
    <w:p w14:paraId="5F25C034" w14:textId="77777777" w:rsidR="00D345DB" w:rsidRPr="00500A19" w:rsidRDefault="00D345DB" w:rsidP="00E104CD">
      <w:pPr>
        <w:rPr>
          <w:rFonts w:cstheme="minorBidi"/>
        </w:rPr>
      </w:pPr>
      <w:r w:rsidRPr="00500A19">
        <w:t>КГРЭ предоставила динамичную и интерактивную площадку для обсуждения ключевых стратегических, оперативных и политических вопросов Сектора развития электросвязи МСЭ (МСЭ-D). В течение пяти дней повестка дня включала открытые для всех мероприятия с многосторонним участием, в том числе тематические пленарные сессии, целевые собрания рабочих групп, интервью на высоком уровне и увлекательный обмен мнениями за круглым столом.</w:t>
      </w:r>
    </w:p>
    <w:p w14:paraId="464B6B8C" w14:textId="437CCFC3" w:rsidR="00D345DB" w:rsidRPr="00500A19" w:rsidRDefault="00D345DB" w:rsidP="00E104CD">
      <w:pPr>
        <w:rPr>
          <w:rFonts w:cstheme="minorHAnsi"/>
        </w:rPr>
      </w:pPr>
      <w:bookmarkStart w:id="10" w:name="_Hlk198646087"/>
      <w:r w:rsidRPr="00500A19">
        <w:t xml:space="preserve">В частности, КГРЭ одобрила </w:t>
      </w:r>
      <w:r w:rsidRPr="00500A19">
        <w:rPr>
          <w:b/>
          <w:bCs/>
        </w:rPr>
        <w:t>Оперативный план МСЭ-D на 2025 год</w:t>
      </w:r>
      <w:r w:rsidRPr="00500A19">
        <w:t xml:space="preserve"> и назначила г-жу Ингу Римкевичене представителем КГРЭ в МСКГ по вопросам участия отрасли в МСЭ-D. Что касается ВКРЭ</w:t>
      </w:r>
      <w:r w:rsidR="00C30A04" w:rsidRPr="00500A19">
        <w:t>­</w:t>
      </w:r>
      <w:r w:rsidRPr="00500A19">
        <w:t>25, то КГРЭ утвердила тему, разработанную Рабочей группой КГРЭ по Декларации ВКРЭ "</w:t>
      </w:r>
      <w:r w:rsidRPr="00500A19">
        <w:rPr>
          <w:b/>
          <w:bCs/>
          <w:i/>
          <w:iCs/>
        </w:rPr>
        <w:t>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w:t>
      </w:r>
      <w:r w:rsidRPr="00500A19">
        <w:t>", а также утвердила итоговые документы рабочих групп КГРЭ по четырем основным результатам ВКРЭ-25, работа над которыми должна быть завершена на конференции:</w:t>
      </w:r>
      <w:bookmarkEnd w:id="10"/>
    </w:p>
    <w:p w14:paraId="5669BFD6" w14:textId="2C92BA77" w:rsidR="00D345DB" w:rsidRPr="00500A19" w:rsidRDefault="00E104CD" w:rsidP="00E104CD">
      <w:pPr>
        <w:pStyle w:val="enumlev1"/>
        <w:rPr>
          <w:rFonts w:cstheme="minorHAnsi"/>
        </w:rPr>
      </w:pPr>
      <w:r w:rsidRPr="00500A19">
        <w:sym w:font="Symbol" w:char="F02D"/>
      </w:r>
      <w:r w:rsidRPr="00500A19">
        <w:tab/>
      </w:r>
      <w:r w:rsidR="00D345DB" w:rsidRPr="00500A19">
        <w:t>приоритеты МСЭ-D/Бакинский план действий;</w:t>
      </w:r>
    </w:p>
    <w:p w14:paraId="31F156C0" w14:textId="614AFD73" w:rsidR="00D345DB" w:rsidRPr="00500A19" w:rsidRDefault="00E104CD" w:rsidP="00E104CD">
      <w:pPr>
        <w:pStyle w:val="enumlev1"/>
        <w:rPr>
          <w:rFonts w:cstheme="minorHAnsi"/>
        </w:rPr>
      </w:pPr>
      <w:r w:rsidRPr="00500A19">
        <w:sym w:font="Symbol" w:char="F02D"/>
      </w:r>
      <w:r w:rsidRPr="00500A19">
        <w:tab/>
      </w:r>
      <w:r w:rsidR="00D345DB" w:rsidRPr="00500A19">
        <w:t>Бакинская декларация;</w:t>
      </w:r>
    </w:p>
    <w:p w14:paraId="1299CDB5" w14:textId="263B5138" w:rsidR="00D345DB" w:rsidRPr="00500A19" w:rsidRDefault="00E104CD" w:rsidP="00E104CD">
      <w:pPr>
        <w:pStyle w:val="enumlev1"/>
        <w:rPr>
          <w:rFonts w:cstheme="minorHAnsi"/>
        </w:rPr>
      </w:pPr>
      <w:r w:rsidRPr="00500A19">
        <w:sym w:font="Symbol" w:char="F02D"/>
      </w:r>
      <w:r w:rsidRPr="00500A19">
        <w:tab/>
      </w:r>
      <w:r w:rsidR="00D345DB" w:rsidRPr="00500A19">
        <w:t>будущие Вопросы исследовательских комиссий; и</w:t>
      </w:r>
    </w:p>
    <w:p w14:paraId="317556F2" w14:textId="0F389854" w:rsidR="00D345DB" w:rsidRPr="00500A19" w:rsidRDefault="00E104CD" w:rsidP="00E104CD">
      <w:pPr>
        <w:pStyle w:val="enumlev1"/>
        <w:rPr>
          <w:rFonts w:cstheme="minorHAnsi"/>
        </w:rPr>
      </w:pPr>
      <w:r w:rsidRPr="00500A19">
        <w:sym w:font="Symbol" w:char="F02D"/>
      </w:r>
      <w:r w:rsidRPr="00500A19">
        <w:tab/>
      </w:r>
      <w:r w:rsidR="00D345DB" w:rsidRPr="00500A19">
        <w:t>предложения по упорядочению Резолюций МСЭ-D.</w:t>
      </w:r>
    </w:p>
    <w:p w14:paraId="7D95529C" w14:textId="4E66280B" w:rsidR="00D345DB" w:rsidRPr="00500A19" w:rsidRDefault="00D345DB" w:rsidP="00E104CD">
      <w:pPr>
        <w:rPr>
          <w:rFonts w:cstheme="minorHAnsi"/>
        </w:rPr>
      </w:pPr>
      <w:r w:rsidRPr="00500A19">
        <w:t>Рабочие группы КГРЭ осуществляли деятельность под руководством заместителей Председателя КГРЭ и были открыты для всех членов. Указанные выше результаты работы КГРЭ представляют собой не имеющие обязательной силы базовые документы, на которые Члены могут ссылаться при подготовке к ВКРЭ-25; они отражают статус переговоров по состоянию на май 2025 года</w:t>
      </w:r>
      <w:r w:rsidRPr="00500A19">
        <w:rPr>
          <w:rStyle w:val="FootnoteReference"/>
          <w:rFonts w:cstheme="minorBidi"/>
          <w:szCs w:val="16"/>
        </w:rPr>
        <w:footnoteReference w:id="5"/>
      </w:r>
      <w:r w:rsidRPr="00500A19">
        <w:t xml:space="preserve"> и представлены в </w:t>
      </w:r>
      <w:r w:rsidRPr="00500A19">
        <w:rPr>
          <w:b/>
          <w:bCs/>
        </w:rPr>
        <w:t>Приложениях C</w:t>
      </w:r>
      <w:r w:rsidR="007E05C4" w:rsidRPr="00500A19">
        <w:rPr>
          <w:b/>
          <w:bCs/>
        </w:rPr>
        <w:sym w:font="Symbol" w:char="F02D"/>
      </w:r>
      <w:r w:rsidRPr="00500A19">
        <w:rPr>
          <w:b/>
          <w:bCs/>
        </w:rPr>
        <w:t>F</w:t>
      </w:r>
      <w:r w:rsidRPr="00500A19">
        <w:t xml:space="preserve"> к настоящему отчету. Ниже представлен состав рабочих</w:t>
      </w:r>
      <w:r w:rsidR="007E05C4" w:rsidRPr="00500A19">
        <w:t> </w:t>
      </w:r>
      <w:r w:rsidRPr="00500A19">
        <w:t>групп</w:t>
      </w:r>
      <w:r w:rsidR="00E104CD" w:rsidRPr="00500A19">
        <w:t> </w:t>
      </w:r>
      <w:r w:rsidRPr="00500A19">
        <w:t>КГРЭ:</w:t>
      </w:r>
    </w:p>
    <w:p w14:paraId="648F1C90" w14:textId="62457CE0" w:rsidR="00D345DB" w:rsidRPr="00500A19" w:rsidRDefault="00E104CD" w:rsidP="00E104CD">
      <w:pPr>
        <w:pStyle w:val="enumlev1"/>
        <w:rPr>
          <w:rFonts w:cstheme="minorBidi"/>
        </w:rPr>
      </w:pPr>
      <w:r w:rsidRPr="00500A19">
        <w:lastRenderedPageBreak/>
        <w:sym w:font="Symbol" w:char="F02D"/>
      </w:r>
      <w:r w:rsidRPr="00500A19">
        <w:tab/>
      </w:r>
      <w:r w:rsidR="00D345DB" w:rsidRPr="00500A19">
        <w:rPr>
          <w:b/>
          <w:bCs/>
        </w:rPr>
        <w:t>Рабочая группа КГРЭ по приоритетам МСЭ-D</w:t>
      </w:r>
      <w:r w:rsidR="00D345DB" w:rsidRPr="00500A19">
        <w:t xml:space="preserve"> (КГРЭ-РГ-ITUDP) (</w:t>
      </w:r>
      <w:r w:rsidR="00D345DB" w:rsidRPr="00500A19">
        <w:rPr>
          <w:i/>
          <w:iCs/>
        </w:rPr>
        <w:t>Председатель: Инга Римкевичене (Литва) в 2025 г. и Кристофер Кемей (Кения) в 2024 г.; заместители Председателя: Бланка Гонсалес (Испания) и Ахмад Шарафат (Иран)</w:t>
      </w:r>
      <w:r w:rsidR="00D345DB" w:rsidRPr="00500A19">
        <w:t>);</w:t>
      </w:r>
    </w:p>
    <w:p w14:paraId="61479DBF" w14:textId="340CFD7B" w:rsidR="00D345DB" w:rsidRPr="00500A19" w:rsidRDefault="00E104CD" w:rsidP="00E104CD">
      <w:pPr>
        <w:pStyle w:val="enumlev1"/>
        <w:rPr>
          <w:rFonts w:cstheme="minorBidi"/>
        </w:rPr>
      </w:pPr>
      <w:r w:rsidRPr="00500A19">
        <w:sym w:font="Symbol" w:char="F02D"/>
      </w:r>
      <w:r w:rsidRPr="00500A19">
        <w:tab/>
      </w:r>
      <w:r w:rsidR="00D345DB" w:rsidRPr="00500A19">
        <w:rPr>
          <w:b/>
          <w:bCs/>
        </w:rPr>
        <w:t>Рабочая группа КГРЭ по будущему Вопросов исследовательских комиссий</w:t>
      </w:r>
      <w:r w:rsidR="00D345DB" w:rsidRPr="00500A19">
        <w:t xml:space="preserve"> (</w:t>
      </w:r>
      <w:r w:rsidR="00D345DB" w:rsidRPr="00500A19">
        <w:rPr>
          <w:i/>
          <w:iCs/>
        </w:rPr>
        <w:t>Председатель: д-р Ахмад Р. Шарафат (Иран); заместители Председателя: Регина Флёр Ассуму-Бессу (Кот-д'Ивуар) и Фадель Дигхам (Египет)</w:t>
      </w:r>
      <w:r w:rsidR="00D345DB" w:rsidRPr="00500A19">
        <w:t>);</w:t>
      </w:r>
    </w:p>
    <w:p w14:paraId="137B95A3" w14:textId="4FD98DFE" w:rsidR="00D345DB" w:rsidRPr="00500A19" w:rsidRDefault="00E104CD" w:rsidP="00E104CD">
      <w:pPr>
        <w:pStyle w:val="enumlev1"/>
        <w:rPr>
          <w:rFonts w:cstheme="minorHAnsi"/>
          <w:color w:val="000000"/>
          <w:szCs w:val="22"/>
        </w:rPr>
      </w:pPr>
      <w:r w:rsidRPr="00500A19">
        <w:sym w:font="Symbol" w:char="F02D"/>
      </w:r>
      <w:r w:rsidRPr="00500A19">
        <w:tab/>
      </w:r>
      <w:r w:rsidR="00D345DB" w:rsidRPr="00500A19">
        <w:rPr>
          <w:rFonts w:cstheme="minorHAnsi"/>
          <w:b/>
          <w:bCs/>
          <w:szCs w:val="22"/>
        </w:rPr>
        <w:t xml:space="preserve">Рабочая группа КГРЭ по Декларации ВКРЭ </w:t>
      </w:r>
      <w:r w:rsidR="00D345DB" w:rsidRPr="00500A19">
        <w:rPr>
          <w:rFonts w:cstheme="minorHAnsi"/>
          <w:szCs w:val="22"/>
        </w:rPr>
        <w:t>(КГРЭ-РГ-DEC) (</w:t>
      </w:r>
      <w:r w:rsidR="00D345DB" w:rsidRPr="00500A19">
        <w:rPr>
          <w:rFonts w:cstheme="minorHAnsi"/>
          <w:i/>
          <w:iCs/>
          <w:szCs w:val="22"/>
        </w:rPr>
        <w:t>Председатель: д-р Абдулкарим Олойеде (Нигерия); заместители Председателя: г-н Ахмед Гад (Египет) и г-н Ке Ван</w:t>
      </w:r>
      <w:r w:rsidR="00C30A04" w:rsidRPr="00500A19">
        <w:rPr>
          <w:rFonts w:cstheme="minorHAnsi"/>
          <w:i/>
          <w:iCs/>
          <w:szCs w:val="22"/>
        </w:rPr>
        <w:t> </w:t>
      </w:r>
      <w:r w:rsidR="00D345DB" w:rsidRPr="00500A19">
        <w:rPr>
          <w:rFonts w:cstheme="minorHAnsi"/>
          <w:i/>
          <w:iCs/>
          <w:szCs w:val="22"/>
        </w:rPr>
        <w:t>(Китай)</w:t>
      </w:r>
      <w:r w:rsidR="00D345DB" w:rsidRPr="00500A19">
        <w:rPr>
          <w:rFonts w:cstheme="minorHAnsi"/>
          <w:szCs w:val="22"/>
        </w:rPr>
        <w:t>);</w:t>
      </w:r>
    </w:p>
    <w:p w14:paraId="07283B40" w14:textId="0DE15973" w:rsidR="00D345DB" w:rsidRPr="00500A19" w:rsidRDefault="00E104CD" w:rsidP="00E104CD">
      <w:pPr>
        <w:pStyle w:val="enumlev1"/>
        <w:rPr>
          <w:rFonts w:cstheme="minorBidi"/>
          <w:szCs w:val="22"/>
        </w:rPr>
      </w:pPr>
      <w:r w:rsidRPr="00500A19">
        <w:sym w:font="Symbol" w:char="F02D"/>
      </w:r>
      <w:r w:rsidRPr="00500A19">
        <w:tab/>
      </w:r>
      <w:r w:rsidR="00D345DB" w:rsidRPr="00500A19">
        <w:rPr>
          <w:b/>
          <w:bCs/>
          <w:szCs w:val="22"/>
        </w:rPr>
        <w:t xml:space="preserve">Рабочая группа КГРЭ по упорядочению Резолюций </w:t>
      </w:r>
      <w:r w:rsidR="00D345DB" w:rsidRPr="00500A19">
        <w:rPr>
          <w:szCs w:val="22"/>
        </w:rPr>
        <w:t>(</w:t>
      </w:r>
      <w:r w:rsidR="00D345DB" w:rsidRPr="00500A19">
        <w:rPr>
          <w:i/>
          <w:iCs/>
          <w:szCs w:val="22"/>
        </w:rPr>
        <w:t>Председатель: г-жа Андреа Гриппа (Бразилия); заместители Председателя Бланка Гонсалес (Испания) и Августина Брицио</w:t>
      </w:r>
      <w:r w:rsidR="00C30A04" w:rsidRPr="00500A19">
        <w:rPr>
          <w:i/>
          <w:iCs/>
          <w:szCs w:val="22"/>
        </w:rPr>
        <w:t> </w:t>
      </w:r>
      <w:r w:rsidR="00D345DB" w:rsidRPr="00500A19">
        <w:rPr>
          <w:i/>
          <w:iCs/>
          <w:szCs w:val="22"/>
        </w:rPr>
        <w:t>(Аргентина)</w:t>
      </w:r>
      <w:r w:rsidR="00D345DB" w:rsidRPr="00500A19">
        <w:rPr>
          <w:szCs w:val="22"/>
        </w:rPr>
        <w:t>);</w:t>
      </w:r>
    </w:p>
    <w:p w14:paraId="2D75C019" w14:textId="4F65E758" w:rsidR="00D345DB" w:rsidRPr="00500A19" w:rsidRDefault="00E104CD" w:rsidP="00E104CD">
      <w:pPr>
        <w:pStyle w:val="enumlev1"/>
        <w:rPr>
          <w:rStyle w:val="Hyperlink"/>
          <w:rFonts w:cstheme="minorBidi"/>
          <w:color w:val="auto"/>
          <w:szCs w:val="22"/>
        </w:rPr>
      </w:pPr>
      <w:r w:rsidRPr="00500A19">
        <w:sym w:font="Symbol" w:char="F02D"/>
      </w:r>
      <w:r w:rsidRPr="00500A19">
        <w:tab/>
      </w:r>
      <w:r w:rsidR="00D345DB" w:rsidRPr="00500A19">
        <w:rPr>
          <w:b/>
          <w:bCs/>
          <w:szCs w:val="22"/>
        </w:rPr>
        <w:t>Неофициальная координационная группа КГРЭ по Глобальному молодежному саммиту</w:t>
      </w:r>
      <w:r w:rsidR="00D345DB" w:rsidRPr="00500A19">
        <w:rPr>
          <w:szCs w:val="22"/>
        </w:rPr>
        <w:t xml:space="preserve"> (КГРЭ-ICG-GYS), март 2025 г. в Варадеро, Куба (</w:t>
      </w:r>
      <w:r w:rsidR="00D345DB" w:rsidRPr="00500A19">
        <w:rPr>
          <w:i/>
          <w:iCs/>
          <w:szCs w:val="22"/>
        </w:rPr>
        <w:t>Координаторы: Августина БРИЦИО (Аргентина), Ке ВАН (Китай), д-р Абдулкарим ОЛОЙЕДЕ (Нигерия) и Шахад АЛЬБАЛАВИ (Саудовская Аравия)</w:t>
      </w:r>
      <w:r w:rsidR="00D345DB" w:rsidRPr="00500A19">
        <w:rPr>
          <w:szCs w:val="22"/>
        </w:rPr>
        <w:t>).</w:t>
      </w:r>
    </w:p>
    <w:p w14:paraId="19573B41" w14:textId="576E9FC7" w:rsidR="00D345DB" w:rsidRPr="00500A19" w:rsidRDefault="00D345DB" w:rsidP="00E104CD">
      <w:pPr>
        <w:rPr>
          <w:rFonts w:cstheme="minorBidi"/>
          <w:szCs w:val="24"/>
        </w:rPr>
      </w:pPr>
      <w:r w:rsidRPr="00500A19">
        <w:t xml:space="preserve">Наконец, приняв к сведению отчет о первом собрании по координации РОЭ, КГРЭ одобрила проведение </w:t>
      </w:r>
      <w:r w:rsidRPr="00500A19">
        <w:rPr>
          <w:b/>
          <w:bCs/>
        </w:rPr>
        <w:t>двух виртуальных межрегиональных собраний</w:t>
      </w:r>
      <w:r w:rsidRPr="00500A19">
        <w:t xml:space="preserve"> по подготовке к ВКРЭ-25 – МРС-1 (14</w:t>
      </w:r>
      <w:r w:rsidR="00253146" w:rsidRPr="00500A19">
        <w:t>­</w:t>
      </w:r>
      <w:r w:rsidRPr="00500A19">
        <w:t>15</w:t>
      </w:r>
      <w:r w:rsidR="00E8774C" w:rsidRPr="00500A19">
        <w:t> </w:t>
      </w:r>
      <w:r w:rsidRPr="00500A19">
        <w:t>июля 2025 г.) и МРС 2 (29</w:t>
      </w:r>
      <w:r w:rsidR="00253146" w:rsidRPr="00500A19">
        <w:t>­</w:t>
      </w:r>
      <w:r w:rsidRPr="00500A19">
        <w:t>30 сентября 2025 г.), а также структуру ВКРЭ-25, которая будет предусматривать возможность дистанционного участия.</w:t>
      </w:r>
    </w:p>
    <w:p w14:paraId="4288DA9F" w14:textId="77777777" w:rsidR="00D345DB" w:rsidRPr="00500A19" w:rsidRDefault="00D345DB" w:rsidP="00E104CD">
      <w:pPr>
        <w:rPr>
          <w:rFonts w:cstheme="minorBidi"/>
          <w:szCs w:val="24"/>
        </w:rPr>
      </w:pPr>
      <w:r w:rsidRPr="00500A19">
        <w:t xml:space="preserve">Заметным событием недели стала </w:t>
      </w:r>
      <w:r w:rsidRPr="00500A19">
        <w:rPr>
          <w:b/>
          <w:bCs/>
        </w:rPr>
        <w:t>сессия интервью с директорами региональных отделений МСЭ</w:t>
      </w:r>
      <w:r w:rsidRPr="00500A19">
        <w:t xml:space="preserve">, которое позволило участникам получить из первых рук представление о ситуации в регионах, стратегических инициативах и состоянии выполнения Кигалийского плана действий (КПД) в различных частях мира. Этот интерактивный формат способствовал конструктивному обмену информацией между штаб-квартирой и региональными отделениями, что подчеркнуло важность скоординированных действий на всех уровнях. Более подробная информация об этой сессии, включая </w:t>
      </w:r>
      <w:r w:rsidRPr="00500A19">
        <w:rPr>
          <w:b/>
          <w:bCs/>
        </w:rPr>
        <w:t>иллюстративные видеоматериалы о работе, проводимой в каждом регионе</w:t>
      </w:r>
      <w:r w:rsidRPr="00500A19">
        <w:t xml:space="preserve">, содержится в </w:t>
      </w:r>
      <w:r w:rsidRPr="00500A19">
        <w:rPr>
          <w:b/>
          <w:bCs/>
        </w:rPr>
        <w:t>Приложении A</w:t>
      </w:r>
      <w:r w:rsidRPr="00500A19">
        <w:t xml:space="preserve"> к настоящему отчету.</w:t>
      </w:r>
    </w:p>
    <w:p w14:paraId="1737CD79" w14:textId="77777777" w:rsidR="00D345DB" w:rsidRPr="00500A19" w:rsidRDefault="00D345DB" w:rsidP="00E104CD">
      <w:pPr>
        <w:rPr>
          <w:rFonts w:cstheme="minorBidi"/>
          <w:szCs w:val="24"/>
        </w:rPr>
      </w:pPr>
      <w:r w:rsidRPr="00500A19">
        <w:t xml:space="preserve">Продолжая укреплять диалог с заинтересованными сторонами, КГРЭ провела </w:t>
      </w:r>
      <w:r w:rsidRPr="00500A19">
        <w:rPr>
          <w:b/>
          <w:bCs/>
        </w:rPr>
        <w:t>круглый стол с участием представителей региональных организаций электросвязи (РОЭ)</w:t>
      </w:r>
      <w:r w:rsidRPr="00500A19">
        <w:t xml:space="preserve">. Эта сессия послужила стратегическим форумом для исследования синергии и обсуждения региональных перспектив подготовки к предстоящей Всемирной конференции по развитию электросвязи (ВКРЭ-25). Также она позволила РОЭ обменяться информацией о своих приоритетах и ожиданиях в отношении укрепления сотрудничества с МСЭ. Резюме данной сессии содержится в </w:t>
      </w:r>
      <w:r w:rsidRPr="00500A19">
        <w:rPr>
          <w:b/>
          <w:bCs/>
        </w:rPr>
        <w:t>Приложении В</w:t>
      </w:r>
      <w:r w:rsidRPr="00500A19">
        <w:t xml:space="preserve"> к настоящему отчету.</w:t>
      </w:r>
    </w:p>
    <w:p w14:paraId="52D247EA" w14:textId="77777777" w:rsidR="00D345DB" w:rsidRPr="00500A19" w:rsidRDefault="00D345DB" w:rsidP="00E104CD">
      <w:pPr>
        <w:rPr>
          <w:rFonts w:cstheme="minorBidi"/>
          <w:szCs w:val="24"/>
        </w:rPr>
      </w:pPr>
      <w:r w:rsidRPr="00500A19">
        <w:t xml:space="preserve">Помимо этих диалогов, для обеспечения широкого участия, во время перерывов на обед были организованы </w:t>
      </w:r>
      <w:r w:rsidRPr="00500A19">
        <w:rPr>
          <w:b/>
          <w:bCs/>
        </w:rPr>
        <w:t>две информационные сессии</w:t>
      </w:r>
      <w:r w:rsidRPr="00500A19">
        <w:t xml:space="preserve">. На первой сессии, которая была посвящена предстоящему </w:t>
      </w:r>
      <w:r w:rsidRPr="00500A19">
        <w:rPr>
          <w:b/>
          <w:bCs/>
        </w:rPr>
        <w:t>обзору ВВУИО+20</w:t>
      </w:r>
      <w:r w:rsidRPr="00500A19">
        <w:t xml:space="preserve">, была обновлена дорожная карта и сформулированы ожидания в отношении мероприятия высокого уровня. На второй сессии были рассмотрены вопросы </w:t>
      </w:r>
      <w:r w:rsidRPr="00500A19">
        <w:rPr>
          <w:b/>
          <w:bCs/>
        </w:rPr>
        <w:t>подготовки к ВКРЭ-25</w:t>
      </w:r>
      <w:r w:rsidRPr="00500A19">
        <w:t>, обновлены ее структура, повестка дня и практическая информация, касающаяся предстоящей конференции.</w:t>
      </w:r>
    </w:p>
    <w:p w14:paraId="681DB53F" w14:textId="18B8C203" w:rsidR="00D345DB" w:rsidRPr="00500A19" w:rsidRDefault="00D345DB" w:rsidP="00E104CD">
      <w:pPr>
        <w:rPr>
          <w:rFonts w:cstheme="minorBidi"/>
          <w:szCs w:val="24"/>
        </w:rPr>
      </w:pPr>
      <w:r w:rsidRPr="00500A19">
        <w:t>В течение недели также прошло специальное мероприятие "</w:t>
      </w:r>
      <w:r w:rsidRPr="00500A19">
        <w:rPr>
          <w:b/>
          <w:bCs/>
        </w:rPr>
        <w:t>Сеть женщин (NoW) в МСЭ-D</w:t>
      </w:r>
      <w:r w:rsidRPr="00500A19">
        <w:t>". Эта</w:t>
      </w:r>
      <w:r w:rsidR="00E8774C" w:rsidRPr="00500A19">
        <w:t> </w:t>
      </w:r>
      <w:r w:rsidRPr="00500A19">
        <w:t>сессия предоставила платформу для освещения важности лидерства и расширения прав и возможностей женщин в цифровом развитии, демонстрации инициатив и обязательств по учету гендерных аспектов как женщин, так и мужчин в работе МСЭ-D и подтверждения приверженности Союза открытой для всех цифровой трансформации.</w:t>
      </w:r>
    </w:p>
    <w:p w14:paraId="56BF188A" w14:textId="5719F3E7" w:rsidR="00D345DB" w:rsidRPr="00500A19" w:rsidRDefault="00D345DB" w:rsidP="00E104CD">
      <w:pPr>
        <w:rPr>
          <w:rFonts w:cstheme="minorBidi"/>
          <w:szCs w:val="24"/>
        </w:rPr>
      </w:pPr>
      <w:r w:rsidRPr="00500A19">
        <w:lastRenderedPageBreak/>
        <w:t xml:space="preserve">Участникам КГРЭ было также рекомендовано при подготовке вкладов для ВКРЭ-25 учитывать мнения представителей молодежи, отраженные в итоговых документах </w:t>
      </w:r>
      <w:r w:rsidRPr="00500A19">
        <w:rPr>
          <w:b/>
          <w:bCs/>
        </w:rPr>
        <w:t>Глобального молодежного саммита</w:t>
      </w:r>
      <w:r w:rsidRPr="00500A19">
        <w:t>, разработанных посланниками Глобального молодежного саммита</w:t>
      </w:r>
      <w:r w:rsidR="005924F6" w:rsidRPr="00500A19">
        <w:rPr>
          <w:rStyle w:val="FootnoteReference"/>
          <w:rFonts w:cstheme="minorBidi"/>
          <w:szCs w:val="18"/>
        </w:rPr>
        <w:footnoteReference w:id="6"/>
      </w:r>
      <w:r w:rsidRPr="00500A19">
        <w:t>.</w:t>
      </w:r>
    </w:p>
    <w:p w14:paraId="7C1D3A20" w14:textId="71EEFBA4" w:rsidR="00D345DB" w:rsidRPr="00500A19" w:rsidRDefault="00D345DB" w:rsidP="00E104CD">
      <w:pPr>
        <w:rPr>
          <w:rFonts w:cstheme="minorBidi"/>
          <w:szCs w:val="24"/>
        </w:rPr>
      </w:pPr>
      <w:r w:rsidRPr="00500A19">
        <w:t>В течение недели члены КГРЭ обсуждали широкий круг документов и отчетов, касающихся деятельности исследовательских комиссий, партнерств с частным сектором, взаимодействия с молодежью, межсекторального сотрудничества, а также итогов проведенных недавно крупных конференций МСЭ. Итогом собрания стало принятие ряда указанных выше ключевых документов, отражающих достигнутый консенсус по стратегическим направлениям и методам работы в будущем.</w:t>
      </w:r>
    </w:p>
    <w:p w14:paraId="084BCF38" w14:textId="77777777" w:rsidR="00D345DB" w:rsidRPr="00500A19" w:rsidRDefault="00D345DB" w:rsidP="00E104CD">
      <w:pPr>
        <w:rPr>
          <w:rFonts w:cstheme="minorBidi"/>
          <w:szCs w:val="24"/>
        </w:rPr>
      </w:pPr>
      <w:r w:rsidRPr="00500A19">
        <w:t xml:space="preserve">Таким образом, на КГРЭ-25 было завершено формирование графика подготовительных мероприятий, подтвержден формат проведения конференции и утверждена единая тема, что позволило задать четкий курс в направлении ВКРЭ-25, одновременно укрепив институциональные и операционные основы региональной деятельности МСЭ-D. КГРЭ также была соответствующим образом проинформирована и стала свидетелем получения БРЭ одиннадцати премий от Книги рекордов Гиннеса за деятельность в области кибербезопасности. По следам обсуждений, состоявшихся в рамках КГРЭ-24, КГРЭ также приветствовала и утвердила французскую, а также франко-английскую версии песни </w:t>
      </w:r>
      <w:r w:rsidRPr="00500A19">
        <w:rPr>
          <w:b/>
          <w:bCs/>
          <w:i/>
          <w:iCs/>
          <w:u w:val="single"/>
        </w:rPr>
        <w:t>With the ITU</w:t>
      </w:r>
      <w:r w:rsidRPr="00500A19">
        <w:t xml:space="preserve"> ("Вместе с МСЭ") для ВКРЭ-25, написанную и представленную г-ном Сулем Юсуфом, руководителем Департамента развития и содействия внедрению ИКТ Регуляторного органа ИКТ Коморских Островов, которая будет исполнена на праздничном мероприятии, посвященном молодежи, на ВКРЭ в Баку (Азербайджан) и на ВКРЭ-25 вместе с песней </w:t>
      </w:r>
      <w:r w:rsidRPr="00500A19">
        <w:rPr>
          <w:b/>
          <w:bCs/>
          <w:i/>
          <w:iCs/>
          <w:u w:val="single"/>
        </w:rPr>
        <w:t>Connected Youth in the Digital Future</w:t>
      </w:r>
      <w:r w:rsidRPr="00500A19">
        <w:t xml:space="preserve"> ("Подключенная молодежь в цифровом будущем"), написанной для ВКРЭ-25 участниками Глобального молодежного саммита 2025 года.</w:t>
      </w:r>
    </w:p>
    <w:p w14:paraId="5F5958E8" w14:textId="3113963D" w:rsidR="00D345DB" w:rsidRPr="00500A19" w:rsidRDefault="00E104CD" w:rsidP="00E104CD">
      <w:pPr>
        <w:pStyle w:val="Heading1"/>
        <w:rPr>
          <w:rFonts w:cstheme="minorHAnsi"/>
          <w:szCs w:val="24"/>
        </w:rPr>
      </w:pPr>
      <w:r w:rsidRPr="00500A19">
        <w:t>1</w:t>
      </w:r>
      <w:r w:rsidRPr="00500A19">
        <w:tab/>
      </w:r>
      <w:r w:rsidR="00D345DB" w:rsidRPr="00500A19">
        <w:t>Выступление Генерального секретаря</w:t>
      </w:r>
    </w:p>
    <w:p w14:paraId="01B493A7" w14:textId="57776C30" w:rsidR="00D345DB" w:rsidRPr="00500A19" w:rsidRDefault="00D345DB" w:rsidP="00E104CD">
      <w:pPr>
        <w:rPr>
          <w:rFonts w:eastAsia="Calibri" w:cs="Calibri"/>
          <w:szCs w:val="24"/>
        </w:rPr>
      </w:pPr>
      <w:r w:rsidRPr="00500A19">
        <w:t>Генеральный секретарь г-жа Дорин Богдан-Мартин открыла 32-е собрание Консультативной группы по развитию электросвязи, поприветствовав делегатов на этом выдающемся мероприятии, которое совпало со 160-й годовщиной создания МСЭ, ознаменовавшей шестнадцать десятилетий под девизом "Соединяя мир", и проходит всего за 188 дней до Всемирной конференции по развитию электросвязи 2025 года в Баку.</w:t>
      </w:r>
    </w:p>
    <w:p w14:paraId="07911935" w14:textId="5927A1F1" w:rsidR="00D345DB" w:rsidRPr="00500A19" w:rsidRDefault="00D345DB" w:rsidP="00E104CD">
      <w:pPr>
        <w:rPr>
          <w:szCs w:val="24"/>
        </w:rPr>
      </w:pPr>
      <w:r w:rsidRPr="00500A19">
        <w:t>Она напомнила, что в настоящее время цифровые вопросы занимают центральное место в повестках дня многосторонних мероприятий. Этот сдвиг подчеркивают недавние обсуждения на Совете руководителей системы ООН, предстоящая Конференция ООН по финансированию в целях развития в Испании, на которой МСЭ представит свою Инициативу по инвестициям в цифровую инфраструктуру, и председательство Южной Африки в "Группе двадцати", в рамках которого приоритетное внимание уделяется устойчивой цифровой инфраструктуре и системам раннего предупреждения. Эти процессы, наряду с обзором ВВУИО+20, отражают растущий международный консенсус в отношении того, что создание цифрового потенциала необходимо для устойчивого</w:t>
      </w:r>
      <w:r w:rsidR="00E104CD" w:rsidRPr="00500A19">
        <w:t> </w:t>
      </w:r>
      <w:r w:rsidRPr="00500A19">
        <w:t>развития.</w:t>
      </w:r>
    </w:p>
    <w:p w14:paraId="6480A7D2" w14:textId="77777777" w:rsidR="00D345DB" w:rsidRPr="00500A19" w:rsidRDefault="00D345DB" w:rsidP="00E104CD">
      <w:pPr>
        <w:rPr>
          <w:szCs w:val="24"/>
        </w:rPr>
      </w:pPr>
      <w:r w:rsidRPr="00500A19">
        <w:t xml:space="preserve">Говоря о конкретных успехах, Генеральный секретарь отметила флагманские инициативы МСЭ, которые трансформируют эту концепцию в результаты. Коалиция "Партнерства для подключения" привлекла более 73 млрд. долл. США в виде обязательств; партнерство в рамках инициативы GIGA с ЮНИСЕФ содействует установлению широкополосной связи во всех школах мира; а программа "Раннее предупреждение для всех" обеспечивает правительствам более 40 стран поддержку в развертывании систем сотового радиовещания в чрезвычайных ситуациях. Она подчеркнула решающую роль создания потенциала с помощью Академии МСЭ и профессиональной подготовки на местах. Выразив признательность всем заинтересованным сторонам за влияние, которое они </w:t>
      </w:r>
      <w:r w:rsidRPr="00500A19">
        <w:lastRenderedPageBreak/>
        <w:t>оказывают ежедневно на весь мир, она призвала их продолжать совместную работу в целях всеобщего, инклюзивного и ориентированного на человека цифрового развития.</w:t>
      </w:r>
    </w:p>
    <w:p w14:paraId="36B32282" w14:textId="77777777" w:rsidR="00D345DB" w:rsidRPr="00500A19" w:rsidRDefault="00D345DB" w:rsidP="00E104CD">
      <w:pPr>
        <w:rPr>
          <w:rFonts w:cstheme="minorBidi"/>
          <w:szCs w:val="22"/>
        </w:rPr>
      </w:pPr>
      <w:r w:rsidRPr="00500A19">
        <w:rPr>
          <w:szCs w:val="22"/>
        </w:rPr>
        <w:t>Она завершила свое выступление, поблагодарив всех за присутствие на собрании КГРЭ и за то воздействие, которое каждый день оказывается во всех частях света.</w:t>
      </w:r>
    </w:p>
    <w:p w14:paraId="113FB01E" w14:textId="1021ECD8" w:rsidR="00D345DB" w:rsidRPr="00500A19" w:rsidRDefault="00E104CD" w:rsidP="00E104CD">
      <w:pPr>
        <w:pStyle w:val="Heading1"/>
        <w:rPr>
          <w:rFonts w:cstheme="minorBidi"/>
        </w:rPr>
      </w:pPr>
      <w:r w:rsidRPr="00500A19">
        <w:t>2</w:t>
      </w:r>
      <w:r w:rsidRPr="00500A19">
        <w:tab/>
      </w:r>
      <w:r w:rsidR="00D345DB" w:rsidRPr="00500A19">
        <w:t>Выступления других избираемых должностных лиц</w:t>
      </w:r>
    </w:p>
    <w:p w14:paraId="53542F09" w14:textId="77777777" w:rsidR="00D345DB" w:rsidRPr="00500A19" w:rsidRDefault="00D345DB" w:rsidP="00E104CD">
      <w:pPr>
        <w:rPr>
          <w:rFonts w:cs="Calibri"/>
        </w:rPr>
      </w:pPr>
      <w:r w:rsidRPr="00500A19">
        <w:t>С обращением к КГРЭ выступил Директор БСЭ г-н Сейдзо Оноэ. В своем выступлении он приветствовал делегатов и подтвердил, что Сектор стандартизации электросвязи (БСЭ) и Сектор развития электросвязи (БРЭ) МСЭ "естественным образом идут рука об руку", обеспечивая технические основы и ориентированные на рынок подходы, лежащие в основе глобального прогресса в области ИКТ. Он отметил, что работа БСЭ дополняет основные приоритеты Кигалийского плана действий –возможность установления приемлемых в ценовом отношении соединений, благоприятная политическая и регуляторная среда, создание потенциала, устойчивая цифровая трансформация, социальная и финансовая интеграция и расширение прав и возможностей начинающих предприятий и МСП.</w:t>
      </w:r>
    </w:p>
    <w:p w14:paraId="5F9D58B0" w14:textId="77777777" w:rsidR="00D345DB" w:rsidRPr="00500A19" w:rsidRDefault="00D345DB" w:rsidP="00E104CD">
      <w:pPr>
        <w:rPr>
          <w:rFonts w:cstheme="minorHAnsi"/>
        </w:rPr>
      </w:pPr>
      <w:r w:rsidRPr="00500A19">
        <w:t>Директор подчеркнул общую цель – подключить 2,6 млрд. человек, которые в настоящее время не имеют подключения к интернету. Вклад БСЭ включает разработку стандартов, необходимых для расширения инфраструктуры, в то же время содействуя созданию потенциала в таких областях, как искусственный интеллект и развитие цифровых навыков, для оснащения рабочей силы завтрашнего дня и стимулирования экономического роста. Он призвал к углублению сотрудничества и призвал экспертов из разных областей и экономик, находящихся на разных этапах развития, достичь синергии в работе, с тем чтобы направления МСЭ, занимающиеся стандартизацией и развитием, могли добиться долгосрочного глобального воздействия.</w:t>
      </w:r>
    </w:p>
    <w:p w14:paraId="326051C6" w14:textId="4C8E9C44" w:rsidR="00D345DB" w:rsidRPr="00500A19" w:rsidRDefault="00E104CD" w:rsidP="00E104CD">
      <w:pPr>
        <w:pStyle w:val="Heading1"/>
        <w:rPr>
          <w:rFonts w:cstheme="minorHAnsi"/>
        </w:rPr>
      </w:pPr>
      <w:r w:rsidRPr="00500A19">
        <w:t>3</w:t>
      </w:r>
      <w:r w:rsidRPr="00500A19">
        <w:tab/>
      </w:r>
      <w:r w:rsidR="00D345DB" w:rsidRPr="00500A19">
        <w:t>Выступление Директора Бюро развития электросвязи</w:t>
      </w:r>
    </w:p>
    <w:p w14:paraId="342DD9BE" w14:textId="46AAD9A8" w:rsidR="00D345DB" w:rsidRPr="00500A19" w:rsidRDefault="00D345DB" w:rsidP="00E104CD">
      <w:pPr>
        <w:rPr>
          <w:rFonts w:cstheme="minorBidi"/>
        </w:rPr>
      </w:pPr>
      <w:r w:rsidRPr="00500A19">
        <w:t>Директор БРЭ д-р Космас Лакисан Завазава вначале поблагодарил Государства-Члены за финансирование программ развития и за то, что они принимают у себя собрания МСЭ-D. Он</w:t>
      </w:r>
      <w:r w:rsidR="00820C4C" w:rsidRPr="00500A19">
        <w:t> </w:t>
      </w:r>
      <w:r w:rsidRPr="00500A19">
        <w:t>напомнил, что ВКРЭ-22 установила пять приоритетов – возможность установления приемлемых в ценовом отношении соединений, цифровая трансформация, благоприятная политическая и регуляторная среда, мобилизация ресурсов и международное сотрудничество, инклюзивная и защищенная электросвязь/ИКТ для устойчивого развития, – и отметил, что в Стратегическом плане МСЭ эти приоритеты сформулированы в виде двух сквозных целей – универсальная возможность установления соединений и устойчивая цифровая трансформация. Он выразил уверенность в том, что Союз на протяжении 160 лет демонстрирует свою стойкость перед лицом войн, бедствий</w:t>
      </w:r>
      <w:r w:rsidR="00E104CD" w:rsidRPr="00500A19">
        <w:t> </w:t>
      </w:r>
      <w:r w:rsidRPr="00500A19">
        <w:t>и</w:t>
      </w:r>
      <w:r w:rsidR="00E104CD" w:rsidRPr="00500A19">
        <w:t> </w:t>
      </w:r>
      <w:r w:rsidRPr="00500A19">
        <w:t>эпидемий.</w:t>
      </w:r>
    </w:p>
    <w:p w14:paraId="5E072C6E" w14:textId="77777777" w:rsidR="00D345DB" w:rsidRPr="00500A19" w:rsidRDefault="00D345DB" w:rsidP="00E104CD">
      <w:r w:rsidRPr="00500A19">
        <w:t>Выступающий сообщил, что с момента своего вступления в должность два с половиной года назад он стремился к сокращению цифрового разрыва и разрыва в уровне навыков, посредством трех ключевых направлений: инвестиции в устойчивую инфраструктуру, внедрение инноваций и обеспечение инклюзивности, что способствует продвижению Кигалийского плана действий. Конкретные результаты включали картографирование и помощь в проектировании инфраструктуры широкополосной связи (например, в рамках подписанного в 2024 году соглашения о проекте картографирования инфраструктуры широкополосной связи в Африке стоимостью 15 млн. евро), поддержку снижения риска бедствий в рамках инициативы ООН "Раннее предупреждение для всех", подготовку национальных планов электросвязи в чрезвычайных ситуациях и связанные с этим меры, предпринятые для предварительной установки спутниковых терминалов в целях сокращения времени реагирования в чрезвычайных ситуациях.</w:t>
      </w:r>
    </w:p>
    <w:p w14:paraId="54407311" w14:textId="77777777" w:rsidR="00D345DB" w:rsidRPr="00500A19" w:rsidRDefault="00D345DB" w:rsidP="00E104CD">
      <w:r w:rsidRPr="00500A19">
        <w:t xml:space="preserve">Говоря о цифровой трансформации, он особо отметил Альянс инноваций и предпринимательства, созданный в январе 2023 года, в рамках которого было образовано семнадцать центров ускорения по всему миру и проведен Глобальный форум по инновациям. Он отметил, что Лаборатория </w:t>
      </w:r>
      <w:r w:rsidRPr="00500A19">
        <w:lastRenderedPageBreak/>
        <w:t>цифровой трансформации вдохновляет на новые идеи, а проекты "«Умные» деревни" и "«Умные» острова" обеспечивают внедрение телемедицины, возможности получения образование в области STEM и оповещения в режиме реального времени о чрезвычайных ситуациях на море для сообществ в Пакистане, Тихоокеанском регионе, Карибском бассейне и Африке – все это наглядные примеры того, как технологии улучшают повседневную жизнь.</w:t>
      </w:r>
    </w:p>
    <w:p w14:paraId="478B3DB9" w14:textId="2EBEC48F" w:rsidR="00D345DB" w:rsidRPr="00500A19" w:rsidRDefault="00D345DB" w:rsidP="00E104CD">
      <w:r w:rsidRPr="00500A19">
        <w:t>Наконец, д-р Завазава затронул прогресс, достигнутый по оставшимся приоритетам. Глобальный симпозиум для регуляторных органов, проведенный на Фиджи (2023 г.) и в Уганде (2024 г.), способствовал диалогу и положил начало инициативе по сетям регулирования в области цифровых технологий, одновременно совершенствуя статистическую отчетность для усиления политики, основанной на фактических данных. Цифровая коалиция "Партнерства для подключения" (Partner2Connect) преобразует свои обязательства на сумму 73 млрд. долл. США в перспективные проекты путем организации региональных форумов и круглых столов по установлению контактов. Был укреплен потенциал в области кибербезопасности благодаря проведению беспрецедентных глобальных учений по кибербезопасности при поддержке ОАЭ, GIZ Германии и частных партнеров, а также программы для НРС "Киберпространство во благо".</w:t>
      </w:r>
    </w:p>
    <w:p w14:paraId="43CBC749" w14:textId="77777777" w:rsidR="00D345DB" w:rsidRPr="00500A19" w:rsidRDefault="00D345DB" w:rsidP="00E104CD">
      <w:r w:rsidRPr="00500A19">
        <w:t>Директор БРЭ обратил внимание на существенный прогресс, достигнутый в реализации проектов, отметив значительное увеличение числа выполненных проектов. Этот успех стал возможен благодаря неизменной поддержке партнеров, Государств-Членов и регуляторных органов.</w:t>
      </w:r>
    </w:p>
    <w:p w14:paraId="7BA916A1" w14:textId="555B417D" w:rsidR="00D345DB" w:rsidRPr="00500A19" w:rsidRDefault="00D345DB" w:rsidP="00E104CD">
      <w:r w:rsidRPr="00500A19">
        <w:t>Говоря о предстоящем ВКРЭ, Директор выразил благодарность Государствам-Членам, принимавшим региональные форумы по вопросам развития и региональные подготовительные собрания – Иордании, Венгрии, Таиланду, Парагваю, Кении и Кыргызстану, признав их важнейшую роль в успехе этих мероприятий. Директор подчеркнул, что целеустремленность и приверженность Государств</w:t>
      </w:r>
      <w:r w:rsidR="00500A19" w:rsidRPr="00500A19">
        <w:t>­</w:t>
      </w:r>
      <w:r w:rsidRPr="00500A19">
        <w:t>Членов имеют решающее значение для достижения этих результатов.</w:t>
      </w:r>
    </w:p>
    <w:p w14:paraId="20D619E6" w14:textId="646FC3FE" w:rsidR="00D345DB" w:rsidRPr="00500A19" w:rsidRDefault="00D345DB" w:rsidP="00E104CD">
      <w:pPr>
        <w:rPr>
          <w:rFonts w:cstheme="minorBidi"/>
        </w:rPr>
      </w:pPr>
      <w:r w:rsidRPr="00500A19">
        <w:t xml:space="preserve">В заключение он привел в качестве примеров воздействия конкретные истории предпринимателей, студентов и коренных народов, чья жизнь изменилась к лучшему, и поблагодарил делегатов за их неизменную приверженность принципу "никто не должен быть забыт". С полным текстом выступления Директора БРЭ можно ознакомиться </w:t>
      </w:r>
      <w:hyperlink r:id="rId14" w:history="1">
        <w:r w:rsidRPr="00500A19">
          <w:rPr>
            <w:rStyle w:val="Hyperlink"/>
            <w:szCs w:val="22"/>
          </w:rPr>
          <w:t>здесь</w:t>
        </w:r>
      </w:hyperlink>
      <w:r w:rsidRPr="00500A19">
        <w:t>.</w:t>
      </w:r>
    </w:p>
    <w:p w14:paraId="50AC4653" w14:textId="1EACF443" w:rsidR="00D345DB" w:rsidRPr="00500A19" w:rsidRDefault="00E104CD" w:rsidP="00E104CD">
      <w:pPr>
        <w:pStyle w:val="Heading1"/>
        <w:rPr>
          <w:rFonts w:cstheme="minorHAnsi"/>
        </w:rPr>
      </w:pPr>
      <w:r w:rsidRPr="00500A19">
        <w:t>4</w:t>
      </w:r>
      <w:r w:rsidRPr="00500A19">
        <w:tab/>
      </w:r>
      <w:r w:rsidR="00D345DB" w:rsidRPr="00500A19">
        <w:t>Вступительные замечания председателя КГРЭ</w:t>
      </w:r>
    </w:p>
    <w:p w14:paraId="7C12B9B6" w14:textId="77777777" w:rsidR="00D345DB" w:rsidRPr="00500A19" w:rsidRDefault="00D345DB" w:rsidP="00E104CD">
      <w:pPr>
        <w:rPr>
          <w:rFonts w:cs="Calibri"/>
        </w:rPr>
      </w:pPr>
      <w:r w:rsidRPr="00500A19">
        <w:t>Председатель КГРЭ г-жа Роксана Макэлвейн-Веббер приветствовала делегатов и поблагодарила избираемых должностных лиц МСЭ, после чего назвала эту сессию "особенной" во многих отношениях: 160-я годовщина Союза, 30-летний юбилей исследовательских комиссий МСЭ-D и стремительно приближающаяся ВКРЭ. Она напомнила о знаковых инициативах, которые зародились в Секторе развития электросвязи, включая ВВУИО, Комиссию по широкополосной связи и Глобальный симпозиум для регуляторных органов, и отметила, что результаты Союза, занесенные в Книгу рекордов Гиннеса и отмеченные премией "Эмми", а также новые флагманские инициативы, такие как Partner2Connect и GIGA, являются доказательством уникального глобального воздействия этой организации.</w:t>
      </w:r>
    </w:p>
    <w:p w14:paraId="756B79F8" w14:textId="77777777" w:rsidR="00D345DB" w:rsidRPr="00500A19" w:rsidRDefault="00D345DB" w:rsidP="00E104CD">
      <w:pPr>
        <w:rPr>
          <w:rFonts w:cs="Calibri"/>
        </w:rPr>
      </w:pPr>
      <w:r w:rsidRPr="00500A19">
        <w:t>Особо отметив миссию "подключить тех, кто не подключен", она напомнила участникам, что ни один другой орган не работает с такой же самоотдачей на благо наименее развитых стран, малых островных развивающихся государств и молодежи. Она подчеркнула, что на этом собрании КГРЭ будет представлен исключительный объем информации: всеобъемлющие отчеты о деятельности БРЭ, подробные региональные брифинги (а также прямой доступ ко всем шести директорам региональных отделений, благодаря присутствию которых она призвала делегации воспользоваться возможностью диалога и обмена мнениями).</w:t>
      </w:r>
    </w:p>
    <w:p w14:paraId="37330CDD" w14:textId="4095A0DE" w:rsidR="00D345DB" w:rsidRPr="00500A19" w:rsidRDefault="00D345DB" w:rsidP="00E104CD">
      <w:pPr>
        <w:rPr>
          <w:rFonts w:cs="Calibri"/>
        </w:rPr>
      </w:pPr>
      <w:r w:rsidRPr="00500A19">
        <w:t xml:space="preserve">Председатель перечислила объем предстоящей работы, назвав ряд документов, подлежащих рассмотрению КГРЭ, подробные отчеты по ВКРЭ и итоговые документы четырех </w:t>
      </w:r>
      <w:r w:rsidR="00BC4CE0" w:rsidRPr="00500A19">
        <w:t>действующих</w:t>
      </w:r>
      <w:r w:rsidRPr="00500A19">
        <w:t xml:space="preserve"> рабочих групп КГРЭ, охватывающие приоритеты, декларацию, упорядочение резолюций и вопросы </w:t>
      </w:r>
      <w:r w:rsidRPr="00500A19">
        <w:lastRenderedPageBreak/>
        <w:t>будущих исследовательских комиссий, а также результаты работы Глобального молодежного саммита. Она выразила признательность Бюро КГРЭ в целом, представив каждого заместителя председателя и председателя исследовательской комиссии, и высоко оценила их усердную работу по руководству рабочими группами, координации собраний и подготовке вкладов для ВКРЭ.</w:t>
      </w:r>
    </w:p>
    <w:p w14:paraId="3C81582C" w14:textId="121422A5" w:rsidR="00D345DB" w:rsidRPr="00500A19" w:rsidRDefault="00D345DB" w:rsidP="00E104CD">
      <w:pPr>
        <w:rPr>
          <w:rFonts w:cs="Calibri"/>
        </w:rPr>
      </w:pPr>
      <w:r w:rsidRPr="00500A19">
        <w:t>В заключение г-жа Макэлвейн Веббер призвала делегатов отдавать приоритет общей цели – улучшать жизнь за счет обеспечения возможности установления соединений – и торжественно объявила собрание открытым.</w:t>
      </w:r>
    </w:p>
    <w:p w14:paraId="49205A50" w14:textId="6D46295C" w:rsidR="00D345DB" w:rsidRPr="00500A19" w:rsidRDefault="00E104CD" w:rsidP="00E104CD">
      <w:pPr>
        <w:pStyle w:val="Heading1"/>
        <w:rPr>
          <w:rFonts w:cstheme="minorHAnsi"/>
        </w:rPr>
      </w:pPr>
      <w:r w:rsidRPr="00500A19">
        <w:t>5</w:t>
      </w:r>
      <w:r w:rsidRPr="00500A19">
        <w:tab/>
      </w:r>
      <w:r w:rsidR="00D345DB" w:rsidRPr="00500A19">
        <w:t>Принятие повестки дня и плана распределения времени</w:t>
      </w:r>
    </w:p>
    <w:p w14:paraId="79359017" w14:textId="056ACEA5" w:rsidR="00D345DB" w:rsidRPr="00500A19" w:rsidRDefault="00D345DB" w:rsidP="00E104CD">
      <w:pPr>
        <w:pStyle w:val="Headingb"/>
        <w:rPr>
          <w:rStyle w:val="Hyperlink"/>
          <w:rFonts w:cstheme="minorBidi"/>
          <w:b w:val="0"/>
          <w:bCs/>
          <w:color w:val="auto"/>
          <w:szCs w:val="22"/>
          <w:lang w:val="ru-RU"/>
        </w:rPr>
      </w:pPr>
      <w:r w:rsidRPr="00500A19">
        <w:rPr>
          <w:bCs/>
          <w:szCs w:val="22"/>
          <w:lang w:val="ru-RU"/>
        </w:rPr>
        <w:t xml:space="preserve">Документ </w:t>
      </w:r>
      <w:hyperlink r:id="rId15" w:history="1">
        <w:r w:rsidRPr="00500A19">
          <w:rPr>
            <w:rStyle w:val="Hyperlink"/>
            <w:bCs/>
            <w:szCs w:val="22"/>
            <w:lang w:val="ru-RU"/>
          </w:rPr>
          <w:t>1</w:t>
        </w:r>
      </w:hyperlink>
      <w:r w:rsidRPr="00500A19">
        <w:rPr>
          <w:bCs/>
          <w:szCs w:val="22"/>
          <w:lang w:val="ru-RU"/>
        </w:rPr>
        <w:t xml:space="preserve"> (Директор БРЭ) </w:t>
      </w:r>
      <w:r w:rsidR="00D233E1" w:rsidRPr="00500A19">
        <w:rPr>
          <w:bCs/>
          <w:szCs w:val="22"/>
          <w:lang w:val="ru-RU"/>
        </w:rPr>
        <w:sym w:font="Symbol" w:char="F02D"/>
      </w:r>
      <w:r w:rsidRPr="00500A19">
        <w:rPr>
          <w:bCs/>
          <w:szCs w:val="22"/>
          <w:lang w:val="ru-RU"/>
        </w:rPr>
        <w:t xml:space="preserve"> Проект повестки дня</w:t>
      </w:r>
    </w:p>
    <w:p w14:paraId="16E5CB2D" w14:textId="77777777" w:rsidR="00D345DB" w:rsidRPr="00500A19" w:rsidRDefault="00D345DB" w:rsidP="00E104CD">
      <w:pPr>
        <w:rPr>
          <w:rFonts w:cs="Calibri"/>
        </w:rPr>
      </w:pPr>
      <w:r w:rsidRPr="00500A19">
        <w:t>Повестка дня, содержащаяся в Документе 1, была принята без поправок.</w:t>
      </w:r>
    </w:p>
    <w:p w14:paraId="08B04AE7" w14:textId="2BC48664" w:rsidR="00D345DB" w:rsidRPr="00500A19" w:rsidRDefault="00D345DB" w:rsidP="00D345DB">
      <w:pPr>
        <w:pBdr>
          <w:top w:val="single" w:sz="4" w:space="4" w:color="000000"/>
          <w:left w:val="single" w:sz="4" w:space="4" w:color="000000"/>
          <w:bottom w:val="single" w:sz="4" w:space="4" w:color="000000"/>
          <w:right w:val="single" w:sz="4" w:space="4" w:color="000000"/>
        </w:pBdr>
        <w:tabs>
          <w:tab w:val="left" w:pos="567"/>
          <w:tab w:val="left" w:pos="1701"/>
        </w:tabs>
        <w:spacing w:after="120"/>
        <w:rPr>
          <w:rFonts w:cs="Calibri"/>
          <w:szCs w:val="22"/>
        </w:rPr>
      </w:pPr>
      <w:r w:rsidRPr="00500A19">
        <w:rPr>
          <w:szCs w:val="22"/>
        </w:rPr>
        <w:t>КГРЭ согласовала предложенную повестку дня:</w:t>
      </w:r>
    </w:p>
    <w:p w14:paraId="6E363351" w14:textId="66C360CD" w:rsidR="00D345DB" w:rsidRPr="00500A19" w:rsidRDefault="00D345DB" w:rsidP="00E104CD">
      <w:pPr>
        <w:pStyle w:val="Headingb"/>
        <w:rPr>
          <w:rStyle w:val="Hyperlink"/>
          <w:rFonts w:cstheme="minorBidi"/>
          <w:b w:val="0"/>
          <w:bCs/>
          <w:color w:val="auto"/>
          <w:szCs w:val="22"/>
          <w:lang w:val="ru-RU"/>
        </w:rPr>
      </w:pPr>
      <w:r w:rsidRPr="00500A19">
        <w:rPr>
          <w:bCs/>
          <w:szCs w:val="22"/>
          <w:lang w:val="ru-RU"/>
        </w:rPr>
        <w:t xml:space="preserve">Документ </w:t>
      </w:r>
      <w:hyperlink r:id="rId16" w:history="1">
        <w:r w:rsidRPr="00500A19">
          <w:rPr>
            <w:rStyle w:val="Hyperlink"/>
            <w:bCs/>
            <w:szCs w:val="22"/>
            <w:lang w:val="ru-RU"/>
          </w:rPr>
          <w:t>DT/1</w:t>
        </w:r>
      </w:hyperlink>
      <w:r w:rsidRPr="00500A19">
        <w:rPr>
          <w:bCs/>
          <w:szCs w:val="22"/>
          <w:lang w:val="ru-RU"/>
        </w:rPr>
        <w:t xml:space="preserve"> (Директор БРЭ) </w:t>
      </w:r>
      <w:r w:rsidR="006D4642" w:rsidRPr="00500A19">
        <w:rPr>
          <w:bCs/>
          <w:szCs w:val="22"/>
          <w:lang w:val="ru-RU"/>
        </w:rPr>
        <w:sym w:font="Symbol" w:char="F02D"/>
      </w:r>
      <w:r w:rsidRPr="00500A19">
        <w:rPr>
          <w:bCs/>
          <w:szCs w:val="22"/>
          <w:lang w:val="ru-RU"/>
        </w:rPr>
        <w:t xml:space="preserve"> План распределения времени</w:t>
      </w:r>
    </w:p>
    <w:p w14:paraId="305B9B7E" w14:textId="40CA7E07" w:rsidR="00D345DB" w:rsidRPr="00500A19" w:rsidRDefault="00D345DB" w:rsidP="00E104CD">
      <w:pPr>
        <w:rPr>
          <w:rFonts w:cstheme="minorBidi"/>
        </w:rPr>
      </w:pPr>
      <w:r w:rsidRPr="00500A19">
        <w:t>Был представлен план распределения времени, содержащийся в Документе DT/1(Rev.1). Секретариат</w:t>
      </w:r>
      <w:r w:rsidR="005924F6" w:rsidRPr="00500A19">
        <w:t> </w:t>
      </w:r>
      <w:r w:rsidRPr="00500A19">
        <w:t>БРЭ проинформировал участников о том, что два полученных заявления о взаимодействии, касающихся терминологии, используемой в исследовательских комиссиях, будут включены в следующий пересмотр плана распределения времени.</w:t>
      </w:r>
    </w:p>
    <w:p w14:paraId="45690E5C" w14:textId="77777777" w:rsidR="00D345DB" w:rsidRPr="00500A19" w:rsidRDefault="00D345DB" w:rsidP="00E104CD">
      <w:pPr>
        <w:spacing w:after="120"/>
        <w:rPr>
          <w:rFonts w:cstheme="minorBidi"/>
        </w:rPr>
      </w:pPr>
      <w:r w:rsidRPr="00500A19">
        <w:t>Представитель Российской Федерации попросил запросил разъяснение относительно использования  шести официальных языков для веб-сайта и отчетности. Секретариат БРЭ отметил, что по этой теме не было получено вкладов, но, принимая во внимание просьбу Российской Федерации, подготовит документ к собранию (см. Документ 60).</w:t>
      </w:r>
    </w:p>
    <w:tbl>
      <w:tblPr>
        <w:tblStyle w:val="TableGrid"/>
        <w:tblW w:w="0" w:type="auto"/>
        <w:tblLayout w:type="fixed"/>
        <w:tblLook w:val="04A0" w:firstRow="1" w:lastRow="0" w:firstColumn="1" w:lastColumn="0" w:noHBand="0" w:noVBand="1"/>
      </w:tblPr>
      <w:tblGrid>
        <w:gridCol w:w="9629"/>
      </w:tblGrid>
      <w:tr w:rsidR="00D345DB" w:rsidRPr="00500A19" w14:paraId="680779AD" w14:textId="77777777" w:rsidTr="00BD2140">
        <w:tc>
          <w:tcPr>
            <w:tcW w:w="9629" w:type="dxa"/>
          </w:tcPr>
          <w:p w14:paraId="6A58B43D" w14:textId="77777777" w:rsidR="00D345DB" w:rsidRPr="00500A19" w:rsidRDefault="00D345DB" w:rsidP="00BD2140">
            <w:pPr>
              <w:tabs>
                <w:tab w:val="left" w:pos="1701"/>
              </w:tabs>
              <w:spacing w:after="120"/>
              <w:rPr>
                <w:rFonts w:cstheme="minorBidi"/>
                <w:szCs w:val="22"/>
              </w:rPr>
            </w:pPr>
            <w:r w:rsidRPr="00500A19">
              <w:rPr>
                <w:color w:val="000000"/>
                <w:szCs w:val="22"/>
              </w:rPr>
              <w:t>КГРЭ приняла к сведению план распределения времени и приняла решение, что заявления о взаимодействии, направленные ККТ, будут включены в повестку дня и в следующий пересмотр плана распределения времени.</w:t>
            </w:r>
          </w:p>
        </w:tc>
      </w:tr>
    </w:tbl>
    <w:p w14:paraId="01D3C2CF" w14:textId="36F73D32" w:rsidR="00D345DB" w:rsidRPr="00500A19" w:rsidRDefault="00E104CD" w:rsidP="00E104CD">
      <w:pPr>
        <w:pStyle w:val="Heading1"/>
        <w:rPr>
          <w:rFonts w:cstheme="minorHAnsi"/>
        </w:rPr>
      </w:pPr>
      <w:r w:rsidRPr="00500A19">
        <w:t>6</w:t>
      </w:r>
      <w:r w:rsidRPr="00500A19">
        <w:tab/>
      </w:r>
      <w:r w:rsidR="00D345DB" w:rsidRPr="00500A19">
        <w:t>Отчеты о выполнении Плана действий МСЭ-D</w:t>
      </w:r>
    </w:p>
    <w:p w14:paraId="33E53453" w14:textId="0DD38D79" w:rsidR="00D345DB" w:rsidRPr="00500A19" w:rsidRDefault="00E104CD" w:rsidP="00E104CD">
      <w:pPr>
        <w:pStyle w:val="Heading2"/>
        <w:rPr>
          <w:rFonts w:cstheme="minorHAnsi"/>
        </w:rPr>
      </w:pPr>
      <w:r w:rsidRPr="00500A19">
        <w:t>6.1</w:t>
      </w:r>
      <w:r w:rsidRPr="00500A19">
        <w:tab/>
      </w:r>
      <w:r w:rsidR="00D345DB" w:rsidRPr="00500A19">
        <w:t>Выполнение Кигалийского плана действий (КПД) и отчет о региональных инициативах</w:t>
      </w:r>
    </w:p>
    <w:p w14:paraId="7B1525AC" w14:textId="023D91F1" w:rsidR="00D345DB" w:rsidRPr="00500A19" w:rsidRDefault="00D345DB" w:rsidP="00765CDD">
      <w:pPr>
        <w:pStyle w:val="Headingb"/>
        <w:tabs>
          <w:tab w:val="clear" w:pos="907"/>
        </w:tabs>
        <w:ind w:left="0" w:firstLine="0"/>
        <w:rPr>
          <w:rStyle w:val="Hyperlink"/>
          <w:rFonts w:cstheme="minorBidi"/>
          <w:b w:val="0"/>
          <w:bCs/>
          <w:color w:val="auto"/>
          <w:szCs w:val="22"/>
          <w:lang w:val="ru-RU"/>
        </w:rPr>
      </w:pPr>
      <w:r w:rsidRPr="00500A19">
        <w:rPr>
          <w:lang w:val="ru-RU"/>
        </w:rPr>
        <w:t xml:space="preserve">Документ </w:t>
      </w:r>
      <w:hyperlink r:id="rId17" w:history="1">
        <w:r w:rsidRPr="00500A19">
          <w:rPr>
            <w:rStyle w:val="Hyperlink"/>
            <w:bCs/>
            <w:szCs w:val="22"/>
            <w:lang w:val="ru-RU"/>
          </w:rPr>
          <w:t>2</w:t>
        </w:r>
      </w:hyperlink>
      <w:r w:rsidRPr="00500A19">
        <w:rPr>
          <w:lang w:val="ru-RU"/>
        </w:rPr>
        <w:t xml:space="preserve"> (Директор БРЭ) </w:t>
      </w:r>
      <w:r w:rsidR="006D4642" w:rsidRPr="00500A19">
        <w:rPr>
          <w:lang w:val="ru-RU"/>
        </w:rPr>
        <w:sym w:font="Symbol" w:char="F02D"/>
      </w:r>
      <w:r w:rsidRPr="00500A19">
        <w:rPr>
          <w:lang w:val="ru-RU"/>
        </w:rPr>
        <w:t xml:space="preserve"> Отчет о выполнении Кигалийского плана действий (КПД)</w:t>
      </w:r>
    </w:p>
    <w:p w14:paraId="7553404D" w14:textId="4FD456D1" w:rsidR="00D345DB" w:rsidRPr="00500A19" w:rsidRDefault="00D345DB" w:rsidP="00E104CD">
      <w:pPr>
        <w:rPr>
          <w:rStyle w:val="Hyperlink"/>
          <w:rFonts w:cstheme="minorBidi"/>
          <w:color w:val="auto"/>
          <w:szCs w:val="22"/>
        </w:rPr>
      </w:pPr>
      <w:r w:rsidRPr="00500A19">
        <w:t xml:space="preserve">В этом отчете, представленном Секретариатом БРЭ, содержится обновленная информация о выполнении Кигалийского плана действий (КПД) с мая 2024 года по апрель 2025 года, а также ключевые достижения во всех шести регионах в соответствии с задачами КПД и в соответствии с приоритетами и средствами достижения целей МСЭ-D. В отчете описываются достижения по тематическим областям, перечисляются число стран, которым оказана помощь, и количество разработанных инструментов; к отчету прилагается информационная панель, предназначенная для того, чтобы членам было легче наглядно отслеживать прогресс. Для облегчения обобщения объемного материала Секретариат также показал </w:t>
      </w:r>
      <w:hyperlink r:id="rId18" w:history="1">
        <w:r w:rsidRPr="00500A19">
          <w:rPr>
            <w:rStyle w:val="Hyperlink"/>
            <w:szCs w:val="22"/>
          </w:rPr>
          <w:t>видеофильм</w:t>
        </w:r>
      </w:hyperlink>
      <w:r w:rsidRPr="00500A19">
        <w:t>, в котором представлены основные результаты и воздействие на местах.</w:t>
      </w:r>
    </w:p>
    <w:p w14:paraId="15D6BDE4" w14:textId="3C6302AA" w:rsidR="00D345DB" w:rsidRPr="00500A19" w:rsidRDefault="00D345DB" w:rsidP="00E104CD">
      <w:r w:rsidRPr="00500A19">
        <w:t xml:space="preserve">В </w:t>
      </w:r>
      <w:hyperlink r:id="rId19" w:history="1">
        <w:r w:rsidRPr="00500A19">
          <w:rPr>
            <w:rStyle w:val="Hyperlink"/>
            <w:szCs w:val="22"/>
          </w:rPr>
          <w:t>видеоролике</w:t>
        </w:r>
      </w:hyperlink>
      <w:r w:rsidRPr="00500A19">
        <w:t xml:space="preserve"> освещаются различные инициативы по содействию возможности установления приемлемых в ценовом отношении соединений, включая проекты в ряде стран Африки, Черногории, Армении, Монголии, Иордании, Гватемалы и других регионов, в которых основное внимание уделяется развитию цифровых навыков, реагированию на чрезвычайные ситуации и обеспечению кибербезопасности. В этих проектах подчеркивалось воздействие этих усилий на социально-</w:t>
      </w:r>
      <w:r w:rsidRPr="00500A19">
        <w:lastRenderedPageBreak/>
        <w:t>экономический прогресс, цифровую трансформацию и важность реальной возможности установления соединений для построения лучшего будущего.</w:t>
      </w:r>
    </w:p>
    <w:p w14:paraId="6A3F874D" w14:textId="3BBC284E" w:rsidR="00D345DB" w:rsidRPr="00500A19" w:rsidRDefault="00D345DB" w:rsidP="00E104CD">
      <w:r w:rsidRPr="00500A19">
        <w:t>КГРЭ выразила признательность за высокий уровень детализации отчетности и организации ее представления. При обсуждении всеобъемлющего отчета, в котором описывается мера, принятая для выполнения Кигалийского плана действий (Документ 2), делегаты дали высокую оценку широте охвата отчета, однако отметили, что плотное изложение и объем деталей затрудняют определение конкретного воздействия. Секретариат принял к сведению эти рекомендации, пояснив, что текущая информационная панель уже содержит детальную информацию в виде гиперссылок, но пообещал представить более структурированный и удобный для восприятия вариант в следующей версии.</w:t>
      </w:r>
    </w:p>
    <w:p w14:paraId="22368D03" w14:textId="340B9767" w:rsidR="00D345DB" w:rsidRPr="00500A19" w:rsidRDefault="00D345DB" w:rsidP="00E104CD">
      <w:r w:rsidRPr="00500A19">
        <w:t>В другом выступлении была дана высокая оценка информационной панели, и был задан вопрос о том, как можно представить единое представление, которое сочетало бы расходы из регулярного бюджета с внебюджетными проектами. Секретариат объяснил, что, несмотря на необходимость раздельного учета двух потоков финансирования в соответствии с международными стандартами бухгалтерского учета, оба они направлены на достижение общих целей в рамках единой системы управления, ориентированной на результат, и отображаются в единой информационной панели.</w:t>
      </w:r>
    </w:p>
    <w:p w14:paraId="21CC5F1E" w14:textId="04B522FB" w:rsidR="00D345DB" w:rsidRPr="00500A19" w:rsidRDefault="00D345DB" w:rsidP="00E104CD">
      <w:r w:rsidRPr="00500A19">
        <w:t>Делегаты отметили также растущее участие отраслевых организаций, признав, что более тесное вовлечение частного сектора повысит устойчивость и инновационность работы Сектора развития.</w:t>
      </w:r>
    </w:p>
    <w:p w14:paraId="3869D020" w14:textId="31B4EB56" w:rsidR="00D345DB" w:rsidRPr="00500A19" w:rsidRDefault="00D345DB" w:rsidP="00E104CD">
      <w:r w:rsidRPr="00500A19">
        <w:t>Обратившись к тематическим вопросам, один из выступавших дал высокую оценку прогрессу, достигнутому в области инициативы раннего предупреждения для всех и призвал к укреплению связей между исследовательскими комиссиями, занимающимися вопросами снижения риска бедствий и экологическими вопросами, с тем чтобы достижения технических результатов могли подкрепить региональные инициативы. Другой выступающий подчеркнул необходимость развития инклюзивных экосистем инноваций, особенно для микро- и малых предприятий, и призвал к реализации будущих программ – особенно тех, которые согласуются с предстоящей повесткой дня "Группы двадцати" – продолжать расширять права и возможности местных предпринимателей и</w:t>
      </w:r>
      <w:r w:rsidR="00E104CD" w:rsidRPr="00500A19">
        <w:t> </w:t>
      </w:r>
      <w:r w:rsidRPr="00500A19">
        <w:t>молодежи.</w:t>
      </w:r>
    </w:p>
    <w:p w14:paraId="4E622760" w14:textId="29AC6BD7" w:rsidR="00D345DB" w:rsidRPr="00500A19" w:rsidRDefault="00D345DB" w:rsidP="00E104CD">
      <w:pPr>
        <w:spacing w:after="120"/>
      </w:pPr>
      <w:r w:rsidRPr="00500A19">
        <w:t>В завершение Директор БРЭ подчеркнул, что на все проекты, независимо от источника финансирования, распространяется единая структура оценки результатов, и что информационные панели и страницы с конкретными примерами воздействия будут модернизированы для ускорения доступа Членов к данным. Он подтвердил, что Секретариат учтет предложения по форматированию, представлению KPI и наглядности деятельности исследовательских комиссий до следующего отчетного цикла, и призвал делегации поддерживать тесный диалог с региональными отделениями для обеспечения того, чтобы национальные и региональные приоритеты оставались в центре</w:t>
      </w:r>
      <w:r w:rsidR="00E104CD" w:rsidRPr="00500A19">
        <w:t> </w:t>
      </w:r>
      <w:r w:rsidRPr="00500A19">
        <w:t>внимания.</w:t>
      </w:r>
    </w:p>
    <w:tbl>
      <w:tblPr>
        <w:tblStyle w:val="TableGrid"/>
        <w:tblW w:w="0" w:type="auto"/>
        <w:tblLayout w:type="fixed"/>
        <w:tblLook w:val="04A0" w:firstRow="1" w:lastRow="0" w:firstColumn="1" w:lastColumn="0" w:noHBand="0" w:noVBand="1"/>
      </w:tblPr>
      <w:tblGrid>
        <w:gridCol w:w="9629"/>
      </w:tblGrid>
      <w:tr w:rsidR="00D345DB" w:rsidRPr="00500A19" w14:paraId="50E758CE" w14:textId="77777777" w:rsidTr="00BD2140">
        <w:tc>
          <w:tcPr>
            <w:tcW w:w="9629" w:type="dxa"/>
          </w:tcPr>
          <w:p w14:paraId="268D8038" w14:textId="1EDAB3BD" w:rsidR="00D345DB" w:rsidRPr="00500A19" w:rsidRDefault="00D345DB" w:rsidP="00BD2140">
            <w:pPr>
              <w:tabs>
                <w:tab w:val="left" w:pos="567"/>
                <w:tab w:val="left" w:pos="1701"/>
              </w:tabs>
              <w:spacing w:after="120"/>
              <w:textAlignment w:val="auto"/>
              <w:rPr>
                <w:szCs w:val="22"/>
              </w:rPr>
            </w:pPr>
            <w:r w:rsidRPr="00500A19">
              <w:rPr>
                <w:color w:val="000000"/>
                <w:szCs w:val="22"/>
              </w:rPr>
              <w:t>КГРЭ с удовлетворением приняла к сведению этот отчет. Государства-Члены дали высокую оценку работе БРЭ и отметили улучшения, достигнутые в обеспечении воздействия и предоставлении</w:t>
            </w:r>
            <w:r w:rsidR="006D4642" w:rsidRPr="00500A19">
              <w:rPr>
                <w:color w:val="000000"/>
                <w:szCs w:val="22"/>
              </w:rPr>
              <w:t> </w:t>
            </w:r>
            <w:r w:rsidRPr="00500A19">
              <w:rPr>
                <w:color w:val="000000"/>
                <w:szCs w:val="22"/>
              </w:rPr>
              <w:t>отчетности.</w:t>
            </w:r>
          </w:p>
          <w:p w14:paraId="1D7C9EDD" w14:textId="77777777" w:rsidR="00D345DB" w:rsidRPr="00500A19" w:rsidRDefault="00D345DB" w:rsidP="00BD2140">
            <w:pPr>
              <w:tabs>
                <w:tab w:val="left" w:pos="567"/>
                <w:tab w:val="left" w:pos="1701"/>
              </w:tabs>
              <w:spacing w:after="120"/>
              <w:textAlignment w:val="auto"/>
              <w:rPr>
                <w:szCs w:val="22"/>
              </w:rPr>
            </w:pPr>
            <w:r w:rsidRPr="00500A19">
              <w:rPr>
                <w:color w:val="000000"/>
                <w:szCs w:val="22"/>
              </w:rPr>
              <w:t xml:space="preserve">Соответствующий видеоматериал позволил </w:t>
            </w:r>
            <w:proofErr w:type="gramStart"/>
            <w:r w:rsidRPr="00500A19">
              <w:rPr>
                <w:color w:val="000000"/>
                <w:szCs w:val="22"/>
              </w:rPr>
              <w:t>наглядно продемонстрировать</w:t>
            </w:r>
            <w:proofErr w:type="gramEnd"/>
            <w:r w:rsidRPr="00500A19">
              <w:rPr>
                <w:color w:val="000000"/>
                <w:szCs w:val="22"/>
              </w:rPr>
              <w:t xml:space="preserve"> достижения и результативность действий; некоторые члены рекомендовали также, чтобы в будущих версиях отчета описывались виды деятельности и проекты на основе достигнутых результатов.</w:t>
            </w:r>
          </w:p>
        </w:tc>
      </w:tr>
    </w:tbl>
    <w:p w14:paraId="5646AC7A" w14:textId="4F7B09B4" w:rsidR="00D345DB" w:rsidRPr="00500A19" w:rsidRDefault="00D345DB" w:rsidP="00765CDD">
      <w:pPr>
        <w:pStyle w:val="Headingb"/>
        <w:tabs>
          <w:tab w:val="clear" w:pos="907"/>
        </w:tabs>
        <w:ind w:left="0" w:firstLine="0"/>
        <w:rPr>
          <w:rStyle w:val="Hyperlink"/>
          <w:rFonts w:cstheme="minorBidi"/>
          <w:b w:val="0"/>
          <w:bCs/>
          <w:color w:val="auto"/>
          <w:szCs w:val="22"/>
          <w:lang w:val="ru-RU"/>
        </w:rPr>
      </w:pPr>
      <w:r w:rsidRPr="00500A19">
        <w:rPr>
          <w:lang w:val="ru-RU"/>
        </w:rPr>
        <w:t xml:space="preserve">Документ </w:t>
      </w:r>
      <w:hyperlink r:id="rId20" w:history="1">
        <w:r w:rsidRPr="00500A19">
          <w:rPr>
            <w:rStyle w:val="Hyperlink"/>
            <w:bCs/>
            <w:szCs w:val="22"/>
            <w:lang w:val="ru-RU"/>
          </w:rPr>
          <w:t>3</w:t>
        </w:r>
      </w:hyperlink>
      <w:r w:rsidRPr="00500A19">
        <w:rPr>
          <w:lang w:val="ru-RU"/>
        </w:rPr>
        <w:t xml:space="preserve"> (Директор БРЭ) </w:t>
      </w:r>
      <w:r w:rsidR="006D4642" w:rsidRPr="00500A19">
        <w:rPr>
          <w:lang w:val="ru-RU"/>
        </w:rPr>
        <w:sym w:font="Symbol" w:char="F02D"/>
      </w:r>
      <w:r w:rsidRPr="00500A19">
        <w:rPr>
          <w:lang w:val="ru-RU"/>
        </w:rPr>
        <w:t xml:space="preserve"> Отчет о региональных инициативах: осуществление и сопоставление</w:t>
      </w:r>
      <w:r w:rsidR="00E104CD" w:rsidRPr="00500A19">
        <w:rPr>
          <w:lang w:val="ru-RU"/>
        </w:rPr>
        <w:t> </w:t>
      </w:r>
      <w:r w:rsidRPr="00500A19">
        <w:rPr>
          <w:lang w:val="ru-RU"/>
        </w:rPr>
        <w:t>проектов с РИ</w:t>
      </w:r>
    </w:p>
    <w:p w14:paraId="7053B5C2" w14:textId="76A2670F" w:rsidR="00D345DB" w:rsidRPr="00500A19" w:rsidRDefault="00D345DB" w:rsidP="00E104CD">
      <w:pPr>
        <w:rPr>
          <w:rFonts w:cs="Calibri"/>
        </w:rPr>
      </w:pPr>
      <w:r w:rsidRPr="00500A19">
        <w:t>Секретариат представил Документ 3, в котором содержится подробный отчет о реализации региональных инициатив ВКРЭ-22. В отчете продемонстрировано, каким образом Оперативный план и проекты МСЭ направлены на решение задач в приоритетных областях каждого региона. Отчет</w:t>
      </w:r>
      <w:r w:rsidR="00E104CD" w:rsidRPr="00500A19">
        <w:t> </w:t>
      </w:r>
      <w:r w:rsidRPr="00500A19">
        <w:t xml:space="preserve">дополнен информационной панелью и Информационным документом 4, где отдельно </w:t>
      </w:r>
      <w:r w:rsidRPr="00500A19">
        <w:lastRenderedPageBreak/>
        <w:t>отображена таблица сопоставления межрегиональных, региональных и национальных проектов с целями</w:t>
      </w:r>
      <w:r w:rsidR="00E104CD" w:rsidRPr="00500A19">
        <w:t> </w:t>
      </w:r>
      <w:r w:rsidRPr="00500A19">
        <w:t>инициатив.</w:t>
      </w:r>
    </w:p>
    <w:p w14:paraId="5670D3D4" w14:textId="77777777" w:rsidR="00D345DB" w:rsidRPr="00500A19" w:rsidRDefault="00D345DB" w:rsidP="00E104CD">
      <w:pPr>
        <w:rPr>
          <w:rFonts w:cs="Calibri"/>
        </w:rPr>
      </w:pPr>
      <w:r w:rsidRPr="00500A19">
        <w:t>В ходе обсуждения несколько делегаций дали высокую оценку представленному материалу, попросив при этом указать более четкую связь между названиями проектов и их предполагаемыми измеримыми результатами. Один из выступавших предложил в следующих изданиях подробно изложить ожидаемые результаты и включить ключевые показатели деятельности по каждой инициативе для придания большей ясности изложению материала. Другие выступающие высказались за составление сводного резюме, которое объединяет финансирование из регулярного бюджета и внебюджетное финансирование, что давало бы возможность проводить совместную оценку финансовых вложений и воздействия на развитие.</w:t>
      </w:r>
    </w:p>
    <w:p w14:paraId="417B4BB3" w14:textId="77777777" w:rsidR="00D345DB" w:rsidRPr="00500A19" w:rsidRDefault="00D345DB" w:rsidP="00E104CD">
      <w:pPr>
        <w:spacing w:after="120"/>
        <w:rPr>
          <w:rFonts w:cs="Calibri"/>
        </w:rPr>
      </w:pPr>
      <w:r w:rsidRPr="00500A19">
        <w:t>В ответ на это Бюро подтвердило, что в текущей форме Документ 3 содержит гиперссылки для каждой инициативы на основополагающий проектный документ, в котором представлены подробные сведения о показателях воздействия, бюджетах и отчеты о результатах, и что онлайновая информационная панель отображает единый набор результатов независимо от источника финансирования. Тем не менее Секретариат согласился к следующему отчетному циклу доработать структуру, усовершенствовать столбец с KPI и улучшить финансовый обзор перед следующим отчетным циклом, предложив и дальше представлять отзывы, чтобы сопоставление региональных инициатив оставалось прозрачным и удобным для пользователей.</w:t>
      </w:r>
    </w:p>
    <w:tbl>
      <w:tblPr>
        <w:tblStyle w:val="TableGrid"/>
        <w:tblW w:w="0" w:type="auto"/>
        <w:tblLayout w:type="fixed"/>
        <w:tblLook w:val="04A0" w:firstRow="1" w:lastRow="0" w:firstColumn="1" w:lastColumn="0" w:noHBand="0" w:noVBand="1"/>
      </w:tblPr>
      <w:tblGrid>
        <w:gridCol w:w="9629"/>
      </w:tblGrid>
      <w:tr w:rsidR="00D345DB" w:rsidRPr="00500A19" w14:paraId="410A584C" w14:textId="77777777" w:rsidTr="00BD2140">
        <w:tc>
          <w:tcPr>
            <w:tcW w:w="9629" w:type="dxa"/>
          </w:tcPr>
          <w:p w14:paraId="3213EA25" w14:textId="4F58A927" w:rsidR="00D345DB" w:rsidRPr="00500A19" w:rsidRDefault="00D345DB" w:rsidP="00BD2140">
            <w:pPr>
              <w:spacing w:after="120"/>
              <w:textAlignment w:val="auto"/>
              <w:rPr>
                <w:color w:val="000000" w:themeColor="text1"/>
                <w:szCs w:val="22"/>
              </w:rPr>
            </w:pPr>
            <w:r w:rsidRPr="00500A19">
              <w:rPr>
                <w:color w:val="000000"/>
                <w:szCs w:val="22"/>
              </w:rPr>
              <w:t>КГРЭ с удовлетворением приняла отчет к сведению и признала, что представленное сопоставление было запрошено на предыдущей сессии КГРЭ, на которой Государства-Члены подчеркнули важность сопоставления проектов МСЭ-D с соответствующей(ими) региональной(ыми) инициативой(ами) и их ожидаемыми результатами. КГРЭ также с удовлетворением отметила специальную информационную панель, на которой представлено сопоставление региональных инициатив с проектами и которая доступна Членам МСЭ-D в случае необходимости получения более подробной информации.</w:t>
            </w:r>
          </w:p>
        </w:tc>
      </w:tr>
    </w:tbl>
    <w:p w14:paraId="44EA20B1" w14:textId="70F7C8CF" w:rsidR="00D345DB" w:rsidRPr="00500A19" w:rsidRDefault="00E104CD" w:rsidP="00E104CD">
      <w:pPr>
        <w:pStyle w:val="Heading2"/>
        <w:rPr>
          <w:rFonts w:cstheme="minorHAnsi"/>
        </w:rPr>
      </w:pPr>
      <w:r w:rsidRPr="00500A19">
        <w:t>6.2</w:t>
      </w:r>
      <w:r w:rsidRPr="00500A19">
        <w:tab/>
      </w:r>
      <w:r w:rsidR="00D345DB" w:rsidRPr="00500A19">
        <w:t>Оперативный план на 2025 год (ОП-25)</w:t>
      </w:r>
    </w:p>
    <w:p w14:paraId="64F51245" w14:textId="543896F6" w:rsidR="00D345DB" w:rsidRPr="00500A19" w:rsidRDefault="00D345DB" w:rsidP="00765CDD">
      <w:pPr>
        <w:pStyle w:val="Headingb"/>
        <w:tabs>
          <w:tab w:val="clear" w:pos="907"/>
        </w:tabs>
        <w:ind w:left="0" w:firstLine="0"/>
        <w:rPr>
          <w:rStyle w:val="Hyperlink"/>
          <w:rFonts w:cstheme="minorBidi"/>
          <w:b w:val="0"/>
          <w:bCs/>
          <w:color w:val="auto"/>
          <w:szCs w:val="22"/>
          <w:lang w:val="ru-RU"/>
        </w:rPr>
      </w:pPr>
      <w:r w:rsidRPr="00500A19">
        <w:rPr>
          <w:lang w:val="ru-RU"/>
        </w:rPr>
        <w:t xml:space="preserve">Документ </w:t>
      </w:r>
      <w:hyperlink r:id="rId21" w:history="1">
        <w:r w:rsidRPr="00500A19">
          <w:rPr>
            <w:rStyle w:val="Hyperlink"/>
            <w:bCs/>
            <w:szCs w:val="22"/>
            <w:lang w:val="ru-RU"/>
          </w:rPr>
          <w:t>4</w:t>
        </w:r>
      </w:hyperlink>
      <w:r w:rsidRPr="00500A19">
        <w:rPr>
          <w:lang w:val="ru-RU"/>
        </w:rPr>
        <w:t xml:space="preserve"> (Директор БРЭ) </w:t>
      </w:r>
      <w:r w:rsidR="006D4642" w:rsidRPr="00500A19">
        <w:rPr>
          <w:lang w:val="ru-RU"/>
        </w:rPr>
        <w:sym w:font="Symbol" w:char="F02D"/>
      </w:r>
      <w:r w:rsidRPr="00500A19">
        <w:rPr>
          <w:lang w:val="ru-RU"/>
        </w:rPr>
        <w:t xml:space="preserve"> Оперативный план МСЭ-D на 2025 год</w:t>
      </w:r>
    </w:p>
    <w:p w14:paraId="28CAD774" w14:textId="23605722" w:rsidR="00D345DB" w:rsidRPr="00500A19" w:rsidRDefault="00D345DB" w:rsidP="00D345DB">
      <w:pPr>
        <w:tabs>
          <w:tab w:val="left" w:pos="1701"/>
        </w:tabs>
        <w:spacing w:after="120"/>
        <w:rPr>
          <w:rStyle w:val="Hyperlink"/>
          <w:rFonts w:cstheme="minorBidi"/>
          <w:color w:val="auto"/>
          <w:szCs w:val="22"/>
        </w:rPr>
      </w:pPr>
      <w:r w:rsidRPr="00500A19">
        <w:rPr>
          <w:szCs w:val="22"/>
        </w:rPr>
        <w:t>Секретариат БРЭ представил Оперативный план МСЭ-D на 2025 год, в котором содержится обзор распределения финансирования ОП-25 по регионам-бенефициарам, а также по приоритетам и средствам достижения целей МСЭ-D для оказания воздействия на глобальном и межрегиональном</w:t>
      </w:r>
      <w:r w:rsidR="00E104CD" w:rsidRPr="00500A19">
        <w:rPr>
          <w:szCs w:val="22"/>
        </w:rPr>
        <w:t> </w:t>
      </w:r>
      <w:r w:rsidRPr="00500A19">
        <w:rPr>
          <w:szCs w:val="22"/>
        </w:rPr>
        <w:t>уровнях.</w:t>
      </w:r>
    </w:p>
    <w:tbl>
      <w:tblPr>
        <w:tblStyle w:val="TableGrid"/>
        <w:tblW w:w="0" w:type="auto"/>
        <w:tblLayout w:type="fixed"/>
        <w:tblLook w:val="04A0" w:firstRow="1" w:lastRow="0" w:firstColumn="1" w:lastColumn="0" w:noHBand="0" w:noVBand="1"/>
      </w:tblPr>
      <w:tblGrid>
        <w:gridCol w:w="9629"/>
      </w:tblGrid>
      <w:tr w:rsidR="00D345DB" w:rsidRPr="00500A19" w14:paraId="22E22D60" w14:textId="77777777" w:rsidTr="00BD2140">
        <w:tc>
          <w:tcPr>
            <w:tcW w:w="9629" w:type="dxa"/>
          </w:tcPr>
          <w:p w14:paraId="08B856AF" w14:textId="41FB6CF9" w:rsidR="00D345DB" w:rsidRPr="00500A19" w:rsidRDefault="00D345DB" w:rsidP="00BD2140">
            <w:pPr>
              <w:widowControl w:val="0"/>
              <w:tabs>
                <w:tab w:val="left" w:pos="1701"/>
              </w:tabs>
              <w:spacing w:after="120"/>
              <w:rPr>
                <w:rStyle w:val="Hyperlink"/>
                <w:rFonts w:cstheme="minorBidi"/>
                <w:szCs w:val="22"/>
              </w:rPr>
            </w:pPr>
            <w:r w:rsidRPr="00500A19">
              <w:rPr>
                <w:color w:val="000000"/>
                <w:szCs w:val="22"/>
              </w:rPr>
              <w:t>КГРЭ рассмотрела и одобрила Оперативный план МСЭ-D на 2025 год.</w:t>
            </w:r>
          </w:p>
        </w:tc>
      </w:tr>
    </w:tbl>
    <w:p w14:paraId="59F37F62" w14:textId="5AD88D0D" w:rsidR="00D345DB" w:rsidRPr="00500A19" w:rsidRDefault="00D345DB" w:rsidP="00765CDD">
      <w:pPr>
        <w:pStyle w:val="Headingb"/>
        <w:tabs>
          <w:tab w:val="clear" w:pos="907"/>
        </w:tabs>
        <w:ind w:left="0" w:firstLine="0"/>
        <w:rPr>
          <w:rStyle w:val="Hyperlink"/>
          <w:rFonts w:cstheme="minorHAnsi"/>
          <w:b w:val="0"/>
          <w:bCs/>
          <w:color w:val="auto"/>
          <w:szCs w:val="22"/>
          <w:lang w:val="ru-RU"/>
        </w:rPr>
      </w:pPr>
      <w:r w:rsidRPr="00500A19">
        <w:rPr>
          <w:lang w:val="ru-RU"/>
        </w:rPr>
        <w:t xml:space="preserve">Документ </w:t>
      </w:r>
      <w:hyperlink r:id="rId22" w:history="1">
        <w:r w:rsidRPr="00500A19">
          <w:rPr>
            <w:rStyle w:val="Hyperlink"/>
            <w:bCs/>
            <w:szCs w:val="22"/>
            <w:lang w:val="ru-RU"/>
          </w:rPr>
          <w:t>40</w:t>
        </w:r>
      </w:hyperlink>
      <w:r w:rsidRPr="00500A19">
        <w:rPr>
          <w:lang w:val="ru-RU"/>
        </w:rPr>
        <w:t xml:space="preserve"> (Отчет Генерального секретаря) </w:t>
      </w:r>
      <w:r w:rsidR="006D4642" w:rsidRPr="00500A19">
        <w:rPr>
          <w:lang w:val="ru-RU"/>
        </w:rPr>
        <w:sym w:font="Symbol" w:char="F02D"/>
      </w:r>
      <w:r w:rsidRPr="00500A19">
        <w:rPr>
          <w:lang w:val="ru-RU"/>
        </w:rPr>
        <w:t xml:space="preserve"> Проект Оперативного плана МСЭ-D на 2026</w:t>
      </w:r>
      <w:r w:rsidR="006D4642" w:rsidRPr="00500A19">
        <w:rPr>
          <w:lang w:val="ru-RU"/>
        </w:rPr>
        <w:sym w:font="Symbol" w:char="F02D"/>
      </w:r>
      <w:r w:rsidRPr="00500A19">
        <w:rPr>
          <w:lang w:val="ru-RU"/>
        </w:rPr>
        <w:t>2029</w:t>
      </w:r>
      <w:r w:rsidR="006D4642" w:rsidRPr="00500A19">
        <w:rPr>
          <w:lang w:val="ru-RU"/>
        </w:rPr>
        <w:t> </w:t>
      </w:r>
      <w:r w:rsidRPr="00500A19">
        <w:rPr>
          <w:lang w:val="ru-RU"/>
        </w:rPr>
        <w:t>годы и Отчет о проделанной работе в 2024 году</w:t>
      </w:r>
    </w:p>
    <w:p w14:paraId="6D6AC5B0" w14:textId="47AC3524" w:rsidR="00D345DB" w:rsidRPr="00500A19" w:rsidRDefault="00D345DB" w:rsidP="00E44F30">
      <w:pPr>
        <w:rPr>
          <w:rFonts w:eastAsia="Calibri" w:cs="Calibri"/>
        </w:rPr>
      </w:pPr>
      <w:r w:rsidRPr="00500A19">
        <w:t>Секретариат представил Документ 40, в котором содержится проект Оперативного плана Сектора развития электросвязи МСЭ на 2026−2029 годы. В документе изложено стратегическое планирование программ и ресурсов на предстоящий период в соответствии со Стратегическим планом на 2024</w:t>
      </w:r>
      <w:r w:rsidR="006D4642" w:rsidRPr="00500A19">
        <w:sym w:font="Symbol" w:char="F02D"/>
      </w:r>
      <w:r w:rsidRPr="00500A19">
        <w:t>2027 годы и решениями ВКРЭ. В нем подробно описаны 14 намеченных результатов деятельности, ожидаемые результаты, показатели эффективности, соответствующие риски, а также подробные данные по распределению людских ресурсов в месяцах работы. Было подчеркивается, что данный план был разработан в целях обеспечения четкой и всеобъемлющей "дорожной карты" для осуществления деятельности Сектора развития электросвязи.</w:t>
      </w:r>
    </w:p>
    <w:p w14:paraId="342EF124" w14:textId="77777777" w:rsidR="00D345DB" w:rsidRPr="00500A19" w:rsidRDefault="00D345DB" w:rsidP="00E44F30">
      <w:r w:rsidRPr="00500A19">
        <w:t xml:space="preserve">Делегации внесли редакционные предложения для повышения ясности, такие как определение терминологии МСЭ и проведение различия между решениями и итоговыми документами ВКРЭ. </w:t>
      </w:r>
      <w:r w:rsidRPr="00500A19">
        <w:lastRenderedPageBreak/>
        <w:t>Были подняты вопросы о численности людских ресурсов, проблемах найма экспертов, финансовых ограничениях и потенциале в области управления проектами. Директор БРЭ ответил на эти вопросы, отметив усилия по оптимизации набора персонала, согласованию полученных результатов с финансированием и повышению оперативной эффективности. Обсуждение заложило основу для последующей дискуссии по реорганизации БРЭ (Документ 43(Rev.1)), что отразило общую заинтересованность в повышении эффективности реализации программ.</w:t>
      </w:r>
    </w:p>
    <w:p w14:paraId="07E5C3D4" w14:textId="77777777" w:rsidR="00D345DB" w:rsidRPr="00500A19" w:rsidRDefault="00D345DB" w:rsidP="00E44F30">
      <w:pPr>
        <w:spacing w:after="120"/>
        <w:rPr>
          <w:rFonts w:eastAsia="Calibri" w:cs="Calibri"/>
        </w:rPr>
      </w:pPr>
      <w:r w:rsidRPr="00500A19">
        <w:t>Председатель признала ценность этих предложений и подтвердила, что они будут приняты во внимание при совершенствовании документа. Никаких возражений или альтернативных точек зрения высказано не было, и пленарное заседание приняло документ к сведению.</w:t>
      </w:r>
    </w:p>
    <w:tbl>
      <w:tblPr>
        <w:tblStyle w:val="TableGrid"/>
        <w:tblW w:w="0" w:type="auto"/>
        <w:tblLayout w:type="fixed"/>
        <w:tblLook w:val="04A0" w:firstRow="1" w:lastRow="0" w:firstColumn="1" w:lastColumn="0" w:noHBand="0" w:noVBand="1"/>
      </w:tblPr>
      <w:tblGrid>
        <w:gridCol w:w="9629"/>
      </w:tblGrid>
      <w:tr w:rsidR="00D345DB" w:rsidRPr="00500A19" w14:paraId="666E7B31" w14:textId="77777777" w:rsidTr="00BD2140">
        <w:tc>
          <w:tcPr>
            <w:tcW w:w="9629" w:type="dxa"/>
          </w:tcPr>
          <w:p w14:paraId="14965603" w14:textId="77777777" w:rsidR="00D345DB" w:rsidRPr="00500A19" w:rsidRDefault="00D345DB" w:rsidP="00BD2140">
            <w:pPr>
              <w:widowControl w:val="0"/>
              <w:tabs>
                <w:tab w:val="left" w:pos="1701"/>
              </w:tabs>
              <w:spacing w:after="120"/>
              <w:rPr>
                <w:rStyle w:val="Hyperlink"/>
                <w:rFonts w:cstheme="minorBidi"/>
                <w:szCs w:val="22"/>
              </w:rPr>
            </w:pPr>
            <w:r w:rsidRPr="00500A19">
              <w:rPr>
                <w:color w:val="000000"/>
                <w:szCs w:val="22"/>
              </w:rPr>
              <w:t>КГРЭ приняла документ к сведению.</w:t>
            </w:r>
          </w:p>
        </w:tc>
      </w:tr>
    </w:tbl>
    <w:p w14:paraId="3778F94B" w14:textId="19781643" w:rsidR="00D345DB" w:rsidRPr="00500A19" w:rsidRDefault="00D345DB" w:rsidP="00765CDD">
      <w:pPr>
        <w:pStyle w:val="Headingb"/>
        <w:rPr>
          <w:lang w:val="ru-RU"/>
        </w:rPr>
      </w:pPr>
      <w:r w:rsidRPr="00500A19">
        <w:rPr>
          <w:lang w:val="ru-RU"/>
        </w:rPr>
        <w:t xml:space="preserve">Документ </w:t>
      </w:r>
      <w:hyperlink r:id="rId23" w:history="1">
        <w:r w:rsidRPr="00500A19">
          <w:rPr>
            <w:rStyle w:val="Hyperlink"/>
            <w:bCs/>
            <w:szCs w:val="22"/>
            <w:lang w:val="ru-RU"/>
          </w:rPr>
          <w:t>43(Rev.1)</w:t>
        </w:r>
      </w:hyperlink>
      <w:r w:rsidRPr="00500A19">
        <w:rPr>
          <w:lang w:val="ru-RU"/>
        </w:rPr>
        <w:t xml:space="preserve"> (Директор БРЭ) </w:t>
      </w:r>
      <w:r w:rsidR="006D4642" w:rsidRPr="00500A19">
        <w:rPr>
          <w:lang w:val="ru-RU"/>
        </w:rPr>
        <w:sym w:font="Symbol" w:char="F02D"/>
      </w:r>
      <w:r w:rsidRPr="00500A19">
        <w:rPr>
          <w:lang w:val="ru-RU"/>
        </w:rPr>
        <w:t xml:space="preserve"> Реорганизация Бюро развития электросвязи (БРЭ)</w:t>
      </w:r>
    </w:p>
    <w:p w14:paraId="37007AB4" w14:textId="66BE932B" w:rsidR="00D345DB" w:rsidRPr="00500A19" w:rsidRDefault="00D345DB" w:rsidP="00E44F30">
      <w:r w:rsidRPr="00500A19">
        <w:t>Директор БРЭ представил Документ 43(Rev.1), в котором содержится подробная информация о реструктуризации и реорганизации Бюро развития электросвязи (БРЭ) в соответствии с приоритетами, изложенными в новом Плане действий ВКРЭ. Он пояснил, что эта реструктуризация не затрагивает должности уровня D и, следовательно, не требует утверждения Советом. Новая</w:t>
      </w:r>
      <w:r w:rsidR="006D4642" w:rsidRPr="00500A19">
        <w:t> </w:t>
      </w:r>
      <w:r w:rsidRPr="00500A19">
        <w:t>структура, утвержденная в 2024 году Координационным комитетом МСЭ под руководством заместителя Генерального секретаря МСЭ, предназначена для более полного отражения пяти тематических направлений Плана действий. Для решения проблемы неэффективности, в особенности при выполнении проектов, БРЭ провело внутренние реформы, направленные на укрепление потенциала в области управления проектами и реагирования на потребности наименее развитых стран, малых островных развивающихся государств и развивающихся стран, не имеющих выхода к морю. Были созданы или реструктурированы несколько специализированных подразделений и вспомогательных отделов, в том числе специализированные группы для поддержки проектов, координации закупочной деятельности, контроля и оценки, а также для взаимодействия с регионами.</w:t>
      </w:r>
    </w:p>
    <w:p w14:paraId="287017AB" w14:textId="77777777" w:rsidR="00D345DB" w:rsidRPr="00500A19" w:rsidRDefault="00D345DB" w:rsidP="00E44F30">
      <w:r w:rsidRPr="00500A19">
        <w:t>Делегации с удовлетворением отметили изменения и просили предоставить более подробную информацию о реальных достижениях. Директор отметил, что предварительные результаты свидетельствуют об улучшении эффективности проектов и слаженности работы групп, а комплексное обучение повышает квалификацию в области исполнения проектов без снижения приоритетности других областей. Были внесены предложения по оптимизации интеграции молодежных инициатив и глобальных инструментов в новую структуру, при этом Директор подчеркнул важность постоянных усилий по координации и созданию потенциала.</w:t>
      </w:r>
    </w:p>
    <w:p w14:paraId="6F48D183" w14:textId="5E814FF4" w:rsidR="00D345DB" w:rsidRPr="00500A19" w:rsidRDefault="00D345DB" w:rsidP="00E44F30">
      <w:pPr>
        <w:spacing w:after="120"/>
      </w:pPr>
      <w:r w:rsidRPr="00500A19">
        <w:t>В заключение обсуждения была высказана просьба представить визуальную органиграмму новой структуры БРЭ, которую БРЭ позднее представит в пересмотренной версии Документа 43 в его</w:t>
      </w:r>
      <w:r w:rsidR="006D4642" w:rsidRPr="00500A19">
        <w:t> </w:t>
      </w:r>
      <w:r w:rsidRPr="00500A19">
        <w:t>Пересмотре 1.</w:t>
      </w:r>
    </w:p>
    <w:tbl>
      <w:tblPr>
        <w:tblStyle w:val="TableGrid"/>
        <w:tblW w:w="0" w:type="auto"/>
        <w:tblLayout w:type="fixed"/>
        <w:tblLook w:val="06A0" w:firstRow="1" w:lastRow="0" w:firstColumn="1" w:lastColumn="0" w:noHBand="1" w:noVBand="1"/>
      </w:tblPr>
      <w:tblGrid>
        <w:gridCol w:w="9630"/>
      </w:tblGrid>
      <w:tr w:rsidR="00D345DB" w:rsidRPr="00500A19" w14:paraId="5C20590D" w14:textId="77777777" w:rsidTr="00BD2140">
        <w:trPr>
          <w:trHeight w:val="300"/>
        </w:trPr>
        <w:tc>
          <w:tcPr>
            <w:tcW w:w="9630" w:type="dxa"/>
          </w:tcPr>
          <w:p w14:paraId="579A78FD" w14:textId="21E529FF" w:rsidR="00D345DB" w:rsidRPr="00500A19" w:rsidRDefault="00D345DB" w:rsidP="00BD2140">
            <w:pPr>
              <w:spacing w:after="120"/>
              <w:rPr>
                <w:rFonts w:cs="Calibri"/>
                <w:szCs w:val="22"/>
              </w:rPr>
            </w:pPr>
            <w:r w:rsidRPr="00500A19">
              <w:rPr>
                <w:color w:val="000000"/>
                <w:szCs w:val="22"/>
              </w:rPr>
              <w:t>КГРЭ приняла к сведению данный отчет и подчеркнула необходимость уделения повышенного внимания управлению проектами, скорости реагирования на региональном уровне и внутренней согласованности в процессе реорганизации.</w:t>
            </w:r>
          </w:p>
        </w:tc>
      </w:tr>
    </w:tbl>
    <w:p w14:paraId="60052B13" w14:textId="6F309530" w:rsidR="00D345DB" w:rsidRPr="00500A19" w:rsidRDefault="00D345DB" w:rsidP="00765CDD">
      <w:pPr>
        <w:pStyle w:val="Headingb"/>
        <w:tabs>
          <w:tab w:val="clear" w:pos="907"/>
        </w:tabs>
        <w:ind w:left="0" w:firstLine="0"/>
        <w:rPr>
          <w:rFonts w:cs="Calibri"/>
          <w:lang w:val="ru-RU"/>
        </w:rPr>
      </w:pPr>
      <w:r w:rsidRPr="00500A19">
        <w:rPr>
          <w:lang w:val="ru-RU"/>
        </w:rPr>
        <w:t xml:space="preserve">Документ </w:t>
      </w:r>
      <w:hyperlink r:id="rId24">
        <w:r w:rsidRPr="00500A19">
          <w:rPr>
            <w:rStyle w:val="Hyperlink"/>
            <w:rFonts w:cstheme="minorBidi"/>
            <w:bCs/>
            <w:szCs w:val="22"/>
            <w:lang w:val="ru-RU"/>
          </w:rPr>
          <w:t>41</w:t>
        </w:r>
      </w:hyperlink>
      <w:r w:rsidRPr="00500A19">
        <w:rPr>
          <w:lang w:val="ru-RU"/>
        </w:rPr>
        <w:t xml:space="preserve"> (Председатель РГС-СФП) </w:t>
      </w:r>
      <w:r w:rsidR="006D4642" w:rsidRPr="00500A19">
        <w:rPr>
          <w:lang w:val="ru-RU"/>
        </w:rPr>
        <w:sym w:font="Symbol" w:char="F02D"/>
      </w:r>
      <w:r w:rsidRPr="00500A19">
        <w:rPr>
          <w:lang w:val="ru-RU"/>
        </w:rPr>
        <w:t xml:space="preserve"> Заявление о взаимодействии от Рабочей группы Совета по Стратегическому и Финансовому планам</w:t>
      </w:r>
    </w:p>
    <w:p w14:paraId="4152728F" w14:textId="430A5BD0" w:rsidR="00D345DB" w:rsidRPr="00500A19" w:rsidRDefault="00D345DB" w:rsidP="00E44F30">
      <w:r w:rsidRPr="00500A19">
        <w:t xml:space="preserve">Секретариат от имени Председателя группы представил Документ 41, заявление о взаимодействии от Рабочей группы Совета по Стратегическому и Финансовому планам. В заявлении о взаимодействии разъясняется, что группа была создана в соответствии с Резолюцией 1428 Совета, и ей поручено разработать Стратегический и Финансовый планы МСЭ на 2028–2031 годы, которые будут представлены Полномочной конференции 2026 года. В презентации были обозначены мандат, </w:t>
      </w:r>
      <w:r w:rsidRPr="00500A19">
        <w:lastRenderedPageBreak/>
        <w:t>график и методология группы, с акцентом на необходимость согласования стратегических, финансовых и оперативных планов, а также интеграцию концепции "Единый МСЭ". В презентации также подчеркивалась важность консультативных групп, таких как КГРЭ, в формировании повестки дня в области развития и предлагалось их постоянное участие, отмечалось, что для руководства совершенствованием структуры планирования был проведен семинар-практикум по управлению, ориентированному на результаты. Он также описал, как уточняются конечные результаты и показатели для обеспечения согласованности стратегической концепции и действий на уровне</w:t>
      </w:r>
      <w:r w:rsidR="006D4642" w:rsidRPr="00500A19">
        <w:t> </w:t>
      </w:r>
      <w:r w:rsidRPr="00500A19">
        <w:t>Секторов.</w:t>
      </w:r>
    </w:p>
    <w:p w14:paraId="1301BF0E" w14:textId="60A22E03" w:rsidR="00D345DB" w:rsidRPr="00500A19" w:rsidRDefault="00D345DB" w:rsidP="00E44F30">
      <w:r w:rsidRPr="00500A19">
        <w:t xml:space="preserve">Председатель КГРЭ приветствовала эту информацию и подчеркнула важность продолжения координации между КГРЭ и Рабочей группой Совета, напомнив об эффективном сотрудничестве между КГРЭ и Рабочей группой Совета в течение последнего цикла, которое привело к упорядочению структуры нынешнего стратегического плана. Ряд делегатов также дали высокую оценку усилиям по согласованию и выразили признательность за руководство, представленное в Документе 41. Несколько делегаций подтвердили важность поддержания синергии между Секторами и учета интересов молодежи и региональных приоритетов в рамках более широкого </w:t>
      </w:r>
      <w:r w:rsidR="00BC4CE0" w:rsidRPr="00500A19">
        <w:t>процесса</w:t>
      </w:r>
      <w:r w:rsidR="005924F6" w:rsidRPr="00500A19">
        <w:t> </w:t>
      </w:r>
      <w:r w:rsidRPr="00500A19">
        <w:t>планирования.</w:t>
      </w:r>
    </w:p>
    <w:p w14:paraId="450B2D2A" w14:textId="77777777" w:rsidR="00D345DB" w:rsidRPr="00500A19" w:rsidRDefault="00D345DB" w:rsidP="00E44F30">
      <w:pPr>
        <w:spacing w:after="120"/>
      </w:pPr>
      <w:r w:rsidRPr="00500A19">
        <w:t>В заключение Председатель подтвердила, что результаты работы Рабочей группы КГРЭ по приоритетам послужат ценным вкладом в разработку следующего Стратегического плана, и подчеркнула общую цель – обеспечить, чтобы действия на уровне Секторов четко соответствовали общим стратегическим целям Союза.</w:t>
      </w:r>
    </w:p>
    <w:tbl>
      <w:tblPr>
        <w:tblStyle w:val="TableGrid"/>
        <w:tblW w:w="0" w:type="auto"/>
        <w:tblLayout w:type="fixed"/>
        <w:tblLook w:val="06A0" w:firstRow="1" w:lastRow="0" w:firstColumn="1" w:lastColumn="0" w:noHBand="1" w:noVBand="1"/>
      </w:tblPr>
      <w:tblGrid>
        <w:gridCol w:w="9630"/>
      </w:tblGrid>
      <w:tr w:rsidR="00D345DB" w:rsidRPr="00500A19" w14:paraId="515CF86F" w14:textId="77777777" w:rsidTr="00BD2140">
        <w:trPr>
          <w:trHeight w:val="300"/>
        </w:trPr>
        <w:tc>
          <w:tcPr>
            <w:tcW w:w="9630" w:type="dxa"/>
          </w:tcPr>
          <w:p w14:paraId="58D07D1F" w14:textId="77777777" w:rsidR="00D345DB" w:rsidRPr="00500A19" w:rsidRDefault="00D345DB" w:rsidP="00BD2140">
            <w:pPr>
              <w:spacing w:after="120"/>
              <w:rPr>
                <w:rFonts w:eastAsia="Calibri" w:cs="Calibri"/>
                <w:color w:val="000000" w:themeColor="text1"/>
                <w:szCs w:val="22"/>
              </w:rPr>
            </w:pPr>
            <w:r w:rsidRPr="00500A19">
              <w:rPr>
                <w:color w:val="000000"/>
                <w:szCs w:val="22"/>
              </w:rPr>
              <w:t>КГРЭ приняла этот отчет к сведению и подчеркнула, что результаты работы Рабочей группы КГРЭ по приоритетам МСЭ-D будут способствовать внесению ценных вкладов в разработку следующего стратегического плана МСЭ.</w:t>
            </w:r>
          </w:p>
        </w:tc>
      </w:tr>
    </w:tbl>
    <w:p w14:paraId="76B3A2EC" w14:textId="347E310C" w:rsidR="00D345DB" w:rsidRPr="00500A19" w:rsidRDefault="00E44F30" w:rsidP="00E44F30">
      <w:pPr>
        <w:pStyle w:val="Heading2"/>
        <w:rPr>
          <w:rFonts w:cstheme="minorHAnsi"/>
        </w:rPr>
      </w:pPr>
      <w:r w:rsidRPr="00500A19">
        <w:t>6.3</w:t>
      </w:r>
      <w:r w:rsidRPr="00500A19">
        <w:tab/>
      </w:r>
      <w:r w:rsidR="00D345DB" w:rsidRPr="00500A19">
        <w:t>Проекты МСЭ-D</w:t>
      </w:r>
    </w:p>
    <w:p w14:paraId="647E2773" w14:textId="40DAABEF" w:rsidR="00D345DB" w:rsidRPr="00500A19" w:rsidRDefault="00D345DB" w:rsidP="00765CDD">
      <w:pPr>
        <w:pStyle w:val="Headingb"/>
        <w:tabs>
          <w:tab w:val="clear" w:pos="907"/>
        </w:tabs>
        <w:ind w:left="0" w:firstLine="0"/>
        <w:rPr>
          <w:rStyle w:val="Hyperlink"/>
          <w:rFonts w:cstheme="minorHAnsi"/>
          <w:b w:val="0"/>
          <w:bCs/>
          <w:color w:val="auto"/>
          <w:szCs w:val="22"/>
          <w:lang w:val="ru-RU"/>
        </w:rPr>
      </w:pPr>
      <w:r w:rsidRPr="00500A19">
        <w:rPr>
          <w:bCs/>
          <w:szCs w:val="22"/>
          <w:lang w:val="ru-RU"/>
        </w:rPr>
        <w:t xml:space="preserve">Документ </w:t>
      </w:r>
      <w:hyperlink r:id="rId25">
        <w:r w:rsidRPr="00500A19">
          <w:rPr>
            <w:rStyle w:val="Hyperlink"/>
            <w:rFonts w:cstheme="minorBidi"/>
            <w:bCs/>
            <w:szCs w:val="22"/>
            <w:lang w:val="ru-RU"/>
          </w:rPr>
          <w:t>5</w:t>
        </w:r>
      </w:hyperlink>
      <w:r w:rsidRPr="00500A19">
        <w:rPr>
          <w:bCs/>
          <w:szCs w:val="22"/>
          <w:lang w:val="ru-RU"/>
        </w:rPr>
        <w:t xml:space="preserve"> (Директор БРЭ) </w:t>
      </w:r>
      <w:r w:rsidR="006D4642" w:rsidRPr="00500A19">
        <w:rPr>
          <w:bCs/>
          <w:szCs w:val="22"/>
          <w:lang w:val="ru-RU"/>
        </w:rPr>
        <w:sym w:font="Symbol" w:char="F02D"/>
      </w:r>
      <w:r w:rsidRPr="00500A19">
        <w:rPr>
          <w:bCs/>
          <w:szCs w:val="22"/>
          <w:lang w:val="ru-RU"/>
        </w:rPr>
        <w:t xml:space="preserve"> Проекты МСЭ-D</w:t>
      </w:r>
    </w:p>
    <w:p w14:paraId="56BC6063" w14:textId="1646EF37" w:rsidR="00D345DB" w:rsidRPr="00500A19" w:rsidRDefault="00D345DB" w:rsidP="00E44F30">
      <w:r w:rsidRPr="00500A19">
        <w:t>Секретариат рассказал о ходе реализации и достижениях в рамках проектов МСЭ, реализованных БРЭ в 2024 году, а также о 37 новых проектах, соглашения по которым были подписаны в этом году, на сумму 28,6 млн. швейцарских франков, что является самым высоким уровнем средств, привлеченных в рамках проектов МСЭ-D за последние 10 лет. Секретариат подчеркнул, что в отчете также было представлено, как 3 миллиона швейцарских франков, выделенные Сессией Совета 2023</w:t>
      </w:r>
      <w:r w:rsidR="006D4642" w:rsidRPr="00500A19">
        <w:t> </w:t>
      </w:r>
      <w:r w:rsidRPr="00500A19">
        <w:t>года, используются для поддержки проектов, способствующих реализации региональных инициатив. Наконец, Секретариат отметил меры, принятые БРЭ в 2024 году для дальнейшего укрепления проектов МСЭ-D, включая создание нового подразделения по реализации проектов (ИПП), совершенствование отчетности перед партнерами и Комитет по проектам. Секретариат пояснил, что эти меры направлены на обеспечение прозрачного отбора и реализации проектов, а также на принятие решений на основе данных.</w:t>
      </w:r>
    </w:p>
    <w:p w14:paraId="13CA883D" w14:textId="77777777" w:rsidR="00D345DB" w:rsidRPr="00500A19" w:rsidRDefault="00D345DB" w:rsidP="00E44F30">
      <w:pPr>
        <w:spacing w:after="120"/>
      </w:pPr>
      <w:r w:rsidRPr="00500A19">
        <w:t>После презентации Секретариата один из делегатов и Председатель КГРЭ задали вопросы, касающиеся роли нового подразделения по реализации проектов и деятельности Комитета по проектам. На эти вопросы ответил Директор БРЭ, который предоставил дополнительную информацию о новом подразделении по реализации проектов, о котором говорится в Документе 43 (Реорганизация БРЭ), и о Комитете по проектам.</w:t>
      </w:r>
    </w:p>
    <w:p w14:paraId="3ABB8D24" w14:textId="48227CDD" w:rsidR="006D4642" w:rsidRPr="00500A19" w:rsidRDefault="006D4642">
      <w:pPr>
        <w:overflowPunct/>
        <w:autoSpaceDE/>
        <w:autoSpaceDN/>
        <w:adjustRightInd/>
        <w:spacing w:before="0"/>
        <w:textAlignment w:val="auto"/>
      </w:pPr>
      <w:r w:rsidRPr="00500A19">
        <w:br w:type="page"/>
      </w:r>
    </w:p>
    <w:tbl>
      <w:tblPr>
        <w:tblStyle w:val="TableGrid"/>
        <w:tblW w:w="0" w:type="auto"/>
        <w:tblLayout w:type="fixed"/>
        <w:tblLook w:val="04A0" w:firstRow="1" w:lastRow="0" w:firstColumn="1" w:lastColumn="0" w:noHBand="0" w:noVBand="1"/>
      </w:tblPr>
      <w:tblGrid>
        <w:gridCol w:w="9629"/>
      </w:tblGrid>
      <w:tr w:rsidR="00D345DB" w:rsidRPr="00500A19" w14:paraId="3AF4C4A9" w14:textId="77777777" w:rsidTr="00BD2140">
        <w:tc>
          <w:tcPr>
            <w:tcW w:w="9629" w:type="dxa"/>
          </w:tcPr>
          <w:p w14:paraId="5BD95091" w14:textId="77777777" w:rsidR="00D345DB" w:rsidRPr="00500A19" w:rsidRDefault="00D345DB" w:rsidP="00BD2140">
            <w:pPr>
              <w:widowControl w:val="0"/>
              <w:tabs>
                <w:tab w:val="left" w:pos="1701"/>
              </w:tabs>
              <w:spacing w:after="120"/>
              <w:rPr>
                <w:rFonts w:cs="Calibri"/>
                <w:szCs w:val="22"/>
              </w:rPr>
            </w:pPr>
            <w:r w:rsidRPr="00500A19">
              <w:rPr>
                <w:color w:val="000000"/>
                <w:szCs w:val="22"/>
              </w:rPr>
              <w:lastRenderedPageBreak/>
              <w:t>КГРЭ приняла к сведению отчет, в котором содержится обзор работы, проделанной БРЭ в процессе разработки и реализации проектов в шести регионах МСЭ-D, а также проведенных межрегиональных мероприятий. Члены отметили, что подписание соглашений о 37 новых проектах на сумму 28,6 млн. швейцарских франков в 2024 году отражает наивысший уровень средств, привлеченных в рамках проектов МСЭ-D за последние 10 лет. КГРЭ также приветствовала другие меры, которые укрепили исполнение проектов, включая создание подразделения по реализации проектов. БРЭ приняло решение предоставить обновленный отчет, в котором проекты сопоставлены с ожидаемыми результатами в рамках каждой региональной инициативы, по просьбе членов.</w:t>
            </w:r>
          </w:p>
        </w:tc>
      </w:tr>
    </w:tbl>
    <w:p w14:paraId="5B295625" w14:textId="0BF65FE5" w:rsidR="00D345DB" w:rsidRPr="00500A19" w:rsidRDefault="00E44F30" w:rsidP="00D8197B">
      <w:pPr>
        <w:pStyle w:val="Heading2"/>
        <w:tabs>
          <w:tab w:val="clear" w:pos="907"/>
          <w:tab w:val="left" w:pos="993"/>
        </w:tabs>
        <w:ind w:left="993" w:hanging="993"/>
        <w:rPr>
          <w:rFonts w:cstheme="minorHAnsi"/>
        </w:rPr>
      </w:pPr>
      <w:r w:rsidRPr="00500A19">
        <w:t>6.4</w:t>
      </w:r>
      <w:r w:rsidRPr="00500A19">
        <w:tab/>
      </w:r>
      <w:r w:rsidR="00D345DB" w:rsidRPr="00500A19">
        <w:t>Деятельность исследовательских комиссий</w:t>
      </w:r>
    </w:p>
    <w:p w14:paraId="5BDA9F9C" w14:textId="55000F93" w:rsidR="00D345DB" w:rsidRPr="00500A19" w:rsidRDefault="00D345DB" w:rsidP="00765CDD">
      <w:pPr>
        <w:pStyle w:val="Headingb"/>
        <w:tabs>
          <w:tab w:val="clear" w:pos="907"/>
        </w:tabs>
        <w:ind w:left="0" w:firstLine="0"/>
        <w:rPr>
          <w:rFonts w:cstheme="minorBidi"/>
          <w:lang w:val="ru-RU"/>
        </w:rPr>
      </w:pPr>
      <w:r w:rsidRPr="00500A19">
        <w:rPr>
          <w:lang w:val="ru-RU"/>
        </w:rPr>
        <w:t xml:space="preserve">Документ </w:t>
      </w:r>
      <w:hyperlink r:id="rId26" w:history="1">
        <w:r w:rsidRPr="00500A19">
          <w:rPr>
            <w:rStyle w:val="Hyperlink"/>
            <w:bCs/>
            <w:szCs w:val="22"/>
            <w:lang w:val="ru-RU"/>
          </w:rPr>
          <w:t>6</w:t>
        </w:r>
      </w:hyperlink>
      <w:r w:rsidRPr="00500A19">
        <w:rPr>
          <w:lang w:val="ru-RU"/>
        </w:rPr>
        <w:t xml:space="preserve"> (Председатель 1-й Исследовательской комиссии МСЭ-D) </w:t>
      </w:r>
      <w:r w:rsidR="006D4642" w:rsidRPr="00500A19">
        <w:rPr>
          <w:lang w:val="ru-RU"/>
        </w:rPr>
        <w:sym w:font="Symbol" w:char="F02D"/>
      </w:r>
      <w:r w:rsidRPr="00500A19">
        <w:rPr>
          <w:lang w:val="ru-RU"/>
        </w:rPr>
        <w:t xml:space="preserve"> 1-я Исследовательская комиссия МСЭ-D </w:t>
      </w:r>
      <w:r w:rsidR="00D233E1" w:rsidRPr="00500A19">
        <w:rPr>
          <w:lang w:val="ru-RU"/>
        </w:rPr>
        <w:sym w:font="Symbol" w:char="F02D"/>
      </w:r>
      <w:r w:rsidRPr="00500A19">
        <w:rPr>
          <w:lang w:val="ru-RU"/>
        </w:rPr>
        <w:t xml:space="preserve"> Виды деятельности и достигнутый прогресс</w:t>
      </w:r>
    </w:p>
    <w:p w14:paraId="6D29F92A" w14:textId="77777777" w:rsidR="00D345DB" w:rsidRPr="00500A19" w:rsidRDefault="00D345DB" w:rsidP="00E44F30">
      <w:r w:rsidRPr="00500A19">
        <w:t>Председатель 1-й Исследовательской комиссии г-жа Регина-Флёр Ассуму-Бессу представила Документ 6(Rev.2), в котором рассказывается о работе Комиссии в исследовательском цикле 2022−2025 годов. Она подчеркнула, что, несмотря на сокращение срока полномочий (три года вместо четырех), Комиссия успешно выполнила свои задачи, подготовив семь заключительных итоговых отчетов, четыре промежуточных итоговых документа и пересмотрев один отчет за предыдущий цикл. Результаты охватили ключевые направления, включая инструменты цифрового регулирования, фонды универсального обслуживания, спутниковую связь и повышение осведомленности потребителей. Она особо отметила структурированное сотрудничество Комиссии, которое включает проведение совместных семинаров-практикумов, заявлений о взаимодействии и партнерских отношений со 2-й Исследовательской комиссией и другими Секторами МСЭ. Заслуживающим внимания достижением стало увеличение участия женщин, которое достигло 45%, чему способствовало создание RIFEN – сети женщин-профессионалов, принимающих участие в работе исследовательских комиссий.</w:t>
      </w:r>
    </w:p>
    <w:p w14:paraId="7E48A3C2" w14:textId="77777777" w:rsidR="00D345DB" w:rsidRPr="00500A19" w:rsidRDefault="00D345DB" w:rsidP="00E44F30">
      <w:r w:rsidRPr="00500A19">
        <w:t>В своем выступлении она также подробно изложила статистические данные об участии, вкладах и гендерном распределении. Она представила два практических проекта руководящих указаний, включенных в Приложение 6 к отчету, один касается назначения и отбора докладчиков, а другой – совершенствования продвижения продуктов исследовательских комиссий. В заключение она призвала к более широкому распространению и использованию итоговых документов Комиссии и рекомендовала принять руководящие указания в качестве динамичных текстов на следующий исследовательский период.</w:t>
      </w:r>
    </w:p>
    <w:p w14:paraId="54E2769B" w14:textId="56C481C4" w:rsidR="00667812" w:rsidRPr="00500A19" w:rsidRDefault="00667812" w:rsidP="00667812">
      <w:r w:rsidRPr="00500A19">
        <w:t>После презентации многочисленные делегации выразили удовлетворение всеобъемлющим характером работы и уровнем управленческих навыков, которые были продемонстрированы в ходе данного периода. Участники дали высокую оценку инклюзивному подходу, основанному на сотрудничестве, особенно поддержке женщин, молодежи и лиц с ограниченными возможностями. Высокая оценка также была дана работе по Резолюции 9, практической значимости промежуточных отчетов и взаимодействию группы с другими Секторами МСЭ.</w:t>
      </w:r>
    </w:p>
    <w:p w14:paraId="0EECFA51" w14:textId="317B28FF" w:rsidR="00667812" w:rsidRPr="00500A19" w:rsidRDefault="00667812" w:rsidP="00667812">
      <w:r w:rsidRPr="00500A19">
        <w:t>Несколько Государств-Членов призвали к повышению наглядности и доступности намеченных результатов деятельности и предложили вести информационно-пропагандистскую работу, ориентированную на академические организации и более широкое сообщество ИКТ. На сессии были выражены всеобщая признательность за достижения 1-й Исследовательской комиссии и решительная поддержка использования ее результатов для деятельности в области развития</w:t>
      </w:r>
      <w:r w:rsidR="00D8197B" w:rsidRPr="00500A19">
        <w:t> </w:t>
      </w:r>
      <w:r w:rsidRPr="00500A19">
        <w:t>в</w:t>
      </w:r>
      <w:r w:rsidR="00D8197B" w:rsidRPr="00500A19">
        <w:t> </w:t>
      </w:r>
      <w:r w:rsidRPr="00500A19">
        <w:t>будущем.</w:t>
      </w:r>
    </w:p>
    <w:p w14:paraId="344BBF62" w14:textId="254F568B" w:rsidR="00667812" w:rsidRPr="00500A19" w:rsidRDefault="00667812" w:rsidP="00667812">
      <w:r w:rsidRPr="00500A19">
        <w:t>Председатель открыла для обсуждения Документы 6A и 6B, прилагаемые к Документу 6(Rev.2), отметив, что они были направлены исследовательскими комиссиями на одобрение КГРЭ. В</w:t>
      </w:r>
      <w:r w:rsidR="00D8197B" w:rsidRPr="00500A19">
        <w:t> </w:t>
      </w:r>
      <w:r w:rsidRPr="00500A19">
        <w:t xml:space="preserve">Документе 6A, представленном Соединенным Королевством, излагаются руководящие принципы, </w:t>
      </w:r>
      <w:r w:rsidRPr="00500A19">
        <w:lastRenderedPageBreak/>
        <w:t>касающиеся состава и функционирования групп Докладчиков. Представитель Соединенного Королевства пояснил, что данный документ формализует существующую неофициальную практику и служит дополнительным руководством для председателей исследовательских комиссий без каких-либо изменений в обязательных документах МСЭ. Целью является обеспечение последовательности и ясности в следующем исследовательском периоде. Австралия представила Документ 6B, в котором поясняется, что руководящие указания были разработаны Израилем и Японией в целях содействия улучшению распространения и популяризации намеченных результатов деятельности исследовательских комиссий. В документе выделены проблемы и предложены решения для совершенствования информационно-разъяснительной работы, участия экспертов, интеграции конечных результатов посредством обновленных шаблонов и более эффективного использования веб-сайта и мероприятий МСЭ.</w:t>
      </w:r>
    </w:p>
    <w:p w14:paraId="58F9D0CA" w14:textId="608DBB68" w:rsidR="00667812" w:rsidRPr="00500A19" w:rsidRDefault="00667812" w:rsidP="00667812">
      <w:pPr>
        <w:spacing w:after="120"/>
      </w:pPr>
      <w:r w:rsidRPr="00500A19">
        <w:t>После презентаций Председатель и несколько Государств-Членов, включая представителей 1-й и 2</w:t>
      </w:r>
      <w:r w:rsidR="004141BA" w:rsidRPr="00500A19">
        <w:t>­</w:t>
      </w:r>
      <w:r w:rsidRPr="00500A19">
        <w:t>й</w:t>
      </w:r>
      <w:r w:rsidR="004141BA" w:rsidRPr="00500A19">
        <w:t> </w:t>
      </w:r>
      <w:r w:rsidRPr="00500A19">
        <w:t>Исследовательских комиссий, высказались в поддержку этих документов, высоко оценив их соответствие текущей практике и акцент на совершенствовании методов работы. Делегаты отметили важность инклюзивности и прозрачности при формировании команд, а также ежегодного обновления обязательств для отражения изменений в составе участников. Возражений высказано не было, и Председатель заключила, что КГРЭ будет рекомендовать Директору содействовать реализации руководящих указаний в следующем исследовательском периоде и представить отчет о достигнутых результатах следующему собранию КГРЭ.</w:t>
      </w:r>
    </w:p>
    <w:tbl>
      <w:tblPr>
        <w:tblStyle w:val="TableGrid"/>
        <w:tblW w:w="0" w:type="auto"/>
        <w:tblLayout w:type="fixed"/>
        <w:tblLook w:val="04A0" w:firstRow="1" w:lastRow="0" w:firstColumn="1" w:lastColumn="0" w:noHBand="0" w:noVBand="1"/>
      </w:tblPr>
      <w:tblGrid>
        <w:gridCol w:w="9629"/>
      </w:tblGrid>
      <w:tr w:rsidR="00667812" w:rsidRPr="00500A19" w14:paraId="3FEA86FD" w14:textId="77777777" w:rsidTr="6215BC2C">
        <w:tc>
          <w:tcPr>
            <w:tcW w:w="9629" w:type="dxa"/>
          </w:tcPr>
          <w:p w14:paraId="02CBCC73" w14:textId="77777777" w:rsidR="00667812" w:rsidRPr="00500A19" w:rsidRDefault="00667812" w:rsidP="00A05A39">
            <w:pPr>
              <w:widowControl w:val="0"/>
              <w:spacing w:after="120"/>
              <w:rPr>
                <w:rFonts w:eastAsia="Calibri" w:cstheme="minorHAnsi"/>
                <w:color w:val="000000" w:themeColor="text1"/>
                <w:szCs w:val="22"/>
              </w:rPr>
            </w:pPr>
            <w:r w:rsidRPr="00500A19">
              <w:rPr>
                <w:rFonts w:cstheme="minorHAnsi"/>
                <w:color w:val="000000"/>
                <w:szCs w:val="22"/>
              </w:rPr>
              <w:t>КГРЭ приняла отчет к сведению, выразив глубокую признательность за усилия Исследовательской комиссии и подчеркнув динамичный и инклюзивный характер проводимой работы. Деятельность 1-й Исследовательской комиссии была признана весьма ценной для выполнения задач МСЭ-D.</w:t>
            </w:r>
          </w:p>
          <w:p w14:paraId="5F6EFCF1" w14:textId="77777777" w:rsidR="00667812" w:rsidRPr="00500A19" w:rsidRDefault="00667812" w:rsidP="00A05A39">
            <w:pPr>
              <w:widowControl w:val="0"/>
              <w:spacing w:after="120"/>
              <w:rPr>
                <w:rFonts w:cstheme="minorHAnsi"/>
                <w:szCs w:val="22"/>
              </w:rPr>
            </w:pPr>
            <w:r w:rsidRPr="00500A19">
              <w:rPr>
                <w:rFonts w:cstheme="minorHAnsi"/>
                <w:color w:val="000000"/>
                <w:szCs w:val="22"/>
              </w:rPr>
              <w:t xml:space="preserve">КГРЭ также рассмотрела Приложения к Документу 6(Rev.2) и рекомендовала БРЭ содействовать использованию руководящих указаний, содержащихся в </w:t>
            </w:r>
            <w:hyperlink r:id="rId27" w:history="1">
              <w:r w:rsidRPr="00500A19">
                <w:rPr>
                  <w:rStyle w:val="Hyperlink"/>
                  <w:rFonts w:cstheme="minorHAnsi"/>
                  <w:szCs w:val="22"/>
                </w:rPr>
                <w:t>Приложении 6A</w:t>
              </w:r>
            </w:hyperlink>
            <w:r w:rsidRPr="00500A19">
              <w:rPr>
                <w:rFonts w:cstheme="minorHAnsi"/>
                <w:color w:val="000000"/>
                <w:szCs w:val="22"/>
              </w:rPr>
              <w:t xml:space="preserve"> (Проект руководящих указаний по формированию групп Докладчиков) и </w:t>
            </w:r>
            <w:hyperlink r:id="rId28" w:history="1">
              <w:r w:rsidRPr="00500A19">
                <w:rPr>
                  <w:rStyle w:val="Hyperlink"/>
                  <w:rFonts w:cstheme="minorHAnsi"/>
                  <w:szCs w:val="22"/>
                </w:rPr>
                <w:t>Приложении 6B</w:t>
              </w:r>
            </w:hyperlink>
            <w:r w:rsidRPr="00500A19">
              <w:rPr>
                <w:rFonts w:cstheme="minorHAnsi"/>
                <w:color w:val="000000"/>
                <w:szCs w:val="22"/>
              </w:rPr>
              <w:t xml:space="preserve"> (Более эффективное использование результатов работы исследовательских комиссий МСЭ-D), в следующем исследовательском периоде после ВКРЭ и представить отчет об их использовании следующему собранию КГРЭ.</w:t>
            </w:r>
          </w:p>
        </w:tc>
      </w:tr>
    </w:tbl>
    <w:p w14:paraId="234975CC" w14:textId="48FFD297"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29">
        <w:r w:rsidRPr="00500A19">
          <w:rPr>
            <w:rStyle w:val="Hyperlink"/>
            <w:rFonts w:cstheme="minorHAnsi"/>
            <w:bCs/>
            <w:szCs w:val="22"/>
            <w:lang w:val="ru-RU"/>
          </w:rPr>
          <w:t>7</w:t>
        </w:r>
      </w:hyperlink>
      <w:r w:rsidRPr="00500A19">
        <w:rPr>
          <w:lang w:val="ru-RU"/>
        </w:rPr>
        <w:t xml:space="preserve"> (Председатель 2-й Исследовательской комиссии МСЭ-D) </w:t>
      </w:r>
      <w:r w:rsidR="004141BA" w:rsidRPr="00500A19">
        <w:rPr>
          <w:lang w:val="ru-RU"/>
        </w:rPr>
        <w:sym w:font="Symbol" w:char="F02D"/>
      </w:r>
      <w:r w:rsidRPr="00500A19">
        <w:rPr>
          <w:lang w:val="ru-RU"/>
        </w:rPr>
        <w:t xml:space="preserve"> Деятельность 2</w:t>
      </w:r>
      <w:r w:rsidR="004141BA" w:rsidRPr="00500A19">
        <w:rPr>
          <w:lang w:val="ru-RU"/>
        </w:rPr>
        <w:t>­</w:t>
      </w:r>
      <w:r w:rsidRPr="00500A19">
        <w:rPr>
          <w:lang w:val="ru-RU"/>
        </w:rPr>
        <w:t>й</w:t>
      </w:r>
      <w:r w:rsidR="004141BA" w:rsidRPr="00500A19">
        <w:rPr>
          <w:lang w:val="ru-RU"/>
        </w:rPr>
        <w:t> </w:t>
      </w:r>
      <w:r w:rsidRPr="00500A19">
        <w:rPr>
          <w:lang w:val="ru-RU"/>
        </w:rPr>
        <w:t>Исследовательской комиссии МСЭ-D в восьмом исследовательском периоде</w:t>
      </w:r>
    </w:p>
    <w:p w14:paraId="5438DD70" w14:textId="294D88C8" w:rsidR="00667812" w:rsidRPr="00500A19" w:rsidRDefault="00667812" w:rsidP="00667812">
      <w:r w:rsidRPr="00500A19">
        <w:t>Документ 7(Rev.1) был представлен Председателем 2-й Исследовательской комиссии д-ром Фаделем Дигхамом, который рассказал о результатах работы комиссии в исследовательском периоде 2022</w:t>
      </w:r>
      <w:r w:rsidR="004141BA" w:rsidRPr="00500A19">
        <w:sym w:font="Symbol" w:char="F02D"/>
      </w:r>
      <w:r w:rsidRPr="00500A19">
        <w:t>2025 годов. Он подчеркнул, что в то время, как 1-я Исследовательская комиссия уделяет</w:t>
      </w:r>
      <w:r w:rsidR="00D8197B" w:rsidRPr="00500A19">
        <w:t> </w:t>
      </w:r>
      <w:r w:rsidRPr="00500A19">
        <w:t>основное внимание реальной возможности установления соединений, работа 2</w:t>
      </w:r>
      <w:r w:rsidR="00D8197B" w:rsidRPr="00500A19">
        <w:t>­</w:t>
      </w:r>
      <w:r w:rsidRPr="00500A19">
        <w:t>й</w:t>
      </w:r>
      <w:r w:rsidR="00D8197B" w:rsidRPr="00500A19">
        <w:t> </w:t>
      </w:r>
      <w:r w:rsidRPr="00500A19">
        <w:t>Исследовательской комиссии, охватывающая вопросы цифровой трансформации, включая услуги, приложения и благоприятную среду, дополняет ее. Презентация была посвящена работе комиссии в ходе четырех пленарных заседаний, двух собраний групп Докладчиков, а также 17</w:t>
      </w:r>
      <w:r w:rsidR="00D8197B" w:rsidRPr="00500A19">
        <w:t> </w:t>
      </w:r>
      <w:r w:rsidRPr="00500A19">
        <w:t>семинаров-практикумов и мероприятий. Д-р Дигхам отметил тесное взаимодействие с 1</w:t>
      </w:r>
      <w:r w:rsidR="00D8197B" w:rsidRPr="00500A19">
        <w:t>­</w:t>
      </w:r>
      <w:r w:rsidRPr="00500A19">
        <w:t>й</w:t>
      </w:r>
      <w:r w:rsidR="00D8197B" w:rsidRPr="00500A19">
        <w:t> </w:t>
      </w:r>
      <w:r w:rsidRPr="00500A19">
        <w:t>Исследовательской комиссией и проектами БРЭ на местах, особенно по таким темам, как кибербезопасность, цифровые навыки и экологическая устойчивость. Он отметил, что молодежь и женщины активно участвовали в различных сессиях и семинарах-практикумах и что наибольшее число вкладов было получено по Вопросу 5/2 (Цифровые навыки), что отражает актуальность этой</w:t>
      </w:r>
      <w:r w:rsidR="00D8197B" w:rsidRPr="00500A19">
        <w:t> </w:t>
      </w:r>
      <w:r w:rsidRPr="00500A19">
        <w:t>темы.</w:t>
      </w:r>
    </w:p>
    <w:p w14:paraId="2493F2B9" w14:textId="77777777" w:rsidR="00667812" w:rsidRPr="00500A19" w:rsidRDefault="00667812" w:rsidP="00667812">
      <w:r w:rsidRPr="00500A19">
        <w:t xml:space="preserve">Он сообщил о выпуске двух промежуточных отчетов по кибербезопасности и семи заключительных отчетов по "умным" городам, электронным услугам, кибербезопасности, оборудованию и устройствам, цифровым навыкам, ИКТ для окружающей среды и воздействию ЭМП. Д-р Дигхам также представил сводный краткий отчет под названием "Создание условий для цифровой трансформации", в котором результаты работы комиссии объединены в общее повествование; </w:t>
      </w:r>
      <w:r w:rsidRPr="00500A19">
        <w:lastRenderedPageBreak/>
        <w:t>однако отчет не мог быть принят в качестве официального конечного результата ввиду имеющихся процедурных ограничений.</w:t>
      </w:r>
    </w:p>
    <w:p w14:paraId="5AD35F4C" w14:textId="20AE57B0" w:rsidR="00667812" w:rsidRPr="00500A19" w:rsidRDefault="00667812" w:rsidP="00667812">
      <w:r w:rsidRPr="00500A19">
        <w:t>После презентации многие делегации дали высокую оценку работе комиссии, подчеркнув ее практическую значимость, особенно для развивающихся стран. В ряде выступлений прозвучали призывы к обеспечению большей наглядности намеченных результатов деятельности исследовательских комиссий и предлагалось публиковать их на академических платформах и платформах открытого доступа. Были внесены предложения по расширению доступности, в том числе по использованию языка жестов и инструментов для лиц с ограниченными возможностями, а также по обеспечению постоянного участия молодежи и недостаточно представленных групп. Участники собрания решительно поддержали приложения, касающиеся совершенствования процедуры назначения Докладчиков и в будущем усиления воздействия намеченных результатов деятельности Исследовательской комиссии, представленных в увязке с отчетом 1</w:t>
      </w:r>
      <w:r w:rsidR="004141BA" w:rsidRPr="00500A19">
        <w:t>­</w:t>
      </w:r>
      <w:r w:rsidRPr="00500A19">
        <w:t>й</w:t>
      </w:r>
      <w:r w:rsidR="004141BA" w:rsidRPr="00500A19">
        <w:t> </w:t>
      </w:r>
      <w:r w:rsidRPr="00500A19">
        <w:t>Исследовательской комиссии.</w:t>
      </w:r>
    </w:p>
    <w:p w14:paraId="79FBDA5F" w14:textId="77777777" w:rsidR="00667812" w:rsidRPr="00500A19" w:rsidRDefault="00667812" w:rsidP="00667812">
      <w:pPr>
        <w:spacing w:after="120"/>
      </w:pPr>
      <w:r w:rsidRPr="00500A19">
        <w:t>Директор БРЭ и Председатель КГРЭ высоко оценили достижения 2-й Исследовательской комиссии, подтвердив, что ее работа будет использоваться в будущих программах БРЭ и в подготовке к ВКРЭ. Сессия завершилась признанием значения вклада Исследовательской комиссии и важности динамичного продолжения ее работы с соблюдением принципа инклюзивности.</w:t>
      </w:r>
    </w:p>
    <w:tbl>
      <w:tblPr>
        <w:tblStyle w:val="TableGrid"/>
        <w:tblW w:w="0" w:type="auto"/>
        <w:tblLayout w:type="fixed"/>
        <w:tblLook w:val="04A0" w:firstRow="1" w:lastRow="0" w:firstColumn="1" w:lastColumn="0" w:noHBand="0" w:noVBand="1"/>
      </w:tblPr>
      <w:tblGrid>
        <w:gridCol w:w="9629"/>
      </w:tblGrid>
      <w:tr w:rsidR="00667812" w:rsidRPr="00500A19" w14:paraId="598BAC56" w14:textId="77777777" w:rsidTr="6215BC2C">
        <w:tc>
          <w:tcPr>
            <w:tcW w:w="9629" w:type="dxa"/>
          </w:tcPr>
          <w:p w14:paraId="4DF560B4" w14:textId="77777777" w:rsidR="00667812" w:rsidRPr="00500A19" w:rsidRDefault="00667812" w:rsidP="00A05A39">
            <w:pPr>
              <w:pStyle w:val="CEONormal"/>
              <w:rPr>
                <w:rFonts w:asciiTheme="minorHAnsi" w:hAnsiTheme="minorHAnsi" w:cstheme="minorHAnsi"/>
                <w:sz w:val="22"/>
                <w:szCs w:val="22"/>
                <w:lang w:val="ru-RU"/>
              </w:rPr>
            </w:pPr>
            <w:r w:rsidRPr="00500A19">
              <w:rPr>
                <w:rFonts w:asciiTheme="minorHAnsi" w:hAnsiTheme="minorHAnsi" w:cstheme="minorHAnsi"/>
                <w:color w:val="000000"/>
                <w:sz w:val="22"/>
                <w:szCs w:val="22"/>
                <w:lang w:val="ru-RU"/>
              </w:rPr>
              <w:t>КГРЭ приняла отчет к сведению, выразив глубокую признательность за усилия Исследовательской комиссии и подчеркнув динамичный и инклюзивный характер проводимой работы. Деятельность 2-й Исследовательской комиссии была признана весьма ценной для выполнения задач МСЭ-D.</w:t>
            </w:r>
          </w:p>
        </w:tc>
      </w:tr>
    </w:tbl>
    <w:p w14:paraId="5E5F3C00" w14:textId="2E1BABD3"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30">
        <w:r w:rsidRPr="00500A19">
          <w:rPr>
            <w:rStyle w:val="Hyperlink"/>
            <w:rFonts w:cstheme="minorHAnsi"/>
            <w:bCs/>
            <w:szCs w:val="22"/>
            <w:lang w:val="ru-RU"/>
          </w:rPr>
          <w:t>36(Rev.1)</w:t>
        </w:r>
      </w:hyperlink>
      <w:r w:rsidRPr="00500A19">
        <w:rPr>
          <w:lang w:val="ru-RU"/>
        </w:rPr>
        <w:t xml:space="preserve"> (Канада, Багамские Острова) </w:t>
      </w:r>
      <w:r w:rsidR="004141BA" w:rsidRPr="00500A19">
        <w:rPr>
          <w:lang w:val="ru-RU"/>
        </w:rPr>
        <w:sym w:font="Symbol" w:char="F02D"/>
      </w:r>
      <w:r w:rsidRPr="00500A19">
        <w:rPr>
          <w:lang w:val="ru-RU"/>
        </w:rPr>
        <w:t xml:space="preserve"> Содействие участию молодежи в работе 1-й и 2</w:t>
      </w:r>
      <w:r w:rsidR="004141BA" w:rsidRPr="00500A19">
        <w:rPr>
          <w:lang w:val="ru-RU"/>
        </w:rPr>
        <w:t>­</w:t>
      </w:r>
      <w:r w:rsidRPr="00500A19">
        <w:rPr>
          <w:lang w:val="ru-RU"/>
        </w:rPr>
        <w:t>й Исследовательских комиссий МСЭ-D</w:t>
      </w:r>
    </w:p>
    <w:p w14:paraId="068DC743" w14:textId="77777777" w:rsidR="00667812" w:rsidRPr="00500A19" w:rsidRDefault="00667812" w:rsidP="00667812">
      <w:r w:rsidRPr="00500A19">
        <w:t>Был представлен Документ 36(Rev.1) – совместный вклад Канады и Багамских Островов, в котором предлагаются меры по расширению участия молодежи в работе исследовательских комиссий МСЭ-D. Сторонники инициативы подчеркивают, что эта инициатива будет опираться на существующие механизмы и не потребует дополнительных финансовых ресурсов со стороны БРЭ. Предложение посвящено системному вовлечению посредством наставничества, обучения лидерству и выстраивания партнерских отношений с академическими организациями.</w:t>
      </w:r>
    </w:p>
    <w:p w14:paraId="0822011A" w14:textId="77777777" w:rsidR="00667812" w:rsidRPr="00500A19" w:rsidRDefault="00667812" w:rsidP="00667812">
      <w:r w:rsidRPr="00500A19">
        <w:t>В ходе обсуждения несколько делегаций выразили поддержку этой инициативе и высоко оценили ее направленность на обеспечение инклюзивности и устойчивости. Многие признали важность участия молодежи в формировании цифрового будущего и предложили интегрировать эту деятельность в существующие инициативы МСЭ, такие как "Поколение подключений", чтобы избежать дублирования и обеспечить согласованность. Прозвучала также рекомендация изучить возможность участия на добровольной основе посредством групп Докладчиков и рассмотреть способы усовершенствования механизмов виртуального участия.</w:t>
      </w:r>
    </w:p>
    <w:p w14:paraId="1B90F8EC" w14:textId="77777777" w:rsidR="00667812" w:rsidRPr="00500A19" w:rsidRDefault="00667812" w:rsidP="00667812">
      <w:pPr>
        <w:spacing w:after="120"/>
        <w:rPr>
          <w:rFonts w:eastAsia="Calibri"/>
        </w:rPr>
      </w:pPr>
      <w:r w:rsidRPr="00500A19">
        <w:t>Директор БРЭ приветствовал это предложение и настоятельно призвал Государства-Члены включать в состав своих делегаций молодых участников. Он подтвердил, что БРЭ рассмотрит эти предложения и обсудит практически осуществимые меры, не создающие финансового бремени. Также в ответ на эти обсуждения БРЭ подготовило и опубликовало Документ INF/15(Rev.1), в котором содержится информация о текущих молодежных инициативах МСЭ.</w:t>
      </w:r>
    </w:p>
    <w:tbl>
      <w:tblPr>
        <w:tblStyle w:val="TableGrid"/>
        <w:tblW w:w="0" w:type="auto"/>
        <w:tblLayout w:type="fixed"/>
        <w:tblLook w:val="06A0" w:firstRow="1" w:lastRow="0" w:firstColumn="1" w:lastColumn="0" w:noHBand="1" w:noVBand="1"/>
      </w:tblPr>
      <w:tblGrid>
        <w:gridCol w:w="9630"/>
      </w:tblGrid>
      <w:tr w:rsidR="00667812" w:rsidRPr="00500A19" w14:paraId="52496ACC" w14:textId="77777777" w:rsidTr="45F85149">
        <w:trPr>
          <w:trHeight w:val="300"/>
        </w:trPr>
        <w:tc>
          <w:tcPr>
            <w:tcW w:w="9630" w:type="dxa"/>
          </w:tcPr>
          <w:p w14:paraId="23AA2B3C" w14:textId="784D09DE" w:rsidR="00667812" w:rsidRPr="00500A19" w:rsidRDefault="00667812" w:rsidP="00A05A39">
            <w:pPr>
              <w:spacing w:after="120"/>
              <w:rPr>
                <w:rFonts w:cstheme="minorHAnsi"/>
                <w:szCs w:val="22"/>
              </w:rPr>
            </w:pPr>
            <w:r w:rsidRPr="00500A19">
              <w:rPr>
                <w:rFonts w:cstheme="minorHAnsi"/>
                <w:color w:val="000000"/>
                <w:szCs w:val="22"/>
              </w:rPr>
              <w:t>КГРЭ с удовлетворением приняла тот вклад к сведению, отметив, что дальнейшие рассмотрение и проработка БРЭ возможных мер, которые не создавали бы для БРЭ финансового бремени, будут</w:t>
            </w:r>
            <w:r w:rsidR="00D8197B" w:rsidRPr="00500A19">
              <w:rPr>
                <w:rFonts w:cstheme="minorHAnsi"/>
                <w:color w:val="000000"/>
                <w:szCs w:val="22"/>
              </w:rPr>
              <w:t> </w:t>
            </w:r>
            <w:r w:rsidRPr="00500A19">
              <w:rPr>
                <w:rFonts w:cstheme="minorHAnsi"/>
                <w:color w:val="000000"/>
                <w:szCs w:val="22"/>
              </w:rPr>
              <w:t>приветствоваться.</w:t>
            </w:r>
          </w:p>
        </w:tc>
      </w:tr>
    </w:tbl>
    <w:p w14:paraId="6592F151" w14:textId="39E89723" w:rsidR="00667812" w:rsidRPr="00500A19" w:rsidRDefault="00667812" w:rsidP="00667812">
      <w:pPr>
        <w:pStyle w:val="Heading2"/>
      </w:pPr>
      <w:r w:rsidRPr="00500A19">
        <w:lastRenderedPageBreak/>
        <w:t>6.5</w:t>
      </w:r>
      <w:r w:rsidRPr="00500A19">
        <w:tab/>
        <w:t>Вопросы, относящиеся к членскому составу, партнерским отношениям и частному сектору</w:t>
      </w:r>
    </w:p>
    <w:p w14:paraId="5140AF21" w14:textId="2D54AE19"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31">
        <w:r w:rsidRPr="00500A19">
          <w:rPr>
            <w:rStyle w:val="Hyperlink"/>
            <w:rFonts w:cstheme="minorHAnsi"/>
            <w:bCs/>
            <w:szCs w:val="22"/>
            <w:lang w:val="ru-RU"/>
          </w:rPr>
          <w:t>8(Rev.1)</w:t>
        </w:r>
      </w:hyperlink>
      <w:r w:rsidRPr="00500A19">
        <w:rPr>
          <w:lang w:val="ru-RU"/>
        </w:rPr>
        <w:t xml:space="preserve"> (Директор БРЭ) </w:t>
      </w:r>
      <w:r w:rsidR="004141BA" w:rsidRPr="00500A19">
        <w:rPr>
          <w:lang w:val="ru-RU"/>
        </w:rPr>
        <w:sym w:font="Symbol" w:char="F02D"/>
      </w:r>
      <w:r w:rsidRPr="00500A19">
        <w:rPr>
          <w:lang w:val="ru-RU"/>
        </w:rPr>
        <w:t xml:space="preserve"> Члены Сектора, Ассоциированные члены и Академические организации</w:t>
      </w:r>
      <w:r w:rsidR="00475C13" w:rsidRPr="00500A19">
        <w:rPr>
          <w:lang w:val="ru-RU"/>
        </w:rPr>
        <w:t> </w:t>
      </w:r>
      <w:r w:rsidR="00475C13" w:rsidRPr="00500A19">
        <w:rPr>
          <w:lang w:val="ru-RU"/>
        </w:rPr>
        <w:sym w:font="Symbol" w:char="F02D"/>
      </w:r>
      <w:r w:rsidR="00475C13" w:rsidRPr="00500A19">
        <w:rPr>
          <w:lang w:val="ru-RU"/>
        </w:rPr>
        <w:t> </w:t>
      </w:r>
      <w:r w:rsidRPr="00500A19">
        <w:rPr>
          <w:lang w:val="ru-RU"/>
        </w:rPr>
        <w:t>Члены МСЭ-D</w:t>
      </w:r>
    </w:p>
    <w:p w14:paraId="398B64BF" w14:textId="378C971A" w:rsidR="00667812" w:rsidRPr="00500A19" w:rsidRDefault="00667812" w:rsidP="00667812">
      <w:r w:rsidRPr="00500A19">
        <w:t>Секретариат БРЭ представил обзор динамики членского состава МСЭ-D, отметив рост с января 2024</w:t>
      </w:r>
      <w:r w:rsidR="004141BA" w:rsidRPr="00500A19">
        <w:t> </w:t>
      </w:r>
      <w:r w:rsidRPr="00500A19">
        <w:t>года до середины 2025 года. В течение этого периода МСЭ-D удалось привлечь 67 новых Членов Сектора, Ассоциированных членов и Академических организаций – членов. Были изложены рекомендации по действиям, направленные на дальнейшее наращивание усилий по привлечению и удержанию большего числа членов.</w:t>
      </w:r>
    </w:p>
    <w:p w14:paraId="33A4D279" w14:textId="60A04B1F" w:rsidR="00667812" w:rsidRPr="00500A19" w:rsidRDefault="00667812" w:rsidP="00667812">
      <w:r w:rsidRPr="00500A19">
        <w:t>Председатель Отраслевой консультативной группы по вопросам развития и старших сотрудников по регуляторным вопросам из частного сектора (IAGD-CRO), учрежденной в соответствии с Резолюцией</w:t>
      </w:r>
      <w:r w:rsidR="00D8197B" w:rsidRPr="00500A19">
        <w:t> </w:t>
      </w:r>
      <w:r w:rsidRPr="00500A19">
        <w:t>71 (Пересм. Кигали, 2022 г.), выразил признательность Директору БРЭ и его секретариату за тесное сотрудничество с предприятиями отрасли и заинтересованными сторонами из частного сектора. Он подчеркнул важную роль отраслевых предприятий в работе МСЭ-D и отметил успех и рост IAGD-CRO, в частности благодаря весьма эффективному проведению мероприятий TECH TALKS, приуроченных к собраниям 1-й и 2-й Исследовательских комиссий МСЭ-D.</w:t>
      </w:r>
    </w:p>
    <w:p w14:paraId="552B32B0" w14:textId="22054C47" w:rsidR="00667812" w:rsidRPr="00500A19" w:rsidRDefault="00667812" w:rsidP="00667812">
      <w:pPr>
        <w:spacing w:after="120"/>
      </w:pPr>
      <w:r w:rsidRPr="00500A19">
        <w:t>Председатель КГРЭ, заместитель Председателя КГРЭ от Африки и Председатель 2</w:t>
      </w:r>
      <w:r w:rsidR="00475C13" w:rsidRPr="00500A19">
        <w:t>­</w:t>
      </w:r>
      <w:r w:rsidRPr="00500A19">
        <w:t>й</w:t>
      </w:r>
      <w:r w:rsidR="00475C13" w:rsidRPr="00500A19">
        <w:t> </w:t>
      </w:r>
      <w:r w:rsidRPr="00500A19">
        <w:t>Исследовательской комиссии высоко оценили важную работу Директора БРЭ и секретариата БРЭ по увеличению числа членов, отметив их заинтересованность в содействии, в частности, привлечению Академических организаций в состав членов и их участию в работе исследовательских комиссий МСЭ-D, а также призвали секретариат БРЭ продолжать распространять информацию о выгодах</w:t>
      </w:r>
      <w:r w:rsidR="004141BA" w:rsidRPr="00500A19">
        <w:t> </w:t>
      </w:r>
      <w:r w:rsidRPr="00500A19">
        <w:t>членства.</w:t>
      </w:r>
    </w:p>
    <w:tbl>
      <w:tblPr>
        <w:tblStyle w:val="TableGrid"/>
        <w:tblW w:w="0" w:type="auto"/>
        <w:tblLayout w:type="fixed"/>
        <w:tblLook w:val="04A0" w:firstRow="1" w:lastRow="0" w:firstColumn="1" w:lastColumn="0" w:noHBand="0" w:noVBand="1"/>
      </w:tblPr>
      <w:tblGrid>
        <w:gridCol w:w="9629"/>
      </w:tblGrid>
      <w:tr w:rsidR="00667812" w:rsidRPr="00500A19" w14:paraId="1CAD1508" w14:textId="77777777" w:rsidTr="6215BC2C">
        <w:tc>
          <w:tcPr>
            <w:tcW w:w="9629" w:type="dxa"/>
          </w:tcPr>
          <w:p w14:paraId="754475C2" w14:textId="7D1F28D0" w:rsidR="00667812" w:rsidRPr="00500A19" w:rsidRDefault="00667812" w:rsidP="00A05A39">
            <w:pPr>
              <w:pStyle w:val="CEONormal"/>
              <w:widowControl w:val="0"/>
              <w:rPr>
                <w:rFonts w:asciiTheme="minorHAnsi" w:hAnsiTheme="minorHAnsi" w:cstheme="minorHAnsi"/>
                <w:sz w:val="22"/>
                <w:szCs w:val="22"/>
                <w:lang w:val="ru-RU"/>
              </w:rPr>
            </w:pPr>
            <w:r w:rsidRPr="00500A19">
              <w:rPr>
                <w:rFonts w:asciiTheme="minorHAnsi" w:hAnsiTheme="minorHAnsi" w:cstheme="minorHAnsi"/>
                <w:color w:val="000000"/>
                <w:sz w:val="22"/>
                <w:szCs w:val="22"/>
                <w:lang w:val="ru-RU"/>
              </w:rPr>
              <w:t>КГРЭ приняла к сведению отчет, высоко оценив увеличение членского состава МСЭ-D в период с января 2024 года до середины 2025 года, когда МСЭ-D удалось привлечь 67 новых Членов Сектора, Ассоциированных членов и Академических организаций – членов.</w:t>
            </w:r>
          </w:p>
          <w:p w14:paraId="5E667BED" w14:textId="77777777" w:rsidR="00667812" w:rsidRPr="00500A19" w:rsidRDefault="00667812" w:rsidP="00A05A39">
            <w:pPr>
              <w:pStyle w:val="CEONormal"/>
              <w:widowControl w:val="0"/>
              <w:rPr>
                <w:rFonts w:asciiTheme="minorHAnsi" w:hAnsiTheme="minorHAnsi" w:cstheme="minorHAnsi"/>
                <w:sz w:val="22"/>
                <w:szCs w:val="22"/>
                <w:lang w:val="ru-RU"/>
              </w:rPr>
            </w:pPr>
            <w:r w:rsidRPr="00500A19">
              <w:rPr>
                <w:rFonts w:asciiTheme="minorHAnsi" w:hAnsiTheme="minorHAnsi" w:cstheme="minorHAnsi"/>
                <w:color w:val="000000"/>
                <w:sz w:val="22"/>
                <w:szCs w:val="22"/>
                <w:lang w:val="ru-RU"/>
              </w:rPr>
              <w:t xml:space="preserve">КГРЭ также приняла к сведению Документы </w:t>
            </w:r>
            <w:hyperlink r:id="rId32">
              <w:r w:rsidRPr="00500A19">
                <w:rPr>
                  <w:rStyle w:val="Hyperlink"/>
                  <w:rFonts w:asciiTheme="minorHAnsi" w:hAnsiTheme="minorHAnsi" w:cstheme="minorHAnsi"/>
                  <w:sz w:val="22"/>
                  <w:szCs w:val="22"/>
                  <w:lang w:val="ru-RU"/>
                </w:rPr>
                <w:t>INF/1</w:t>
              </w:r>
            </w:hyperlink>
            <w:r w:rsidRPr="00500A19">
              <w:rPr>
                <w:rFonts w:asciiTheme="minorHAnsi" w:hAnsiTheme="minorHAnsi" w:cstheme="minorHAnsi"/>
                <w:sz w:val="22"/>
                <w:szCs w:val="22"/>
                <w:lang w:val="ru-RU"/>
              </w:rPr>
              <w:t xml:space="preserve"> и </w:t>
            </w:r>
            <w:hyperlink r:id="rId33">
              <w:r w:rsidRPr="00500A19">
                <w:rPr>
                  <w:rStyle w:val="Hyperlink"/>
                  <w:rFonts w:asciiTheme="minorHAnsi" w:hAnsiTheme="minorHAnsi" w:cstheme="minorHAnsi"/>
                  <w:sz w:val="22"/>
                  <w:szCs w:val="22"/>
                  <w:lang w:val="ru-RU"/>
                </w:rPr>
                <w:t>INF/2</w:t>
              </w:r>
            </w:hyperlink>
            <w:r w:rsidRPr="00500A19">
              <w:rPr>
                <w:rFonts w:asciiTheme="minorHAnsi" w:hAnsiTheme="minorHAnsi" w:cstheme="minorHAnsi"/>
                <w:color w:val="000000"/>
                <w:sz w:val="22"/>
                <w:szCs w:val="22"/>
                <w:lang w:val="ru-RU"/>
              </w:rPr>
              <w:t>, дополняющие Документ 8, которые посвящены членскому составу МСЭ-D и описанию возможностей участия в деятельности Сектора для Академических организаций.</w:t>
            </w:r>
          </w:p>
        </w:tc>
      </w:tr>
    </w:tbl>
    <w:p w14:paraId="370C96E5" w14:textId="2E990FDD"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34">
        <w:r w:rsidRPr="00500A19">
          <w:rPr>
            <w:rStyle w:val="Hyperlink"/>
            <w:rFonts w:cstheme="minorHAnsi"/>
            <w:bCs/>
            <w:szCs w:val="22"/>
            <w:lang w:val="ru-RU"/>
          </w:rPr>
          <w:t>9</w:t>
        </w:r>
      </w:hyperlink>
      <w:r w:rsidRPr="00500A19">
        <w:rPr>
          <w:lang w:val="ru-RU"/>
        </w:rPr>
        <w:t xml:space="preserve"> (Директор БРЭ) </w:t>
      </w:r>
      <w:r w:rsidR="004141BA" w:rsidRPr="00500A19">
        <w:rPr>
          <w:lang w:val="ru-RU"/>
        </w:rPr>
        <w:sym w:font="Symbol" w:char="F02D"/>
      </w:r>
      <w:r w:rsidRPr="00500A19">
        <w:rPr>
          <w:lang w:val="ru-RU"/>
        </w:rPr>
        <w:t xml:space="preserve"> Партнерские отношения и мобилизация ресурсов в МСЭ-D</w:t>
      </w:r>
    </w:p>
    <w:p w14:paraId="79059180" w14:textId="71895498" w:rsidR="00667812" w:rsidRPr="00500A19" w:rsidRDefault="00667812" w:rsidP="00667812">
      <w:pPr>
        <w:spacing w:after="120"/>
      </w:pPr>
      <w:r w:rsidRPr="00500A19">
        <w:t>Секретариат БРЭ сообщил в Документе 9, что в 2024 году было подписано 89 соглашений на общую сумму 33,8 млн. долларов США. В период с января по апрель 2025 года было подписано 24</w:t>
      </w:r>
      <w:r w:rsidR="004141BA" w:rsidRPr="00500A19">
        <w:t> </w:t>
      </w:r>
      <w:r w:rsidRPr="00500A19">
        <w:t>соглашения на сумму 1,5 млн. долларов США. Секретариат изложил стратегию, направленную на поддержание отношений с существующими партнерами, сотрудничество с учреждениями ООН и установление контактов с новыми потенциальными партнерами. Председатель отметила, что члены КГРЭ в целом поддерживают совершенствование управления, и призвала команду продолжить эту работу в рамках подготовки к ВКРЭ-25.</w:t>
      </w:r>
    </w:p>
    <w:tbl>
      <w:tblPr>
        <w:tblStyle w:val="TableGrid"/>
        <w:tblW w:w="0" w:type="auto"/>
        <w:tblLayout w:type="fixed"/>
        <w:tblLook w:val="04A0" w:firstRow="1" w:lastRow="0" w:firstColumn="1" w:lastColumn="0" w:noHBand="0" w:noVBand="1"/>
      </w:tblPr>
      <w:tblGrid>
        <w:gridCol w:w="9629"/>
      </w:tblGrid>
      <w:tr w:rsidR="00667812" w:rsidRPr="00500A19" w14:paraId="0BAB4A7E" w14:textId="77777777" w:rsidTr="6215BC2C">
        <w:tc>
          <w:tcPr>
            <w:tcW w:w="9629" w:type="dxa"/>
          </w:tcPr>
          <w:p w14:paraId="65ABD22F" w14:textId="77777777" w:rsidR="00667812" w:rsidRPr="00500A19" w:rsidRDefault="00667812" w:rsidP="00A05A39">
            <w:pPr>
              <w:widowControl w:val="0"/>
              <w:spacing w:after="120"/>
              <w:rPr>
                <w:rFonts w:cstheme="minorHAnsi"/>
                <w:szCs w:val="22"/>
              </w:rPr>
            </w:pPr>
            <w:r w:rsidRPr="00500A19">
              <w:rPr>
                <w:rFonts w:cstheme="minorHAnsi"/>
                <w:color w:val="000000"/>
                <w:szCs w:val="22"/>
              </w:rPr>
              <w:t>КГРЭ приняла к сведению этот отчет, дав ему высокую оценку и признав важность партнерских отношений со всеми заинтересованными сторонами и мобилизации ресурсов для осуществления программ и инициатив ВКРЭ.</w:t>
            </w:r>
          </w:p>
        </w:tc>
      </w:tr>
    </w:tbl>
    <w:p w14:paraId="45556916" w14:textId="11E0EE35"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35">
        <w:r w:rsidRPr="00500A19">
          <w:rPr>
            <w:rStyle w:val="Hyperlink"/>
            <w:rFonts w:cstheme="minorHAnsi"/>
            <w:bCs/>
            <w:szCs w:val="22"/>
            <w:lang w:val="ru-RU"/>
          </w:rPr>
          <w:t>10</w:t>
        </w:r>
      </w:hyperlink>
      <w:r w:rsidRPr="00500A19">
        <w:rPr>
          <w:lang w:val="ru-RU"/>
        </w:rPr>
        <w:t xml:space="preserve"> (Директор БРЭ) </w:t>
      </w:r>
      <w:r w:rsidR="004141BA" w:rsidRPr="00500A19">
        <w:rPr>
          <w:lang w:val="ru-RU"/>
        </w:rPr>
        <w:sym w:font="Symbol" w:char="F02D"/>
      </w:r>
      <w:r w:rsidRPr="00500A19">
        <w:rPr>
          <w:lang w:val="ru-RU"/>
        </w:rPr>
        <w:t xml:space="preserve"> Альянс инноваций и предпринимательства для целей цифрового развития</w:t>
      </w:r>
    </w:p>
    <w:p w14:paraId="78AD5C5C" w14:textId="34F84C2D" w:rsidR="00667812" w:rsidRPr="00500A19" w:rsidRDefault="00667812" w:rsidP="00667812">
      <w:r w:rsidRPr="00500A19">
        <w:t xml:space="preserve">Секретариат представил Документ 10, в котором описан процесс превращения Альянса инноваций и предпринимательства для целей цифрового развития в структурированную платформу, содействующую реализации Кигалийского плана действий посредством работы </w:t>
      </w:r>
      <w:r w:rsidRPr="00500A19">
        <w:lastRenderedPageBreak/>
        <w:t>трех</w:t>
      </w:r>
      <w:r w:rsidR="00D8197B" w:rsidRPr="00500A19">
        <w:t> </w:t>
      </w:r>
      <w:r w:rsidRPr="00500A19">
        <w:t>взаимодополняющих механизмов – Исполнительного совета по цифровым инновациям, растущей сети национальных и региональных центров ускорения, а также Лаборатории цифровой трансформации. После предыдущего собрания КГРЭ Исполнительный совет одобрил план работы на 2024–2026 годы, в соответствии с которым будет опубликована серия отчетов о прогнозах для директивных органов и создана экосистема глобального партнерства; в первую группу участников этой инициативы вошли еще два центра ускорения, открытых в Южно-Африканской Республике и Саудовской Аравии; Лаборатория, финансируемая Министерством внутренних дел и связи Японии, приступила к подготовке оперативных руководств и апробации модели бизнес-акселераторов в Черногории и Китае для систематизации поддержки инноваций в регионах МСЭ-D.</w:t>
      </w:r>
    </w:p>
    <w:p w14:paraId="2DBD40CA" w14:textId="2CCD0EB7" w:rsidR="00667812" w:rsidRPr="00500A19" w:rsidRDefault="00667812" w:rsidP="00667812">
      <w:pPr>
        <w:rPr>
          <w:rFonts w:eastAsia="Calibri"/>
        </w:rPr>
      </w:pPr>
      <w:r w:rsidRPr="00500A19">
        <w:t>В ходе последовавшего обмена мнениями было сообщено, что недавно два учреждения получили статус центров ускорения, и Бюро настоятельно рекомендовало активизировать сотрудничество между центрами. Поступили вопросы о том, каким образом центры оказывают конкретное воздействие на местах, и были даны разъяснения, согласно которым, хотя процессы утверждения на национальном уровне могут замедлить начало работы новых центров, уже созданные центры обеспечивают предпринимателей приемлемыми в ценовом отношении вычислительными мощностями, профессиональной подготовкой и доступом к финансированию, а кроме того, были приведены примеры привлечения значительных инвестиций. Прозвучали призывы к установлению более тесных отношений между созданными раньше и более новыми центрами.</w:t>
      </w:r>
    </w:p>
    <w:p w14:paraId="506B5987" w14:textId="0C261A56" w:rsidR="00667812" w:rsidRPr="00500A19" w:rsidRDefault="00667812" w:rsidP="00667812">
      <w:pPr>
        <w:spacing w:after="120"/>
        <w:rPr>
          <w:rFonts w:eastAsia="Calibri"/>
        </w:rPr>
      </w:pPr>
      <w:r w:rsidRPr="00500A19">
        <w:t>Председатель заключила, что члены в целом одобряют системный подход Альянса, отметила его первые результаты и выразила надежду на разработку стратегии расширения после завершения ведущейся оценки эффективности работы центров ускорения.</w:t>
      </w:r>
    </w:p>
    <w:tbl>
      <w:tblPr>
        <w:tblStyle w:val="TableGrid"/>
        <w:tblW w:w="0" w:type="auto"/>
        <w:tblLayout w:type="fixed"/>
        <w:tblLook w:val="04A0" w:firstRow="1" w:lastRow="0" w:firstColumn="1" w:lastColumn="0" w:noHBand="0" w:noVBand="1"/>
      </w:tblPr>
      <w:tblGrid>
        <w:gridCol w:w="9629"/>
      </w:tblGrid>
      <w:tr w:rsidR="00667812" w:rsidRPr="00500A19" w14:paraId="2B0EF5F0" w14:textId="77777777" w:rsidTr="45F85149">
        <w:tc>
          <w:tcPr>
            <w:tcW w:w="9629" w:type="dxa"/>
          </w:tcPr>
          <w:p w14:paraId="41566935" w14:textId="6C0A492A" w:rsidR="00667812" w:rsidRPr="00500A19" w:rsidRDefault="00667812" w:rsidP="00A05A39">
            <w:pPr>
              <w:pStyle w:val="CEONormal"/>
              <w:widowControl w:val="0"/>
              <w:rPr>
                <w:rFonts w:asciiTheme="minorHAnsi" w:hAnsiTheme="minorHAnsi" w:cstheme="minorHAnsi"/>
                <w:sz w:val="22"/>
                <w:szCs w:val="22"/>
                <w:lang w:val="ru-RU"/>
              </w:rPr>
            </w:pPr>
            <w:r w:rsidRPr="00500A19">
              <w:rPr>
                <w:rFonts w:asciiTheme="minorHAnsi" w:hAnsiTheme="minorHAnsi" w:cstheme="minorHAnsi"/>
                <w:color w:val="000000"/>
                <w:sz w:val="22"/>
                <w:szCs w:val="22"/>
                <w:lang w:val="ru-RU"/>
              </w:rPr>
              <w:t>КГРЭ приняла отчет к сведению и поддержала системный подход и первые результаты. Детальная стратегия расширения ожидается после завершения ведущейся оценки эффективности работы центров ускорения.</w:t>
            </w:r>
          </w:p>
        </w:tc>
      </w:tr>
    </w:tbl>
    <w:p w14:paraId="77FDD04D" w14:textId="155E7618"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36">
        <w:r w:rsidRPr="00500A19">
          <w:rPr>
            <w:rStyle w:val="Hyperlink"/>
            <w:rFonts w:cstheme="minorHAnsi"/>
            <w:bCs/>
            <w:szCs w:val="22"/>
            <w:lang w:val="ru-RU"/>
          </w:rPr>
          <w:t>49</w:t>
        </w:r>
      </w:hyperlink>
      <w:r w:rsidRPr="00500A19">
        <w:rPr>
          <w:lang w:val="ru-RU"/>
        </w:rPr>
        <w:t xml:space="preserve"> (Китайская Народная Республика) </w:t>
      </w:r>
      <w:r w:rsidR="004141BA" w:rsidRPr="00500A19">
        <w:rPr>
          <w:lang w:val="ru-RU"/>
        </w:rPr>
        <w:sym w:font="Symbol" w:char="F02D"/>
      </w:r>
      <w:r w:rsidRPr="00500A19">
        <w:rPr>
          <w:lang w:val="ru-RU"/>
        </w:rPr>
        <w:t xml:space="preserve"> Предложения о поощрении соответствующих организаций к активному участию в работе МСЭ-D в качестве Членов Сектора</w:t>
      </w:r>
    </w:p>
    <w:p w14:paraId="5F2D0B30" w14:textId="088C5F06" w:rsidR="00667812" w:rsidRPr="00500A19" w:rsidRDefault="00667812" w:rsidP="00667812">
      <w:r w:rsidRPr="00500A19">
        <w:t>В данном вкладе содержатся предложения о поощрении соответствующих организаций к активному участию в работе МСЭ-D в качестве Членов Сектора. Китай активно содействует членству национальных организаций из сектора информационно-коммуникационных технологий в МСЭ, что положительно влияет на рост доходов МСЭ и инновационный характер его деятельности. В общей сложности 124 китайских организации присоединились к МСЭ в качестве Членов Секторов, Ассоциированных членов и Академических организаций – членов, а сумма ежегодных членских взносов превысила 2,15 млн. швейцарских франков. В 2024 и 2025 годах ряд китайских организаций подали заявки на членство в МСЭ-D.</w:t>
      </w:r>
    </w:p>
    <w:p w14:paraId="5E131BF5" w14:textId="77777777" w:rsidR="00667812" w:rsidRPr="00500A19" w:rsidRDefault="00667812" w:rsidP="00667812">
      <w:r w:rsidRPr="00500A19">
        <w:t>Для дальнейшего поощрения организаций из Государств-Членов к получению статуса Члена или Ассоциированного члена Сектора МСЭ-D и активного участия в деятельности МСЭ-D были внесены следующие предложения: a) проводить региональные учебные занятия по созданию потенциала для членов, прежде всего новых; b) настоятельно рекомендовать секретариату МСЭ-D в полной мере использовать потенциальные возможности собраний МСЭ-D высокого уровня и собраний исследовательских комиссий, а также других крупных мероприятий путем организации семинаров/семинаров-практикумов, сопутствующих мероприятий, выставок и мероприятий в других форматах; c) укреплять взаимодействие между МСЭ-D и членами всех типов, обеспечивая полномасштабный учет их интересов и потребностей, в особенности потребностей Членов Сектора; d) поощрять включение большего числа цифровых технологий, решений и примеров передового опыта Членов Сектора и соответствующих организаций в намеченные результаты деятельности исследовательских комиссий для повышения практической ценности итоговых документов исследовательских комиссий.</w:t>
      </w:r>
    </w:p>
    <w:tbl>
      <w:tblPr>
        <w:tblStyle w:val="TableGrid"/>
        <w:tblW w:w="0" w:type="auto"/>
        <w:tblLayout w:type="fixed"/>
        <w:tblLook w:val="04A0" w:firstRow="1" w:lastRow="0" w:firstColumn="1" w:lastColumn="0" w:noHBand="0" w:noVBand="1"/>
      </w:tblPr>
      <w:tblGrid>
        <w:gridCol w:w="9629"/>
      </w:tblGrid>
      <w:tr w:rsidR="00667812" w:rsidRPr="00500A19" w14:paraId="7840A7D0" w14:textId="77777777" w:rsidTr="45F85149">
        <w:tc>
          <w:tcPr>
            <w:tcW w:w="9629" w:type="dxa"/>
          </w:tcPr>
          <w:p w14:paraId="1E2478F2" w14:textId="77777777" w:rsidR="00667812" w:rsidRPr="00500A19" w:rsidRDefault="00667812" w:rsidP="00A05A39">
            <w:pPr>
              <w:pStyle w:val="CEONormal"/>
              <w:widowControl w:val="0"/>
              <w:rPr>
                <w:rFonts w:asciiTheme="minorHAnsi" w:hAnsiTheme="minorHAnsi" w:cstheme="minorHAnsi"/>
                <w:sz w:val="22"/>
                <w:szCs w:val="22"/>
                <w:lang w:val="ru-RU"/>
              </w:rPr>
            </w:pPr>
            <w:r w:rsidRPr="00500A19">
              <w:rPr>
                <w:rFonts w:asciiTheme="minorHAnsi" w:hAnsiTheme="minorHAnsi" w:cstheme="minorHAnsi"/>
                <w:color w:val="000000"/>
                <w:sz w:val="22"/>
                <w:szCs w:val="22"/>
                <w:lang w:val="ru-RU"/>
              </w:rPr>
              <w:lastRenderedPageBreak/>
              <w:t>КГРЭ приняла вклад к сведению и высоко оценила предложения о поощрении соответствующих организаций к активному участию в деятельности МСЭ-D и присоединению в качестве Членов Сектора или Ассоциированных членов.</w:t>
            </w:r>
          </w:p>
        </w:tc>
      </w:tr>
    </w:tbl>
    <w:p w14:paraId="6372D6D7" w14:textId="68995CF5"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37">
        <w:r w:rsidRPr="00500A19">
          <w:rPr>
            <w:rStyle w:val="Hyperlink"/>
            <w:rFonts w:cstheme="minorHAnsi"/>
            <w:bCs/>
            <w:szCs w:val="22"/>
            <w:lang w:val="ru-RU"/>
          </w:rPr>
          <w:t>50</w:t>
        </w:r>
      </w:hyperlink>
      <w:r w:rsidRPr="00500A19">
        <w:rPr>
          <w:lang w:val="ru-RU"/>
        </w:rPr>
        <w:t xml:space="preserve"> (Китайский сетевой информационный центр интернета) </w:t>
      </w:r>
      <w:r w:rsidR="004141BA" w:rsidRPr="00500A19">
        <w:rPr>
          <w:lang w:val="ru-RU"/>
        </w:rPr>
        <w:sym w:font="Symbol" w:char="F02D"/>
      </w:r>
      <w:r w:rsidRPr="00500A19">
        <w:rPr>
          <w:lang w:val="ru-RU"/>
        </w:rPr>
        <w:t xml:space="preserve"> Представление нового Члена Сектора и рассмотрение его участия в работе МСЭ-D</w:t>
      </w:r>
    </w:p>
    <w:p w14:paraId="47A8CEBF" w14:textId="77777777" w:rsidR="00667812" w:rsidRPr="00500A19" w:rsidRDefault="00667812" w:rsidP="00667812">
      <w:pPr>
        <w:spacing w:after="120"/>
      </w:pPr>
      <w:r w:rsidRPr="00500A19">
        <w:t xml:space="preserve">Документ посвящен новому Члену Сектора МСЭ-D (с апреля 2025 г.) – Китайскому сетевому информационному центру интернета (CNNIC), который является научно-исследовательским учреждением, непосредственно подведомственным Министерству промышленности и информационных технологий (MIIT) Китая, и выполняет функции Национального сетевого информационного центра интернета. CNNIC отвечает за управление развитием национальных базовых ресурсов интернета, функционирование и безопасность национальной инфраструктуры интернета, исследование и разработку ключевых технологий базовых ресурсов интернета, исследования в области развития интернета и цифровой экономики, а также за глобальное управление интернетом и международное сотрудничество. В последние годы CNNIC активно участвовал в соответствующих собраниях МСЭ, осуществлял содержательный обмен опытом и проводил исследования показателей ИКТ. CNNIC будет участвовать в исследованиях МСЭ-D по вопросам цифровых технологий и другим связанным с ними вопросам и неизменно содействовать созданию инклюзивной и взаимовыгодной глобальной цифровой среды посредством обмена опытом, популяризации технологий и </w:t>
      </w:r>
      <w:proofErr w:type="gramStart"/>
      <w:r w:rsidRPr="00500A19">
        <w:t>взаимовыгодного сотрудничества</w:t>
      </w:r>
      <w:proofErr w:type="gramEnd"/>
      <w:r w:rsidRPr="00500A19">
        <w:t>.</w:t>
      </w:r>
    </w:p>
    <w:tbl>
      <w:tblPr>
        <w:tblStyle w:val="TableGrid"/>
        <w:tblW w:w="0" w:type="auto"/>
        <w:tblLayout w:type="fixed"/>
        <w:tblLook w:val="04A0" w:firstRow="1" w:lastRow="0" w:firstColumn="1" w:lastColumn="0" w:noHBand="0" w:noVBand="1"/>
      </w:tblPr>
      <w:tblGrid>
        <w:gridCol w:w="9629"/>
      </w:tblGrid>
      <w:tr w:rsidR="00667812" w:rsidRPr="00500A19" w14:paraId="360CDDA2" w14:textId="77777777" w:rsidTr="45F85149">
        <w:tc>
          <w:tcPr>
            <w:tcW w:w="9629" w:type="dxa"/>
          </w:tcPr>
          <w:p w14:paraId="32104AA8" w14:textId="77777777" w:rsidR="00667812" w:rsidRPr="00500A19" w:rsidRDefault="00667812" w:rsidP="00A05A39">
            <w:pPr>
              <w:pStyle w:val="CEONormal"/>
              <w:widowControl w:val="0"/>
              <w:rPr>
                <w:rFonts w:asciiTheme="minorHAnsi" w:hAnsiTheme="minorHAnsi" w:cstheme="minorHAnsi"/>
                <w:color w:val="000000" w:themeColor="text1"/>
                <w:sz w:val="22"/>
                <w:szCs w:val="22"/>
                <w:lang w:val="ru-RU"/>
              </w:rPr>
            </w:pPr>
            <w:r w:rsidRPr="00500A19">
              <w:rPr>
                <w:rFonts w:asciiTheme="minorHAnsi" w:hAnsiTheme="minorHAnsi" w:cstheme="minorHAnsi"/>
                <w:color w:val="000000"/>
                <w:sz w:val="22"/>
                <w:szCs w:val="22"/>
                <w:lang w:val="ru-RU"/>
              </w:rPr>
              <w:t>КГРЭ приняла к сведению вклад, в котором представлен новый Член Сектора – Китайский сетевой информационный центр интернета (CNNIC), а также описаны его роль и деятельность. КГРЭ настоятельно рекомендовала всем новым членам, вступающим в МСЭ-D, следовать этому примеру и представлять отчеты о своей деятельности в качестве Членов Сектора в дальнейшем на собраниях КГРЭ.</w:t>
            </w:r>
          </w:p>
        </w:tc>
      </w:tr>
    </w:tbl>
    <w:p w14:paraId="269F5816" w14:textId="56312D23"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38">
        <w:r w:rsidRPr="00500A19">
          <w:rPr>
            <w:rStyle w:val="Hyperlink"/>
            <w:rFonts w:cstheme="minorHAnsi"/>
            <w:bCs/>
            <w:szCs w:val="22"/>
            <w:lang w:val="ru-RU"/>
          </w:rPr>
          <w:t>51</w:t>
        </w:r>
      </w:hyperlink>
      <w:r w:rsidRPr="00500A19">
        <w:rPr>
          <w:lang w:val="ru-RU"/>
        </w:rPr>
        <w:t xml:space="preserve"> (Китайская Народная Республика) </w:t>
      </w:r>
      <w:r w:rsidR="004141BA" w:rsidRPr="00500A19">
        <w:rPr>
          <w:lang w:val="ru-RU"/>
        </w:rPr>
        <w:sym w:font="Symbol" w:char="F02D"/>
      </w:r>
      <w:r w:rsidRPr="00500A19">
        <w:rPr>
          <w:lang w:val="ru-RU"/>
        </w:rPr>
        <w:t xml:space="preserve"> Представление нового Члена Сектора и концепция его участия в МСЭ-D</w:t>
      </w:r>
    </w:p>
    <w:p w14:paraId="4A02FB5D" w14:textId="77777777" w:rsidR="00667812" w:rsidRPr="00500A19" w:rsidRDefault="00667812" w:rsidP="00667812">
      <w:pPr>
        <w:spacing w:after="120"/>
      </w:pPr>
      <w:r w:rsidRPr="00500A19">
        <w:t>В этом вкладе представлен новый Член Сектора МСЭ-D (с апреля 2025 г.) – Центр международного экономического и технологического сотрудничества (CIETC), который напрямую связан с Министерством промышленности и информационных технологий (MIIT) Китая и работа которого посвящена двум ключевым направлениям – созданию площадки для международного сотрудничества высокого уровня и выполнению функции специализированного аналитического центра в отрасли и в секторе информационных технологий. Основными обязанностями CIETC являются проведение исследований по вопросам международного экономического, технологического и производственного сотрудничества в области промышленности и информационных технологий, распространение информации о международных обменах и формах взаимодействия, а также оказание поддержки соответствующим инициативам в плане внешнего сотрудничества. CIETC намерен углублять взаимодействие и обмены с другими членами, чтобы вносить вклад в достижение целей Организации Объединенных Наций в области устойчивого развития и реализацию Повестки дня МСЭ "Соединим к 2030 году", сокращая цифровой разрыв и способствуя получению выгод от цифрового развития всеми.</w:t>
      </w:r>
    </w:p>
    <w:tbl>
      <w:tblPr>
        <w:tblStyle w:val="TableGrid"/>
        <w:tblW w:w="0" w:type="auto"/>
        <w:tblLayout w:type="fixed"/>
        <w:tblLook w:val="04A0" w:firstRow="1" w:lastRow="0" w:firstColumn="1" w:lastColumn="0" w:noHBand="0" w:noVBand="1"/>
      </w:tblPr>
      <w:tblGrid>
        <w:gridCol w:w="9629"/>
      </w:tblGrid>
      <w:tr w:rsidR="00667812" w:rsidRPr="00500A19" w14:paraId="03B1F469" w14:textId="77777777" w:rsidTr="6215BC2C">
        <w:trPr>
          <w:trHeight w:val="300"/>
        </w:trPr>
        <w:tc>
          <w:tcPr>
            <w:tcW w:w="9629" w:type="dxa"/>
          </w:tcPr>
          <w:p w14:paraId="6F72018A" w14:textId="77777777" w:rsidR="00667812" w:rsidRPr="00500A19" w:rsidRDefault="00667812" w:rsidP="00A05A39">
            <w:pPr>
              <w:pStyle w:val="CEONormal"/>
              <w:rPr>
                <w:rFonts w:asciiTheme="minorHAnsi" w:hAnsiTheme="minorHAnsi" w:cstheme="minorHAnsi"/>
                <w:sz w:val="22"/>
                <w:szCs w:val="22"/>
                <w:lang w:val="ru-RU"/>
              </w:rPr>
            </w:pPr>
            <w:r w:rsidRPr="00500A19">
              <w:rPr>
                <w:rFonts w:asciiTheme="minorHAnsi" w:hAnsiTheme="minorHAnsi" w:cstheme="minorHAnsi"/>
                <w:color w:val="000000"/>
                <w:sz w:val="22"/>
                <w:szCs w:val="22"/>
                <w:lang w:val="ru-RU"/>
              </w:rPr>
              <w:t>КГРЭ с удовлетворением приняла к сведению вклад, в котором представлен новый Член Сектора – Центр международного экономического и технологического сотрудничества (CIETC), а также описаны его роль и деятельность.</w:t>
            </w:r>
          </w:p>
        </w:tc>
      </w:tr>
    </w:tbl>
    <w:p w14:paraId="5CFA1B90" w14:textId="31224357" w:rsidR="00667812" w:rsidRPr="00500A19" w:rsidRDefault="00667812" w:rsidP="00783A9D">
      <w:pPr>
        <w:pStyle w:val="Headingb"/>
        <w:pageBreakBefore/>
        <w:tabs>
          <w:tab w:val="clear" w:pos="907"/>
        </w:tabs>
        <w:ind w:left="0" w:firstLine="0"/>
        <w:rPr>
          <w:lang w:val="ru-RU"/>
        </w:rPr>
      </w:pPr>
      <w:r w:rsidRPr="00500A19">
        <w:rPr>
          <w:lang w:val="ru-RU"/>
        </w:rPr>
        <w:lastRenderedPageBreak/>
        <w:t xml:space="preserve">Документ </w:t>
      </w:r>
      <w:hyperlink r:id="rId39">
        <w:r w:rsidRPr="00500A19">
          <w:rPr>
            <w:rStyle w:val="Hyperlink"/>
            <w:rFonts w:cstheme="minorHAnsi"/>
            <w:bCs/>
            <w:szCs w:val="22"/>
            <w:lang w:val="ru-RU"/>
          </w:rPr>
          <w:t>52</w:t>
        </w:r>
      </w:hyperlink>
      <w:r w:rsidRPr="00500A19">
        <w:rPr>
          <w:lang w:val="ru-RU"/>
        </w:rPr>
        <w:t xml:space="preserve"> (Китайская Народная Республика) </w:t>
      </w:r>
      <w:r w:rsidR="004141BA" w:rsidRPr="00500A19">
        <w:rPr>
          <w:lang w:val="ru-RU"/>
        </w:rPr>
        <w:sym w:font="Symbol" w:char="F02D"/>
      </w:r>
      <w:r w:rsidRPr="00500A19">
        <w:rPr>
          <w:lang w:val="ru-RU"/>
        </w:rPr>
        <w:t xml:space="preserve"> Краткая вводная информация о CAICT и соображения относительно ее участия в работе МСЭ-D</w:t>
      </w:r>
    </w:p>
    <w:p w14:paraId="02003EBB" w14:textId="348F30F8" w:rsidR="00667812" w:rsidRPr="00500A19" w:rsidRDefault="00667812" w:rsidP="00667812">
      <w:r w:rsidRPr="00500A19">
        <w:t>В этом вкладе содержится представление нового Члена Сектора МСЭ-D – Китайской академии информационно-коммуникационных технологий (CAICT), аналитического центра и научно-исследовательского института, находящегося в непосредственном подчинении Министерства промышленности и информационных технологий (MIIT) Китая. Широкий спектр деятельности CAICT, в который входят исследования по вопросам политики, разработка стандартов, тестирование и проверка, а также отраслевые консультации, свидетельствует о приверженности продвижению инноваций в области ИКТ, содействию цифровой трансформации в экономике и обществе, особенно в промышленном секторе, а также обеспечению безопасности сетей и данных. Академия играет активную роль в разработке соответствующей политики, законодательства и стандартов, а также в промышленном прогрессе Китая. CAICT создала систему тестирования и сертификации мирового уровня и имеет многочисленные международные квалификации. Будучи одним из наиболее активных в международной сфере научно-исследовательских институтов Китая, она имеет долгосрочные партнерские отношения с глобальными аналитическими центрами, органами по стандартизации, отраслевыми организациями и транснациональными корпорациями.</w:t>
      </w:r>
    </w:p>
    <w:p w14:paraId="5E73301F" w14:textId="77777777" w:rsidR="00667812" w:rsidRPr="00500A19" w:rsidRDefault="00667812" w:rsidP="00667812">
      <w:pPr>
        <w:spacing w:after="120"/>
      </w:pPr>
      <w:r w:rsidRPr="00500A19">
        <w:t>На протяжении многих лет CAICT активно участвует в работе МСЭ-D. Она является одновременно и центром профессионального мастерства Академии МСЭ, и центром ускорения МСЭ Альянса инноваций и предпринимательства для целей цифрового развития. В будущем она имеет целью дальнейшее углубление сотрудничества с МСЭ-D в таких областях, как создание потенциала, инновации и предпринимательство, цифровая трансформация, а также развитие возникающих технологий при активном содействии выполнению мандата МСЭ-D и достижению целей Организации Объединенных Наций в области устойчивого развития.</w:t>
      </w:r>
    </w:p>
    <w:tbl>
      <w:tblPr>
        <w:tblStyle w:val="TableGrid"/>
        <w:tblW w:w="0" w:type="auto"/>
        <w:tblLayout w:type="fixed"/>
        <w:tblLook w:val="04A0" w:firstRow="1" w:lastRow="0" w:firstColumn="1" w:lastColumn="0" w:noHBand="0" w:noVBand="1"/>
      </w:tblPr>
      <w:tblGrid>
        <w:gridCol w:w="9629"/>
      </w:tblGrid>
      <w:tr w:rsidR="00667812" w:rsidRPr="00500A19" w14:paraId="105C90A0" w14:textId="77777777" w:rsidTr="6215BC2C">
        <w:tc>
          <w:tcPr>
            <w:tcW w:w="9629" w:type="dxa"/>
          </w:tcPr>
          <w:p w14:paraId="040A0B35" w14:textId="77777777" w:rsidR="00667812" w:rsidRPr="00500A19" w:rsidRDefault="00667812" w:rsidP="00A05A39">
            <w:pPr>
              <w:pStyle w:val="CEONormal"/>
              <w:widowControl w:val="0"/>
              <w:rPr>
                <w:rFonts w:asciiTheme="minorHAnsi" w:hAnsiTheme="minorHAnsi" w:cstheme="minorHAnsi"/>
                <w:sz w:val="22"/>
                <w:szCs w:val="22"/>
                <w:lang w:val="ru-RU"/>
              </w:rPr>
            </w:pPr>
            <w:r w:rsidRPr="00500A19">
              <w:rPr>
                <w:rFonts w:asciiTheme="minorHAnsi" w:hAnsiTheme="minorHAnsi" w:cstheme="minorHAnsi"/>
                <w:color w:val="000000"/>
                <w:sz w:val="22"/>
                <w:szCs w:val="22"/>
                <w:lang w:val="ru-RU"/>
              </w:rPr>
              <w:t>КГРЭ с удовлетворением приняла к сведению вклад, в котором представлен новый Член Сектора – Китайская академия информационно-коммуникационных технологий (CAICT), а также описаны его роль и деятельность.</w:t>
            </w:r>
          </w:p>
        </w:tc>
      </w:tr>
    </w:tbl>
    <w:p w14:paraId="4A250F95" w14:textId="54FBC387" w:rsidR="00667812" w:rsidRPr="00500A19" w:rsidRDefault="00667812" w:rsidP="00667812">
      <w:pPr>
        <w:pStyle w:val="Heading2"/>
      </w:pPr>
      <w:r w:rsidRPr="00500A19">
        <w:t>6.6</w:t>
      </w:r>
      <w:r w:rsidRPr="00500A19">
        <w:tab/>
        <w:t>Отчет председателя Группы по инициативам в области создания потенциала (ГИСП)</w:t>
      </w:r>
    </w:p>
    <w:p w14:paraId="0AD3AF95" w14:textId="277DFA1F"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40">
        <w:r w:rsidRPr="00500A19">
          <w:rPr>
            <w:rStyle w:val="Hyperlink"/>
            <w:rFonts w:cstheme="minorHAnsi"/>
            <w:bCs/>
            <w:szCs w:val="22"/>
            <w:lang w:val="ru-RU"/>
          </w:rPr>
          <w:t>11</w:t>
        </w:r>
      </w:hyperlink>
      <w:r w:rsidRPr="00500A19">
        <w:rPr>
          <w:lang w:val="ru-RU"/>
        </w:rPr>
        <w:t xml:space="preserve"> (Председатель ГИСП) </w:t>
      </w:r>
      <w:r w:rsidR="004141BA" w:rsidRPr="00500A19">
        <w:rPr>
          <w:lang w:val="ru-RU"/>
        </w:rPr>
        <w:sym w:font="Symbol" w:char="F02D"/>
      </w:r>
      <w:r w:rsidRPr="00500A19">
        <w:rPr>
          <w:lang w:val="ru-RU"/>
        </w:rPr>
        <w:t xml:space="preserve"> Отчет о работе Группы по инициативам в области создания потенциала (ГИСП) для КГРЭ</w:t>
      </w:r>
    </w:p>
    <w:p w14:paraId="7603A28B" w14:textId="0F3893D7" w:rsidR="00667812" w:rsidRPr="00500A19" w:rsidRDefault="00667812" w:rsidP="00667812">
      <w:pPr>
        <w:spacing w:after="120"/>
        <w:rPr>
          <w:b/>
          <w:bCs/>
        </w:rPr>
      </w:pPr>
      <w:r w:rsidRPr="00500A19">
        <w:t>Председатель ГИСП представил отчет группы и отметил основные виды деятельности за прошедший год. Эта группа была создана во исполнение Резолюции 40, принятой на Всемирной конференции по развитию электросвязи 2010 года (ВКРЭ-10) и пересмотренной на ВКРЭ-22, с полномочиями консультировать Директора БРЭ по вопросам, связанным с созданием потенциала. На протяжении года члены ГИСП активно участвовали в рассмотрении Комплекта материалов МСЭ по цифровым навыкам и консультациях по нему, чем внесли ценный вклад в его структуру и содержание. Группа</w:t>
      </w:r>
      <w:r w:rsidR="004141BA" w:rsidRPr="00500A19">
        <w:t> </w:t>
      </w:r>
      <w:r w:rsidRPr="00500A19">
        <w:t>также участвовала в разработке вопросника по оценке потребностей в профессиональной подготовке (TNA), выдвигая предложения, касающиеся определения приоритетных для Государств</w:t>
      </w:r>
      <w:r w:rsidR="004141BA" w:rsidRPr="00500A19">
        <w:t>­</w:t>
      </w:r>
      <w:r w:rsidRPr="00500A19">
        <w:t xml:space="preserve">Членов направлений в области развития потенциала. Кроме того, члены МСЭ провели кабинетное исследование для сбора информации о национальных стратегиях развития цифровых навыков в своих регионах. На последнем ежегодном собрании, состоявшемся в апреле 2025 года, группа рассмотрела итоговые документы по этой деятельности и направила предложения по разработке нового учебного курса для делегатов МСЭ-D. Группа вновь заявила о своей решительной поддержке БРЭ в его работе по развитию потенциала. Члены КГРЭ дали высокую оценку работе Председателя и деятельности группы. Государства-Члены подчеркнули важность деятельности БРЭ по развитию потенциала и высоко оценили работу Академии МСЭ. Они приветствовали инициативу по развитию потенциала делегатов в плане понимания деятельности и мероприятий МСЭ-D (например, ВКРЭ-25) и участия в них. Дополнительные предложения включали изучение </w:t>
      </w:r>
      <w:r w:rsidRPr="00500A19">
        <w:lastRenderedPageBreak/>
        <w:t>возможностей синергии и сотрудничества между ГИСП и 2-й Исследовательской комиссией, особенно по Вопросу 5/2, который посвящен цифровым навыкам. Секретариат приветствовал эти предложения, которые будут приняты во внимание в координации с ГИСП, исследовательскими комиссиями МСЭ-D, РОЭ и региональными отделениями МСЭ.</w:t>
      </w:r>
    </w:p>
    <w:tbl>
      <w:tblPr>
        <w:tblStyle w:val="TableGrid"/>
        <w:tblW w:w="0" w:type="auto"/>
        <w:tblLayout w:type="fixed"/>
        <w:tblLook w:val="04A0" w:firstRow="1" w:lastRow="0" w:firstColumn="1" w:lastColumn="0" w:noHBand="0" w:noVBand="1"/>
      </w:tblPr>
      <w:tblGrid>
        <w:gridCol w:w="9629"/>
      </w:tblGrid>
      <w:tr w:rsidR="00667812" w:rsidRPr="00500A19" w14:paraId="319A37FC" w14:textId="77777777" w:rsidTr="6215BC2C">
        <w:tc>
          <w:tcPr>
            <w:tcW w:w="9629" w:type="dxa"/>
          </w:tcPr>
          <w:p w14:paraId="047FB047" w14:textId="77777777" w:rsidR="00667812" w:rsidRPr="00500A19" w:rsidRDefault="00667812" w:rsidP="00A05A39">
            <w:pPr>
              <w:widowControl w:val="0"/>
              <w:spacing w:after="120"/>
              <w:rPr>
                <w:rFonts w:cstheme="minorHAnsi"/>
                <w:szCs w:val="22"/>
              </w:rPr>
            </w:pPr>
            <w:r w:rsidRPr="00500A19">
              <w:rPr>
                <w:rFonts w:cstheme="minorHAnsi"/>
                <w:color w:val="000000"/>
                <w:szCs w:val="22"/>
              </w:rPr>
              <w:t>КГРЭ с удовлетворением приняла вклад к сведению.</w:t>
            </w:r>
          </w:p>
        </w:tc>
      </w:tr>
    </w:tbl>
    <w:p w14:paraId="04628E20" w14:textId="4A90481D" w:rsidR="00667812" w:rsidRPr="00500A19" w:rsidRDefault="00667812" w:rsidP="00667812">
      <w:pPr>
        <w:pStyle w:val="Heading1"/>
      </w:pPr>
      <w:r w:rsidRPr="00500A19">
        <w:t>7</w:t>
      </w:r>
      <w:r w:rsidRPr="00500A19">
        <w:tab/>
        <w:t>Подготовка к ВКРЭ-25</w:t>
      </w:r>
    </w:p>
    <w:p w14:paraId="53F3115A" w14:textId="3DCF6B4B" w:rsidR="00667812" w:rsidRPr="00500A19" w:rsidRDefault="00667812" w:rsidP="00667812">
      <w:pPr>
        <w:pStyle w:val="Heading2"/>
      </w:pPr>
      <w:r w:rsidRPr="00500A19">
        <w:t>7.1</w:t>
      </w:r>
      <w:r w:rsidRPr="00500A19">
        <w:tab/>
        <w:t>Обновленные данные по подготовке к ВКРЭ-25</w:t>
      </w:r>
    </w:p>
    <w:p w14:paraId="2EED9E96" w14:textId="2A2C14DC"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41" w:history="1">
        <w:r w:rsidRPr="00500A19">
          <w:rPr>
            <w:rStyle w:val="Hyperlink"/>
            <w:rFonts w:cstheme="minorHAnsi"/>
            <w:bCs/>
            <w:szCs w:val="22"/>
            <w:lang w:val="ru-RU"/>
          </w:rPr>
          <w:t>12(Rev.3) (Приложения 1 и 2)</w:t>
        </w:r>
      </w:hyperlink>
      <w:r w:rsidRPr="00500A19">
        <w:rPr>
          <w:lang w:val="ru-RU"/>
        </w:rPr>
        <w:t xml:space="preserve"> (Директор БРЭ) </w:t>
      </w:r>
      <w:r w:rsidR="004141BA" w:rsidRPr="00500A19">
        <w:rPr>
          <w:lang w:val="ru-RU"/>
        </w:rPr>
        <w:sym w:font="Symbol" w:char="F02D"/>
      </w:r>
      <w:r w:rsidRPr="00500A19">
        <w:rPr>
          <w:lang w:val="ru-RU"/>
        </w:rPr>
        <w:t xml:space="preserve"> Подготовка к Всемирной конференции по развитию электросвязи</w:t>
      </w:r>
    </w:p>
    <w:p w14:paraId="6CE9A1C1" w14:textId="1E7DFA10" w:rsidR="00667812" w:rsidRPr="00500A19" w:rsidRDefault="00667812" w:rsidP="00667812">
      <w:r w:rsidRPr="00500A19">
        <w:t>Секретариат БРЭ представил Документ 12(Rev.3), в котором рассказывается о подготовке к Всемирной конференции по развитию электросвязи (ВКРЭ-25). В презентации подробно описаны материально-технические и организационные мероприятия и подтверждается, что ВКРЭ будет проходить в Баку, Азербайджан, с 17 по 28 ноября 2025 года. Содержится общая информация о месте проведения, процессе регистрации, содействии в получении визы и размещении в гостиницах, а также о сопутствующих мероприятиях.</w:t>
      </w:r>
    </w:p>
    <w:p w14:paraId="59EF4AF8" w14:textId="54C67815" w:rsidR="00667812" w:rsidRPr="00500A19" w:rsidRDefault="00667812" w:rsidP="00667812">
      <w:r w:rsidRPr="00500A19">
        <w:t>Кроме того, секретариат БРЭ уведомил КГРЭ о предлагаемых планах проведения двух межрегиональных собраний (МРС) до ВКРЭ-25: МРС-1 – 14</w:t>
      </w:r>
      <w:r w:rsidR="00691351" w:rsidRPr="00500A19">
        <w:t>­</w:t>
      </w:r>
      <w:r w:rsidRPr="00500A19">
        <w:t>15 июля 2025 года (в виртуальном формате) и МРС-2 – 29</w:t>
      </w:r>
      <w:r w:rsidR="00691351" w:rsidRPr="00500A19">
        <w:t>­</w:t>
      </w:r>
      <w:r w:rsidRPr="00500A19">
        <w:t>30 сентября 2025 года (в виртуальном формате).</w:t>
      </w:r>
    </w:p>
    <w:p w14:paraId="4C1BEEA0" w14:textId="77777777" w:rsidR="00667812" w:rsidRPr="00500A19" w:rsidRDefault="00667812" w:rsidP="00667812">
      <w:r w:rsidRPr="00500A19">
        <w:t>В ходе обсуждения несколько делегаций выразили признательность за четкость подготовительной работы и просили регулярно предоставлять обновленную информацию по официальным каналам.</w:t>
      </w:r>
    </w:p>
    <w:p w14:paraId="669E447E" w14:textId="00F28C44" w:rsidR="00667812" w:rsidRPr="00500A19" w:rsidRDefault="00667812" w:rsidP="00667812">
      <w:pPr>
        <w:rPr>
          <w:rFonts w:eastAsia="Calibri"/>
        </w:rPr>
      </w:pPr>
      <w:r w:rsidRPr="00500A19">
        <w:t>После этой презентации принимающая страна – Азербайджан – сделала собственную презентацию. В</w:t>
      </w:r>
      <w:r w:rsidR="004141BA" w:rsidRPr="00500A19">
        <w:t> </w:t>
      </w:r>
      <w:r w:rsidRPr="00500A19">
        <w:t>своем дистанционном выступлении представитель Азербайджана подчеркнул приверженность страны идее проведения успешного и инклюзивного мероприятия. Он рассказал о вопросах логистики, в том числе об упрощенном порядке получения виз с помощью Портала электронной визы, о наличии большого числа гостиниц более чем с 11 000 доступных для бронирования номеров, об услугах трансфера из аэропорта и бесшовном принципе работы общественного транспорта. Было отмечено, что скидки на проживание и другие услуги будут доступны через специальный веб</w:t>
      </w:r>
      <w:r w:rsidR="004141BA" w:rsidRPr="00500A19">
        <w:t>­</w:t>
      </w:r>
      <w:r w:rsidRPr="00500A19">
        <w:t>сайт ВКРЭ.</w:t>
      </w:r>
    </w:p>
    <w:p w14:paraId="60B683D7" w14:textId="77777777" w:rsidR="00667812" w:rsidRPr="00500A19" w:rsidRDefault="00667812" w:rsidP="00667812">
      <w:pPr>
        <w:spacing w:after="120"/>
      </w:pPr>
      <w:r w:rsidRPr="00500A19">
        <w:t>В завершение презентации представитель Азербайджана показал рекламный видеоролик, который рассказывает о городе Баку, его гостеприимстве, культуре, инфраструктуре и готовности принимать делегатов. Видеоматериал был воспринят положительно и способствовал позитивному тону обсуждения. Делегации дали высокую оценку подготовке в принимающей стране.</w:t>
      </w:r>
    </w:p>
    <w:tbl>
      <w:tblPr>
        <w:tblStyle w:val="TableGrid"/>
        <w:tblW w:w="0" w:type="auto"/>
        <w:tblLayout w:type="fixed"/>
        <w:tblLook w:val="04A0" w:firstRow="1" w:lastRow="0" w:firstColumn="1" w:lastColumn="0" w:noHBand="0" w:noVBand="1"/>
      </w:tblPr>
      <w:tblGrid>
        <w:gridCol w:w="9629"/>
      </w:tblGrid>
      <w:tr w:rsidR="00667812" w:rsidRPr="00500A19" w14:paraId="1ADFC6A0" w14:textId="77777777" w:rsidTr="6215BC2C">
        <w:tc>
          <w:tcPr>
            <w:tcW w:w="9629" w:type="dxa"/>
          </w:tcPr>
          <w:p w14:paraId="54ECC8CA" w14:textId="701705B1" w:rsidR="00667812" w:rsidRPr="00500A19" w:rsidRDefault="00667812" w:rsidP="00A05A39">
            <w:pPr>
              <w:widowControl w:val="0"/>
              <w:spacing w:after="120"/>
              <w:rPr>
                <w:rFonts w:cstheme="minorHAnsi"/>
                <w:szCs w:val="22"/>
              </w:rPr>
            </w:pPr>
            <w:r w:rsidRPr="00500A19">
              <w:rPr>
                <w:rFonts w:cstheme="minorHAnsi"/>
                <w:color w:val="000000"/>
                <w:szCs w:val="22"/>
              </w:rPr>
              <w:t>КГРЭ с удовлетворением приняла отчет к сведению и одобрила проведение двух межрегиональных собраний (МРС): МРС-1 – 14</w:t>
            </w:r>
            <w:r w:rsidR="004141BA" w:rsidRPr="00500A19">
              <w:rPr>
                <w:rFonts w:cstheme="minorHAnsi"/>
                <w:color w:val="000000"/>
                <w:szCs w:val="22"/>
              </w:rPr>
              <w:t>­</w:t>
            </w:r>
            <w:r w:rsidRPr="00500A19">
              <w:rPr>
                <w:rFonts w:cstheme="minorHAnsi"/>
                <w:color w:val="000000"/>
                <w:szCs w:val="22"/>
              </w:rPr>
              <w:t>15 июля 2025 года (в виртуальном формате) и МРС</w:t>
            </w:r>
            <w:r w:rsidR="004141BA" w:rsidRPr="00500A19">
              <w:rPr>
                <w:rFonts w:cstheme="minorHAnsi"/>
                <w:color w:val="000000"/>
                <w:szCs w:val="22"/>
              </w:rPr>
              <w:t>­</w:t>
            </w:r>
            <w:r w:rsidRPr="00500A19">
              <w:rPr>
                <w:rFonts w:cstheme="minorHAnsi"/>
                <w:color w:val="000000"/>
                <w:szCs w:val="22"/>
              </w:rPr>
              <w:t>2 – 29</w:t>
            </w:r>
            <w:r w:rsidR="004141BA" w:rsidRPr="00500A19">
              <w:rPr>
                <w:rFonts w:cstheme="minorHAnsi"/>
                <w:color w:val="000000"/>
                <w:szCs w:val="22"/>
              </w:rPr>
              <w:t>­</w:t>
            </w:r>
            <w:r w:rsidRPr="00500A19">
              <w:rPr>
                <w:rFonts w:cstheme="minorHAnsi"/>
                <w:color w:val="000000"/>
                <w:szCs w:val="22"/>
              </w:rPr>
              <w:t xml:space="preserve">30 сентября 2025 года (в виртуальном формате). Информация и приветственный </w:t>
            </w:r>
            <w:hyperlink r:id="rId42" w:history="1">
              <w:r w:rsidRPr="00500A19">
                <w:rPr>
                  <w:rStyle w:val="Hyperlink"/>
                  <w:rFonts w:cstheme="minorHAnsi"/>
                  <w:szCs w:val="22"/>
                </w:rPr>
                <w:t>видеоролик</w:t>
              </w:r>
            </w:hyperlink>
            <w:r w:rsidRPr="00500A19">
              <w:rPr>
                <w:rFonts w:cstheme="minorHAnsi"/>
                <w:color w:val="000000"/>
                <w:szCs w:val="22"/>
              </w:rPr>
              <w:t xml:space="preserve"> о подготовке к ВКРЭ-25, представленные Азербайджаном, были приняты к сведению и получили положительную оценку КГРЭ.</w:t>
            </w:r>
          </w:p>
        </w:tc>
      </w:tr>
    </w:tbl>
    <w:p w14:paraId="15D3A86B" w14:textId="482734AB"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43">
        <w:r w:rsidRPr="00500A19">
          <w:rPr>
            <w:rStyle w:val="Hyperlink"/>
            <w:rFonts w:cstheme="minorHAnsi"/>
            <w:bCs/>
            <w:szCs w:val="22"/>
            <w:lang w:val="ru-RU"/>
          </w:rPr>
          <w:t>13</w:t>
        </w:r>
      </w:hyperlink>
      <w:r w:rsidRPr="00500A19">
        <w:rPr>
          <w:lang w:val="ru-RU"/>
        </w:rPr>
        <w:t xml:space="preserve"> (Генеральный секретарь) </w:t>
      </w:r>
      <w:r w:rsidR="004141BA" w:rsidRPr="00500A19">
        <w:rPr>
          <w:lang w:val="ru-RU"/>
        </w:rPr>
        <w:sym w:font="Symbol" w:char="F02D"/>
      </w:r>
      <w:r w:rsidRPr="00500A19">
        <w:rPr>
          <w:lang w:val="ru-RU"/>
        </w:rPr>
        <w:t xml:space="preserve"> Проект повестки дня Всемирной конференции по развитию электросвязи (ВКРЭ)</w:t>
      </w:r>
    </w:p>
    <w:p w14:paraId="73F0BE80" w14:textId="77777777" w:rsidR="00667812" w:rsidRPr="00500A19" w:rsidRDefault="00667812" w:rsidP="00667812">
      <w:r w:rsidRPr="00500A19">
        <w:t xml:space="preserve">Секретариат БРЭ представил Документ 13, в котором содержится проект повестки дня Всемирной конференции по развитию электросвязи 2025 года. Повестка дня была утверждена Советом МСЭ в соответствии с Резолюцией 77, и в ней изложены структура и сфера охвата ВКРЭ-25, которую планируется провести с 17 по 28 ноября 2025 года в Баку, Азербайджан. В презентации было </w:t>
      </w:r>
      <w:r w:rsidRPr="00500A19">
        <w:lastRenderedPageBreak/>
        <w:t>отмечено, что повестка дня была составлена таким образом, чтобы обеспечить эффективное использование времени и охват всех ключевых тем, включая стратегическое планирование, региональные инициативы и административные вопросы.</w:t>
      </w:r>
    </w:p>
    <w:p w14:paraId="75C92617" w14:textId="77777777" w:rsidR="00667812" w:rsidRPr="00500A19" w:rsidRDefault="00667812" w:rsidP="00667812">
      <w:pPr>
        <w:spacing w:after="120"/>
      </w:pPr>
      <w:r w:rsidRPr="00500A19">
        <w:t>В ходе обсуждения предложенная повестка дня получила общую поддержку. Один из делегатов предложил добавить в ссылку на Резолюцию 24 (Пересм. Дубай) прямое указание на ВКРЭ, чтобы избежать путаницы с Резолюциями других Секторов МСЭ с тем же номером. Другие делегации не представили замечаний или возражений, и повестка дня была принята к сведению без дополнительных поправок.</w:t>
      </w:r>
    </w:p>
    <w:tbl>
      <w:tblPr>
        <w:tblStyle w:val="TableGrid"/>
        <w:tblW w:w="0" w:type="auto"/>
        <w:tblLayout w:type="fixed"/>
        <w:tblLook w:val="04A0" w:firstRow="1" w:lastRow="0" w:firstColumn="1" w:lastColumn="0" w:noHBand="0" w:noVBand="1"/>
      </w:tblPr>
      <w:tblGrid>
        <w:gridCol w:w="9629"/>
      </w:tblGrid>
      <w:tr w:rsidR="00667812" w:rsidRPr="00500A19" w14:paraId="33612999" w14:textId="77777777" w:rsidTr="6215BC2C">
        <w:tc>
          <w:tcPr>
            <w:tcW w:w="9629" w:type="dxa"/>
          </w:tcPr>
          <w:p w14:paraId="40C72848" w14:textId="2B0CE7D5" w:rsidR="00667812" w:rsidRPr="00500A19" w:rsidRDefault="00667812" w:rsidP="00A05A39">
            <w:pPr>
              <w:widowControl w:val="0"/>
              <w:spacing w:after="120"/>
              <w:rPr>
                <w:rStyle w:val="Hyperlink"/>
                <w:rFonts w:cstheme="minorHAnsi"/>
                <w:szCs w:val="22"/>
              </w:rPr>
            </w:pPr>
            <w:r w:rsidRPr="00500A19">
              <w:rPr>
                <w:rFonts w:cstheme="minorHAnsi"/>
                <w:color w:val="000000"/>
                <w:szCs w:val="22"/>
              </w:rPr>
              <w:t>КГРЭ с удовлетворением приняла отчет к сведению, а секретариат БРЭ внесет предложенное изменение и добавит слово "ВКРЭ" внутри круглых скобок в пункте 11</w:t>
            </w:r>
            <w:r w:rsidR="00783A9D" w:rsidRPr="00500A19">
              <w:rPr>
                <w:rFonts w:cstheme="minorHAnsi"/>
                <w:color w:val="000000"/>
                <w:szCs w:val="22"/>
              </w:rPr>
              <w:t xml:space="preserve"> </w:t>
            </w:r>
            <w:r w:rsidRPr="00500A19">
              <w:rPr>
                <w:rFonts w:cstheme="minorHAnsi"/>
                <w:color w:val="000000"/>
                <w:szCs w:val="22"/>
              </w:rPr>
              <w:t>а) повестки дня.</w:t>
            </w:r>
          </w:p>
        </w:tc>
      </w:tr>
    </w:tbl>
    <w:p w14:paraId="3185AB73" w14:textId="6BD190A1"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44">
        <w:r w:rsidRPr="00500A19">
          <w:rPr>
            <w:rStyle w:val="Hyperlink"/>
            <w:rFonts w:cstheme="minorHAnsi"/>
            <w:szCs w:val="22"/>
            <w:lang w:val="ru-RU"/>
          </w:rPr>
          <w:t>14</w:t>
        </w:r>
      </w:hyperlink>
      <w:r w:rsidRPr="00500A19">
        <w:rPr>
          <w:lang w:val="ru-RU"/>
        </w:rPr>
        <w:t xml:space="preserve"> (Директор БРЭ) </w:t>
      </w:r>
      <w:r w:rsidR="004141BA" w:rsidRPr="00500A19">
        <w:rPr>
          <w:lang w:val="ru-RU"/>
        </w:rPr>
        <w:sym w:font="Symbol" w:char="F02D"/>
      </w:r>
      <w:r w:rsidRPr="00500A19">
        <w:rPr>
          <w:lang w:val="ru-RU"/>
        </w:rPr>
        <w:t xml:space="preserve"> Отчет об организации мероприятия "Признание роли молодежи в формировании будущего цифрового развития: голоса завтрашнего дня, которые должны быть услышаны в преддверии Всемирной конференции по развитию электросвязи 2025 года (ВКРЭ-25)"</w:t>
      </w:r>
    </w:p>
    <w:p w14:paraId="700F1E96" w14:textId="5A4FAB7B" w:rsidR="00667812" w:rsidRPr="00500A19" w:rsidRDefault="00667812" w:rsidP="00667812">
      <w:r w:rsidRPr="00500A19">
        <w:t>В отчете говорится о ведущейся работе по организации мероприятия "Признание роли молодежи в формировании будущего цифрового развития в преддверии ВКРЭ-25". Было отмечено, что празднование имеет целью подчеркнуть важнейшую роль молодежи в формировании повестки дня в области цифрового развития и вдохновить членов МСЭ учитывать интересы молодежи в основных обсуждениях на Конференции. При поддержке Азербайджана и его партнеров в рамках празднования состоится посещение передовых технологических объектов, пройдут интерактивные дискуссии с ключевыми игроками в сфере технологий и людьми, вдохновляющими своим примером, а также межпоколенческие диалоги с политиками и представителями директивных органов. Выпуск</w:t>
      </w:r>
      <w:r w:rsidR="004141BA" w:rsidRPr="00500A19">
        <w:t> </w:t>
      </w:r>
      <w:r w:rsidRPr="00500A19">
        <w:t>официального итогового документа не планируется, однако празднование должно придать Конференции новый импульс за счет включения точек зрения молодежи. В документе также содержится призыв к членам МСЭ поддержать участие посланников молодежи в рамках инициативы "Поколение подключений", в частности из НРС, ЛЛДС и СИДС, чтобы обеспечить широкое представительство молодежи на этом праздновании.</w:t>
      </w:r>
    </w:p>
    <w:p w14:paraId="0F154918" w14:textId="77777777" w:rsidR="00667812" w:rsidRPr="00500A19" w:rsidRDefault="00667812" w:rsidP="00667812">
      <w:pPr>
        <w:spacing w:after="120"/>
      </w:pPr>
      <w:r w:rsidRPr="00500A19">
        <w:t>После презентации представитель одного из Государств-Членов выразил поддержку участию молодежи в ВКРЭ и запросил более подробную информацию о повестке дня и потребностях мероприятия. Директор БРЭ высказал слова благодарности и подчеркнул важность поддержки участия в этом мероприятии посланников молодежи в рамках инициативы "Поколение подключений", особенно из НРС, ЛЛДС и СИДС. Директор призвал Государства-Члены включать молодых участников в состав делегаций, отметив, что это мероприятие дает ценную возможность получения опыта. Продолжительность их участия может быть гибкой ввиду потенциальных финансовых ограничений. Участие в составе национальной делегации предоставило бы отличную возможность получить более полное представление о работе Конференции и динамике многосторонних переговоров. Члены МСЭ высоко оценили усилия БРЭ по организации деятельности и мероприятий, связанных с молодежью.</w:t>
      </w:r>
    </w:p>
    <w:tbl>
      <w:tblPr>
        <w:tblStyle w:val="TableGrid"/>
        <w:tblW w:w="0" w:type="auto"/>
        <w:tblLayout w:type="fixed"/>
        <w:tblLook w:val="04A0" w:firstRow="1" w:lastRow="0" w:firstColumn="1" w:lastColumn="0" w:noHBand="0" w:noVBand="1"/>
      </w:tblPr>
      <w:tblGrid>
        <w:gridCol w:w="9629"/>
      </w:tblGrid>
      <w:tr w:rsidR="00667812" w:rsidRPr="00500A19" w14:paraId="642A9712" w14:textId="77777777" w:rsidTr="6215BC2C">
        <w:tc>
          <w:tcPr>
            <w:tcW w:w="9629" w:type="dxa"/>
          </w:tcPr>
          <w:p w14:paraId="3EA1E713" w14:textId="15CFCFB4" w:rsidR="00667812" w:rsidRPr="00500A19" w:rsidRDefault="00667812" w:rsidP="00A05A39">
            <w:pPr>
              <w:widowControl w:val="0"/>
              <w:spacing w:after="120"/>
              <w:rPr>
                <w:rFonts w:eastAsia="Calibri" w:cstheme="minorHAnsi"/>
                <w:szCs w:val="22"/>
              </w:rPr>
            </w:pPr>
            <w:r w:rsidRPr="00500A19">
              <w:rPr>
                <w:rFonts w:cstheme="minorHAnsi"/>
                <w:color w:val="000000"/>
                <w:szCs w:val="22"/>
              </w:rPr>
              <w:t>КГРЭ приняла отчет, выразив решительную поддержку предложению о проведении празднования</w:t>
            </w:r>
            <w:r w:rsidR="004141BA" w:rsidRPr="00500A19">
              <w:rPr>
                <w:rFonts w:cstheme="minorHAnsi"/>
                <w:color w:val="000000"/>
                <w:szCs w:val="22"/>
              </w:rPr>
              <w:t> </w:t>
            </w:r>
            <w:r w:rsidRPr="00500A19">
              <w:rPr>
                <w:rFonts w:cstheme="minorHAnsi"/>
                <w:color w:val="000000"/>
                <w:szCs w:val="22"/>
              </w:rPr>
              <w:t>и его целям.</w:t>
            </w:r>
          </w:p>
        </w:tc>
      </w:tr>
    </w:tbl>
    <w:p w14:paraId="50F27F34" w14:textId="703FD0BA"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45">
        <w:r w:rsidRPr="00500A19">
          <w:rPr>
            <w:rStyle w:val="Hyperlink"/>
            <w:rFonts w:cstheme="minorHAnsi"/>
            <w:bCs/>
            <w:szCs w:val="22"/>
            <w:lang w:val="ru-RU"/>
          </w:rPr>
          <w:t>15</w:t>
        </w:r>
      </w:hyperlink>
      <w:r w:rsidRPr="00500A19">
        <w:rPr>
          <w:lang w:val="ru-RU"/>
        </w:rPr>
        <w:t xml:space="preserve"> (Председатель КГРЭ) </w:t>
      </w:r>
      <w:r w:rsidR="00691351" w:rsidRPr="00500A19">
        <w:rPr>
          <w:lang w:val="ru-RU"/>
        </w:rPr>
        <w:sym w:font="Symbol" w:char="F02D"/>
      </w:r>
      <w:r w:rsidRPr="00500A19">
        <w:rPr>
          <w:lang w:val="ru-RU"/>
        </w:rPr>
        <w:t xml:space="preserve"> Отчет о деятельности Консультативной группы по развитию электросвязи ‎‎(КГРЭ) для ВКРЭ в соответствии с Резолюцией 24 ВКРЭ</w:t>
      </w:r>
    </w:p>
    <w:p w14:paraId="0206DCCA" w14:textId="77777777" w:rsidR="00667812" w:rsidRPr="00500A19" w:rsidRDefault="00667812" w:rsidP="00667812">
      <w:r w:rsidRPr="00500A19">
        <w:t xml:space="preserve">Секретариат БРЭ представил Документ 15, содержащий проект отчета КГРЭ для ВКРЭ, представляющий собой всесторонний обзор деятельности и достижений Консультативной группы по развитию электросвязи за период 2023–2025 годов. В презентации освещались главные составляющие вклада КГРЭ, в том числе поддержка выполнения Кигалийского плана действий, руководящие указания по инициативам в области цифровой трансформации и координация </w:t>
      </w:r>
      <w:r w:rsidRPr="00500A19">
        <w:lastRenderedPageBreak/>
        <w:t>деятельности в рамках Сектора МСЭ-D. В ней также подчеркивалась роль КГРЭ в предоставлении консультаций Директору БРЭ, повышении эффективности работы и содействии инклюзивному участию и межсекторальному сотрудничеству. В отчете освещалась деятельность рабочих групп КГРЭ, итоги стратегических обсуждений и ключевые решения, принятые в ходе указанного периода.</w:t>
      </w:r>
    </w:p>
    <w:p w14:paraId="5C50DE43" w14:textId="77777777" w:rsidR="00667812" w:rsidRPr="00500A19" w:rsidRDefault="00667812" w:rsidP="00667812">
      <w:pPr>
        <w:spacing w:after="120"/>
      </w:pPr>
      <w:r w:rsidRPr="00500A19">
        <w:t>Председатель отметила, что заключительная версия отчета будет обновлена по завершении текущей сессии КГРЭ, чтобы отразить итоги сессии и ее личные размышления по окончании срока ее полномочий. Председатель проинформировала КГРЭ о том, что пересмотренная версия будет распространена в течение 20–30 дней, что дает две недели для представления замечаний. Один из делегатов задал вопрос о том, как будут рассматриваться итоги деятельности групп Докладчиков КГРЭ, и Председатель пояснила, что они будут включены в отчет в виде приложений и представлены в качестве информационных документов для ВКРЭ. Другой делегат попросил включить в отчет Резолюцию 167 о дистанционном участии, в ответ на что Председатель заверила, что все соответствующие обсуждения и их результаты будут должным образом отражены в документе. Никаких возражений по данному процессу не было, и документ был принят к сведению и направлен на доработку для последующего распространения.</w:t>
      </w:r>
    </w:p>
    <w:tbl>
      <w:tblPr>
        <w:tblStyle w:val="TableGrid"/>
        <w:tblW w:w="0" w:type="auto"/>
        <w:tblLayout w:type="fixed"/>
        <w:tblLook w:val="04A0" w:firstRow="1" w:lastRow="0" w:firstColumn="1" w:lastColumn="0" w:noHBand="0" w:noVBand="1"/>
      </w:tblPr>
      <w:tblGrid>
        <w:gridCol w:w="9629"/>
      </w:tblGrid>
      <w:tr w:rsidR="00667812" w:rsidRPr="00500A19" w14:paraId="2E3E5A3C" w14:textId="77777777" w:rsidTr="6215BC2C">
        <w:tc>
          <w:tcPr>
            <w:tcW w:w="9629" w:type="dxa"/>
          </w:tcPr>
          <w:p w14:paraId="256BA8FB" w14:textId="77777777" w:rsidR="00667812" w:rsidRPr="00500A19" w:rsidRDefault="00667812" w:rsidP="00A05A39">
            <w:pPr>
              <w:widowControl w:val="0"/>
              <w:spacing w:after="120"/>
              <w:rPr>
                <w:rFonts w:cstheme="minorHAnsi"/>
                <w:szCs w:val="22"/>
              </w:rPr>
            </w:pPr>
            <w:r w:rsidRPr="00500A19">
              <w:rPr>
                <w:rFonts w:cstheme="minorHAnsi"/>
                <w:color w:val="000000"/>
                <w:szCs w:val="22"/>
              </w:rPr>
              <w:t>КГРЭ приняла к сведению проект отчета КГРЭ для ВКРЭ с учетом того, что документ будет позднее доработан. Председатель подтвердила, что отчет будет обновлен после завершения сессии КГРЭ с целью включения в него результатов собрания, проведенного в мае 2025 года, и его заключительных размышлений по итогам трехлетнего периода. Пересмотренная версия будет распространена в течение 20–30 дней, и Государствам-Членам будет предоставлено две недели для представления замечаний. Окончательная версия, включающая приложения, в том числе посвященные результатам деятельности рабочих групп КГРЭ, войдет затем в официальную документацию для ВКРЭ-25. Возражений не поступало, и предложенный процесс был принят КГРЭ.</w:t>
            </w:r>
          </w:p>
        </w:tc>
      </w:tr>
    </w:tbl>
    <w:p w14:paraId="29187A5A" w14:textId="23ADE0BD"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46">
        <w:r w:rsidRPr="00500A19">
          <w:rPr>
            <w:rStyle w:val="Hyperlink"/>
            <w:rFonts w:cstheme="minorHAnsi"/>
            <w:bCs/>
            <w:szCs w:val="22"/>
            <w:lang w:val="ru-RU"/>
          </w:rPr>
          <w:t>48</w:t>
        </w:r>
      </w:hyperlink>
      <w:r w:rsidRPr="00500A19">
        <w:rPr>
          <w:lang w:val="ru-RU"/>
        </w:rPr>
        <w:t xml:space="preserve"> (Китайская Народная Республика) </w:t>
      </w:r>
      <w:r w:rsidR="004141BA" w:rsidRPr="00500A19">
        <w:rPr>
          <w:lang w:val="ru-RU"/>
        </w:rPr>
        <w:sym w:font="Symbol" w:char="F02D"/>
      </w:r>
      <w:r w:rsidRPr="00500A19">
        <w:rPr>
          <w:lang w:val="ru-RU"/>
        </w:rPr>
        <w:t xml:space="preserve"> Соображения и рекомендации в отношении активного участия Сектора развития электросвязи МСЭ (МСЭ-D) в создании цифрового будущего</w:t>
      </w:r>
    </w:p>
    <w:p w14:paraId="2B1A9E45" w14:textId="758BF5EB" w:rsidR="00667812" w:rsidRPr="00500A19" w:rsidRDefault="00667812" w:rsidP="00667812">
      <w:pPr>
        <w:rPr>
          <w:rFonts w:eastAsia="Calibri"/>
        </w:rPr>
      </w:pPr>
      <w:r w:rsidRPr="00500A19">
        <w:t>В этом вкладе предлагается шесть рекомендаций для МСЭ-D по усилению его роли в создании цифрового будущего: a) расширение обмена решениями в области появляющихся цифровых технологий; b) содействие внедрению появляющихся технологий в развивающихся странах; c)</w:t>
      </w:r>
      <w:r w:rsidR="00691351" w:rsidRPr="00500A19">
        <w:t> </w:t>
      </w:r>
      <w:r w:rsidRPr="00500A19">
        <w:t>ускорение развития с помощью цифровых технологий; d) содействие талантливым работникам в сфере ИКТ; e) улучшение формулировок и совершенствование продвижения руководящих указаний МСЭ-D; и f) расширение партнерских отношений в сфере промышленности.</w:t>
      </w:r>
    </w:p>
    <w:p w14:paraId="37369329" w14:textId="77777777" w:rsidR="00667812" w:rsidRPr="00500A19" w:rsidRDefault="00667812" w:rsidP="00667812">
      <w:pPr>
        <w:spacing w:after="120"/>
      </w:pPr>
      <w:r w:rsidRPr="00500A19">
        <w:t>Предложения рекомендуется включить в отчет КГРЭ, который будет рассматриваться на ВКРЭ-25.</w:t>
      </w:r>
    </w:p>
    <w:tbl>
      <w:tblPr>
        <w:tblStyle w:val="TableGrid"/>
        <w:tblW w:w="0" w:type="auto"/>
        <w:tblLayout w:type="fixed"/>
        <w:tblLook w:val="04A0" w:firstRow="1" w:lastRow="0" w:firstColumn="1" w:lastColumn="0" w:noHBand="0" w:noVBand="1"/>
      </w:tblPr>
      <w:tblGrid>
        <w:gridCol w:w="9629"/>
      </w:tblGrid>
      <w:tr w:rsidR="00667812" w:rsidRPr="00500A19" w14:paraId="1271A280" w14:textId="77777777" w:rsidTr="6215BC2C">
        <w:tc>
          <w:tcPr>
            <w:tcW w:w="9629" w:type="dxa"/>
          </w:tcPr>
          <w:p w14:paraId="43B85A6B" w14:textId="3F9D1A62" w:rsidR="00667812" w:rsidRPr="00500A19" w:rsidRDefault="00667812" w:rsidP="00A05A39">
            <w:pPr>
              <w:widowControl w:val="0"/>
              <w:spacing w:after="120"/>
              <w:rPr>
                <w:rStyle w:val="Hyperlink"/>
                <w:rFonts w:cstheme="minorHAnsi"/>
                <w:szCs w:val="22"/>
              </w:rPr>
            </w:pPr>
            <w:r w:rsidRPr="00500A19">
              <w:rPr>
                <w:rFonts w:cstheme="minorHAnsi"/>
                <w:color w:val="000000"/>
                <w:szCs w:val="22"/>
              </w:rPr>
              <w:t>КГРЭ с удовлетворением приняла вклад к сведению.</w:t>
            </w:r>
          </w:p>
        </w:tc>
      </w:tr>
    </w:tbl>
    <w:p w14:paraId="2C73C3FF" w14:textId="5608954D"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47">
        <w:r w:rsidRPr="00500A19">
          <w:rPr>
            <w:rStyle w:val="Hyperlink"/>
            <w:rFonts w:cstheme="minorHAnsi"/>
            <w:bCs/>
            <w:szCs w:val="22"/>
            <w:lang w:val="ru-RU"/>
          </w:rPr>
          <w:t>34</w:t>
        </w:r>
      </w:hyperlink>
      <w:r w:rsidRPr="00500A19">
        <w:rPr>
          <w:lang w:val="ru-RU"/>
        </w:rPr>
        <w:t xml:space="preserve"> (МСКГ по вопросам, представляющим взаимный интерес) </w:t>
      </w:r>
      <w:r w:rsidR="004141BA" w:rsidRPr="00500A19">
        <w:rPr>
          <w:lang w:val="ru-RU"/>
        </w:rPr>
        <w:sym w:font="Symbol" w:char="F02D"/>
      </w:r>
      <w:r w:rsidRPr="00500A19">
        <w:rPr>
          <w:lang w:val="ru-RU"/>
        </w:rPr>
        <w:t xml:space="preserve"> Входящее заявление о взаимодействии по проекту руководящих указаний по управлению полностью виртуальными и очными собраниями с дистанционным участием</w:t>
      </w:r>
    </w:p>
    <w:p w14:paraId="7032C9A7" w14:textId="77777777" w:rsidR="00667812" w:rsidRPr="00500A19" w:rsidRDefault="00667812" w:rsidP="00667812">
      <w:pPr>
        <w:spacing w:after="120"/>
      </w:pPr>
      <w:r w:rsidRPr="00500A19">
        <w:t xml:space="preserve">Председатель Межсекторальной координационной группы (МСКГ) д-р Биджи представил в Документе 34 заявление о взаимодействии от МСКГ, содержащее отчет по проекту руководящих указаний, разработанных с целью совершенствования координации между тремя Секторами МСЭ (радиосвязи, стандартизации и развития). Руководящие указания имеют целью обеспечение согласованности и взаимной увязки сфер оптимизации работы, а также предотвращение дублирования усилий, особенно в смежных областях. Д-р Биджи подчеркнул важность этих руководящих указаний в свете подготовки к ВКРЭ-25 и призвал КГРЭ рассмотреть этот документ и представить отзывы или выявить случаи непоследовательности, чтобы обеспечить согласованность процедур дистанционного участия в различных Секторах. Он также отметил, что аналогичные просьбы были направлены к КГР и КГСЭ и что вклад всех трех консультативных групп способствовал </w:t>
      </w:r>
      <w:r w:rsidRPr="00500A19">
        <w:lastRenderedPageBreak/>
        <w:t>бы укреплению предлагаемой базовой основы. Возражений или подробных замечаний в ходе собрания высказано не было. В заключение Председатель отметила, что КГРЭ примет к сведению настоящий документ и что он важен для межсекторальной координации, особенно в свете приближения ВКРЭ.</w:t>
      </w:r>
    </w:p>
    <w:tbl>
      <w:tblPr>
        <w:tblStyle w:val="TableGrid"/>
        <w:tblW w:w="0" w:type="auto"/>
        <w:tblLayout w:type="fixed"/>
        <w:tblLook w:val="06A0" w:firstRow="1" w:lastRow="0" w:firstColumn="1" w:lastColumn="0" w:noHBand="1" w:noVBand="1"/>
      </w:tblPr>
      <w:tblGrid>
        <w:gridCol w:w="9630"/>
      </w:tblGrid>
      <w:tr w:rsidR="00667812" w:rsidRPr="00500A19" w14:paraId="273EBD2E" w14:textId="77777777" w:rsidTr="6215BC2C">
        <w:trPr>
          <w:trHeight w:val="300"/>
        </w:trPr>
        <w:tc>
          <w:tcPr>
            <w:tcW w:w="9630" w:type="dxa"/>
          </w:tcPr>
          <w:p w14:paraId="676EF876" w14:textId="77777777" w:rsidR="00667812" w:rsidRPr="00500A19" w:rsidRDefault="00667812" w:rsidP="00A05A39">
            <w:pPr>
              <w:spacing w:after="120"/>
              <w:rPr>
                <w:rFonts w:cstheme="minorHAnsi"/>
                <w:color w:val="000000" w:themeColor="text1"/>
                <w:szCs w:val="22"/>
              </w:rPr>
            </w:pPr>
            <w:r w:rsidRPr="00500A19">
              <w:rPr>
                <w:rFonts w:cstheme="minorHAnsi"/>
                <w:color w:val="000000"/>
                <w:szCs w:val="22"/>
              </w:rPr>
              <w:t>КГРЭ с удовлетворением приняла к сведению это заявление, высоко оценила проделанную Межсекторальной координационной группой работу по руководящим указаниям МСЭ по управлению полностью виртуальными и очными собраниями с дистанционным участием и утвердила ответ, который приводится в Документе DT/6.</w:t>
            </w:r>
          </w:p>
        </w:tc>
      </w:tr>
    </w:tbl>
    <w:p w14:paraId="2CEC6049" w14:textId="2489564F"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48" w:history="1">
        <w:r w:rsidRPr="00500A19">
          <w:rPr>
            <w:rStyle w:val="Hyperlink"/>
            <w:rFonts w:cstheme="minorHAnsi"/>
            <w:bCs/>
            <w:szCs w:val="22"/>
            <w:lang w:val="ru-RU"/>
          </w:rPr>
          <w:t>54(Rev.1)</w:t>
        </w:r>
      </w:hyperlink>
      <w:r w:rsidRPr="00500A19">
        <w:rPr>
          <w:lang w:val="ru-RU"/>
        </w:rPr>
        <w:t xml:space="preserve"> (Болгария, Чешская Республика, Франция, Венгрия, Ирландия, Италия, Литва, Польша, Румыния, Швеция, Швейцария и Соединенное Королевство) </w:t>
      </w:r>
      <w:r w:rsidR="004141BA" w:rsidRPr="00500A19">
        <w:rPr>
          <w:lang w:val="ru-RU"/>
        </w:rPr>
        <w:sym w:font="Symbol" w:char="F02D"/>
      </w:r>
      <w:r w:rsidRPr="00500A19">
        <w:rPr>
          <w:lang w:val="ru-RU"/>
        </w:rPr>
        <w:t xml:space="preserve"> Возможность дистанционного участия во Всемирной конференции по развитию электросвязи 2025 года</w:t>
      </w:r>
    </w:p>
    <w:p w14:paraId="03368A71" w14:textId="18C1DE48" w:rsidR="00667812" w:rsidRPr="00500A19" w:rsidRDefault="00667812" w:rsidP="00667812">
      <w:r w:rsidRPr="00500A19">
        <w:t>Этот вклад был представлен представителем Соединенного Королевства, и в нем отражена позиция, разделяемая многими Государствами-Членами, относительно важности дистанционного участия в собраниях МСЭ, включая Всемирную конференцию по развитию электросвязи 2025 года. Оратор</w:t>
      </w:r>
      <w:r w:rsidR="004141BA" w:rsidRPr="00500A19">
        <w:t> </w:t>
      </w:r>
      <w:r w:rsidRPr="00500A19">
        <w:t>пояснил, что данный вклад посвящен не процедурным нормам, которые относятся к компетенции Совета, а практическим мерам, необходимым для содействия всеобъемлющему взаимодействию. В</w:t>
      </w:r>
      <w:r w:rsidR="004141BA" w:rsidRPr="00500A19">
        <w:t> </w:t>
      </w:r>
      <w:r w:rsidRPr="00500A19">
        <w:t>нем подчеркивается значимость дистанционного участия для расширения доступа и содержится просьба внести ясность по трем вопросам: последняя обновленная информация об имеющихся на настоящее время возможностях, график получения обновленной информации и регулярное обновление информации посредством писем, связанных с ВКРЭ.</w:t>
      </w:r>
    </w:p>
    <w:p w14:paraId="5E69D42F" w14:textId="0AF4A4B5" w:rsidR="00667812" w:rsidRPr="00500A19" w:rsidRDefault="00667812" w:rsidP="00667812">
      <w:r w:rsidRPr="00500A19">
        <w:t>В свою очередь Директор БРЭ выразил полную поддержку дистанционному участию и подтвердил, что все основные залы заседаний в месте проведения мероприятия в Баку будут оборудованы для дистанционного доступа. Однако он отметил, что ввиду правовых ограничений у дистанционных участников нет права голоса, и подчеркнул важность координации действий внутри делегаций во избежание конфликта между выступлениями присутствующих в зале и онлайновых участников. Секретариат далее пояснил, что дистанционное участие будет возможно в залах вместимостью от 30</w:t>
      </w:r>
      <w:r w:rsidR="004141BA" w:rsidRPr="00500A19">
        <w:t> </w:t>
      </w:r>
      <w:r w:rsidRPr="00500A19">
        <w:t>до 1500 человек, и подтвердил постоянное взаимодействие с принимающей страной для обеспечения технической готовности.</w:t>
      </w:r>
    </w:p>
    <w:p w14:paraId="1CFE05B1" w14:textId="776D08A6" w:rsidR="00667812" w:rsidRPr="00500A19" w:rsidRDefault="00667812" w:rsidP="00667812">
      <w:pPr>
        <w:spacing w:after="120"/>
      </w:pPr>
      <w:r w:rsidRPr="00500A19">
        <w:t>Обновленная информация была воспринята положительно, и делегации приветствовали стремление к прозрачности и доступности. Израиль вновь обратился с просьбой отразить сведения о Резолюции</w:t>
      </w:r>
      <w:r w:rsidR="004141BA" w:rsidRPr="00500A19">
        <w:t> </w:t>
      </w:r>
      <w:r w:rsidRPr="00500A19">
        <w:t>167 о дистанционном участии в отчете КГРЭ для ВКРЭ. Председатель подтвердила, что все соответствующие обсуждения и итоги будут отражены надлежащим образом.</w:t>
      </w:r>
    </w:p>
    <w:tbl>
      <w:tblPr>
        <w:tblStyle w:val="TableGrid"/>
        <w:tblW w:w="0" w:type="auto"/>
        <w:tblLayout w:type="fixed"/>
        <w:tblLook w:val="04A0" w:firstRow="1" w:lastRow="0" w:firstColumn="1" w:lastColumn="0" w:noHBand="0" w:noVBand="1"/>
      </w:tblPr>
      <w:tblGrid>
        <w:gridCol w:w="9629"/>
      </w:tblGrid>
      <w:tr w:rsidR="00667812" w:rsidRPr="00500A19" w14:paraId="53CC7CE9" w14:textId="77777777" w:rsidTr="6215BC2C">
        <w:tc>
          <w:tcPr>
            <w:tcW w:w="9629" w:type="dxa"/>
          </w:tcPr>
          <w:p w14:paraId="582D1005" w14:textId="0547A4BD" w:rsidR="00667812" w:rsidRPr="00500A19" w:rsidRDefault="00667812" w:rsidP="00A05A39">
            <w:pPr>
              <w:widowControl w:val="0"/>
              <w:spacing w:after="120"/>
              <w:rPr>
                <w:rFonts w:eastAsia="Calibri" w:cstheme="minorHAnsi"/>
                <w:szCs w:val="22"/>
              </w:rPr>
            </w:pPr>
            <w:r w:rsidRPr="00500A19">
              <w:rPr>
                <w:rFonts w:cstheme="minorHAnsi"/>
                <w:color w:val="000000"/>
                <w:szCs w:val="22"/>
              </w:rPr>
              <w:t>КГРЭ приняла этот вклад к сведению и положительно оценила подтверждение Директора БРЭ о том, что ВКРЭ-25 будет проводиться с использованием формата дистанционного участия. Оно</w:t>
            </w:r>
            <w:r w:rsidR="004141BA" w:rsidRPr="00500A19">
              <w:rPr>
                <w:rFonts w:cstheme="minorHAnsi"/>
                <w:color w:val="000000"/>
                <w:szCs w:val="22"/>
              </w:rPr>
              <w:t> </w:t>
            </w:r>
            <w:r w:rsidRPr="00500A19">
              <w:rPr>
                <w:rFonts w:cstheme="minorHAnsi"/>
                <w:color w:val="000000"/>
                <w:szCs w:val="22"/>
              </w:rPr>
              <w:t xml:space="preserve">будет организовано в соответствии с </w:t>
            </w:r>
            <w:r w:rsidRPr="00500A19">
              <w:rPr>
                <w:rFonts w:cstheme="minorHAnsi"/>
                <w:i/>
                <w:iCs/>
                <w:color w:val="000000"/>
                <w:szCs w:val="22"/>
              </w:rPr>
              <w:t>проектом руководящих указаний по управлению полностью виртуальными и очными собраниями с дистанционным участием в МСЭ</w:t>
            </w:r>
            <w:r w:rsidRPr="00500A19">
              <w:rPr>
                <w:rFonts w:cstheme="minorHAnsi"/>
                <w:color w:val="000000"/>
                <w:szCs w:val="22"/>
              </w:rPr>
              <w:t xml:space="preserve"> в рамках выполнения Резолюции 167 (Пересм. Бухарест, 2022 г.), которая будет обсуждаться и по которой Советом-25 будет принято решение, в частности, с учетом разъяснений относительно прав разных категорий членов, участвующих дистанционно, в том, что касается принятия решений на собраниях разных типов (</w:t>
            </w:r>
            <w:hyperlink r:id="rId49" w:history="1">
              <w:r w:rsidRPr="00500A19">
                <w:rPr>
                  <w:rStyle w:val="Hyperlink"/>
                  <w:rFonts w:cstheme="minorHAnsi"/>
                  <w:szCs w:val="22"/>
                </w:rPr>
                <w:t>S25-CWGFHR20-C-0003!R2!MSW-E.docx</w:t>
              </w:r>
            </w:hyperlink>
            <w:r w:rsidRPr="00500A19">
              <w:rPr>
                <w:rFonts w:cstheme="minorHAnsi"/>
                <w:color w:val="000000"/>
                <w:szCs w:val="22"/>
              </w:rPr>
              <w:t>).</w:t>
            </w:r>
          </w:p>
        </w:tc>
      </w:tr>
    </w:tbl>
    <w:p w14:paraId="66E0E277" w14:textId="3166B47C"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50">
        <w:r w:rsidRPr="00500A19">
          <w:rPr>
            <w:rStyle w:val="Hyperlink"/>
            <w:rFonts w:cstheme="minorHAnsi"/>
            <w:bCs/>
            <w:szCs w:val="22"/>
            <w:lang w:val="ru-RU"/>
          </w:rPr>
          <w:t>56</w:t>
        </w:r>
      </w:hyperlink>
      <w:r w:rsidRPr="00500A19">
        <w:rPr>
          <w:lang w:val="ru-RU"/>
        </w:rPr>
        <w:t xml:space="preserve"> (Соединенные Штаты Америки) </w:t>
      </w:r>
      <w:r w:rsidR="004141BA" w:rsidRPr="00500A19">
        <w:rPr>
          <w:lang w:val="ru-RU"/>
        </w:rPr>
        <w:sym w:font="Symbol" w:char="F02D"/>
      </w:r>
      <w:r w:rsidRPr="00500A19">
        <w:rPr>
          <w:lang w:val="ru-RU"/>
        </w:rPr>
        <w:t xml:space="preserve"> Предварительные соображения Соединенных Штатов Америки в преддверии ВКРЭ-25</w:t>
      </w:r>
    </w:p>
    <w:p w14:paraId="5C5CD7AE" w14:textId="77777777" w:rsidR="00667812" w:rsidRPr="00500A19" w:rsidRDefault="00667812" w:rsidP="00667812">
      <w:r w:rsidRPr="00500A19">
        <w:t xml:space="preserve">Соединенные Штаты Америки представили Документ 56, в котором изложены их предварительные соображения в преддверии Всемирной конференцией по развитию электросвязи (ВКРЭ-25). Соединенные Штаты Америки подчеркнули необходимость того, чтобы МСЭ-D сфокусировался на своих основных сильных сторонах, повысил отдачу намеченных результатов деятельности и </w:t>
      </w:r>
      <w:r w:rsidRPr="00500A19">
        <w:lastRenderedPageBreak/>
        <w:t>обеспечил эффективное использование финансовых и людских ресурсов. Соединенные Штаты Америки также отметили значение развития цифровых навыков, создания благоприятной политической среды и модернизации регуляторной базы для содействия установлению соединений и цифровой трансформации. Выразив поддержку расширению прав и возможностей женщин посредством таких инициатив, как "Сеть женщин" МСЭ, Соединенные Штаты Америки выступили против программ, соответствующих политике разнообразия, равенства и инклюзивности (DEI), и вновь заявили о своей позиции против использования ссылок на Повестку дня в области устойчивого развития на период до 2030 года и ЦУР, объяснив это тем, что такие ссылки не отвечают техническому характеру миссии МСЭ.</w:t>
      </w:r>
    </w:p>
    <w:p w14:paraId="70CB0FFD" w14:textId="77777777" w:rsidR="00667812" w:rsidRPr="00500A19" w:rsidRDefault="00667812" w:rsidP="00667812">
      <w:pPr>
        <w:spacing w:after="120"/>
      </w:pPr>
      <w:r w:rsidRPr="00500A19">
        <w:t>Эта презентация вызвала широкую дискуссию. Первая из нескольких выступивших делегаций запросила разъяснений относительно того, каким образом БРЭ будет оказывать поддержку развивающимся странам в области цифровой трансформации, на что Директор БРЭ вновь подтвердил, что помощь БРЭ будет вестись в соответствии с полученными от Государств-Членов мандатами. Еще одна делегация отметила, что высказанные мнения могут потребовать более широкого обсуждения за пределами МСЭ-D, и поставила вопрос о предлагаемой дорожной карте такого диалога. Другой делегат признал, что вклад дает пищу для размышлений, но подчеркнул, что не следует игнорировать социальные аспекты. Некоторые другие делегаты подчеркнули важность поддержания согласованности действий МСЭ с ЦУР и более широкими целями ООН в области развития. Прозвучали также предложения о необходимости дополнительного времени для рассмотрения и обдумывания предложения, призывающие к балансу и осторожности при пересмотре определения того, что считать "основами". Две другие делегации выразили обеспокоенность по поводу исключения ссылок на ЦУР, подчеркнув, что МСЭ является специализированным учреждением системы ООН. Несколько делегаций подтвердили, что поддерживают обращение в деятельности МСЭ к тематике прав человека, гендерного равенства, DEI и охраны окружающей среды. Соединенные Штаты Америки приняли к сведению все выступления, выразив надежду, что их соображения послужат поводом для размышлений и катализатором дальнейшего диалога в рамках подготовки к ВКРЭ-25.</w:t>
      </w:r>
    </w:p>
    <w:tbl>
      <w:tblPr>
        <w:tblStyle w:val="TableGrid"/>
        <w:tblW w:w="0" w:type="auto"/>
        <w:tblLayout w:type="fixed"/>
        <w:tblLook w:val="04A0" w:firstRow="1" w:lastRow="0" w:firstColumn="1" w:lastColumn="0" w:noHBand="0" w:noVBand="1"/>
      </w:tblPr>
      <w:tblGrid>
        <w:gridCol w:w="9629"/>
      </w:tblGrid>
      <w:tr w:rsidR="00667812" w:rsidRPr="00500A19" w14:paraId="360A507E" w14:textId="77777777" w:rsidTr="6215BC2C">
        <w:tc>
          <w:tcPr>
            <w:tcW w:w="9629" w:type="dxa"/>
          </w:tcPr>
          <w:p w14:paraId="39315EB0" w14:textId="1CA9CD9E" w:rsidR="00667812" w:rsidRPr="00500A19" w:rsidRDefault="00667812" w:rsidP="00A05A39">
            <w:pPr>
              <w:widowControl w:val="0"/>
              <w:spacing w:after="120"/>
              <w:rPr>
                <w:rFonts w:eastAsia="Calibri" w:cstheme="minorHAnsi"/>
                <w:szCs w:val="22"/>
              </w:rPr>
            </w:pPr>
            <w:r w:rsidRPr="00500A19">
              <w:rPr>
                <w:rFonts w:cstheme="minorHAnsi"/>
                <w:color w:val="000000"/>
                <w:szCs w:val="22"/>
              </w:rPr>
              <w:t>КГРЭ приняла этот вклад к сведению для рассмотрения и дальнейшего обсуждения при подготовке</w:t>
            </w:r>
            <w:r w:rsidR="004141BA" w:rsidRPr="00500A19">
              <w:rPr>
                <w:rFonts w:cstheme="minorHAnsi"/>
                <w:color w:val="000000"/>
                <w:szCs w:val="22"/>
              </w:rPr>
              <w:t> </w:t>
            </w:r>
            <w:r w:rsidRPr="00500A19">
              <w:rPr>
                <w:rFonts w:cstheme="minorHAnsi"/>
                <w:color w:val="000000"/>
                <w:szCs w:val="22"/>
              </w:rPr>
              <w:t>к ВКРЭ.</w:t>
            </w:r>
          </w:p>
        </w:tc>
      </w:tr>
    </w:tbl>
    <w:p w14:paraId="44BEC159" w14:textId="22B3C75E" w:rsidR="00667812" w:rsidRPr="00500A19" w:rsidRDefault="00667812" w:rsidP="00667812">
      <w:pPr>
        <w:pStyle w:val="Heading2"/>
      </w:pPr>
      <w:r w:rsidRPr="00500A19">
        <w:t>7.2</w:t>
      </w:r>
      <w:r w:rsidRPr="00500A19">
        <w:tab/>
        <w:t>Отчет о координационном собрании региональных подготовительных собраний (РПС)</w:t>
      </w:r>
    </w:p>
    <w:p w14:paraId="650C496C" w14:textId="07E371EF"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51" w:history="1">
        <w:r w:rsidRPr="00500A19">
          <w:rPr>
            <w:rStyle w:val="Hyperlink"/>
            <w:rFonts w:cstheme="minorHAnsi"/>
            <w:bCs/>
            <w:szCs w:val="22"/>
            <w:lang w:val="ru-RU"/>
          </w:rPr>
          <w:t>16(Rev.1)</w:t>
        </w:r>
      </w:hyperlink>
      <w:r w:rsidRPr="00500A19">
        <w:rPr>
          <w:lang w:val="ru-RU"/>
        </w:rPr>
        <w:t xml:space="preserve"> (Председатель координационного собрания РПС) </w:t>
      </w:r>
      <w:r w:rsidR="004141BA" w:rsidRPr="00500A19">
        <w:rPr>
          <w:lang w:val="ru-RU"/>
        </w:rPr>
        <w:sym w:font="Symbol" w:char="F02D"/>
      </w:r>
      <w:r w:rsidRPr="00500A19">
        <w:rPr>
          <w:lang w:val="ru-RU"/>
        </w:rPr>
        <w:t xml:space="preserve"> Отчет председателя координационного собрания РПС для КГРЭ</w:t>
      </w:r>
    </w:p>
    <w:p w14:paraId="2369A920" w14:textId="372C4FBC" w:rsidR="00667812" w:rsidRPr="00500A19" w:rsidRDefault="00667812" w:rsidP="00667812">
      <w:r w:rsidRPr="00500A19">
        <w:t>Председатель координационного собрания региональных подготовительных собраний (РПС) д-р Нух Альшияб представил сводный отчет, обобщающий итоги шести РПС, проведенных в преддверии</w:t>
      </w:r>
      <w:r w:rsidR="004141BA" w:rsidRPr="00500A19">
        <w:t> </w:t>
      </w:r>
      <w:r w:rsidRPr="00500A19">
        <w:t>ВКРЭ-25.</w:t>
      </w:r>
    </w:p>
    <w:p w14:paraId="2789F1E4" w14:textId="0FF4D7B5" w:rsidR="00667812" w:rsidRPr="00500A19" w:rsidRDefault="00667812" w:rsidP="00667812">
      <w:r w:rsidRPr="00500A19">
        <w:t>Эти РПС прошли в период с февраля по апрель 2025 года во всех регионах МСЭ: регионе арабских государств, Европе, Азиатско-Тихоокеанском регионе, Северной и Южной Америке, Африке и СНГ. Отчет был утвержден координационным собранием РПС, состоявшимся 12 мая 2025 года, и в нем изложены приоритеты каждого региона, предлагаемые региональные инициативы и приоритетные</w:t>
      </w:r>
      <w:r w:rsidR="004141BA" w:rsidRPr="00500A19">
        <w:t> </w:t>
      </w:r>
      <w:r w:rsidRPr="00500A19">
        <w:t>области.</w:t>
      </w:r>
    </w:p>
    <w:p w14:paraId="72117352" w14:textId="77777777" w:rsidR="00667812" w:rsidRPr="00500A19" w:rsidRDefault="00667812" w:rsidP="00667812">
      <w:pPr>
        <w:spacing w:after="120"/>
        <w:rPr>
          <w:rFonts w:eastAsia="Calibri"/>
        </w:rPr>
      </w:pPr>
      <w:r w:rsidRPr="00500A19">
        <w:t>Председатель подчеркнул, что координационное собрание РПС позволило согласовать региональные намеченные результаты деятельности и определить общие темы и предложения для рассмотрения на ВКРЭ.</w:t>
      </w:r>
    </w:p>
    <w:tbl>
      <w:tblPr>
        <w:tblStyle w:val="TableGrid"/>
        <w:tblW w:w="0" w:type="auto"/>
        <w:tblLayout w:type="fixed"/>
        <w:tblLook w:val="04A0" w:firstRow="1" w:lastRow="0" w:firstColumn="1" w:lastColumn="0" w:noHBand="0" w:noVBand="1"/>
      </w:tblPr>
      <w:tblGrid>
        <w:gridCol w:w="9629"/>
      </w:tblGrid>
      <w:tr w:rsidR="00667812" w:rsidRPr="00500A19" w14:paraId="6E5AA57D" w14:textId="77777777" w:rsidTr="6215BC2C">
        <w:tc>
          <w:tcPr>
            <w:tcW w:w="9629" w:type="dxa"/>
          </w:tcPr>
          <w:p w14:paraId="2281F32C" w14:textId="77777777" w:rsidR="00667812" w:rsidRPr="00500A19" w:rsidRDefault="00667812" w:rsidP="00A05A39">
            <w:pPr>
              <w:widowControl w:val="0"/>
              <w:spacing w:after="120"/>
              <w:rPr>
                <w:rFonts w:eastAsia="Calibri" w:cstheme="minorHAnsi"/>
                <w:szCs w:val="22"/>
              </w:rPr>
            </w:pPr>
            <w:r w:rsidRPr="00500A19">
              <w:rPr>
                <w:rFonts w:cstheme="minorHAnsi"/>
                <w:color w:val="000000"/>
                <w:szCs w:val="22"/>
              </w:rPr>
              <w:t>КГРЭ приняла этот отчет к сведению и признала его ценность для информированной подготовки к ВКРЭ. КГРЭ также признала значительные усилия, предпринятые региональными группами.</w:t>
            </w:r>
          </w:p>
        </w:tc>
      </w:tr>
    </w:tbl>
    <w:p w14:paraId="268BA9B1" w14:textId="5D62021D" w:rsidR="00667812" w:rsidRPr="00500A19" w:rsidRDefault="00667812" w:rsidP="00667812">
      <w:pPr>
        <w:pStyle w:val="Heading2"/>
      </w:pPr>
      <w:r w:rsidRPr="00500A19">
        <w:lastRenderedPageBreak/>
        <w:t>7.3</w:t>
      </w:r>
      <w:r w:rsidRPr="00500A19">
        <w:tab/>
        <w:t>Структура ВКРЭ-25</w:t>
      </w:r>
    </w:p>
    <w:p w14:paraId="56F9B9C0" w14:textId="23F29305"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52">
        <w:r w:rsidRPr="00500A19">
          <w:rPr>
            <w:rStyle w:val="Hyperlink"/>
            <w:rFonts w:cstheme="minorHAnsi"/>
            <w:bCs/>
            <w:szCs w:val="22"/>
            <w:lang w:val="ru-RU"/>
          </w:rPr>
          <w:t>17</w:t>
        </w:r>
      </w:hyperlink>
      <w:r w:rsidRPr="00500A19">
        <w:rPr>
          <w:lang w:val="ru-RU"/>
        </w:rPr>
        <w:t xml:space="preserve"> (Директор БРЭ) </w:t>
      </w:r>
      <w:r w:rsidR="004141BA" w:rsidRPr="00500A19">
        <w:rPr>
          <w:lang w:val="ru-RU"/>
        </w:rPr>
        <w:sym w:font="Symbol" w:char="F02D"/>
      </w:r>
      <w:r w:rsidRPr="00500A19">
        <w:rPr>
          <w:lang w:val="ru-RU"/>
        </w:rPr>
        <w:t xml:space="preserve"> Проект структуры Всемирной конференции по развитию электросвязи 2025 года</w:t>
      </w:r>
    </w:p>
    <w:p w14:paraId="4557DB68" w14:textId="54589615" w:rsidR="00667812" w:rsidRPr="00500A19" w:rsidRDefault="00667812" w:rsidP="004141BA">
      <w:pPr>
        <w:rPr>
          <w:rFonts w:eastAsia="Calibri"/>
          <w:color w:val="242424"/>
        </w:rPr>
      </w:pPr>
      <w:r w:rsidRPr="00500A19">
        <w:t>В этом отчете изложена предлагаемая структура ВКРЭ-25, и он был представлен секретариатом БРЭ, чтобы проинформировать делегации о планируемой организационной структуре Конференции. Структура предусматривает пленарное заседание, четыре комитета и рабочую группу пленарного заседания по аналогии со структурой предыдущих ВКРЭ. В соответствии с установившейся в ходе предыдущих ВКРЭ практикой до сведения КГРЭ была доведена информация об организации Конференции, включая роли и обязанности пяти (5) комитетов, а также круг ведения рабочей группы пленарного заседания по составлению проекта Декларации ВКРЭ и подготовке вклада в Стратегический план МСЭ.</w:t>
      </w:r>
    </w:p>
    <w:p w14:paraId="56890AC2" w14:textId="15663CB3" w:rsidR="00667812" w:rsidRPr="00500A19" w:rsidRDefault="00667812" w:rsidP="004141BA">
      <w:r w:rsidRPr="00500A19">
        <w:t>В ходе обсуждения одна из делегаций задала вопрос о том, учитывает ли предлагаемая структура опыт ВКРЭ-22 и рассматривались ли возможности ее корректировки для улучшения рабочего процесса. В ответ Директор БРЭ подтвердил, что структура во многом соответствует сложившейся практике, но остается гибкой для учета предложений Государств-Членов и меняющихся потребностей в ходе Конференции.</w:t>
      </w:r>
    </w:p>
    <w:p w14:paraId="626E967B" w14:textId="77777777" w:rsidR="00667812" w:rsidRPr="00500A19" w:rsidRDefault="00667812" w:rsidP="004141BA">
      <w:pPr>
        <w:spacing w:after="120"/>
      </w:pPr>
      <w:r w:rsidRPr="00500A19">
        <w:t>Возражений высказано не было, и предложенная структура в целом получила поддержку как прочная основа для предстоящей Конференции.</w:t>
      </w:r>
    </w:p>
    <w:tbl>
      <w:tblPr>
        <w:tblStyle w:val="TableGrid"/>
        <w:tblW w:w="0" w:type="auto"/>
        <w:tblLayout w:type="fixed"/>
        <w:tblLook w:val="04A0" w:firstRow="1" w:lastRow="0" w:firstColumn="1" w:lastColumn="0" w:noHBand="0" w:noVBand="1"/>
      </w:tblPr>
      <w:tblGrid>
        <w:gridCol w:w="9629"/>
      </w:tblGrid>
      <w:tr w:rsidR="00667812" w:rsidRPr="00500A19" w14:paraId="751E2D8D" w14:textId="77777777" w:rsidTr="6215BC2C">
        <w:tc>
          <w:tcPr>
            <w:tcW w:w="9629" w:type="dxa"/>
          </w:tcPr>
          <w:p w14:paraId="478FDD00" w14:textId="77777777" w:rsidR="00667812" w:rsidRPr="00500A19" w:rsidRDefault="00667812" w:rsidP="00A05A39">
            <w:pPr>
              <w:widowControl w:val="0"/>
              <w:spacing w:after="120"/>
              <w:rPr>
                <w:rStyle w:val="Hyperlink"/>
                <w:rFonts w:cstheme="minorHAnsi"/>
                <w:szCs w:val="22"/>
              </w:rPr>
            </w:pPr>
            <w:r w:rsidRPr="00500A19">
              <w:rPr>
                <w:rFonts w:cstheme="minorHAnsi"/>
                <w:color w:val="000000"/>
                <w:szCs w:val="22"/>
              </w:rPr>
              <w:t>КГРЭ приняла к сведению проект структуры ВКРЭ-25.</w:t>
            </w:r>
          </w:p>
        </w:tc>
      </w:tr>
    </w:tbl>
    <w:p w14:paraId="21C67149" w14:textId="6C28A30A" w:rsidR="00667812" w:rsidRPr="00500A19" w:rsidRDefault="004141BA" w:rsidP="004141BA">
      <w:pPr>
        <w:pStyle w:val="Heading2"/>
      </w:pPr>
      <w:r w:rsidRPr="00500A19">
        <w:t>7.4</w:t>
      </w:r>
      <w:r w:rsidRPr="00500A19">
        <w:tab/>
      </w:r>
      <w:r w:rsidR="00667812" w:rsidRPr="00500A19">
        <w:t>Отчет Рабочей группы КГРЭ по Декларации (КГРЭ-РГ-DEC)</w:t>
      </w:r>
    </w:p>
    <w:p w14:paraId="54F4C91F" w14:textId="60AEFF05" w:rsidR="00667812" w:rsidRPr="00500A19" w:rsidRDefault="00667812" w:rsidP="00765CDD">
      <w:pPr>
        <w:pStyle w:val="Headingb"/>
        <w:tabs>
          <w:tab w:val="clear" w:pos="907"/>
        </w:tabs>
        <w:ind w:left="0" w:firstLine="0"/>
        <w:rPr>
          <w:lang w:val="ru-RU"/>
        </w:rPr>
      </w:pPr>
      <w:r w:rsidRPr="00500A19">
        <w:rPr>
          <w:lang w:val="ru-RU"/>
        </w:rPr>
        <w:t xml:space="preserve">Документ </w:t>
      </w:r>
      <w:hyperlink r:id="rId53">
        <w:r w:rsidRPr="00500A19">
          <w:rPr>
            <w:rStyle w:val="Hyperlink"/>
            <w:rFonts w:cstheme="minorHAnsi"/>
            <w:bCs/>
            <w:szCs w:val="22"/>
            <w:lang w:val="ru-RU"/>
          </w:rPr>
          <w:t>18(Rev.3)</w:t>
        </w:r>
      </w:hyperlink>
      <w:r w:rsidRPr="00500A19">
        <w:rPr>
          <w:lang w:val="ru-RU"/>
        </w:rPr>
        <w:t xml:space="preserve"> (Председатель КГРЭ-РГ-DEC) </w:t>
      </w:r>
      <w:r w:rsidR="004141BA" w:rsidRPr="00500A19">
        <w:rPr>
          <w:lang w:val="ru-RU"/>
        </w:rPr>
        <w:sym w:font="Symbol" w:char="F02D"/>
      </w:r>
      <w:r w:rsidRPr="00500A19">
        <w:rPr>
          <w:lang w:val="ru-RU"/>
        </w:rPr>
        <w:t xml:space="preserve"> Отчет о ходе и результатах деятельности Рабочей</w:t>
      </w:r>
      <w:r w:rsidR="00691351" w:rsidRPr="00500A19">
        <w:rPr>
          <w:lang w:val="ru-RU"/>
        </w:rPr>
        <w:t> </w:t>
      </w:r>
      <w:r w:rsidRPr="00500A19">
        <w:rPr>
          <w:lang w:val="ru-RU"/>
        </w:rPr>
        <w:t>группы КГРЭ по Декларации</w:t>
      </w:r>
    </w:p>
    <w:p w14:paraId="4DD48EAA" w14:textId="77777777" w:rsidR="00667812" w:rsidRPr="00500A19" w:rsidRDefault="00667812" w:rsidP="004141BA">
      <w:r w:rsidRPr="00500A19">
        <w:t>Документ 18, содержащий проект Бакинской декларации, подготовленный Рабочей группой КГРЭ по Декларации, был представлен председателем группы д-ром Абдулкаримом Олойеде. Д-р Олойеде является одним из двух заместителей Председателя КГРЭ, представляющим Африканский регион, а также одним из сокоординаторов Неофициальной координационной группы КГРЭ по Глобальному молодежному саммиту. В отношении КГРЭ-РГ-DEC он сообщил о том, что процесс подготовки документа носит всесторонний и инклюзивный характер и в ходе него в период с декабря 2024 года по апрель 2025 года были проведены пять официальных собраний и многочисленные неофициальные консультации. Источником вдохновения для проекта послужила Кигалийская декларация, которая выстроена по принципам простоты и ясности и в которой особое внимание уделяется общим ценностям, таким как инклюзивность, приемлемость в ценовом отношении и устойчивость. Региональные вклады были интегрированы благодаря активному участию со стороны всех РПС, и были предприняты усилия для обеспечения отражения основных приоритетов каждого региона. Проект структуры включает введение, Декларацию, обязательства и призыв к действиям. Председатель подчеркнула наличие прочного консенсуса по предложенной теме ВКРЭ-25 – "</w:t>
      </w:r>
      <w:r w:rsidRPr="00500A19">
        <w:rPr>
          <w:b/>
          <w:bCs/>
          <w:i/>
          <w:iCs/>
        </w:rPr>
        <w:t>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w:t>
      </w:r>
      <w:r w:rsidRPr="00500A19">
        <w:t>", однако отметила вопросы, требующие дальнейшего обсуждения, в частности роль космических технологий и ссылки на ЦУР. Вопросы, касающиеся упоминания искусственного интеллекта, были сняты во время собрания, и соответствующая формулировка вошла в итоговый проект, согласованный КГРЭ.</w:t>
      </w:r>
    </w:p>
    <w:p w14:paraId="6E71F8E1" w14:textId="77777777" w:rsidR="00667812" w:rsidRPr="00500A19" w:rsidRDefault="00667812" w:rsidP="004141BA">
      <w:r w:rsidRPr="00500A19">
        <w:t xml:space="preserve">В ходе обсуждения Соединенные Штаты Америки выразили обеспокоенность по поводу того, что понятие "искусственный интеллект (ИИ)" вновь включено в текст Декларации без предварительного согласования, и рекомендовали удалить упоминание о нем, подчеркнув необходимость согласованности с Резолюцией 214 Полномочной конференции. Ряд Государств-Членов поддержали сохранение технологической нейтральности и высказались в пользу исключения ссылок на </w:t>
      </w:r>
      <w:r w:rsidRPr="00500A19">
        <w:lastRenderedPageBreak/>
        <w:t>конкретные технологии. Одновременно другие поддерживают сохранение упоминаний об ИИ при условии, что формулировки согласуются с существующими мандатами МСЭ.</w:t>
      </w:r>
    </w:p>
    <w:p w14:paraId="2565C9E0" w14:textId="0B4BC07F" w:rsidR="00667812" w:rsidRPr="00500A19" w:rsidRDefault="00667812" w:rsidP="004141BA">
      <w:pPr>
        <w:spacing w:after="120"/>
      </w:pPr>
      <w:r w:rsidRPr="00500A19">
        <w:t>Чтобы примирить различные мнения, во время перерыва была созвана небольшая группа. После возобновления собрания было объявлено о том, что консенсус был достигнут как по Декларации, так и по сопроводительному отчету. Было решено, что формулировка, содержащая ссылку на ИИ, будет сохранена при условии обеспечения ее соответствия Резолюции 214 и что в отчете будут точно отражены различные точки зрения по различным темам, включая передачу технологий и охват цифровыми технологиями. Этот компромиссный результат, ставший прочной основой для продолжения переговоров в преддверии ВКРЭ-25, был встречен с одобрением. Председатель</w:t>
      </w:r>
      <w:r w:rsidR="00691351" w:rsidRPr="00500A19">
        <w:t> </w:t>
      </w:r>
      <w:r w:rsidRPr="00500A19">
        <w:t>представила этот документ в качестве базового текста для Декларации, не имеющего обязательной</w:t>
      </w:r>
      <w:r w:rsidR="004141BA" w:rsidRPr="00500A19">
        <w:t> </w:t>
      </w:r>
      <w:r w:rsidRPr="00500A19">
        <w:t>силы.</w:t>
      </w:r>
    </w:p>
    <w:tbl>
      <w:tblPr>
        <w:tblStyle w:val="TableGrid"/>
        <w:tblW w:w="0" w:type="auto"/>
        <w:tblLayout w:type="fixed"/>
        <w:tblLook w:val="04A0" w:firstRow="1" w:lastRow="0" w:firstColumn="1" w:lastColumn="0" w:noHBand="0" w:noVBand="1"/>
      </w:tblPr>
      <w:tblGrid>
        <w:gridCol w:w="9629"/>
      </w:tblGrid>
      <w:tr w:rsidR="00667812" w:rsidRPr="00500A19" w14:paraId="52D6FCB1" w14:textId="77777777" w:rsidTr="45F85149">
        <w:tc>
          <w:tcPr>
            <w:tcW w:w="9629" w:type="dxa"/>
          </w:tcPr>
          <w:p w14:paraId="4CFE4CD9" w14:textId="11CFD58C" w:rsidR="00667812" w:rsidRPr="00500A19" w:rsidRDefault="00667812" w:rsidP="00A05A39">
            <w:pPr>
              <w:widowControl w:val="0"/>
              <w:spacing w:after="120"/>
              <w:rPr>
                <w:rFonts w:eastAsia="Calibri" w:cstheme="minorHAnsi"/>
                <w:szCs w:val="22"/>
              </w:rPr>
            </w:pPr>
            <w:r w:rsidRPr="00500A19">
              <w:rPr>
                <w:rFonts w:cstheme="minorHAnsi"/>
                <w:color w:val="000000"/>
                <w:szCs w:val="22"/>
              </w:rPr>
              <w:t>КГРЭ приняла к сведению Отчет Рабочей группы по Декларации и приняла решение предоставить полный отчет, включая приложение к нему, Государствам-Членам, всем членам МСЭ и региональным организациям электросвязи в качестве необязательного справочного документа на этапе подготовки к ВКРЭ-25. Этот отчет будет также включен в общий отчет Председателя КГРЭ для ВКРЭ и будет соответствующим образом упоминаться в целях содействия подготовке Государств</w:t>
            </w:r>
            <w:r w:rsidR="00691351" w:rsidRPr="00500A19">
              <w:rPr>
                <w:rFonts w:cstheme="minorHAnsi"/>
                <w:color w:val="000000"/>
                <w:szCs w:val="22"/>
              </w:rPr>
              <w:t>­</w:t>
            </w:r>
            <w:r w:rsidRPr="00500A19">
              <w:rPr>
                <w:rFonts w:cstheme="minorHAnsi"/>
                <w:color w:val="000000"/>
                <w:szCs w:val="22"/>
              </w:rPr>
              <w:t>Членов. КГРЭ также утвердила тему ВКРЭ-25 – "</w:t>
            </w:r>
            <w:r w:rsidRPr="00500A19">
              <w:rPr>
                <w:rFonts w:cstheme="minorHAnsi"/>
                <w:b/>
                <w:bCs/>
                <w:i/>
                <w:iCs/>
                <w:color w:val="000000"/>
                <w:szCs w:val="22"/>
              </w:rPr>
              <w:t>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w:t>
            </w:r>
            <w:r w:rsidRPr="00500A19">
              <w:rPr>
                <w:rFonts w:cstheme="minorHAnsi"/>
                <w:color w:val="000000"/>
                <w:szCs w:val="22"/>
              </w:rPr>
              <w:t>".</w:t>
            </w:r>
          </w:p>
        </w:tc>
      </w:tr>
    </w:tbl>
    <w:p w14:paraId="2B44DCE3" w14:textId="5F165EEF"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54">
        <w:r w:rsidRPr="00500A19">
          <w:rPr>
            <w:rStyle w:val="Hyperlink"/>
            <w:rFonts w:cstheme="minorHAnsi"/>
            <w:bCs/>
            <w:szCs w:val="22"/>
            <w:lang w:val="ru-RU"/>
          </w:rPr>
          <w:t>44</w:t>
        </w:r>
      </w:hyperlink>
      <w:r w:rsidRPr="00500A19">
        <w:rPr>
          <w:lang w:val="ru-RU"/>
        </w:rPr>
        <w:t xml:space="preserve"> (Лига арабских государств) </w:t>
      </w:r>
      <w:r w:rsidR="009C4A14" w:rsidRPr="00500A19">
        <w:rPr>
          <w:lang w:val="ru-RU"/>
        </w:rPr>
        <w:sym w:font="Symbol" w:char="F02D"/>
      </w:r>
      <w:r w:rsidRPr="00500A19">
        <w:rPr>
          <w:lang w:val="ru-RU"/>
        </w:rPr>
        <w:t xml:space="preserve"> Общее предложение арабских государств по проекту пересмотра Бакинской декларации 2025 года</w:t>
      </w:r>
    </w:p>
    <w:p w14:paraId="0BDAC19E" w14:textId="77777777" w:rsidR="008B7295" w:rsidRPr="00500A19" w:rsidRDefault="008B7295" w:rsidP="009C4A14">
      <w:pPr>
        <w:spacing w:after="120"/>
      </w:pPr>
      <w:r w:rsidRPr="00500A19">
        <w:t>КГРЭ была уведомлена о том, что этот документ обсуждался в КГРЭ-РГ-DEC в ходе подготовительного процесса разработки проекта декларации.</w:t>
      </w:r>
    </w:p>
    <w:tbl>
      <w:tblPr>
        <w:tblStyle w:val="TableGrid"/>
        <w:tblW w:w="0" w:type="auto"/>
        <w:tblLayout w:type="fixed"/>
        <w:tblLook w:val="04A0" w:firstRow="1" w:lastRow="0" w:firstColumn="1" w:lastColumn="0" w:noHBand="0" w:noVBand="1"/>
      </w:tblPr>
      <w:tblGrid>
        <w:gridCol w:w="9629"/>
      </w:tblGrid>
      <w:tr w:rsidR="008B7295" w:rsidRPr="00500A19" w14:paraId="2A42FECD" w14:textId="77777777" w:rsidTr="6215BC2C">
        <w:tc>
          <w:tcPr>
            <w:tcW w:w="9629" w:type="dxa"/>
          </w:tcPr>
          <w:p w14:paraId="62427302" w14:textId="77777777" w:rsidR="008B7295" w:rsidRPr="00500A19" w:rsidRDefault="008B7295" w:rsidP="00A05A39">
            <w:pPr>
              <w:widowControl w:val="0"/>
              <w:spacing w:after="120"/>
              <w:rPr>
                <w:rStyle w:val="Hyperlink"/>
                <w:rFonts w:cstheme="minorHAnsi"/>
                <w:szCs w:val="22"/>
              </w:rPr>
            </w:pPr>
            <w:r w:rsidRPr="00500A19">
              <w:rPr>
                <w:rFonts w:cstheme="minorHAnsi"/>
                <w:color w:val="000000"/>
                <w:szCs w:val="22"/>
              </w:rPr>
              <w:t>КГРЭ приняла этот вклад к сведению, при том понимании что содержащиеся в нем предложения включены в отчет Рабочей группы по Декларации, представленный в Документе 18(Rev.3).</w:t>
            </w:r>
          </w:p>
        </w:tc>
      </w:tr>
    </w:tbl>
    <w:p w14:paraId="6735C79A" w14:textId="2635369B"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55">
        <w:r w:rsidRPr="00500A19">
          <w:rPr>
            <w:rStyle w:val="Hyperlink"/>
            <w:rFonts w:cstheme="minorHAnsi"/>
            <w:szCs w:val="22"/>
            <w:lang w:val="ru-RU"/>
          </w:rPr>
          <w:t>53</w:t>
        </w:r>
      </w:hyperlink>
      <w:r w:rsidRPr="00500A19">
        <w:rPr>
          <w:lang w:val="ru-RU"/>
        </w:rPr>
        <w:t xml:space="preserve"> (Китайская Народная Республика) </w:t>
      </w:r>
      <w:r w:rsidR="009C4A14" w:rsidRPr="00500A19">
        <w:rPr>
          <w:lang w:val="ru-RU"/>
        </w:rPr>
        <w:sym w:font="Symbol" w:char="F02D"/>
      </w:r>
      <w:r w:rsidRPr="00500A19">
        <w:rPr>
          <w:lang w:val="ru-RU"/>
        </w:rPr>
        <w:t xml:space="preserve"> Проект предложения по Бакинской декларации 2025 года</w:t>
      </w:r>
    </w:p>
    <w:p w14:paraId="15374394" w14:textId="77777777" w:rsidR="008B7295" w:rsidRPr="00500A19" w:rsidRDefault="008B7295" w:rsidP="009C4A14">
      <w:pPr>
        <w:spacing w:after="120"/>
      </w:pPr>
      <w:r w:rsidRPr="00500A19">
        <w:t>КГРЭ была уведомлена о том, что этот документ обсуждался в КГРЭ-РГ-DEC в ходе подготовительного процесса разработки проекта декларации.</w:t>
      </w:r>
    </w:p>
    <w:tbl>
      <w:tblPr>
        <w:tblStyle w:val="TableGrid"/>
        <w:tblW w:w="0" w:type="auto"/>
        <w:tblLayout w:type="fixed"/>
        <w:tblLook w:val="04A0" w:firstRow="1" w:lastRow="0" w:firstColumn="1" w:lastColumn="0" w:noHBand="0" w:noVBand="1"/>
      </w:tblPr>
      <w:tblGrid>
        <w:gridCol w:w="9629"/>
      </w:tblGrid>
      <w:tr w:rsidR="008B7295" w:rsidRPr="00500A19" w14:paraId="15AF17F3" w14:textId="77777777" w:rsidTr="6215BC2C">
        <w:tc>
          <w:tcPr>
            <w:tcW w:w="9629" w:type="dxa"/>
          </w:tcPr>
          <w:p w14:paraId="04283613" w14:textId="4E801251" w:rsidR="008B7295" w:rsidRPr="00500A19" w:rsidRDefault="008B7295" w:rsidP="00A05A39">
            <w:pPr>
              <w:widowControl w:val="0"/>
              <w:spacing w:after="120"/>
              <w:rPr>
                <w:rStyle w:val="Hyperlink"/>
                <w:rFonts w:cstheme="minorHAnsi"/>
                <w:szCs w:val="22"/>
              </w:rPr>
            </w:pPr>
            <w:r w:rsidRPr="00500A19">
              <w:rPr>
                <w:rFonts w:cstheme="minorHAnsi"/>
                <w:color w:val="000000"/>
                <w:szCs w:val="22"/>
              </w:rPr>
              <w:t>КГРЭ приняла этот вклад к сведению, при том понимании что содержащиеся в нем предложения включены в отчет Рабочей группы по Декларации, представленный в Документе 18(Rev.3).</w:t>
            </w:r>
          </w:p>
        </w:tc>
      </w:tr>
    </w:tbl>
    <w:p w14:paraId="79367CB9" w14:textId="38E6D8D4"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56">
        <w:r w:rsidRPr="00500A19">
          <w:rPr>
            <w:rStyle w:val="Hyperlink"/>
            <w:rFonts w:cstheme="minorHAnsi"/>
            <w:bCs/>
            <w:szCs w:val="22"/>
            <w:lang w:val="ru-RU"/>
          </w:rPr>
          <w:t>57</w:t>
        </w:r>
      </w:hyperlink>
      <w:r w:rsidRPr="00500A19">
        <w:rPr>
          <w:lang w:val="ru-RU"/>
        </w:rPr>
        <w:t xml:space="preserve"> (Соединенные Штаты Америки) </w:t>
      </w:r>
      <w:r w:rsidR="009C4A14" w:rsidRPr="00500A19">
        <w:rPr>
          <w:lang w:val="ru-RU"/>
        </w:rPr>
        <w:sym w:font="Symbol" w:char="F02D"/>
      </w:r>
      <w:r w:rsidRPr="00500A19">
        <w:rPr>
          <w:lang w:val="ru-RU"/>
        </w:rPr>
        <w:t xml:space="preserve"> Предлагаемые варианты пересмотра проекта Декларации ВКРЭ-25</w:t>
      </w:r>
    </w:p>
    <w:p w14:paraId="3A5BAEEE" w14:textId="77777777" w:rsidR="008B7295" w:rsidRPr="00500A19" w:rsidRDefault="008B7295" w:rsidP="00A05A39">
      <w:pPr>
        <w:widowControl w:val="0"/>
        <w:spacing w:after="120"/>
        <w:rPr>
          <w:rFonts w:cstheme="minorHAnsi"/>
          <w:szCs w:val="22"/>
        </w:rPr>
      </w:pPr>
      <w:r w:rsidRPr="00500A19">
        <w:rPr>
          <w:rFonts w:cstheme="minorHAnsi"/>
          <w:szCs w:val="22"/>
        </w:rPr>
        <w:t>КГРЭ была уведомлена о том, что этот документ обсуждался в КГРЭ-РГ-DEC в ходе подготовительного процесса разработки проекта декларации.</w:t>
      </w:r>
    </w:p>
    <w:tbl>
      <w:tblPr>
        <w:tblStyle w:val="TableGrid"/>
        <w:tblW w:w="0" w:type="auto"/>
        <w:tblLayout w:type="fixed"/>
        <w:tblLook w:val="04A0" w:firstRow="1" w:lastRow="0" w:firstColumn="1" w:lastColumn="0" w:noHBand="0" w:noVBand="1"/>
      </w:tblPr>
      <w:tblGrid>
        <w:gridCol w:w="9629"/>
      </w:tblGrid>
      <w:tr w:rsidR="008B7295" w:rsidRPr="00500A19" w14:paraId="0476D9FE" w14:textId="77777777" w:rsidTr="6215BC2C">
        <w:tc>
          <w:tcPr>
            <w:tcW w:w="9629" w:type="dxa"/>
          </w:tcPr>
          <w:p w14:paraId="6A52C5B0" w14:textId="3BABF26D" w:rsidR="008B7295" w:rsidRPr="00500A19" w:rsidRDefault="008B7295" w:rsidP="00A05A39">
            <w:pPr>
              <w:keepNext/>
              <w:keepLines/>
              <w:widowControl w:val="0"/>
              <w:spacing w:after="120"/>
              <w:rPr>
                <w:rStyle w:val="Hyperlink"/>
                <w:rFonts w:cstheme="minorHAnsi"/>
                <w:szCs w:val="22"/>
              </w:rPr>
            </w:pPr>
            <w:r w:rsidRPr="00500A19">
              <w:rPr>
                <w:rFonts w:cstheme="minorHAnsi"/>
                <w:color w:val="000000"/>
                <w:szCs w:val="22"/>
              </w:rPr>
              <w:t>КГРЭ приняла этот вклад к сведению, при том понимании что содержащиеся в нем предложения включены в отчет Рабочей группы по Декларации, представленный в Документе 18(Rev.3).</w:t>
            </w:r>
          </w:p>
        </w:tc>
      </w:tr>
    </w:tbl>
    <w:p w14:paraId="5E958BB6" w14:textId="167180B5" w:rsidR="008B7295" w:rsidRPr="00500A19" w:rsidRDefault="009C4A14" w:rsidP="00475C13">
      <w:pPr>
        <w:pStyle w:val="Heading2"/>
        <w:pageBreakBefore/>
        <w:spacing w:before="0"/>
      </w:pPr>
      <w:r w:rsidRPr="00500A19">
        <w:lastRenderedPageBreak/>
        <w:t>7.5</w:t>
      </w:r>
      <w:r w:rsidRPr="00500A19">
        <w:tab/>
      </w:r>
      <w:r w:rsidR="008B7295" w:rsidRPr="00500A19">
        <w:t>Отчет Рабочей группы КГРЭ по будущему Вопросов исследовательских комиссий (КГРЭ</w:t>
      </w:r>
      <w:r w:rsidRPr="00500A19">
        <w:t>­</w:t>
      </w:r>
      <w:r w:rsidR="008B7295" w:rsidRPr="00500A19">
        <w:t>РГ</w:t>
      </w:r>
      <w:r w:rsidRPr="00500A19">
        <w:t>­</w:t>
      </w:r>
      <w:r w:rsidR="008B7295" w:rsidRPr="00500A19">
        <w:t>futureSQ)</w:t>
      </w:r>
    </w:p>
    <w:p w14:paraId="2A1DA5ED" w14:textId="68CFE7EF"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57">
        <w:r w:rsidRPr="00500A19">
          <w:rPr>
            <w:rStyle w:val="Hyperlink"/>
            <w:rFonts w:cstheme="minorHAnsi"/>
            <w:bCs/>
            <w:szCs w:val="22"/>
            <w:lang w:val="ru-RU"/>
          </w:rPr>
          <w:t>19(Rev.2)</w:t>
        </w:r>
      </w:hyperlink>
      <w:r w:rsidRPr="00500A19">
        <w:rPr>
          <w:lang w:val="ru-RU"/>
        </w:rPr>
        <w:t xml:space="preserve"> (Председатель КГРЭ-РГ-futureSQ) </w:t>
      </w:r>
      <w:r w:rsidR="009C4A14" w:rsidRPr="00500A19">
        <w:rPr>
          <w:lang w:val="ru-RU"/>
        </w:rPr>
        <w:sym w:font="Symbol" w:char="F02D"/>
      </w:r>
      <w:r w:rsidRPr="00500A19">
        <w:rPr>
          <w:lang w:val="ru-RU"/>
        </w:rPr>
        <w:t xml:space="preserve"> Отчет о деятельности Рабочей группы КГРЭ по будущему Вопросов исследовательских комиссий (КГРЭ-РГ-futureSGQ)</w:t>
      </w:r>
    </w:p>
    <w:p w14:paraId="4E7342A6" w14:textId="77777777" w:rsidR="008B7295" w:rsidRPr="00500A19" w:rsidRDefault="008B7295" w:rsidP="009C4A14">
      <w:pPr>
        <w:rPr>
          <w:color w:val="000000" w:themeColor="text1"/>
        </w:rPr>
      </w:pPr>
      <w:r w:rsidRPr="00500A19">
        <w:t>Документ 19(Rev.2) был представлен Председателем КГРЭ-РГ-futureSGQ д-ром Ахмадом Шарафатом в качестве заключительного отчета этой Рабочей группы КГРЭ. Будучи одним из двух заместителей Председателя КГРЭ от Азиатско-Тихоокеанского региона, д-р Шарафат также являлся представителем КГРЭ в МСКГ и заместителем председателя Рабочей группы КГРЭ по приоритетам МСЭ-D. Что касается КГРЭ-РГ-futureSGQ, д-р Шарафат рассказал о мандате группы, предполагающем оказание Государствам-Членам помощи в подготовке к ВКРЭ-25 путем изучения структуры и содержания исследуемых Вопросов и согласования их с приоритетами МСЭ-D, региональными инициативами и Целями в области устойчивого развития. В отчете обобщены материалы продолжительных консультаций, в том числе вклады региональных организаций и Государств-Членов, по итогам которых было внесено предложение сохранить две исследовательские комиссии, каждая из которых будет заниматься пятью упорядоченными Вопросами. В Дополнении 4 к отчету содержатся предлагаемые пересмотры Резолюции 2, в том числе обновленные сферы охвата и названия вопросов, а в Дополнении 5 собраны предлагаемые изменения к кругу ведения, которые не обсуждались подробно во время собраний группы.</w:t>
      </w:r>
    </w:p>
    <w:p w14:paraId="36D0B412" w14:textId="77777777" w:rsidR="008B7295" w:rsidRPr="00500A19" w:rsidRDefault="008B7295" w:rsidP="009C4A14">
      <w:pPr>
        <w:spacing w:after="120"/>
        <w:rPr>
          <w:color w:val="000000" w:themeColor="text1"/>
        </w:rPr>
      </w:pPr>
      <w:r w:rsidRPr="00500A19">
        <w:t>В ходе обсуждения Государства-Члены дали положительную оценку прозрачному и всеобъемлющему процессу в рамках Рабочей группы. Одно Государство-Член попросило пояснить, как будут рассматриваться различные приложения в контексте ВКРЭ, подчеркнув необходимость делать различие между согласованными предложениями и информационными материалами. Председатель и Директор БРЭ пояснили, что Дополнение 4 может служить не имеющим обязательной силы базовым документом при подготовке к ВКРЭ, тогда как полный отчет, включая все дополнения, будет предоставлен Государствам-Членам в помощь при подготовке предложений. Многие делегации высказались за этот подход, подчеркнув важную роль отчета в предотвращении дублирования и укреплении региональной координации. Было решено, что КГРЭ включит этот отчет в свой официальный итоговый документ, четко определив характер и цель каждого дополнения, в частности для обеспечения прозрачности и применимости при проведении межрегиональных собраний и самой ВКРЭ. В заключение Председатель подтвердил, что предложение по работе с данным документом будет отражено в выводах собрания.</w:t>
      </w:r>
    </w:p>
    <w:tbl>
      <w:tblPr>
        <w:tblStyle w:val="TableGrid"/>
        <w:tblW w:w="0" w:type="auto"/>
        <w:tblLayout w:type="fixed"/>
        <w:tblLook w:val="04A0" w:firstRow="1" w:lastRow="0" w:firstColumn="1" w:lastColumn="0" w:noHBand="0" w:noVBand="1"/>
      </w:tblPr>
      <w:tblGrid>
        <w:gridCol w:w="9629"/>
      </w:tblGrid>
      <w:tr w:rsidR="008B7295" w:rsidRPr="00500A19" w14:paraId="2705E509" w14:textId="77777777" w:rsidTr="6215BC2C">
        <w:tc>
          <w:tcPr>
            <w:tcW w:w="9629" w:type="dxa"/>
          </w:tcPr>
          <w:p w14:paraId="7F98E13D" w14:textId="77777777" w:rsidR="008B7295" w:rsidRPr="00500A19" w:rsidRDefault="008B7295" w:rsidP="00A05A39">
            <w:pPr>
              <w:widowControl w:val="0"/>
              <w:spacing w:after="120"/>
              <w:rPr>
                <w:rFonts w:cstheme="minorHAnsi"/>
                <w:szCs w:val="22"/>
              </w:rPr>
            </w:pPr>
            <w:r w:rsidRPr="00500A19">
              <w:rPr>
                <w:rFonts w:cstheme="minorHAnsi"/>
                <w:color w:val="000000"/>
                <w:szCs w:val="22"/>
              </w:rPr>
              <w:t>КГРЭ приняла к сведению отчет Рабочей группы по будущему исследуемых Вопросов и решила предоставить полный отчет, включая приложения к нему, в распоряжение Государств-Членов, всех членов и региональных организаций электросвязи в качестве не имеющего обязательной силы справочного документа при подготовке к ВКРЭ-25. Отчет Рабочей группы будет также включен в общий отчет Председателя КГРЭ для ВКРЭ, и на него будет сделана соответствующая ссылка в помощь Государствам-Членам в процессе подготовки.</w:t>
            </w:r>
          </w:p>
        </w:tc>
      </w:tr>
    </w:tbl>
    <w:p w14:paraId="2830581F" w14:textId="14375AB8"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58">
        <w:r w:rsidRPr="00500A19">
          <w:rPr>
            <w:rStyle w:val="Hyperlink"/>
            <w:rFonts w:cstheme="minorHAnsi"/>
            <w:bCs/>
            <w:szCs w:val="22"/>
            <w:lang w:val="ru-RU"/>
          </w:rPr>
          <w:t>42</w:t>
        </w:r>
      </w:hyperlink>
      <w:r w:rsidRPr="00500A19">
        <w:rPr>
          <w:lang w:val="ru-RU"/>
        </w:rPr>
        <w:t xml:space="preserve"> (Азиатско-Тихоокеанское сообщество электросвязи (АТСЭ)) </w:t>
      </w:r>
      <w:r w:rsidR="009C4A14" w:rsidRPr="00500A19">
        <w:rPr>
          <w:lang w:val="ru-RU"/>
        </w:rPr>
        <w:sym w:font="Symbol" w:char="F02D"/>
      </w:r>
      <w:r w:rsidRPr="00500A19">
        <w:rPr>
          <w:lang w:val="ru-RU"/>
        </w:rPr>
        <w:t xml:space="preserve"> Мнение АТСЭ по исследуемым Вопросам на исследовательский период 2025−2029 годов</w:t>
      </w:r>
    </w:p>
    <w:p w14:paraId="61B16C89" w14:textId="77777777" w:rsidR="008B7295" w:rsidRPr="00500A19" w:rsidRDefault="008B7295" w:rsidP="009C4A14">
      <w:pPr>
        <w:spacing w:after="120"/>
      </w:pPr>
      <w:r w:rsidRPr="00500A19">
        <w:t xml:space="preserve">Документ 42, в котором изложены мнения Азиатско-Тихоокеанского сообщества электросвязи (АТСЭ) на исследовательский период 2025–2029 годов, не был официально представлен на пленарном заседании, однако был принят к сведению Председателем Рабочей группы по будущему исследуемых Вопросов д-ром Ахмадом Шарафатом. Он подтвердил, что вклад АТСЭ был всесторонне рассмотрен в ходе консультаций группы и включен в сводные предложения, изложенные в Документе 19(Rev.2). Заместитель Председателя Рабочей группы 1 АТСЭ также подтвердил, что мнения, изложенные в Документе 42, уже были представлены в процессе обсуждений в Рабочей группе. В итоге КГРЭ приняла документ к сведению без дальнейшего обсуждения, признав его </w:t>
      </w:r>
      <w:r w:rsidRPr="00500A19">
        <w:lastRenderedPageBreak/>
        <w:t>важным региональным вкладом, послужившим основой для более масштабного сближения позиций в отношении реформы исследуемых вопросов в преддверии ВКРЭ-25.</w:t>
      </w:r>
    </w:p>
    <w:tbl>
      <w:tblPr>
        <w:tblStyle w:val="TableGrid"/>
        <w:tblW w:w="0" w:type="auto"/>
        <w:tblLayout w:type="fixed"/>
        <w:tblLook w:val="04A0" w:firstRow="1" w:lastRow="0" w:firstColumn="1" w:lastColumn="0" w:noHBand="0" w:noVBand="1"/>
      </w:tblPr>
      <w:tblGrid>
        <w:gridCol w:w="9629"/>
      </w:tblGrid>
      <w:tr w:rsidR="008B7295" w:rsidRPr="00500A19" w14:paraId="30B6EFB5" w14:textId="77777777" w:rsidTr="6215BC2C">
        <w:tc>
          <w:tcPr>
            <w:tcW w:w="9629" w:type="dxa"/>
          </w:tcPr>
          <w:p w14:paraId="6E9DA459" w14:textId="502A5CFD" w:rsidR="008B7295" w:rsidRPr="00500A19" w:rsidRDefault="00D233E1" w:rsidP="00A05A39">
            <w:pPr>
              <w:widowControl w:val="0"/>
              <w:spacing w:after="120"/>
              <w:rPr>
                <w:rStyle w:val="Hyperlink"/>
                <w:rFonts w:cstheme="minorHAnsi"/>
                <w:szCs w:val="22"/>
              </w:rPr>
            </w:pPr>
            <w:r w:rsidRPr="00500A19">
              <w:rPr>
                <w:color w:val="000000" w:themeColor="text1"/>
              </w:rPr>
              <w:br w:type="page"/>
            </w:r>
            <w:r w:rsidR="008B7295" w:rsidRPr="00500A19">
              <w:rPr>
                <w:rFonts w:cstheme="minorHAnsi"/>
                <w:color w:val="000000"/>
                <w:szCs w:val="22"/>
              </w:rPr>
              <w:t>КГРЭ приняла этот вклад к сведению, при том понимании что содержащиеся в нем предложения включены в отчет Рабочей группы по будущему Вопросов исследовательских комиссий, который представлен в Документе 19(Rev.2).</w:t>
            </w:r>
          </w:p>
        </w:tc>
      </w:tr>
    </w:tbl>
    <w:p w14:paraId="7516B284" w14:textId="68B756F3"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59">
        <w:r w:rsidRPr="00500A19">
          <w:rPr>
            <w:rStyle w:val="Hyperlink"/>
            <w:rFonts w:cstheme="minorHAnsi"/>
            <w:bCs/>
            <w:szCs w:val="22"/>
            <w:lang w:val="ru-RU"/>
          </w:rPr>
          <w:t>47</w:t>
        </w:r>
      </w:hyperlink>
      <w:r w:rsidRPr="00500A19">
        <w:rPr>
          <w:lang w:val="ru-RU"/>
        </w:rPr>
        <w:t xml:space="preserve"> (Египет и Иордания) </w:t>
      </w:r>
      <w:r w:rsidR="009C4A14" w:rsidRPr="00500A19">
        <w:rPr>
          <w:lang w:val="ru-RU"/>
        </w:rPr>
        <w:sym w:font="Symbol" w:char="F02D"/>
      </w:r>
      <w:r w:rsidRPr="00500A19">
        <w:rPr>
          <w:lang w:val="ru-RU"/>
        </w:rPr>
        <w:t xml:space="preserve"> Будущее Вопросов исследовательских комиссий</w:t>
      </w:r>
    </w:p>
    <w:p w14:paraId="02CB61E6" w14:textId="77777777" w:rsidR="008B7295" w:rsidRPr="00500A19" w:rsidRDefault="008B7295" w:rsidP="009C4A14">
      <w:r w:rsidRPr="00500A19">
        <w:t>Иордания от имени Лиги арабских государств представила вклад о будущем Вопросов исследовательских комиссий МСЭ-D (Документ 47). В выступлении рассказывалось о региональных консультациях, итоги которых легли в основу предложения, включая собрание, состоявшееся в Аммане, и была подчеркнута необходимость оптимизировать и обновить исследуемые Вопросы, сохранив при этом их согласованность с региональными приоритетами. В предложении поддерживается идея сокращения числа Вопросов с семи до пяти на каждую исследовательскую комиссию и предложено пять тематических направлений в качестве ориентиров реструктуризации. Конкретные рекомендации предусматривают наращивание целенаправленных усилий по обеспечению устойчивости и гибкости систем электросвязи в чрезвычайных ситуациях, учет соображений в отношении затрат при обсуждении вопросов доступности, а также обновление вопросов, связанных с кибербезопасностью, с тем чтобы отразить в них возникающие угрозы, такие как утечка данных и целенаправленные атаки. Кроме того, арабские государства призвали исключить из формулировки вопроса термин "передовой опыт" и предложили объединить такие темы как ИИ, метавселенная и инновации в сфере регулирования в рамках более широкого вопроса о новых тенденциях и технологиях.</w:t>
      </w:r>
    </w:p>
    <w:p w14:paraId="4F77766B" w14:textId="77777777" w:rsidR="008B7295" w:rsidRPr="00500A19" w:rsidRDefault="008B7295" w:rsidP="009C4A14">
      <w:pPr>
        <w:spacing w:after="120"/>
      </w:pPr>
      <w:r w:rsidRPr="00500A19">
        <w:t>В ходе обсуждения еще один делегат высказался в поддержку предложенных обновлений и подчеркнул важность включения стоимостных и регуляторных аспектов в будущие Вопросы. Председатель Рабочей группы по будущему исследуемых Вопросов д-р Шарафат подтвердил, что вклад арабских государств уже был рассмотрен и учтен в обсуждениях Рабочей группы, а также нашел отражение в Добавлении 3 к Документу 19(Rev.2). Председатель поблагодарил Иорданию за поддержку мнений арабских государств и выразил признательность за их вклад как ценную составляющую более масштабных усилий по достижению консенсуса.</w:t>
      </w:r>
    </w:p>
    <w:tbl>
      <w:tblPr>
        <w:tblStyle w:val="TableGrid"/>
        <w:tblW w:w="0" w:type="auto"/>
        <w:tblLayout w:type="fixed"/>
        <w:tblLook w:val="04A0" w:firstRow="1" w:lastRow="0" w:firstColumn="1" w:lastColumn="0" w:noHBand="0" w:noVBand="1"/>
      </w:tblPr>
      <w:tblGrid>
        <w:gridCol w:w="9629"/>
      </w:tblGrid>
      <w:tr w:rsidR="008B7295" w:rsidRPr="00500A19" w14:paraId="5D2AA52A" w14:textId="77777777" w:rsidTr="6215BC2C">
        <w:tc>
          <w:tcPr>
            <w:tcW w:w="9629" w:type="dxa"/>
          </w:tcPr>
          <w:p w14:paraId="3506B3C0" w14:textId="77777777" w:rsidR="008B7295" w:rsidRPr="00500A19" w:rsidRDefault="008B7295" w:rsidP="00A05A39">
            <w:pPr>
              <w:widowControl w:val="0"/>
              <w:spacing w:after="120"/>
              <w:rPr>
                <w:rStyle w:val="Hyperlink"/>
                <w:rFonts w:cstheme="minorHAnsi"/>
                <w:szCs w:val="22"/>
              </w:rPr>
            </w:pPr>
            <w:r w:rsidRPr="00500A19">
              <w:rPr>
                <w:rFonts w:cstheme="minorHAnsi"/>
                <w:color w:val="000000"/>
                <w:szCs w:val="22"/>
              </w:rPr>
              <w:t>КГРЭ приняла этот вклад к сведению, при том понимании что содержащиеся в нем предложения включены в отчет Рабочей группы по будущему Вопросов исследовательских комиссий, представленный в Документе 19(Rev.2).</w:t>
            </w:r>
          </w:p>
        </w:tc>
      </w:tr>
    </w:tbl>
    <w:p w14:paraId="480F22FC" w14:textId="7F4EFF56" w:rsidR="008B7295" w:rsidRPr="00500A19" w:rsidRDefault="009C4A14" w:rsidP="009C4A14">
      <w:pPr>
        <w:pStyle w:val="Heading2"/>
      </w:pPr>
      <w:r w:rsidRPr="00500A19">
        <w:t>7.6</w:t>
      </w:r>
      <w:r w:rsidRPr="00500A19">
        <w:tab/>
      </w:r>
      <w:r w:rsidR="008B7295" w:rsidRPr="00500A19">
        <w:t>Отчет Рабочей группы КГРЭ по упорядочению Резолюций (КГРЭ-РГ-SR)</w:t>
      </w:r>
    </w:p>
    <w:p w14:paraId="07BDF883" w14:textId="2A8709AC"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60">
        <w:r w:rsidRPr="00500A19">
          <w:rPr>
            <w:rStyle w:val="Hyperlink"/>
            <w:rFonts w:cstheme="minorHAnsi"/>
            <w:bCs/>
            <w:szCs w:val="22"/>
            <w:lang w:val="ru-RU"/>
          </w:rPr>
          <w:t>20(Rev.1)</w:t>
        </w:r>
      </w:hyperlink>
      <w:r w:rsidRPr="00500A19">
        <w:rPr>
          <w:lang w:val="ru-RU"/>
        </w:rPr>
        <w:t xml:space="preserve"> (Председатель КГРЭ-РГ-SR)</w:t>
      </w:r>
      <w:r w:rsidR="009C4A14" w:rsidRPr="00500A19">
        <w:rPr>
          <w:lang w:val="ru-RU"/>
        </w:rPr>
        <w:t xml:space="preserve"> </w:t>
      </w:r>
      <w:r w:rsidR="009C4A14" w:rsidRPr="00500A19">
        <w:rPr>
          <w:lang w:val="ru-RU"/>
        </w:rPr>
        <w:sym w:font="Symbol" w:char="F02D"/>
      </w:r>
      <w:r w:rsidRPr="00500A19">
        <w:rPr>
          <w:lang w:val="ru-RU"/>
        </w:rPr>
        <w:t xml:space="preserve"> Отчет о деятельности Рабочей группы КГРЭ по будущему Вопросов исследовательских комиссий (КГРЭ-РГ-SR)</w:t>
      </w:r>
    </w:p>
    <w:p w14:paraId="1DF380B3" w14:textId="77777777" w:rsidR="008B7295" w:rsidRPr="00500A19" w:rsidRDefault="008B7295" w:rsidP="009C4A14">
      <w:pPr>
        <w:rPr>
          <w:rFonts w:eastAsia="Calibri"/>
        </w:rPr>
      </w:pPr>
      <w:r w:rsidRPr="00500A19">
        <w:t>Председатель КГРЭ-РГ-SR г-жа Андреа Гриппа, один из двух заместителей Председателя КГРЭ от региона Северной и Южной Америки, представила отчет о деятельности Рабочей группы, которая провела шесть собраний в течение приблизительно восемнадцати месяцев, включая заключительное заседание 2 мая 2025 года.</w:t>
      </w:r>
    </w:p>
    <w:p w14:paraId="219D14F7" w14:textId="224B9BA6" w:rsidR="008B7295" w:rsidRPr="00500A19" w:rsidRDefault="008B7295" w:rsidP="009C4A14">
      <w:pPr>
        <w:rPr>
          <w:rFonts w:eastAsia="Calibri"/>
        </w:rPr>
      </w:pPr>
      <w:r w:rsidRPr="00500A19">
        <w:t xml:space="preserve">В отчете описывается применявшийся подход: Резолюции были сгруппированы в десять (10) тематических блоков; Австралия, Бразилия, Канада, Доминиканская Республика, Гана, Российская Федерация, Судан и Малайзия вызвались координировать шесть из них. В КГРЭ-РГ-SR было представлено несколько вкладов по Резолюциям ВКРЭ, краткий обзор которых приводится в Приложении к Документу 20. Председатель рекомендовала представить новые вклады на предстоящих виртуальных межрегиональных собраниях (МРС), которые состоятся в июле и сентябре 2025 года. Несколько делегаций отметили, что при упорядочении Резолюций членам следует </w:t>
      </w:r>
      <w:r w:rsidRPr="00500A19">
        <w:lastRenderedPageBreak/>
        <w:t>проявлять осмотрительность, чтобы избежать размывания или потери смысла Резолюции ВКРЭ, особенно по вопросам, касающимся Сектора развития.</w:t>
      </w:r>
    </w:p>
    <w:p w14:paraId="223A1B94" w14:textId="69A1A046" w:rsidR="008B7295" w:rsidRPr="00500A19" w:rsidRDefault="008B7295" w:rsidP="009C4A14">
      <w:pPr>
        <w:spacing w:after="120"/>
        <w:rPr>
          <w:rFonts w:eastAsia="Calibri"/>
        </w:rPr>
      </w:pPr>
      <w:r w:rsidRPr="00500A19">
        <w:t xml:space="preserve">На собрании КГРЭ Бурунди выразило готовность внести вклад в работу по упорядочению Резолюций в рамках блока 8 (Безопасность и соответствие требованиям) и блока 10 (Инновации). Председателю КГРЭ-РГ-SR была выражена признательность за хорошо организованную работу на протяжении года, а участникам этой Рабочей группы </w:t>
      </w:r>
      <w:r w:rsidR="009C4A14" w:rsidRPr="00500A19">
        <w:sym w:font="Symbol" w:char="F02D"/>
      </w:r>
      <w:r w:rsidRPr="00500A19">
        <w:t xml:space="preserve"> благодарность за полученные вклады.</w:t>
      </w:r>
    </w:p>
    <w:tbl>
      <w:tblPr>
        <w:tblStyle w:val="TableGrid"/>
        <w:tblW w:w="0" w:type="auto"/>
        <w:tblLayout w:type="fixed"/>
        <w:tblLook w:val="04A0" w:firstRow="1" w:lastRow="0" w:firstColumn="1" w:lastColumn="0" w:noHBand="0" w:noVBand="1"/>
      </w:tblPr>
      <w:tblGrid>
        <w:gridCol w:w="9629"/>
      </w:tblGrid>
      <w:tr w:rsidR="008B7295" w:rsidRPr="00500A19" w14:paraId="102E9B42" w14:textId="77777777" w:rsidTr="6215BC2C">
        <w:tc>
          <w:tcPr>
            <w:tcW w:w="9629" w:type="dxa"/>
          </w:tcPr>
          <w:p w14:paraId="2A40BA0F" w14:textId="0587539C" w:rsidR="008B7295" w:rsidRPr="00500A19" w:rsidRDefault="008B7295" w:rsidP="00A05A39">
            <w:pPr>
              <w:widowControl w:val="0"/>
              <w:spacing w:after="120"/>
              <w:rPr>
                <w:rStyle w:val="Hyperlink"/>
                <w:rFonts w:cstheme="minorHAnsi"/>
                <w:szCs w:val="22"/>
              </w:rPr>
            </w:pPr>
            <w:r w:rsidRPr="00500A19">
              <w:rPr>
                <w:rFonts w:cstheme="minorHAnsi"/>
                <w:color w:val="000000"/>
                <w:szCs w:val="22"/>
              </w:rPr>
              <w:t>КГРЭ приняла к сведению отчет Рабочей группы по упорядочению Резолюций и решила предоставить полный отчет, включая приложения к нему, в распоряжение Государств-Членов, всех членов и региональных организаций электросвязи в качестве не имеющего обязательной силы справочного документа при подготовке к ВКРЭ-25. Отчет будет также включен в общий отчет Председателя КГРЭ для ВКРЭ, и на него будет сделана соответствующая ссылка в помощь Государствам-Членам в процессе подготовки. Австралия, Бразилия, Канада, Доминиканская Республика, Гана, Малайзия, Российская Федерация и Судан вызвались участвовать в работе в рамках различных блоков. Бурунди выразило готовность внести вклад в работу в рамках блока</w:t>
            </w:r>
            <w:r w:rsidR="009C4A14" w:rsidRPr="00500A19">
              <w:rPr>
                <w:rFonts w:cstheme="minorHAnsi"/>
                <w:color w:val="000000"/>
                <w:szCs w:val="22"/>
              </w:rPr>
              <w:t> </w:t>
            </w:r>
            <w:r w:rsidRPr="00500A19">
              <w:rPr>
                <w:rFonts w:cstheme="minorHAnsi"/>
                <w:color w:val="000000"/>
                <w:szCs w:val="22"/>
              </w:rPr>
              <w:t>8</w:t>
            </w:r>
            <w:r w:rsidR="00383618" w:rsidRPr="00500A19">
              <w:rPr>
                <w:rFonts w:cstheme="minorHAnsi"/>
                <w:color w:val="000000"/>
                <w:szCs w:val="22"/>
              </w:rPr>
              <w:t> </w:t>
            </w:r>
            <w:r w:rsidRPr="00500A19">
              <w:rPr>
                <w:rFonts w:cstheme="minorHAnsi"/>
                <w:color w:val="000000"/>
                <w:szCs w:val="22"/>
              </w:rPr>
              <w:t>(Безопасность и соответствие требованиям) и блока 10 (Инновации). На МРС могут быть представлены новые вклады членов с предложениями по упорядочению, поскольку все рабочие группы КГРЭ завершили свою работу.</w:t>
            </w:r>
          </w:p>
        </w:tc>
      </w:tr>
    </w:tbl>
    <w:p w14:paraId="6706E33A" w14:textId="6285CA6A" w:rsidR="008B7295" w:rsidRPr="00500A19" w:rsidRDefault="00383618" w:rsidP="00383618">
      <w:pPr>
        <w:pStyle w:val="Heading2"/>
      </w:pPr>
      <w:r w:rsidRPr="00500A19">
        <w:t>7.7</w:t>
      </w:r>
      <w:r w:rsidRPr="00500A19">
        <w:tab/>
      </w:r>
      <w:r w:rsidR="008B7295" w:rsidRPr="00500A19">
        <w:t>Отчет Рабочей группы КГРЭ по приоритетам МСЭ-D (КГРЭ-РГ-UTUDP)</w:t>
      </w:r>
    </w:p>
    <w:p w14:paraId="0E482760" w14:textId="7E114668"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61">
        <w:r w:rsidRPr="00500A19">
          <w:rPr>
            <w:rStyle w:val="Hyperlink"/>
            <w:rFonts w:cstheme="minorHAnsi"/>
            <w:bCs/>
            <w:szCs w:val="22"/>
            <w:lang w:val="ru-RU"/>
          </w:rPr>
          <w:t>21(Rev.3)</w:t>
        </w:r>
      </w:hyperlink>
      <w:r w:rsidRPr="00500A19">
        <w:rPr>
          <w:lang w:val="ru-RU"/>
        </w:rPr>
        <w:t xml:space="preserve"> (Председатель КГРЭ-РГ-ITUDP) </w:t>
      </w:r>
      <w:r w:rsidR="009C4A14" w:rsidRPr="00500A19">
        <w:rPr>
          <w:lang w:val="ru-RU"/>
        </w:rPr>
        <w:sym w:font="Symbol" w:char="F02D"/>
      </w:r>
      <w:r w:rsidRPr="00500A19">
        <w:rPr>
          <w:lang w:val="ru-RU"/>
        </w:rPr>
        <w:t xml:space="preserve"> Отчет о ходе работы Рабочей группы КГРЭ по приоритетам МСЭ-D</w:t>
      </w:r>
    </w:p>
    <w:p w14:paraId="011B58A8" w14:textId="708B7786" w:rsidR="008B7295" w:rsidRPr="00500A19" w:rsidRDefault="008B7295" w:rsidP="00383618">
      <w:pPr>
        <w:rPr>
          <w:rFonts w:eastAsia="Calibri"/>
        </w:rPr>
      </w:pPr>
      <w:r w:rsidRPr="00500A19">
        <w:t>Документ 21(Rev.3), содержащий заключительный отчет Рабочей группы КГРЭ по приоритетам МСЭ</w:t>
      </w:r>
      <w:r w:rsidR="009C4A14" w:rsidRPr="00500A19">
        <w:t>­</w:t>
      </w:r>
      <w:r w:rsidRPr="00500A19">
        <w:t>D, был представлен Председателем группы г-жой Ингой Римкевичене − одним из двух заместителей Председателя КГРЭ для Европы, которая также была назначена представителем КГРЭ в МСКГ. В отчете КГРЭ-РГ-ITUDP излагаются итоги пяти собраний, состоявшихся в течение года. В ходе этих собраний были выработаны предложения для Стратегического плана на 2028–2031 годы, нового Бакинского плана действий, рекомендации для проекта Оперативного плана, а также заключительный отчет для КГРЭ. Группа решила сохранить в качестве основы существующие приоритеты МСЭ-D: возможность установления приемлемых в ценовом отношении соединений, цифровая трансформация, благоприятная политическая и регуляторная среда, мобилизация ресурсов, инклюзивная и защищенная электросвязь/ИКТ для устойчивого развития. Во время пятого собрания обсуждался вопрос о том, следует ли - и каким образом - включать концепцию учета гендерных аспектов в План действий и приоритеты. Консенсуса достигнуто не было: некоторые члены выразили поддержку, а другие сделали оговорки.</w:t>
      </w:r>
    </w:p>
    <w:p w14:paraId="1124E326" w14:textId="77777777" w:rsidR="008B7295" w:rsidRPr="00500A19" w:rsidRDefault="008B7295" w:rsidP="00383618">
      <w:pPr>
        <w:rPr>
          <w:rFonts w:eastAsia="Calibri"/>
        </w:rPr>
      </w:pPr>
      <w:r w:rsidRPr="00500A19">
        <w:t>Соединенные Штаты Америки вновь выразили возражения против ссылки на Повестку дня на период до 2030 года и Цели в области устойчивого развития, а также на политику в области разнообразия, равенства и инклюзивности и предложили более нейтральное видение цифровой трансформации, согласующееся с мандатом МСЭ.</w:t>
      </w:r>
    </w:p>
    <w:p w14:paraId="4F2AF289" w14:textId="77777777" w:rsidR="008B7295" w:rsidRPr="00500A19" w:rsidRDefault="008B7295" w:rsidP="00383618">
      <w:pPr>
        <w:rPr>
          <w:rFonts w:eastAsia="Calibri"/>
        </w:rPr>
      </w:pPr>
      <w:r w:rsidRPr="00500A19">
        <w:t>Парагвай в своем выступлении еще раз отметил важность включения гендерной проблематики во все направления работы МСЭ-D. Ссылаясь на Резолюцию 70 Полномочной конференции, представители Парагвая подчеркнули, что гендерное равенство, равноправие и инклюзивность должны служить руководящими принципами в преодолении цифрового разрыва и способствовать осуществлению значимой, всеохватной, эффективной и действенной цифровой трансформации, с тем чтобы никто не был забыт. Они обратились с просьбой отразить данный принцип в заключительном отчете.</w:t>
      </w:r>
    </w:p>
    <w:p w14:paraId="3DA74CEC" w14:textId="77777777" w:rsidR="008B7295" w:rsidRPr="00500A19" w:rsidRDefault="008B7295" w:rsidP="00383618">
      <w:pPr>
        <w:spacing w:after="120"/>
        <w:rPr>
          <w:rFonts w:eastAsia="Calibri"/>
        </w:rPr>
      </w:pPr>
      <w:r w:rsidRPr="00500A19">
        <w:t xml:space="preserve">После нескольких других выступлений и разъяснений было подтверждено, что для точности будет сделана ссылка на письменное заявление Парагвая, однако оно не будет прилагаться в качестве поправки. С этими пояснениями отчет был принят в качестве справочного документа, не имеющего </w:t>
      </w:r>
      <w:r w:rsidRPr="00500A19">
        <w:lastRenderedPageBreak/>
        <w:t>обязательной силы, для помощи в подготовке к ВКРЭ-25; он будет приложен к отчету о собрании и препровожден соответствующим образом.</w:t>
      </w:r>
    </w:p>
    <w:tbl>
      <w:tblPr>
        <w:tblStyle w:val="TableGrid"/>
        <w:tblW w:w="0" w:type="auto"/>
        <w:tblLayout w:type="fixed"/>
        <w:tblLook w:val="04A0" w:firstRow="1" w:lastRow="0" w:firstColumn="1" w:lastColumn="0" w:noHBand="0" w:noVBand="1"/>
      </w:tblPr>
      <w:tblGrid>
        <w:gridCol w:w="9629"/>
      </w:tblGrid>
      <w:tr w:rsidR="008B7295" w:rsidRPr="00500A19" w14:paraId="4036C361" w14:textId="77777777" w:rsidTr="6215BC2C">
        <w:tc>
          <w:tcPr>
            <w:tcW w:w="9629" w:type="dxa"/>
          </w:tcPr>
          <w:p w14:paraId="563EBF1E" w14:textId="31753715" w:rsidR="008B7295" w:rsidRPr="00500A19" w:rsidRDefault="008B7295" w:rsidP="00A05A39">
            <w:pPr>
              <w:widowControl w:val="0"/>
              <w:spacing w:after="120"/>
              <w:rPr>
                <w:rStyle w:val="Hyperlink"/>
                <w:rFonts w:cstheme="minorHAnsi"/>
                <w:szCs w:val="22"/>
              </w:rPr>
            </w:pPr>
            <w:r w:rsidRPr="00500A19">
              <w:rPr>
                <w:rFonts w:cstheme="minorHAnsi"/>
                <w:color w:val="000000"/>
                <w:szCs w:val="22"/>
              </w:rPr>
              <w:t>КГРЭ приняла к сведению отчет Рабочей группы по приоритетам МСЭ-D и решила предоставить полный отчет, включая приложение к нему, в распоряжение Государств-Членов и региональных организаций электросвязи  в качестве не имеющего обязательной силы справочного документа при подготовке к ВКРЭ-25. Отчет будет также включен в общий отчет Председателя КГРЭ для ВКРЭ, и на него будет сделана соответствующая ссылка в помощь Государствам-Членам в процессе</w:t>
            </w:r>
            <w:r w:rsidR="00383618" w:rsidRPr="00500A19">
              <w:rPr>
                <w:rFonts w:cstheme="minorHAnsi"/>
                <w:color w:val="000000"/>
                <w:szCs w:val="22"/>
              </w:rPr>
              <w:t> </w:t>
            </w:r>
            <w:r w:rsidRPr="00500A19">
              <w:rPr>
                <w:rFonts w:cstheme="minorHAnsi"/>
                <w:color w:val="000000"/>
                <w:szCs w:val="22"/>
              </w:rPr>
              <w:t>подготовки.</w:t>
            </w:r>
          </w:p>
        </w:tc>
      </w:tr>
    </w:tbl>
    <w:p w14:paraId="0FF24625" w14:textId="3EFE118B" w:rsidR="008B7295" w:rsidRPr="00500A19" w:rsidRDefault="00383618" w:rsidP="00383618">
      <w:pPr>
        <w:pStyle w:val="Heading1"/>
      </w:pPr>
      <w:r w:rsidRPr="00500A19">
        <w:t>8</w:t>
      </w:r>
      <w:r w:rsidRPr="00500A19">
        <w:tab/>
      </w:r>
      <w:r w:rsidR="008B7295" w:rsidRPr="00500A19">
        <w:t>Глобальный молодежный саммит</w:t>
      </w:r>
    </w:p>
    <w:p w14:paraId="5C79AE1D" w14:textId="1A9FED2A" w:rsidR="008B7295" w:rsidRPr="00500A19" w:rsidRDefault="008B7295" w:rsidP="00765CDD">
      <w:pPr>
        <w:pStyle w:val="Headingb"/>
        <w:tabs>
          <w:tab w:val="clear" w:pos="907"/>
        </w:tabs>
        <w:ind w:left="0" w:firstLine="0"/>
        <w:rPr>
          <w:rFonts w:cstheme="minorHAnsi"/>
          <w:b w:val="0"/>
          <w:szCs w:val="22"/>
          <w:lang w:val="ru-RU"/>
        </w:rPr>
      </w:pPr>
      <w:r w:rsidRPr="00500A19">
        <w:rPr>
          <w:rFonts w:cstheme="minorHAnsi"/>
          <w:bCs/>
          <w:szCs w:val="22"/>
          <w:lang w:val="ru-RU"/>
        </w:rPr>
        <w:t xml:space="preserve">Документ </w:t>
      </w:r>
      <w:hyperlink r:id="rId62">
        <w:r w:rsidRPr="00500A19">
          <w:rPr>
            <w:rStyle w:val="Hyperlink"/>
            <w:rFonts w:cstheme="minorHAnsi"/>
            <w:bCs/>
            <w:szCs w:val="22"/>
            <w:lang w:val="ru-RU"/>
          </w:rPr>
          <w:t>22</w:t>
        </w:r>
      </w:hyperlink>
      <w:r w:rsidRPr="00500A19">
        <w:rPr>
          <w:rFonts w:cstheme="minorHAnsi"/>
          <w:bCs/>
          <w:szCs w:val="22"/>
          <w:lang w:val="ru-RU"/>
        </w:rPr>
        <w:t xml:space="preserve"> (Директор БРЭ) </w:t>
      </w:r>
      <w:r w:rsidR="00383618" w:rsidRPr="00500A19">
        <w:rPr>
          <w:rFonts w:cstheme="minorHAnsi"/>
          <w:b w:val="0"/>
          <w:bCs/>
          <w:szCs w:val="22"/>
          <w:lang w:val="ru-RU"/>
        </w:rPr>
        <w:sym w:font="Symbol" w:char="F02D"/>
      </w:r>
      <w:r w:rsidRPr="00500A19">
        <w:rPr>
          <w:rFonts w:cstheme="minorHAnsi"/>
          <w:bCs/>
          <w:szCs w:val="22"/>
          <w:lang w:val="ru-RU"/>
        </w:rPr>
        <w:t xml:space="preserve"> Отчет об организации Глобального молодежного саммита МСЭ 2025</w:t>
      </w:r>
      <w:r w:rsidR="00383618" w:rsidRPr="00500A19">
        <w:rPr>
          <w:rFonts w:cstheme="minorHAnsi"/>
          <w:b w:val="0"/>
          <w:bCs/>
          <w:szCs w:val="22"/>
          <w:lang w:val="ru-RU"/>
        </w:rPr>
        <w:t> </w:t>
      </w:r>
      <w:r w:rsidRPr="00500A19">
        <w:rPr>
          <w:rFonts w:cstheme="minorHAnsi"/>
          <w:bCs/>
          <w:szCs w:val="22"/>
          <w:lang w:val="ru-RU"/>
        </w:rPr>
        <w:t>года (ГМС-25) в преддверии Всемирной конференции по развитию электросвязи</w:t>
      </w:r>
      <w:r w:rsidR="00383618" w:rsidRPr="00500A19">
        <w:rPr>
          <w:rFonts w:cstheme="minorHAnsi"/>
          <w:b w:val="0"/>
          <w:bCs/>
          <w:szCs w:val="22"/>
          <w:lang w:val="ru-RU"/>
        </w:rPr>
        <w:t> </w:t>
      </w:r>
      <w:r w:rsidRPr="00500A19">
        <w:rPr>
          <w:rFonts w:cstheme="minorHAnsi"/>
          <w:bCs/>
          <w:szCs w:val="22"/>
          <w:lang w:val="ru-RU"/>
        </w:rPr>
        <w:t>2025</w:t>
      </w:r>
      <w:r w:rsidR="00383618" w:rsidRPr="00500A19">
        <w:rPr>
          <w:rFonts w:cstheme="minorHAnsi"/>
          <w:b w:val="0"/>
          <w:bCs/>
          <w:szCs w:val="22"/>
          <w:lang w:val="ru-RU"/>
        </w:rPr>
        <w:t> </w:t>
      </w:r>
      <w:r w:rsidRPr="00500A19">
        <w:rPr>
          <w:rFonts w:cstheme="minorHAnsi"/>
          <w:bCs/>
          <w:szCs w:val="22"/>
          <w:lang w:val="ru-RU"/>
        </w:rPr>
        <w:t>года</w:t>
      </w:r>
      <w:r w:rsidR="00383618" w:rsidRPr="00500A19">
        <w:rPr>
          <w:rFonts w:cstheme="minorHAnsi"/>
          <w:b w:val="0"/>
          <w:bCs/>
          <w:szCs w:val="22"/>
          <w:lang w:val="ru-RU"/>
        </w:rPr>
        <w:t> </w:t>
      </w:r>
      <w:r w:rsidRPr="00500A19">
        <w:rPr>
          <w:rFonts w:cstheme="minorHAnsi"/>
          <w:bCs/>
          <w:szCs w:val="22"/>
          <w:lang w:val="ru-RU"/>
        </w:rPr>
        <w:t>(ВКРЭ-25)</w:t>
      </w:r>
    </w:p>
    <w:p w14:paraId="431982F9" w14:textId="78CEED94" w:rsidR="008B7295" w:rsidRPr="00500A19" w:rsidRDefault="008B7295" w:rsidP="00383618">
      <w:pPr>
        <w:rPr>
          <w:rFonts w:eastAsia="Calibri"/>
        </w:rPr>
      </w:pPr>
      <w:r w:rsidRPr="00500A19">
        <w:t xml:space="preserve">БРЭ кратко изложило основные идеи и итоги Глобального молодежного саммита 2025 года (ГМС-25), состоявшегося 11–13 марта в Варадеро, Куба, и посвященного теме: "Придание силы голосам молодежи в сфере ИКТ в интересах инклюзивного соединенного будущего". Организованное БРЭ мероприятие объединило примерно 400 участников из 31 страны из всех шести регионов, включая молодежь в возрасте от 18 до 25 лет, которые активно участвовали в дискуссиях и демонстрациях инноваций. В докладе отражены основные проблемы, с которыми сталкивается молодежь, такие как цифровые разрывы, низкая цифровая грамотность и ограниченное участие в разработке политики, и представлены конкретные рекомендации по содействию всеохватному, устойчивому и ориентированному на молодежь цифровому развитию. Был продемонстрирован </w:t>
      </w:r>
      <w:hyperlink r:id="rId63">
        <w:r w:rsidRPr="00500A19">
          <w:rPr>
            <w:rStyle w:val="Hyperlink"/>
            <w:rFonts w:cstheme="minorHAnsi"/>
            <w:szCs w:val="22"/>
          </w:rPr>
          <w:t>видеоролик</w:t>
        </w:r>
      </w:hyperlink>
      <w:r w:rsidRPr="00500A19">
        <w:t>, посвященный этому мероприятию.</w:t>
      </w:r>
    </w:p>
    <w:p w14:paraId="44C26EA3" w14:textId="77777777" w:rsidR="008B7295" w:rsidRPr="00500A19" w:rsidRDefault="008B7295" w:rsidP="00383618">
      <w:r w:rsidRPr="00500A19">
        <w:t>По окончании презентации Директор БРЭ высоко оценил успешные итоги саммита и выразил признательность правительству Кубы за гостеприимство. Он также представил написанную молодыми авторами тематическую песню к ВКРЭ-25, созданную совместно и при поддержке искусственного интеллекта и демонстрирующую творческий потенциал и вовлеченность участников. Песня, удостоенная первого места, была написана одной из молодежных команд на основе сочетания собственного творчества и инструментов искусственного интеллекта; она была представлена в ходе собрания и воспринята КГРЭ с одобрением. Песня прозвучит на посвященном молодежи праздничном мероприятии в Баку и на ВКРЭ-25.</w:t>
      </w:r>
    </w:p>
    <w:p w14:paraId="721B376E" w14:textId="77777777" w:rsidR="008B7295" w:rsidRPr="00500A19" w:rsidRDefault="008B7295" w:rsidP="00383618">
      <w:pPr>
        <w:spacing w:after="120"/>
      </w:pPr>
      <w:r w:rsidRPr="00500A19">
        <w:t>В ходе последовавшего за этим обсуждения Государства-Члены, включая Кубу, Саудовскую Аравию, Багамские Острова и других, выразили высокую оценку эффективности саммита и подтвердили важность вовлечения молодежи в деятельность МСЭ. Несколько делегаций поделились примерами того, как молодежные делегаты из их стран возвращались домой воодушевленными и готовыми вносить вклад в реализацию текущих цифровых инициатив. Были высказаны предложения, призванные обеспечить постоянное привлечение молодежи к работе исследовательских комиссий МСЭ и будущих саммитов, в том числе призывы составить сводный список участников и механизмов постоянного наставничества. В завершение заседания была выражена безоговорочная поддержка дальнейшему привлечению молодежи как ключевому компоненту работы МСЭ-D и высказана просьба к БРЭ подготовить информационный документ, обобщающий существующие инициативы и возможности, касающиеся молодежи.</w:t>
      </w:r>
    </w:p>
    <w:p w14:paraId="1F7AA80D" w14:textId="3F8DBCCF" w:rsidR="009C4A14" w:rsidRPr="00500A19" w:rsidRDefault="009C4A14">
      <w:pPr>
        <w:overflowPunct/>
        <w:autoSpaceDE/>
        <w:autoSpaceDN/>
        <w:adjustRightInd/>
        <w:spacing w:before="0"/>
        <w:textAlignment w:val="auto"/>
      </w:pPr>
      <w:r w:rsidRPr="00500A19">
        <w:br w:type="page"/>
      </w:r>
    </w:p>
    <w:tbl>
      <w:tblPr>
        <w:tblStyle w:val="TableGrid"/>
        <w:tblW w:w="0" w:type="auto"/>
        <w:tblLayout w:type="fixed"/>
        <w:tblLook w:val="04A0" w:firstRow="1" w:lastRow="0" w:firstColumn="1" w:lastColumn="0" w:noHBand="0" w:noVBand="1"/>
      </w:tblPr>
      <w:tblGrid>
        <w:gridCol w:w="9629"/>
      </w:tblGrid>
      <w:tr w:rsidR="008B7295" w:rsidRPr="00500A19" w14:paraId="0E1BCD25" w14:textId="77777777" w:rsidTr="6215BC2C">
        <w:tc>
          <w:tcPr>
            <w:tcW w:w="9629" w:type="dxa"/>
          </w:tcPr>
          <w:p w14:paraId="192A7D76" w14:textId="689F9F4C" w:rsidR="008B7295" w:rsidRPr="00500A19" w:rsidRDefault="008B7295" w:rsidP="00A05A39">
            <w:pPr>
              <w:spacing w:after="120"/>
              <w:rPr>
                <w:rFonts w:eastAsia="Calibri" w:cstheme="minorHAnsi"/>
                <w:szCs w:val="22"/>
              </w:rPr>
            </w:pPr>
            <w:r w:rsidRPr="00500A19">
              <w:rPr>
                <w:rFonts w:cstheme="minorHAnsi"/>
                <w:color w:val="000000"/>
                <w:szCs w:val="22"/>
              </w:rPr>
              <w:lastRenderedPageBreak/>
              <w:t>КГРЭ приняла отчет к сведению, всецело одобрив итоги Глобального молодежного саммита 2025</w:t>
            </w:r>
            <w:r w:rsidR="00383618" w:rsidRPr="00500A19">
              <w:rPr>
                <w:rFonts w:cstheme="minorHAnsi"/>
                <w:color w:val="000000"/>
                <w:szCs w:val="22"/>
              </w:rPr>
              <w:t> </w:t>
            </w:r>
            <w:r w:rsidRPr="00500A19">
              <w:rPr>
                <w:rFonts w:cstheme="minorHAnsi"/>
                <w:color w:val="000000"/>
                <w:szCs w:val="22"/>
              </w:rPr>
              <w:t>года и высказавшись в поддержку дальнейшего участия молодежи в деятельности МСЭ. КГРЭ также одобрила и высоко оценила песню "</w:t>
            </w:r>
            <w:r w:rsidRPr="00500A19">
              <w:rPr>
                <w:rFonts w:cstheme="minorHAnsi"/>
                <w:b/>
                <w:bCs/>
                <w:color w:val="000000"/>
                <w:szCs w:val="22"/>
              </w:rPr>
              <w:t>Подключенная молодежь в цифровом будущем</w:t>
            </w:r>
            <w:r w:rsidRPr="00500A19">
              <w:rPr>
                <w:rFonts w:cstheme="minorHAnsi"/>
                <w:color w:val="000000"/>
                <w:szCs w:val="22"/>
              </w:rPr>
              <w:t xml:space="preserve">" для ВКРЭ, созданную участниками ГМС-25, и будет рада ее исполнению на </w:t>
            </w:r>
            <w:r w:rsidRPr="00500A19">
              <w:rPr>
                <w:rFonts w:cstheme="minorHAnsi"/>
                <w:szCs w:val="22"/>
              </w:rPr>
              <w:t>праздничном мероприятии</w:t>
            </w:r>
            <w:r w:rsidRPr="00500A19">
              <w:rPr>
                <w:rFonts w:cstheme="minorHAnsi"/>
                <w:color w:val="000000"/>
                <w:szCs w:val="22"/>
              </w:rPr>
              <w:t xml:space="preserve"> ВКРЭ, </w:t>
            </w:r>
            <w:r w:rsidRPr="00500A19">
              <w:rPr>
                <w:rFonts w:cstheme="minorHAnsi"/>
                <w:szCs w:val="22"/>
              </w:rPr>
              <w:t xml:space="preserve">посвященном молодежи, </w:t>
            </w:r>
            <w:r w:rsidRPr="00500A19">
              <w:rPr>
                <w:rFonts w:cstheme="minorHAnsi"/>
                <w:color w:val="000000"/>
                <w:szCs w:val="22"/>
              </w:rPr>
              <w:t>и на самой ВКРЭ.</w:t>
            </w:r>
          </w:p>
        </w:tc>
      </w:tr>
    </w:tbl>
    <w:p w14:paraId="5B99BD89" w14:textId="4854049F" w:rsidR="008B7295" w:rsidRPr="00500A19" w:rsidRDefault="008B7295" w:rsidP="00765CDD">
      <w:pPr>
        <w:pStyle w:val="Headingb"/>
        <w:tabs>
          <w:tab w:val="clear" w:pos="907"/>
        </w:tabs>
        <w:ind w:left="0" w:firstLine="0"/>
        <w:rPr>
          <w:rFonts w:cstheme="minorHAnsi"/>
          <w:b w:val="0"/>
          <w:szCs w:val="22"/>
          <w:lang w:val="ru-RU"/>
        </w:rPr>
      </w:pPr>
      <w:r w:rsidRPr="00500A19">
        <w:rPr>
          <w:rFonts w:cstheme="minorHAnsi"/>
          <w:bCs/>
          <w:szCs w:val="22"/>
          <w:lang w:val="ru-RU"/>
        </w:rPr>
        <w:t xml:space="preserve">Документ </w:t>
      </w:r>
      <w:hyperlink r:id="rId64">
        <w:r w:rsidRPr="00500A19">
          <w:rPr>
            <w:rStyle w:val="Hyperlink"/>
            <w:rFonts w:cstheme="minorHAnsi"/>
            <w:bCs/>
            <w:szCs w:val="22"/>
            <w:lang w:val="ru-RU"/>
          </w:rPr>
          <w:t>38</w:t>
        </w:r>
      </w:hyperlink>
      <w:r w:rsidRPr="00500A19">
        <w:rPr>
          <w:rFonts w:cstheme="minorHAnsi"/>
          <w:bCs/>
          <w:szCs w:val="22"/>
          <w:lang w:val="ru-RU"/>
        </w:rPr>
        <w:t xml:space="preserve"> (Узбекистан) Youth2Connect </w:t>
      </w:r>
      <w:r w:rsidRPr="00500A19">
        <w:rPr>
          <w:rFonts w:cstheme="minorHAnsi"/>
          <w:b w:val="0"/>
          <w:bCs/>
          <w:szCs w:val="22"/>
          <w:lang w:val="ru-RU"/>
        </w:rPr>
        <w:sym w:font="Symbol" w:char="F02D"/>
      </w:r>
      <w:r w:rsidRPr="00500A19">
        <w:rPr>
          <w:rFonts w:cstheme="minorHAnsi"/>
          <w:bCs/>
          <w:szCs w:val="22"/>
          <w:lang w:val="ru-RU"/>
        </w:rPr>
        <w:t xml:space="preserve"> Расширение прав и возможностей молодежи для разработки и реализации цифровых проектов</w:t>
      </w:r>
    </w:p>
    <w:p w14:paraId="34091A58" w14:textId="77777777" w:rsidR="008B7295" w:rsidRPr="00500A19" w:rsidRDefault="008B7295" w:rsidP="008B7295">
      <w:r w:rsidRPr="00500A19">
        <w:t>Во вкладе, представленном Узбекистаном, предлагается инициатива под названием "Youth2Connect: расширение прав и возможностей молодежи для разработки и реализации цифровых проектов". Докладчик подчеркнул, что, хотя молодежь все чаще принимает участие в международных форумах, это участие все еще носит скорее символический, нежели конструктивный характер. Инициатива направлена на то, чтобы переломить такое положение дел, предоставив молодым людям, особенно в таких регионах как СНГ и Центральная Азия, реальные возможности для разработки и внедрения цифровых решений. Инициатива предполагает создание ориентированных на молодежь проектов, призванных способствовать повышению цифровой грамотности и охвату, при поддержке совместного финансирования со стороны Государств-Членов и частного сектора. Делегат сослался на недавно организованный совместно с МСЭ хакатон как пример, подтверждающий высокий уровень подготовленности и инноваций у молодых участников.</w:t>
      </w:r>
    </w:p>
    <w:p w14:paraId="5C44792F" w14:textId="77777777" w:rsidR="008B7295" w:rsidRPr="00500A19" w:rsidRDefault="008B7295" w:rsidP="008B7295">
      <w:pPr>
        <w:spacing w:after="120"/>
      </w:pPr>
      <w:r w:rsidRPr="00500A19">
        <w:t>После презентации ряд делегаций одобрили это предложение и высказались в поддержку более широкого участия молодежи в деятельности МСЭ. Председатель 1-й Исследовательской комиссии и другие ораторы подчеркнули важность выхода молодежи за рамки символической представительской роли, призвав Государства-Члены активно осуществлять наставничество и поддерживать молодых людей в их усилиях по эффективному участию в работе МСЭ, в том числе в рамках исследовательских комиссий и деятельности КГРЭ. Как было отмечено, несмотря на такую проблему как бюджетные ограничения, применение творческого подхода и налаживание стратегических партнерств могут способствовать расширению охвата молодежи. В ходе дискуссии был отмечен широкий консенсус по вопросу о важности наделения молодежи возможностью играть активную роль в усилиях по цифровому развитию, а также прозвучал призыв изучать практические механизмы реализации таких инициатив в существующих рамках.</w:t>
      </w:r>
    </w:p>
    <w:tbl>
      <w:tblPr>
        <w:tblStyle w:val="TableGrid"/>
        <w:tblW w:w="0" w:type="auto"/>
        <w:tblLayout w:type="fixed"/>
        <w:tblLook w:val="04A0" w:firstRow="1" w:lastRow="0" w:firstColumn="1" w:lastColumn="0" w:noHBand="0" w:noVBand="1"/>
      </w:tblPr>
      <w:tblGrid>
        <w:gridCol w:w="9629"/>
      </w:tblGrid>
      <w:tr w:rsidR="008B7295" w:rsidRPr="00500A19" w14:paraId="2DD21B3B" w14:textId="77777777" w:rsidTr="6215BC2C">
        <w:tc>
          <w:tcPr>
            <w:tcW w:w="9629" w:type="dxa"/>
          </w:tcPr>
          <w:p w14:paraId="49E9EA66" w14:textId="77777777" w:rsidR="008B7295" w:rsidRPr="00500A19" w:rsidRDefault="008B7295" w:rsidP="00A05A39">
            <w:pPr>
              <w:spacing w:after="120"/>
              <w:rPr>
                <w:rFonts w:eastAsia="Calibri" w:cstheme="minorHAnsi"/>
                <w:szCs w:val="22"/>
              </w:rPr>
            </w:pPr>
            <w:r w:rsidRPr="00500A19">
              <w:rPr>
                <w:rFonts w:cstheme="minorHAnsi"/>
                <w:color w:val="000000"/>
                <w:szCs w:val="22"/>
              </w:rPr>
              <w:t>КГРЭ с удовлетворением приняла к сведению этот вклад, подчеркнув значимость вовлечения молодых людей как активных участников в реализацию инициатив в области цифрового развития.</w:t>
            </w:r>
          </w:p>
        </w:tc>
      </w:tr>
    </w:tbl>
    <w:p w14:paraId="706B678B" w14:textId="3600A695" w:rsidR="008B7295" w:rsidRPr="00500A19" w:rsidRDefault="008B7295" w:rsidP="00765CDD">
      <w:pPr>
        <w:pStyle w:val="Headingb"/>
        <w:tabs>
          <w:tab w:val="clear" w:pos="907"/>
        </w:tabs>
        <w:ind w:left="0" w:firstLine="0"/>
        <w:rPr>
          <w:rStyle w:val="Hyperlink"/>
          <w:rFonts w:cstheme="minorHAnsi"/>
          <w:b w:val="0"/>
          <w:bCs/>
          <w:color w:val="auto"/>
          <w:szCs w:val="22"/>
          <w:lang w:val="ru-RU"/>
        </w:rPr>
      </w:pPr>
      <w:r w:rsidRPr="00500A19">
        <w:rPr>
          <w:lang w:val="ru-RU"/>
        </w:rPr>
        <w:t xml:space="preserve">Документ </w:t>
      </w:r>
      <w:hyperlink r:id="rId65">
        <w:r w:rsidRPr="00500A19">
          <w:rPr>
            <w:rStyle w:val="Hyperlink"/>
            <w:rFonts w:cstheme="minorHAnsi"/>
            <w:bCs/>
            <w:szCs w:val="22"/>
            <w:lang w:val="ru-RU"/>
          </w:rPr>
          <w:t>39</w:t>
        </w:r>
      </w:hyperlink>
      <w:r w:rsidRPr="00500A19">
        <w:rPr>
          <w:lang w:val="ru-RU"/>
        </w:rPr>
        <w:t xml:space="preserve"> (Узбекистан) </w:t>
      </w:r>
      <w:r w:rsidRPr="00500A19">
        <w:rPr>
          <w:lang w:val="ru-RU"/>
        </w:rPr>
        <w:sym w:font="Symbol" w:char="F02D"/>
      </w:r>
      <w:r w:rsidRPr="00500A19">
        <w:rPr>
          <w:lang w:val="ru-RU"/>
        </w:rPr>
        <w:t xml:space="preserve"> Молодежный цифровой журнал МСЭ: платформа для представления молодыми людьми научных идей для проектов в области цифровой трансформации</w:t>
      </w:r>
    </w:p>
    <w:p w14:paraId="637039C7" w14:textId="77777777" w:rsidR="008B7295" w:rsidRPr="00500A19" w:rsidRDefault="008B7295" w:rsidP="008B7295">
      <w:r w:rsidRPr="00500A19">
        <w:t>Делегат от Узбекистана представил вклад, в котором предлагается создать Молодежный цифровой журнал МСЭ как платформу, на которой молодые люди могли бы делиться научными идеями и решениями, касающимися цифровой трансформации. По словам делегата, интересы молодежи часто не принимаются в расчет, несмотря на то, что она способна предложить инновационные подходы к решению насущных вопросов в области цифровых технологий, таких как "цифровой разрыв" и кибербезопасность. Докладчик пояснил, что журнал мог бы служить междисциплинарной и международной трибуной для студентов и молодых специалистов в возрасте до 30 лет, предоставляя им возможность публиковать научные работы, добиваться известности и налаживать контакты со спонсорами и партнерами. Как отметил делегат, это предложение согласуется с молодежной стратегией МСЭ и более масштабными целями в области устойчивого цифрового развития.</w:t>
      </w:r>
    </w:p>
    <w:p w14:paraId="636571EA" w14:textId="0447507A" w:rsidR="008B7295" w:rsidRPr="00500A19" w:rsidRDefault="008B7295" w:rsidP="008B7295">
      <w:pPr>
        <w:spacing w:after="120"/>
      </w:pPr>
      <w:r w:rsidRPr="00500A19">
        <w:t>В ходе последовавшего затем обсуждения Государства-Члены признали достоинства этой инициативы, но вместе с тем выразили обеспокоенность в связи с ограниченностью ресурсов. Вместо</w:t>
      </w:r>
      <w:r w:rsidR="00554543" w:rsidRPr="00500A19">
        <w:t> </w:t>
      </w:r>
      <w:r w:rsidRPr="00500A19">
        <w:t xml:space="preserve">создания нового самостоятельного издания некоторые делегации предложили использовать </w:t>
      </w:r>
      <w:r w:rsidRPr="00500A19">
        <w:lastRenderedPageBreak/>
        <w:t>существующие платформы, такие как подкаст "Поколение подключений", Журнал МСЭ, научная конференция "Калейдоскоп", для возможного выпуска специализированных молодежных изданий. Представители БРЭ и Генерального секретариата отметили, что некоторые нынешние инициативы МСЭ уже способствуют привлечению молодежи к исследовательской и инновационной деятельности, как, например, возглавляемые молодежью проекты в рамках инициативы "Поколение подключений", программа подготовки молодых лидеров и курсовые проекты. Участники собрания согласились с тем, что можно было бы дополнительно укреплять и лучше пропагандировать эти существующие механизмы. В заключение Председатель поручил БРЭ подготовить сводный информационный документ с описанием всех осуществляемых инициатив, связанных с молодежью, для того чтобы задать ориентиры в дальнейшей работе и обеспечить обоснование для привлечения Государств-Членов.</w:t>
      </w:r>
    </w:p>
    <w:tbl>
      <w:tblPr>
        <w:tblStyle w:val="TableGrid"/>
        <w:tblW w:w="0" w:type="auto"/>
        <w:tblLayout w:type="fixed"/>
        <w:tblLook w:val="04A0" w:firstRow="1" w:lastRow="0" w:firstColumn="1" w:lastColumn="0" w:noHBand="0" w:noVBand="1"/>
      </w:tblPr>
      <w:tblGrid>
        <w:gridCol w:w="9629"/>
      </w:tblGrid>
      <w:tr w:rsidR="008B7295" w:rsidRPr="00500A19" w14:paraId="591E9214" w14:textId="77777777" w:rsidTr="45F85149">
        <w:tc>
          <w:tcPr>
            <w:tcW w:w="9629" w:type="dxa"/>
          </w:tcPr>
          <w:p w14:paraId="45D00A0E" w14:textId="77777777" w:rsidR="008B7295" w:rsidRPr="00500A19" w:rsidRDefault="008B7295" w:rsidP="00A05A39">
            <w:pPr>
              <w:spacing w:after="120"/>
              <w:rPr>
                <w:rFonts w:eastAsia="Calibri" w:cstheme="minorHAnsi"/>
                <w:szCs w:val="22"/>
              </w:rPr>
            </w:pPr>
            <w:r w:rsidRPr="00500A19">
              <w:rPr>
                <w:rFonts w:cstheme="minorHAnsi"/>
                <w:color w:val="000000"/>
                <w:szCs w:val="22"/>
              </w:rPr>
              <w:t xml:space="preserve">КГРЭ приняла этот вклад к сведению и обратилась к БРЭ с просьбой подготовить информационный документ, обобщающий действующие механизмы взаимодействия с молодежью в рамках МСЭ. Это было сделано с целью внести ясность в текущую работу и помочь оценить, каким образом идеи, изложенные в Документе 39, могут быть реализованы в имеющихся рамках. Документ был опубликован как </w:t>
            </w:r>
            <w:hyperlink r:id="rId66">
              <w:r w:rsidRPr="00500A19">
                <w:rPr>
                  <w:rStyle w:val="Hyperlink"/>
                  <w:rFonts w:eastAsia="Calibri" w:cstheme="minorHAnsi"/>
                  <w:szCs w:val="22"/>
                </w:rPr>
                <w:t>INF/15</w:t>
              </w:r>
            </w:hyperlink>
            <w:r w:rsidRPr="00500A19">
              <w:rPr>
                <w:rFonts w:cstheme="minorHAnsi"/>
                <w:color w:val="000000"/>
                <w:szCs w:val="22"/>
              </w:rPr>
              <w:t>.</w:t>
            </w:r>
          </w:p>
        </w:tc>
      </w:tr>
    </w:tbl>
    <w:p w14:paraId="04D6DEB0" w14:textId="38928819" w:rsidR="008B7295" w:rsidRPr="00500A19" w:rsidRDefault="008B7295" w:rsidP="008B7295">
      <w:pPr>
        <w:pStyle w:val="Heading1"/>
      </w:pPr>
      <w:r w:rsidRPr="00500A19">
        <w:t>9</w:t>
      </w:r>
      <w:r w:rsidRPr="00500A19">
        <w:tab/>
        <w:t>Сотрудничество с другими Секторами</w:t>
      </w:r>
    </w:p>
    <w:p w14:paraId="4229BC1C" w14:textId="66E656BC" w:rsidR="008B7295" w:rsidRPr="00500A19" w:rsidRDefault="008B7295" w:rsidP="00765CDD">
      <w:pPr>
        <w:pStyle w:val="Headingb"/>
        <w:tabs>
          <w:tab w:val="clear" w:pos="907"/>
        </w:tabs>
        <w:ind w:left="0" w:firstLine="0"/>
        <w:rPr>
          <w:rFonts w:cstheme="minorHAnsi"/>
          <w:bCs/>
          <w:szCs w:val="22"/>
          <w:lang w:val="ru-RU"/>
        </w:rPr>
      </w:pPr>
      <w:r w:rsidRPr="00500A19">
        <w:rPr>
          <w:rFonts w:cstheme="minorHAnsi"/>
          <w:bCs/>
          <w:szCs w:val="22"/>
          <w:lang w:val="ru-RU"/>
        </w:rPr>
        <w:t xml:space="preserve">Документ </w:t>
      </w:r>
      <w:hyperlink r:id="rId67">
        <w:r w:rsidRPr="00500A19">
          <w:rPr>
            <w:rStyle w:val="Hyperlink"/>
            <w:rFonts w:cstheme="minorHAnsi"/>
            <w:bCs/>
            <w:szCs w:val="22"/>
            <w:lang w:val="ru-RU"/>
          </w:rPr>
          <w:t>23</w:t>
        </w:r>
      </w:hyperlink>
      <w:r w:rsidRPr="00500A19">
        <w:rPr>
          <w:rFonts w:cstheme="minorHAnsi"/>
          <w:bCs/>
          <w:szCs w:val="22"/>
          <w:lang w:val="ru-RU"/>
        </w:rPr>
        <w:t xml:space="preserve"> (Председатель МСКГ) </w:t>
      </w:r>
      <w:r w:rsidRPr="00500A19">
        <w:rPr>
          <w:rFonts w:cstheme="minorHAnsi"/>
          <w:bCs/>
          <w:szCs w:val="22"/>
          <w:lang w:val="ru-RU"/>
        </w:rPr>
        <w:sym w:font="Symbol" w:char="F02D"/>
      </w:r>
      <w:r w:rsidRPr="00500A19">
        <w:rPr>
          <w:rFonts w:cstheme="minorHAnsi"/>
          <w:bCs/>
          <w:szCs w:val="22"/>
          <w:lang w:val="ru-RU"/>
        </w:rPr>
        <w:t xml:space="preserve"> Отчет о ходе работы</w:t>
      </w:r>
    </w:p>
    <w:p w14:paraId="56226486" w14:textId="77777777" w:rsidR="008B7295" w:rsidRPr="00500A19" w:rsidRDefault="008B7295" w:rsidP="008B7295">
      <w:r w:rsidRPr="00500A19">
        <w:t>Отчет о ходе работы Межсекторальной координационной группы (МСКГ) был представлен ее Председателем г-ном Фабио Биджи. Он рассказал о принимаемых группой мерах по укреплению координации между тремя Секторами МСЭ и сообщил о тематических областях, находящихся на этапе активного обсуждения, включая вопросы доступности, изменения климата, дистанционного участия, инноваций и взаимодействия с отраслью. Оратор подчеркнул, что собрания МСКГ должны быть более открытыми и доступными для участия, отметив, что информация о будущих сессиях будет объявляться публично для поощрения более широкого участия. Г-н Биджи также отметил успешную деятельность по координации, особенно в области обеспечения доступности, где сотрудничество между секторами дало ощутимые результаты. Он подчеркнул важность дальнейшей работы по упорядочению и согласованию Резолюций и исследуемых Вопросов в рамках МСЭ во избежание дублирования и для обеспечения эффективности. В качестве приоритета было отмечено участие МСКГ в работе по сопоставлению деятельности секторов и укреплению сотрудничества; также в качестве формирующейся темы, требующей структурированного внимания, была упомянута необходимость выработки в рамках Секторов единого подхода к взаимодействию с отраслью.</w:t>
      </w:r>
    </w:p>
    <w:p w14:paraId="0077472B" w14:textId="77777777" w:rsidR="008B7295" w:rsidRPr="00500A19" w:rsidRDefault="008B7295" w:rsidP="008B7295">
      <w:pPr>
        <w:spacing w:after="120"/>
      </w:pPr>
      <w:r w:rsidRPr="00500A19">
        <w:t>В ходе последующего обсуждения делегации дали высокую оценку усилиям Группы и признали важное значение работы по сопоставлению и скоординированной деятельности. Участники подчеркнули важность пересмотра круга ведения МСКГ, отметив при этом, что все консультативные группы должны быть осведомлены о нем и не иметь возражений против пересмотра. Были подняты вопросы в отношении метода назначения председателя МСКГ и предложено уточнить или, возможно, повысить значимость этой процедуру в структуре управления. Один из делегатов подчеркнул необходимость отложить новые меры по взаимодействию до следующего исследовательского цикла, когда будут приняты обновленные исследуемые Вопросы. Был достигнут общий консенсус относительно полезности деятельности МСКГ и выражена заинтересованность в дальнейшем укреплении ее роли путем повышения прозрачности, более четкого формулирования мандатов и более широкого секторального согласования.</w:t>
      </w:r>
    </w:p>
    <w:p w14:paraId="5C9D7BCE" w14:textId="20A365E1" w:rsidR="009C4A14" w:rsidRPr="00500A19" w:rsidRDefault="009C4A14">
      <w:pPr>
        <w:overflowPunct/>
        <w:autoSpaceDE/>
        <w:autoSpaceDN/>
        <w:adjustRightInd/>
        <w:spacing w:before="0"/>
        <w:textAlignment w:val="auto"/>
      </w:pPr>
      <w:r w:rsidRPr="00500A19">
        <w:br w:type="page"/>
      </w:r>
    </w:p>
    <w:tbl>
      <w:tblPr>
        <w:tblStyle w:val="TableGrid"/>
        <w:tblW w:w="0" w:type="auto"/>
        <w:tblLayout w:type="fixed"/>
        <w:tblLook w:val="04A0" w:firstRow="1" w:lastRow="0" w:firstColumn="1" w:lastColumn="0" w:noHBand="0" w:noVBand="1"/>
      </w:tblPr>
      <w:tblGrid>
        <w:gridCol w:w="9629"/>
      </w:tblGrid>
      <w:tr w:rsidR="008B7295" w:rsidRPr="00500A19" w14:paraId="2EDC9D86" w14:textId="77777777" w:rsidTr="6215BC2C">
        <w:tc>
          <w:tcPr>
            <w:tcW w:w="9629" w:type="dxa"/>
          </w:tcPr>
          <w:p w14:paraId="7AF1F1F7" w14:textId="77777777" w:rsidR="008B7295" w:rsidRPr="00500A19" w:rsidRDefault="008B7295" w:rsidP="00A05A39">
            <w:pPr>
              <w:tabs>
                <w:tab w:val="left" w:pos="567"/>
                <w:tab w:val="left" w:pos="1701"/>
              </w:tabs>
              <w:spacing w:after="120"/>
              <w:rPr>
                <w:rFonts w:cstheme="minorHAnsi"/>
                <w:szCs w:val="22"/>
              </w:rPr>
            </w:pPr>
            <w:r w:rsidRPr="00500A19">
              <w:rPr>
                <w:rFonts w:cstheme="minorHAnsi"/>
                <w:color w:val="000000"/>
                <w:szCs w:val="22"/>
              </w:rPr>
              <w:lastRenderedPageBreak/>
              <w:t>КГРЭ приняла отчет к сведению, высоко оценив значение МСКГ и выразив заинтересованность в дальнейшем упрочении ее роли путем повышения прозрачности, более четкого формулирования мандатов и более широкого секторального согласования. КГРЭ решила, что Инга Римкевичене будет выполнять функции представителя МСКГ по вопросам участия отрасли в МСЭ-D.</w:t>
            </w:r>
          </w:p>
        </w:tc>
      </w:tr>
    </w:tbl>
    <w:p w14:paraId="6093E862" w14:textId="71C0D7B2"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68">
        <w:r w:rsidRPr="00500A19">
          <w:rPr>
            <w:rStyle w:val="Hyperlink"/>
            <w:rFonts w:cstheme="minorHAnsi"/>
            <w:bCs/>
            <w:szCs w:val="22"/>
            <w:lang w:val="ru-RU"/>
          </w:rPr>
          <w:t>24(Rev.1) (&amp; Annex 1)</w:t>
        </w:r>
      </w:hyperlink>
      <w:r w:rsidRPr="00500A19">
        <w:rPr>
          <w:lang w:val="ru-RU"/>
        </w:rPr>
        <w:t xml:space="preserve"> (Директор БРЭ) </w:t>
      </w:r>
      <w:r w:rsidRPr="00500A19">
        <w:rPr>
          <w:lang w:val="ru-RU"/>
        </w:rPr>
        <w:sym w:font="Symbol" w:char="F02D"/>
      </w:r>
      <w:r w:rsidRPr="00500A19">
        <w:rPr>
          <w:lang w:val="ru-RU"/>
        </w:rPr>
        <w:t xml:space="preserve"> Укрепление регионального присутствия </w:t>
      </w:r>
      <w:r w:rsidRPr="00500A19">
        <w:rPr>
          <w:lang w:val="ru-RU"/>
        </w:rPr>
        <w:sym w:font="Symbol" w:char="F02D"/>
      </w:r>
      <w:r w:rsidRPr="00500A19">
        <w:rPr>
          <w:lang w:val="ru-RU"/>
        </w:rPr>
        <w:t xml:space="preserve"> Критерии создания региональных и зональных отделений в будущем</w:t>
      </w:r>
    </w:p>
    <w:p w14:paraId="2546D51D" w14:textId="77777777" w:rsidR="008B7295" w:rsidRPr="00500A19" w:rsidRDefault="008B7295" w:rsidP="008B7295">
      <w:pPr>
        <w:rPr>
          <w:rFonts w:eastAsia="Calibri"/>
        </w:rPr>
      </w:pPr>
      <w:r w:rsidRPr="00500A19">
        <w:t>БРЭ представило обзор осуществления деятельности МСЭ на местах региональными и зональными отделениями, а также сотрудничества между всеми тремя Секторами МСЭ. В выступлении отмечалась решающая роль регионального присутствия в выполнении оперативного плана МСЭ-D, а также подчеркивалось, что региональные и зональные отделения полностью интегрированы в структуру управления, ориентированного на результаты (УОР), и работают в тесной координации со штаб-квартирой БРЭ. Как было отмечено в отчете, такая интеграция позволяет не только обеспечить увязку оперативных планов, проектов и видов деятельности с Кигалийским планом действий и региональными инициативами, но и напрямую учесть в них потребности конкретных стран. Региональные отделения играют решающую роль в предоставлении технической помощи и услуг МСЭ-D на местах, а штаб-квартира руководит межрегиональными мероприятиями. Сотрудничество между региональными отделениями и службами БРЭ носит структурированный стратегический характер с опорой на совместно разработанные планы и единые ключевые показатели деятельности для оценки осуществления и воздействия.</w:t>
      </w:r>
    </w:p>
    <w:p w14:paraId="296A8763" w14:textId="77777777" w:rsidR="008B7295" w:rsidRPr="00500A19" w:rsidRDefault="008B7295" w:rsidP="008B7295">
      <w:r w:rsidRPr="00500A19">
        <w:t>Помимо этого, в приложении к документу изложены итоги деятельности онлайновой группы, работающей по переписке, которой поручено разработать круг ведения для обзора регионального присутствия МСЭ в соответствии с Резолюцией 25. Председатель поднял вопрос о взаимосвязи этой деятельности с требованиями Резолюции 25 (Пересм. Бухарест, 2022 г.) Полномочной конференции, в частности о том, как организовано сотрудничество между БРЭ, Генеральным секретариатом и другими Секторами и будут ли в текущем обзоре учтены вклады от БРЭ, КГРЭ и региональные оперативные отчеты. Было подтверждено, что создана межсекторальная целевая группа и что итоги работы Группы, работающей по переписке, после их рассмотрения Советом, войдут в отчет, который будет представлен Полномочной конференции в 2026 году. Выступая в качестве координатора для Африки, один из делегатов подчеркнул, что необходимо обеспечить отражение идей и синергии, обмен которыми состоялся в ходе КГРЭ, особенно со стороны директоров региональных отделений, в процессе обзора для использования в будущих руководящих указаниях. В заключение обсуждения была признана важность непрерывного характера этого обзора и открытого для всех участия.</w:t>
      </w:r>
    </w:p>
    <w:p w14:paraId="76D8B03C" w14:textId="77777777" w:rsidR="008B7295" w:rsidRPr="00500A19" w:rsidRDefault="008B7295" w:rsidP="008B7295">
      <w:r w:rsidRPr="00500A19">
        <w:t>Обсуждение этого документа продолжилось на четвертый день работы КГРЭ. Несколько делегаций подчеркнули важнейшую роль региональных отделений в реализации региональных инициатив и Кигалийского плана действий и отметили положительный вклад Директоров региональных отделений, который был продемонстрирован в понедельник в ходе круглого стола, а также описывается в Приложении А к настоящему отчету. Делегации призвали отразить эту высокую оценку в отчете о собрании и принять ее во внимание при пересмотре функций региональных отделений в соответствии с установленным кругом ведения. Несколько делегаций поддержали это выступление и подчеркнули ценность тесного сотрудничества между БРЭ и региональными отделениями в вопросах создания потенциала и осуществления проектов.</w:t>
      </w:r>
    </w:p>
    <w:p w14:paraId="71EDF4BD" w14:textId="77777777" w:rsidR="008B7295" w:rsidRPr="00500A19" w:rsidRDefault="008B7295" w:rsidP="008B7295">
      <w:pPr>
        <w:spacing w:after="120"/>
      </w:pPr>
      <w:r w:rsidRPr="00500A19">
        <w:t>Заместитель Председателя от Арабского региона отметил связь между Документами 24 и 28, указав на необходимость более четкого разграничения функциональных и оперативных ролей региональных отделений в более широком контексте стратегического плана и плана действий МСЭ. Председатель подтвердил важность регионального представительства и отметил, что отзывы Государств-Членов будут включены в отчет о собрании КГРЭ. Все участники согласились с тем, что региональные отделения играют жизненно важную и развивающуюся роль, и их вклад следует укреплять в дальнейшем.</w:t>
      </w:r>
    </w:p>
    <w:tbl>
      <w:tblPr>
        <w:tblStyle w:val="TableGrid"/>
        <w:tblW w:w="0" w:type="auto"/>
        <w:tblLayout w:type="fixed"/>
        <w:tblLook w:val="04A0" w:firstRow="1" w:lastRow="0" w:firstColumn="1" w:lastColumn="0" w:noHBand="0" w:noVBand="1"/>
      </w:tblPr>
      <w:tblGrid>
        <w:gridCol w:w="9629"/>
      </w:tblGrid>
      <w:tr w:rsidR="008B7295" w:rsidRPr="00500A19" w14:paraId="491E84FB" w14:textId="77777777" w:rsidTr="6215BC2C">
        <w:tc>
          <w:tcPr>
            <w:tcW w:w="9629" w:type="dxa"/>
          </w:tcPr>
          <w:p w14:paraId="50D2FC1B" w14:textId="22B003D8" w:rsidR="008B7295" w:rsidRPr="00500A19" w:rsidRDefault="008B7295" w:rsidP="00A05A39">
            <w:pPr>
              <w:tabs>
                <w:tab w:val="left" w:pos="567"/>
                <w:tab w:val="left" w:pos="1701"/>
              </w:tabs>
              <w:spacing w:after="120"/>
              <w:rPr>
                <w:rFonts w:cstheme="minorHAnsi"/>
                <w:szCs w:val="22"/>
              </w:rPr>
            </w:pPr>
            <w:r w:rsidRPr="00500A19">
              <w:rPr>
                <w:rFonts w:cstheme="minorHAnsi"/>
                <w:color w:val="000000"/>
                <w:szCs w:val="22"/>
              </w:rPr>
              <w:lastRenderedPageBreak/>
              <w:t>КГРЭ приняла отчет к сведению и признала исключительно важную роль региональных отделений в реализации региональных инициатив и Кигалийского плана действий; кроме того, она подтвердила вспомогательную роль региональных отделений МСЭ в деятельности, связанной с развитием, а также в усилиях МСЭ-T и МСЭ-R. КГРЭ признала и высоко оценила тесное сотрудничество между региональными отделениями и БРЭ, которое было продемонстрировано во время пленарного заседания, посвященного вкладу директоров региональных отделений и эффективным мерам в регионах. КГРЭ с удовлетворением отметила взаимодействие между региональными отделениями и БРЭ в процессе планирования, реализации, мониторинга и оценки мероприятий и проектов, о чем свидетельствуют положительные отзывы, прозвучавшие в выступлениях многих членов. При проведении обзора действий, направленных на укрепление регионального присутствия, следует в полной мере учитывать Резолюцию 25 (Пересм. Бухарест, 2022 г.).</w:t>
            </w:r>
          </w:p>
        </w:tc>
      </w:tr>
    </w:tbl>
    <w:p w14:paraId="32E05D9D" w14:textId="2A51D8DF"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69">
        <w:r w:rsidRPr="00500A19">
          <w:rPr>
            <w:rStyle w:val="Hyperlink"/>
            <w:rFonts w:cstheme="minorHAnsi"/>
            <w:bCs/>
            <w:szCs w:val="22"/>
            <w:lang w:val="ru-RU"/>
          </w:rPr>
          <w:t>46(Rev.1)</w:t>
        </w:r>
      </w:hyperlink>
      <w:r w:rsidRPr="00500A19">
        <w:rPr>
          <w:lang w:val="ru-RU"/>
        </w:rPr>
        <w:t xml:space="preserve"> (Австралия, Фиджи, Папуа-Новая Гвинея, Самоа, Тонга и Вануату) </w:t>
      </w:r>
      <w:r w:rsidRPr="00500A19">
        <w:rPr>
          <w:lang w:val="ru-RU"/>
        </w:rPr>
        <w:sym w:font="Symbol" w:char="F02D"/>
      </w:r>
      <w:r w:rsidRPr="00500A19">
        <w:rPr>
          <w:lang w:val="ru-RU"/>
        </w:rPr>
        <w:t xml:space="preserve"> Обновленная информация о субрегиональных инициативах по решению связанных с электросвязью/ИКТ проблем в Тихоокеанском регионе</w:t>
      </w:r>
    </w:p>
    <w:p w14:paraId="64740E00" w14:textId="62CCE51C" w:rsidR="008B7295" w:rsidRPr="00500A19" w:rsidRDefault="008B7295" w:rsidP="008B7295">
      <w:pPr>
        <w:spacing w:after="120"/>
      </w:pPr>
      <w:r w:rsidRPr="00500A19">
        <w:t>В этом вкладе группы стран представлена обновленная информация для КГРЭ о прогрессе, достигнутом Государствами-Членами из Тихоокеанского региона в удовлетворении потребностей субрегиона в сфере развития электросвязи/ИКТ, в частности в рамках Лагатойской декларации о цифровой трансформации Тихоокеанского региона и Плана действий по цифровой трансформации на 2024–2030 годы, а также о создании структуры управления для содействия реализации региональных приоритетов в области электросвязи. Кроме того, качественная оценка возможных способов укрепления регионального присутствия МСЭ в Тихоокеанском регионе была произведена на основе отчетов о реализации БРЭ при поддержке правительства Австралии проекта "Технико</w:t>
      </w:r>
      <w:r w:rsidR="009C4A14" w:rsidRPr="00500A19">
        <w:t>­</w:t>
      </w:r>
      <w:r w:rsidRPr="00500A19">
        <w:t>экономическое обоснование – удовлетворение особых потребностей в электросвязи/ИКТ малых островных развивающихся государств Тихого океана", направленного на выявление и оценку возможных способов, в том числе и способов укрепления регионального присутствия МСЭ в Тихоокеанском регионе в целях удовлетворения конкретных потребностей в области развития.</w:t>
      </w:r>
    </w:p>
    <w:tbl>
      <w:tblPr>
        <w:tblStyle w:val="TableGrid"/>
        <w:tblW w:w="0" w:type="auto"/>
        <w:tblLayout w:type="fixed"/>
        <w:tblLook w:val="04A0" w:firstRow="1" w:lastRow="0" w:firstColumn="1" w:lastColumn="0" w:noHBand="0" w:noVBand="1"/>
      </w:tblPr>
      <w:tblGrid>
        <w:gridCol w:w="9629"/>
      </w:tblGrid>
      <w:tr w:rsidR="008B7295" w:rsidRPr="00500A19" w14:paraId="57C1EE6C" w14:textId="77777777" w:rsidTr="6215BC2C">
        <w:tc>
          <w:tcPr>
            <w:tcW w:w="9629" w:type="dxa"/>
          </w:tcPr>
          <w:p w14:paraId="5349F828" w14:textId="7E706893" w:rsidR="008B7295" w:rsidRPr="00500A19" w:rsidRDefault="008B7295" w:rsidP="00A05A39">
            <w:pPr>
              <w:tabs>
                <w:tab w:val="left" w:pos="567"/>
                <w:tab w:val="left" w:pos="1701"/>
              </w:tabs>
              <w:spacing w:after="120"/>
              <w:rPr>
                <w:rFonts w:cstheme="minorHAnsi"/>
                <w:szCs w:val="22"/>
              </w:rPr>
            </w:pPr>
            <w:r w:rsidRPr="00500A19">
              <w:rPr>
                <w:rFonts w:cstheme="minorHAnsi"/>
                <w:color w:val="000000"/>
                <w:szCs w:val="22"/>
              </w:rPr>
              <w:t>КГРЭ положительно оценила этот вклад, приняв к сведению как потребности, связанные с электросвязью/ИКТ, так и прогресс, достигнутый Государствами-Членами из Тихоокеанского региона в определении и реализации региональных приоритетов, укреплении регионального присутствия МСЭ и коллективных усилиях по достижению стратегических целей Союза на будущее – обеспечению универсальной возможности установления соединений и устойчивой цифровой трансформации.</w:t>
            </w:r>
          </w:p>
        </w:tc>
      </w:tr>
    </w:tbl>
    <w:p w14:paraId="45E4818C" w14:textId="785336F2" w:rsidR="008B7295" w:rsidRPr="00500A19" w:rsidRDefault="008B7295" w:rsidP="00765CDD">
      <w:pPr>
        <w:pStyle w:val="Headingb"/>
        <w:tabs>
          <w:tab w:val="clear" w:pos="907"/>
        </w:tabs>
        <w:ind w:left="0" w:firstLine="0"/>
        <w:rPr>
          <w:rFonts w:cstheme="minorHAnsi"/>
          <w:b w:val="0"/>
          <w:bCs/>
          <w:szCs w:val="22"/>
          <w:lang w:val="ru-RU"/>
        </w:rPr>
      </w:pPr>
      <w:r w:rsidRPr="00500A19">
        <w:rPr>
          <w:rFonts w:cstheme="minorHAnsi"/>
          <w:bCs/>
          <w:szCs w:val="22"/>
          <w:lang w:val="ru-RU"/>
        </w:rPr>
        <w:t xml:space="preserve">Документ </w:t>
      </w:r>
      <w:hyperlink r:id="rId70">
        <w:r w:rsidRPr="00500A19">
          <w:rPr>
            <w:rStyle w:val="Hyperlink"/>
            <w:rFonts w:cstheme="minorHAnsi"/>
            <w:bCs/>
            <w:szCs w:val="22"/>
            <w:lang w:val="ru-RU"/>
          </w:rPr>
          <w:t>29</w:t>
        </w:r>
      </w:hyperlink>
      <w:r w:rsidRPr="00500A19">
        <w:rPr>
          <w:rFonts w:cstheme="minorHAnsi"/>
          <w:bCs/>
          <w:szCs w:val="22"/>
          <w:lang w:val="ru-RU"/>
        </w:rPr>
        <w:t xml:space="preserve"> (КГСЭ) </w:t>
      </w:r>
      <w:r w:rsidRPr="00500A19">
        <w:rPr>
          <w:rFonts w:cstheme="minorHAnsi"/>
          <w:b w:val="0"/>
          <w:bCs/>
          <w:szCs w:val="22"/>
          <w:lang w:val="ru-RU"/>
        </w:rPr>
        <w:sym w:font="Symbol" w:char="F02D"/>
      </w:r>
      <w:r w:rsidRPr="00500A19">
        <w:rPr>
          <w:rFonts w:cstheme="minorHAnsi"/>
          <w:bCs/>
          <w:szCs w:val="22"/>
          <w:lang w:val="ru-RU"/>
        </w:rPr>
        <w:t xml:space="preserve"> Входящее заявление о взаимодействии </w:t>
      </w:r>
      <w:r w:rsidRPr="00500A19">
        <w:rPr>
          <w:rFonts w:cstheme="minorHAnsi"/>
          <w:b w:val="0"/>
          <w:bCs/>
          <w:szCs w:val="22"/>
          <w:lang w:val="ru-RU"/>
        </w:rPr>
        <w:sym w:font="Symbol" w:char="F02D"/>
      </w:r>
      <w:r w:rsidRPr="00500A19">
        <w:rPr>
          <w:rFonts w:cstheme="minorHAnsi"/>
          <w:bCs/>
          <w:szCs w:val="22"/>
          <w:lang w:val="ru-RU"/>
        </w:rPr>
        <w:t xml:space="preserve"> Заявление о взаимодействии в отношении деятельности КГСЭ, касающейся участия отрасли [в адрес КГР, КГРЭ, МСКГ]</w:t>
      </w:r>
    </w:p>
    <w:p w14:paraId="6A4AA94E" w14:textId="6D5F033A" w:rsidR="008B7295" w:rsidRPr="00500A19" w:rsidRDefault="008B7295" w:rsidP="008B7295">
      <w:r w:rsidRPr="00500A19">
        <w:t>В заявлении о взаимодействии КГРЭ сообщалось о деятельности, проводимой в целях расширения участия отрасли в работе в исследовательском периоде 2022–2024 годов. В рамках этой деятельности в апреле 2024 года был проведен семинар-практикум по участию отрасли, на котором были собраны вклады членов и нечленов об участии в деятельности МСЭ-Т, показателях участия и тенденциях в процессах стандартизации. Результаты этой работы были использованы при пересмотре Резолюции 68 ВАСЭ о возрастающей роли отрасли в деятельности МСЭ-Т. В выступлении также отмечалось, что КГСЭ рассмотрит соответствующую информацию на своем предстоящем собрании.</w:t>
      </w:r>
    </w:p>
    <w:p w14:paraId="4D4E002F" w14:textId="77777777" w:rsidR="008B7295" w:rsidRPr="00500A19" w:rsidRDefault="008B7295" w:rsidP="008B7295">
      <w:pPr>
        <w:spacing w:after="120"/>
      </w:pPr>
      <w:r w:rsidRPr="00500A19">
        <w:t xml:space="preserve">После выступления Председатель 1-й Исследовательской комиссии подняла вопрос о том, достигнута ли синергия между работой МСКГ и деятельностью Сектора МСЭ-Т по обеспечению участия отрасли, подчеркнув важность единого подхода к созданию потенциала во всех Секторах. Председатель МСКГ подтвердила, что, хотя теперь вопросы взаимодействия координируются новым координатором, </w:t>
      </w:r>
      <w:r w:rsidRPr="00500A19">
        <w:lastRenderedPageBreak/>
        <w:t>назначенным КГРЭ, в МСКГ в настоящее время не занимается проблемами укрепления потенциала. Один из делегатов уточнил, что изменения к Резолюции 68 обсуждались и были согласованы на ВАСЭ, и подтвердил, что обновленная резолюция послужит руководством для будущих мер по вовлечению. Председатель с удовлетворением отметила подробную обновленную информацию и предложила сообщить о соответствующей работе КГРЭ в ответном заявлении о взаимодействии, подтвердив важность скоординированных межсекторальных усилий, направленных на расширение участия отрасли в деятельности Союза.</w:t>
      </w:r>
    </w:p>
    <w:tbl>
      <w:tblPr>
        <w:tblStyle w:val="TableGrid"/>
        <w:tblW w:w="0" w:type="auto"/>
        <w:tblLayout w:type="fixed"/>
        <w:tblLook w:val="04A0" w:firstRow="1" w:lastRow="0" w:firstColumn="1" w:lastColumn="0" w:noHBand="0" w:noVBand="1"/>
      </w:tblPr>
      <w:tblGrid>
        <w:gridCol w:w="9629"/>
      </w:tblGrid>
      <w:tr w:rsidR="008B7295" w:rsidRPr="00500A19" w14:paraId="2D9C7563" w14:textId="77777777" w:rsidTr="6215BC2C">
        <w:tc>
          <w:tcPr>
            <w:tcW w:w="9629" w:type="dxa"/>
          </w:tcPr>
          <w:p w14:paraId="4469E5AA" w14:textId="77777777" w:rsidR="008B7295" w:rsidRPr="00500A19" w:rsidRDefault="008B7295" w:rsidP="00A05A39">
            <w:pPr>
              <w:tabs>
                <w:tab w:val="left" w:pos="567"/>
                <w:tab w:val="left" w:pos="1701"/>
              </w:tabs>
              <w:spacing w:after="120"/>
              <w:rPr>
                <w:rFonts w:cstheme="minorHAnsi"/>
                <w:szCs w:val="22"/>
              </w:rPr>
            </w:pPr>
            <w:r w:rsidRPr="00500A19">
              <w:rPr>
                <w:rFonts w:cstheme="minorHAnsi"/>
                <w:color w:val="000000"/>
                <w:szCs w:val="22"/>
              </w:rPr>
              <w:t xml:space="preserve">КГРЭ приняла к сведению заявление о взаимодействии в отношении деятельности КГСЭ, касающейся участия отрасли, и утвердила свой ответ, приведенный в Документе </w:t>
            </w:r>
            <w:hyperlink r:id="rId71">
              <w:r w:rsidRPr="00500A19">
                <w:rPr>
                  <w:rStyle w:val="Hyperlink"/>
                  <w:rFonts w:cstheme="minorHAnsi"/>
                  <w:szCs w:val="22"/>
                </w:rPr>
                <w:t>DT/2</w:t>
              </w:r>
            </w:hyperlink>
            <w:r w:rsidRPr="00500A19">
              <w:rPr>
                <w:rFonts w:cstheme="minorHAnsi"/>
                <w:color w:val="000000"/>
                <w:szCs w:val="22"/>
              </w:rPr>
              <w:t>.</w:t>
            </w:r>
          </w:p>
        </w:tc>
      </w:tr>
    </w:tbl>
    <w:p w14:paraId="66502D81" w14:textId="2FC5B669"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72">
        <w:r w:rsidRPr="00500A19">
          <w:rPr>
            <w:rStyle w:val="Hyperlink"/>
            <w:rFonts w:cstheme="minorHAnsi"/>
            <w:bCs/>
            <w:szCs w:val="22"/>
            <w:lang w:val="ru-RU"/>
          </w:rPr>
          <w:t>30</w:t>
        </w:r>
      </w:hyperlink>
      <w:r w:rsidRPr="00500A19">
        <w:rPr>
          <w:lang w:val="ru-RU"/>
        </w:rPr>
        <w:t xml:space="preserve"> (КГСЭ) </w:t>
      </w:r>
      <w:r w:rsidRPr="00500A19">
        <w:rPr>
          <w:lang w:val="ru-RU"/>
        </w:rPr>
        <w:sym w:font="Symbol" w:char="F02D"/>
      </w:r>
      <w:r w:rsidRPr="00500A19">
        <w:rPr>
          <w:lang w:val="ru-RU"/>
        </w:rPr>
        <w:t xml:space="preserve"> Входящее заявление о взаимодействии </w:t>
      </w:r>
      <w:r w:rsidRPr="00500A19">
        <w:rPr>
          <w:lang w:val="ru-RU"/>
        </w:rPr>
        <w:sym w:font="Symbol" w:char="F02D"/>
      </w:r>
      <w:r w:rsidRPr="00500A19">
        <w:rPr>
          <w:lang w:val="ru-RU"/>
        </w:rPr>
        <w:t xml:space="preserve"> Заявление о взаимодействии, касающееся Добавления 7 серии А "Руководящие указания ВАСЭ по подготовке Резолюций" [в</w:t>
      </w:r>
      <w:r w:rsidR="009C4A14" w:rsidRPr="00500A19">
        <w:rPr>
          <w:lang w:val="ru-RU"/>
        </w:rPr>
        <w:t> </w:t>
      </w:r>
      <w:r w:rsidRPr="00500A19">
        <w:rPr>
          <w:lang w:val="ru-RU"/>
        </w:rPr>
        <w:t>адрес МСКГ, КГРЭ, КГР]</w:t>
      </w:r>
    </w:p>
    <w:p w14:paraId="2CEEA633" w14:textId="77777777" w:rsidR="008B7295" w:rsidRPr="00500A19" w:rsidRDefault="008B7295" w:rsidP="008B7295">
      <w:r w:rsidRPr="00500A19">
        <w:t>БСЭ представило заявление о взаимодействии от КГСЭ, касающееся Добавления 7 серии А, в котором содержатся руководящие указания по подготовке Резолюций ВАСЭ. В Добавлении, которое разрабатывалось на протяжении двух исследовательских периодов начиная с 2016 года и было опубликовано в августе 2024 года, излагаются принципы упорядочения Резолюций МСЭ-Т для обеспечения их краткости, целенаправленности, выполнимости и соответствия развивающимся приоритетам в области ИКТ. В нем содержится руководство, касающееся предложения новых Резолюций или пересмотров в Секторе T, и поощряется использование отчетов о состоянии дел, работа по выявлению дублирования и участие региональных организаций в подготовке к ВАСЭ.</w:t>
      </w:r>
    </w:p>
    <w:p w14:paraId="5A6AC16D" w14:textId="77777777" w:rsidR="008B7295" w:rsidRPr="00500A19" w:rsidRDefault="008B7295" w:rsidP="009C4A14">
      <w:pPr>
        <w:spacing w:after="120"/>
      </w:pPr>
      <w:r w:rsidRPr="00500A19">
        <w:t>В ходе последовавшего затем обсуждения заместитель Председателя для Европы поинтересовался, будут ли разработаны аналогичные руководящие указания по подготовке в преддверии ВКРЭ для Сектора МСЭ-D. В ответ на это Директор БРЭ подтвердил, что секретариат готовит для Государств-Членов шаблоны и руководящие указания, аналогичные тем, что использовались в прошлом, а также предоставит доступ к платформе CPI для упрощения представления вкладов и ведения переговоров в ходе ВКРЭ. Один из делегатов также отметил необходимость ссылаться на Резолюции Полномочной конференции и опираться на них в процессе упорядочения, чтобы обеспечить согласованность между Секторами. Председатель признал эти доводы и подтвердил, что такие вклады будут приняты во внимание по мере продвижения процесса подготовки к ВКРЭ.</w:t>
      </w:r>
    </w:p>
    <w:tbl>
      <w:tblPr>
        <w:tblStyle w:val="TableGrid"/>
        <w:tblW w:w="0" w:type="auto"/>
        <w:tblLayout w:type="fixed"/>
        <w:tblLook w:val="04A0" w:firstRow="1" w:lastRow="0" w:firstColumn="1" w:lastColumn="0" w:noHBand="0" w:noVBand="1"/>
      </w:tblPr>
      <w:tblGrid>
        <w:gridCol w:w="9629"/>
      </w:tblGrid>
      <w:tr w:rsidR="008B7295" w:rsidRPr="00500A19" w14:paraId="188A04A5" w14:textId="77777777" w:rsidTr="6215BC2C">
        <w:tc>
          <w:tcPr>
            <w:tcW w:w="9629" w:type="dxa"/>
          </w:tcPr>
          <w:p w14:paraId="4C8B56B4" w14:textId="77777777" w:rsidR="008B7295" w:rsidRPr="00500A19" w:rsidRDefault="008B7295" w:rsidP="00A05A39">
            <w:pPr>
              <w:tabs>
                <w:tab w:val="left" w:pos="567"/>
                <w:tab w:val="left" w:pos="1701"/>
              </w:tabs>
              <w:spacing w:after="120"/>
              <w:rPr>
                <w:rFonts w:cstheme="minorHAnsi"/>
                <w:szCs w:val="22"/>
              </w:rPr>
            </w:pPr>
            <w:r w:rsidRPr="00500A19">
              <w:rPr>
                <w:rFonts w:cstheme="minorHAnsi"/>
                <w:color w:val="000000"/>
                <w:szCs w:val="22"/>
              </w:rPr>
              <w:t xml:space="preserve">КГРЭ приняла к сведению заявление о взаимодействии, а также приложение к нему, содержащее руководящие указания ВАСЭ по подготовке Резолюций, и утвердила свой ответ, приведенный в Документе </w:t>
            </w:r>
            <w:hyperlink r:id="rId73">
              <w:r w:rsidRPr="00500A19">
                <w:rPr>
                  <w:rStyle w:val="Hyperlink"/>
                  <w:rFonts w:cstheme="minorHAnsi"/>
                  <w:szCs w:val="22"/>
                </w:rPr>
                <w:t>DT/3</w:t>
              </w:r>
            </w:hyperlink>
            <w:r w:rsidRPr="00500A19">
              <w:rPr>
                <w:rFonts w:cstheme="minorHAnsi"/>
                <w:color w:val="000000"/>
                <w:szCs w:val="22"/>
              </w:rPr>
              <w:t>.</w:t>
            </w:r>
          </w:p>
        </w:tc>
      </w:tr>
    </w:tbl>
    <w:p w14:paraId="01E0EBD6" w14:textId="19B154D5"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74">
        <w:r w:rsidRPr="00500A19">
          <w:rPr>
            <w:rStyle w:val="Hyperlink"/>
            <w:rFonts w:cstheme="minorHAnsi"/>
            <w:bCs/>
            <w:szCs w:val="22"/>
            <w:lang w:val="ru-RU"/>
          </w:rPr>
          <w:t>31</w:t>
        </w:r>
      </w:hyperlink>
      <w:r w:rsidRPr="00500A19">
        <w:rPr>
          <w:lang w:val="ru-RU"/>
        </w:rPr>
        <w:t xml:space="preserve"> (КГСЭ) </w:t>
      </w:r>
      <w:r w:rsidRPr="00500A19">
        <w:rPr>
          <w:lang w:val="ru-RU"/>
        </w:rPr>
        <w:sym w:font="Symbol" w:char="F02D"/>
      </w:r>
      <w:r w:rsidRPr="00500A19">
        <w:rPr>
          <w:lang w:val="ru-RU"/>
        </w:rPr>
        <w:t xml:space="preserve"> Входящее заявление о взаимодействии </w:t>
      </w:r>
      <w:r w:rsidRPr="00500A19">
        <w:rPr>
          <w:lang w:val="ru-RU"/>
        </w:rPr>
        <w:sym w:font="Symbol" w:char="F02D"/>
      </w:r>
      <w:r w:rsidRPr="00500A19">
        <w:rPr>
          <w:lang w:val="ru-RU"/>
        </w:rPr>
        <w:t xml:space="preserve"> Заявление о взаимодействии, касающееся первоначального представления КГСЭ в адрес Рабочей группы Совета по разработке Стратегического и Финансового планов [в адрес РГС-СФП, исследовательских комиссий МСЭ-T, МСКГ, КГРЭ, КГР]</w:t>
      </w:r>
    </w:p>
    <w:p w14:paraId="2CC42591" w14:textId="77777777" w:rsidR="008B7295" w:rsidRPr="00500A19" w:rsidRDefault="008B7295" w:rsidP="008B7295">
      <w:pPr>
        <w:spacing w:after="120"/>
      </w:pPr>
      <w:r w:rsidRPr="00500A19">
        <w:t>Документ 31 был представлен как заявление о взаимодействии в адрес КГРЭ, в котором кратко освещается вклад КГСЭ для Рабочей группы Совета по разработке Стратегического и Финансового планов. В документе изложены соображения КГСЭ по нынешнему стратегическому плану, включая согласование с тематическими приоритетами и планом действий Сектора МСЭ-Т. В нем подчеркивается необходимость более тесной увязки стратегического, оперативного и финансового планирования, особенно в контексте принятой на ВАСЭ Резолюции 108 о стратегическом планировании в МСЭ-Т. В заявлении также подчеркивается важность уточнения элементов процесса планирования и актуальность скоординированного межсекторального подхода.</w:t>
      </w:r>
    </w:p>
    <w:tbl>
      <w:tblPr>
        <w:tblStyle w:val="TableGrid"/>
        <w:tblW w:w="0" w:type="auto"/>
        <w:tblLayout w:type="fixed"/>
        <w:tblLook w:val="04A0" w:firstRow="1" w:lastRow="0" w:firstColumn="1" w:lastColumn="0" w:noHBand="0" w:noVBand="1"/>
      </w:tblPr>
      <w:tblGrid>
        <w:gridCol w:w="9629"/>
      </w:tblGrid>
      <w:tr w:rsidR="008B7295" w:rsidRPr="00500A19" w14:paraId="294DDDE1" w14:textId="77777777" w:rsidTr="6215BC2C">
        <w:tc>
          <w:tcPr>
            <w:tcW w:w="9629" w:type="dxa"/>
          </w:tcPr>
          <w:p w14:paraId="7BE207B0" w14:textId="77777777" w:rsidR="008B7295" w:rsidRPr="00500A19" w:rsidRDefault="008B7295" w:rsidP="00A05A39">
            <w:pPr>
              <w:tabs>
                <w:tab w:val="left" w:pos="567"/>
                <w:tab w:val="left" w:pos="1701"/>
              </w:tabs>
              <w:spacing w:after="120"/>
              <w:rPr>
                <w:rFonts w:cstheme="minorHAnsi"/>
                <w:color w:val="000000" w:themeColor="text1"/>
                <w:szCs w:val="22"/>
              </w:rPr>
            </w:pPr>
            <w:r w:rsidRPr="00500A19">
              <w:rPr>
                <w:rFonts w:cstheme="minorHAnsi"/>
                <w:color w:val="000000"/>
                <w:szCs w:val="22"/>
              </w:rPr>
              <w:lastRenderedPageBreak/>
              <w:t xml:space="preserve">КГРЭ приняла к сведению заявление о взаимодействии, касающееся первоначального представления КГСЭ в адрес Рабочей группы Совета по разработке Стратегического и Финансового планов, и утвердила свой ответ, приведенный в Документе </w:t>
            </w:r>
            <w:hyperlink r:id="rId75">
              <w:r w:rsidRPr="00500A19">
                <w:rPr>
                  <w:rStyle w:val="Hyperlink"/>
                  <w:rFonts w:cstheme="minorHAnsi"/>
                  <w:szCs w:val="22"/>
                </w:rPr>
                <w:t>DT/4</w:t>
              </w:r>
            </w:hyperlink>
            <w:r w:rsidRPr="00500A19">
              <w:rPr>
                <w:rFonts w:cstheme="minorHAnsi"/>
                <w:color w:val="000000"/>
                <w:szCs w:val="22"/>
              </w:rPr>
              <w:t>.</w:t>
            </w:r>
          </w:p>
        </w:tc>
      </w:tr>
    </w:tbl>
    <w:p w14:paraId="2B45CCCB" w14:textId="7F551CBA"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76">
        <w:r w:rsidRPr="00500A19">
          <w:rPr>
            <w:rStyle w:val="Hyperlink"/>
            <w:rFonts w:cstheme="minorHAnsi"/>
            <w:bCs/>
            <w:szCs w:val="22"/>
            <w:lang w:val="ru-RU"/>
          </w:rPr>
          <w:t>33</w:t>
        </w:r>
      </w:hyperlink>
      <w:r w:rsidRPr="00500A19">
        <w:rPr>
          <w:lang w:val="ru-RU"/>
        </w:rPr>
        <w:t xml:space="preserve"> (КГСЭ) </w:t>
      </w:r>
      <w:r w:rsidRPr="00500A19">
        <w:rPr>
          <w:lang w:val="ru-RU"/>
        </w:rPr>
        <w:sym w:font="Symbol" w:char="F02D"/>
      </w:r>
      <w:r w:rsidRPr="00500A19">
        <w:rPr>
          <w:lang w:val="ru-RU"/>
        </w:rPr>
        <w:t xml:space="preserve"> Входящее заявление о взаимодействии </w:t>
      </w:r>
      <w:r w:rsidRPr="00500A19">
        <w:rPr>
          <w:lang w:val="ru-RU"/>
        </w:rPr>
        <w:sym w:font="Symbol" w:char="F02D"/>
      </w:r>
      <w:r w:rsidRPr="00500A19">
        <w:rPr>
          <w:lang w:val="ru-RU"/>
        </w:rPr>
        <w:t xml:space="preserve"> Заявление о взаимодействии, касающееся второго представления КГСЭ в адрес Рабочей группы Совета по разработке Стратегического и Финансового планов на 2028–2031 годы</w:t>
      </w:r>
    </w:p>
    <w:p w14:paraId="2FCE493C" w14:textId="77777777" w:rsidR="008B7295" w:rsidRPr="00500A19" w:rsidRDefault="008B7295" w:rsidP="008B7295">
      <w:r w:rsidRPr="00500A19">
        <w:t>Документ 33 был представлен как продолжение вклада КГСЭ для Рабочей группы Совета по разработке Стратегического и Финансового планов, дополняющее представленное ранее заявление о взаимодействии, содержащееся в Документе 31. В этом втором заявлении о взаимодействии представлен более глубокий анализ стратегического плана со ссылкой на недавно принятую Резолюцию 108 ВАСЭ о стратегическом планировании в МСЭ-T. В нем подчеркивается необходимость достижения большей согласованности стратегического, оперативного и финансового планирования в рамках всего Союза. В документе также содержится призыв обеспечить более четкие определения элементов планирования и большую согласованность вкладов Секторов в общую стратегическую структуру МСЭ.</w:t>
      </w:r>
    </w:p>
    <w:p w14:paraId="17DC5333" w14:textId="77777777" w:rsidR="008B7295" w:rsidRPr="00500A19" w:rsidRDefault="008B7295" w:rsidP="008B7295">
      <w:pPr>
        <w:spacing w:after="120"/>
      </w:pPr>
      <w:r w:rsidRPr="00500A19">
        <w:t>Председатель поблагодарила оратора и отметила, что собственная Рабочая группа КГРЭ по приоритетам МСЭ-D параллельно работает над связанными вопросами. Она подчеркнула значение взаимного обеспечения осведомленности между Секторами и отметила, что КГРЭ направит ответное заявление о взаимодействии, в котором уведомит о достигнутом прогрессе и приоритетах. Дополнительных замечаний высказано не было, и вклад был принят к сведению как ценная основа для текущей межсекторальной координации по вопросам стратегического планирования.</w:t>
      </w:r>
    </w:p>
    <w:tbl>
      <w:tblPr>
        <w:tblStyle w:val="TableGrid"/>
        <w:tblW w:w="0" w:type="auto"/>
        <w:tblLayout w:type="fixed"/>
        <w:tblLook w:val="04A0" w:firstRow="1" w:lastRow="0" w:firstColumn="1" w:lastColumn="0" w:noHBand="0" w:noVBand="1"/>
      </w:tblPr>
      <w:tblGrid>
        <w:gridCol w:w="9629"/>
      </w:tblGrid>
      <w:tr w:rsidR="008B7295" w:rsidRPr="00500A19" w14:paraId="483281A1" w14:textId="77777777" w:rsidTr="6215BC2C">
        <w:tc>
          <w:tcPr>
            <w:tcW w:w="9629" w:type="dxa"/>
          </w:tcPr>
          <w:p w14:paraId="7A707B2E" w14:textId="77777777" w:rsidR="008B7295" w:rsidRPr="00500A19" w:rsidRDefault="008B7295" w:rsidP="00A05A39">
            <w:pPr>
              <w:tabs>
                <w:tab w:val="left" w:pos="567"/>
                <w:tab w:val="left" w:pos="1701"/>
              </w:tabs>
              <w:spacing w:after="120"/>
              <w:rPr>
                <w:rFonts w:cstheme="minorHAnsi"/>
                <w:color w:val="000000" w:themeColor="text1"/>
                <w:szCs w:val="22"/>
              </w:rPr>
            </w:pPr>
            <w:r w:rsidRPr="00500A19">
              <w:rPr>
                <w:rFonts w:cstheme="minorHAnsi"/>
                <w:color w:val="000000"/>
                <w:szCs w:val="22"/>
              </w:rPr>
              <w:t xml:space="preserve">КГРЭ приняла к сведению заявление, касающееся второго представления КГСЭ в адрес Рабочей группы Совета по разработке Стратегического и Финансового планов на 2028−2031 годы, и утвердила свой ответ, приведенный в Документе </w:t>
            </w:r>
            <w:hyperlink r:id="rId77">
              <w:r w:rsidRPr="00500A19">
                <w:rPr>
                  <w:rStyle w:val="Hyperlink"/>
                  <w:rFonts w:cstheme="minorHAnsi"/>
                  <w:szCs w:val="22"/>
                </w:rPr>
                <w:t>DT/4</w:t>
              </w:r>
            </w:hyperlink>
            <w:r w:rsidRPr="00500A19">
              <w:rPr>
                <w:rFonts w:cstheme="minorHAnsi"/>
                <w:color w:val="000000"/>
                <w:szCs w:val="22"/>
              </w:rPr>
              <w:t>.</w:t>
            </w:r>
          </w:p>
        </w:tc>
      </w:tr>
    </w:tbl>
    <w:p w14:paraId="54A3E94F" w14:textId="1CE889DF" w:rsidR="008B7295" w:rsidRPr="00500A19" w:rsidRDefault="008B7295" w:rsidP="00765CDD">
      <w:pPr>
        <w:pStyle w:val="Headingb"/>
        <w:tabs>
          <w:tab w:val="clear" w:pos="907"/>
        </w:tabs>
        <w:ind w:left="0" w:firstLine="0"/>
        <w:rPr>
          <w:lang w:val="ru-RU"/>
        </w:rPr>
      </w:pPr>
      <w:r w:rsidRPr="00500A19">
        <w:rPr>
          <w:lang w:val="ru-RU"/>
        </w:rPr>
        <w:t xml:space="preserve">Документ </w:t>
      </w:r>
      <w:hyperlink r:id="rId78">
        <w:r w:rsidRPr="00500A19">
          <w:rPr>
            <w:rStyle w:val="Hyperlink"/>
            <w:rFonts w:cstheme="minorHAnsi"/>
            <w:bCs/>
            <w:szCs w:val="22"/>
            <w:lang w:val="ru-RU"/>
          </w:rPr>
          <w:t>32</w:t>
        </w:r>
      </w:hyperlink>
      <w:r w:rsidRPr="00500A19">
        <w:rPr>
          <w:lang w:val="ru-RU"/>
        </w:rPr>
        <w:t xml:space="preserve"> (Рабочая группа 5D МСЭ-R) </w:t>
      </w:r>
      <w:r w:rsidR="00475C13" w:rsidRPr="00500A19">
        <w:rPr>
          <w:lang w:val="ru-RU"/>
        </w:rPr>
        <w:sym w:font="Symbol" w:char="F02D"/>
      </w:r>
      <w:r w:rsidRPr="00500A19">
        <w:rPr>
          <w:lang w:val="ru-RU"/>
        </w:rPr>
        <w:t xml:space="preserve"> Входящее заявление о взаимодействии </w:t>
      </w:r>
      <w:r w:rsidRPr="00500A19">
        <w:rPr>
          <w:lang w:val="ru-RU"/>
        </w:rPr>
        <w:sym w:font="Symbol" w:char="F02D"/>
      </w:r>
      <w:r w:rsidRPr="00500A19">
        <w:rPr>
          <w:lang w:val="ru-RU"/>
        </w:rPr>
        <w:t xml:space="preserve"> Заявление о взаимодействии в адрес Координационного комитета по терминологии [копия в адрес КГР, КГСЭ, КГРЭ, 17-й и 13-й Исследовательских комиссий МСЭ-Т и Рабочей группы 4B МСЭ-R] в отношении терминов и определений, связанных с технологией IMT-2020 (5G)</w:t>
      </w:r>
    </w:p>
    <w:p w14:paraId="2F3A6427" w14:textId="2E5A319A" w:rsidR="008B7295" w:rsidRPr="00500A19" w:rsidRDefault="008B7295" w:rsidP="008B7295">
      <w:r w:rsidRPr="00500A19">
        <w:t>В Документе 32, который был представлен Рабочей группой 5D МСЭ-R, содержится заявление о взаимодействии в адрес Координационного комитета по терминологии (ККТ) относительно использования единообразной терминологии для IMT-2020 и связанных с ней технологий. В</w:t>
      </w:r>
      <w:r w:rsidR="00356937" w:rsidRPr="00500A19">
        <w:t> </w:t>
      </w:r>
      <w:r w:rsidRPr="00500A19">
        <w:t>документе подчеркивается, что такие термины как 3G, 4G, 5G и 6G носят коммерческий характер и не имеют официального определения в МСЭ. В заявлении всем Секторам настоятельно рекомендуется принять стандартную номенклатуру IMT, определенную в Резолюции 56 МСЭ-R, в которой закрепляется использование таких терминов как IMT-2000, IMT-Advanced, IMT-2020 и IMT</w:t>
      </w:r>
      <w:r w:rsidR="00356937" w:rsidRPr="00500A19">
        <w:t>­</w:t>
      </w:r>
      <w:r w:rsidRPr="00500A19">
        <w:t>2030 применительно к соответствующим поколениям технологий подвижной связи. В заявлении 17</w:t>
      </w:r>
      <w:r w:rsidR="009C4A14" w:rsidRPr="00500A19">
        <w:t>­</w:t>
      </w:r>
      <w:r w:rsidRPr="00500A19">
        <w:t>й</w:t>
      </w:r>
      <w:r w:rsidR="009C4A14" w:rsidRPr="00500A19">
        <w:t> </w:t>
      </w:r>
      <w:r w:rsidRPr="00500A19">
        <w:t>Исследовательской комиссии также рекомендуется избегать ссылок на организации, продвигающие конкретные технологии, такие как 3GPP, и вместо этого использовать нейтральную терминологию IMT.</w:t>
      </w:r>
    </w:p>
    <w:p w14:paraId="6E20E795" w14:textId="741B9385" w:rsidR="008B7295" w:rsidRPr="00500A19" w:rsidRDefault="008B7295" w:rsidP="008B7295">
      <w:r w:rsidRPr="00500A19">
        <w:t>В ходе обсуждения Председатель 2-й Исследовательской комиссии отметил постоянно возникающий вопрос о том, следует ли использовать в отчетах коммерческие термины, такие как 5G, и рассказал о текущей практике использования в отчетах как технических, так и коммерческих терминов. Один из делегатов предложил разработать справочное руководство по терминам, которые обычно неправильно толкуются или непоследовательно применяются, с тем чтобы обеспечить единообразие между Секторами.</w:t>
      </w:r>
    </w:p>
    <w:p w14:paraId="7F6140E7" w14:textId="77777777" w:rsidR="008B7295" w:rsidRPr="00500A19" w:rsidRDefault="008B7295" w:rsidP="008B7295">
      <w:pPr>
        <w:spacing w:after="120"/>
      </w:pPr>
      <w:r w:rsidRPr="00500A19">
        <w:lastRenderedPageBreak/>
        <w:t>Председатель признала, что, хотя следует соблюдать официальную терминологию, МСЭ также необходимо работать над тем, чтобы результаты его деятельности были доступны и понятны внешней аудитории, в том числе заинтересованным сторонам, не являющимся техническими специалистами. Несколько делегаций подчеркнули необходимость согласования, особенно в таких регуляторных условиях, где стандарты МСЭ служат национальными эталонами. В заключение обсуждения было выражено единодушное мнение о важности сохранения ясности, последовательности и образовательной прозрачности как при помощи официальной терминологии, так и при содействии вспомогательных, понятных терминов с поясняющими материалами.</w:t>
      </w:r>
    </w:p>
    <w:tbl>
      <w:tblPr>
        <w:tblStyle w:val="TableGrid"/>
        <w:tblW w:w="0" w:type="auto"/>
        <w:tblLayout w:type="fixed"/>
        <w:tblLook w:val="04A0" w:firstRow="1" w:lastRow="0" w:firstColumn="1" w:lastColumn="0" w:noHBand="0" w:noVBand="1"/>
      </w:tblPr>
      <w:tblGrid>
        <w:gridCol w:w="9629"/>
      </w:tblGrid>
      <w:tr w:rsidR="008B7295" w:rsidRPr="00500A19" w14:paraId="1A22B765" w14:textId="77777777" w:rsidTr="6215BC2C">
        <w:tc>
          <w:tcPr>
            <w:tcW w:w="9629" w:type="dxa"/>
          </w:tcPr>
          <w:p w14:paraId="5103CED6" w14:textId="77777777" w:rsidR="008B7295" w:rsidRPr="00500A19" w:rsidRDefault="008B7295" w:rsidP="00A05A39">
            <w:pPr>
              <w:tabs>
                <w:tab w:val="left" w:pos="567"/>
                <w:tab w:val="left" w:pos="1701"/>
              </w:tabs>
              <w:spacing w:after="120"/>
              <w:rPr>
                <w:rFonts w:cstheme="minorHAnsi"/>
                <w:color w:val="000000" w:themeColor="text1"/>
                <w:szCs w:val="22"/>
              </w:rPr>
            </w:pPr>
            <w:r w:rsidRPr="00500A19">
              <w:rPr>
                <w:rFonts w:cstheme="minorHAnsi"/>
                <w:color w:val="000000"/>
                <w:szCs w:val="22"/>
              </w:rPr>
              <w:t xml:space="preserve">КГРЭ приняла к сведению заявление о взаимодействии в отношении терминов и определений, связанных с технологией IMT-2020 (5G), и утвердила свой ответ, приведенный в Документе </w:t>
            </w:r>
            <w:hyperlink r:id="rId79">
              <w:r w:rsidRPr="00500A19">
                <w:rPr>
                  <w:rStyle w:val="Hyperlink"/>
                  <w:rFonts w:cstheme="minorHAnsi"/>
                  <w:szCs w:val="22"/>
                </w:rPr>
                <w:t>DT/5</w:t>
              </w:r>
            </w:hyperlink>
            <w:r w:rsidRPr="00500A19">
              <w:rPr>
                <w:rFonts w:cstheme="minorHAnsi"/>
                <w:color w:val="000000"/>
                <w:szCs w:val="22"/>
              </w:rPr>
              <w:t>.</w:t>
            </w:r>
          </w:p>
        </w:tc>
      </w:tr>
    </w:tbl>
    <w:p w14:paraId="2A689FBF" w14:textId="6AED39FE" w:rsidR="006A3426" w:rsidRPr="00500A19" w:rsidRDefault="006A3426" w:rsidP="00765CDD">
      <w:pPr>
        <w:pStyle w:val="Headingb"/>
        <w:tabs>
          <w:tab w:val="clear" w:pos="907"/>
        </w:tabs>
        <w:ind w:left="0" w:firstLine="0"/>
        <w:rPr>
          <w:lang w:val="ru-RU"/>
        </w:rPr>
      </w:pPr>
      <w:r w:rsidRPr="00500A19">
        <w:rPr>
          <w:lang w:val="ru-RU"/>
        </w:rPr>
        <w:t>Документ </w:t>
      </w:r>
      <w:hyperlink r:id="rId80">
        <w:r w:rsidRPr="00500A19">
          <w:rPr>
            <w:rStyle w:val="Hyperlink"/>
            <w:rFonts w:cstheme="minorHAnsi"/>
            <w:bCs/>
            <w:szCs w:val="22"/>
            <w:lang w:val="ru-RU"/>
          </w:rPr>
          <w:t>58</w:t>
        </w:r>
      </w:hyperlink>
      <w:r w:rsidRPr="00500A19">
        <w:rPr>
          <w:lang w:val="ru-RU"/>
        </w:rPr>
        <w:t xml:space="preserve"> (ККТ) </w:t>
      </w:r>
      <w:r w:rsidR="00475C13" w:rsidRPr="00500A19">
        <w:rPr>
          <w:lang w:val="ru-RU"/>
        </w:rPr>
        <w:sym w:font="Symbol" w:char="F02D"/>
      </w:r>
      <w:r w:rsidRPr="00500A19">
        <w:rPr>
          <w:lang w:val="ru-RU"/>
        </w:rPr>
        <w:t xml:space="preserve"> Входящее заявление о взаимодействии </w:t>
      </w:r>
      <w:r w:rsidR="00CB774E" w:rsidRPr="00500A19">
        <w:rPr>
          <w:lang w:val="ru-RU"/>
        </w:rPr>
        <w:sym w:font="Symbol" w:char="F02D"/>
      </w:r>
      <w:r w:rsidRPr="00500A19">
        <w:rPr>
          <w:lang w:val="ru-RU"/>
        </w:rPr>
        <w:t xml:space="preserve"> Заявление о взаимодействии в адрес Консультативной группы по радиосвязи (КГР), Консультативной группы по стандартизации электросвязи (КГСЭ) и Консультативной группы по развитию электросвязи (КГРЭ)</w:t>
      </w:r>
    </w:p>
    <w:p w14:paraId="0AC538DC" w14:textId="38056D3E" w:rsidR="006A3426" w:rsidRPr="00500A19" w:rsidRDefault="006A3426" w:rsidP="00CB774E">
      <w:pPr>
        <w:spacing w:after="120"/>
      </w:pPr>
      <w:r w:rsidRPr="00500A19">
        <w:t>Документ 58 был представлен от имени Координационного комитета по терминологии (ККТ) в качестве заявления о взаимодействии, адресованного консультативным группам трех Секторов, в ответ на Документ 32, представленный Рабочей группой 5D МСЭ-R. В документе одобрена рекомендация о согласованном использовании терминологии IMT, например таких терминов как IMT-2000, IMT-2020 и IMT-2030, в рамках всех Секторов МСЭ вместо коммерческих терминов 4G, 5G и</w:t>
      </w:r>
      <w:r w:rsidR="00512279" w:rsidRPr="00500A19">
        <w:t> </w:t>
      </w:r>
      <w:r w:rsidRPr="00500A19">
        <w:t>6G. В документе особо отмечается, что в рамках МСЭ эти коммерческие термины не имеют формальных определений, что может привести к путанице, особенно в контексте регулирования и сертификации в развивающихся странах. ККТ призвал консультативные группы поручить соответствующим Исследовательским комиссиям и рабочим группам включить эту согласованную терминологию в официальные документы и избегать гибридного использования, например "5G/IMT</w:t>
      </w:r>
      <w:r w:rsidR="00CB774E" w:rsidRPr="00500A19">
        <w:t>­</w:t>
      </w:r>
      <w:r w:rsidRPr="00500A19">
        <w:t>2020". Участники собрания КГРЭ обсудили необходимость того, чтобы отчеты были понятны широкой аудитории, в связи с чем следует продолжать использовать неофициальную/коммерческую терминологию. Однако КГРЭ также согласилась содействовать использованию и официальной терминологии, сославшись в качестве полезного примера на таблицу, содержащуюся в Документе 58, которую можно использовать в документах для разъяснения любых используемых коммерческих терминов.</w:t>
      </w:r>
    </w:p>
    <w:tbl>
      <w:tblPr>
        <w:tblStyle w:val="TableGrid"/>
        <w:tblW w:w="0" w:type="auto"/>
        <w:tblLayout w:type="fixed"/>
        <w:tblLook w:val="06A0" w:firstRow="1" w:lastRow="0" w:firstColumn="1" w:lastColumn="0" w:noHBand="1" w:noVBand="1"/>
      </w:tblPr>
      <w:tblGrid>
        <w:gridCol w:w="9630"/>
      </w:tblGrid>
      <w:tr w:rsidR="006A3426" w:rsidRPr="00500A19" w14:paraId="170D0B56" w14:textId="77777777" w:rsidTr="45F85149">
        <w:trPr>
          <w:trHeight w:val="300"/>
        </w:trPr>
        <w:tc>
          <w:tcPr>
            <w:tcW w:w="9630" w:type="dxa"/>
          </w:tcPr>
          <w:p w14:paraId="4B22F490" w14:textId="77777777" w:rsidR="006A3426" w:rsidRPr="00500A19" w:rsidRDefault="006A3426" w:rsidP="00A05A39">
            <w:pPr>
              <w:tabs>
                <w:tab w:val="left" w:pos="567"/>
                <w:tab w:val="left" w:pos="1701"/>
              </w:tabs>
              <w:spacing w:after="120"/>
              <w:rPr>
                <w:rFonts w:cstheme="minorHAnsi"/>
                <w:color w:val="000000" w:themeColor="text1"/>
                <w:szCs w:val="22"/>
              </w:rPr>
            </w:pPr>
            <w:r w:rsidRPr="00500A19">
              <w:rPr>
                <w:rFonts w:cstheme="minorHAnsi"/>
                <w:szCs w:val="22"/>
              </w:rPr>
              <w:t>КГРЭ приняла к сведению заявление о взаимодействии в отношении терминов и определений, связанных с технологией IMT-2020 (5G), и утвердила свой ответ, представленный в Документе </w:t>
            </w:r>
            <w:hyperlink r:id="rId81">
              <w:r w:rsidRPr="00500A19">
                <w:rPr>
                  <w:rStyle w:val="Hyperlink"/>
                  <w:rFonts w:cstheme="minorHAnsi"/>
                  <w:szCs w:val="22"/>
                </w:rPr>
                <w:t>DT/5</w:t>
              </w:r>
            </w:hyperlink>
            <w:r w:rsidRPr="00500A19">
              <w:rPr>
                <w:rFonts w:cstheme="minorHAnsi"/>
                <w:szCs w:val="22"/>
              </w:rPr>
              <w:t>.</w:t>
            </w:r>
          </w:p>
        </w:tc>
      </w:tr>
    </w:tbl>
    <w:p w14:paraId="6A789F9B" w14:textId="4B34336A" w:rsidR="006A3426" w:rsidRPr="00500A19" w:rsidRDefault="006A3426" w:rsidP="00765CDD">
      <w:pPr>
        <w:pStyle w:val="Headingb"/>
        <w:tabs>
          <w:tab w:val="clear" w:pos="907"/>
        </w:tabs>
        <w:ind w:left="0" w:firstLine="0"/>
        <w:rPr>
          <w:lang w:val="ru-RU"/>
        </w:rPr>
      </w:pPr>
      <w:r w:rsidRPr="00500A19">
        <w:rPr>
          <w:lang w:val="ru-RU"/>
        </w:rPr>
        <w:t>Документ </w:t>
      </w:r>
      <w:hyperlink r:id="rId82">
        <w:r w:rsidRPr="00500A19">
          <w:rPr>
            <w:rStyle w:val="Hyperlink"/>
            <w:rFonts w:cstheme="minorHAnsi"/>
            <w:bCs/>
            <w:szCs w:val="22"/>
            <w:lang w:val="ru-RU"/>
          </w:rPr>
          <w:t>59</w:t>
        </w:r>
      </w:hyperlink>
      <w:r w:rsidRPr="00500A19">
        <w:rPr>
          <w:lang w:val="ru-RU"/>
        </w:rPr>
        <w:t xml:space="preserve"> (ККТ) </w:t>
      </w:r>
      <w:r w:rsidR="00475C13" w:rsidRPr="00500A19">
        <w:rPr>
          <w:lang w:val="ru-RU"/>
        </w:rPr>
        <w:sym w:font="Symbol" w:char="F02D"/>
      </w:r>
      <w:r w:rsidRPr="00500A19">
        <w:rPr>
          <w:lang w:val="ru-RU"/>
        </w:rPr>
        <w:t xml:space="preserve"> Входящее заявление о взаимодействии </w:t>
      </w:r>
      <w:r w:rsidR="00CB774E" w:rsidRPr="00500A19">
        <w:rPr>
          <w:lang w:val="ru-RU"/>
        </w:rPr>
        <w:sym w:font="Symbol" w:char="F02D"/>
      </w:r>
      <w:r w:rsidRPr="00500A19">
        <w:rPr>
          <w:lang w:val="ru-RU"/>
        </w:rPr>
        <w:t xml:space="preserve"> Ответное заявление о взаимодействии в адрес Рабочей группы 5D МСЭ-R (с копией КГР, КГСЭ, КГРЭ, ИК17 и ИК13 МСЭ-Т и РГ 4B МСЭ-R)</w:t>
      </w:r>
    </w:p>
    <w:p w14:paraId="308FF472" w14:textId="0CA0E5CE" w:rsidR="006A3426" w:rsidRPr="00500A19" w:rsidRDefault="006A3426" w:rsidP="00CB774E">
      <w:pPr>
        <w:spacing w:after="120"/>
        <w:rPr>
          <w:rFonts w:eastAsia="Calibri"/>
        </w:rPr>
      </w:pPr>
      <w:r w:rsidRPr="00500A19">
        <w:t>Документ 59 был представлен в качестве ответа на Заявление о взаимодействии, направленное Координационным комитетом по терминологии (ККТ) консультативным группам трех Секторов МСЭ. В нем сообщается об одобрении ККТ рекомендаций Рабочей группы 5D МСЭ-R, изложенных в Документе 32, и, в частности, призыва к использованию во всех официальных документах МСЭ терминов, принятых для обозначения технологий IMT, таких как IMT-2000, IMT-2020 и IMT-2030, вместо коммерческих терминов, таких как 4G и 5G. В документе вновь подтверждается важность обеспечения последовательности и ясности в рамках Союза, особенно для согласования нормативно</w:t>
      </w:r>
      <w:r w:rsidR="00512279" w:rsidRPr="00500A19">
        <w:t>­</w:t>
      </w:r>
      <w:r w:rsidRPr="00500A19">
        <w:t>правовой базы в Государствах-Членах, которые используют стандарты МСЭ в качестве основы для разработки национальной политики.</w:t>
      </w:r>
      <w:r w:rsidRPr="00500A19">
        <w:rPr>
          <w:rFonts w:eastAsia="Calibri"/>
        </w:rPr>
        <w:t xml:space="preserve"> </w:t>
      </w:r>
      <w:r w:rsidRPr="00500A19">
        <w:t>В нем также п</w:t>
      </w:r>
      <w:r w:rsidRPr="00500A19">
        <w:rPr>
          <w:rFonts w:eastAsia="Calibri"/>
        </w:rPr>
        <w:t>одтверждается</w:t>
      </w:r>
      <w:r w:rsidRPr="00500A19">
        <w:t xml:space="preserve"> рекомендация избегать использования гибридной терминологии, такой как "5G/IMT-2020", и </w:t>
      </w:r>
      <w:r w:rsidRPr="00500A19">
        <w:rPr>
          <w:rFonts w:eastAsia="Calibri"/>
        </w:rPr>
        <w:t>содержится призыв к исследовательским</w:t>
      </w:r>
      <w:r w:rsidRPr="00500A19">
        <w:t xml:space="preserve"> комиссиям использовать в своих документах стандартизированную </w:t>
      </w:r>
      <w:r w:rsidRPr="00500A19">
        <w:lastRenderedPageBreak/>
        <w:t>терминологию IMT. В ходе обсуждения вновь были подняты вопросы, озвученные ранее при рассмотрении Документа 58.</w:t>
      </w:r>
    </w:p>
    <w:tbl>
      <w:tblPr>
        <w:tblStyle w:val="TableGrid"/>
        <w:tblW w:w="0" w:type="auto"/>
        <w:tblLayout w:type="fixed"/>
        <w:tblLook w:val="06A0" w:firstRow="1" w:lastRow="0" w:firstColumn="1" w:lastColumn="0" w:noHBand="1" w:noVBand="1"/>
      </w:tblPr>
      <w:tblGrid>
        <w:gridCol w:w="9630"/>
      </w:tblGrid>
      <w:tr w:rsidR="006A3426" w:rsidRPr="00500A19" w14:paraId="598142F5" w14:textId="77777777" w:rsidTr="6215BC2C">
        <w:trPr>
          <w:trHeight w:val="300"/>
        </w:trPr>
        <w:tc>
          <w:tcPr>
            <w:tcW w:w="9630" w:type="dxa"/>
          </w:tcPr>
          <w:p w14:paraId="1DA18BEA" w14:textId="139CC7F6" w:rsidR="006A3426" w:rsidRPr="00500A19" w:rsidRDefault="006A3426" w:rsidP="00A05A39">
            <w:pPr>
              <w:spacing w:after="120"/>
              <w:rPr>
                <w:rFonts w:cstheme="minorHAnsi"/>
                <w:color w:val="000000" w:themeColor="text1"/>
                <w:szCs w:val="22"/>
              </w:rPr>
            </w:pPr>
            <w:r w:rsidRPr="00500A19">
              <w:rPr>
                <w:rFonts w:cstheme="minorHAnsi"/>
                <w:szCs w:val="22"/>
              </w:rPr>
              <w:t>КГРЭ приняла к сведению ответное заявление о взаимодействии</w:t>
            </w:r>
            <w:r w:rsidRPr="00500A19">
              <w:t xml:space="preserve"> </w:t>
            </w:r>
            <w:r w:rsidRPr="00500A19">
              <w:rPr>
                <w:rFonts w:cstheme="minorHAnsi"/>
                <w:szCs w:val="22"/>
              </w:rPr>
              <w:t>в отношении терминов и определений, связанных с технологией IMT-2020 (5G), и утвердила свой ответ, подробно изложенный в Документе </w:t>
            </w:r>
            <w:hyperlink r:id="rId83">
              <w:r w:rsidRPr="00500A19">
                <w:rPr>
                  <w:rStyle w:val="Hyperlink"/>
                  <w:rFonts w:cstheme="minorHAnsi"/>
                  <w:szCs w:val="22"/>
                </w:rPr>
                <w:t>DT/5</w:t>
              </w:r>
            </w:hyperlink>
            <w:r w:rsidRPr="00500A19">
              <w:rPr>
                <w:rFonts w:cstheme="minorHAnsi"/>
                <w:szCs w:val="22"/>
              </w:rPr>
              <w:t>.</w:t>
            </w:r>
          </w:p>
        </w:tc>
      </w:tr>
    </w:tbl>
    <w:p w14:paraId="4EF29EA0" w14:textId="2A1CFFDB" w:rsidR="006A3426" w:rsidRPr="00500A19" w:rsidRDefault="006A3426" w:rsidP="00765CDD">
      <w:pPr>
        <w:pStyle w:val="Headingb"/>
        <w:tabs>
          <w:tab w:val="clear" w:pos="907"/>
        </w:tabs>
        <w:ind w:left="0" w:firstLine="0"/>
        <w:rPr>
          <w:lang w:val="ru-RU"/>
        </w:rPr>
      </w:pPr>
      <w:r w:rsidRPr="00500A19">
        <w:rPr>
          <w:lang w:val="ru-RU"/>
        </w:rPr>
        <w:t>Документ </w:t>
      </w:r>
      <w:hyperlink r:id="rId84">
        <w:r w:rsidRPr="00500A19">
          <w:rPr>
            <w:rStyle w:val="Hyperlink"/>
            <w:rFonts w:cstheme="minorHAnsi"/>
            <w:bCs/>
            <w:szCs w:val="22"/>
            <w:lang w:val="ru-RU"/>
          </w:rPr>
          <w:t>35</w:t>
        </w:r>
      </w:hyperlink>
      <w:r w:rsidRPr="00500A19">
        <w:rPr>
          <w:lang w:val="ru-RU"/>
        </w:rPr>
        <w:t xml:space="preserve"> (МСКГ по вопросам, представляющим взаимный интерес) </w:t>
      </w:r>
      <w:r w:rsidR="00CB774E" w:rsidRPr="00500A19">
        <w:rPr>
          <w:lang w:val="ru-RU"/>
        </w:rPr>
        <w:sym w:font="Symbol" w:char="F02D"/>
      </w:r>
      <w:r w:rsidRPr="00500A19">
        <w:rPr>
          <w:lang w:val="ru-RU"/>
        </w:rPr>
        <w:t xml:space="preserve"> Входящее заявление о взаимодействии </w:t>
      </w:r>
      <w:r w:rsidR="00CB774E" w:rsidRPr="00500A19">
        <w:rPr>
          <w:lang w:val="ru-RU"/>
        </w:rPr>
        <w:sym w:font="Symbol" w:char="F02D"/>
      </w:r>
      <w:r w:rsidRPr="00500A19">
        <w:rPr>
          <w:lang w:val="ru-RU"/>
        </w:rPr>
        <w:t xml:space="preserve"> Заявление о взаимодействии по кругу ведения МСКГ</w:t>
      </w:r>
    </w:p>
    <w:p w14:paraId="4CBC3000" w14:textId="77777777" w:rsidR="006A3426" w:rsidRPr="00500A19" w:rsidRDefault="006A3426" w:rsidP="00CB774E">
      <w:r w:rsidRPr="00500A19">
        <w:t>Документ 35, касающийся предлагаемого круга ведения Межсекторальной координационной группы (МСКГ), был представлен Председателем как продолжение усилий по укреплению координации между тремя Секторами МСЭ. В документе обозначены четыре ключевые функции МСКГ, основное внимание в рамках которых уделяется повышению эффективности процесса обмена информацией, определению областей, представляющих взаимный интерес, обеспечению большей согласованности процедур и более эффективного сотрудничества между секторами. Председатель отметил, что этот круг ведения уже был рассмотрен и одобрен Консультативной группой по радиосвязи (КГР) и Консультативной группой по стандартизации электросвязи (КГСЭ), и предложил КГРЭ также принять их к сведению, не внося никаких изменений, в целях обеспечения согласованности.</w:t>
      </w:r>
    </w:p>
    <w:p w14:paraId="6A8A3B9A" w14:textId="75D99BE8" w:rsidR="006A3426" w:rsidRPr="00500A19" w:rsidRDefault="006A3426" w:rsidP="00CB774E">
      <w:pPr>
        <w:spacing w:after="120"/>
        <w:rPr>
          <w:rFonts w:eastAsia="Calibri"/>
        </w:rPr>
      </w:pPr>
      <w:r w:rsidRPr="00500A19">
        <w:t>В ходе обсуждения было достигнуто общее согласие относительно важности межсекторальной координации. Некоторые делегации ранее выразили заинтересованность в добавлении ссылок на существующие инструменты сопоставления, используемые для отслеживания дублирования деятельности в различных секторах. Однако Председатель уточнила, что КГР уже рассматривала возможность внесения таких добавлений и приняла решение сохранить в круге ведения первоначальные формулировки. Она рекомендовала КГРЭ придерживаться такого же подхода во избежание процедурных сложностей и задержек. В отношении данной рекомендации возражений не поступило, и КГРЭ решила принять к сведению документ в том виде, в котором он был</w:t>
      </w:r>
      <w:r w:rsidR="00512279" w:rsidRPr="00500A19">
        <w:t> </w:t>
      </w:r>
      <w:r w:rsidRPr="00500A19">
        <w:t>представлен.</w:t>
      </w:r>
    </w:p>
    <w:tbl>
      <w:tblPr>
        <w:tblStyle w:val="TableGrid"/>
        <w:tblW w:w="0" w:type="auto"/>
        <w:tblLook w:val="04A0" w:firstRow="1" w:lastRow="0" w:firstColumn="1" w:lastColumn="0" w:noHBand="0" w:noVBand="1"/>
      </w:tblPr>
      <w:tblGrid>
        <w:gridCol w:w="9629"/>
      </w:tblGrid>
      <w:tr w:rsidR="006A3426" w:rsidRPr="00500A19" w14:paraId="0712AA76" w14:textId="77777777" w:rsidTr="6215BC2C">
        <w:tc>
          <w:tcPr>
            <w:tcW w:w="9629" w:type="dxa"/>
          </w:tcPr>
          <w:p w14:paraId="541D6759" w14:textId="383EF8BC" w:rsidR="006A3426" w:rsidRPr="00500A19" w:rsidRDefault="006A3426" w:rsidP="00A05A39">
            <w:pPr>
              <w:tabs>
                <w:tab w:val="left" w:pos="567"/>
                <w:tab w:val="left" w:pos="1701"/>
              </w:tabs>
              <w:spacing w:after="120"/>
              <w:rPr>
                <w:rFonts w:eastAsia="Calibri" w:cstheme="minorHAnsi"/>
                <w:szCs w:val="22"/>
              </w:rPr>
            </w:pPr>
            <w:r w:rsidRPr="00500A19">
              <w:rPr>
                <w:rFonts w:cstheme="minorHAnsi"/>
                <w:szCs w:val="22"/>
              </w:rPr>
              <w:t>КГРЭ приняла к сведению Заявление о взаимодействии от МСКГ, касающееся ее круга ведения, и утвердила свой ответ, подробно изложенный в Документе </w:t>
            </w:r>
            <w:hyperlink r:id="rId85">
              <w:r w:rsidRPr="00500A19">
                <w:rPr>
                  <w:rStyle w:val="Hyperlink"/>
                  <w:rFonts w:eastAsia="Calibri" w:cstheme="minorHAnsi"/>
                  <w:szCs w:val="22"/>
                </w:rPr>
                <w:t>DT/7</w:t>
              </w:r>
            </w:hyperlink>
            <w:r w:rsidRPr="00500A19">
              <w:rPr>
                <w:rFonts w:cstheme="minorHAnsi"/>
                <w:szCs w:val="22"/>
              </w:rPr>
              <w:t>.</w:t>
            </w:r>
          </w:p>
        </w:tc>
      </w:tr>
    </w:tbl>
    <w:p w14:paraId="72221E45" w14:textId="0E175D7F" w:rsidR="006A3426" w:rsidRPr="00500A19" w:rsidRDefault="006A3426" w:rsidP="00765CDD">
      <w:pPr>
        <w:pStyle w:val="Headingb"/>
        <w:tabs>
          <w:tab w:val="clear" w:pos="907"/>
        </w:tabs>
        <w:ind w:left="0" w:firstLine="0"/>
        <w:rPr>
          <w:lang w:val="ru-RU"/>
        </w:rPr>
      </w:pPr>
      <w:r w:rsidRPr="00500A19">
        <w:rPr>
          <w:lang w:val="ru-RU"/>
        </w:rPr>
        <w:t>Документ </w:t>
      </w:r>
      <w:hyperlink r:id="rId86">
        <w:r w:rsidRPr="00500A19">
          <w:rPr>
            <w:rStyle w:val="Hyperlink"/>
            <w:rFonts w:cstheme="minorHAnsi"/>
            <w:bCs/>
            <w:szCs w:val="22"/>
            <w:lang w:val="ru-RU"/>
          </w:rPr>
          <w:t>37</w:t>
        </w:r>
      </w:hyperlink>
      <w:r w:rsidRPr="00500A19">
        <w:rPr>
          <w:lang w:val="ru-RU"/>
        </w:rPr>
        <w:t xml:space="preserve"> (Председатель РГС-ФЛР) </w:t>
      </w:r>
      <w:r w:rsidR="00CB774E" w:rsidRPr="00500A19">
        <w:rPr>
          <w:lang w:val="ru-RU"/>
        </w:rPr>
        <w:sym w:font="Symbol" w:char="F02D"/>
      </w:r>
      <w:r w:rsidRPr="00500A19">
        <w:rPr>
          <w:lang w:val="ru-RU"/>
        </w:rPr>
        <w:t xml:space="preserve"> Входящее заявление о взаимодействии </w:t>
      </w:r>
      <w:r w:rsidR="00CB774E" w:rsidRPr="00500A19">
        <w:rPr>
          <w:lang w:val="ru-RU"/>
        </w:rPr>
        <w:sym w:font="Symbol" w:char="F02D"/>
      </w:r>
      <w:r w:rsidRPr="00500A19">
        <w:rPr>
          <w:lang w:val="ru-RU"/>
        </w:rPr>
        <w:t xml:space="preserve"> Заявление о взаимодействии от Рабочей группы Совета по финансовым и людским ресурсам в адрес консультативных групп Секторов и Межсекторальной координационной группы </w:t>
      </w:r>
      <w:r w:rsidR="00CB774E" w:rsidRPr="00500A19">
        <w:rPr>
          <w:lang w:val="ru-RU"/>
        </w:rPr>
        <w:sym w:font="Symbol" w:char="F02D"/>
      </w:r>
      <w:r w:rsidRPr="00500A19">
        <w:rPr>
          <w:lang w:val="ru-RU"/>
        </w:rPr>
        <w:t xml:space="preserve"> Расширение участия Членов Сектора и повышение доходов</w:t>
      </w:r>
    </w:p>
    <w:p w14:paraId="21F0401E" w14:textId="77777777" w:rsidR="006A3426" w:rsidRPr="00500A19" w:rsidRDefault="006A3426" w:rsidP="009D5414">
      <w:pPr>
        <w:rPr>
          <w:rFonts w:eastAsia="Calibri"/>
        </w:rPr>
      </w:pPr>
      <w:r w:rsidRPr="00500A19">
        <w:t>Документ 37 был представлен в качестве Заявления о взаимодействии от Рабочей группы Совета по финансовым и людским ресурсам, в котором консультативным группам Секторов предлагалось представить вклады о возможных способах расширения участия членов Секторов и увеличения соответствующих доходов.</w:t>
      </w:r>
      <w:r w:rsidRPr="00500A19">
        <w:rPr>
          <w:rFonts w:eastAsia="Calibri"/>
        </w:rPr>
        <w:t xml:space="preserve"> </w:t>
      </w:r>
      <w:r w:rsidRPr="00500A19">
        <w:t>В заявлении, представленном представителем Группы, подчеркивается необходимость проведения консультаций с Государствами-Членами, Членами Секторов, Ассоциированными членами и Академическими организациями в соответствии со стратегией МСЭ по мобилизации ресурсов, принятой Советом в 2024 году. В нем также предлагается КГРЭ рассмотреть эту тему в качестве одного из пунктов повестки дня на своих будущих собраниях и представить свои замечания, которые могут послужить основой для разработки рекомендаций Совету.</w:t>
      </w:r>
    </w:p>
    <w:p w14:paraId="18D88CE7" w14:textId="3050B298" w:rsidR="006A3426" w:rsidRPr="00500A19" w:rsidRDefault="006A3426" w:rsidP="009D5414">
      <w:pPr>
        <w:spacing w:after="120"/>
        <w:rPr>
          <w:rFonts w:eastAsia="Calibri"/>
        </w:rPr>
      </w:pPr>
      <w:r w:rsidRPr="00500A19">
        <w:t xml:space="preserve">В ответ на это г-н Бокар Ба, председатель Отраслевой консультативной группы по вопросам развития (IAGDI), обратил внимание на прогресс, достигнутый в деле расширения участия частного сектора в работе МСЭ-D. Он отметил увеличение числа вкладов в рамках таких платформ, как Глобальный симпозиум для регуляторных органов (ГСР), а также включение вкладов отрасли в темы для обсуждения в рамках Исследовательских комиссий и мероприятий Tech Talks. Он рассказал о переходе от пассивного участия представителей отрасли к активной совместной деятельности с </w:t>
      </w:r>
      <w:r w:rsidRPr="00500A19">
        <w:lastRenderedPageBreak/>
        <w:t>регуляторными органами, подчеркнув важность дальнейшего обеспечения согласованности деятельности МСЭ-D с приоритетами частного сектора. Делегаты подтвердили важность развития потенциала, особенно технического персонала в развивающихся странах, и призвали к более активному участию отрасли в инициативах по профессиональной подготовке. Председатель принял к сведению эти отзывы и подтвердил, что заявления и предложения, в частности об укреплении механизмов сотрудничества и расширении участия, будут отражены в отчете КГРЭ, включая предложения, представленные во вкладе Китая: a) проводить региональные учебные занятия по созданию потенциала для членов, особенно при присоединении новых членов; b) поощрять Секретариат МСЭ-D в полной мере использовать возможности, предоставляемые в рамках собраний МСЭ-D высокого уровня, собраний Исследовательских комиссий и других важных мероприятий, путем организации семинаров/семинаров-практикумов, сопутствующих мероприятий, выставок и других мероприятий</w:t>
      </w:r>
      <w:r w:rsidR="00512279" w:rsidRPr="00500A19">
        <w:t>;</w:t>
      </w:r>
      <w:r w:rsidRPr="00500A19">
        <w:t xml:space="preserve"> c) укреплять связь между МСЭ-D и всеми другими Членами, обеспечивая полный учет их интересов и потребностей, в особенности интересов и потребностей Членов Сектора</w:t>
      </w:r>
      <w:r w:rsidR="00512279" w:rsidRPr="00500A19">
        <w:t>;</w:t>
      </w:r>
      <w:r w:rsidRPr="00500A19">
        <w:t xml:space="preserve"> d) поощрять включение большего числа цифровых технологий, решений и передовых практических методов Членов Сектора и соответствующих структур в ожидаемые результаты деятельности Исследовательских комиссий для повышения практической значимости итоговых результатов работы Исследовательских комиссий.</w:t>
      </w:r>
    </w:p>
    <w:tbl>
      <w:tblPr>
        <w:tblStyle w:val="TableGrid"/>
        <w:tblW w:w="0" w:type="auto"/>
        <w:tblLook w:val="04A0" w:firstRow="1" w:lastRow="0" w:firstColumn="1" w:lastColumn="0" w:noHBand="0" w:noVBand="1"/>
      </w:tblPr>
      <w:tblGrid>
        <w:gridCol w:w="9629"/>
      </w:tblGrid>
      <w:tr w:rsidR="006A3426" w:rsidRPr="00500A19" w14:paraId="40695F41" w14:textId="77777777" w:rsidTr="6215BC2C">
        <w:tc>
          <w:tcPr>
            <w:tcW w:w="9629" w:type="dxa"/>
          </w:tcPr>
          <w:p w14:paraId="46A230C4" w14:textId="77777777" w:rsidR="006A3426" w:rsidRPr="00500A19" w:rsidRDefault="006A3426" w:rsidP="00A05A39">
            <w:pPr>
              <w:tabs>
                <w:tab w:val="left" w:pos="567"/>
                <w:tab w:val="left" w:pos="1701"/>
              </w:tabs>
              <w:spacing w:after="120"/>
              <w:rPr>
                <w:rFonts w:cstheme="minorHAnsi"/>
                <w:szCs w:val="22"/>
              </w:rPr>
            </w:pPr>
            <w:r w:rsidRPr="00500A19">
              <w:rPr>
                <w:rFonts w:cstheme="minorHAnsi"/>
                <w:szCs w:val="22"/>
              </w:rPr>
              <w:t>КГРЭ приняла к сведению Заявление о взаимодействии от Рабочей группы Совета по финансовым и людским ресурсам, касающееся расширения участия членов Секторов и увеличения доходов, и утвердила свой ответ, подробно изложенный в Документе </w:t>
            </w:r>
            <w:hyperlink r:id="rId87">
              <w:r w:rsidRPr="00500A19">
                <w:rPr>
                  <w:rStyle w:val="Hyperlink"/>
                  <w:rFonts w:cstheme="minorHAnsi"/>
                  <w:szCs w:val="22"/>
                </w:rPr>
                <w:t>DT/8</w:t>
              </w:r>
            </w:hyperlink>
            <w:r w:rsidRPr="00500A19">
              <w:rPr>
                <w:rFonts w:cstheme="minorHAnsi"/>
                <w:szCs w:val="22"/>
              </w:rPr>
              <w:t>.</w:t>
            </w:r>
          </w:p>
          <w:p w14:paraId="5735A78B" w14:textId="77777777" w:rsidR="006A3426" w:rsidRPr="00500A19" w:rsidRDefault="006A3426" w:rsidP="00A05A39">
            <w:pPr>
              <w:tabs>
                <w:tab w:val="left" w:pos="567"/>
                <w:tab w:val="left" w:pos="1701"/>
              </w:tabs>
              <w:spacing w:after="120"/>
              <w:rPr>
                <w:rFonts w:cstheme="minorHAnsi"/>
                <w:szCs w:val="22"/>
              </w:rPr>
            </w:pPr>
            <w:r w:rsidRPr="00500A19">
              <w:rPr>
                <w:rFonts w:cstheme="minorHAnsi"/>
                <w:szCs w:val="22"/>
              </w:rPr>
              <w:t>КГРЭ также с удовлетворением отметила прогресс, достигнутый в деле расширения участия частного сектора в деятельности МСЭ-D, как это было отмечено Председателем Отраслевой консультативной группы по вопросам развития (IADGI). КГРЭ приветствовала увеличение числа вкладов в работу таких платформ, как Глобальный симпозиум для регуляторных органов (ГСР), а также включение вкладов отрасли в темы для обсуждения в рамках исследовательских комиссий благодаря мероприятиям Tech Talks. КГРЭ отметила переход от пассивного участия представителей отрасли к активной совместной деятельности с регуляторными органами, подчеркнув важность дальнейшего согласования деятельности МСЭ-D с приоритетами частного сектора.</w:t>
            </w:r>
          </w:p>
        </w:tc>
      </w:tr>
    </w:tbl>
    <w:p w14:paraId="25781FB3" w14:textId="1397BEEC" w:rsidR="006A3426" w:rsidRPr="00500A19" w:rsidRDefault="006A3426" w:rsidP="00765CDD">
      <w:pPr>
        <w:pStyle w:val="Headingb"/>
        <w:tabs>
          <w:tab w:val="clear" w:pos="907"/>
        </w:tabs>
        <w:ind w:left="0" w:firstLine="0"/>
        <w:rPr>
          <w:lang w:val="ru-RU"/>
        </w:rPr>
      </w:pPr>
      <w:r w:rsidRPr="00500A19">
        <w:rPr>
          <w:lang w:val="ru-RU"/>
        </w:rPr>
        <w:t>Документ </w:t>
      </w:r>
      <w:hyperlink r:id="rId88">
        <w:r w:rsidRPr="00500A19">
          <w:rPr>
            <w:rStyle w:val="Hyperlink"/>
            <w:rFonts w:cstheme="minorHAnsi"/>
            <w:bCs/>
            <w:szCs w:val="22"/>
            <w:lang w:val="ru-RU"/>
          </w:rPr>
          <w:t>45 (Приложение 1)</w:t>
        </w:r>
      </w:hyperlink>
      <w:r w:rsidRPr="00500A19">
        <w:rPr>
          <w:lang w:val="ru-RU"/>
        </w:rPr>
        <w:t xml:space="preserve"> (17-я Исследовательская комиссия МСЭ-Т) </w:t>
      </w:r>
      <w:r w:rsidR="009D5414" w:rsidRPr="00500A19">
        <w:rPr>
          <w:lang w:val="ru-RU"/>
        </w:rPr>
        <w:sym w:font="Symbol" w:char="F02D"/>
      </w:r>
      <w:r w:rsidRPr="00500A19">
        <w:rPr>
          <w:lang w:val="ru-RU"/>
        </w:rPr>
        <w:t xml:space="preserve"> Входящее заявление о взаимодействии </w:t>
      </w:r>
      <w:r w:rsidR="009D5414" w:rsidRPr="00500A19">
        <w:rPr>
          <w:lang w:val="ru-RU"/>
        </w:rPr>
        <w:sym w:font="Symbol" w:char="F02D"/>
      </w:r>
      <w:r w:rsidRPr="00500A19">
        <w:rPr>
          <w:lang w:val="ru-RU"/>
        </w:rPr>
        <w:t xml:space="preserve"> Заявление о взаимодействии по проекту отчета о деятельности ИК17 по выполнению Резолюций ВКРЭ-22</w:t>
      </w:r>
    </w:p>
    <w:p w14:paraId="0C64DCC3" w14:textId="77777777" w:rsidR="006A3426" w:rsidRPr="00500A19" w:rsidRDefault="006A3426" w:rsidP="009D5414">
      <w:pPr>
        <w:rPr>
          <w:rFonts w:eastAsia="Calibri"/>
        </w:rPr>
      </w:pPr>
      <w:r w:rsidRPr="00500A19">
        <w:t>Документ 45 был представлен в качестве Заявления о взаимодействии от 17-й Исследовательской комиссии МСЭ-Т, в котором содержится информация о ее деятельности, связанной с выполнением Резолюций ВКРЭ-22 по кибербезопасности.</w:t>
      </w:r>
      <w:r w:rsidRPr="00500A19">
        <w:rPr>
          <w:rFonts w:eastAsia="Calibri"/>
        </w:rPr>
        <w:t xml:space="preserve"> </w:t>
      </w:r>
      <w:r w:rsidRPr="00500A19">
        <w:t>В документе содержится обновленная информация о работе 17-й Исследовательской комиссии; в нем отмечается, что комиссия представляет регулярно обновляемый отчет с подробным описанием того, как осуществляемая ею деятельность в области кибербезопасности согласуется с приоритетами в области развития. Эта практика, начатая в 2016 году, направлена на обеспечение согласованности между технической работой Сектора МСЭ-Т и потребностями Сектора развития.</w:t>
      </w:r>
    </w:p>
    <w:p w14:paraId="1475EA4D" w14:textId="6376534C" w:rsidR="006A3426" w:rsidRPr="00500A19" w:rsidRDefault="006A3426" w:rsidP="009D5414">
      <w:r w:rsidRPr="00500A19">
        <w:t>Настоящее Заявление о взаимодействии представляет КГРЭ отчет о деятельности ИК17 МСЭ-Т по выполнению Резолюций ВКРЭ-22. Следующие Резолюции ВКРЭ-22 рассматриваются как имеющие отношение к деятельности ИК17</w:t>
      </w:r>
      <w:r w:rsidR="00783A9D" w:rsidRPr="00500A19">
        <w:t>:</w:t>
      </w:r>
    </w:p>
    <w:p w14:paraId="4281773B" w14:textId="4B634EA3" w:rsidR="006A3426" w:rsidRPr="00500A19" w:rsidRDefault="009D5414" w:rsidP="009D5414">
      <w:pPr>
        <w:pStyle w:val="enumlev1"/>
      </w:pPr>
      <w:r w:rsidRPr="00500A19">
        <w:sym w:font="Symbol" w:char="F02D"/>
      </w:r>
      <w:r w:rsidRPr="00500A19">
        <w:tab/>
      </w:r>
      <w:r w:rsidR="006A3426" w:rsidRPr="00500A19">
        <w:t>Резолюция 30 "Роль Сектора развития электросвязи МСЭ в выполнении решений</w:t>
      </w:r>
      <w:r w:rsidR="00512279" w:rsidRPr="00500A19">
        <w:t xml:space="preserve"> </w:t>
      </w:r>
      <w:r w:rsidR="006A3426" w:rsidRPr="00500A19">
        <w:t>Всемирной встречи на высшем уровне по вопросам информационного общества и Повестки дня в области устойчивого развития на период до 2030 года";</w:t>
      </w:r>
    </w:p>
    <w:p w14:paraId="7BC7EDD8" w14:textId="6308D4A8" w:rsidR="006A3426" w:rsidRPr="00500A19" w:rsidRDefault="009D5414" w:rsidP="009D5414">
      <w:pPr>
        <w:pStyle w:val="enumlev1"/>
      </w:pPr>
      <w:r w:rsidRPr="00500A19">
        <w:sym w:font="Symbol" w:char="F02D"/>
      </w:r>
      <w:r w:rsidRPr="00500A19">
        <w:tab/>
      </w:r>
      <w:r w:rsidR="006A3426" w:rsidRPr="00500A19">
        <w:t>Резолюция 34 "Роль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p>
    <w:p w14:paraId="3FFC6863" w14:textId="64D3204C" w:rsidR="006A3426" w:rsidRPr="00500A19" w:rsidRDefault="009D5414" w:rsidP="009D5414">
      <w:pPr>
        <w:pStyle w:val="enumlev1"/>
      </w:pPr>
      <w:r w:rsidRPr="00500A19">
        <w:lastRenderedPageBreak/>
        <w:sym w:font="Symbol" w:char="F02D"/>
      </w:r>
      <w:r w:rsidRPr="00500A19">
        <w:tab/>
      </w:r>
      <w:r w:rsidR="006A3426" w:rsidRPr="00500A19">
        <w:t>Резолюция 45 "Механизмы совершенствования сотрудничества в области кибербезопасности, включая противодействие спаму и борьбу с ним";</w:t>
      </w:r>
    </w:p>
    <w:p w14:paraId="513D6D9D" w14:textId="128AF9B3" w:rsidR="006A3426" w:rsidRPr="00500A19" w:rsidRDefault="009D5414" w:rsidP="009D5414">
      <w:pPr>
        <w:pStyle w:val="enumlev1"/>
      </w:pPr>
      <w:r w:rsidRPr="00500A19">
        <w:sym w:font="Symbol" w:char="F02D"/>
      </w:r>
      <w:r w:rsidRPr="00500A19">
        <w:tab/>
      </w:r>
      <w:r w:rsidR="006A3426" w:rsidRPr="00500A19">
        <w:t>Резолюция 47 "Повышение степени понимания и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w:t>
      </w:r>
    </w:p>
    <w:p w14:paraId="3CA2FD19" w14:textId="789A05B1" w:rsidR="006A3426" w:rsidRPr="00500A19" w:rsidRDefault="009D5414" w:rsidP="009D5414">
      <w:pPr>
        <w:pStyle w:val="enumlev1"/>
      </w:pPr>
      <w:r w:rsidRPr="00500A19">
        <w:sym w:font="Symbol" w:char="F02D"/>
      </w:r>
      <w:r w:rsidRPr="00500A19">
        <w:tab/>
      </w:r>
      <w:r w:rsidR="006A3426" w:rsidRPr="00500A19">
        <w:t>Резолюция 63 "Распределение адресов протокола Интернет и содействие переходу к протоколу Интернет версии 6 и его внедрению в развивающихся странах";</w:t>
      </w:r>
    </w:p>
    <w:p w14:paraId="53D4727C" w14:textId="520EFF5E" w:rsidR="006A3426" w:rsidRPr="00500A19" w:rsidRDefault="009D5414" w:rsidP="009D5414">
      <w:pPr>
        <w:pStyle w:val="enumlev1"/>
      </w:pPr>
      <w:r w:rsidRPr="00500A19">
        <w:sym w:font="Symbol" w:char="F02D"/>
      </w:r>
      <w:r w:rsidRPr="00500A19">
        <w:tab/>
      </w:r>
      <w:r w:rsidR="006A3426" w:rsidRPr="00500A19">
        <w:t>Резолюция 67 "Роль Сектора развития электросвязи МСЭ в защите ребенка в онлайновой</w:t>
      </w:r>
      <w:r w:rsidRPr="00500A19">
        <w:t> </w:t>
      </w:r>
      <w:r w:rsidR="006A3426" w:rsidRPr="00500A19">
        <w:t>среде";</w:t>
      </w:r>
    </w:p>
    <w:p w14:paraId="1838E70D" w14:textId="75108370" w:rsidR="006A3426" w:rsidRPr="00500A19" w:rsidRDefault="009D5414" w:rsidP="009D5414">
      <w:pPr>
        <w:pStyle w:val="enumlev1"/>
      </w:pPr>
      <w:r w:rsidRPr="00500A19">
        <w:sym w:font="Symbol" w:char="F02D"/>
      </w:r>
      <w:r w:rsidRPr="00500A19">
        <w:tab/>
      </w:r>
      <w:r w:rsidR="006A3426" w:rsidRPr="00500A19">
        <w:t>Резолюция 69 "Содействие созданию национальных групп реагирования на компьютерные инциденты, в частности в развивающихся странах, и сотрудничеству между ними";</w:t>
      </w:r>
    </w:p>
    <w:p w14:paraId="5A0495B1" w14:textId="158F4871" w:rsidR="006A3426" w:rsidRPr="00500A19" w:rsidRDefault="009D5414" w:rsidP="009D5414">
      <w:pPr>
        <w:pStyle w:val="enumlev1"/>
      </w:pPr>
      <w:r w:rsidRPr="00500A19">
        <w:sym w:font="Symbol" w:char="F02D"/>
      </w:r>
      <w:r w:rsidRPr="00500A19">
        <w:tab/>
      </w:r>
      <w:r w:rsidR="006A3426" w:rsidRPr="00500A19">
        <w:t>Резолюция 79 "Роль электросвязи/информационно-коммуникационных технологий в борьбе с контрафактными и поддельными устройствами электросвязи/информационно-коммуникационных технологий и в решении этой проблемы";</w:t>
      </w:r>
    </w:p>
    <w:p w14:paraId="7CEF9B70" w14:textId="34DAC821" w:rsidR="006A3426" w:rsidRPr="00500A19" w:rsidRDefault="009D5414" w:rsidP="009D5414">
      <w:pPr>
        <w:pStyle w:val="enumlev1"/>
      </w:pPr>
      <w:r w:rsidRPr="00500A19">
        <w:sym w:font="Symbol" w:char="F02D"/>
      </w:r>
      <w:r w:rsidRPr="00500A19">
        <w:tab/>
      </w:r>
      <w:r w:rsidR="006A3426" w:rsidRPr="00500A19">
        <w:t>Резолюция 84 "Борьба с хищениями мобильных устройств электросвязи".</w:t>
      </w:r>
    </w:p>
    <w:p w14:paraId="0F2B065C" w14:textId="06EA771C" w:rsidR="006A3426" w:rsidRPr="00500A19" w:rsidRDefault="006A3426" w:rsidP="009D5414">
      <w:r w:rsidRPr="00500A19">
        <w:t>Особое внимание уделяется сотрудничеству по следующим направлениям:</w:t>
      </w:r>
    </w:p>
    <w:p w14:paraId="009FB5D7" w14:textId="490E5E88" w:rsidR="006A3426" w:rsidRPr="00500A19" w:rsidRDefault="009D5414" w:rsidP="009D5414">
      <w:pPr>
        <w:pStyle w:val="enumlev1"/>
      </w:pPr>
      <w:r w:rsidRPr="00500A19">
        <w:sym w:font="Symbol" w:char="F02D"/>
      </w:r>
      <w:r w:rsidRPr="00500A19">
        <w:tab/>
      </w:r>
      <w:r w:rsidR="006A3426" w:rsidRPr="00500A19">
        <w:t>Резолюция 30, в соответствии с которой ИК17 сотрудничает с МСЭ-D в реализации Направления деятельности С5 ВВУИО в рамках РГ-ВВУИО Совета, которая координирует процесс взаимодействия Генерального секретариата и трех Бюро (БР, БСЭ и БРЭ); и</w:t>
      </w:r>
    </w:p>
    <w:p w14:paraId="0A0FB859" w14:textId="7FF72FC7" w:rsidR="006A3426" w:rsidRPr="00500A19" w:rsidRDefault="009D5414" w:rsidP="009D5414">
      <w:pPr>
        <w:pStyle w:val="enumlev1"/>
      </w:pPr>
      <w:r w:rsidRPr="00500A19">
        <w:sym w:font="Symbol" w:char="F02D"/>
      </w:r>
      <w:r w:rsidRPr="00500A19">
        <w:tab/>
      </w:r>
      <w:r w:rsidR="006A3426" w:rsidRPr="00500A19">
        <w:t>Резолюция 45, в соответствии с которой ИК17 продолжает сотрудничать с соответствующими организациями в целях содействия обеспечению кибербезопасности и поиску эффективных и действенных мер для противодействия спаму, а также осуществляет сотрудничество с МСЭ-D в области передовых практических методов по противодействию распространению спаму.</w:t>
      </w:r>
    </w:p>
    <w:p w14:paraId="181FED80" w14:textId="77777777" w:rsidR="006A3426" w:rsidRPr="00500A19" w:rsidRDefault="006A3426" w:rsidP="009D5414">
      <w:pPr>
        <w:spacing w:after="120"/>
        <w:rPr>
          <w:rFonts w:eastAsia="Calibri"/>
        </w:rPr>
      </w:pPr>
      <w:r w:rsidRPr="00500A19">
        <w:t>Председатель признала актуальность этого отчета, особенно с учетом растущей взаимосвязи между кибербезопасностью и развитием, и подтвердила, что КГРЭ примет этот вклад к сведению.</w:t>
      </w:r>
      <w:r w:rsidRPr="00500A19">
        <w:rPr>
          <w:rFonts w:eastAsia="Calibri"/>
        </w:rPr>
        <w:t xml:space="preserve"> </w:t>
      </w:r>
      <w:r w:rsidRPr="00500A19">
        <w:t>Она также поинтересовалась, был ли этот отчет передан для ознакомления исследовательским комиссиям МСЭ-D. В ходе обсуждения никаких дополнительных замечаний или возражений высказано не было, и Заявление о взаимодействии было принято в качестве информативного вклада для рассмотрения в рамках более широкой деятельности КГРЭ по координации с другими Секторами.</w:t>
      </w:r>
    </w:p>
    <w:tbl>
      <w:tblPr>
        <w:tblStyle w:val="TableGrid"/>
        <w:tblW w:w="0" w:type="auto"/>
        <w:tblLook w:val="04A0" w:firstRow="1" w:lastRow="0" w:firstColumn="1" w:lastColumn="0" w:noHBand="0" w:noVBand="1"/>
      </w:tblPr>
      <w:tblGrid>
        <w:gridCol w:w="9629"/>
      </w:tblGrid>
      <w:tr w:rsidR="006A3426" w:rsidRPr="00500A19" w14:paraId="09A56E7F" w14:textId="77777777" w:rsidTr="6215BC2C">
        <w:tc>
          <w:tcPr>
            <w:tcW w:w="9629" w:type="dxa"/>
          </w:tcPr>
          <w:p w14:paraId="1BE70B33" w14:textId="77777777" w:rsidR="006A3426" w:rsidRPr="00500A19" w:rsidRDefault="006A3426" w:rsidP="002718A0">
            <w:pPr>
              <w:tabs>
                <w:tab w:val="left" w:pos="567"/>
                <w:tab w:val="left" w:pos="851"/>
                <w:tab w:val="left" w:pos="1418"/>
              </w:tabs>
              <w:spacing w:after="120"/>
              <w:rPr>
                <w:rFonts w:eastAsia="Calibri" w:cstheme="minorHAnsi"/>
                <w:szCs w:val="22"/>
              </w:rPr>
            </w:pPr>
            <w:r w:rsidRPr="00500A19">
              <w:rPr>
                <w:rFonts w:cstheme="minorHAnsi"/>
                <w:szCs w:val="22"/>
              </w:rPr>
              <w:t>КГРЭ приняла к сведению Заявление о взаимодействии и приложение к нему, содержащее проект отчета о деятельности ИК17 по выполнению решений ВКРЭ-22, и утвердила свой ответ, подробно изложенный в Документе </w:t>
            </w:r>
            <w:hyperlink r:id="rId89">
              <w:r w:rsidRPr="00500A19">
                <w:rPr>
                  <w:rStyle w:val="Hyperlink"/>
                  <w:rFonts w:eastAsia="Calibri" w:cstheme="minorHAnsi"/>
                  <w:szCs w:val="22"/>
                </w:rPr>
                <w:t>DT/10</w:t>
              </w:r>
            </w:hyperlink>
            <w:r w:rsidRPr="00500A19">
              <w:rPr>
                <w:rFonts w:cstheme="minorHAnsi"/>
                <w:szCs w:val="22"/>
              </w:rPr>
              <w:t>.</w:t>
            </w:r>
          </w:p>
        </w:tc>
      </w:tr>
    </w:tbl>
    <w:p w14:paraId="2A8CBA7E" w14:textId="550DC976" w:rsidR="006A3426" w:rsidRPr="00500A19" w:rsidRDefault="009D5414" w:rsidP="009D5414">
      <w:pPr>
        <w:pStyle w:val="Heading1"/>
      </w:pPr>
      <w:r w:rsidRPr="00500A19">
        <w:t>10</w:t>
      </w:r>
      <w:r w:rsidRPr="00500A19">
        <w:tab/>
      </w:r>
      <w:r w:rsidR="006A3426" w:rsidRPr="00500A19">
        <w:t>Итоги АР-23 и ВКР-23: Обновленная информация, касающаяся работы</w:t>
      </w:r>
      <w:r w:rsidRPr="00500A19">
        <w:t> </w:t>
      </w:r>
      <w:r w:rsidR="006A3426" w:rsidRPr="00500A19">
        <w:t>МСЭ</w:t>
      </w:r>
      <w:r w:rsidRPr="00500A19">
        <w:t>­</w:t>
      </w:r>
      <w:r w:rsidR="006A3426" w:rsidRPr="00500A19">
        <w:t>D</w:t>
      </w:r>
    </w:p>
    <w:p w14:paraId="73DB4661" w14:textId="58FB02EA" w:rsidR="006A3426" w:rsidRPr="00500A19" w:rsidRDefault="006A3426" w:rsidP="00765CDD">
      <w:pPr>
        <w:pStyle w:val="Headingb"/>
        <w:tabs>
          <w:tab w:val="clear" w:pos="907"/>
        </w:tabs>
        <w:ind w:left="0" w:firstLine="0"/>
        <w:rPr>
          <w:lang w:val="ru-RU"/>
        </w:rPr>
      </w:pPr>
      <w:r w:rsidRPr="00500A19">
        <w:rPr>
          <w:lang w:val="ru-RU"/>
        </w:rPr>
        <w:t>Документ </w:t>
      </w:r>
      <w:hyperlink r:id="rId90">
        <w:r w:rsidRPr="00500A19">
          <w:rPr>
            <w:rStyle w:val="Hyperlink"/>
            <w:rFonts w:cstheme="minorHAnsi"/>
            <w:bCs/>
            <w:szCs w:val="22"/>
            <w:lang w:val="ru-RU"/>
          </w:rPr>
          <w:t>25</w:t>
        </w:r>
      </w:hyperlink>
      <w:r w:rsidRPr="00500A19">
        <w:rPr>
          <w:lang w:val="ru-RU"/>
        </w:rPr>
        <w:t xml:space="preserve"> (Директор БРЭ) </w:t>
      </w:r>
      <w:r w:rsidR="009D5414" w:rsidRPr="00500A19">
        <w:rPr>
          <w:lang w:val="ru-RU"/>
        </w:rPr>
        <w:sym w:font="Symbol" w:char="F02D"/>
      </w:r>
      <w:r w:rsidRPr="00500A19">
        <w:rPr>
          <w:lang w:val="ru-RU"/>
        </w:rPr>
        <w:t xml:space="preserve"> Итоги АР-23 и ВКР-23: Обновленная информация, касающаяся работы МСЭ-D</w:t>
      </w:r>
    </w:p>
    <w:p w14:paraId="3E27EE30" w14:textId="43C32BCC" w:rsidR="006A3426" w:rsidRPr="00500A19" w:rsidRDefault="006A3426" w:rsidP="009D5414">
      <w:pPr>
        <w:rPr>
          <w:rFonts w:eastAsia="Calibri"/>
        </w:rPr>
      </w:pPr>
      <w:r w:rsidRPr="00500A19">
        <w:t>В Документе 25, представленном БРЭ, изложены итоги работы Ассамблеи радиосвязи 2023 года и ВКР-23, при этом основное внимание уделяется вопросам, относящимся к компетенции МСЭ-D. В</w:t>
      </w:r>
      <w:r w:rsidR="009D5414" w:rsidRPr="00500A19">
        <w:t> </w:t>
      </w:r>
      <w:r w:rsidRPr="00500A19">
        <w:t>презентации кратко изложены основные решения, принятые по итогам этих мероприятий, и особо отмечены области, в которых сотрудничество между Сектором радиосвязи (МСЭ-R) и Сектором развития (МСЭ-D) уже осуществляется или планируется.</w:t>
      </w:r>
      <w:r w:rsidRPr="00500A19">
        <w:rPr>
          <w:rFonts w:eastAsia="Calibri"/>
        </w:rPr>
        <w:t xml:space="preserve"> </w:t>
      </w:r>
      <w:r w:rsidRPr="00500A19">
        <w:t xml:space="preserve">Конкретные области сотрудничества включают эффективное использование спектра, сокращение потребления электроэнергии посредством использования ИКТ, спутниковой и космической связи, а также совместные усилия по </w:t>
      </w:r>
      <w:r w:rsidRPr="00500A19">
        <w:lastRenderedPageBreak/>
        <w:t>повышению уровня осведомленности и созданию потенциала. В документе подчеркивается роль МСЭ-D в содействии выполнению решений ВКР, особенно в рамках Резолюции 9, и в обеспечении того, чтобы развивающиеся страны могли пользоваться преимуществами достижений в области технологий радиосвязи.</w:t>
      </w:r>
    </w:p>
    <w:p w14:paraId="1CE97BBC" w14:textId="3495098B" w:rsidR="006A3426" w:rsidRPr="00500A19" w:rsidRDefault="006A3426" w:rsidP="009D5414">
      <w:pPr>
        <w:spacing w:after="120"/>
        <w:rPr>
          <w:rFonts w:eastAsia="Calibri"/>
        </w:rPr>
      </w:pPr>
      <w:r w:rsidRPr="00500A19">
        <w:t>В ходе обсуждения один из делегатов дал высокую оценку отчету и приветствовал тот факт, что особое внимание в нем уделяется вопросам поддержки развивающихся стран. Делегат подчеркнул важность помощи в области энергоэффективности и создания потенциала, отметив проблемы, с которыми сталкиваются многие развивающиеся страны в области доступа к электроэнергии. Кроме</w:t>
      </w:r>
      <w:r w:rsidR="00512279" w:rsidRPr="00500A19">
        <w:t> </w:t>
      </w:r>
      <w:r w:rsidRPr="00500A19">
        <w:t xml:space="preserve">того, была </w:t>
      </w:r>
      <w:r w:rsidRPr="00500A19">
        <w:rPr>
          <w:rFonts w:eastAsia="Calibri"/>
        </w:rPr>
        <w:t xml:space="preserve">высказана просьба к БРЭ сделать </w:t>
      </w:r>
      <w:r w:rsidRPr="00500A19">
        <w:t>соответствующие документы и информацию более доступными с целью оказать содействие участию в планируемых мероприятиях, в том числе в форумах по спутниковым соединениям.</w:t>
      </w:r>
    </w:p>
    <w:tbl>
      <w:tblPr>
        <w:tblStyle w:val="TableGrid"/>
        <w:tblW w:w="0" w:type="auto"/>
        <w:tblLook w:val="04A0" w:firstRow="1" w:lastRow="0" w:firstColumn="1" w:lastColumn="0" w:noHBand="0" w:noVBand="1"/>
      </w:tblPr>
      <w:tblGrid>
        <w:gridCol w:w="9629"/>
      </w:tblGrid>
      <w:tr w:rsidR="006A3426" w:rsidRPr="00500A19" w14:paraId="643ADCB5" w14:textId="77777777" w:rsidTr="6215BC2C">
        <w:tc>
          <w:tcPr>
            <w:tcW w:w="9629" w:type="dxa"/>
          </w:tcPr>
          <w:p w14:paraId="443C9C09" w14:textId="77777777" w:rsidR="006A3426" w:rsidRPr="00500A19" w:rsidRDefault="006A3426" w:rsidP="00A05A39">
            <w:pPr>
              <w:tabs>
                <w:tab w:val="left" w:pos="567"/>
                <w:tab w:val="left" w:pos="1701"/>
              </w:tabs>
              <w:spacing w:after="120"/>
              <w:textAlignment w:val="auto"/>
              <w:rPr>
                <w:rFonts w:cstheme="minorHAnsi"/>
                <w:color w:val="000000" w:themeColor="text1"/>
                <w:szCs w:val="22"/>
              </w:rPr>
            </w:pPr>
            <w:r w:rsidRPr="00500A19">
              <w:rPr>
                <w:rFonts w:cstheme="minorHAnsi"/>
                <w:szCs w:val="22"/>
              </w:rPr>
              <w:t>КГРЭ приняла к сведению отчет, в котором изложены результаты работы АР-23 и ВКР-23, имеющие отношение к деятельности МСЭ-D.</w:t>
            </w:r>
          </w:p>
        </w:tc>
      </w:tr>
    </w:tbl>
    <w:p w14:paraId="41320AFB" w14:textId="280AF4C6" w:rsidR="006A3426" w:rsidRPr="00500A19" w:rsidRDefault="009D5414" w:rsidP="009D5414">
      <w:pPr>
        <w:pStyle w:val="Heading1"/>
      </w:pPr>
      <w:r w:rsidRPr="00500A19">
        <w:t>11</w:t>
      </w:r>
      <w:r w:rsidRPr="00500A19">
        <w:tab/>
      </w:r>
      <w:r w:rsidR="006A3426" w:rsidRPr="00500A19">
        <w:t>Итоги ВАСЭ-24: Обновленная информация, касающаяся работы МСЭ-D</w:t>
      </w:r>
    </w:p>
    <w:p w14:paraId="37DC295C" w14:textId="7D655B6C" w:rsidR="006A3426" w:rsidRPr="00500A19" w:rsidRDefault="006A3426" w:rsidP="00765CDD">
      <w:pPr>
        <w:pStyle w:val="Headingb"/>
        <w:tabs>
          <w:tab w:val="clear" w:pos="907"/>
        </w:tabs>
        <w:ind w:left="0" w:firstLine="0"/>
        <w:rPr>
          <w:bCs/>
          <w:lang w:val="ru-RU"/>
        </w:rPr>
      </w:pPr>
      <w:r w:rsidRPr="00500A19">
        <w:rPr>
          <w:lang w:val="ru-RU"/>
        </w:rPr>
        <w:t>Документ </w:t>
      </w:r>
      <w:hyperlink r:id="rId91" w:history="1">
        <w:r w:rsidRPr="00500A19">
          <w:rPr>
            <w:rStyle w:val="Hyperlink"/>
            <w:rFonts w:cstheme="minorHAnsi"/>
            <w:szCs w:val="22"/>
            <w:lang w:val="ru-RU"/>
          </w:rPr>
          <w:t>26</w:t>
        </w:r>
      </w:hyperlink>
      <w:r w:rsidRPr="00500A19">
        <w:rPr>
          <w:lang w:val="ru-RU"/>
        </w:rPr>
        <w:t xml:space="preserve"> (Директор БРЭ)</w:t>
      </w:r>
      <w:r w:rsidR="00783A9D" w:rsidRPr="00500A19">
        <w:rPr>
          <w:lang w:val="ru-RU"/>
        </w:rPr>
        <w:t xml:space="preserve"> </w:t>
      </w:r>
      <w:r w:rsidR="00783A9D" w:rsidRPr="00500A19">
        <w:rPr>
          <w:lang w:val="ru-RU"/>
        </w:rPr>
        <w:sym w:font="Symbol" w:char="F02D"/>
      </w:r>
      <w:r w:rsidRPr="00500A19">
        <w:rPr>
          <w:lang w:val="ru-RU"/>
        </w:rPr>
        <w:t xml:space="preserve"> </w:t>
      </w:r>
      <w:r w:rsidRPr="00500A19">
        <w:rPr>
          <w:bCs/>
          <w:lang w:val="ru-RU"/>
        </w:rPr>
        <w:t>Итоги ВАСЭ-24: Обновленная информация, касающаяся работы</w:t>
      </w:r>
      <w:r w:rsidR="009D5414" w:rsidRPr="00500A19">
        <w:rPr>
          <w:bCs/>
          <w:lang w:val="ru-RU"/>
        </w:rPr>
        <w:t> </w:t>
      </w:r>
      <w:r w:rsidRPr="00500A19">
        <w:rPr>
          <w:bCs/>
          <w:lang w:val="ru-RU"/>
        </w:rPr>
        <w:t>МСЭ</w:t>
      </w:r>
      <w:r w:rsidR="009D5414" w:rsidRPr="00500A19">
        <w:rPr>
          <w:bCs/>
          <w:lang w:val="ru-RU"/>
        </w:rPr>
        <w:t>­</w:t>
      </w:r>
      <w:r w:rsidRPr="00500A19">
        <w:rPr>
          <w:bCs/>
          <w:lang w:val="ru-RU"/>
        </w:rPr>
        <w:t>D</w:t>
      </w:r>
    </w:p>
    <w:p w14:paraId="142B70A9" w14:textId="7B70A8E4" w:rsidR="006A3426" w:rsidRPr="00500A19" w:rsidRDefault="006A3426" w:rsidP="009D5414">
      <w:pPr>
        <w:spacing w:after="120"/>
      </w:pPr>
      <w:r w:rsidRPr="00500A19">
        <w:t>Секретариат БРЭ представил документ, в котором кратко изложены основные итоги ВАСЭ-2024 и предшествовавшего ему Глобального симпозиума по стандартам (14−24 октября 2024 года, Нью</w:t>
      </w:r>
      <w:r w:rsidR="009D5414" w:rsidRPr="00500A19">
        <w:t>­</w:t>
      </w:r>
      <w:r w:rsidRPr="00500A19">
        <w:t>Дели, Индия). КГРЭ была представлена информация об основных результатах ВАСЭ, включая новые вопросы Исследовательских комиссий (ИК) МСЭ-Т, новые резолюции МСЭ-Т и список назначенных председателей и заместителей председателей ИК. Были представлены таблица сопоставления Резолюций ВАСЭ, имеющих отношение к работе МСЭ-D, и общий обзор Резолюций ВАСЭ, в которых особо отмечены разделы поручает Директору Бюро развития электросвязи МСЭ.</w:t>
      </w:r>
    </w:p>
    <w:tbl>
      <w:tblPr>
        <w:tblStyle w:val="TableGrid"/>
        <w:tblW w:w="0" w:type="auto"/>
        <w:tblLook w:val="04A0" w:firstRow="1" w:lastRow="0" w:firstColumn="1" w:lastColumn="0" w:noHBand="0" w:noVBand="1"/>
      </w:tblPr>
      <w:tblGrid>
        <w:gridCol w:w="9629"/>
      </w:tblGrid>
      <w:tr w:rsidR="006A3426" w:rsidRPr="00500A19" w14:paraId="17F4B4EC" w14:textId="77777777" w:rsidTr="6215BC2C">
        <w:tc>
          <w:tcPr>
            <w:tcW w:w="9629" w:type="dxa"/>
          </w:tcPr>
          <w:p w14:paraId="618DCCBF" w14:textId="77777777" w:rsidR="006A3426" w:rsidRPr="00500A19" w:rsidRDefault="006A3426" w:rsidP="005972B7">
            <w:pPr>
              <w:tabs>
                <w:tab w:val="left" w:pos="567"/>
                <w:tab w:val="left" w:pos="1701"/>
              </w:tabs>
              <w:spacing w:after="120"/>
              <w:textAlignment w:val="auto"/>
              <w:rPr>
                <w:rFonts w:cstheme="minorHAnsi"/>
                <w:color w:val="000000" w:themeColor="text1"/>
                <w:szCs w:val="22"/>
              </w:rPr>
            </w:pPr>
            <w:r w:rsidRPr="00500A19">
              <w:rPr>
                <w:rFonts w:cstheme="minorHAnsi"/>
                <w:szCs w:val="22"/>
              </w:rPr>
              <w:t>КГРЭ приняла к сведению отчет, в котором предоставлены Резолюции ВАСЭ, имеющие отношение к работе МСЭ-D.</w:t>
            </w:r>
          </w:p>
        </w:tc>
      </w:tr>
    </w:tbl>
    <w:p w14:paraId="21CD8D0A" w14:textId="428E87E4" w:rsidR="006A3426" w:rsidRPr="00500A19" w:rsidRDefault="009D5414" w:rsidP="009D5414">
      <w:pPr>
        <w:pStyle w:val="Heading1"/>
      </w:pPr>
      <w:r w:rsidRPr="00500A19">
        <w:t>12</w:t>
      </w:r>
      <w:r w:rsidRPr="00500A19">
        <w:tab/>
      </w:r>
      <w:r w:rsidR="006A3426" w:rsidRPr="00500A19">
        <w:t>Вклад в работу Группы экспертов по Регламенту международной электросвязи (ГЭ-РМЭ)</w:t>
      </w:r>
    </w:p>
    <w:p w14:paraId="65A88129" w14:textId="3C4F2F3C" w:rsidR="006A3426" w:rsidRPr="00500A19" w:rsidRDefault="006A3426" w:rsidP="00765CDD">
      <w:pPr>
        <w:pStyle w:val="Headingb"/>
        <w:tabs>
          <w:tab w:val="clear" w:pos="907"/>
        </w:tabs>
        <w:ind w:left="0" w:firstLine="0"/>
        <w:rPr>
          <w:lang w:val="ru-RU"/>
        </w:rPr>
      </w:pPr>
      <w:r w:rsidRPr="00500A19">
        <w:rPr>
          <w:lang w:val="ru-RU"/>
        </w:rPr>
        <w:t>Документ </w:t>
      </w:r>
      <w:hyperlink r:id="rId92">
        <w:r w:rsidRPr="00500A19">
          <w:rPr>
            <w:rStyle w:val="Hyperlink"/>
            <w:rFonts w:cstheme="minorHAnsi"/>
            <w:szCs w:val="22"/>
            <w:lang w:val="ru-RU"/>
          </w:rPr>
          <w:t>27</w:t>
        </w:r>
      </w:hyperlink>
      <w:r w:rsidRPr="00500A19">
        <w:rPr>
          <w:lang w:val="ru-RU"/>
        </w:rPr>
        <w:t xml:space="preserve"> (Директор БРЭ) </w:t>
      </w:r>
      <w:r w:rsidR="009D5414" w:rsidRPr="00500A19">
        <w:rPr>
          <w:lang w:val="ru-RU"/>
        </w:rPr>
        <w:sym w:font="Symbol" w:char="F02D"/>
      </w:r>
      <w:r w:rsidRPr="00500A19">
        <w:rPr>
          <w:lang w:val="ru-RU"/>
        </w:rPr>
        <w:t xml:space="preserve"> Отчет о работе Группы экспертов по Регламенту международной электросвязи (ГЭ-РМЭ) для КГРЭ</w:t>
      </w:r>
    </w:p>
    <w:p w14:paraId="0C6FFB82" w14:textId="77777777" w:rsidR="006A3426" w:rsidRPr="00500A19" w:rsidRDefault="006A3426" w:rsidP="009D5414">
      <w:pPr>
        <w:spacing w:after="120"/>
      </w:pPr>
      <w:r w:rsidRPr="00500A19">
        <w:t>Секретариат БРЭ представил информацию о ходе работы ГЭ-РМЭ, отчитавшись о третьем и четвертом собраниях ГЭ-РМЭ. Третье собрание было посвящено рассмотрению вкладов и вопросов соблюдения круга ведения Группы. На четвертом собрании обсуждался план Заключительного отчета Совету 2026 года и приложения к нему. Отчет о ходе работы будет представлен Совету 2025 года.</w:t>
      </w:r>
    </w:p>
    <w:tbl>
      <w:tblPr>
        <w:tblStyle w:val="TableGrid"/>
        <w:tblW w:w="0" w:type="auto"/>
        <w:tblLook w:val="04A0" w:firstRow="1" w:lastRow="0" w:firstColumn="1" w:lastColumn="0" w:noHBand="0" w:noVBand="1"/>
      </w:tblPr>
      <w:tblGrid>
        <w:gridCol w:w="9629"/>
      </w:tblGrid>
      <w:tr w:rsidR="006A3426" w:rsidRPr="00500A19" w14:paraId="70C5411F" w14:textId="77777777" w:rsidTr="6215BC2C">
        <w:tc>
          <w:tcPr>
            <w:tcW w:w="9629" w:type="dxa"/>
          </w:tcPr>
          <w:p w14:paraId="3F105623" w14:textId="75E87247" w:rsidR="006A3426" w:rsidRPr="00500A19" w:rsidRDefault="006A3426" w:rsidP="00A05A39">
            <w:pPr>
              <w:widowControl w:val="0"/>
              <w:tabs>
                <w:tab w:val="left" w:pos="567"/>
                <w:tab w:val="left" w:pos="1701"/>
              </w:tabs>
              <w:spacing w:after="120"/>
              <w:rPr>
                <w:rFonts w:cstheme="minorHAnsi"/>
                <w:szCs w:val="22"/>
              </w:rPr>
            </w:pPr>
            <w:r w:rsidRPr="00500A19">
              <w:rPr>
                <w:rFonts w:cstheme="minorHAnsi"/>
                <w:szCs w:val="22"/>
              </w:rPr>
              <w:t>КГРЭ приняла к сведению отчет о ходе работы ГЭ-РМЭ и призвала к дальнейшему</w:t>
            </w:r>
            <w:r w:rsidR="00783A9D" w:rsidRPr="00500A19">
              <w:rPr>
                <w:rFonts w:cstheme="minorHAnsi"/>
                <w:szCs w:val="22"/>
              </w:rPr>
              <w:t> </w:t>
            </w:r>
            <w:r w:rsidRPr="00500A19">
              <w:rPr>
                <w:rFonts w:cstheme="minorHAnsi"/>
                <w:szCs w:val="22"/>
              </w:rPr>
              <w:t>взаимодействию.</w:t>
            </w:r>
          </w:p>
        </w:tc>
      </w:tr>
    </w:tbl>
    <w:p w14:paraId="5A603C3E" w14:textId="4FAD698E" w:rsidR="006A3426" w:rsidRPr="00500A19" w:rsidRDefault="009D5414" w:rsidP="009D5414">
      <w:pPr>
        <w:pStyle w:val="Heading1"/>
      </w:pPr>
      <w:r w:rsidRPr="00500A19">
        <w:t>13</w:t>
      </w:r>
      <w:r w:rsidRPr="00500A19">
        <w:tab/>
      </w:r>
      <w:r w:rsidR="006A3426" w:rsidRPr="00500A19">
        <w:t>Календарь мероприятий МСЭ-D</w:t>
      </w:r>
    </w:p>
    <w:p w14:paraId="38F40BA3" w14:textId="4F046356" w:rsidR="006A3426" w:rsidRPr="00500A19" w:rsidRDefault="006A3426" w:rsidP="00765CDD">
      <w:pPr>
        <w:pStyle w:val="Headingb"/>
        <w:tabs>
          <w:tab w:val="clear" w:pos="907"/>
        </w:tabs>
        <w:ind w:left="0" w:firstLine="0"/>
        <w:rPr>
          <w:lang w:val="ru-RU"/>
        </w:rPr>
      </w:pPr>
      <w:r w:rsidRPr="00500A19">
        <w:rPr>
          <w:bCs/>
          <w:lang w:val="ru-RU"/>
        </w:rPr>
        <w:t>Документ </w:t>
      </w:r>
      <w:hyperlink r:id="rId93">
        <w:r w:rsidRPr="00500A19">
          <w:rPr>
            <w:rStyle w:val="Hyperlink"/>
            <w:rFonts w:cstheme="minorHAnsi"/>
            <w:szCs w:val="22"/>
            <w:lang w:val="ru-RU"/>
          </w:rPr>
          <w:t>28</w:t>
        </w:r>
      </w:hyperlink>
      <w:r w:rsidRPr="00500A19">
        <w:rPr>
          <w:rStyle w:val="Hyperlink"/>
          <w:rFonts w:cstheme="minorHAnsi"/>
          <w:szCs w:val="22"/>
          <w:lang w:val="ru-RU"/>
        </w:rPr>
        <w:t>(Rev.1)</w:t>
      </w:r>
      <w:r w:rsidRPr="00500A19">
        <w:rPr>
          <w:bCs/>
          <w:lang w:val="ru-RU"/>
        </w:rPr>
        <w:t xml:space="preserve"> (Директор БРЭ) </w:t>
      </w:r>
      <w:r w:rsidR="009D5414" w:rsidRPr="00500A19">
        <w:rPr>
          <w:bCs/>
          <w:lang w:val="ru-RU"/>
        </w:rPr>
        <w:sym w:font="Symbol" w:char="F02D"/>
      </w:r>
      <w:r w:rsidRPr="00500A19">
        <w:rPr>
          <w:bCs/>
          <w:lang w:val="ru-RU"/>
        </w:rPr>
        <w:t xml:space="preserve"> Календарь мероприятий МСЭ-D</w:t>
      </w:r>
    </w:p>
    <w:p w14:paraId="056F4263" w14:textId="77777777" w:rsidR="006A3426" w:rsidRPr="00500A19" w:rsidRDefault="006A3426" w:rsidP="009D5414">
      <w:pPr>
        <w:spacing w:after="120"/>
      </w:pPr>
      <w:r w:rsidRPr="00500A19">
        <w:t xml:space="preserve">Секретариат БРЭ представил календарь мероприятий МСЭ-D, запланированных на 2025 год и последующие годы, особо отметив насыщенность графика в преддверии ВКРЭ. Было отмечено, что календарь призван помочь Государствам-Членам и заинтересованным сторонам в процессе </w:t>
      </w:r>
      <w:r w:rsidRPr="00500A19">
        <w:lastRenderedPageBreak/>
        <w:t>планирования. Председатель предоставила возможность высказать замечания или задать вопросы, однако никаких комментариев не последовало. Соответственно, документ был принят к сведению без дальнейшего обсуждения или возражений.</w:t>
      </w:r>
    </w:p>
    <w:tbl>
      <w:tblPr>
        <w:tblStyle w:val="TableGrid"/>
        <w:tblW w:w="0" w:type="auto"/>
        <w:tblLook w:val="04A0" w:firstRow="1" w:lastRow="0" w:firstColumn="1" w:lastColumn="0" w:noHBand="0" w:noVBand="1"/>
      </w:tblPr>
      <w:tblGrid>
        <w:gridCol w:w="9629"/>
      </w:tblGrid>
      <w:tr w:rsidR="006A3426" w:rsidRPr="00500A19" w14:paraId="2FE29F3A" w14:textId="77777777" w:rsidTr="03F09647">
        <w:tc>
          <w:tcPr>
            <w:tcW w:w="9629" w:type="dxa"/>
          </w:tcPr>
          <w:p w14:paraId="18527F19" w14:textId="77777777" w:rsidR="006A3426" w:rsidRPr="00500A19" w:rsidRDefault="006A3426" w:rsidP="00A05A39">
            <w:pPr>
              <w:tabs>
                <w:tab w:val="left" w:pos="567"/>
                <w:tab w:val="left" w:pos="1701"/>
              </w:tabs>
              <w:spacing w:after="120"/>
              <w:textAlignment w:val="auto"/>
              <w:rPr>
                <w:rFonts w:cstheme="minorHAnsi"/>
                <w:szCs w:val="22"/>
              </w:rPr>
            </w:pPr>
            <w:r w:rsidRPr="00500A19">
              <w:rPr>
                <w:rFonts w:cstheme="minorHAnsi"/>
                <w:szCs w:val="22"/>
              </w:rPr>
              <w:t>КГРЭ приняла документ к сведению.</w:t>
            </w:r>
          </w:p>
        </w:tc>
      </w:tr>
    </w:tbl>
    <w:p w14:paraId="24032FF1" w14:textId="77780C7E" w:rsidR="006A3426" w:rsidRPr="00500A19" w:rsidRDefault="009D5414" w:rsidP="009D5414">
      <w:pPr>
        <w:pStyle w:val="Heading1"/>
        <w:rPr>
          <w:bCs/>
        </w:rPr>
      </w:pPr>
      <w:r w:rsidRPr="00500A19">
        <w:t>14</w:t>
      </w:r>
      <w:r w:rsidRPr="00500A19">
        <w:tab/>
      </w:r>
      <w:r w:rsidR="006A3426" w:rsidRPr="00500A19">
        <w:t>Любые другие вопросы</w:t>
      </w:r>
    </w:p>
    <w:p w14:paraId="2952E90C" w14:textId="7AF5FCE4" w:rsidR="006A3426" w:rsidRPr="00500A19" w:rsidRDefault="006A3426" w:rsidP="00765CDD">
      <w:pPr>
        <w:pStyle w:val="Headingb"/>
        <w:tabs>
          <w:tab w:val="clear" w:pos="907"/>
        </w:tabs>
        <w:ind w:left="0" w:firstLine="0"/>
        <w:rPr>
          <w:lang w:val="ru-RU"/>
        </w:rPr>
      </w:pPr>
      <w:r w:rsidRPr="00500A19">
        <w:rPr>
          <w:lang w:val="ru-RU"/>
        </w:rPr>
        <w:t>Документ </w:t>
      </w:r>
      <w:hyperlink r:id="rId94">
        <w:r w:rsidRPr="00500A19">
          <w:rPr>
            <w:rStyle w:val="Hyperlink"/>
            <w:rFonts w:cstheme="minorHAnsi"/>
            <w:bCs/>
            <w:szCs w:val="22"/>
            <w:lang w:val="ru-RU"/>
          </w:rPr>
          <w:t>55(Rev.1)</w:t>
        </w:r>
      </w:hyperlink>
      <w:r w:rsidRPr="00500A19">
        <w:rPr>
          <w:lang w:val="ru-RU"/>
        </w:rPr>
        <w:t xml:space="preserve"> (Алжир, Египет, Иордания и Саудовская Аравия) </w:t>
      </w:r>
      <w:r w:rsidR="009D5414" w:rsidRPr="00500A19">
        <w:rPr>
          <w:lang w:val="ru-RU"/>
        </w:rPr>
        <w:sym w:font="Symbol" w:char="F02D"/>
      </w:r>
      <w:r w:rsidRPr="00500A19">
        <w:rPr>
          <w:lang w:val="ru-RU"/>
        </w:rPr>
        <w:t xml:space="preserve"> Изменение методов работы</w:t>
      </w:r>
      <w:r w:rsidR="00512279" w:rsidRPr="00500A19">
        <w:rPr>
          <w:lang w:val="ru-RU"/>
        </w:rPr>
        <w:t> </w:t>
      </w:r>
      <w:r w:rsidRPr="00500A19">
        <w:rPr>
          <w:lang w:val="ru-RU"/>
        </w:rPr>
        <w:t>EGTI и EGH</w:t>
      </w:r>
    </w:p>
    <w:p w14:paraId="6CC3498C" w14:textId="2603A807" w:rsidR="006A3426" w:rsidRPr="00500A19" w:rsidRDefault="006A3426" w:rsidP="009D5414">
      <w:r w:rsidRPr="00500A19">
        <w:t>Документ 55(Rev.1) был представлен как вклад группы стран, в котором отмечается важная роль Группы экспертов по показателям электросвязи/ИКТ (EGTI) и Группы экспертов по показателям ИКТ в домашних хозяйствах (EGH) в продвижении усилий по сбору данных в области электросвязи/ИКТ. В</w:t>
      </w:r>
      <w:r w:rsidR="009D5414" w:rsidRPr="00500A19">
        <w:t> </w:t>
      </w:r>
      <w:r w:rsidRPr="00500A19">
        <w:t>документе выражается обеспокоенность в связи с нынешними методами работы этих групп экспертов. В документе предлагается теснее увязать методы работы EGTI и EGH с методами работы исследовательских комиссий МСЭ. Рекомендации включают в себя формализацию процедур представления, обеспечение заблаговременного планирования собраний, более структурированного участия и возможности дистанционного участия и представления вкладов, а также назначение координаторов для конкретных областей работы.</w:t>
      </w:r>
    </w:p>
    <w:p w14:paraId="1AE9780C" w14:textId="3CB067D5" w:rsidR="006A3426" w:rsidRPr="00500A19" w:rsidRDefault="006A3426" w:rsidP="009D5414">
      <w:r w:rsidRPr="00500A19">
        <w:t>С учетом представления КГРЭ и дополнительных отзывов, поступивших от Членов, Секретариат БРЭ предложил следующие меры по повышению прозрачности, охвата и эффективности работы EGTI</w:t>
      </w:r>
      <w:r w:rsidR="009D5414" w:rsidRPr="00500A19">
        <w:t> </w:t>
      </w:r>
      <w:r w:rsidRPr="00500A19">
        <w:t>и</w:t>
      </w:r>
      <w:r w:rsidR="009D5414" w:rsidRPr="00500A19">
        <w:t> </w:t>
      </w:r>
      <w:r w:rsidRPr="00500A19">
        <w:t>EGH:</w:t>
      </w:r>
    </w:p>
    <w:p w14:paraId="09AF2553" w14:textId="49F39F47" w:rsidR="006A3426" w:rsidRPr="00500A19" w:rsidRDefault="009D5414" w:rsidP="009D5414">
      <w:pPr>
        <w:pStyle w:val="enumlev1"/>
      </w:pPr>
      <w:r w:rsidRPr="00500A19">
        <w:sym w:font="Symbol" w:char="F02D"/>
      </w:r>
      <w:r w:rsidRPr="00500A19">
        <w:tab/>
      </w:r>
      <w:r w:rsidR="006A3426" w:rsidRPr="00500A19">
        <w:t>Обновленная веб-страница групп экспертов предоставляет более четкую и доступную информацию о мандате, структуре управления, условиях участия, методах работы и текущей работе групп экспертов.</w:t>
      </w:r>
    </w:p>
    <w:p w14:paraId="1F37A723" w14:textId="5A324284" w:rsidR="006A3426" w:rsidRPr="00500A19" w:rsidRDefault="009D5414" w:rsidP="009D5414">
      <w:pPr>
        <w:pStyle w:val="enumlev1"/>
      </w:pPr>
      <w:r w:rsidRPr="00500A19">
        <w:sym w:font="Symbol" w:char="F02D"/>
      </w:r>
      <w:r w:rsidRPr="00500A19">
        <w:tab/>
      </w:r>
      <w:r w:rsidR="006A3426" w:rsidRPr="00500A19">
        <w:t>В дальнейшем все документы, включая вклады, отчеты, круг ведения и презентации, относящиеся к EGTI, EGH и их подгруппам, будут доступны в Центре документации МСЭ-D. Его интерфейс будет аналогичен интерфейсу, который используется Исследовательскими комиссиями МСЭ-D и Рабочей группой КГРЭ. Одновременно с этим будет продолжена публикация информации и документов на веб-страницах EGTI и EGH, а также на страницах, посвященных собраниям этих групп.</w:t>
      </w:r>
    </w:p>
    <w:p w14:paraId="3513B638" w14:textId="552EAE99" w:rsidR="006A3426" w:rsidRPr="00500A19" w:rsidRDefault="009D5414" w:rsidP="009D5414">
      <w:pPr>
        <w:pStyle w:val="enumlev1"/>
      </w:pPr>
      <w:r w:rsidRPr="00500A19">
        <w:sym w:font="Symbol" w:char="F02D"/>
      </w:r>
      <w:r w:rsidRPr="00500A19">
        <w:tab/>
      </w:r>
      <w:r w:rsidR="006A3426" w:rsidRPr="00500A19">
        <w:t>В настоящее время разрабатывается интерфейс для упрощения представления вкладов в рамках различных подгрупп EGTI и EGH. Этот интерфейс будет аналогичен интерфейсу для Исследовательских комиссий и КГРЭ.</w:t>
      </w:r>
    </w:p>
    <w:p w14:paraId="50424747" w14:textId="77777777" w:rsidR="006A3426" w:rsidRPr="00500A19" w:rsidRDefault="006A3426" w:rsidP="009D5414">
      <w:r w:rsidRPr="00500A19">
        <w:t>В ходе обсуждения ряд делегаций выразили поддержку работе двух групп экспертов (EGTI/EGH) и подчеркнули важность продолжения их работы. Усилия БРЭ, направленные на повышение прозрачности и совершенствование методов работы групп экспертов, в том числе упомянутые выше, получили широкую поддержку, хотя была также отмечена необходимость дальнейшей работы, в частности в том, что касается обновления круга ведения для приведения его в соответствие с Резолюцией 1 о процедуре назначения председателей и заместителей председателей.</w:t>
      </w:r>
    </w:p>
    <w:p w14:paraId="19B54CD5" w14:textId="77777777" w:rsidR="006A3426" w:rsidRPr="00500A19" w:rsidRDefault="006A3426" w:rsidP="009D5414">
      <w:pPr>
        <w:spacing w:after="120"/>
      </w:pPr>
      <w:r w:rsidRPr="00500A19">
        <w:t>Некоторые участники, выразив поддержку повышению прозрачности в работе EGTI и EGH, также отметили уникальный характер этих двух групп экспертов и важность сохранения модели групп экспертов, которая позволяет использовать широкий спектр специальных знаний.</w:t>
      </w:r>
    </w:p>
    <w:tbl>
      <w:tblPr>
        <w:tblStyle w:val="TableGrid"/>
        <w:tblW w:w="0" w:type="auto"/>
        <w:tblLook w:val="04A0" w:firstRow="1" w:lastRow="0" w:firstColumn="1" w:lastColumn="0" w:noHBand="0" w:noVBand="1"/>
      </w:tblPr>
      <w:tblGrid>
        <w:gridCol w:w="9629"/>
      </w:tblGrid>
      <w:tr w:rsidR="006A3426" w:rsidRPr="00500A19" w14:paraId="560F57F2" w14:textId="77777777" w:rsidTr="6215BC2C">
        <w:tc>
          <w:tcPr>
            <w:tcW w:w="9629" w:type="dxa"/>
          </w:tcPr>
          <w:p w14:paraId="5B513948" w14:textId="77777777" w:rsidR="006A3426" w:rsidRPr="00500A19" w:rsidRDefault="006A3426" w:rsidP="005972B7">
            <w:pPr>
              <w:tabs>
                <w:tab w:val="left" w:pos="567"/>
                <w:tab w:val="left" w:pos="1701"/>
              </w:tabs>
              <w:spacing w:after="120"/>
              <w:textAlignment w:val="auto"/>
              <w:rPr>
                <w:rFonts w:eastAsia="Calibri" w:cstheme="minorHAnsi"/>
                <w:color w:val="000000" w:themeColor="text1"/>
                <w:szCs w:val="22"/>
              </w:rPr>
            </w:pPr>
            <w:r w:rsidRPr="00500A19">
              <w:rPr>
                <w:rFonts w:cstheme="minorHAnsi"/>
                <w:szCs w:val="22"/>
              </w:rPr>
              <w:t>КГРЭ приняла к сведению вклад и постоянные усилия, предпринимаемые БРЭ в целях упорядочения работы групп экспертов.</w:t>
            </w:r>
          </w:p>
        </w:tc>
      </w:tr>
    </w:tbl>
    <w:p w14:paraId="25ADC21F" w14:textId="7353B4C3" w:rsidR="006A3426" w:rsidRPr="00500A19" w:rsidRDefault="006A3426" w:rsidP="00765CDD">
      <w:pPr>
        <w:pStyle w:val="Headingb"/>
        <w:pageBreakBefore/>
        <w:tabs>
          <w:tab w:val="clear" w:pos="907"/>
        </w:tabs>
        <w:ind w:left="0" w:firstLine="0"/>
        <w:rPr>
          <w:lang w:val="ru-RU"/>
        </w:rPr>
      </w:pPr>
      <w:r w:rsidRPr="00500A19">
        <w:rPr>
          <w:lang w:val="ru-RU"/>
        </w:rPr>
        <w:lastRenderedPageBreak/>
        <w:t>Документ </w:t>
      </w:r>
      <w:hyperlink r:id="rId95">
        <w:r w:rsidRPr="00500A19">
          <w:rPr>
            <w:rStyle w:val="Hyperlink"/>
            <w:rFonts w:cstheme="minorHAnsi"/>
            <w:bCs/>
            <w:szCs w:val="22"/>
            <w:lang w:val="ru-RU"/>
          </w:rPr>
          <w:t>60</w:t>
        </w:r>
      </w:hyperlink>
      <w:r w:rsidRPr="00500A19">
        <w:rPr>
          <w:lang w:val="ru-RU"/>
        </w:rPr>
        <w:t xml:space="preserve"> (Директор БРЭ) </w:t>
      </w:r>
      <w:r w:rsidR="009D5414" w:rsidRPr="00500A19">
        <w:rPr>
          <w:lang w:val="ru-RU"/>
        </w:rPr>
        <w:sym w:font="Symbol" w:char="F02D"/>
      </w:r>
      <w:r w:rsidRPr="00500A19">
        <w:rPr>
          <w:lang w:val="ru-RU"/>
        </w:rPr>
        <w:t xml:space="preserve"> Использование всех официальных языков на равной основе в МСЭ-D</w:t>
      </w:r>
    </w:p>
    <w:p w14:paraId="15FCE59F" w14:textId="77777777" w:rsidR="006A3426" w:rsidRPr="00500A19" w:rsidRDefault="006A3426" w:rsidP="009D5414">
      <w:pPr>
        <w:spacing w:after="120"/>
      </w:pPr>
      <w:r w:rsidRPr="00500A19">
        <w:t>В Документе 60 представлен обзор мер, принятых БРЭ для обеспечения равноправного использования всех шести официальных языков ООН в деятельности МСЭ-D. В презентации рассказывалось о переходе на новую платформу веб-сайта на базе WordPress, призванную повысить эффективность процесса управления многоязычным контентом, и внедрении инструментов перевода на основе ИИ для повышения качества и эффективности как письменного, так и устного перевода. Было также отмечено, что для повышения точности машинного перевода были внедрены функции постредактирования, и что полный перевод веб-сайтов МСЭ-D на новую платформу ожидается к 2026 году. Кроме того, сообщалось о проведении экспериментальных испытаний по использованию ИИ для устного перевода в ходе собраний руководящего состава Исследовательских комиссий. Председатель приветствовала обновленную информацию и вновь подчеркнула важность обеспечения использования всех языков в рамках работы МСЭ-D. Никаких дополнительных замечаний с мест сделано не было, и отчет был принят к сведению без возражений.</w:t>
      </w:r>
    </w:p>
    <w:tbl>
      <w:tblPr>
        <w:tblStyle w:val="TableGrid"/>
        <w:tblW w:w="9630" w:type="dxa"/>
        <w:tblLayout w:type="fixed"/>
        <w:tblLook w:val="06A0" w:firstRow="1" w:lastRow="0" w:firstColumn="1" w:lastColumn="0" w:noHBand="1" w:noVBand="1"/>
      </w:tblPr>
      <w:tblGrid>
        <w:gridCol w:w="9630"/>
      </w:tblGrid>
      <w:tr w:rsidR="006A3426" w:rsidRPr="00500A19" w14:paraId="3A3EC8B7" w14:textId="77777777" w:rsidTr="006603CD">
        <w:trPr>
          <w:trHeight w:val="300"/>
        </w:trPr>
        <w:tc>
          <w:tcPr>
            <w:tcW w:w="9630" w:type="dxa"/>
          </w:tcPr>
          <w:p w14:paraId="2201CDBE" w14:textId="77777777" w:rsidR="006A3426" w:rsidRPr="00500A19" w:rsidRDefault="006A3426" w:rsidP="00A05A39">
            <w:pPr>
              <w:tabs>
                <w:tab w:val="left" w:pos="567"/>
                <w:tab w:val="left" w:pos="1701"/>
              </w:tabs>
              <w:spacing w:after="120"/>
              <w:rPr>
                <w:rFonts w:cstheme="minorHAnsi"/>
                <w:szCs w:val="22"/>
              </w:rPr>
            </w:pPr>
            <w:r w:rsidRPr="00500A19">
              <w:rPr>
                <w:rFonts w:cstheme="minorHAnsi"/>
                <w:szCs w:val="22"/>
              </w:rPr>
              <w:t>КГРЭ приняла отчет к сведению.</w:t>
            </w:r>
          </w:p>
        </w:tc>
      </w:tr>
    </w:tbl>
    <w:p w14:paraId="15A6F464" w14:textId="598D5CA3" w:rsidR="006A3426" w:rsidRPr="00500A19" w:rsidRDefault="006A3426" w:rsidP="009D5414">
      <w:pPr>
        <w:rPr>
          <w:rFonts w:eastAsia="Calibri"/>
        </w:rPr>
      </w:pPr>
      <w:r w:rsidRPr="00500A19">
        <w:t>Заседание во второй половине дня заключительного дня работы КГРЭ ознаменовалось официальным завершением работы по пунктам повестки дня, утверждением заявлений о взаимодействии и всесторонним рассмотрением всех рабочих документов.</w:t>
      </w:r>
    </w:p>
    <w:p w14:paraId="40FA66FC" w14:textId="553761C7" w:rsidR="006A3426" w:rsidRPr="00500A19" w:rsidRDefault="006A3426" w:rsidP="009D5414">
      <w:pPr>
        <w:rPr>
          <w:rFonts w:eastAsia="Calibri"/>
        </w:rPr>
      </w:pPr>
      <w:r w:rsidRPr="00500A19">
        <w:t>Заместитель Председателя от Саудовской Аравии рассказал о предстоящем местном симпозиуме для регуляторных органов, который будет организован Королевством Саудовская Аравия в рамках подготовки к ВКРЭ-25. Был показан рекламный видеоролик с целью подчеркнуть важность этого мероприятия для обсуждения стремительных технологических изменений и содействия диалогу на глобальном уровне. Директор БРЭ выразил признательность Саудовской Аравии за ее постоянную поддержку деятельности и проектов МСЭ-D, особо отметив роль Королевства в продвижении таких инициатив, как Сеть цифрового регулирования и мероприятия в поддержку учета гендерных</w:t>
      </w:r>
      <w:r w:rsidR="009D5414" w:rsidRPr="00500A19">
        <w:t> </w:t>
      </w:r>
      <w:r w:rsidRPr="00500A19">
        <w:t>аспектов.</w:t>
      </w:r>
    </w:p>
    <w:p w14:paraId="614DB666" w14:textId="77777777" w:rsidR="006A3426" w:rsidRPr="00500A19" w:rsidRDefault="006A3426" w:rsidP="009D5414">
      <w:pPr>
        <w:rPr>
          <w:rFonts w:eastAsia="Calibri"/>
        </w:rPr>
      </w:pPr>
      <w:r w:rsidRPr="00500A19">
        <w:t>Затем слово взял представитель Самоа, чтобы выразить признательность за предоставленную возможность участвовать в работе КГРЭ и поделился информацией о том, как прошло празднование инициативы МПО на национальном уровне. Было отмечено расширение участия молодежи в областях STEM и изменение названия национальных инициатив в рамках Дня "Молодежь в ИКТ" в соответствии с целями МСЭ по обеспечению учета интересов всех лиц.</w:t>
      </w:r>
    </w:p>
    <w:p w14:paraId="7D5B539F" w14:textId="099E1956" w:rsidR="006A3426" w:rsidRPr="00500A19" w:rsidRDefault="006A3426" w:rsidP="009D5414">
      <w:pPr>
        <w:rPr>
          <w:rFonts w:eastAsia="Calibri"/>
        </w:rPr>
      </w:pPr>
      <w:r w:rsidRPr="00500A19">
        <w:t>Далее собрание последовательно утвердило проекты десяти заявлений о взаимодействии (DT2</w:t>
      </w:r>
      <w:r w:rsidR="009D5414" w:rsidRPr="00500A19">
        <w:sym w:font="Symbol" w:char="F02D"/>
      </w:r>
      <w:r w:rsidRPr="00500A19">
        <w:t>DT10), в которых рассматривались такие темы, как использование терминов, руководящие указания по дистанционному участию, взаимодействие с Исследовательскими комиссиями и координация с другими консультативными органами МСЭ. В утвержденных документах содержались рекомендации по расширению сотрудничества с КГСЭ и включению соответствующей информации в процесс подготовки к ВКРЭ-25.</w:t>
      </w:r>
    </w:p>
    <w:p w14:paraId="33A40288" w14:textId="29E6B40F" w:rsidR="006A3426" w:rsidRPr="00500A19" w:rsidRDefault="006A3426" w:rsidP="009D5414">
      <w:pPr>
        <w:rPr>
          <w:rFonts w:eastAsia="Calibri"/>
        </w:rPr>
      </w:pPr>
      <w:r w:rsidRPr="00500A19">
        <w:t>Члены КГРЭ также рассмотрели и утвердили проект отчета Председателя о выводах и решениях, содержащийся в Документе </w:t>
      </w:r>
      <w:hyperlink r:id="rId96" w:history="1">
        <w:r w:rsidRPr="00500A19">
          <w:rPr>
            <w:rStyle w:val="Hyperlink"/>
            <w:rFonts w:eastAsia="Calibri" w:cstheme="minorHAnsi"/>
            <w:szCs w:val="22"/>
          </w:rPr>
          <w:t>DT/11</w:t>
        </w:r>
      </w:hyperlink>
      <w:r w:rsidRPr="00500A19">
        <w:rPr>
          <w:rStyle w:val="Hyperlink"/>
          <w:rFonts w:eastAsia="Calibri" w:cstheme="minorHAnsi"/>
          <w:szCs w:val="22"/>
        </w:rPr>
        <w:t>(Rev.1)</w:t>
      </w:r>
      <w:r w:rsidRPr="00500A19">
        <w:t xml:space="preserve"> и охватывающий все представленные документы. Собрание</w:t>
      </w:r>
      <w:r w:rsidR="00512279" w:rsidRPr="00500A19">
        <w:t> </w:t>
      </w:r>
      <w:r w:rsidRPr="00500A19">
        <w:t>приняло к сведению, что результаты работы рабочих групп КГРЭ будут приложены к официальному отчету Председателя для ВКРЭ-25.</w:t>
      </w:r>
    </w:p>
    <w:p w14:paraId="3601FA57" w14:textId="6EBB543F" w:rsidR="006A3426" w:rsidRPr="00500A19" w:rsidRDefault="009D5414" w:rsidP="009D5414">
      <w:pPr>
        <w:pStyle w:val="Heading1"/>
        <w:rPr>
          <w:bCs/>
        </w:rPr>
      </w:pPr>
      <w:r w:rsidRPr="00500A19">
        <w:t>15</w:t>
      </w:r>
      <w:r w:rsidRPr="00500A19">
        <w:tab/>
      </w:r>
      <w:r w:rsidR="006A3426" w:rsidRPr="00500A19">
        <w:t>Церемония закрытия</w:t>
      </w:r>
    </w:p>
    <w:p w14:paraId="04EDBAC5" w14:textId="77777777" w:rsidR="006A3426" w:rsidRPr="00500A19" w:rsidRDefault="006A3426" w:rsidP="009D5414">
      <w:r w:rsidRPr="00500A19">
        <w:t xml:space="preserve">Заключительный этап собрания КГРЭ 2025 года стал моментом размышлений, выражений признательности и благодарности, так как он ознаменовал собой окончание недели интенсивных обсуждений и завершение цикла КГРЭ 2022–2025 годов. Это был не только момент официального закрытия собрания, но и возможность выразить искренние слова благодарности, прежде всего в </w:t>
      </w:r>
      <w:r w:rsidRPr="00500A19">
        <w:lastRenderedPageBreak/>
        <w:t>адрес Председателя КГРЭ г-жи Роксаны Макэлвейн Веббер, срок полномочий которой завершился на этом собрании.</w:t>
      </w:r>
    </w:p>
    <w:p w14:paraId="2F22BEE8" w14:textId="77777777" w:rsidR="006A3426" w:rsidRPr="00500A19" w:rsidRDefault="006A3426" w:rsidP="009D5414">
      <w:pPr>
        <w:rPr>
          <w:rFonts w:eastAsia="Calibri"/>
        </w:rPr>
      </w:pPr>
      <w:r w:rsidRPr="00500A19">
        <w:t>Председатель открыла заключительный сегмент, выразив искреннюю благодарность всем заместителям Председателя, отметив, что они все внесли значительный вклад не только в рамках возложенных на них обязанностей, но и выполняя руководящие функции в рамках рабочих групп КГРЭ, исследуемых Вопросов и соответствующих консультативных инициатив. Она выразила признательность Секретариату БРЭ, особенно Директору и его команде, включая координаторов различных РГ КГРЭ, за их самоотверженные усилия, преданность делу и поддержку в организации столь сложного собрания с большим количеством документов.</w:t>
      </w:r>
    </w:p>
    <w:p w14:paraId="63028B9E" w14:textId="77777777" w:rsidR="006A3426" w:rsidRPr="00500A19" w:rsidRDefault="006A3426" w:rsidP="009D5414">
      <w:pPr>
        <w:rPr>
          <w:rFonts w:eastAsia="Calibri"/>
        </w:rPr>
      </w:pPr>
      <w:r w:rsidRPr="00500A19">
        <w:t>В своем выступлении Председатель подчеркнула важность открытости, сотрудничества и наставничества в рамках Сектора развития. Она рассказала о достижениях Сектора, в частности об усилиях, принимаемых для обеспечения более эффективной координации, более тесного взаимодействия с региональными отделениями и поощрения участия молодежи. Председатель высоко оценила усилия Секретариата по разъяснению информации, включая визуальные средства и документацию, которые помогают более доступно представлять сложные итоговые документы, такие, как Документ 2.</w:t>
      </w:r>
    </w:p>
    <w:p w14:paraId="73B31538" w14:textId="75241A79" w:rsidR="006A3426" w:rsidRPr="00500A19" w:rsidRDefault="006A3426" w:rsidP="009D5414">
      <w:pPr>
        <w:rPr>
          <w:rFonts w:eastAsia="Calibri"/>
        </w:rPr>
      </w:pPr>
      <w:r w:rsidRPr="00500A19">
        <w:t>Особая благодарность была выражена директорам региональных отделений, чье очное участие способствовало повышению значимости дискуссий на собрании, а также делегатам из различных Государств-Членов, которые привнесли в диалог разнообразие точек зрения и языковое богатство.</w:t>
      </w:r>
    </w:p>
    <w:p w14:paraId="384209F8" w14:textId="77777777" w:rsidR="006A3426" w:rsidRPr="00500A19" w:rsidRDefault="006A3426" w:rsidP="009D5414">
      <w:pPr>
        <w:rPr>
          <w:rFonts w:eastAsia="Calibri"/>
        </w:rPr>
      </w:pPr>
      <w:r w:rsidRPr="00500A19">
        <w:t>Церемония закрытия собрания была отмечена большим количеством выступлений делегатов и заинтересованных сторон, что отражает всеобщую признательность в адрес Председателя за ее руководство и вклад в работу в период ее пребывания на должности. Делегаты высоко оценили ее наставничество, открытость для всех и успешное руководство инициативами МСЭ-D, отметив ее роль в выполнении Плана действий Буэнос-Айреса и Кигалийского плана действий и обеспечении взаимодействия в трудные времена. В выступлениях подчеркивался вклад Председателя в проведение глобальных мероприятий МСЭ-D, ее способность вдохновлять участников из разных регионов и внимание, которое она всегда уделяла вопросам обеспечения устойчивости и достижения практических результатов. Коллективные выражения признательности продемонстрировали глубокое уважение и восхищение самоотверженной работой Председателя на благо сообщества КГРЭ. Несколько заместителей Председателя и председателей рабочих групп также взяли слово, чтобы выразить свою благодарность Председателю за дух сотрудничества, который поддерживался на протяжении всего цикла, и поблагодарить за ее доверие, руководство и непоколебимую преданность делу.</w:t>
      </w:r>
    </w:p>
    <w:p w14:paraId="5885360D" w14:textId="48C0615C" w:rsidR="006A3426" w:rsidRPr="00500A19" w:rsidRDefault="006A3426" w:rsidP="009D5414">
      <w:r w:rsidRPr="00500A19">
        <w:t>Директор БРЭ, д-р Космас Лакисан Завазава, также выразил особую благодарность Председателю.</w:t>
      </w:r>
      <w:r w:rsidRPr="00500A19">
        <w:rPr>
          <w:rFonts w:eastAsia="Calibri"/>
        </w:rPr>
        <w:t xml:space="preserve"> </w:t>
      </w:r>
      <w:r w:rsidRPr="00500A19">
        <w:t>Он</w:t>
      </w:r>
      <w:r w:rsidR="009D5414" w:rsidRPr="00500A19">
        <w:t> </w:t>
      </w:r>
      <w:r w:rsidRPr="00500A19">
        <w:t>вспомнил свою первую встречу с г-жой Макэлвейн Веббер в 2001 году и рассказал несколько случаев, свидетельствующих о ее долгосрочном влиянии на проекты в области развития, включая проекты по оказанию помощи странам Африки, находящимся в постконфликтной ситуации. Он</w:t>
      </w:r>
      <w:r w:rsidR="009D5414" w:rsidRPr="00500A19">
        <w:t> </w:t>
      </w:r>
      <w:r w:rsidRPr="00500A19">
        <w:t>высоко оценил ее исключительную компетентность, сострадание и решимость. В знак признательности за ее заслуги Директор вручил ей памятный подарок; кроме того был организован показ слайдов.</w:t>
      </w:r>
    </w:p>
    <w:p w14:paraId="70A47938" w14:textId="70CB5D11" w:rsidR="009D5414" w:rsidRPr="00500A19" w:rsidRDefault="009D5414">
      <w:pPr>
        <w:overflowPunct/>
        <w:autoSpaceDE/>
        <w:autoSpaceDN/>
        <w:adjustRightInd/>
        <w:spacing w:before="0"/>
        <w:textAlignment w:val="auto"/>
      </w:pPr>
      <w:r w:rsidRPr="00500A19">
        <w:br w:type="page"/>
      </w:r>
    </w:p>
    <w:p w14:paraId="09776B17" w14:textId="77777777" w:rsidR="006A3426" w:rsidRPr="00500A19" w:rsidRDefault="006A3426" w:rsidP="009D5414">
      <w:pPr>
        <w:rPr>
          <w:rFonts w:eastAsia="Calibri"/>
        </w:rPr>
      </w:pPr>
      <w:r w:rsidRPr="00500A19">
        <w:lastRenderedPageBreak/>
        <w:t>В своем заключительном слове д-р Завазава выразил признательность всему сообществу КГРЭ, отметив большой объем вкладов − 29 вкладов от Государств-Членов, 19 документов Секретариата и 12 заявлений о взаимодействии – как свидетельство высокой вовлеченности участников и продуктивности цикла. Он высоко оценил профессионализм и неустанные усилия Секретариата БРЭ, как в Женеве, так и на местах, и подтвердил неизменную приверженность МСЭ-D обеспечению прозрачности, оказанию поддержки и услуг своим Членам.</w:t>
      </w:r>
    </w:p>
    <w:p w14:paraId="45540714" w14:textId="77777777" w:rsidR="006A3426" w:rsidRPr="00500A19" w:rsidRDefault="006A3426" w:rsidP="009D5414">
      <w:r w:rsidRPr="00500A19">
        <w:t xml:space="preserve">Собрание завершилось выражением </w:t>
      </w:r>
      <w:r w:rsidRPr="00500A19">
        <w:rPr>
          <w:rFonts w:eastAsia="Calibri"/>
        </w:rPr>
        <w:t xml:space="preserve">общей признательности </w:t>
      </w:r>
      <w:r w:rsidRPr="00500A19">
        <w:t xml:space="preserve">за коллективные усилия, </w:t>
      </w:r>
      <w:r w:rsidRPr="00500A19">
        <w:rPr>
          <w:rFonts w:eastAsia="Calibri"/>
        </w:rPr>
        <w:t xml:space="preserve">которые задали тон всему </w:t>
      </w:r>
      <w:r w:rsidRPr="00500A19">
        <w:t>этому циклу КГРЭ и заложили основу для успешного проведения ВКРЭ-25 в Баку.</w:t>
      </w:r>
    </w:p>
    <w:p w14:paraId="43A06D2C" w14:textId="77777777" w:rsidR="006A3426" w:rsidRPr="00500A19" w:rsidRDefault="006A3426" w:rsidP="6866BBFA">
      <w:pPr>
        <w:overflowPunct/>
        <w:autoSpaceDE/>
        <w:autoSpaceDN/>
        <w:adjustRightInd/>
        <w:spacing w:after="120"/>
        <w:textAlignment w:val="auto"/>
        <w:rPr>
          <w:rFonts w:cstheme="minorHAnsi"/>
          <w:szCs w:val="22"/>
        </w:rPr>
      </w:pPr>
      <w:r w:rsidRPr="00500A19">
        <w:rPr>
          <w:rFonts w:cstheme="minorHAnsi"/>
          <w:szCs w:val="22"/>
        </w:rPr>
        <w:br w:type="page"/>
      </w:r>
    </w:p>
    <w:p w14:paraId="7C8901D4" w14:textId="77777777" w:rsidR="006A3426" w:rsidRPr="00500A19" w:rsidRDefault="006A3426" w:rsidP="009D5414">
      <w:pPr>
        <w:pStyle w:val="AnnexNo"/>
      </w:pPr>
      <w:r w:rsidRPr="00500A19">
        <w:lastRenderedPageBreak/>
        <w:t>ПРИЛОЖЕНИЕ A</w:t>
      </w:r>
    </w:p>
    <w:p w14:paraId="2F1821D8" w14:textId="59E56B33" w:rsidR="006A3426" w:rsidRPr="00500A19" w:rsidRDefault="009D5414" w:rsidP="009D5414">
      <w:pPr>
        <w:pStyle w:val="Annextitle"/>
      </w:pPr>
      <w:r w:rsidRPr="00500A19">
        <w:t>Интервью с директорами региональных отделений</w:t>
      </w:r>
    </w:p>
    <w:p w14:paraId="4BD730D0" w14:textId="48E773B9" w:rsidR="006A3426" w:rsidRPr="00500A19" w:rsidRDefault="006A3426" w:rsidP="009D5414">
      <w:r w:rsidRPr="00500A19">
        <w:t>На первом дневном заседании КГРЭ были проведены интервью с директорами региональных отделений под руководством Председателя КГРЭ. Каждое интервью начиналось с краткого видеоролика, рассказывающего о процессе осуществления в соответствующем регионе, после чего проходила беседа с каждым из шести директоров региональных отделений, в ходе которой делегаты могли получить общее представление о деятельности МСЭ-D и ее связи с Кигалийским планом действий. Каждому из них было также предложено рассказать о своем сотрудничестве с БРЭ в штаб</w:t>
      </w:r>
      <w:r w:rsidR="009D5414" w:rsidRPr="00500A19">
        <w:t>­</w:t>
      </w:r>
      <w:r w:rsidRPr="00500A19">
        <w:t>квартире в рамках исполнения своих обязанностей в регионе и оценить важность такого взаимодействия по шкале от 1 до 10 (где 10 баллов означает "чрезвычайно важно").</w:t>
      </w:r>
    </w:p>
    <w:p w14:paraId="19787122" w14:textId="77777777" w:rsidR="006A3426" w:rsidRPr="00500A19" w:rsidRDefault="006A3426" w:rsidP="009D5414">
      <w:pPr>
        <w:rPr>
          <w:b/>
        </w:rPr>
      </w:pPr>
      <w:r w:rsidRPr="00500A19">
        <w:rPr>
          <w:b/>
          <w:bCs/>
        </w:rPr>
        <w:t>Д-р Эммануэль Манассе (Африка)</w:t>
      </w:r>
      <w:r w:rsidRPr="00500A19">
        <w:t xml:space="preserve"> сообщил, что в рамках четырех Африканских региональных инициатив уже существуют 108 действующих проектов: 15 – по вопросам цифровой трансформации, 80 – по вопросам инфраструктуры, семь – по безопасности и охране окружающей среды и шесть – по инновациям. Он особо отметил проект в области политики и регулирования PRIDA, в рамках которого было проведено 55 курсов подготовки специалистов, разработано 15 руководящих указаний и подготовлено 3000 выпускников, в том числе 300 молодых женщин, работающих в области управления использованием спектра, что позволило согласовать и подписать соглашение между 46 Государствами-Членами. Д-р Манассе оценил важность координации действий со штаб-квартирой и другими Секторами на "больше десяти баллов из десяти возможных" для успешной реализации таких проектов и совместных мероприятий, как практикумы по цифровому финансированию, семинары-практикумы по раннему предупреждению и пробное распределение частот в масштабах всего континента. </w:t>
      </w:r>
      <w:r w:rsidRPr="00500A19">
        <w:rPr>
          <w:b/>
        </w:rPr>
        <w:t xml:space="preserve">Видеоролик, посвященный вопросам осуществления в Африканском регионе, можно посмотреть </w:t>
      </w:r>
      <w:hyperlink r:id="rId97" w:history="1">
        <w:r w:rsidRPr="00500A19">
          <w:rPr>
            <w:rStyle w:val="Hyperlink"/>
            <w:rFonts w:asciiTheme="minorHAnsi" w:hAnsiTheme="minorHAnsi" w:cstheme="minorHAnsi"/>
            <w:b/>
            <w:bCs/>
            <w:szCs w:val="22"/>
          </w:rPr>
          <w:t>здесь</w:t>
        </w:r>
      </w:hyperlink>
      <w:r w:rsidRPr="00500A19">
        <w:rPr>
          <w:bCs/>
        </w:rPr>
        <w:t>.</w:t>
      </w:r>
    </w:p>
    <w:p w14:paraId="3C98E976" w14:textId="0CFB7D26" w:rsidR="006A3426" w:rsidRPr="00500A19" w:rsidRDefault="006A3426" w:rsidP="009D5414">
      <w:r w:rsidRPr="00500A19">
        <w:rPr>
          <w:b/>
          <w:bCs/>
        </w:rPr>
        <w:t xml:space="preserve">Г-н Бруно Рамос (Северная и Южная Америка) </w:t>
      </w:r>
      <w:r w:rsidRPr="00500A19">
        <w:rPr>
          <w:bCs/>
        </w:rPr>
        <w:t>рассказал о проектах, в которых инклюзивность сочетается с устойчивостью, таких как учебные курсы для начинающих, предназначенные для сетей коренных народов в Гватемале, инициатива по обеспечению безопасности рыбаков Карибского бассейна "</w:t>
      </w:r>
      <w:r w:rsidRPr="00500A19">
        <w:t xml:space="preserve">Умные моря", региональные меры реагирования на ураганы, ставшие возможными благодаря карте установления соединений в чрезвычайных ситуациях, а также программа "Доступная Северная и Южная Америка", которая осуществляется уже десятый год подряд. Г-н Рамос пояснил, что в условиях сокращения базовых ресурсов регион делает ставку на новые финансируемые из внешних источников проекты в области регулирования, охвата цифровыми технологиями и расширения прав и возможностей молодежи; г-н Рамос охарактеризовал персонал БРЭ в регионе и в штаб-квартире как "единую команду", для которой необходим ежедневный контакт с Женевой, и оценил важность партнерских отношений на "одиннадцать баллов из десяти". </w:t>
      </w:r>
      <w:r w:rsidRPr="00500A19">
        <w:rPr>
          <w:b/>
        </w:rPr>
        <w:t>В</w:t>
      </w:r>
      <w:r w:rsidR="009D5414" w:rsidRPr="00500A19">
        <w:rPr>
          <w:b/>
        </w:rPr>
        <w:t> </w:t>
      </w:r>
      <w:r w:rsidRPr="00500A19">
        <w:rPr>
          <w:b/>
        </w:rPr>
        <w:t xml:space="preserve">данном </w:t>
      </w:r>
      <w:hyperlink r:id="rId98" w:history="1">
        <w:r w:rsidRPr="00500A19">
          <w:rPr>
            <w:rStyle w:val="Hyperlink"/>
            <w:rFonts w:asciiTheme="minorHAnsi" w:hAnsiTheme="minorHAnsi" w:cstheme="minorHAnsi"/>
            <w:b/>
            <w:bCs/>
            <w:szCs w:val="22"/>
          </w:rPr>
          <w:t>видеоматериале</w:t>
        </w:r>
      </w:hyperlink>
      <w:r w:rsidRPr="00500A19">
        <w:rPr>
          <w:b/>
        </w:rPr>
        <w:t xml:space="preserve"> можно ознакомиться с кратким описанием процесса осуществления в регионе Северной и Южной Америки</w:t>
      </w:r>
      <w:r w:rsidRPr="00500A19">
        <w:t>.</w:t>
      </w:r>
    </w:p>
    <w:p w14:paraId="514131FA" w14:textId="77777777" w:rsidR="006A3426" w:rsidRPr="00500A19" w:rsidRDefault="006A3426" w:rsidP="009D5414">
      <w:pPr>
        <w:rPr>
          <w:b/>
        </w:rPr>
      </w:pPr>
      <w:r w:rsidRPr="00500A19">
        <w:rPr>
          <w:b/>
        </w:rPr>
        <w:t xml:space="preserve">Г-н Адел Дарвиш (арабские государства) </w:t>
      </w:r>
      <w:r w:rsidRPr="00500A19">
        <w:t xml:space="preserve">признал наличие финансовых и геополитических ограничений, но отметил динамику развития стандартов "умных" городов в Египте, экспериментальные проекты в области цифровой инфраструктуры общего пользования, осуществляемые при поддержке Эстонии и GIZ, а также Неделю кибербезопасности в ОАЭ, в рамках которой были установлены пять мировых рекордов Гиннесса. Он поблагодарил Саудовскую Аравию за флагманское финансирование и заявил, что поддержка штаб-квартиры является совершенно необходимой, оценив ее важность на 11,5 балла по десятибалльной шкале. </w:t>
      </w:r>
      <w:r w:rsidRPr="00500A19">
        <w:rPr>
          <w:b/>
        </w:rPr>
        <w:t xml:space="preserve">В </w:t>
      </w:r>
      <w:hyperlink r:id="rId99" w:history="1">
        <w:r w:rsidRPr="00500A19">
          <w:rPr>
            <w:rStyle w:val="Hyperlink"/>
            <w:rFonts w:asciiTheme="minorHAnsi" w:hAnsiTheme="minorHAnsi" w:cstheme="minorHAnsi"/>
            <w:b/>
            <w:bCs/>
            <w:szCs w:val="22"/>
          </w:rPr>
          <w:t>видеоматериал</w:t>
        </w:r>
      </w:hyperlink>
      <w:r w:rsidRPr="00500A19">
        <w:rPr>
          <w:rStyle w:val="Hyperlink"/>
          <w:rFonts w:asciiTheme="minorHAnsi" w:hAnsiTheme="minorHAnsi" w:cstheme="minorHAnsi"/>
          <w:b/>
          <w:bCs/>
          <w:szCs w:val="22"/>
        </w:rPr>
        <w:t>е</w:t>
      </w:r>
      <w:r w:rsidRPr="00500A19">
        <w:rPr>
          <w:b/>
        </w:rPr>
        <w:t>, посвященном региону арабских государств, представлена дополнительная информация о наиболее значимых проектах и инициативах</w:t>
      </w:r>
      <w:r w:rsidRPr="00500A19">
        <w:rPr>
          <w:bCs/>
        </w:rPr>
        <w:t>.</w:t>
      </w:r>
    </w:p>
    <w:p w14:paraId="4D27230E" w14:textId="77777777" w:rsidR="006A3426" w:rsidRPr="00500A19" w:rsidRDefault="006A3426" w:rsidP="009D5414">
      <w:r w:rsidRPr="00500A19">
        <w:rPr>
          <w:b/>
        </w:rPr>
        <w:t>Д-р Ацуко Окуда (Азиатско-Тихоокеанский регион)</w:t>
      </w:r>
      <w:r w:rsidRPr="00500A19">
        <w:t xml:space="preserve"> посвятила свое выступление инициативе "Умные острова и умные деревни", реализация которой уже начата в десяти странах Тихоокеанского региона при участии глав правительств. Д-р Окуда пояснила, что эта модель предусматривает создание </w:t>
      </w:r>
      <w:r w:rsidRPr="00500A19">
        <w:lastRenderedPageBreak/>
        <w:t xml:space="preserve">единой платформы, с помощью которой можно осуществлять регулирование электронных отходов, обеспечивать защиту ребенка в онлайновой среде, реализовывать программы обучения навыкам и услуги телемедицины. Информация о потребностях, определенных на местном уровне, передается в Женеву: так, например, в настоящее время экспертами из штаб-квартиры разрабатывается новый проект по электронным отходам. Д-р Окуда подчеркнула, что такая взаимная поддержка иллюстрирует стремление региона "обеспечить соединениями тех, кто их не имеет" и позволяет поддерживать сотрудничество со штаб-квартирой, которое имеет "исключительно важное значение". </w:t>
      </w:r>
      <w:r w:rsidRPr="00500A19">
        <w:rPr>
          <w:b/>
        </w:rPr>
        <w:t xml:space="preserve">Видеоматериалы по Азиатско-Тихоокеанскому региону доступны </w:t>
      </w:r>
      <w:hyperlink r:id="rId100" w:history="1">
        <w:r w:rsidRPr="00500A19">
          <w:rPr>
            <w:rStyle w:val="Hyperlink"/>
            <w:rFonts w:asciiTheme="minorHAnsi" w:hAnsiTheme="minorHAnsi" w:cstheme="minorHAnsi"/>
            <w:b/>
            <w:bCs/>
            <w:szCs w:val="22"/>
          </w:rPr>
          <w:t>здесь</w:t>
        </w:r>
      </w:hyperlink>
      <w:r w:rsidRPr="00500A19">
        <w:rPr>
          <w:bCs/>
        </w:rPr>
        <w:t>.</w:t>
      </w:r>
    </w:p>
    <w:p w14:paraId="7178A4C1" w14:textId="7E312653" w:rsidR="006A3426" w:rsidRPr="00500A19" w:rsidRDefault="006A3426" w:rsidP="009D5414">
      <w:pPr>
        <w:rPr>
          <w:b/>
        </w:rPr>
      </w:pPr>
      <w:r w:rsidRPr="00500A19">
        <w:rPr>
          <w:b/>
        </w:rPr>
        <w:t xml:space="preserve">Г-жа Наталья Мочу (СНГ) </w:t>
      </w:r>
      <w:r w:rsidRPr="00500A19">
        <w:t>отметила огромный прогресс Узбекистана в индексе регуляторной зрелости МСЭ и представила новую программу цифровых услуг для Южного Кавказа и Центральной Азии. Она</w:t>
      </w:r>
      <w:r w:rsidR="009D5414" w:rsidRPr="00500A19">
        <w:t> </w:t>
      </w:r>
      <w:r w:rsidRPr="00500A19">
        <w:t xml:space="preserve">отметила, что семь из девяти стран СНГ относятся к НРС, не имеющим выхода к морю, и поэтому они пользуются преимуществами межрегиональных тренировочных занятий по кибербезопасности, проводимых совместно с отделениями для арабских государств и Азиатско-Тихоокеанского региона. Поддержка штаб-квартиры, по ее словам, "бесценна". </w:t>
      </w:r>
      <w:r w:rsidRPr="00500A19">
        <w:rPr>
          <w:b/>
        </w:rPr>
        <w:t>Видеоматериалы по региону СНГ размещены</w:t>
      </w:r>
      <w:r w:rsidR="009D5414" w:rsidRPr="00500A19">
        <w:rPr>
          <w:b/>
        </w:rPr>
        <w:t> </w:t>
      </w:r>
      <w:hyperlink r:id="rId101" w:history="1">
        <w:r w:rsidRPr="00500A19">
          <w:rPr>
            <w:rStyle w:val="Hyperlink"/>
            <w:rFonts w:asciiTheme="minorHAnsi" w:hAnsiTheme="minorHAnsi" w:cstheme="minorHAnsi"/>
            <w:b/>
            <w:bCs/>
            <w:szCs w:val="22"/>
          </w:rPr>
          <w:t>здесь</w:t>
        </w:r>
      </w:hyperlink>
      <w:r w:rsidRPr="00500A19">
        <w:rPr>
          <w:bCs/>
        </w:rPr>
        <w:t>.</w:t>
      </w:r>
    </w:p>
    <w:p w14:paraId="3C5563B2" w14:textId="16130F52" w:rsidR="006A3426" w:rsidRPr="00500A19" w:rsidRDefault="006A3426" w:rsidP="009D5414">
      <w:r w:rsidRPr="00500A19">
        <w:rPr>
          <w:b/>
        </w:rPr>
        <w:t>Г-н Ярослав Пондер (Европа)</w:t>
      </w:r>
      <w:r w:rsidRPr="00500A19">
        <w:t xml:space="preserve"> рассказал о "двойственной роли" отделения, которое, с одной стороны, помогает 46 различным странам ускорить процесс цифровой трансформации, а с другой стороны, распространяет европейский передовой опыт по всему миру. Г-н Пондер пояснил, что в последнее время диапазон деятельности отделения был очень широк – от систем картирования широкополосной связи и комплектов материалов по защите детей до проектов по линии Фонда ЦУР в Черногории; постоянный поиск оптимальных путей решения проблем совместно с коллегами в Женеве символизирует сотрудничество, которое он считает "обязательным". </w:t>
      </w:r>
      <w:r w:rsidRPr="00500A19">
        <w:rPr>
          <w:b/>
        </w:rPr>
        <w:t>Видеоматериал, в котором рассказывается о наиболее значимых результатах деятельности в Европе, представлен</w:t>
      </w:r>
      <w:r w:rsidR="009D5414" w:rsidRPr="00500A19">
        <w:rPr>
          <w:b/>
        </w:rPr>
        <w:t> </w:t>
      </w:r>
      <w:hyperlink r:id="rId102" w:history="1">
        <w:r w:rsidRPr="00500A19">
          <w:rPr>
            <w:rStyle w:val="Hyperlink"/>
            <w:rFonts w:asciiTheme="minorHAnsi" w:hAnsiTheme="minorHAnsi" w:cstheme="minorHAnsi"/>
            <w:b/>
            <w:bCs/>
            <w:szCs w:val="22"/>
          </w:rPr>
          <w:t>здесь</w:t>
        </w:r>
      </w:hyperlink>
      <w:r w:rsidRPr="00500A19">
        <w:t>.</w:t>
      </w:r>
    </w:p>
    <w:p w14:paraId="32DE6693" w14:textId="77777777" w:rsidR="006A3426" w:rsidRPr="00500A19" w:rsidRDefault="006A3426" w:rsidP="009D5414">
      <w:r w:rsidRPr="00500A19">
        <w:t>В ходе обмена мнениями все директора региональных отделений характеризовали отношения между штаб-квартирой и отделениями на местах как слаженные и крайне важные. Большинство из них намеренно превысили условную десятибалльную шкалу. Председатель отметила, что КГРЭ услышала последовательный рассказ о региональном взаимодействии, подкрепленном упорядоченным процессом управления проектами и все более тесной командной работой, и предложила делегатам использовать опыт директоров региональных отделений при подготовке к проведению ВКРЭ-25.</w:t>
      </w:r>
    </w:p>
    <w:p w14:paraId="1911F71D" w14:textId="77777777" w:rsidR="006A3426" w:rsidRPr="00500A19" w:rsidRDefault="006A3426">
      <w:pPr>
        <w:overflowPunct/>
        <w:autoSpaceDE/>
        <w:autoSpaceDN/>
        <w:adjustRightInd/>
        <w:spacing w:before="0"/>
        <w:textAlignment w:val="auto"/>
        <w:rPr>
          <w:rFonts w:cstheme="minorHAnsi"/>
          <w:szCs w:val="22"/>
        </w:rPr>
      </w:pPr>
      <w:r w:rsidRPr="00500A19">
        <w:rPr>
          <w:rFonts w:cstheme="minorHAnsi"/>
          <w:szCs w:val="22"/>
        </w:rPr>
        <w:br w:type="page"/>
      </w:r>
    </w:p>
    <w:p w14:paraId="6141C19D" w14:textId="77777777" w:rsidR="006A3426" w:rsidRPr="00500A19" w:rsidRDefault="006A3426" w:rsidP="009D5414">
      <w:pPr>
        <w:pStyle w:val="AnnexNo"/>
      </w:pPr>
      <w:r w:rsidRPr="00500A19">
        <w:lastRenderedPageBreak/>
        <w:t>ПРИЛОЖЕНИЕ B</w:t>
      </w:r>
    </w:p>
    <w:p w14:paraId="32AD9913" w14:textId="2B614436" w:rsidR="006A3426" w:rsidRPr="00500A19" w:rsidRDefault="00512279" w:rsidP="009D5414">
      <w:pPr>
        <w:pStyle w:val="Annextitle"/>
      </w:pPr>
      <w:r w:rsidRPr="00500A19">
        <w:t>Заседание круглого стола с участием региональных организаций электросвязи</w:t>
      </w:r>
    </w:p>
    <w:p w14:paraId="48D63D1A" w14:textId="77777777" w:rsidR="006A3426" w:rsidRPr="00500A19" w:rsidRDefault="006A3426" w:rsidP="00512279">
      <w:r w:rsidRPr="00500A19">
        <w:t>В рамках третьего дня собрания Консультативной группы по развитию электросвязи (КГРЭ) состоялось специальное заседание круглого стола с участием представителей региональных организаций электросвязи (РОЭ). Цель заседания состояла в том, чтобы обменяться мнениями о региональных процессах подготовки к Всемирной конференции по развитию электросвязи 2025 года (ВКРЭ-25), определить общие проблемы и содействовать межрегиональной координации в рамках подготовки к конференции. Заседание проходило под председательством Директора Бюро развития электросвязи (БРЭ), который подчеркнул решающую роль РОЭ в консолидации региональных позиций и их согласовании с глобальной повесткой дня в области развития.</w:t>
      </w:r>
    </w:p>
    <w:p w14:paraId="5DF2E80F" w14:textId="7BE42DB0" w:rsidR="006A3426" w:rsidRPr="00500A19" w:rsidRDefault="006A3426" w:rsidP="00512279">
      <w:r w:rsidRPr="00500A19">
        <w:t>Заседание началось с дистанционной презентации г-на Килы Гуло-Вуи, Председателя Подготовительной группы Азиатско-Тихоокеанского сообщества электросвязи (АТСЭ). Он представил обзор структуры подготовительного процесса в рамках АТСЭ, в который входят три рабочие группы, занимающиеся, соответственно, программами и исследуемыми вопросами, методами работы и проектом Плана действий, а также региональные инициативы и проект Стратегического плана. Г</w:t>
      </w:r>
      <w:r w:rsidR="00512279" w:rsidRPr="00500A19">
        <w:t>­</w:t>
      </w:r>
      <w:r w:rsidRPr="00500A19">
        <w:t>н</w:t>
      </w:r>
      <w:r w:rsidR="00512279" w:rsidRPr="00500A19">
        <w:t> </w:t>
      </w:r>
      <w:r w:rsidRPr="00500A19">
        <w:t>Гуло-Вуи представил график проведения пяти подготовительных собраний, запланированных на период с 2024 по 2025 год, и описал внутренние механизмы утверждения общих предложений АТСЭ (ACP) и предварительных общих предложений АТСЭ (PACP). Он подчеркнул наличие регионального консенсуса относительно необходимости продолжить уделять приоритетное внимание в предстоящем исследовательском цикле вопросам обеспечения универсальной и реальной возможности установления соединений и цифровой трансформации, а также включения искусственного интеллекта в качестве сквозной темы в формулировку исследуемых Вопросов. В</w:t>
      </w:r>
      <w:r w:rsidR="00512279" w:rsidRPr="00500A19">
        <w:t> </w:t>
      </w:r>
      <w:r w:rsidRPr="00500A19">
        <w:t>заключение он подтвердил готовность региона представить окончательные варианты PACP в октябре 2025 года.</w:t>
      </w:r>
    </w:p>
    <w:p w14:paraId="4ABD6A94" w14:textId="0C8E5E3D" w:rsidR="006A3426" w:rsidRPr="00500A19" w:rsidRDefault="006A3426" w:rsidP="00512279">
      <w:r w:rsidRPr="00500A19">
        <w:t>Представляя Арабскую группу, г-н Халид Вали из Лиги арабских государств представил всесторонний обзор регионального подготовительного процесса, который проводится в сотрудничестве с Региональным отделением МСЭ для арабских государств. Он подчеркнул, что Арабская группа создала пять специализированных рабочих групп, руководство которыми осуществляют Иордания, Египет, ОАЭ и Тунис. Г-н Вали проинформировал участников о том, что к настоящему времени проведены три подготовительных собрания, четвертое собрание должно состояться в Каире в июле, а пятое, как ожидается, будет проведено перед ВКРЭ-25 в ОАЭ. В числе основных результатов работы он упомянул два уже подготовленных региональных вклада, один из которых посвящен средствам массовой информации, а другой – будущим исследуемым Вопросам. Г-н Вали также указал на сохраняющиеся проблемы, в частности значительный цифровой разрыв между арабскими странами и необходимость оказания поддержки в модернизации инфраструктуры и внедрении появляющихся технологий. В заключение он призвал к международному и межрегиональному сотрудничеству в реализации Арабской цифровой повестки дня и недавно принятой региональной стратегии в области</w:t>
      </w:r>
      <w:r w:rsidR="00512279" w:rsidRPr="00500A19">
        <w:t> </w:t>
      </w:r>
      <w:r w:rsidRPr="00500A19">
        <w:t>ИИ.</w:t>
      </w:r>
    </w:p>
    <w:p w14:paraId="5FAE9584" w14:textId="3F8812C3" w:rsidR="006A3426" w:rsidRPr="00500A19" w:rsidRDefault="006A3426" w:rsidP="00512279">
      <w:r w:rsidRPr="00500A19">
        <w:t>Выступая от имени Африканского союза электросвязи (АСЭ), г-жа Регина-Флёр Ассуму-Бессу рассказала о структурированном и всестороннем подготовительном процессе в Африканском регионе. Она сообщила, что с февраля 2024 года были организованы три крупных подготовительных собрания – в Найроби, Намибии и Кении, в которых приняли активное участие администрации африканских стран и региональные заинтересованные стороны. В регионе были созданы три рабочие группы, которые занимаются вопросами, связанными с Декларацией и региональными инициативами, исследуемыми Вопросами и методами работы, а также резолюциями. Г</w:t>
      </w:r>
      <w:r w:rsidR="00512279" w:rsidRPr="00500A19">
        <w:t>­</w:t>
      </w:r>
      <w:r w:rsidRPr="00500A19">
        <w:t>жа</w:t>
      </w:r>
      <w:r w:rsidR="00512279" w:rsidRPr="00500A19">
        <w:t> </w:t>
      </w:r>
      <w:r w:rsidRPr="00500A19">
        <w:t>Ассуму</w:t>
      </w:r>
      <w:r w:rsidR="00512279" w:rsidRPr="00500A19">
        <w:t>­</w:t>
      </w:r>
      <w:r w:rsidRPr="00500A19">
        <w:t xml:space="preserve">Бессу подробно описала пять новых африканских региональных инициатив, посвященных вопросам создания устойчивой инфраструктуры и обеспечения реальной возможности установления соединений, использования ИИ для социально-экономического развития, доверия и </w:t>
      </w:r>
      <w:r w:rsidRPr="00500A19">
        <w:lastRenderedPageBreak/>
        <w:t>безопасности в сфере ИКТ, экосистем инноваций и механизмов устойчивого финансирования. Она</w:t>
      </w:r>
      <w:r w:rsidR="00A820C7" w:rsidRPr="00500A19">
        <w:t> </w:t>
      </w:r>
      <w:r w:rsidRPr="00500A19">
        <w:t>подчеркнула, что эти инициативы не только отражают реальное положение дел в регионе, но и согласуются с глобальными тенденциями, и также особо отметила необходимость продолжения координации действий с другими РОЭ для обеспечения согласованности предложений, представляемых на рассмотрение ВКРЭ.</w:t>
      </w:r>
    </w:p>
    <w:p w14:paraId="47AADC6B" w14:textId="7A0855BD" w:rsidR="006A3426" w:rsidRPr="00500A19" w:rsidRDefault="006A3426" w:rsidP="00512279">
      <w:r w:rsidRPr="00500A19">
        <w:t>Г-жа Инга Римкевичене, выступая от имени Европейской региональной организации СЕПТ, подтвердила, что подготовительный процесс идет по плану. Она отметила, что страны СЕПТ приступили к анализу своих приоритетов сразу же после ВКРЭ-22 и на своем последнем собрании достигли консенсуса относительно региональных инициатив и стратегической концепции. Она</w:t>
      </w:r>
      <w:r w:rsidR="00A820C7" w:rsidRPr="00500A19">
        <w:t> </w:t>
      </w:r>
      <w:r w:rsidRPr="00500A19">
        <w:t>подчеркнула, что страны СЕПТ хотели бы, чтобы МСЭ-D обладал гибкостью, а его деятельность была результативной, чтобы иметь возможность оказывать содействие развитию через налаживание эффективных партнерских отношений. Г-жа Римкевичене признала ценность рабочих групп КГРЭ в направлении деятельности на региональном уровне и подтвердила, что СЕПТ назначила координаторов по всем основным темам и определила около 17 возможных предложений, некоторые из которых уже были представлена СЕПТ. Она отметила сложности, связанные с распределением времени, ввиду интенсивности подготовительной деятельности в рамках Союза, и приветствовала использование цифровых инструментов и механизмов планирования. В заключение она призвала БРЭ продолжать оказывать необходимое содействие и поддерживать контакты и отметила, что СЕПТ положительно оценивает мобильное приложение ВКРЭ и планируемые информационные сессии.</w:t>
      </w:r>
    </w:p>
    <w:p w14:paraId="00D6CB31" w14:textId="4C5C4DE8" w:rsidR="006A3426" w:rsidRPr="00500A19" w:rsidRDefault="006A3426" w:rsidP="00512279">
      <w:r w:rsidRPr="00500A19">
        <w:t>Г-жа Эна Деканич из Соединенных Штатов Америки, выступая от имени Межамериканской комиссии по электросвязи (СИТЕЛ), представила обновленную информацию о процессе подготовки на региональном уровне. Она пояснила, что подготовкой к ВКРЭ-25 руководит Рабочая группа СИТЕЛ по конференциям (WGCONF), которую она возглавляет совместно с заместителем Председателя г</w:t>
      </w:r>
      <w:r w:rsidR="00A820C7" w:rsidRPr="00500A19">
        <w:t>­</w:t>
      </w:r>
      <w:r w:rsidRPr="00500A19">
        <w:t>ном</w:t>
      </w:r>
      <w:r w:rsidR="00A820C7" w:rsidRPr="00500A19">
        <w:t> </w:t>
      </w:r>
      <w:r w:rsidRPr="00500A19">
        <w:t>Роберту Хираямой. Последнее региональное собрание состоялось в апреле 2025 года, и планируется провести еще два промежуточных виртуальных собрания перед заключительным очным собранием, которое должно пройти в Сантьяго, Чили, в августе. Г-жа Деканич подробно рассказала о внутреннем процессе принятия межамериканских предложений (IAP) СИТЕЛ и отметила, что подготовка двух IAP уже завершена: в одном из них одобряются региональные инициативы, принятые в ходе Регионального подготовительного собрания для Северной и Южной Америки, а в другом предлагается пересмотр Резолюции 46 по коренным народам. Далее она сообщила, что СИТЕЛ работает над согласованием кандидатур на должности заместителей Председателя КГРЭ и руководителей Исследовательских комиссий, и призвала продолжать взаимодействие с региональными координаторами в рамках подготовки к конференции.</w:t>
      </w:r>
    </w:p>
    <w:p w14:paraId="4B3DD3DE" w14:textId="4CFB30A4" w:rsidR="006A3426" w:rsidRPr="00500A19" w:rsidRDefault="006A3426" w:rsidP="00512279">
      <w:r w:rsidRPr="00500A19">
        <w:t>Наконец, г-н Арсений Плосский выступил с презентацией от имени Регионального содружества в области связи (РСС). Он особо отметил своевременный и упреждающий подход РСС к подготовке к ВКРЭ-25, в рамках которого к настоящему моменту уже было проведено восемь собраний, при этом девятое собрание запланировано на август. РСС уже подготовило ряд проектов предложений по ключевым Резолюциям и исследуемым Вопросам и сформулировало свои региональные инициативы на период 2026–2029 годов. Г-н Плосский отметил, что РСС уделяет основное внимание таким темам, как связь в сельских районах, статистические данные, доступность, управление операциями в случае бедствий, защита прав потребителей, гендерные вопросы и молодежь. Он</w:t>
      </w:r>
      <w:r w:rsidR="00512279" w:rsidRPr="00500A19">
        <w:t> </w:t>
      </w:r>
      <w:r w:rsidRPr="00500A19">
        <w:t>подчеркнул важность четкого формулирования сфер ответственности МСЭ-D и его Исследовательских комиссий, особенно в том, что касается поддающихся измерению результатов и вопросов осуществления на региональном уровне. Он также призвал к совершенствованию механизмов финансирования для поддержки региональных инициатив и подтвердил готовность РСС работать с другими регионами для выработки общих позиций.</w:t>
      </w:r>
    </w:p>
    <w:p w14:paraId="1DF5C6EA" w14:textId="77777777" w:rsidR="006A3426" w:rsidRPr="00500A19" w:rsidRDefault="006A3426" w:rsidP="00512279">
      <w:pPr>
        <w:rPr>
          <w:rFonts w:cs="Calibri"/>
        </w:rPr>
      </w:pPr>
      <w:r w:rsidRPr="00500A19">
        <w:t xml:space="preserve">Закрывая заседание, Директор БРЭ поблагодарил все РОЭ за их подробную обновленную информацию и подтвердил важность координации внутри регионов и между ними. Он объявил, что Секретариат проведет в каждом регионе специальные вебинары для разъяснения процедур и </w:t>
      </w:r>
      <w:r w:rsidRPr="00500A19">
        <w:lastRenderedPageBreak/>
        <w:t>ожидаемых результатов работы ВКРЭ и подчеркнул, что подготовительная работа, выполненная РОЭ, будет иметь решающее значение для успеха конференции. Председатель КГРЭ поддержала эти замечания и предложила РОЭ представлять свои презентации в Секретариат для использования рабочими группами КГРЭ и для их включения в подготовительную документацию. Заседание завершилось краткими заключительными замечаниями каждого представителя РОЭ, в которых они отметили вопросы координации, распределения времени и обеспечения открытости в качестве основных проблем, требующих решения, и подтвердили свою приверженность успешному проведению ВКРЭ-25.</w:t>
      </w:r>
    </w:p>
    <w:p w14:paraId="640E638C" w14:textId="671C0FF2" w:rsidR="00E44F30" w:rsidRPr="00500A19" w:rsidRDefault="00E44F30" w:rsidP="00E44F30"/>
    <w:p w14:paraId="07DC1D3D" w14:textId="79F15595" w:rsidR="007D7FAD" w:rsidRPr="00500A19" w:rsidRDefault="007D7FAD">
      <w:pPr>
        <w:overflowPunct/>
        <w:autoSpaceDE/>
        <w:autoSpaceDN/>
        <w:adjustRightInd/>
        <w:spacing w:before="0"/>
        <w:textAlignment w:val="auto"/>
      </w:pPr>
      <w:r w:rsidRPr="00500A19">
        <w:br w:type="page"/>
      </w:r>
    </w:p>
    <w:p w14:paraId="3F18C6F7" w14:textId="77777777" w:rsidR="007D7FAD" w:rsidRPr="00500A19" w:rsidRDefault="007D7FAD" w:rsidP="007D7FAD">
      <w:pPr>
        <w:pStyle w:val="AnnexNo"/>
        <w:rPr>
          <w:rFonts w:eastAsia="Calibri"/>
          <w:color w:val="000000" w:themeColor="text1"/>
        </w:rPr>
      </w:pPr>
      <w:r w:rsidRPr="00500A19">
        <w:lastRenderedPageBreak/>
        <w:t>ПРИЛОЖЕНИЕ C</w:t>
      </w:r>
    </w:p>
    <w:p w14:paraId="3495C341" w14:textId="6F09CA1B" w:rsidR="007D7FAD" w:rsidRPr="00500A19" w:rsidRDefault="007D7FAD" w:rsidP="007D7FAD">
      <w:pPr>
        <w:pStyle w:val="Annextitle"/>
      </w:pPr>
      <w:r w:rsidRPr="00500A19">
        <w:t>Приоритеты МСЭ-D/Бакинский план действий</w:t>
      </w:r>
    </w:p>
    <w:p w14:paraId="70706010" w14:textId="77777777" w:rsidR="007D7FAD" w:rsidRPr="00500A19" w:rsidRDefault="007D7FAD" w:rsidP="00592160">
      <w:pPr>
        <w:pStyle w:val="Heading1"/>
        <w:jc w:val="center"/>
      </w:pPr>
      <w:r w:rsidRPr="00500A19">
        <w:t>Председатель КГРЭ-РГ-ITUDP</w:t>
      </w:r>
    </w:p>
    <w:p w14:paraId="222242A5" w14:textId="08A4CDBF" w:rsidR="007D7FAD" w:rsidRPr="00500A19" w:rsidRDefault="007D7FAD" w:rsidP="00D716C9">
      <w:pPr>
        <w:pStyle w:val="Title1"/>
        <w:spacing w:after="120"/>
        <w:rPr>
          <w:caps/>
        </w:rPr>
      </w:pPr>
      <w:r w:rsidRPr="00500A19">
        <w:t>Заключительный отчет о ходе и результатах деятельности Рабочей Группы КГРЭ по</w:t>
      </w:r>
      <w:r w:rsidR="00B84279" w:rsidRPr="00500A19">
        <w:t> </w:t>
      </w:r>
      <w:r w:rsidRPr="00500A19">
        <w:t>приоритетам МСЭ</w:t>
      </w:r>
      <w:r w:rsidR="00B84279" w:rsidRPr="00500A19">
        <w:t>­</w:t>
      </w:r>
      <w:r w:rsidRPr="00500A19">
        <w:t>D</w:t>
      </w:r>
    </w:p>
    <w:tbl>
      <w:tblPr>
        <w:tblStyle w:val="TableGrid"/>
        <w:tblW w:w="0" w:type="auto"/>
        <w:tblLook w:val="04A0" w:firstRow="1" w:lastRow="0" w:firstColumn="1" w:lastColumn="0" w:noHBand="0" w:noVBand="1"/>
      </w:tblPr>
      <w:tblGrid>
        <w:gridCol w:w="9629"/>
      </w:tblGrid>
      <w:tr w:rsidR="00B84279" w:rsidRPr="00500A19" w14:paraId="65441DA3" w14:textId="77777777">
        <w:tc>
          <w:tcPr>
            <w:tcW w:w="9629" w:type="dxa"/>
          </w:tcPr>
          <w:p w14:paraId="7D5AB23C" w14:textId="77777777" w:rsidR="00B84279" w:rsidRPr="00500A19" w:rsidRDefault="00B84279" w:rsidP="00783A9D">
            <w:pPr>
              <w:rPr>
                <w:b/>
                <w:bCs/>
                <w:sz w:val="24"/>
                <w:szCs w:val="24"/>
              </w:rPr>
            </w:pPr>
            <w:r w:rsidRPr="00500A19">
              <w:rPr>
                <w:b/>
                <w:bCs/>
                <w:sz w:val="24"/>
                <w:szCs w:val="24"/>
              </w:rPr>
              <w:t>Резюме</w:t>
            </w:r>
          </w:p>
          <w:p w14:paraId="1B74AA1A" w14:textId="77777777" w:rsidR="00B84279" w:rsidRPr="00500A19" w:rsidRDefault="00B84279" w:rsidP="00B84279">
            <w:r w:rsidRPr="00500A19">
              <w:t>В документе содержится краткое изложение обсуждений и окончательные результаты работы Группы.</w:t>
            </w:r>
          </w:p>
          <w:p w14:paraId="65AE5620" w14:textId="77777777" w:rsidR="00B84279" w:rsidRPr="00500A19" w:rsidRDefault="00B84279" w:rsidP="00783A9D">
            <w:r w:rsidRPr="00500A19">
              <w:rPr>
                <w:b/>
                <w:bCs/>
                <w:sz w:val="24"/>
                <w:szCs w:val="24"/>
              </w:rPr>
              <w:t>Необходимые действия</w:t>
            </w:r>
          </w:p>
          <w:p w14:paraId="6C2AE9AE" w14:textId="77777777" w:rsidR="00B84279" w:rsidRPr="00500A19" w:rsidRDefault="00B84279" w:rsidP="00B84279">
            <w:r w:rsidRPr="00500A19">
              <w:t>КГРЭ предлагается изучить настоящий отчет, дополнительно рассмотреть проект Бакинского плана действий (Приложение 1) и представить его в качестве вклада на ВКРЭ-25.</w:t>
            </w:r>
          </w:p>
          <w:p w14:paraId="4553B32B" w14:textId="77777777" w:rsidR="00B84279" w:rsidRPr="00500A19" w:rsidRDefault="00B84279" w:rsidP="00783A9D">
            <w:pPr>
              <w:rPr>
                <w:b/>
                <w:bCs/>
              </w:rPr>
            </w:pPr>
            <w:r w:rsidRPr="00500A19">
              <w:rPr>
                <w:b/>
                <w:bCs/>
                <w:sz w:val="24"/>
                <w:szCs w:val="24"/>
              </w:rPr>
              <w:t>Справочные материалы</w:t>
            </w:r>
          </w:p>
          <w:p w14:paraId="370D554F" w14:textId="77777777" w:rsidR="00B84279" w:rsidRPr="00500A19" w:rsidRDefault="00B84279" w:rsidP="00B8427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Круг ведения КГРЭ-РГ-ITUDP (</w:t>
            </w:r>
            <w:hyperlink r:id="rId103">
              <w:r w:rsidRPr="00500A19">
                <w:rPr>
                  <w:rStyle w:val="Hyperlink"/>
                  <w:rFonts w:cstheme="minorHAnsi"/>
                  <w:szCs w:val="22"/>
                </w:rPr>
                <w:t>TDAG-24/DT/5</w:t>
              </w:r>
            </w:hyperlink>
            <w:r w:rsidRPr="00500A19">
              <w:rPr>
                <w:rFonts w:cstheme="minorHAnsi"/>
                <w:color w:val="000000"/>
                <w:szCs w:val="22"/>
              </w:rPr>
              <w:t>)</w:t>
            </w:r>
          </w:p>
          <w:p w14:paraId="158E85A1" w14:textId="773A3939" w:rsidR="00B84279" w:rsidRPr="00500A19" w:rsidRDefault="00B84279" w:rsidP="00B8427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Отчет о первом собрании Рабочей группы КГРЭ по приоритетам МСЭ-D (</w:t>
            </w:r>
            <w:hyperlink r:id="rId104">
              <w:r w:rsidRPr="00500A19">
                <w:rPr>
                  <w:rStyle w:val="Hyperlink"/>
                  <w:rFonts w:cstheme="minorHAnsi"/>
                  <w:szCs w:val="22"/>
                </w:rPr>
                <w:t>TDAG­WG­ITUDP/3</w:t>
              </w:r>
            </w:hyperlink>
            <w:r w:rsidRPr="00500A19">
              <w:rPr>
                <w:rFonts w:cstheme="minorHAnsi"/>
                <w:color w:val="000000"/>
                <w:szCs w:val="22"/>
              </w:rPr>
              <w:t>)</w:t>
            </w:r>
          </w:p>
          <w:p w14:paraId="17A9215F" w14:textId="167DCAF4" w:rsidR="00B84279" w:rsidRPr="00500A19" w:rsidRDefault="00B84279" w:rsidP="00B8427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Отчет о втором собрании Рабочей группы КГРЭ по приоритетам МСЭ-D (</w:t>
            </w:r>
            <w:hyperlink r:id="rId105">
              <w:r w:rsidRPr="00500A19">
                <w:rPr>
                  <w:rStyle w:val="Hyperlink"/>
                  <w:rFonts w:cstheme="minorHAnsi"/>
                  <w:szCs w:val="22"/>
                </w:rPr>
                <w:t>TDAG­WG­ITUDP/6</w:t>
              </w:r>
            </w:hyperlink>
            <w:r w:rsidRPr="00500A19">
              <w:rPr>
                <w:rFonts w:cstheme="minorHAnsi"/>
                <w:color w:val="000000"/>
                <w:szCs w:val="22"/>
              </w:rPr>
              <w:t>)</w:t>
            </w:r>
          </w:p>
          <w:p w14:paraId="4E71EF9C" w14:textId="23018EDC" w:rsidR="00B84279" w:rsidRPr="00500A19" w:rsidRDefault="00B84279" w:rsidP="00B8427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Отчет о третьем собрании Рабочей группы КГРЭ по приоритетам МСЭ-D (</w:t>
            </w:r>
            <w:hyperlink r:id="rId106">
              <w:r w:rsidRPr="00500A19">
                <w:rPr>
                  <w:rStyle w:val="Hyperlink"/>
                  <w:rFonts w:cstheme="minorHAnsi"/>
                  <w:szCs w:val="22"/>
                </w:rPr>
                <w:t>TDAG­WG­ITUDP/8</w:t>
              </w:r>
            </w:hyperlink>
            <w:r w:rsidRPr="00500A19">
              <w:rPr>
                <w:rFonts w:cstheme="minorHAnsi"/>
                <w:color w:val="000000"/>
                <w:szCs w:val="22"/>
              </w:rPr>
              <w:t>)</w:t>
            </w:r>
          </w:p>
          <w:p w14:paraId="43A3280C" w14:textId="26A73859" w:rsidR="00B84279" w:rsidRPr="00500A19" w:rsidRDefault="00B84279" w:rsidP="00B84279">
            <w:pPr>
              <w:pStyle w:val="enumlev1"/>
              <w:spacing w:after="120"/>
            </w:pPr>
            <w:r w:rsidRPr="00500A19">
              <w:rPr>
                <w:rFonts w:cstheme="minorHAnsi"/>
                <w:color w:val="000000"/>
                <w:szCs w:val="22"/>
              </w:rPr>
              <w:sym w:font="Symbol" w:char="F02D"/>
            </w:r>
            <w:r w:rsidRPr="00500A19">
              <w:rPr>
                <w:rFonts w:cstheme="minorHAnsi"/>
                <w:color w:val="000000"/>
                <w:szCs w:val="22"/>
              </w:rPr>
              <w:tab/>
              <w:t>Отчет о четвертом собрании Рабочей группы КГРЭ по приоритетам МСЭ-D (</w:t>
            </w:r>
            <w:hyperlink r:id="rId107">
              <w:r w:rsidRPr="00500A19">
                <w:rPr>
                  <w:rStyle w:val="Hyperlink"/>
                  <w:rFonts w:cstheme="minorHAnsi"/>
                  <w:szCs w:val="22"/>
                </w:rPr>
                <w:t>TDAG­WG­ITUDP/16</w:t>
              </w:r>
            </w:hyperlink>
            <w:r w:rsidRPr="00500A19">
              <w:rPr>
                <w:rFonts w:cstheme="minorHAnsi"/>
                <w:color w:val="000000"/>
                <w:szCs w:val="22"/>
              </w:rPr>
              <w:t>)</w:t>
            </w:r>
          </w:p>
        </w:tc>
      </w:tr>
    </w:tbl>
    <w:p w14:paraId="1780049D" w14:textId="4E705A1B" w:rsidR="007D7FAD" w:rsidRPr="00500A19" w:rsidRDefault="00B84279" w:rsidP="00B84279">
      <w:pPr>
        <w:pStyle w:val="Heading1"/>
      </w:pPr>
      <w:r w:rsidRPr="00500A19">
        <w:t>1</w:t>
      </w:r>
      <w:r w:rsidRPr="00500A19">
        <w:tab/>
      </w:r>
      <w:r w:rsidR="007D7FAD" w:rsidRPr="00500A19">
        <w:t>Введение</w:t>
      </w:r>
    </w:p>
    <w:p w14:paraId="253DB0D6" w14:textId="77777777" w:rsidR="007D7FAD" w:rsidRPr="00500A19" w:rsidRDefault="007D7FAD" w:rsidP="00B84279">
      <w:r w:rsidRPr="00500A19">
        <w:t>Рабочая группа КГРЭ по приоритетам МСЭ-D (КГРЭ-РГ-ITUDP) была создана КГРЭ со следующим кругом ведения:</w:t>
      </w:r>
    </w:p>
    <w:p w14:paraId="4AB5C541" w14:textId="2DFB60E8" w:rsidR="007D7FAD" w:rsidRPr="00500A19" w:rsidRDefault="00B84279" w:rsidP="00B84279">
      <w:pPr>
        <w:pStyle w:val="enumlev1"/>
      </w:pPr>
      <w:r w:rsidRPr="00500A19">
        <w:sym w:font="Symbol" w:char="F02D"/>
      </w:r>
      <w:r w:rsidRPr="00500A19">
        <w:tab/>
      </w:r>
      <w:r w:rsidR="007D7FAD" w:rsidRPr="00500A19">
        <w:t>проанализировать текущие приоритеты и соответствующие средства достижения целей МСЭ-D, установленные на ВКРЭ-22, предложения для ВКРЭ-25, включая региональные инициативы, исследуемые Вопросы МСЭ-D, а также результаты региональных подготовительных собраний к ВКРЭ-25, Цели в области устойчивого развития (ЦУР) на период до 2030 года и соответствующие Направления деятельности ВВУИО, за которые МСЭ несет основную ответственность, и впоследствии разработать предложения для новых приоритетов МСЭ-D;</w:t>
      </w:r>
    </w:p>
    <w:p w14:paraId="3A5D1B57" w14:textId="24BD182C" w:rsidR="007D7FAD" w:rsidRPr="00500A19" w:rsidRDefault="00B84279" w:rsidP="00B84279">
      <w:pPr>
        <w:pStyle w:val="enumlev1"/>
      </w:pPr>
      <w:r w:rsidRPr="00500A19">
        <w:sym w:font="Symbol" w:char="F02D"/>
      </w:r>
      <w:r w:rsidRPr="00500A19">
        <w:tab/>
      </w:r>
      <w:r w:rsidR="007D7FAD" w:rsidRPr="00500A19">
        <w:t>проанализировать ход выполнения и воздействие Стратегического плана МСЭ на 2024−2027</w:t>
      </w:r>
      <w:r w:rsidRPr="00500A19">
        <w:t> </w:t>
      </w:r>
      <w:r w:rsidR="007D7FAD" w:rsidRPr="00500A19">
        <w:t>годы, касающегося МСЭ-D, и подготовить предложения по проекту нового вклада МСЭ-D для Стратегического плана МСЭ на следующий период (2028−2031 гг.);</w:t>
      </w:r>
    </w:p>
    <w:p w14:paraId="20EEB272" w14:textId="23034CF9" w:rsidR="007D7FAD" w:rsidRPr="00500A19" w:rsidRDefault="00B84279" w:rsidP="00B84279">
      <w:pPr>
        <w:pStyle w:val="enumlev1"/>
      </w:pPr>
      <w:r w:rsidRPr="00500A19">
        <w:sym w:font="Symbol" w:char="F02D"/>
      </w:r>
      <w:r w:rsidRPr="00500A19">
        <w:tab/>
      </w:r>
      <w:r w:rsidR="007D7FAD" w:rsidRPr="00500A19">
        <w:t>проанализировать ход выполнения и воздействие Кигалийского плана действий (КПД), включая его связи с Оперативным планом, и разработать предложения для следующего Плана действий ВКРЭ;</w:t>
      </w:r>
    </w:p>
    <w:p w14:paraId="00409117" w14:textId="055526FB" w:rsidR="007D7FAD" w:rsidRPr="00500A19" w:rsidRDefault="00B84279" w:rsidP="00B84279">
      <w:pPr>
        <w:pStyle w:val="enumlev1"/>
      </w:pPr>
      <w:r w:rsidRPr="00500A19">
        <w:sym w:font="Symbol" w:char="F02D"/>
      </w:r>
      <w:r w:rsidRPr="00500A19">
        <w:tab/>
      </w:r>
      <w:r w:rsidR="007D7FAD" w:rsidRPr="00500A19">
        <w:t>проанализировать ход выполнения и воздействие четырехгодичного скользящего Оперативного плана, определить области, требующие усовершенствования, и разработать рекомендации для проекта Оперативного плана;</w:t>
      </w:r>
    </w:p>
    <w:p w14:paraId="480AD262" w14:textId="0B8B8DF6" w:rsidR="007D7FAD" w:rsidRPr="00500A19" w:rsidRDefault="00B84279" w:rsidP="00B84279">
      <w:pPr>
        <w:pStyle w:val="enumlev1"/>
      </w:pPr>
      <w:r w:rsidRPr="00500A19">
        <w:lastRenderedPageBreak/>
        <w:sym w:font="Symbol" w:char="F02D"/>
      </w:r>
      <w:r w:rsidRPr="00500A19">
        <w:tab/>
      </w:r>
      <w:r w:rsidR="007D7FAD" w:rsidRPr="00500A19">
        <w:t>представить отчет КГРЭ.</w:t>
      </w:r>
    </w:p>
    <w:p w14:paraId="6235C7D4" w14:textId="7CAA07FA" w:rsidR="007D7FAD" w:rsidRPr="00500A19" w:rsidRDefault="007D7FAD" w:rsidP="00B84279">
      <w:r w:rsidRPr="00500A19">
        <w:t xml:space="preserve">Председателем был назначен г-н Кристофер Кемей из Кении, а заместителями Председателя </w:t>
      </w:r>
      <w:r w:rsidR="00B84279" w:rsidRPr="00500A19">
        <w:sym w:font="Symbol" w:char="F02D"/>
      </w:r>
      <w:r w:rsidRPr="00500A19">
        <w:t xml:space="preserve"> г</w:t>
      </w:r>
      <w:r w:rsidR="00B84279" w:rsidRPr="00500A19">
        <w:t>­</w:t>
      </w:r>
      <w:r w:rsidRPr="00500A19">
        <w:t>н</w:t>
      </w:r>
      <w:r w:rsidR="00B84279" w:rsidRPr="00500A19">
        <w:t> </w:t>
      </w:r>
      <w:r w:rsidRPr="00500A19">
        <w:t>Ахмад Шарафат из Ирана и г-жа Бланка Гонсалес из Испании.</w:t>
      </w:r>
    </w:p>
    <w:p w14:paraId="443FEA28" w14:textId="77777777" w:rsidR="007D7FAD" w:rsidRPr="00500A19" w:rsidRDefault="007D7FAD" w:rsidP="00B84279">
      <w:r w:rsidRPr="00500A19">
        <w:t>На внеочередном собрании КГРЭ, состоявшемся 23 января 2025 года, г-н Кемей покинул пост Председателя группы, и новым Председателем была назначена г-жа Инга Римкевичене из Литвы.</w:t>
      </w:r>
    </w:p>
    <w:p w14:paraId="6306C7B6" w14:textId="77777777" w:rsidR="007D7FAD" w:rsidRPr="00500A19" w:rsidRDefault="007D7FAD" w:rsidP="00B84279">
      <w:r w:rsidRPr="00500A19">
        <w:t xml:space="preserve">КГРЭ-РГ-ITUDP провела свое первое собрание 4 сентября 2024 года, второе собрание − 4 декабря 2024 года, третье собрание − 26 марта 2025 года и четвертое собрание – 1 мая 2025 года. Отчеты об этих собраниях доступны на </w:t>
      </w:r>
      <w:hyperlink r:id="rId108">
        <w:r w:rsidRPr="00500A19">
          <w:rPr>
            <w:rStyle w:val="Hyperlink"/>
            <w:rFonts w:cstheme="minorHAnsi"/>
            <w:szCs w:val="22"/>
          </w:rPr>
          <w:t>веб-сайте КГРЭ-РГ-ITUDP</w:t>
        </w:r>
      </w:hyperlink>
      <w:r w:rsidRPr="00500A19">
        <w:t>. Во время КГРЭ Группа дополнительно провела пятое собрание (14 мая) и шестое собрание (15 мая) для завершения своей работы.</w:t>
      </w:r>
    </w:p>
    <w:p w14:paraId="16288063" w14:textId="776478F8" w:rsidR="007D7FAD" w:rsidRPr="00500A19" w:rsidRDefault="00B84279" w:rsidP="00B84279">
      <w:pPr>
        <w:pStyle w:val="Heading1"/>
      </w:pPr>
      <w:r w:rsidRPr="00500A19">
        <w:t>2</w:t>
      </w:r>
      <w:r w:rsidRPr="00500A19">
        <w:tab/>
      </w:r>
      <w:r w:rsidR="007D7FAD" w:rsidRPr="00500A19">
        <w:t>Принятый подход и достигнутый прогресс</w:t>
      </w:r>
    </w:p>
    <w:p w14:paraId="2AD225B1" w14:textId="77777777" w:rsidR="007D7FAD" w:rsidRPr="00500A19" w:rsidRDefault="007D7FAD" w:rsidP="00B84279">
      <w:r w:rsidRPr="00500A19">
        <w:t xml:space="preserve">На момент проведения </w:t>
      </w:r>
      <w:r w:rsidRPr="00500A19">
        <w:rPr>
          <w:b/>
          <w:bCs/>
        </w:rPr>
        <w:t>первого собрания</w:t>
      </w:r>
      <w:r w:rsidRPr="00500A19">
        <w:t xml:space="preserve"> письменных вкладов получено не было, поэтому обсуждения были минимальными. Ввиду этого и в целях стимулирования представления вкладов и обсуждений на последующих собраниях Группа решила, что Председатель после консультаций с секретариатом может разработать вклад для этих целей.</w:t>
      </w:r>
    </w:p>
    <w:p w14:paraId="5AFCB4F7" w14:textId="77777777" w:rsidR="007D7FAD" w:rsidRPr="00500A19" w:rsidRDefault="007D7FAD" w:rsidP="00B84279">
      <w:r w:rsidRPr="00500A19">
        <w:t xml:space="preserve">На </w:t>
      </w:r>
      <w:r w:rsidRPr="00500A19">
        <w:rPr>
          <w:b/>
          <w:bCs/>
        </w:rPr>
        <w:t>втором собрании</w:t>
      </w:r>
      <w:r w:rsidRPr="00500A19">
        <w:t xml:space="preserve"> Группе было представлено предложение Председателя.</w:t>
      </w:r>
    </w:p>
    <w:p w14:paraId="2BB75461" w14:textId="40366E5C" w:rsidR="007D7FAD" w:rsidRPr="00500A19" w:rsidRDefault="007D7FAD" w:rsidP="00B84279">
      <w:r w:rsidRPr="00500A19">
        <w:t xml:space="preserve">На </w:t>
      </w:r>
      <w:r w:rsidRPr="00500A19">
        <w:rPr>
          <w:b/>
          <w:bCs/>
        </w:rPr>
        <w:t>третьем собрании</w:t>
      </w:r>
      <w:r w:rsidRPr="00500A19">
        <w:t xml:space="preserve"> Председатель предложила продолжить работу по пересмотру текущих приоритетов на основе записки </w:t>
      </w:r>
      <w:hyperlink r:id="rId109">
        <w:r w:rsidRPr="00500A19">
          <w:rPr>
            <w:rStyle w:val="Hyperlink"/>
            <w:rFonts w:cstheme="minorHAnsi"/>
            <w:szCs w:val="22"/>
          </w:rPr>
          <w:t>TDAG-WG-ITUDP/8</w:t>
        </w:r>
      </w:hyperlink>
      <w:r w:rsidRPr="00500A19">
        <w:t>, которую она представила перед собранием 26</w:t>
      </w:r>
      <w:r w:rsidR="00B84279" w:rsidRPr="00500A19">
        <w:t> </w:t>
      </w:r>
      <w:r w:rsidRPr="00500A19">
        <w:t>марта.</w:t>
      </w:r>
    </w:p>
    <w:p w14:paraId="332CCF40" w14:textId="77777777" w:rsidR="007D7FAD" w:rsidRPr="00500A19" w:rsidRDefault="007D7FAD" w:rsidP="00B84279">
      <w:r w:rsidRPr="00500A19">
        <w:t>Участники собрания приняли следующие решения:</w:t>
      </w:r>
    </w:p>
    <w:p w14:paraId="5917A510" w14:textId="05389073" w:rsidR="007D7FAD" w:rsidRPr="00500A19" w:rsidRDefault="00B84279" w:rsidP="00B84279">
      <w:pPr>
        <w:pStyle w:val="enumlev1"/>
      </w:pPr>
      <w:r w:rsidRPr="00500A19">
        <w:sym w:font="Symbol" w:char="F02D"/>
      </w:r>
      <w:r w:rsidRPr="00500A19">
        <w:tab/>
      </w:r>
      <w:r w:rsidR="007D7FAD" w:rsidRPr="00500A19">
        <w:t>использовать текущие приоритеты Кигалийского плана действий в качестве основы для обсуждения разработки новых приоритетов, а именно:</w:t>
      </w:r>
    </w:p>
    <w:p w14:paraId="7B243658" w14:textId="675026D6" w:rsidR="007D7FAD" w:rsidRPr="00500A19" w:rsidRDefault="00B84279" w:rsidP="00B84279">
      <w:pPr>
        <w:pStyle w:val="enumlev2"/>
      </w:pPr>
      <w:r w:rsidRPr="00500A19">
        <w:t>•</w:t>
      </w:r>
      <w:r w:rsidRPr="00500A19">
        <w:tab/>
      </w:r>
      <w:r w:rsidR="007D7FAD" w:rsidRPr="00500A19">
        <w:t>возможность установления приемлемых в ценовом отношении соединений;</w:t>
      </w:r>
    </w:p>
    <w:p w14:paraId="3745BE83" w14:textId="544F730D" w:rsidR="007D7FAD" w:rsidRPr="00500A19" w:rsidRDefault="00B84279" w:rsidP="00B84279">
      <w:pPr>
        <w:pStyle w:val="enumlev2"/>
      </w:pPr>
      <w:r w:rsidRPr="00500A19">
        <w:t>•</w:t>
      </w:r>
      <w:r w:rsidRPr="00500A19">
        <w:tab/>
      </w:r>
      <w:r w:rsidR="007D7FAD" w:rsidRPr="00500A19">
        <w:t>цифровая трансформация;</w:t>
      </w:r>
    </w:p>
    <w:p w14:paraId="09AA7AD7" w14:textId="06FD8DF2" w:rsidR="007D7FAD" w:rsidRPr="00500A19" w:rsidRDefault="00B84279" w:rsidP="00B84279">
      <w:pPr>
        <w:pStyle w:val="enumlev2"/>
      </w:pPr>
      <w:r w:rsidRPr="00500A19">
        <w:t>•</w:t>
      </w:r>
      <w:r w:rsidRPr="00500A19">
        <w:tab/>
      </w:r>
      <w:r w:rsidR="007D7FAD" w:rsidRPr="00500A19">
        <w:t>благоприятная политическая и регуляторная среда;</w:t>
      </w:r>
    </w:p>
    <w:p w14:paraId="6C373603" w14:textId="483B36AF" w:rsidR="007D7FAD" w:rsidRPr="00500A19" w:rsidRDefault="00B84279" w:rsidP="00B84279">
      <w:pPr>
        <w:pStyle w:val="enumlev2"/>
      </w:pPr>
      <w:r w:rsidRPr="00500A19">
        <w:t>•</w:t>
      </w:r>
      <w:r w:rsidRPr="00500A19">
        <w:tab/>
      </w:r>
      <w:r w:rsidR="007D7FAD" w:rsidRPr="00500A19">
        <w:t>мобилизация ресурсов и международное сотрудничество;</w:t>
      </w:r>
    </w:p>
    <w:p w14:paraId="1D1FFBDD" w14:textId="22ADB324" w:rsidR="007D7FAD" w:rsidRPr="00500A19" w:rsidRDefault="00B84279" w:rsidP="00B84279">
      <w:pPr>
        <w:pStyle w:val="enumlev2"/>
      </w:pPr>
      <w:r w:rsidRPr="00500A19">
        <w:t>•</w:t>
      </w:r>
      <w:r w:rsidRPr="00500A19">
        <w:tab/>
      </w:r>
      <w:r w:rsidR="007D7FAD" w:rsidRPr="00500A19">
        <w:t>инклюзивная и защищенная электросвязь/ИКТ для устойчивого развития;</w:t>
      </w:r>
    </w:p>
    <w:p w14:paraId="6F0E20FA" w14:textId="1ED12DA5" w:rsidR="007D7FAD" w:rsidRPr="00500A19" w:rsidRDefault="00B84279" w:rsidP="00B84279">
      <w:pPr>
        <w:pStyle w:val="enumlev1"/>
      </w:pPr>
      <w:r w:rsidRPr="00500A19">
        <w:sym w:font="Symbol" w:char="F02D"/>
      </w:r>
      <w:r w:rsidRPr="00500A19">
        <w:tab/>
      </w:r>
      <w:r w:rsidR="007D7FAD" w:rsidRPr="00500A19">
        <w:t>принять предложение Председателя по структуре Бакинского плана действий для руководства процессом его разработки.</w:t>
      </w:r>
    </w:p>
    <w:p w14:paraId="0C1412E8" w14:textId="3EB3DDF5" w:rsidR="007D7FAD" w:rsidRPr="00500A19" w:rsidRDefault="007D7FAD" w:rsidP="00B84279">
      <w:r w:rsidRPr="00500A19">
        <w:t xml:space="preserve">На </w:t>
      </w:r>
      <w:r w:rsidRPr="00500A19">
        <w:rPr>
          <w:b/>
          <w:bCs/>
        </w:rPr>
        <w:t xml:space="preserve">четвертом собрании </w:t>
      </w:r>
      <w:r w:rsidRPr="00500A19">
        <w:t xml:space="preserve">Председатель представила проект предложения </w:t>
      </w:r>
      <w:hyperlink r:id="rId110">
        <w:r w:rsidRPr="00500A19">
          <w:rPr>
            <w:rStyle w:val="Hyperlink"/>
            <w:rFonts w:cstheme="minorHAnsi"/>
            <w:szCs w:val="22"/>
          </w:rPr>
          <w:t>TDAG-WG-ITUDP/13</w:t>
        </w:r>
      </w:hyperlink>
      <w:r w:rsidRPr="00500A19">
        <w:t>, который охватывает описательный текст по различным элементам, на основе достигнутого в ходе третьего собрания соглашения</w:t>
      </w:r>
      <w:r w:rsidR="00B84279" w:rsidRPr="00500A19">
        <w:t>.</w:t>
      </w:r>
    </w:p>
    <w:p w14:paraId="7925F9F6" w14:textId="77777777" w:rsidR="007D7FAD" w:rsidRPr="00500A19" w:rsidRDefault="007D7FAD" w:rsidP="00B84279">
      <w:r w:rsidRPr="00500A19">
        <w:t xml:space="preserve">Участники собрания приняли решение о согласовании проекта и о рассмотрении последующего предложения Председателя </w:t>
      </w:r>
      <w:hyperlink r:id="rId111">
        <w:r w:rsidRPr="00500A19">
          <w:rPr>
            <w:rStyle w:val="Hyperlink"/>
            <w:rFonts w:cstheme="minorHAnsi"/>
            <w:szCs w:val="22"/>
          </w:rPr>
          <w:t>TDAG-WG-ITUDP/18</w:t>
        </w:r>
      </w:hyperlink>
      <w:r w:rsidRPr="00500A19">
        <w:t>, подлежащего представлению на пятом собрании вместе с дополнительной информацией о конечных результатах, показателях и средствах достижения целей.</w:t>
      </w:r>
    </w:p>
    <w:p w14:paraId="40F34E99" w14:textId="77777777" w:rsidR="007D7FAD" w:rsidRPr="00500A19" w:rsidRDefault="007D7FAD" w:rsidP="00B84279">
      <w:r w:rsidRPr="00500A19">
        <w:t xml:space="preserve">На </w:t>
      </w:r>
      <w:r w:rsidRPr="00500A19">
        <w:rPr>
          <w:b/>
          <w:bCs/>
        </w:rPr>
        <w:t xml:space="preserve">пятом собрании </w:t>
      </w:r>
      <w:r w:rsidRPr="00500A19">
        <w:t xml:space="preserve">обсуждалось обновленное предложение Председателя </w:t>
      </w:r>
      <w:hyperlink r:id="rId112">
        <w:r w:rsidRPr="00500A19">
          <w:rPr>
            <w:rStyle w:val="Hyperlink"/>
            <w:rFonts w:cstheme="minorHAnsi"/>
            <w:szCs w:val="22"/>
          </w:rPr>
          <w:t>TDAG-WG-ITUDP/18</w:t>
        </w:r>
      </w:hyperlink>
      <w:r w:rsidRPr="00500A19">
        <w:t xml:space="preserve">, учитывающее предложения Багамских Островов и Соединенного Королевства </w:t>
      </w:r>
      <w:hyperlink r:id="rId113">
        <w:r w:rsidRPr="00500A19">
          <w:rPr>
            <w:rStyle w:val="Hyperlink"/>
            <w:rFonts w:cstheme="minorHAnsi"/>
            <w:szCs w:val="22"/>
          </w:rPr>
          <w:t>TDAG-WG-ITUDP/19</w:t>
        </w:r>
      </w:hyperlink>
      <w:r w:rsidRPr="00500A19">
        <w:t>, в котором содержится описание приоритетов, конечных результатов, намеченных результатов деятельности и средств достижения целей МСЭ-D.</w:t>
      </w:r>
    </w:p>
    <w:p w14:paraId="511B23B7" w14:textId="2CA6C1E0" w:rsidR="007D7FAD" w:rsidRPr="00500A19" w:rsidRDefault="007D7FAD" w:rsidP="00B84279">
      <w:r w:rsidRPr="00500A19">
        <w:t xml:space="preserve">Участники </w:t>
      </w:r>
      <w:r w:rsidRPr="00500A19">
        <w:rPr>
          <w:b/>
          <w:bCs/>
        </w:rPr>
        <w:t>шестого собрания</w:t>
      </w:r>
      <w:r w:rsidRPr="00500A19">
        <w:t xml:space="preserve"> продолжили рассмотрение предложения Председателя</w:t>
      </w:r>
      <w:r w:rsidR="00FE528A" w:rsidRPr="00500A19">
        <w:t> </w:t>
      </w:r>
      <w:hyperlink r:id="rId114">
        <w:r w:rsidRPr="00500A19">
          <w:rPr>
            <w:rStyle w:val="Hyperlink"/>
            <w:rFonts w:cstheme="minorHAnsi"/>
            <w:szCs w:val="22"/>
          </w:rPr>
          <w:t>TDAG</w:t>
        </w:r>
        <w:r w:rsidR="00B84279" w:rsidRPr="00500A19">
          <w:rPr>
            <w:rStyle w:val="Hyperlink"/>
            <w:rFonts w:cstheme="minorHAnsi"/>
            <w:szCs w:val="22"/>
          </w:rPr>
          <w:t>­</w:t>
        </w:r>
        <w:r w:rsidRPr="00500A19">
          <w:rPr>
            <w:rStyle w:val="Hyperlink"/>
            <w:rFonts w:cstheme="minorHAnsi"/>
            <w:szCs w:val="22"/>
          </w:rPr>
          <w:t>WG</w:t>
        </w:r>
        <w:r w:rsidR="00B84279" w:rsidRPr="00500A19">
          <w:rPr>
            <w:rStyle w:val="Hyperlink"/>
            <w:rFonts w:cstheme="minorHAnsi"/>
            <w:szCs w:val="22"/>
          </w:rPr>
          <w:t>­</w:t>
        </w:r>
        <w:r w:rsidRPr="00500A19">
          <w:rPr>
            <w:rStyle w:val="Hyperlink"/>
            <w:rFonts w:cstheme="minorHAnsi"/>
            <w:szCs w:val="22"/>
          </w:rPr>
          <w:t>ITUDP/21</w:t>
        </w:r>
      </w:hyperlink>
      <w:r w:rsidRPr="00500A19">
        <w:t xml:space="preserve"> и обсудили Документ </w:t>
      </w:r>
      <w:hyperlink r:id="rId115">
        <w:r w:rsidRPr="00500A19">
          <w:rPr>
            <w:rStyle w:val="Hyperlink"/>
            <w:rFonts w:cstheme="minorHAnsi"/>
            <w:szCs w:val="22"/>
          </w:rPr>
          <w:t>TDAG-WG-ITUDP/20</w:t>
        </w:r>
      </w:hyperlink>
      <w:r w:rsidRPr="00500A19">
        <w:t xml:space="preserve"> о включении принципа учета гендерных аспектов во все приоритеты МСЭ-D, представленный Канадой, Парагваем и Доминиканской Республикой.</w:t>
      </w:r>
    </w:p>
    <w:p w14:paraId="1935FF0C" w14:textId="77777777" w:rsidR="007D7FAD" w:rsidRPr="00500A19" w:rsidRDefault="007D7FAD" w:rsidP="00B84279">
      <w:r w:rsidRPr="00500A19">
        <w:lastRenderedPageBreak/>
        <w:t>Во вкладах подчеркивалось, что гендерная проблематика систематически включается в виды деятельности, проекты и инициативы Международного союза электросвязи (МСЭ) в качестве руководящего принципа, в частности в работу Бюро развития электросвязи (БРЭ), в соответствии с мандатом, предусмотренным Резолюцией 70 Полномочной конференции. Этот принцип направлен на содействие гендерному равенству, равноправию и интеграции с целью преодоления цифрового разрыва и осуществления реальной, всеохватной, эффективной и действенной цифровой трансформации, обеспечивающей, чтобы никто не был забыт.</w:t>
      </w:r>
    </w:p>
    <w:p w14:paraId="4786217C" w14:textId="77777777" w:rsidR="007D7FAD" w:rsidRPr="00500A19" w:rsidRDefault="007D7FAD" w:rsidP="00B84279">
      <w:r w:rsidRPr="00500A19">
        <w:t>По итогам обсуждения не было достигнуто согласия относительно того, следует ли вообще и каким образом включать тему учета гендерных аспектов в приоритеты МСЭ-D Бакинского плана действий. Членам группы было предложено провести дальнейшее рассмотрение принципа учета гендерных аспектов, а также формулировок для его закрепления в списке приоритетов МСЭ-D, на межрегиональных собраниях, предшествующих ВКРЭ-25. Ряд членов не поддержали включение вопроса об учете гендерных аспектов в число приоритетов МСЭ-D.</w:t>
      </w:r>
    </w:p>
    <w:p w14:paraId="7FBF7FBD" w14:textId="5ADCA616" w:rsidR="007D7FAD" w:rsidRPr="00500A19" w:rsidRDefault="007D7FAD" w:rsidP="00B84279">
      <w:r w:rsidRPr="00500A19">
        <w:t xml:space="preserve">Применительно к проекту приоритетов МСЭ-D, содержащемуся в Приложении 1, Соединенные Штаты Америки рекомендовали провести дополнительный анализ и обсуждение описания приоритета "Цифровая трансформация" с учетом несбалансированности текста, в котором окружающей среде и изменению климата уделяется больше внимания по сравнению с другими важными элементами работы БРЭ в области цифровой трансформации. Соединенные Штаты Америки рекомендуют уделить основное внимание в этом разделе мандату МСЭ и его деятельности в области цифровой трансформации в более широком понимании без использования дополнительных формулировок, касающихся окружающей среды. Соединенные Штаты вновь заявили о своей позиции (см. </w:t>
      </w:r>
      <w:hyperlink r:id="rId116">
        <w:r w:rsidRPr="00500A19">
          <w:rPr>
            <w:rStyle w:val="Hyperlink"/>
            <w:rFonts w:cstheme="minorHAnsi"/>
            <w:szCs w:val="22"/>
          </w:rPr>
          <w:t>Документ 56</w:t>
        </w:r>
      </w:hyperlink>
      <w:r w:rsidRPr="00500A19">
        <w:t>) несогласия с формулировками проекта приоритетов МСЭ</w:t>
      </w:r>
      <w:r w:rsidR="00B84279" w:rsidRPr="00500A19">
        <w:t>­</w:t>
      </w:r>
      <w:r w:rsidRPr="00500A19">
        <w:t>D, подтверждающими приверженность Повестке дня в области устойчивого развития на период до 2030 года и Целям в области устойчивого развития. США также выступают против включения в документ ссылок, способствующих политике разнообразия, равенства и открытости для всех. Соединенные Штаты предлагают членам группы учесть данную позицию при подготовке предложений для ВКРЭ-25.</w:t>
      </w:r>
    </w:p>
    <w:p w14:paraId="709472DD" w14:textId="77777777" w:rsidR="007D7FAD" w:rsidRPr="00500A19" w:rsidRDefault="007D7FAD" w:rsidP="00B84279">
      <w:r w:rsidRPr="00500A19">
        <w:t xml:space="preserve">После обсуждения ключевых показателей эффективности в проект были включены определения показателей конечных результатов и намеченных результатов деятельности.  Председатель обратила внимание собрания на </w:t>
      </w:r>
      <w:hyperlink r:id="rId117">
        <w:r w:rsidRPr="00500A19">
          <w:rPr>
            <w:rStyle w:val="Hyperlink"/>
            <w:rFonts w:cstheme="minorHAnsi"/>
            <w:szCs w:val="22"/>
          </w:rPr>
          <w:t>перечень ключевых показателей эффективности (KPI), согласованный КГРЭ-24</w:t>
        </w:r>
      </w:hyperlink>
      <w:r w:rsidRPr="00500A19">
        <w:t>, и призвала использовать его в качестве справочного документа при дальнейшем обсуждении Бакинского плана действий на региональном (РОЭ) или национальном уровнях.</w:t>
      </w:r>
    </w:p>
    <w:p w14:paraId="0A077635" w14:textId="2828CEE6" w:rsidR="007D7FAD" w:rsidRPr="00500A19" w:rsidRDefault="007D7FAD" w:rsidP="00B84279">
      <w:r w:rsidRPr="00500A19">
        <w:t>На основе полученных замечаний и предложений были обновлены определения приоритетов</w:t>
      </w:r>
      <w:r w:rsidR="00B84279" w:rsidRPr="00500A19">
        <w:t> </w:t>
      </w:r>
      <w:r w:rsidRPr="00500A19">
        <w:t>МСЭ</w:t>
      </w:r>
      <w:r w:rsidR="00B84279" w:rsidRPr="00500A19">
        <w:t>­</w:t>
      </w:r>
      <w:r w:rsidRPr="00500A19">
        <w:t>D.</w:t>
      </w:r>
    </w:p>
    <w:p w14:paraId="5B4E94B6" w14:textId="59E3A140" w:rsidR="007D7FAD" w:rsidRPr="00500A19" w:rsidRDefault="00B84279" w:rsidP="00B84279">
      <w:pPr>
        <w:pStyle w:val="Heading1"/>
      </w:pPr>
      <w:r w:rsidRPr="00500A19">
        <w:t>3</w:t>
      </w:r>
      <w:r w:rsidRPr="00500A19">
        <w:tab/>
      </w:r>
      <w:r w:rsidR="007D7FAD" w:rsidRPr="00500A19">
        <w:t>Выводы и окончательный результат работы группы</w:t>
      </w:r>
    </w:p>
    <w:p w14:paraId="70ABF291" w14:textId="77777777" w:rsidR="007D7FAD" w:rsidRPr="00500A19" w:rsidRDefault="007D7FAD" w:rsidP="00B84279">
      <w:r w:rsidRPr="00500A19">
        <w:t>Далее в Приложении 1 содержится проект предлагаемого Бакинского плана действий, согласованный Рабочей группой для рассмотрения КГРЭ.</w:t>
      </w:r>
    </w:p>
    <w:p w14:paraId="0F858676" w14:textId="77777777" w:rsidR="007D7FAD" w:rsidRPr="00500A19" w:rsidRDefault="007D7FAD" w:rsidP="00B84279">
      <w:r w:rsidRPr="00500A19">
        <w:t>Государствам – Членам МСЭ предлагается использовать проект Бакинского плана действий при подготовке к ВКРЭ-25.</w:t>
      </w:r>
    </w:p>
    <w:p w14:paraId="108411FF" w14:textId="77777777" w:rsidR="007D7FAD" w:rsidRPr="00500A19" w:rsidRDefault="007D7FAD">
      <w:pPr>
        <w:overflowPunct/>
        <w:autoSpaceDE/>
        <w:autoSpaceDN/>
        <w:adjustRightInd/>
        <w:spacing w:before="0"/>
        <w:textAlignment w:val="auto"/>
        <w:rPr>
          <w:rFonts w:cstheme="minorHAnsi"/>
          <w:szCs w:val="22"/>
        </w:rPr>
      </w:pPr>
      <w:r w:rsidRPr="00500A19">
        <w:rPr>
          <w:rFonts w:cstheme="minorHAnsi"/>
          <w:szCs w:val="22"/>
        </w:rPr>
        <w:br w:type="page"/>
      </w:r>
    </w:p>
    <w:p w14:paraId="31D00C20" w14:textId="77777777" w:rsidR="006E560D" w:rsidRPr="00500A19" w:rsidRDefault="007D7FAD" w:rsidP="006E560D">
      <w:pPr>
        <w:pStyle w:val="AppendixNo"/>
      </w:pPr>
      <w:r w:rsidRPr="00500A19">
        <w:lastRenderedPageBreak/>
        <w:t>Приложение 1</w:t>
      </w:r>
    </w:p>
    <w:p w14:paraId="35B30ECC" w14:textId="156E012B" w:rsidR="007D7FAD" w:rsidRPr="00500A19" w:rsidRDefault="007D7FAD" w:rsidP="006E560D">
      <w:pPr>
        <w:pStyle w:val="Appendixtitle"/>
        <w:rPr>
          <w:highlight w:val="yellow"/>
        </w:rPr>
      </w:pPr>
      <w:r w:rsidRPr="00500A19">
        <w:t>Проект Бакинского плана действий</w:t>
      </w:r>
    </w:p>
    <w:p w14:paraId="124A4989" w14:textId="77777777" w:rsidR="00315952" w:rsidRPr="00500A19" w:rsidRDefault="00315952" w:rsidP="00315952">
      <w:pPr>
        <w:pStyle w:val="Heading1"/>
        <w:rPr>
          <w:rFonts w:cstheme="minorHAnsi"/>
          <w:szCs w:val="24"/>
        </w:rPr>
      </w:pPr>
      <w:r w:rsidRPr="00500A19">
        <w:t>1</w:t>
      </w:r>
      <w:r w:rsidRPr="00500A19">
        <w:tab/>
        <w:t>Введение</w:t>
      </w:r>
    </w:p>
    <w:p w14:paraId="46F3D7EC" w14:textId="77777777" w:rsidR="00315952" w:rsidRPr="00500A19" w:rsidRDefault="00315952" w:rsidP="00315952">
      <w:pPr>
        <w:rPr>
          <w:rFonts w:cstheme="minorHAnsi"/>
          <w:szCs w:val="24"/>
        </w:rPr>
      </w:pPr>
      <w:r w:rsidRPr="00500A19">
        <w:t>В Бакинском плане действий описаны приоритеты и сфера деятельности МСЭ-D, соответствующие конечные результаты и намеченные результаты деятельности на период 2026−2029 годов, а также указаны ключевые показатели эффективности (KPI).</w:t>
      </w:r>
    </w:p>
    <w:p w14:paraId="13AF59B2" w14:textId="77777777" w:rsidR="00315952" w:rsidRPr="00500A19" w:rsidRDefault="00315952" w:rsidP="00315952">
      <w:pPr>
        <w:rPr>
          <w:rFonts w:cstheme="minorHAnsi"/>
          <w:szCs w:val="24"/>
        </w:rPr>
      </w:pPr>
      <w:r w:rsidRPr="00500A19">
        <w:t>КГРЭ может обновлять и изменять План действий МСЭ-D для отражения положений Стратегического плана МСЭ, изменений в среде электросвязи/ИКТ и/или по результатам ежегодной оценки показателей деятельности.</w:t>
      </w:r>
    </w:p>
    <w:p w14:paraId="4910B6CA" w14:textId="77777777" w:rsidR="00315952" w:rsidRPr="00500A19" w:rsidRDefault="00315952" w:rsidP="00315952">
      <w:pPr>
        <w:rPr>
          <w:rFonts w:cstheme="minorHAnsi"/>
          <w:szCs w:val="24"/>
        </w:rPr>
      </w:pPr>
      <w:r w:rsidRPr="00500A19">
        <w:t>Этот План действий также представляет собой основу для ежегодного скользящего Оперативного плана МСЭ-D и служит рамками реализации, поскольку в нем представлено описание способов достижения приоритетов и выполнения задач МСЭ-D, определенных Членами на ВКРЭ. Эти приоритеты базируются на основных сферах компетенции и специальных знаний МСЭ-D, тесно связаны и согласованы с приоритетами и задачами, определенными в более масштабных планах/инициативах в области развития в рамках ЦУР Организации Объединенных Наций, Стратегическом плане МСЭ и Плане действий ВВУИО. В частности, во всех них присутствует общая концепция достижения устойчивого развития путем использования возможностей цифровых инструментов и ИКТ.</w:t>
      </w:r>
    </w:p>
    <w:p w14:paraId="214134E8" w14:textId="77777777" w:rsidR="00315952" w:rsidRPr="00500A19" w:rsidRDefault="00315952" w:rsidP="00315952">
      <w:pPr>
        <w:rPr>
          <w:rFonts w:cstheme="minorHAnsi"/>
          <w:szCs w:val="24"/>
        </w:rPr>
      </w:pPr>
      <w:r w:rsidRPr="00500A19">
        <w:t>Намеченные результаты деятельности МСЭ-D (продукты и услуги) и соответствующие KPI дополнительно уточняются в Оперативном плане МСЭ-D с учетом опыта, накопленного при осуществлении Кигалийского плана действий.</w:t>
      </w:r>
    </w:p>
    <w:p w14:paraId="5D9773BC" w14:textId="77777777" w:rsidR="00315952" w:rsidRPr="00500A19" w:rsidRDefault="00315952" w:rsidP="00315952">
      <w:pPr>
        <w:pStyle w:val="Heading2"/>
      </w:pPr>
      <w:r w:rsidRPr="00500A19">
        <w:t>1.1</w:t>
      </w:r>
      <w:r w:rsidRPr="00500A19">
        <w:tab/>
        <w:t>Согласование со стратегической основой МСЭ</w:t>
      </w:r>
    </w:p>
    <w:p w14:paraId="163FC9C4" w14:textId="77777777" w:rsidR="00315952" w:rsidRPr="00500A19" w:rsidRDefault="00315952" w:rsidP="00315952">
      <w:r w:rsidRPr="00500A19">
        <w:t>Принятая в настоящем Плане действий модель предназначена для обеспечения более четкого согласования общей структуры УОР с основой, предусмотренной в Стратегическом плане МСЭ на 2024–2027 годы. В этой модели УОР применяется в большей степени ориентированный на клиента подход к тематическим приоритетам, определенным Стратегическим планом МСЭ, с целью повышения эффективности МСЭ-D в ориентации продуктов, поддержки и результатов по этим стратегическим направлениям к достижению более долгосрочных целей.</w:t>
      </w:r>
    </w:p>
    <w:p w14:paraId="282C2F35" w14:textId="0A12BA0F" w:rsidR="00315952" w:rsidRPr="00500A19" w:rsidRDefault="00315952" w:rsidP="00315952">
      <w:r w:rsidRPr="00500A19">
        <w:t>Эта модель УОР будет служить основой для будущего планирования и оценки, обеспечивая общую структуру Стратегического и Оперативного планов. При этом предусматривается более полная интеграции статистических данных и показателей МСЭ и Организации Объединенных Наций для укрепления научно обоснованного подхода к анализу потребностей стран и планированию. Это придаст БРЭ бóльшую гибкость в адаптации технической поддержки и предоставления услуг к развивающимся тенденциям и меняющимся потребностям Членов.</w:t>
      </w:r>
    </w:p>
    <w:p w14:paraId="421BD746" w14:textId="77777777" w:rsidR="00315952" w:rsidRPr="00500A19" w:rsidRDefault="00315952" w:rsidP="00315952">
      <w:pPr>
        <w:rPr>
          <w:rFonts w:eastAsia="Calibri Light" w:cstheme="minorHAnsi"/>
          <w:szCs w:val="24"/>
        </w:rPr>
      </w:pPr>
      <w:r w:rsidRPr="00500A19">
        <w:t>Для того чтобы и далее обеспечивать согласованность направленности программ при выполнении мандата на всех уровнях и через региональное присутствие МСЭ, разработана система МСЭ-D для полной, осуществляемой на региональном уровне синхронизации УОР, тематических приоритетов, оперативного планирования, упорядоченных предложений технической поддержки и оценок выполнения портфеля. Это также поможет регионам со стратегической точки зрения согласовать техническую поддержку БРЭ в соответствии с каждой из региональных инициатив и конкретных местных тенденций, поддерживая при этом соответствие глобальной концепции и миссии, определенным в Стратегическом плане МСЭ.</w:t>
      </w:r>
    </w:p>
    <w:p w14:paraId="411E7C29" w14:textId="77777777" w:rsidR="00315952" w:rsidRPr="00500A19" w:rsidRDefault="00315952" w:rsidP="00315952">
      <w:pPr>
        <w:pStyle w:val="Heading1"/>
        <w:rPr>
          <w:rFonts w:cstheme="minorHAnsi"/>
          <w:szCs w:val="24"/>
        </w:rPr>
      </w:pPr>
      <w:r w:rsidRPr="00500A19">
        <w:lastRenderedPageBreak/>
        <w:t>2</w:t>
      </w:r>
      <w:r w:rsidRPr="00500A19">
        <w:tab/>
        <w:t>Терминология</w:t>
      </w:r>
    </w:p>
    <w:p w14:paraId="498E01AB" w14:textId="77777777" w:rsidR="00315952" w:rsidRPr="00500A19" w:rsidRDefault="00315952" w:rsidP="00315952">
      <w:pPr>
        <w:pStyle w:val="Headingb"/>
        <w:rPr>
          <w:rFonts w:cstheme="minorHAnsi"/>
          <w:szCs w:val="24"/>
          <w:u w:val="single"/>
          <w:lang w:val="ru-RU"/>
        </w:rPr>
      </w:pPr>
      <w:r w:rsidRPr="00500A19">
        <w:rPr>
          <w:u w:val="single"/>
          <w:lang w:val="ru-RU"/>
        </w:rPr>
        <w:t>Управление, ориентированное на результаты</w:t>
      </w:r>
    </w:p>
    <w:p w14:paraId="67E2CF9D" w14:textId="77777777" w:rsidR="00315952" w:rsidRPr="00500A19" w:rsidRDefault="00315952" w:rsidP="00315952">
      <w:pPr>
        <w:rPr>
          <w:rFonts w:cstheme="minorHAnsi"/>
          <w:szCs w:val="24"/>
        </w:rPr>
      </w:pPr>
      <w:r w:rsidRPr="00500A19">
        <w:t>Управление, ориентированное на результаты (УОР), – это стратегия управления, при которой все участники, прямо или косвенно способствующие достижению ряда результатов, обеспечивают, чтобы их процессы, продукты и услуги содействовали достижению желаемых результатов (намеченных результатов деятельности, конечных результатов и целей более высокого уровня или воздействия). Участники, в свою очередь, используют информацию и данные по фактическим результатам для обоснования принятия решений по проектированию, обеспечению ресурсами и реализации программ и видов деятельности, а также для подотчетности и отчетности.</w:t>
      </w:r>
    </w:p>
    <w:p w14:paraId="0343B9B8" w14:textId="77777777" w:rsidR="00315952" w:rsidRPr="00500A19" w:rsidRDefault="00315952" w:rsidP="00315952">
      <w:pPr>
        <w:pStyle w:val="Headingb"/>
        <w:rPr>
          <w:u w:val="single"/>
          <w:lang w:val="ru-RU"/>
        </w:rPr>
      </w:pPr>
      <w:r w:rsidRPr="00500A19">
        <w:rPr>
          <w:u w:val="single"/>
          <w:lang w:val="ru-RU"/>
        </w:rPr>
        <w:t>Приоритеты МСЭ-D</w:t>
      </w:r>
    </w:p>
    <w:p w14:paraId="583868BC" w14:textId="77777777" w:rsidR="00315952" w:rsidRPr="00500A19" w:rsidRDefault="00315952" w:rsidP="00315952">
      <w:pPr>
        <w:rPr>
          <w:rFonts w:cstheme="minorHAnsi"/>
          <w:szCs w:val="24"/>
        </w:rPr>
      </w:pPr>
      <w:r w:rsidRPr="00500A19">
        <w:t>Приоритеты МСЭ-D перечислены в Бакинском плане действий, с тем чтобы упростить выполнение мандата МСЭ-D и предоставить БРЭ руководящие указания на следующий цикл планирования о том, чего стремится достичь МСЭ-D, в соответствии с общим принципом УОР, а также стратегическими целями и тематическими приоритетами Союза.</w:t>
      </w:r>
    </w:p>
    <w:p w14:paraId="0716EA8A" w14:textId="77777777" w:rsidR="00315952" w:rsidRPr="00500A19" w:rsidRDefault="00315952" w:rsidP="00315952">
      <w:pPr>
        <w:pStyle w:val="Headingb"/>
        <w:rPr>
          <w:u w:val="single"/>
          <w:lang w:val="ru-RU"/>
        </w:rPr>
      </w:pPr>
      <w:r w:rsidRPr="00500A19">
        <w:rPr>
          <w:u w:val="single"/>
          <w:lang w:val="ru-RU"/>
        </w:rPr>
        <w:t>Средства достижения целей</w:t>
      </w:r>
    </w:p>
    <w:p w14:paraId="15306C61" w14:textId="04986D32" w:rsidR="00315952" w:rsidRPr="00500A19" w:rsidRDefault="00315952" w:rsidP="00315952">
      <w:pPr>
        <w:rPr>
          <w:rFonts w:cstheme="minorHAnsi"/>
          <w:szCs w:val="24"/>
        </w:rPr>
      </w:pPr>
      <w:r w:rsidRPr="00500A19">
        <w:t>В Стратегическом плане МСЭ на 2024–2027 годы средства достижения целей определяются как способы работы, которые позволяют Союзу более эффективно и результативно достигать своих целей и приоритетов. Они отражают ценности Союза – эффективность, прозрачность и подотчетность, открытость, универсальность и нейтральность, ориентация на человека, ориентация на услуги и нацеленность на результат. Для достижения этих целей МСЭ использует свои основные сильные стороны и устраняет слабые стороны, чтобы иметь возможность поддерживать своих</w:t>
      </w:r>
      <w:r w:rsidR="00FE528A" w:rsidRPr="00500A19">
        <w:t> </w:t>
      </w:r>
      <w:r w:rsidRPr="00500A19">
        <w:t>членов.</w:t>
      </w:r>
    </w:p>
    <w:p w14:paraId="7DBA7A36" w14:textId="77777777" w:rsidR="00315952" w:rsidRPr="00500A19" w:rsidRDefault="00315952" w:rsidP="00315952">
      <w:pPr>
        <w:pStyle w:val="Headingb"/>
        <w:rPr>
          <w:u w:val="single"/>
          <w:lang w:val="ru-RU"/>
        </w:rPr>
      </w:pPr>
      <w:r w:rsidRPr="00500A19">
        <w:rPr>
          <w:u w:val="single"/>
          <w:lang w:val="ru-RU"/>
        </w:rPr>
        <w:t>Результаты</w:t>
      </w:r>
    </w:p>
    <w:p w14:paraId="75EF5390" w14:textId="77777777" w:rsidR="00315952" w:rsidRPr="00500A19" w:rsidRDefault="00315952" w:rsidP="00315952">
      <w:pPr>
        <w:rPr>
          <w:rFonts w:cstheme="minorHAnsi"/>
          <w:szCs w:val="24"/>
        </w:rPr>
      </w:pPr>
      <w:r w:rsidRPr="00500A19">
        <w:t>Результаты являются изменениями в состоянии или условиях вследствие причинно-следственного взаимодействия. Существуют три вида таких изменений – намеченные результаты деятельности, конечные результаты и воздействие – которые могут приводиться в действие мерами в области развития. Изменения могут быть намеренными и непреднамеренными, позитивными и/или негативными.</w:t>
      </w:r>
    </w:p>
    <w:p w14:paraId="7965B584" w14:textId="77777777" w:rsidR="00315952" w:rsidRPr="00500A19" w:rsidRDefault="00315952" w:rsidP="00315952">
      <w:pPr>
        <w:pStyle w:val="Headingb"/>
        <w:rPr>
          <w:u w:val="single"/>
          <w:lang w:val="ru-RU"/>
        </w:rPr>
      </w:pPr>
      <w:r w:rsidRPr="00500A19">
        <w:rPr>
          <w:u w:val="single"/>
          <w:lang w:val="ru-RU"/>
        </w:rPr>
        <w:t>Конечные результаты</w:t>
      </w:r>
    </w:p>
    <w:p w14:paraId="4DF1930C" w14:textId="77777777" w:rsidR="00315952" w:rsidRPr="00500A19" w:rsidRDefault="00315952" w:rsidP="00315952">
      <w:pPr>
        <w:rPr>
          <w:rFonts w:cstheme="minorHAnsi"/>
          <w:szCs w:val="24"/>
        </w:rPr>
      </w:pPr>
      <w:r w:rsidRPr="00500A19">
        <w:t>Конечные результаты представляют собой изменения институционального и поведенческого потенциала для условий развития, которые имеют место после достижения намеченных результатов деятельности и до достижения целей.</w:t>
      </w:r>
    </w:p>
    <w:p w14:paraId="47A30435" w14:textId="77777777" w:rsidR="00315952" w:rsidRPr="00500A19" w:rsidRDefault="00315952" w:rsidP="00315952">
      <w:pPr>
        <w:rPr>
          <w:rFonts w:cstheme="minorHAnsi"/>
          <w:szCs w:val="24"/>
        </w:rPr>
      </w:pPr>
      <w:r w:rsidRPr="00500A19">
        <w:t>Конечные результаты касаются изменений в институциональных показателях деятельности или поведении отдельных лиц или групп, и их достижение в решающей степени зависит от приверженности и действий заинтересованных сторон, а также от результатов, которые должны быть достигнуты правительствами.</w:t>
      </w:r>
    </w:p>
    <w:p w14:paraId="53E53EB8" w14:textId="77777777" w:rsidR="00315952" w:rsidRPr="00500A19" w:rsidRDefault="00315952" w:rsidP="00315952">
      <w:pPr>
        <w:pStyle w:val="Headingb"/>
        <w:rPr>
          <w:u w:val="single"/>
          <w:lang w:val="ru-RU"/>
        </w:rPr>
      </w:pPr>
      <w:r w:rsidRPr="00500A19">
        <w:rPr>
          <w:u w:val="single"/>
          <w:lang w:val="ru-RU"/>
        </w:rPr>
        <w:t>Намеченные результаты деятельности</w:t>
      </w:r>
    </w:p>
    <w:p w14:paraId="1CA3EE0A" w14:textId="77777777" w:rsidR="00315952" w:rsidRPr="00500A19" w:rsidRDefault="00315952" w:rsidP="00315952">
      <w:pPr>
        <w:rPr>
          <w:rFonts w:cstheme="minorHAnsi"/>
          <w:szCs w:val="24"/>
        </w:rPr>
      </w:pPr>
      <w:r w:rsidRPr="00500A19">
        <w:t xml:space="preserve">Намеченные результаты деятельности представляют собой изменения навыков или способностей и возможностей отдельных лиц или организаций, либо доступность новых продуктов и услуг в результате завершения деятельности в рамках мер в области развития, </w:t>
      </w:r>
      <w:r w:rsidRPr="00500A19">
        <w:rPr>
          <w:i/>
          <w:iCs/>
        </w:rPr>
        <w:t>подконтрольных организации</w:t>
      </w:r>
      <w:r w:rsidRPr="00500A19">
        <w:t>. Они достигаются на основе предоставляемых ресурсов и в период времени, указанный в Оперативном плане МСЭ-D.</w:t>
      </w:r>
    </w:p>
    <w:p w14:paraId="57EFBD43" w14:textId="77777777" w:rsidR="00315952" w:rsidRPr="00500A19" w:rsidRDefault="00315952" w:rsidP="00315952">
      <w:pPr>
        <w:rPr>
          <w:rFonts w:cstheme="minorHAnsi"/>
          <w:szCs w:val="24"/>
        </w:rPr>
      </w:pPr>
      <w:r w:rsidRPr="00500A19">
        <w:t xml:space="preserve">В Плане действий МСЭ-D указано, что намеченные результаты деятельности – это специализированные "продукты и услуги", предлагаемые в рамках мандата МСЭ-D, установленного </w:t>
      </w:r>
      <w:r w:rsidRPr="00500A19">
        <w:lastRenderedPageBreak/>
        <w:t>в Статье 21 Устава МСЭ, включая, в том числе, создание потенциала и распространение технического опыта и знаний МСЭ. Намеченные результаты деятельности МСЭ-D дополнительно уточнены в Оперативном плане МСЭ-D.</w:t>
      </w:r>
    </w:p>
    <w:p w14:paraId="233CA60F" w14:textId="77777777" w:rsidR="00315952" w:rsidRPr="00500A19" w:rsidRDefault="00315952" w:rsidP="00315952">
      <w:pPr>
        <w:pStyle w:val="Headingb"/>
        <w:rPr>
          <w:u w:val="single"/>
          <w:lang w:val="ru-RU"/>
        </w:rPr>
      </w:pPr>
      <w:r w:rsidRPr="00500A19">
        <w:rPr>
          <w:u w:val="single"/>
          <w:lang w:val="ru-RU"/>
        </w:rPr>
        <w:t>Воздействие</w:t>
      </w:r>
    </w:p>
    <w:p w14:paraId="68BB4472" w14:textId="7B9C9022" w:rsidR="00315952" w:rsidRPr="00500A19" w:rsidRDefault="00315952" w:rsidP="00315952">
      <w:pPr>
        <w:rPr>
          <w:rFonts w:cstheme="minorHAnsi"/>
          <w:szCs w:val="24"/>
        </w:rPr>
      </w:pPr>
      <w:r w:rsidRPr="00500A19">
        <w:t>Воздействие подразумевает изменения в жизни людей. Это могут быть изменения в знаниях, квалификации, поведении, состоянии здоровья или условиях жизни детей, взрослых, семей или сообществ. Эти изменения оказывают положительное или отрицательное долгосрочное влияние на поддающиеся определению группы населения в результате воздействия изменений, прямого или косвенного, намеренного или ненамеренного. Эти последствия могут быть экономическими, социально-культурными, институциональными, экологическими, технологическими или других видов.</w:t>
      </w:r>
    </w:p>
    <w:p w14:paraId="733DAFB0" w14:textId="77777777" w:rsidR="00315952" w:rsidRPr="00500A19" w:rsidRDefault="00315952" w:rsidP="00315952">
      <w:pPr>
        <w:pStyle w:val="Headingb"/>
        <w:rPr>
          <w:u w:val="single"/>
          <w:lang w:val="ru-RU"/>
        </w:rPr>
      </w:pPr>
      <w:r w:rsidRPr="00500A19">
        <w:rPr>
          <w:u w:val="single"/>
          <w:lang w:val="ru-RU"/>
        </w:rPr>
        <w:t>Ключевые показатели деятельности</w:t>
      </w:r>
    </w:p>
    <w:p w14:paraId="2089F0D2" w14:textId="77777777" w:rsidR="00315952" w:rsidRPr="00500A19" w:rsidRDefault="00315952" w:rsidP="00315952">
      <w:pPr>
        <w:rPr>
          <w:rFonts w:cstheme="minorHAnsi"/>
          <w:szCs w:val="24"/>
        </w:rPr>
      </w:pPr>
      <w:r w:rsidRPr="00500A19">
        <w:t>Ключевые показатели деятельности (KPI), связанные с Бакинским планом действий и Оперативным планом МСЭ-D, обеспечивают Государствам-Членам возможность отслеживать прогресс и воздействие реализации вышеупомянутых планов, включая приоритеты МСЭ-D.</w:t>
      </w:r>
    </w:p>
    <w:p w14:paraId="66E861C2" w14:textId="361FCEB6" w:rsidR="00315952" w:rsidRPr="00500A19" w:rsidRDefault="00315952" w:rsidP="00315952">
      <w:pPr>
        <w:rPr>
          <w:rFonts w:cstheme="minorHAnsi"/>
          <w:szCs w:val="24"/>
        </w:rPr>
      </w:pPr>
      <w:r w:rsidRPr="00500A19">
        <w:t>Помимо глобальных KPI, мониторинг и оценка выполнения Бакинского плана действий должны включать представление данных в разбивке в тех случаях, когда это важно и когда это позволяет получить более полное представление о какой-либо ключевой проблеме. Например, разбивка данных по НРС, ЛЛДС и СИДС, а также по регионам в рамках этих категорий может выявить диспропорции, которые могут быть скрыты в едином глобальном KPI. В представлении данных в разбивке следует учитывать сведения о гендерной принадлежности, возрасте, географическим положении и любые другие дезагрегированные сведения, относящиеся к преодолению цифрового разрыва.</w:t>
      </w:r>
    </w:p>
    <w:p w14:paraId="7BFB3587" w14:textId="77777777" w:rsidR="00315952" w:rsidRPr="00500A19" w:rsidRDefault="00315952" w:rsidP="00315952">
      <w:pPr>
        <w:rPr>
          <w:rFonts w:cstheme="minorHAnsi"/>
          <w:szCs w:val="24"/>
        </w:rPr>
      </w:pPr>
      <w:r w:rsidRPr="00500A19">
        <w:rPr>
          <w:b/>
          <w:bCs/>
        </w:rPr>
        <w:t>Показатели конечных результатов</w:t>
      </w:r>
      <w:r w:rsidRPr="00500A19">
        <w:t xml:space="preserve"> отслеживают изменения и воздействие на уровне стран, в которые вносит вклад БРЭ, т. е. те, которые возникают в результате внедрения продуктов и услуг, разработанных БРЭ.</w:t>
      </w:r>
    </w:p>
    <w:p w14:paraId="6F416504" w14:textId="77777777" w:rsidR="00315952" w:rsidRPr="00500A19" w:rsidRDefault="00315952" w:rsidP="00315952">
      <w:pPr>
        <w:rPr>
          <w:rFonts w:cstheme="minorHAnsi"/>
          <w:szCs w:val="24"/>
        </w:rPr>
      </w:pPr>
      <w:r w:rsidRPr="00500A19">
        <w:rPr>
          <w:b/>
          <w:bCs/>
        </w:rPr>
        <w:t>Показатели намеченных результатов деятельности</w:t>
      </w:r>
      <w:r w:rsidRPr="00500A19">
        <w:t xml:space="preserve"> измеряют достижения, связанные с разработкой продуктов или услуг (намеченных результатов деятельности), разработанных БРЭ, и поэтому устанавливаются БРЭ на уровне оперативного плана и контролируются внутри организации.</w:t>
      </w:r>
    </w:p>
    <w:p w14:paraId="3ACD36BA" w14:textId="77777777" w:rsidR="00315952" w:rsidRPr="00500A19" w:rsidRDefault="00315952" w:rsidP="00315952">
      <w:pPr>
        <w:pStyle w:val="Headingb"/>
        <w:rPr>
          <w:u w:val="single"/>
          <w:lang w:val="ru-RU"/>
        </w:rPr>
      </w:pPr>
      <w:r w:rsidRPr="00500A19">
        <w:rPr>
          <w:u w:val="single"/>
          <w:lang w:val="ru-RU"/>
        </w:rPr>
        <w:t>Оперативный план МСЭ-D</w:t>
      </w:r>
    </w:p>
    <w:p w14:paraId="6DB9432D" w14:textId="77777777" w:rsidR="00315952" w:rsidRPr="00500A19" w:rsidRDefault="00315952" w:rsidP="00315952">
      <w:pPr>
        <w:rPr>
          <w:rFonts w:cstheme="minorHAnsi"/>
          <w:szCs w:val="24"/>
        </w:rPr>
      </w:pPr>
      <w:r w:rsidRPr="00500A19">
        <w:t>Оперативный план МСЭ-D составляет на ежегодной основе БРЭ при консультации с Консультативной группой по развитию электросвязи (КГРЭ) в соответствии с Планом действий МСЭ-D, а также Стратегическим и Финансовым планами Союза. Он включает подробный план деятельности на следующий год и прогноз на последующий трехгодичный период для МСЭ-D. Совет МСЭ рассматривает и утверждает четырехгодичный скользящий оперативный план МСЭ-D.</w:t>
      </w:r>
    </w:p>
    <w:p w14:paraId="77530BBB" w14:textId="77777777" w:rsidR="00315952" w:rsidRPr="00500A19" w:rsidRDefault="00315952" w:rsidP="00315952">
      <w:pPr>
        <w:pStyle w:val="Headingb"/>
        <w:rPr>
          <w:u w:val="single"/>
          <w:lang w:val="ru-RU"/>
        </w:rPr>
      </w:pPr>
      <w:r w:rsidRPr="00500A19">
        <w:rPr>
          <w:u w:val="single"/>
          <w:lang w:val="ru-RU"/>
        </w:rPr>
        <w:t>Региональные инициативы и другие проекты</w:t>
      </w:r>
    </w:p>
    <w:p w14:paraId="47F604D6" w14:textId="77777777" w:rsidR="00315952" w:rsidRPr="00500A19" w:rsidRDefault="00315952" w:rsidP="00315952">
      <w:pPr>
        <w:rPr>
          <w:rFonts w:cstheme="minorHAnsi"/>
          <w:szCs w:val="24"/>
        </w:rPr>
      </w:pPr>
      <w:r w:rsidRPr="00500A19">
        <w:t>Региональные инициативы рассчитаны на работу в конкретных приоритетных областях электросвязи/ИКТ на основе партнерских отношений и мобилизации ресурсов для выполнения проектов. В рамках каждой региональной инициативы предлагаются, разрабатываются и осуществляются проекты в целях удовлетворения потребностей данного региона. Продукты и услуги, подлежащие разработке в рамках региональных инициатив в целях выполнения соответствующих задач и достижения конечных результатов, приведенных во вкладе МСЭ-D в Стратегический план МСЭ, будут определены в соответствующих документах по проектам.</w:t>
      </w:r>
    </w:p>
    <w:p w14:paraId="442461FB" w14:textId="77777777" w:rsidR="00315952" w:rsidRPr="00500A19" w:rsidRDefault="00315952" w:rsidP="00315952">
      <w:pPr>
        <w:rPr>
          <w:rFonts w:cstheme="minorHAnsi"/>
          <w:szCs w:val="24"/>
        </w:rPr>
      </w:pPr>
      <w:r w:rsidRPr="00500A19">
        <w:t xml:space="preserve">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w:t>
      </w:r>
      <w:r w:rsidRPr="00500A19">
        <w:lastRenderedPageBreak/>
        <w:t>по финансированию с целью содействия развитию электросвязи/ИКТ и его ускорения, МСЭ-D предлагает, организует и координирует деятельность по оказанию помощи в виде технического сотрудничества через региональные инициативы и проекты.</w:t>
      </w:r>
    </w:p>
    <w:p w14:paraId="42CFA4AA" w14:textId="77777777" w:rsidR="00315952" w:rsidRPr="00500A19" w:rsidRDefault="00315952" w:rsidP="00315952">
      <w:pPr>
        <w:pStyle w:val="Headingb"/>
        <w:rPr>
          <w:u w:val="single"/>
          <w:lang w:val="ru-RU"/>
        </w:rPr>
      </w:pPr>
      <w:r w:rsidRPr="00500A19">
        <w:rPr>
          <w:u w:val="single"/>
          <w:lang w:val="ru-RU"/>
        </w:rPr>
        <w:t>Партнерские отношения</w:t>
      </w:r>
    </w:p>
    <w:p w14:paraId="32ECD65D" w14:textId="77777777" w:rsidR="00315952" w:rsidRPr="00500A19" w:rsidRDefault="00315952" w:rsidP="00315952">
      <w:pPr>
        <w:rPr>
          <w:rFonts w:cstheme="minorHAnsi"/>
          <w:szCs w:val="24"/>
        </w:rPr>
      </w:pPr>
      <w:r w:rsidRPr="00500A19">
        <w:t>БРЭ продолжит развивать партнерские отношения с широким кругом заинтересованных сторон, включая другие учреждения системы Организации Объединенных Наций и региональные организации электросвязи, для мобилизации ресурсов финансирующих организаций, международных финансовых институтов, Государств – Членов МСЭ, Членов Сектора МСЭ-D и других соответствующих партнеров. При осуществлении проектов следует принимать во внимание специальные знания и опыт, имеющиеся на местном и региональном уровнях.</w:t>
      </w:r>
    </w:p>
    <w:p w14:paraId="42E88800" w14:textId="77777777" w:rsidR="00315952" w:rsidRPr="00500A19" w:rsidRDefault="00315952" w:rsidP="00315952">
      <w:pPr>
        <w:pStyle w:val="Heading1"/>
        <w:rPr>
          <w:rFonts w:cstheme="minorHAnsi"/>
          <w:szCs w:val="24"/>
        </w:rPr>
      </w:pPr>
      <w:r w:rsidRPr="00500A19">
        <w:t>3</w:t>
      </w:r>
      <w:r w:rsidRPr="00500A19">
        <w:tab/>
        <w:t>Приоритеты, конечные результаты, намеченные результаты деятельности и средства достижения целей МСЭ-D</w:t>
      </w:r>
    </w:p>
    <w:p w14:paraId="6DB63626" w14:textId="77777777" w:rsidR="00315952" w:rsidRPr="00500A19" w:rsidRDefault="00315952" w:rsidP="00315952">
      <w:pPr>
        <w:pStyle w:val="Heading2"/>
      </w:pPr>
      <w:r w:rsidRPr="00500A19">
        <w:t>3.1</w:t>
      </w:r>
      <w:r w:rsidRPr="00500A19">
        <w:tab/>
        <w:t>Структура Бакинского плана действий</w:t>
      </w:r>
    </w:p>
    <w:p w14:paraId="02483AF5" w14:textId="77777777" w:rsidR="00315952" w:rsidRPr="00500A19" w:rsidRDefault="00315952" w:rsidP="00315952">
      <w:pPr>
        <w:rPr>
          <w:rFonts w:cstheme="minorHAnsi"/>
          <w:color w:val="000000"/>
          <w:szCs w:val="24"/>
        </w:rPr>
      </w:pPr>
      <w:r w:rsidRPr="00500A19">
        <w:t>Бакинский план действий основывается на системе УОР, базирующейся на приоритетах МСЭ-D, определенных как ключевые области работы, которые будут поддерживать выполнение Стратегического плана МСЭ на 2024–2027 годы.</w:t>
      </w:r>
    </w:p>
    <w:p w14:paraId="280A72E4" w14:textId="77777777" w:rsidR="00315952" w:rsidRPr="00500A19" w:rsidRDefault="00315952" w:rsidP="00315952">
      <w:r w:rsidRPr="00500A19">
        <w:t>На Рисунке 1 представлена структура Бакинского плана действий и его вклад в Стратегический план МСЭ.</w:t>
      </w:r>
    </w:p>
    <w:p w14:paraId="33E65CEA" w14:textId="77777777" w:rsidR="00315952" w:rsidRPr="00500A19" w:rsidRDefault="00315952" w:rsidP="00315952">
      <w:pPr>
        <w:pStyle w:val="Figure"/>
      </w:pPr>
      <w:r w:rsidRPr="00500A19">
        <w:drawing>
          <wp:inline distT="0" distB="0" distL="0" distR="0" wp14:anchorId="40366DE2" wp14:editId="1628A5C3">
            <wp:extent cx="6172200" cy="3559810"/>
            <wp:effectExtent l="0" t="0" r="0" b="2540"/>
            <wp:docPr id="116514213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42134" name="Picture 1" descr="A screenshot of a computer&#10;&#10;AI-generated content may be incorrect."/>
                    <pic:cNvPicPr>
                      <a:picLocks noChangeAspect="1" noChangeArrowheads="1"/>
                    </pic:cNvPicPr>
                  </pic:nvPicPr>
                  <pic:blipFill rotWithShape="1">
                    <a:blip r:embed="rId118" cstate="print">
                      <a:extLst>
                        <a:ext uri="{28A0092B-C50C-407E-A947-70E740481C1C}">
                          <a14:useLocalDpi xmlns:a14="http://schemas.microsoft.com/office/drawing/2010/main" val="0"/>
                        </a:ext>
                      </a:extLst>
                    </a:blip>
                    <a:srcRect r="1222"/>
                    <a:stretch/>
                  </pic:blipFill>
                  <pic:spPr bwMode="auto">
                    <a:xfrm>
                      <a:off x="0" y="0"/>
                      <a:ext cx="6173223" cy="3560400"/>
                    </a:xfrm>
                    <a:prstGeom prst="rect">
                      <a:avLst/>
                    </a:prstGeom>
                    <a:noFill/>
                    <a:ln>
                      <a:noFill/>
                    </a:ln>
                    <a:extLst>
                      <a:ext uri="{53640926-AAD7-44D8-BBD7-CCE9431645EC}">
                        <a14:shadowObscured xmlns:a14="http://schemas.microsoft.com/office/drawing/2010/main"/>
                      </a:ext>
                    </a:extLst>
                  </pic:spPr>
                </pic:pic>
              </a:graphicData>
            </a:graphic>
          </wp:inline>
        </w:drawing>
      </w:r>
    </w:p>
    <w:p w14:paraId="27873D73" w14:textId="77777777" w:rsidR="00315952" w:rsidRPr="00500A19" w:rsidRDefault="00315952" w:rsidP="00315952">
      <w:pPr>
        <w:pStyle w:val="Heading2"/>
        <w:pageBreakBefore/>
      </w:pPr>
      <w:r w:rsidRPr="00500A19">
        <w:lastRenderedPageBreak/>
        <w:t>3.2</w:t>
      </w:r>
      <w:r w:rsidRPr="00500A19">
        <w:tab/>
        <w:t>Приоритеты МСЭ-D</w:t>
      </w:r>
    </w:p>
    <w:p w14:paraId="0A4D2059" w14:textId="77777777" w:rsidR="00315952" w:rsidRPr="00500A19" w:rsidRDefault="00315952" w:rsidP="00315952">
      <w:pPr>
        <w:pStyle w:val="Headingb"/>
        <w:rPr>
          <w:rFonts w:cstheme="minorHAnsi"/>
          <w:szCs w:val="24"/>
          <w:u w:val="single"/>
          <w:lang w:val="ru-RU"/>
        </w:rPr>
      </w:pPr>
      <w:r w:rsidRPr="00500A19">
        <w:rPr>
          <w:u w:val="single"/>
          <w:lang w:val="ru-RU"/>
        </w:rPr>
        <w:t>Возможность установления приемлемых в ценовом отношении соединений</w:t>
      </w:r>
    </w:p>
    <w:p w14:paraId="4BDEB951" w14:textId="55B5D587" w:rsidR="00315952" w:rsidRPr="00500A19" w:rsidRDefault="00315952" w:rsidP="00315952">
      <w:pPr>
        <w:rPr>
          <w:rFonts w:cstheme="minorHAnsi"/>
          <w:szCs w:val="24"/>
        </w:rPr>
      </w:pPr>
      <w:r w:rsidRPr="00500A19">
        <w:t>Цель данного приоритета – содействовать доступу к электросвязи/ИКТ для всех, в том числе к интернету, услугам цифровой связи, службам космической радиосвязи, широкополосной связи, услугам и устройствам голосовой связи, по разумной и доступной цене для отдельных лиц или домашних хозяйств в сравнении с их доходами, не создавая при этом финансовых трудностей. В рамках данного приоритета БРЭ продолжит оказывать помощь Государствам-Членам в развитии инфраструктуры и услуг электросвязи/ИКТ, расширении широкополосного доступа и покрытия широкополосной связи, обеспечении электросвязи в чрезвычайных ситуациях и устойчивости к риску бедствий.</w:t>
      </w:r>
    </w:p>
    <w:p w14:paraId="3A78411A" w14:textId="77777777" w:rsidR="00315952" w:rsidRPr="00500A19" w:rsidRDefault="00315952" w:rsidP="00315952">
      <w:pPr>
        <w:pStyle w:val="Headingi"/>
        <w:spacing w:after="120"/>
        <w:rPr>
          <w:rFonts w:cstheme="minorHAnsi"/>
          <w:color w:val="000000"/>
          <w:szCs w:val="24"/>
        </w:rPr>
      </w:pPr>
      <w:r w:rsidRPr="00500A19">
        <w:t>Конечные результаты и показатели (KPI)</w:t>
      </w:r>
    </w:p>
    <w:tbl>
      <w:tblPr>
        <w:tblStyle w:val="GridTable4-Accent1"/>
        <w:tblW w:w="5000" w:type="pct"/>
        <w:jc w:val="center"/>
        <w:tblLook w:val="04A0" w:firstRow="1" w:lastRow="0" w:firstColumn="1" w:lastColumn="0" w:noHBand="0" w:noVBand="1"/>
      </w:tblPr>
      <w:tblGrid>
        <w:gridCol w:w="5804"/>
        <w:gridCol w:w="3825"/>
      </w:tblGrid>
      <w:tr w:rsidR="00315952" w:rsidRPr="00500A19" w14:paraId="0CDD5F14" w14:textId="77777777" w:rsidTr="0031595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014" w:type="pct"/>
          </w:tcPr>
          <w:p w14:paraId="326652C5" w14:textId="77777777" w:rsidR="00315952" w:rsidRPr="00500A19" w:rsidRDefault="00315952" w:rsidP="00A21606">
            <w:pPr>
              <w:spacing w:before="80" w:after="80"/>
              <w:rPr>
                <w:rFonts w:cstheme="minorHAnsi"/>
                <w:sz w:val="20"/>
                <w:szCs w:val="20"/>
              </w:rPr>
            </w:pPr>
            <w:r w:rsidRPr="00500A19">
              <w:rPr>
                <w:sz w:val="20"/>
                <w:szCs w:val="20"/>
              </w:rPr>
              <w:t>Конечные результаты</w:t>
            </w:r>
          </w:p>
        </w:tc>
        <w:tc>
          <w:tcPr>
            <w:tcW w:w="1986" w:type="pct"/>
          </w:tcPr>
          <w:p w14:paraId="1A821E9E" w14:textId="77777777" w:rsidR="00315952" w:rsidRPr="00500A19" w:rsidRDefault="00315952" w:rsidP="00A21606">
            <w:pPr>
              <w:spacing w:before="80" w:after="8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00A19">
              <w:rPr>
                <w:sz w:val="20"/>
                <w:szCs w:val="20"/>
              </w:rPr>
              <w:t>Показатели</w:t>
            </w:r>
          </w:p>
        </w:tc>
      </w:tr>
      <w:tr w:rsidR="00315952" w:rsidRPr="00500A19" w14:paraId="09C7CF79" w14:textId="77777777" w:rsidTr="003159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4" w:type="pct"/>
            <w:tcBorders>
              <w:bottom w:val="single" w:sz="4" w:space="0" w:color="95B3D7" w:themeColor="accent1" w:themeTint="99"/>
            </w:tcBorders>
          </w:tcPr>
          <w:p w14:paraId="23954747" w14:textId="7777777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Расширение возможности установления широкополосных соединений в развивающихся странах, в том числе наименее развитых странах (НРС), малых островных развивающихся государствах (СИДС) и развивающихся странах, не имеющих выхода к морю (ЛЛДС), странах с переходной экономикой и странах, находящихся в особо трудном положении</w:t>
            </w:r>
          </w:p>
        </w:tc>
        <w:tc>
          <w:tcPr>
            <w:tcW w:w="1986" w:type="pct"/>
            <w:vMerge w:val="restart"/>
            <w:tcBorders>
              <w:bottom w:val="single" w:sz="4" w:space="0" w:color="95B3D7" w:themeColor="accent1" w:themeTint="99"/>
            </w:tcBorders>
          </w:tcPr>
          <w:p w14:paraId="30DC2D6F" w14:textId="77777777" w:rsidR="00315952" w:rsidRPr="00500A19" w:rsidRDefault="00315952" w:rsidP="00A21606">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00A19">
              <w:rPr>
                <w:b/>
                <w:bCs/>
                <w:color w:val="000000"/>
                <w:sz w:val="20"/>
                <w:szCs w:val="20"/>
              </w:rPr>
              <w:t>Будет определено позднее</w:t>
            </w:r>
          </w:p>
        </w:tc>
      </w:tr>
      <w:tr w:rsidR="00315952" w:rsidRPr="00500A19" w14:paraId="54936602" w14:textId="77777777" w:rsidTr="00315952">
        <w:trPr>
          <w:jc w:val="center"/>
        </w:trPr>
        <w:tc>
          <w:tcPr>
            <w:cnfStyle w:val="001000000000" w:firstRow="0" w:lastRow="0" w:firstColumn="1" w:lastColumn="0" w:oddVBand="0" w:evenVBand="0" w:oddHBand="0" w:evenHBand="0" w:firstRowFirstColumn="0" w:firstRowLastColumn="0" w:lastRowFirstColumn="0" w:lastRowLastColumn="0"/>
            <w:tcW w:w="3014" w:type="pct"/>
            <w:tcBorders>
              <w:bottom w:val="single" w:sz="4" w:space="0" w:color="95B3D7" w:themeColor="accent1" w:themeTint="99"/>
            </w:tcBorders>
          </w:tcPr>
          <w:p w14:paraId="516F07C2" w14:textId="7777777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Совершенствование инфраструктуры и услуг электросвязи/ИКТ, в частности охвата широкополосной связью</w:t>
            </w:r>
          </w:p>
        </w:tc>
        <w:tc>
          <w:tcPr>
            <w:tcW w:w="1986" w:type="pct"/>
            <w:vMerge/>
            <w:tcBorders>
              <w:bottom w:val="single" w:sz="4" w:space="0" w:color="95B3D7" w:themeColor="accent1" w:themeTint="99"/>
            </w:tcBorders>
          </w:tcPr>
          <w:p w14:paraId="2B897D29" w14:textId="77777777" w:rsidR="00315952" w:rsidRPr="00500A19" w:rsidRDefault="00315952" w:rsidP="00A21606">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15952" w:rsidRPr="00500A19" w14:paraId="2A31ED9C" w14:textId="77777777" w:rsidTr="003159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4" w:type="pct"/>
          </w:tcPr>
          <w:p w14:paraId="35BD4BF2" w14:textId="7777777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Укрепление потенциала Государств-Членов для использования электросвязи/ИКТ с целью снижения рисков бедствий и управления операциями при бедствиях, для обеспечения наличия электросвязи в чрезвычайных ситуациях</w:t>
            </w:r>
          </w:p>
        </w:tc>
        <w:tc>
          <w:tcPr>
            <w:tcW w:w="1986" w:type="pct"/>
            <w:vMerge/>
          </w:tcPr>
          <w:p w14:paraId="3A174800" w14:textId="77777777" w:rsidR="00315952" w:rsidRPr="00500A19" w:rsidRDefault="00315952" w:rsidP="00A21606">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587549B2" w14:textId="77777777" w:rsidR="00315952" w:rsidRPr="00500A19" w:rsidRDefault="00315952" w:rsidP="00315952">
      <w:pPr>
        <w:pStyle w:val="Headingb"/>
        <w:rPr>
          <w:rFonts w:cstheme="minorHAnsi"/>
          <w:szCs w:val="24"/>
          <w:u w:val="single"/>
          <w:lang w:val="ru-RU"/>
        </w:rPr>
      </w:pPr>
      <w:r w:rsidRPr="00500A19">
        <w:rPr>
          <w:u w:val="single"/>
          <w:lang w:val="ru-RU"/>
        </w:rPr>
        <w:t>Цифровая трансформация</w:t>
      </w:r>
    </w:p>
    <w:p w14:paraId="26990B35" w14:textId="77777777" w:rsidR="00315952" w:rsidRPr="00500A19" w:rsidRDefault="00315952" w:rsidP="00315952">
      <w:pPr>
        <w:rPr>
          <w:rFonts w:cstheme="minorHAnsi"/>
          <w:szCs w:val="24"/>
        </w:rPr>
      </w:pPr>
      <w:r w:rsidRPr="00500A19">
        <w:t>Цель данного приоритета – содействие развитию и использованию электросвязи/ИКТ, а также приложений и услуг для устранения цифрового разрыва и расширения прав и возможностей отдельных людей и обществ в интересах устойчивого развития.</w:t>
      </w:r>
    </w:p>
    <w:p w14:paraId="584FA60D" w14:textId="533EBBA3" w:rsidR="00315952" w:rsidRPr="00500A19" w:rsidRDefault="00315952" w:rsidP="00315952">
      <w:pPr>
        <w:rPr>
          <w:rFonts w:cstheme="minorHAnsi"/>
          <w:szCs w:val="24"/>
        </w:rPr>
      </w:pPr>
      <w:r w:rsidRPr="00500A19">
        <w:t>В рамках этого приоритета будут определены новые подходы, вовлекающие Государства-Члены и другие заинтересованные стороны, в том числе стартапы, МСП, предпринимателей, государственно-частные партнерства (ГЧП), а также государственные и частные компании, в процесс цифровой трансформации для поддержки интеграции инноваций в области ИКТ и национальных программ развития при одновременном выявлении потребностей и реализации инициатив на национальном уровне.</w:t>
      </w:r>
    </w:p>
    <w:p w14:paraId="02A22A9A" w14:textId="77777777" w:rsidR="00315952" w:rsidRPr="00500A19" w:rsidRDefault="00315952" w:rsidP="00315952">
      <w:r w:rsidRPr="00500A19">
        <w:t>Признавая, что электросвязь/ИКТ сопряжены с рисками, вызовами и возможностями, МСЭ продолжит помогать в использовании электросвязи/ИКТ для мониторинга изменения климата, смягчения его последствий и адаптации к нему, содействуя цифровым решениям, которые повышают энергоэффективность и сокращают выбросы углерода, и защищая здоровье людей и окружающую среду от электронных отходов. Экологические аспекты, касающиеся изменения климата и интеграции соображений экологической устойчивости, играют важную роль в содействии устойчивой цифровой трансформации, что также соответствует Стратегии обеспечения устойчивости в системе Организации Объединенных Наций на 2020–2030 годы.</w:t>
      </w:r>
    </w:p>
    <w:p w14:paraId="3184C7FC" w14:textId="4DF8CF36" w:rsidR="00315952" w:rsidRPr="00500A19" w:rsidRDefault="00315952">
      <w:pPr>
        <w:overflowPunct/>
        <w:autoSpaceDE/>
        <w:autoSpaceDN/>
        <w:adjustRightInd/>
        <w:spacing w:before="0"/>
        <w:textAlignment w:val="auto"/>
        <w:rPr>
          <w:rFonts w:cstheme="minorHAnsi"/>
          <w:szCs w:val="24"/>
        </w:rPr>
      </w:pPr>
      <w:r w:rsidRPr="00500A19">
        <w:rPr>
          <w:rFonts w:cstheme="minorHAnsi"/>
          <w:szCs w:val="24"/>
        </w:rPr>
        <w:br w:type="page"/>
      </w:r>
    </w:p>
    <w:p w14:paraId="2248FC50" w14:textId="77777777" w:rsidR="00315952" w:rsidRPr="00500A19" w:rsidRDefault="00315952" w:rsidP="00315952">
      <w:pPr>
        <w:pStyle w:val="Headingi"/>
        <w:spacing w:after="120"/>
      </w:pPr>
      <w:r w:rsidRPr="00500A19">
        <w:lastRenderedPageBreak/>
        <w:t>Конечные результаты и показатели (KPI)</w:t>
      </w:r>
    </w:p>
    <w:tbl>
      <w:tblPr>
        <w:tblStyle w:val="GridTable4-Accent1"/>
        <w:tblW w:w="5000" w:type="pct"/>
        <w:tblLayout w:type="fixed"/>
        <w:tblLook w:val="04A0" w:firstRow="1" w:lastRow="0" w:firstColumn="1" w:lastColumn="0" w:noHBand="0" w:noVBand="1"/>
      </w:tblPr>
      <w:tblGrid>
        <w:gridCol w:w="5804"/>
        <w:gridCol w:w="3825"/>
      </w:tblGrid>
      <w:tr w:rsidR="00315952" w:rsidRPr="00500A19" w14:paraId="27426F86" w14:textId="77777777" w:rsidTr="00A216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4" w:type="dxa"/>
          </w:tcPr>
          <w:p w14:paraId="65043C8A" w14:textId="77777777" w:rsidR="00315952" w:rsidRPr="00500A19" w:rsidRDefault="00315952" w:rsidP="00A21606">
            <w:pPr>
              <w:keepNext/>
              <w:keepLines/>
              <w:spacing w:before="80" w:after="80"/>
              <w:rPr>
                <w:rFonts w:cstheme="minorHAnsi"/>
                <w:sz w:val="20"/>
                <w:szCs w:val="20"/>
              </w:rPr>
            </w:pPr>
            <w:r w:rsidRPr="00500A19">
              <w:rPr>
                <w:sz w:val="20"/>
                <w:szCs w:val="20"/>
              </w:rPr>
              <w:t>Конечные результаты</w:t>
            </w:r>
          </w:p>
        </w:tc>
        <w:tc>
          <w:tcPr>
            <w:tcW w:w="3825" w:type="dxa"/>
          </w:tcPr>
          <w:p w14:paraId="6E9362CE" w14:textId="77777777" w:rsidR="00315952" w:rsidRPr="00500A19" w:rsidRDefault="00315952" w:rsidP="00A21606">
            <w:pPr>
              <w:keepNext/>
              <w:keepLines/>
              <w:spacing w:before="80" w:after="8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00A19">
              <w:rPr>
                <w:sz w:val="20"/>
                <w:szCs w:val="20"/>
              </w:rPr>
              <w:t>Показатели</w:t>
            </w:r>
          </w:p>
        </w:tc>
      </w:tr>
      <w:tr w:rsidR="00315952" w:rsidRPr="00500A19" w14:paraId="216B9F0C" w14:textId="77777777" w:rsidTr="00A2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Pr>
          <w:p w14:paraId="3ABD36BB" w14:textId="77777777" w:rsidR="00315952" w:rsidRPr="00500A19" w:rsidRDefault="00315952" w:rsidP="00A21606">
            <w:pPr>
              <w:keepNext/>
              <w:keepLines/>
              <w:spacing w:before="40" w:after="40"/>
              <w:rPr>
                <w:rFonts w:cstheme="minorHAnsi"/>
                <w:b w:val="0"/>
                <w:bCs w:val="0"/>
                <w:sz w:val="20"/>
                <w:szCs w:val="20"/>
              </w:rPr>
            </w:pPr>
            <w:r w:rsidRPr="00500A19">
              <w:rPr>
                <w:b w:val="0"/>
                <w:bCs w:val="0"/>
                <w:color w:val="000000"/>
                <w:sz w:val="20"/>
                <w:szCs w:val="20"/>
              </w:rPr>
              <w:t>Повышение способности ускорять цифровую трансформацию и устойчивое развитие путем использования и применения новых и появляющихся технологий и услуг электросвязи/ИКТ</w:t>
            </w:r>
          </w:p>
        </w:tc>
        <w:tc>
          <w:tcPr>
            <w:tcW w:w="3825" w:type="dxa"/>
            <w:vMerge w:val="restart"/>
          </w:tcPr>
          <w:p w14:paraId="07E96F9D" w14:textId="77777777" w:rsidR="00315952" w:rsidRPr="00500A19" w:rsidRDefault="00315952" w:rsidP="00A21606">
            <w:pPr>
              <w:keepNext/>
              <w:keepLines/>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00A19">
              <w:rPr>
                <w:b/>
                <w:bCs/>
                <w:color w:val="000000"/>
                <w:sz w:val="20"/>
                <w:szCs w:val="20"/>
              </w:rPr>
              <w:t>Будет определено позднее</w:t>
            </w:r>
          </w:p>
        </w:tc>
      </w:tr>
      <w:tr w:rsidR="00315952" w:rsidRPr="00500A19" w14:paraId="4E8FA69B" w14:textId="77777777" w:rsidTr="00A21606">
        <w:tc>
          <w:tcPr>
            <w:cnfStyle w:val="001000000000" w:firstRow="0" w:lastRow="0" w:firstColumn="1" w:lastColumn="0" w:oddVBand="0" w:evenVBand="0" w:oddHBand="0" w:evenHBand="0" w:firstRowFirstColumn="0" w:firstRowLastColumn="0" w:lastRowFirstColumn="0" w:lastRowLastColumn="0"/>
            <w:tcW w:w="5804" w:type="dxa"/>
          </w:tcPr>
          <w:p w14:paraId="38C14E00" w14:textId="7777777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 xml:space="preserve">Укрепление человеческого и институционального потенциала </w:t>
            </w:r>
            <w:r w:rsidRPr="00500A19">
              <w:rPr>
                <w:b w:val="0"/>
                <w:bCs w:val="0"/>
                <w:sz w:val="20"/>
                <w:szCs w:val="20"/>
              </w:rPr>
              <w:t>Ч</w:t>
            </w:r>
            <w:r w:rsidRPr="00500A19">
              <w:rPr>
                <w:b w:val="0"/>
                <w:bCs w:val="0"/>
                <w:color w:val="000000"/>
                <w:sz w:val="20"/>
                <w:szCs w:val="20"/>
              </w:rPr>
              <w:t>ленов МСЭ в области электросвязи/ИКТ для содействия цифровой трансформации</w:t>
            </w:r>
          </w:p>
        </w:tc>
        <w:tc>
          <w:tcPr>
            <w:tcW w:w="3825" w:type="dxa"/>
            <w:vMerge/>
          </w:tcPr>
          <w:p w14:paraId="6ADA2A24" w14:textId="77777777" w:rsidR="00315952" w:rsidRPr="00500A19" w:rsidRDefault="00315952" w:rsidP="00A21606">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15952" w:rsidRPr="00500A19" w14:paraId="18E1C21E" w14:textId="77777777" w:rsidTr="00A2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4" w:type="dxa"/>
          </w:tcPr>
          <w:p w14:paraId="77F76824" w14:textId="77777777" w:rsidR="00315952" w:rsidRPr="00500A19" w:rsidRDefault="00315952" w:rsidP="00A21606">
            <w:pPr>
              <w:keepNext/>
              <w:keepLines/>
              <w:spacing w:before="40" w:after="40"/>
              <w:rPr>
                <w:rFonts w:cstheme="minorHAnsi"/>
                <w:b w:val="0"/>
                <w:bCs w:val="0"/>
                <w:sz w:val="20"/>
                <w:szCs w:val="20"/>
              </w:rPr>
            </w:pPr>
            <w:r w:rsidRPr="00500A19">
              <w:rPr>
                <w:b w:val="0"/>
                <w:bCs w:val="0"/>
                <w:color w:val="000000"/>
                <w:sz w:val="20"/>
                <w:szCs w:val="20"/>
              </w:rPr>
              <w:t>Укрепление потенциала для разработки и интеграции инноваций в области электросвязи/ИКТ и цифровизации в национальные повестки дня в сфере развития</w:t>
            </w:r>
          </w:p>
        </w:tc>
        <w:tc>
          <w:tcPr>
            <w:tcW w:w="3825" w:type="dxa"/>
            <w:vMerge/>
          </w:tcPr>
          <w:p w14:paraId="69631321" w14:textId="77777777" w:rsidR="00315952" w:rsidRPr="00500A19" w:rsidRDefault="00315952" w:rsidP="00A21606">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15952" w:rsidRPr="00500A19" w14:paraId="1BD7431C" w14:textId="77777777" w:rsidTr="00A21606">
        <w:tc>
          <w:tcPr>
            <w:cnfStyle w:val="001000000000" w:firstRow="0" w:lastRow="0" w:firstColumn="1" w:lastColumn="0" w:oddVBand="0" w:evenVBand="0" w:oddHBand="0" w:evenHBand="0" w:firstRowFirstColumn="0" w:firstRowLastColumn="0" w:lastRowFirstColumn="0" w:lastRowLastColumn="0"/>
            <w:tcW w:w="5804" w:type="dxa"/>
          </w:tcPr>
          <w:p w14:paraId="27E0A64F" w14:textId="7777777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Укрепление потенциала для разработки стратегий и решений в области электросвязи/ИКТ по адаптации к изменению климата и смягчению его последствий, а также использования "зеленой"/возобновляемой энергии</w:t>
            </w:r>
          </w:p>
        </w:tc>
        <w:tc>
          <w:tcPr>
            <w:tcW w:w="3825" w:type="dxa"/>
            <w:vMerge/>
          </w:tcPr>
          <w:p w14:paraId="7058DB05" w14:textId="77777777" w:rsidR="00315952" w:rsidRPr="00500A19" w:rsidRDefault="00315952" w:rsidP="00A21606">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r>
    </w:tbl>
    <w:p w14:paraId="2C36390D" w14:textId="77777777" w:rsidR="00315952" w:rsidRPr="00500A19" w:rsidRDefault="00315952" w:rsidP="00315952">
      <w:pPr>
        <w:pStyle w:val="Headingb"/>
        <w:rPr>
          <w:u w:val="single"/>
          <w:lang w:val="ru-RU"/>
        </w:rPr>
      </w:pPr>
      <w:r w:rsidRPr="00500A19">
        <w:rPr>
          <w:u w:val="single"/>
          <w:lang w:val="ru-RU"/>
        </w:rPr>
        <w:t>Благоприятная политическая и регуляторная среда</w:t>
      </w:r>
    </w:p>
    <w:p w14:paraId="3737842F" w14:textId="77777777" w:rsidR="00315952" w:rsidRPr="00500A19" w:rsidRDefault="00315952" w:rsidP="00315952">
      <w:pPr>
        <w:rPr>
          <w:rFonts w:cstheme="minorHAnsi"/>
          <w:szCs w:val="24"/>
        </w:rPr>
      </w:pPr>
      <w:r w:rsidRPr="00500A19">
        <w:t>Цель настоящего приоритета – содействие созданию благоприятной политической и регуляторной среды, которая реагирует на технологические и рыночные инновации и позволяет максимально эффективно использовать широкое сотрудничество и принятие решений на основе данных для стимулирования устойчивых и жизнеспособных инвестиций в инфраструктуру и инновационные экономические модели, содействуя устойчивому цифровому росту и более широкому внедрению электросвязи/ИКТ.</w:t>
      </w:r>
    </w:p>
    <w:p w14:paraId="67D6DE75" w14:textId="77777777" w:rsidR="00315952" w:rsidRPr="00500A19" w:rsidRDefault="00315952" w:rsidP="00315952">
      <w:pPr>
        <w:rPr>
          <w:rFonts w:cstheme="minorHAnsi"/>
          <w:szCs w:val="24"/>
        </w:rPr>
      </w:pPr>
      <w:r w:rsidRPr="00500A19">
        <w:t>Устойчивость этой среды зависит от гибких и дееспособных администраций и регуляторных органов, обладающих автономией для принятия решений, основанных на фактических данных, которые способствуют развитию различных бизнес-моделей, а также для защиты интересов и расширения прав и возможностей всех потребителей на рынке. Кроме того, эта работа обеспечит поддержку реализации принципов прозрачности и подотчетности в рамках политики и регулирования, при разработке которых учитываются точки зрения всех заинтересованных сторон, и позволит изучить модели совместного регулирования, когда это целесообразно.</w:t>
      </w:r>
    </w:p>
    <w:p w14:paraId="3921111C" w14:textId="77777777" w:rsidR="00315952" w:rsidRPr="00500A19" w:rsidRDefault="00315952" w:rsidP="00315952">
      <w:pPr>
        <w:pStyle w:val="Headingi"/>
        <w:spacing w:after="120"/>
      </w:pPr>
      <w:r w:rsidRPr="00500A19">
        <w:t>Конечные результаты и показатели (KPI)</w:t>
      </w:r>
    </w:p>
    <w:tbl>
      <w:tblPr>
        <w:tblStyle w:val="GridTable4-Accent1"/>
        <w:tblW w:w="5000" w:type="pct"/>
        <w:jc w:val="center"/>
        <w:tblLayout w:type="fixed"/>
        <w:tblLook w:val="04A0" w:firstRow="1" w:lastRow="0" w:firstColumn="1" w:lastColumn="0" w:noHBand="0" w:noVBand="1"/>
      </w:tblPr>
      <w:tblGrid>
        <w:gridCol w:w="5807"/>
        <w:gridCol w:w="3822"/>
      </w:tblGrid>
      <w:tr w:rsidR="00315952" w:rsidRPr="00500A19" w14:paraId="44BFCD0B" w14:textId="77777777" w:rsidTr="00A2160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07" w:type="dxa"/>
          </w:tcPr>
          <w:p w14:paraId="449A3A82" w14:textId="77777777" w:rsidR="00315952" w:rsidRPr="00500A19" w:rsidRDefault="00315952" w:rsidP="00A21606">
            <w:pPr>
              <w:spacing w:before="80" w:after="80"/>
              <w:jc w:val="both"/>
              <w:rPr>
                <w:rFonts w:cstheme="minorHAnsi"/>
                <w:sz w:val="20"/>
                <w:szCs w:val="20"/>
              </w:rPr>
            </w:pPr>
            <w:r w:rsidRPr="00500A19">
              <w:rPr>
                <w:sz w:val="20"/>
                <w:szCs w:val="20"/>
              </w:rPr>
              <w:t>Конечные результаты</w:t>
            </w:r>
          </w:p>
        </w:tc>
        <w:tc>
          <w:tcPr>
            <w:tcW w:w="3822" w:type="dxa"/>
          </w:tcPr>
          <w:p w14:paraId="6BC3772C" w14:textId="77777777" w:rsidR="00315952" w:rsidRPr="00500A19" w:rsidRDefault="00315952" w:rsidP="00A21606">
            <w:pPr>
              <w:spacing w:before="80" w:after="8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00A19">
              <w:rPr>
                <w:sz w:val="20"/>
                <w:szCs w:val="20"/>
              </w:rPr>
              <w:t>Показатели</w:t>
            </w:r>
          </w:p>
        </w:tc>
      </w:tr>
      <w:tr w:rsidR="00315952" w:rsidRPr="00500A19" w14:paraId="3B4E94CD" w14:textId="77777777" w:rsidTr="00A21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7" w:type="dxa"/>
          </w:tcPr>
          <w:p w14:paraId="0D29F4CB" w14:textId="77777777" w:rsidR="00315952" w:rsidRPr="00500A19" w:rsidRDefault="00315952" w:rsidP="00A21606">
            <w:pPr>
              <w:spacing w:before="40" w:after="40"/>
              <w:rPr>
                <w:rFonts w:cstheme="minorHAnsi"/>
                <w:b w:val="0"/>
                <w:bCs w:val="0"/>
                <w:color w:val="404040" w:themeColor="text1" w:themeTint="BF"/>
                <w:sz w:val="20"/>
                <w:szCs w:val="20"/>
              </w:rPr>
            </w:pPr>
            <w:r w:rsidRPr="00500A19">
              <w:rPr>
                <w:b w:val="0"/>
                <w:bCs w:val="0"/>
                <w:color w:val="000000"/>
                <w:sz w:val="20"/>
                <w:szCs w:val="20"/>
              </w:rPr>
              <w:t>Укрепление потенциала Государств-Членов для совершенствования своей политики и нормативно-правовой базы в области электросвязи/ИКТ, способствующих устойчивому развитию и цифровой трансформации</w:t>
            </w:r>
          </w:p>
        </w:tc>
        <w:tc>
          <w:tcPr>
            <w:tcW w:w="3822" w:type="dxa"/>
            <w:vMerge w:val="restart"/>
          </w:tcPr>
          <w:p w14:paraId="1DA0C266" w14:textId="77777777" w:rsidR="00315952" w:rsidRPr="00500A19" w:rsidRDefault="00315952" w:rsidP="00A21606">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00A19">
              <w:rPr>
                <w:b/>
                <w:bCs/>
                <w:color w:val="000000"/>
                <w:sz w:val="20"/>
                <w:szCs w:val="20"/>
              </w:rPr>
              <w:t>Будет определено позднее</w:t>
            </w:r>
          </w:p>
        </w:tc>
      </w:tr>
      <w:tr w:rsidR="00315952" w:rsidRPr="00500A19" w14:paraId="11D65E2D" w14:textId="77777777" w:rsidTr="00A21606">
        <w:trPr>
          <w:jc w:val="center"/>
        </w:trPr>
        <w:tc>
          <w:tcPr>
            <w:cnfStyle w:val="001000000000" w:firstRow="0" w:lastRow="0" w:firstColumn="1" w:lastColumn="0" w:oddVBand="0" w:evenVBand="0" w:oddHBand="0" w:evenHBand="0" w:firstRowFirstColumn="0" w:firstRowLastColumn="0" w:lastRowFirstColumn="0" w:lastRowLastColumn="0"/>
            <w:tcW w:w="5807" w:type="dxa"/>
            <w:tcBorders>
              <w:bottom w:val="single" w:sz="4" w:space="0" w:color="95B3D7" w:themeColor="accent1" w:themeTint="99"/>
            </w:tcBorders>
          </w:tcPr>
          <w:p w14:paraId="50AF5CD4" w14:textId="77777777" w:rsidR="00315952" w:rsidRPr="00500A19" w:rsidRDefault="00315952" w:rsidP="00A21606">
            <w:pPr>
              <w:spacing w:before="40" w:after="40"/>
              <w:rPr>
                <w:rFonts w:cstheme="minorHAnsi"/>
                <w:b w:val="0"/>
                <w:bCs w:val="0"/>
                <w:color w:val="404040" w:themeColor="text1" w:themeTint="BF"/>
                <w:sz w:val="20"/>
                <w:szCs w:val="20"/>
              </w:rPr>
            </w:pPr>
            <w:r w:rsidRPr="00500A19">
              <w:rPr>
                <w:b w:val="0"/>
                <w:bCs w:val="0"/>
                <w:color w:val="000000"/>
                <w:sz w:val="20"/>
                <w:szCs w:val="20"/>
              </w:rPr>
              <w:t>Укрепление потенциала Государств-Членов для создания и сбора высококачественных и сопоставимых на международном уровне статистических данных, в которых отражены достижения и тенденции в области электросвязи/ИКТ, возможные благодаря новым и появляющимся технологиям и услугам, на основе согласованных стандартов и методик</w:t>
            </w:r>
          </w:p>
        </w:tc>
        <w:tc>
          <w:tcPr>
            <w:tcW w:w="3822" w:type="dxa"/>
            <w:vMerge/>
            <w:tcBorders>
              <w:bottom w:val="single" w:sz="4" w:space="0" w:color="95B3D7" w:themeColor="accent1" w:themeTint="99"/>
            </w:tcBorders>
          </w:tcPr>
          <w:p w14:paraId="7289217B" w14:textId="77777777" w:rsidR="00315952" w:rsidRPr="00500A19" w:rsidRDefault="00315952" w:rsidP="00A21606">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iCs/>
                <w:color w:val="1259AD"/>
                <w:sz w:val="20"/>
                <w:szCs w:val="20"/>
              </w:rPr>
            </w:pPr>
          </w:p>
        </w:tc>
      </w:tr>
    </w:tbl>
    <w:p w14:paraId="67E7ACCD" w14:textId="77777777" w:rsidR="00315952" w:rsidRPr="00500A19" w:rsidRDefault="00315952" w:rsidP="00315952">
      <w:pPr>
        <w:pStyle w:val="Headingb"/>
        <w:rPr>
          <w:u w:val="single"/>
          <w:lang w:val="ru-RU"/>
        </w:rPr>
      </w:pPr>
      <w:r w:rsidRPr="00500A19">
        <w:rPr>
          <w:u w:val="single"/>
          <w:lang w:val="ru-RU"/>
        </w:rPr>
        <w:t>Мобилизация ресурсов и международное сотрудничество</w:t>
      </w:r>
    </w:p>
    <w:p w14:paraId="3DDD271D" w14:textId="77777777" w:rsidR="00315952" w:rsidRPr="00500A19" w:rsidRDefault="00315952" w:rsidP="00315952">
      <w:pPr>
        <w:rPr>
          <w:rFonts w:cstheme="minorHAnsi"/>
          <w:szCs w:val="24"/>
        </w:rPr>
      </w:pPr>
      <w:r w:rsidRPr="00500A19">
        <w:t xml:space="preserve">Цель настоящего приоритета – мобилизация и привлечение ресурсов для развивающихся стран для удовлетворения их соответствующих потребностей с помощью локализованных решений и содействия международному сотрудничеству по вопросам развития электросвязи/ИКТ. В ходе данного процесса различные и конкретные потребности развивающихся стран, в том числе наименее развитых стран (НРС), малых островных развивающихся государств (СИДС), развивающихся стран, не </w:t>
      </w:r>
      <w:r w:rsidRPr="00500A19">
        <w:lastRenderedPageBreak/>
        <w:t>имеющих выхода к морю (ЛЛДС), и стран с переходной экономикой, а также недостаточно обслуживаемых и уязвимых групп населения следует отнести к числу приоритетных и уделять им должное внимание.</w:t>
      </w:r>
    </w:p>
    <w:p w14:paraId="683259ED" w14:textId="77777777" w:rsidR="00315952" w:rsidRPr="00500A19" w:rsidRDefault="00315952" w:rsidP="00315952">
      <w:pPr>
        <w:rPr>
          <w:rFonts w:cstheme="minorHAnsi"/>
          <w:szCs w:val="24"/>
        </w:rPr>
      </w:pPr>
      <w:r w:rsidRPr="00500A19">
        <w:t>Кроме того, потребности в финансировании не всегда учитывают конкретные экономические реалии и приоритеты развития этих стран, что ограничивает их возможность участвовать в важнейших проектах в области цифрового развития и/или осуществлять такие проекты. Кроме того, такие проблемы, как ограниченный доступ к техническим знаниям, нехватка местных данных для оценки проектов и сильная зависимость от внешних сторон, еще более осложняют работу по получению права на финансирование.</w:t>
      </w:r>
    </w:p>
    <w:p w14:paraId="6EB0C37E" w14:textId="77777777" w:rsidR="00315952" w:rsidRPr="00500A19" w:rsidRDefault="00315952" w:rsidP="00315952">
      <w:r w:rsidRPr="00500A19">
        <w:t>Для устранения этих пробелов с целью обеспечения широкого доступа и предоставления развивающимся странам равных возможностей для участия в усилиях по мобилизации ресурсов и/или получения соответствующих преимуществ, крайне важно развивать инновационные партнерства, принимать практические и гибкие требования, а также обеспечивать прозрачность в отношении факторов, учитываемых различными механизмами финансирования. Следует также проводить адресные инициативы по созданию потенциала, с тем чтобы укрепить способность этих стран понимать и удовлетворять потребности в финансировании, эффективно управлять выделенными ресурсами, ориентироваться в процессах финансирования и самостоятельно поддерживать и масштабировать инициативы после их первоначального внедрения. МСЭ также признает значение развития стратегических партнерств с учреждениями системы Организации Объединенных Наций и другими организациями, в том числе органами, занимающимися стандартизацией, для укрепления сотрудничества в целях решения проблем в секторе электросвязи/ИКТ для выполнения Направлений деятельности ВВУИО и достижения ЦУР на период до 2030 года. Эти партнерские отношения обеспечивают устойчивость работы МСЭ и расширяют его потенциальное воздействие, благодаря тому, что организация главным образом ориентируется на свой мандат специализированного учреждения ООН в области электросвязи/ИКТ, а также признание работы и компетенции других учреждений.</w:t>
      </w:r>
    </w:p>
    <w:p w14:paraId="0E48B648" w14:textId="77777777" w:rsidR="00315952" w:rsidRPr="00500A19" w:rsidRDefault="00315952" w:rsidP="00315952">
      <w:pPr>
        <w:pStyle w:val="Headingi"/>
        <w:spacing w:after="120"/>
      </w:pPr>
      <w:r w:rsidRPr="00500A19">
        <w:t>Конечные результаты и показатели (KPI)</w:t>
      </w:r>
    </w:p>
    <w:tbl>
      <w:tblPr>
        <w:tblStyle w:val="GridTable4-Accent1"/>
        <w:tblW w:w="5000" w:type="pct"/>
        <w:tblLayout w:type="fixed"/>
        <w:tblLook w:val="04A0" w:firstRow="1" w:lastRow="0" w:firstColumn="1" w:lastColumn="0" w:noHBand="0" w:noVBand="1"/>
      </w:tblPr>
      <w:tblGrid>
        <w:gridCol w:w="5818"/>
        <w:gridCol w:w="3811"/>
      </w:tblGrid>
      <w:tr w:rsidR="00315952" w:rsidRPr="00500A19" w14:paraId="13B54B14" w14:textId="77777777" w:rsidTr="00A216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8" w:type="dxa"/>
          </w:tcPr>
          <w:p w14:paraId="1685A53A" w14:textId="77777777" w:rsidR="00315952" w:rsidRPr="00500A19" w:rsidRDefault="00315952" w:rsidP="00A21606">
            <w:pPr>
              <w:spacing w:before="80" w:after="80"/>
              <w:jc w:val="both"/>
              <w:rPr>
                <w:rFonts w:cstheme="minorHAnsi"/>
                <w:sz w:val="20"/>
                <w:szCs w:val="20"/>
              </w:rPr>
            </w:pPr>
            <w:r w:rsidRPr="00500A19">
              <w:rPr>
                <w:sz w:val="20"/>
                <w:szCs w:val="20"/>
              </w:rPr>
              <w:t>Конечные результаты</w:t>
            </w:r>
          </w:p>
        </w:tc>
        <w:tc>
          <w:tcPr>
            <w:tcW w:w="3811" w:type="dxa"/>
          </w:tcPr>
          <w:p w14:paraId="202056F9" w14:textId="77777777" w:rsidR="00315952" w:rsidRPr="00500A19" w:rsidRDefault="00315952" w:rsidP="00A21606">
            <w:pPr>
              <w:spacing w:before="80" w:after="8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00A19">
              <w:rPr>
                <w:sz w:val="20"/>
                <w:szCs w:val="20"/>
              </w:rPr>
              <w:t>Показатели</w:t>
            </w:r>
          </w:p>
        </w:tc>
      </w:tr>
      <w:tr w:rsidR="00315952" w:rsidRPr="00500A19" w14:paraId="72957601" w14:textId="77777777" w:rsidTr="00A21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8" w:type="dxa"/>
          </w:tcPr>
          <w:p w14:paraId="2D0DEFB8" w14:textId="7D2C40A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Укрепление стратегии мобилизации ресурсов благодаря сотрудничеству с международными и региональными институтами, занимающимися вопросами финансирования</w:t>
            </w:r>
            <w:r w:rsidR="00FE528A" w:rsidRPr="00500A19">
              <w:rPr>
                <w:b w:val="0"/>
                <w:bCs w:val="0"/>
                <w:color w:val="000000"/>
                <w:sz w:val="20"/>
                <w:szCs w:val="20"/>
              </w:rPr>
              <w:t> </w:t>
            </w:r>
            <w:r w:rsidRPr="00500A19">
              <w:rPr>
                <w:b w:val="0"/>
                <w:bCs w:val="0"/>
                <w:color w:val="000000"/>
                <w:sz w:val="20"/>
                <w:szCs w:val="20"/>
              </w:rPr>
              <w:t>и</w:t>
            </w:r>
            <w:r w:rsidR="00FE528A" w:rsidRPr="00500A19">
              <w:rPr>
                <w:b w:val="0"/>
                <w:bCs w:val="0"/>
                <w:color w:val="000000"/>
                <w:sz w:val="20"/>
                <w:szCs w:val="20"/>
              </w:rPr>
              <w:t> </w:t>
            </w:r>
            <w:r w:rsidRPr="00500A19">
              <w:rPr>
                <w:b w:val="0"/>
                <w:bCs w:val="0"/>
                <w:color w:val="000000"/>
                <w:sz w:val="20"/>
                <w:szCs w:val="20"/>
              </w:rPr>
              <w:t>развития</w:t>
            </w:r>
          </w:p>
        </w:tc>
        <w:tc>
          <w:tcPr>
            <w:tcW w:w="3811" w:type="dxa"/>
            <w:vMerge w:val="restart"/>
          </w:tcPr>
          <w:p w14:paraId="0AB23B31" w14:textId="77777777" w:rsidR="00315952" w:rsidRPr="00500A19" w:rsidRDefault="00315952" w:rsidP="00A21606">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00A19">
              <w:rPr>
                <w:b/>
                <w:bCs/>
                <w:color w:val="000000"/>
                <w:sz w:val="20"/>
                <w:szCs w:val="20"/>
              </w:rPr>
              <w:t>Будет определено позднее</w:t>
            </w:r>
          </w:p>
        </w:tc>
      </w:tr>
      <w:tr w:rsidR="00315952" w:rsidRPr="00500A19" w14:paraId="3B2A1B60" w14:textId="77777777" w:rsidTr="00A21606">
        <w:tc>
          <w:tcPr>
            <w:cnfStyle w:val="001000000000" w:firstRow="0" w:lastRow="0" w:firstColumn="1" w:lastColumn="0" w:oddVBand="0" w:evenVBand="0" w:oddHBand="0" w:evenHBand="0" w:firstRowFirstColumn="0" w:firstRowLastColumn="0" w:lastRowFirstColumn="0" w:lastRowLastColumn="0"/>
            <w:tcW w:w="5818" w:type="dxa"/>
          </w:tcPr>
          <w:p w14:paraId="6ADCEED6" w14:textId="7777777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Укрепление совместного планирования, сотрудничества и взаимодействия на уровне системы Организации Объединенных Наций и с институтами, занимающимися вопросами финансирования и развития, на международном и региональном уровнях, для достижения ЦУР на период до 2030 года, связанных с вопросами развития электросвязи/ИКТ</w:t>
            </w:r>
          </w:p>
        </w:tc>
        <w:tc>
          <w:tcPr>
            <w:tcW w:w="3811" w:type="dxa"/>
            <w:vMerge/>
          </w:tcPr>
          <w:p w14:paraId="38C365EE" w14:textId="77777777" w:rsidR="00315952" w:rsidRPr="00500A19" w:rsidRDefault="00315952" w:rsidP="00A21606">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r>
    </w:tbl>
    <w:p w14:paraId="59690964" w14:textId="77777777" w:rsidR="00315952" w:rsidRPr="00500A19" w:rsidRDefault="00315952" w:rsidP="00315952">
      <w:pPr>
        <w:pStyle w:val="Headingb"/>
        <w:rPr>
          <w:u w:val="single"/>
          <w:lang w:val="ru-RU"/>
        </w:rPr>
      </w:pPr>
      <w:r w:rsidRPr="00500A19">
        <w:rPr>
          <w:u w:val="single"/>
          <w:lang w:val="ru-RU"/>
        </w:rPr>
        <w:t>Инклюзивная, безопасная и защищенная электросвязь/ИКТ для устойчивого развития</w:t>
      </w:r>
    </w:p>
    <w:p w14:paraId="2D9A212A" w14:textId="77777777" w:rsidR="00315952" w:rsidRPr="00500A19" w:rsidRDefault="00315952" w:rsidP="00315952">
      <w:pPr>
        <w:rPr>
          <w:rFonts w:cstheme="minorHAnsi"/>
          <w:szCs w:val="24"/>
        </w:rPr>
      </w:pPr>
      <w:r w:rsidRPr="00500A19">
        <w:t>Цель настоящего приоритета – оказание поддержки Государствам-Членам в обеспечении защищенной электросвязи/ИКТ для цифрового развития, безопасного и полноценного доступа к электросвязи/ИКТ в интересах всех. В частности, в рамках приоритета решаются проблемы, связанные с укреплением доверия и безопасности при использовании ИКТ, обеспечивается содействие охвату ИКТ, особенно среди женщин, молодежи, лиц с ограниченными возможностями и лиц с особыми потребностями, а также предоставление адресной поддержки наименее развитым странам (НРС), развивающимся странам, не имеющим выхода к морю (ЛЛДС), и малым островным развивающимся государствам (СИДС).</w:t>
      </w:r>
    </w:p>
    <w:p w14:paraId="0CF707F3" w14:textId="77777777" w:rsidR="00315952" w:rsidRPr="00500A19" w:rsidRDefault="00315952" w:rsidP="00315952">
      <w:pPr>
        <w:pStyle w:val="Headingi"/>
        <w:pageBreakBefore/>
        <w:spacing w:before="80" w:after="80"/>
      </w:pPr>
      <w:r w:rsidRPr="00500A19">
        <w:lastRenderedPageBreak/>
        <w:t>Конечные результаты и показатели (KPI)</w:t>
      </w:r>
    </w:p>
    <w:tbl>
      <w:tblPr>
        <w:tblStyle w:val="GridTable4-Accent1"/>
        <w:tblW w:w="5000" w:type="pct"/>
        <w:jc w:val="center"/>
        <w:tblLayout w:type="fixed"/>
        <w:tblLook w:val="04A0" w:firstRow="1" w:lastRow="0" w:firstColumn="1" w:lastColumn="0" w:noHBand="0" w:noVBand="1"/>
      </w:tblPr>
      <w:tblGrid>
        <w:gridCol w:w="5818"/>
        <w:gridCol w:w="3811"/>
      </w:tblGrid>
      <w:tr w:rsidR="00315952" w:rsidRPr="00500A19" w14:paraId="71361752" w14:textId="77777777" w:rsidTr="00A2160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18" w:type="dxa"/>
          </w:tcPr>
          <w:p w14:paraId="7BF8B7E3" w14:textId="77777777" w:rsidR="00315952" w:rsidRPr="00500A19" w:rsidRDefault="00315952" w:rsidP="00A21606">
            <w:pPr>
              <w:spacing w:before="40" w:after="40"/>
              <w:jc w:val="both"/>
              <w:rPr>
                <w:rFonts w:cstheme="minorHAnsi"/>
                <w:sz w:val="20"/>
                <w:szCs w:val="20"/>
              </w:rPr>
            </w:pPr>
            <w:r w:rsidRPr="00500A19">
              <w:rPr>
                <w:sz w:val="20"/>
                <w:szCs w:val="20"/>
              </w:rPr>
              <w:t>Конечные результаты</w:t>
            </w:r>
          </w:p>
        </w:tc>
        <w:tc>
          <w:tcPr>
            <w:tcW w:w="3811" w:type="dxa"/>
          </w:tcPr>
          <w:p w14:paraId="0FB36BAA" w14:textId="77777777" w:rsidR="00315952" w:rsidRPr="00500A19" w:rsidRDefault="00315952" w:rsidP="00A21606">
            <w:pPr>
              <w:spacing w:before="40" w:after="4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00A19">
              <w:rPr>
                <w:sz w:val="20"/>
                <w:szCs w:val="20"/>
              </w:rPr>
              <w:t>Показатели</w:t>
            </w:r>
          </w:p>
        </w:tc>
      </w:tr>
      <w:tr w:rsidR="00315952" w:rsidRPr="00500A19" w14:paraId="13627687" w14:textId="77777777" w:rsidTr="00A21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8" w:type="dxa"/>
          </w:tcPr>
          <w:p w14:paraId="43299854" w14:textId="77777777" w:rsidR="00315952" w:rsidRPr="00500A19" w:rsidRDefault="00315952" w:rsidP="00A21606">
            <w:pPr>
              <w:spacing w:before="40" w:after="40"/>
              <w:rPr>
                <w:rFonts w:cstheme="minorHAnsi"/>
                <w:b w:val="0"/>
                <w:bCs w:val="0"/>
                <w:color w:val="404040" w:themeColor="text1" w:themeTint="BF"/>
                <w:sz w:val="20"/>
                <w:szCs w:val="20"/>
              </w:rPr>
            </w:pPr>
            <w:r w:rsidRPr="00500A19">
              <w:rPr>
                <w:b w:val="0"/>
                <w:bCs w:val="0"/>
                <w:color w:val="000000"/>
                <w:sz w:val="20"/>
                <w:szCs w:val="20"/>
              </w:rPr>
              <w:t>Повышение уровня грамотности и осведомленности по вопросам кибербезопасности, включая защиту ребенка в онлайновой среде</w:t>
            </w:r>
          </w:p>
        </w:tc>
        <w:tc>
          <w:tcPr>
            <w:tcW w:w="3811" w:type="dxa"/>
            <w:vMerge w:val="restart"/>
          </w:tcPr>
          <w:p w14:paraId="2DC5ABF4" w14:textId="77777777" w:rsidR="00315952" w:rsidRPr="00500A19" w:rsidRDefault="00315952" w:rsidP="00A21606">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b/>
                <w:bCs/>
                <w:color w:val="1259AD"/>
                <w:sz w:val="20"/>
                <w:szCs w:val="20"/>
              </w:rPr>
            </w:pPr>
            <w:r w:rsidRPr="00500A19">
              <w:rPr>
                <w:b/>
                <w:bCs/>
                <w:color w:val="000000"/>
                <w:sz w:val="20"/>
                <w:szCs w:val="20"/>
              </w:rPr>
              <w:t>Будет определено позднее</w:t>
            </w:r>
          </w:p>
        </w:tc>
      </w:tr>
      <w:tr w:rsidR="00315952" w:rsidRPr="00500A19" w14:paraId="0477BFB5" w14:textId="77777777" w:rsidTr="00A21606">
        <w:trPr>
          <w:jc w:val="center"/>
        </w:trPr>
        <w:tc>
          <w:tcPr>
            <w:cnfStyle w:val="001000000000" w:firstRow="0" w:lastRow="0" w:firstColumn="1" w:lastColumn="0" w:oddVBand="0" w:evenVBand="0" w:oddHBand="0" w:evenHBand="0" w:firstRowFirstColumn="0" w:firstRowLastColumn="0" w:lastRowFirstColumn="0" w:lastRowLastColumn="0"/>
            <w:tcW w:w="5818" w:type="dxa"/>
          </w:tcPr>
          <w:p w14:paraId="4369C613" w14:textId="77777777" w:rsidR="00315952" w:rsidRPr="00500A19" w:rsidRDefault="00315952" w:rsidP="00A21606">
            <w:pPr>
              <w:spacing w:before="40" w:after="40"/>
              <w:rPr>
                <w:rFonts w:cstheme="minorHAnsi"/>
                <w:b w:val="0"/>
                <w:bCs w:val="0"/>
                <w:color w:val="404040" w:themeColor="text1" w:themeTint="BF"/>
                <w:sz w:val="20"/>
                <w:szCs w:val="20"/>
              </w:rPr>
            </w:pPr>
            <w:r w:rsidRPr="00500A19">
              <w:rPr>
                <w:b w:val="0"/>
                <w:bCs w:val="0"/>
                <w:color w:val="000000"/>
                <w:sz w:val="20"/>
                <w:szCs w:val="20"/>
              </w:rPr>
              <w:t>Расширение потенциала Государств-Членов в разработке национальных стратегий кибербезопасности и создании CIRT</w:t>
            </w:r>
          </w:p>
        </w:tc>
        <w:tc>
          <w:tcPr>
            <w:tcW w:w="3811" w:type="dxa"/>
            <w:vMerge/>
          </w:tcPr>
          <w:p w14:paraId="4BE0A71C" w14:textId="77777777" w:rsidR="00315952" w:rsidRPr="00500A19" w:rsidRDefault="00315952" w:rsidP="00A21606">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15952" w:rsidRPr="00500A19" w14:paraId="6D8B7E2E" w14:textId="77777777" w:rsidTr="00A21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8" w:type="dxa"/>
          </w:tcPr>
          <w:p w14:paraId="010230C4" w14:textId="77777777" w:rsidR="00315952" w:rsidRPr="00500A19" w:rsidRDefault="00315952" w:rsidP="00A21606">
            <w:pPr>
              <w:keepNext/>
              <w:spacing w:before="40" w:after="40"/>
              <w:rPr>
                <w:rFonts w:cstheme="minorHAnsi"/>
                <w:b w:val="0"/>
                <w:bCs w:val="0"/>
                <w:sz w:val="20"/>
                <w:szCs w:val="20"/>
              </w:rPr>
            </w:pPr>
            <w:r w:rsidRPr="00500A19">
              <w:rPr>
                <w:b w:val="0"/>
                <w:bCs w:val="0"/>
                <w:color w:val="000000"/>
                <w:sz w:val="20"/>
                <w:szCs w:val="20"/>
              </w:rPr>
              <w:t>Укрепление партнерств для выделения необходимых ресурсов и оказания надлежащей поддержки мероприятиям по созданию потенциала и по кибербезопасности</w:t>
            </w:r>
          </w:p>
        </w:tc>
        <w:tc>
          <w:tcPr>
            <w:tcW w:w="3811" w:type="dxa"/>
            <w:vMerge/>
          </w:tcPr>
          <w:p w14:paraId="4C15708C" w14:textId="77777777" w:rsidR="00315952" w:rsidRPr="00500A19" w:rsidRDefault="00315952" w:rsidP="00A21606">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315952" w:rsidRPr="00500A19" w14:paraId="0641B2BB" w14:textId="77777777" w:rsidTr="00A21606">
        <w:trPr>
          <w:jc w:val="center"/>
        </w:trPr>
        <w:tc>
          <w:tcPr>
            <w:cnfStyle w:val="001000000000" w:firstRow="0" w:lastRow="0" w:firstColumn="1" w:lastColumn="0" w:oddVBand="0" w:evenVBand="0" w:oddHBand="0" w:evenHBand="0" w:firstRowFirstColumn="0" w:firstRowLastColumn="0" w:lastRowFirstColumn="0" w:lastRowLastColumn="0"/>
            <w:tcW w:w="5818" w:type="dxa"/>
            <w:tcBorders>
              <w:bottom w:val="single" w:sz="4" w:space="0" w:color="95B3D7" w:themeColor="accent1" w:themeTint="99"/>
            </w:tcBorders>
          </w:tcPr>
          <w:p w14:paraId="1B748F6B" w14:textId="7777777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Повышение безопасности онлайновых услуг, включая защиту ребенка в онлайновой среде</w:t>
            </w:r>
          </w:p>
        </w:tc>
        <w:tc>
          <w:tcPr>
            <w:tcW w:w="3811" w:type="dxa"/>
            <w:vMerge/>
            <w:tcBorders>
              <w:bottom w:val="single" w:sz="4" w:space="0" w:color="95B3D7" w:themeColor="accent1" w:themeTint="99"/>
            </w:tcBorders>
          </w:tcPr>
          <w:p w14:paraId="61AEB424" w14:textId="77777777" w:rsidR="00315952" w:rsidRPr="00500A19" w:rsidRDefault="00315952" w:rsidP="00A21606">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315952" w:rsidRPr="00500A19" w14:paraId="40541CF9" w14:textId="77777777" w:rsidTr="00A216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8" w:type="dxa"/>
          </w:tcPr>
          <w:p w14:paraId="217267C2" w14:textId="77777777" w:rsidR="00315952" w:rsidRPr="00500A19" w:rsidRDefault="00315952" w:rsidP="00A21606">
            <w:pPr>
              <w:spacing w:before="40" w:after="40"/>
              <w:rPr>
                <w:rFonts w:cstheme="minorHAnsi"/>
                <w:b w:val="0"/>
                <w:bCs w:val="0"/>
                <w:sz w:val="20"/>
                <w:szCs w:val="20"/>
              </w:rPr>
            </w:pPr>
            <w:r w:rsidRPr="00500A19">
              <w:rPr>
                <w:b w:val="0"/>
                <w:bCs w:val="0"/>
                <w:color w:val="000000"/>
                <w:sz w:val="20"/>
                <w:szCs w:val="20"/>
              </w:rPr>
              <w:t>Укрепление потенциала Членов МСЭ для разработки стратегий, политики и практики охвата цифровыми технологиями и равенства, в частности с целью расширения прав и возможностей женщин и девушек, лиц с ограниченными возможностями</w:t>
            </w:r>
          </w:p>
        </w:tc>
        <w:tc>
          <w:tcPr>
            <w:tcW w:w="3811" w:type="dxa"/>
            <w:vMerge/>
          </w:tcPr>
          <w:p w14:paraId="3D033D51" w14:textId="77777777" w:rsidR="00315952" w:rsidRPr="00500A19" w:rsidRDefault="00315952" w:rsidP="00A21606">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bl>
    <w:p w14:paraId="75E86069" w14:textId="77777777" w:rsidR="00315952" w:rsidRPr="00500A19" w:rsidRDefault="00315952" w:rsidP="00315952">
      <w:pPr>
        <w:pStyle w:val="Heading2"/>
      </w:pPr>
      <w:r w:rsidRPr="00500A19">
        <w:t>3.3</w:t>
      </w:r>
      <w:r w:rsidRPr="00500A19">
        <w:tab/>
        <w:t>Намеченные результаты деятельности</w:t>
      </w:r>
    </w:p>
    <w:p w14:paraId="6EC781D2" w14:textId="77777777" w:rsidR="00315952" w:rsidRPr="00500A19" w:rsidRDefault="00315952" w:rsidP="00315952">
      <w:pPr>
        <w:rPr>
          <w:rFonts w:cstheme="minorHAnsi"/>
          <w:szCs w:val="24"/>
        </w:rPr>
      </w:pPr>
      <w:r w:rsidRPr="00500A19">
        <w:t>В соответствии с данным определением намеченные результаты деятельности представляют собой главным образом, продукты и услуги, разработанные БРЭ, которые должны использоваться для выполнения мандата МСЭ-D на национальном, региональном и международном уровнях.</w:t>
      </w:r>
    </w:p>
    <w:p w14:paraId="76CC41DB" w14:textId="77777777" w:rsidR="00315952" w:rsidRPr="00500A19" w:rsidRDefault="00315952" w:rsidP="00315952">
      <w:pPr>
        <w:rPr>
          <w:rFonts w:cstheme="minorHAnsi"/>
          <w:szCs w:val="24"/>
        </w:rPr>
      </w:pPr>
      <w:r w:rsidRPr="00500A19">
        <w:t>Намеченные результаты деятельности по своей природе носят сквозной характер и охватывают все приоритеты. Ниже приведен предлагаемый перечень намеченных результатов деятельности:</w:t>
      </w:r>
    </w:p>
    <w:p w14:paraId="15077668" w14:textId="77777777" w:rsidR="00315952" w:rsidRPr="00500A19" w:rsidRDefault="00315952" w:rsidP="00315952">
      <w:pPr>
        <w:pStyle w:val="enumlev1"/>
        <w:rPr>
          <w:rFonts w:cstheme="minorHAnsi"/>
          <w:color w:val="000000"/>
          <w:szCs w:val="24"/>
        </w:rPr>
      </w:pPr>
      <w:r w:rsidRPr="00500A19">
        <w:t>−</w:t>
      </w:r>
      <w:r w:rsidRPr="00500A19">
        <w:tab/>
        <w:t>типовые направления политики и стратегии;</w:t>
      </w:r>
    </w:p>
    <w:p w14:paraId="5A563365" w14:textId="77777777" w:rsidR="00315952" w:rsidRPr="00500A19" w:rsidRDefault="00315952" w:rsidP="00315952">
      <w:pPr>
        <w:pStyle w:val="enumlev1"/>
        <w:rPr>
          <w:rFonts w:cstheme="minorHAnsi"/>
          <w:color w:val="000000"/>
          <w:szCs w:val="24"/>
        </w:rPr>
      </w:pPr>
      <w:r w:rsidRPr="00500A19">
        <w:t>−</w:t>
      </w:r>
      <w:r w:rsidRPr="00500A19">
        <w:tab/>
        <w:t>инструментарий;</w:t>
      </w:r>
    </w:p>
    <w:p w14:paraId="37FE8BB3" w14:textId="77777777" w:rsidR="00315952" w:rsidRPr="00500A19" w:rsidRDefault="00315952" w:rsidP="00315952">
      <w:pPr>
        <w:pStyle w:val="enumlev1"/>
        <w:rPr>
          <w:rFonts w:cstheme="minorHAnsi"/>
          <w:color w:val="000000"/>
          <w:szCs w:val="24"/>
        </w:rPr>
      </w:pPr>
      <w:r w:rsidRPr="00500A19">
        <w:t>−</w:t>
      </w:r>
      <w:r w:rsidRPr="00500A19">
        <w:tab/>
        <w:t>платформы для созыва мероприятий;</w:t>
      </w:r>
    </w:p>
    <w:p w14:paraId="3B421BFB" w14:textId="77777777" w:rsidR="00315952" w:rsidRPr="00500A19" w:rsidRDefault="00315952" w:rsidP="00315952">
      <w:pPr>
        <w:pStyle w:val="enumlev1"/>
        <w:rPr>
          <w:rFonts w:cstheme="minorHAnsi"/>
          <w:color w:val="000000"/>
          <w:szCs w:val="24"/>
        </w:rPr>
      </w:pPr>
      <w:r w:rsidRPr="00500A19">
        <w:t>−</w:t>
      </w:r>
      <w:r w:rsidRPr="00500A19">
        <w:tab/>
        <w:t>системы обучения;</w:t>
      </w:r>
    </w:p>
    <w:p w14:paraId="723850BC" w14:textId="77777777" w:rsidR="00315952" w:rsidRPr="00500A19" w:rsidRDefault="00315952" w:rsidP="00315952">
      <w:pPr>
        <w:pStyle w:val="enumlev1"/>
        <w:rPr>
          <w:rFonts w:cstheme="minorHAnsi"/>
          <w:color w:val="000000"/>
          <w:szCs w:val="24"/>
        </w:rPr>
      </w:pPr>
      <w:r w:rsidRPr="00500A19">
        <w:t>−</w:t>
      </w:r>
      <w:r w:rsidRPr="00500A19">
        <w:tab/>
        <w:t>статистические данные;</w:t>
      </w:r>
    </w:p>
    <w:p w14:paraId="757E335B" w14:textId="77777777" w:rsidR="00315952" w:rsidRPr="00500A19" w:rsidRDefault="00315952" w:rsidP="00315952">
      <w:pPr>
        <w:pStyle w:val="enumlev1"/>
        <w:rPr>
          <w:rFonts w:cstheme="minorHAnsi"/>
          <w:color w:val="000000"/>
          <w:szCs w:val="24"/>
        </w:rPr>
      </w:pPr>
      <w:r w:rsidRPr="00500A19">
        <w:t>−</w:t>
      </w:r>
      <w:r w:rsidRPr="00500A19">
        <w:tab/>
        <w:t>технические меры.</w:t>
      </w:r>
    </w:p>
    <w:p w14:paraId="05851C07" w14:textId="77777777" w:rsidR="00315952" w:rsidRPr="00500A19" w:rsidRDefault="00315952" w:rsidP="00315952">
      <w:pPr>
        <w:pStyle w:val="Heading2"/>
      </w:pPr>
      <w:r w:rsidRPr="00500A19">
        <w:t>3.4</w:t>
      </w:r>
      <w:r w:rsidRPr="00500A19">
        <w:tab/>
        <w:t>Средство достижения целей</w:t>
      </w:r>
    </w:p>
    <w:p w14:paraId="5E90F6A8" w14:textId="77777777" w:rsidR="00315952" w:rsidRPr="00500A19" w:rsidRDefault="00315952" w:rsidP="00315952">
      <w:pPr>
        <w:pStyle w:val="Headingb"/>
        <w:rPr>
          <w:rFonts w:cstheme="minorHAnsi"/>
          <w:iCs/>
          <w:spacing w:val="-2"/>
          <w:szCs w:val="24"/>
          <w:lang w:val="ru-RU"/>
        </w:rPr>
      </w:pPr>
      <w:r w:rsidRPr="00500A19">
        <w:rPr>
          <w:lang w:val="ru-RU"/>
        </w:rPr>
        <w:t>Организационная эффективность</w:t>
      </w:r>
    </w:p>
    <w:p w14:paraId="7A537B1F" w14:textId="77777777" w:rsidR="00315952" w:rsidRPr="00500A19" w:rsidRDefault="00315952" w:rsidP="00315952">
      <w:r w:rsidRPr="00500A19">
        <w:t>Повышение оперативной эффективности и действенности дает МСЭ возможность реагировать на изменения в среде электросвязи/ИКТ и динамику потребностей членов, а также лучше понимать местные условия и способность эффективно реагировать на потребности стран. Ввиду этого МСЭ намерен совершенствовать внутренние процессы, в том числе процессы управления проектами и возможности их реализации, а также ускорять принятие решений, за счет устранения оперативной неэффективности и дублирования, что отражает ценности прозрачности и подотчетности.</w:t>
      </w:r>
    </w:p>
    <w:p w14:paraId="6FA74A45" w14:textId="77777777" w:rsidR="00315952" w:rsidRPr="00500A19" w:rsidRDefault="00315952" w:rsidP="00315952">
      <w:r w:rsidRPr="00500A19">
        <w:t>МСЭ также признает необходимость наращивания оперативной эффективности, увеличивая межфункциональную синергию, стимулируя внутренние инновации, обеспечивая последовательное руководство сферой деятельности организации и разрабатывая более четкий подход к управлению показателями деятельности и кадровыми резервами. Для этого организация будет осуществлять план трансформации культуры и навыков по четырем основным направлениям: стратегическое планирование, инновации, включая системы и вспомогательные услуги ИТ, а также управление людскими ресурсами. В частности, организационная эффективность включает следующее:</w:t>
      </w:r>
    </w:p>
    <w:p w14:paraId="7FD93C90" w14:textId="77777777" w:rsidR="00315952" w:rsidRPr="00500A19" w:rsidRDefault="00315952" w:rsidP="00FE528A">
      <w:pPr>
        <w:pStyle w:val="enumlev1"/>
        <w:pageBreakBefore/>
        <w:rPr>
          <w:rFonts w:cstheme="minorHAnsi"/>
          <w:iCs/>
          <w:spacing w:val="-2"/>
          <w:szCs w:val="24"/>
        </w:rPr>
      </w:pPr>
      <w:r w:rsidRPr="00500A19">
        <w:lastRenderedPageBreak/>
        <w:t>•</w:t>
      </w:r>
      <w:r w:rsidRPr="00500A19">
        <w:tab/>
      </w:r>
      <w:r w:rsidRPr="00500A19">
        <w:rPr>
          <w:b/>
          <w:bCs/>
        </w:rPr>
        <w:t>Ориентация на интересы членов</w:t>
      </w:r>
    </w:p>
    <w:p w14:paraId="4BF5581F" w14:textId="77777777" w:rsidR="00315952" w:rsidRPr="00500A19" w:rsidRDefault="00315952" w:rsidP="00315952">
      <w:r w:rsidRPr="00500A19">
        <w:t>МСЭ будет и далее работать в качестве организации, ориентированной на интересы членов, для эффективной поддержки и учета потребностей своих различных членов. МСЭ признает потребности всех стран, в особенности развивающихся стран, включая НРС, СИДС, ЛЛДС, и стран с переходной экономикой, которым следует придавать первостепенное значение и уделять должное внимание.</w:t>
      </w:r>
    </w:p>
    <w:p w14:paraId="1E428830" w14:textId="77777777" w:rsidR="00315952" w:rsidRPr="00500A19" w:rsidRDefault="00315952" w:rsidP="00315952">
      <w:r w:rsidRPr="00500A19">
        <w:t>МСЭ будет также работать над укреплением своего взаимодействия с представителями отрасли электросвязи/ИКТ и других отраслевых секторов с целью демонстрации предлагаемых МСЭ преимуществ в контексте стратегических целей.</w:t>
      </w:r>
      <w:bookmarkStart w:id="11" w:name="3.4_Linkages"/>
      <w:bookmarkStart w:id="12" w:name="4_Implementation_of_ITU-D_priorities_and"/>
      <w:bookmarkStart w:id="13" w:name="4.1_Affordable_connectivity"/>
      <w:bookmarkStart w:id="14" w:name="4.2_Digital_transformation"/>
      <w:bookmarkStart w:id="15" w:name="4.3_Enabling_policy_and_regulatory_envir"/>
      <w:bookmarkStart w:id="16" w:name="4.4_Resource_mobilization_and_internatio"/>
      <w:bookmarkStart w:id="17" w:name="4.5_Inclusive_and_secure_telecommunicati"/>
      <w:bookmarkStart w:id="18" w:name="4.6_Desired_outcomes_related_to_enablers"/>
      <w:bookmarkEnd w:id="11"/>
      <w:bookmarkEnd w:id="12"/>
      <w:bookmarkEnd w:id="13"/>
      <w:bookmarkEnd w:id="14"/>
      <w:bookmarkEnd w:id="15"/>
      <w:bookmarkEnd w:id="16"/>
      <w:bookmarkEnd w:id="17"/>
      <w:bookmarkEnd w:id="18"/>
    </w:p>
    <w:p w14:paraId="796F54A1" w14:textId="77777777" w:rsidR="00315952" w:rsidRPr="00500A19" w:rsidRDefault="00315952" w:rsidP="00315952">
      <w:pPr>
        <w:pStyle w:val="enumlev1"/>
      </w:pPr>
      <w:r w:rsidRPr="00500A19">
        <w:t>•</w:t>
      </w:r>
      <w:r w:rsidRPr="00500A19">
        <w:tab/>
      </w:r>
      <w:r w:rsidRPr="00500A19">
        <w:rPr>
          <w:b/>
          <w:bCs/>
        </w:rPr>
        <w:t>Региональное присутствие</w:t>
      </w:r>
    </w:p>
    <w:p w14:paraId="3F0E915C" w14:textId="77777777" w:rsidR="00315952" w:rsidRPr="00500A19" w:rsidRDefault="00315952" w:rsidP="00315952">
      <w:r w:rsidRPr="00500A19">
        <w:t>Региональное присутствие, как расширение МСЭ в целом, играет решающую роль в осуществлении миссии МСЭ, углублении понимания МСЭ местного контекста и его способности эффективно реагировать на потребности стран.</w:t>
      </w:r>
    </w:p>
    <w:p w14:paraId="2CEB4D6A" w14:textId="77777777" w:rsidR="00315952" w:rsidRPr="00500A19" w:rsidRDefault="00315952" w:rsidP="00315952">
      <w:r w:rsidRPr="00500A19">
        <w:t>Региональное присутствие консолидирует стратегическое планирование на уровне каждого регионального/зонального отделения, давая возможность осуществлять программы и инициативы, соответствующие стратегическим целям и тематическим приоритетам и базирующиеся на них.</w:t>
      </w:r>
    </w:p>
    <w:p w14:paraId="5A05B0ED" w14:textId="77777777" w:rsidR="00315952" w:rsidRPr="00500A19" w:rsidRDefault="00315952" w:rsidP="00315952">
      <w:r w:rsidRPr="00500A19">
        <w:t>Региональное присутствие укрепит позицию МСЭ как учреждения, которое задает формат или действует, и сотрудничество в рамках системы Организации Объединенных Наций, для формирования расширенных региональных перспектив и тем самым охвата большего числа стран и более четкого определения более результативных приоритетов для участия на уровне стран.</w:t>
      </w:r>
    </w:p>
    <w:p w14:paraId="276150A3" w14:textId="77777777" w:rsidR="00315952" w:rsidRPr="00500A19" w:rsidRDefault="00315952" w:rsidP="00315952">
      <w:r w:rsidRPr="00500A19">
        <w:t>Будут также предприниматься усилия для укрепления потенциала на региональном уровне с целью обеспечения способности региональных и зональных отделений выполнять программы и обязательства, определенные на основе стратегических целей и тематических приоритетов Союза.</w:t>
      </w:r>
    </w:p>
    <w:p w14:paraId="5B5F3D34" w14:textId="77777777" w:rsidR="00315952" w:rsidRPr="00500A19" w:rsidRDefault="00315952" w:rsidP="00315952">
      <w:pPr>
        <w:pStyle w:val="enumlev1"/>
      </w:pPr>
      <w:r w:rsidRPr="00500A19">
        <w:t>•</w:t>
      </w:r>
      <w:r w:rsidRPr="00500A19">
        <w:tab/>
      </w:r>
      <w:r w:rsidRPr="00500A19">
        <w:rPr>
          <w:b/>
          <w:bCs/>
        </w:rPr>
        <w:t>Управление проектами</w:t>
      </w:r>
    </w:p>
    <w:p w14:paraId="6FBBD25F" w14:textId="0A8A6BDB" w:rsidR="00315952" w:rsidRPr="00500A19" w:rsidRDefault="00315952" w:rsidP="00315952">
      <w:r w:rsidRPr="00500A19">
        <w:t>При исполнении двойственной обязанности МСЭ как специализированного учреждения Организации Объединенных Наций и как исполнительного учреждения по реализации проектов по разработке технологий электросвязи/ИКТ в рамках системы развития Организации Объединенных Наций или других соглашений по финансированию, МСЭ-D предлагает, организует и координирует деятельность по оказанию помощи в виде технического сотрудничества через региональные инициативы и проекты.</w:t>
      </w:r>
    </w:p>
    <w:p w14:paraId="13828897" w14:textId="77777777" w:rsidR="00315952" w:rsidRPr="00500A19" w:rsidRDefault="00315952" w:rsidP="00315952">
      <w:r w:rsidRPr="00500A19">
        <w:t>Укрепление потенциала в области управления проектами и их осуществления обеспечит согласование с более широкими стратегическими планами и конечными результатами в сфере развития, при внедрении усовершенствованных методов, инструментов и практики для повышения эффективности, результативности и подотчетности планирования, исполнения, мониторинга и завершения проектов.</w:t>
      </w:r>
    </w:p>
    <w:p w14:paraId="11BEC8EC" w14:textId="77777777" w:rsidR="00315952" w:rsidRPr="00500A19" w:rsidRDefault="00315952" w:rsidP="00315952">
      <w:pPr>
        <w:pStyle w:val="enumlev1"/>
      </w:pPr>
      <w:r w:rsidRPr="00500A19">
        <w:t>•</w:t>
      </w:r>
      <w:r w:rsidRPr="00500A19">
        <w:tab/>
      </w:r>
      <w:r w:rsidRPr="00500A19">
        <w:rPr>
          <w:b/>
          <w:bCs/>
        </w:rPr>
        <w:t>Вспомогательные услуги</w:t>
      </w:r>
    </w:p>
    <w:p w14:paraId="5F2EC4D3" w14:textId="77777777" w:rsidR="00315952" w:rsidRPr="00500A19" w:rsidRDefault="00315952" w:rsidP="00315952">
      <w:r w:rsidRPr="00500A19">
        <w:t>Для обеспечения эффективного и действенного выполнения мандата и программной работы МСЭ-D приоритетное внимание будет уделяться важнейшим функциям администрирования и оперативной деятельности. Эти основополагающие услуги обеспечивают бесперебойную работу, позволяя группам по реализации программ сосредоточиться на достижении результатов. Эти услуги, помимо прочего, включают следующее:</w:t>
      </w:r>
    </w:p>
    <w:p w14:paraId="2041AA3F" w14:textId="77777777" w:rsidR="00315952" w:rsidRPr="00500A19" w:rsidRDefault="00315952" w:rsidP="00315952">
      <w:pPr>
        <w:pStyle w:val="enumlev1"/>
      </w:pPr>
      <w:r w:rsidRPr="00500A19">
        <w:t>–</w:t>
      </w:r>
      <w:r w:rsidRPr="00500A19">
        <w:tab/>
        <w:t>связь;</w:t>
      </w:r>
    </w:p>
    <w:p w14:paraId="122CF354" w14:textId="77777777" w:rsidR="00315952" w:rsidRPr="00500A19" w:rsidRDefault="00315952" w:rsidP="00315952">
      <w:pPr>
        <w:pStyle w:val="enumlev1"/>
      </w:pPr>
      <w:r w:rsidRPr="00500A19">
        <w:t>–</w:t>
      </w:r>
      <w:r w:rsidRPr="00500A19">
        <w:tab/>
        <w:t>стипендии;</w:t>
      </w:r>
    </w:p>
    <w:p w14:paraId="617F9915" w14:textId="77777777" w:rsidR="00315952" w:rsidRPr="00500A19" w:rsidRDefault="00315952" w:rsidP="00315952">
      <w:pPr>
        <w:pStyle w:val="enumlev1"/>
      </w:pPr>
      <w:r w:rsidRPr="00500A19">
        <w:t>–</w:t>
      </w:r>
      <w:r w:rsidRPr="00500A19">
        <w:tab/>
        <w:t>поддержка мероприятий;</w:t>
      </w:r>
    </w:p>
    <w:p w14:paraId="7720A3FA" w14:textId="77777777" w:rsidR="00315952" w:rsidRPr="00500A19" w:rsidRDefault="00315952" w:rsidP="00315952">
      <w:pPr>
        <w:pStyle w:val="enumlev1"/>
      </w:pPr>
      <w:r w:rsidRPr="00500A19">
        <w:t>–</w:t>
      </w:r>
      <w:r w:rsidRPr="00500A19">
        <w:tab/>
        <w:t>обработка документов;</w:t>
      </w:r>
    </w:p>
    <w:p w14:paraId="3A3F967F" w14:textId="77777777" w:rsidR="00315952" w:rsidRPr="00500A19" w:rsidRDefault="00315952" w:rsidP="00315952">
      <w:pPr>
        <w:pStyle w:val="enumlev1"/>
      </w:pPr>
      <w:r w:rsidRPr="00500A19">
        <w:t>–</w:t>
      </w:r>
      <w:r w:rsidRPr="00500A19">
        <w:tab/>
        <w:t>мониторинг показателей эффективности и предоставление отчетности;</w:t>
      </w:r>
    </w:p>
    <w:p w14:paraId="347D5689" w14:textId="77777777" w:rsidR="00315952" w:rsidRPr="00500A19" w:rsidRDefault="00315952" w:rsidP="00315952">
      <w:pPr>
        <w:pStyle w:val="enumlev1"/>
      </w:pPr>
      <w:r w:rsidRPr="00500A19">
        <w:lastRenderedPageBreak/>
        <w:t>–</w:t>
      </w:r>
      <w:r w:rsidRPr="00500A19">
        <w:tab/>
        <w:t>поддержка в области ЛР и бюджета;</w:t>
      </w:r>
    </w:p>
    <w:p w14:paraId="476D9BC9" w14:textId="77777777" w:rsidR="00315952" w:rsidRPr="00500A19" w:rsidRDefault="00315952" w:rsidP="00315952">
      <w:pPr>
        <w:pStyle w:val="enumlev1"/>
      </w:pPr>
      <w:r w:rsidRPr="00500A19">
        <w:t>–</w:t>
      </w:r>
      <w:r w:rsidRPr="00500A19">
        <w:tab/>
        <w:t>общая координация.</w:t>
      </w:r>
    </w:p>
    <w:p w14:paraId="52FE5BF0" w14:textId="77777777" w:rsidR="00315952" w:rsidRPr="00500A19" w:rsidRDefault="00315952" w:rsidP="00315952">
      <w:pPr>
        <w:pStyle w:val="Heading1"/>
        <w:rPr>
          <w:rFonts w:cstheme="minorHAnsi"/>
          <w:szCs w:val="24"/>
        </w:rPr>
      </w:pPr>
      <w:r w:rsidRPr="00500A19">
        <w:t>4</w:t>
      </w:r>
      <w:r w:rsidRPr="00500A19">
        <w:tab/>
        <w:t>Региональные инициативы</w:t>
      </w:r>
    </w:p>
    <w:p w14:paraId="0319F1F0" w14:textId="77777777" w:rsidR="00315952" w:rsidRPr="00500A19" w:rsidRDefault="00315952" w:rsidP="00315952">
      <w:pPr>
        <w:rPr>
          <w:rFonts w:cstheme="minorHAnsi"/>
          <w:szCs w:val="24"/>
        </w:rPr>
      </w:pPr>
      <w:r w:rsidRPr="00500A19">
        <w:t>Будет добавлено позднее.</w:t>
      </w:r>
    </w:p>
    <w:p w14:paraId="15633F4F" w14:textId="77777777" w:rsidR="00315952" w:rsidRPr="00500A19" w:rsidRDefault="00315952" w:rsidP="00315952">
      <w:pPr>
        <w:pStyle w:val="Heading1"/>
        <w:rPr>
          <w:rFonts w:cstheme="minorHAnsi"/>
          <w:szCs w:val="24"/>
        </w:rPr>
      </w:pPr>
      <w:r w:rsidRPr="00500A19">
        <w:t>5</w:t>
      </w:r>
      <w:r w:rsidRPr="00500A19">
        <w:tab/>
        <w:t>Резолюции</w:t>
      </w:r>
    </w:p>
    <w:p w14:paraId="1B80793E" w14:textId="77777777" w:rsidR="00315952" w:rsidRPr="00500A19" w:rsidRDefault="00315952" w:rsidP="00315952">
      <w:pPr>
        <w:rPr>
          <w:rFonts w:cstheme="minorHAnsi"/>
          <w:szCs w:val="24"/>
        </w:rPr>
      </w:pPr>
      <w:r w:rsidRPr="00500A19">
        <w:t>Будет добавлено после согласования на ВКРЭ.</w:t>
      </w:r>
    </w:p>
    <w:p w14:paraId="2AB80B34" w14:textId="77777777" w:rsidR="00315952" w:rsidRPr="00500A19" w:rsidRDefault="00315952" w:rsidP="00315952">
      <w:pPr>
        <w:pStyle w:val="Heading1"/>
        <w:rPr>
          <w:rFonts w:cstheme="minorHAnsi"/>
          <w:szCs w:val="24"/>
        </w:rPr>
      </w:pPr>
      <w:r w:rsidRPr="00500A19">
        <w:t>6</w:t>
      </w:r>
      <w:r w:rsidRPr="00500A19">
        <w:tab/>
        <w:t>Исследовательские комиссии</w:t>
      </w:r>
    </w:p>
    <w:p w14:paraId="71928EE6" w14:textId="77777777" w:rsidR="00315952" w:rsidRPr="00500A19" w:rsidRDefault="00315952" w:rsidP="00315952">
      <w:pPr>
        <w:rPr>
          <w:rFonts w:cstheme="minorHAnsi"/>
          <w:szCs w:val="24"/>
        </w:rPr>
      </w:pPr>
      <w:r w:rsidRPr="00500A19">
        <w:t>Будет добавлено после согласования на ВКРЭ.</w:t>
      </w:r>
    </w:p>
    <w:p w14:paraId="1E80F28F" w14:textId="77777777" w:rsidR="00315952" w:rsidRPr="00500A19" w:rsidRDefault="00315952" w:rsidP="00315952">
      <w:pPr>
        <w:pStyle w:val="Heading1"/>
        <w:rPr>
          <w:rFonts w:cstheme="minorHAnsi"/>
          <w:szCs w:val="24"/>
        </w:rPr>
      </w:pPr>
      <w:r w:rsidRPr="00500A19">
        <w:t>7</w:t>
      </w:r>
      <w:r w:rsidRPr="00500A19">
        <w:tab/>
        <w:t>Увязка и картирование</w:t>
      </w:r>
    </w:p>
    <w:p w14:paraId="53E62C18" w14:textId="77777777" w:rsidR="00315952" w:rsidRPr="00500A19" w:rsidRDefault="00315952" w:rsidP="00315952">
      <w:pPr>
        <w:rPr>
          <w:rFonts w:cstheme="minorHAnsi"/>
          <w:szCs w:val="24"/>
        </w:rPr>
      </w:pPr>
      <w:bookmarkStart w:id="19" w:name="w6n3fzxakkw1" w:colFirst="0" w:colLast="0"/>
      <w:bookmarkStart w:id="20" w:name="b9f761cx3ete" w:colFirst="0" w:colLast="0"/>
      <w:bookmarkEnd w:id="19"/>
      <w:bookmarkEnd w:id="20"/>
      <w:r w:rsidRPr="00500A19">
        <w:t>Будет разработано после того, как будут сформированы все соответствующие элементы.</w:t>
      </w:r>
    </w:p>
    <w:p w14:paraId="369D31C8" w14:textId="77777777" w:rsidR="007D7FAD" w:rsidRPr="00500A19" w:rsidRDefault="007D7FAD" w:rsidP="009005C7">
      <w:pPr>
        <w:rPr>
          <w:rFonts w:eastAsia="Calibri"/>
        </w:rPr>
      </w:pPr>
    </w:p>
    <w:p w14:paraId="478B90A9" w14:textId="77777777" w:rsidR="007D7FAD" w:rsidRPr="00500A19" w:rsidRDefault="007D7FAD" w:rsidP="009005C7">
      <w:r w:rsidRPr="00500A19">
        <w:rPr>
          <w:rFonts w:eastAsia="Calibri"/>
        </w:rPr>
        <w:br w:type="page"/>
      </w:r>
    </w:p>
    <w:p w14:paraId="5039766A" w14:textId="77777777" w:rsidR="007D7FAD" w:rsidRPr="00500A19" w:rsidRDefault="007D7FAD" w:rsidP="00D716C9">
      <w:pPr>
        <w:pStyle w:val="AnnexNo"/>
        <w:rPr>
          <w:rFonts w:eastAsia="Calibri"/>
          <w:color w:val="000000" w:themeColor="text1"/>
        </w:rPr>
      </w:pPr>
      <w:r w:rsidRPr="00500A19">
        <w:lastRenderedPageBreak/>
        <w:t>ПРИЛОЖЕНИЕ D</w:t>
      </w:r>
    </w:p>
    <w:p w14:paraId="4780A43D" w14:textId="449F5DE0" w:rsidR="007D7FAD" w:rsidRPr="00500A19" w:rsidRDefault="00D716C9" w:rsidP="00D716C9">
      <w:pPr>
        <w:pStyle w:val="Annextitle"/>
        <w:rPr>
          <w:rFonts w:eastAsia="Calibri"/>
          <w:color w:val="000000" w:themeColor="text1"/>
        </w:rPr>
      </w:pPr>
      <w:r w:rsidRPr="00500A19">
        <w:t xml:space="preserve">Декларация </w:t>
      </w:r>
      <w:r w:rsidR="007D7FAD" w:rsidRPr="00500A19">
        <w:t>ВКРЭ-25</w:t>
      </w:r>
    </w:p>
    <w:p w14:paraId="687314FB" w14:textId="77777777" w:rsidR="00D716C9" w:rsidRPr="00500A19" w:rsidRDefault="00D716C9" w:rsidP="00D716C9">
      <w:pPr>
        <w:pStyle w:val="Heading1"/>
        <w:jc w:val="center"/>
      </w:pPr>
      <w:r w:rsidRPr="00500A19">
        <w:t>Председатель КГРЭ-РГ-DEC</w:t>
      </w:r>
    </w:p>
    <w:p w14:paraId="21F8D28D" w14:textId="77777777" w:rsidR="00D716C9" w:rsidRPr="00500A19" w:rsidRDefault="00D716C9" w:rsidP="00D716C9">
      <w:pPr>
        <w:pStyle w:val="Title1"/>
        <w:spacing w:after="120"/>
      </w:pPr>
      <w:r w:rsidRPr="00500A19">
        <w:t>Отчет о ходе и результатах деятельности Рабочей Группы КГРЭ по Декларации</w:t>
      </w:r>
    </w:p>
    <w:tbl>
      <w:tblPr>
        <w:tblStyle w:val="TableGrid"/>
        <w:tblW w:w="0" w:type="auto"/>
        <w:tblLook w:val="04A0" w:firstRow="1" w:lastRow="0" w:firstColumn="1" w:lastColumn="0" w:noHBand="0" w:noVBand="1"/>
      </w:tblPr>
      <w:tblGrid>
        <w:gridCol w:w="9629"/>
      </w:tblGrid>
      <w:tr w:rsidR="00D716C9" w:rsidRPr="00500A19" w14:paraId="6D34339C" w14:textId="77777777">
        <w:tc>
          <w:tcPr>
            <w:tcW w:w="9629" w:type="dxa"/>
          </w:tcPr>
          <w:p w14:paraId="367B7925" w14:textId="77777777" w:rsidR="00D716C9" w:rsidRPr="00500A19" w:rsidRDefault="00D716C9" w:rsidP="00311BCE">
            <w:pPr>
              <w:rPr>
                <w:b/>
                <w:bCs/>
                <w:sz w:val="24"/>
                <w:szCs w:val="24"/>
              </w:rPr>
            </w:pPr>
            <w:r w:rsidRPr="00500A19">
              <w:rPr>
                <w:b/>
                <w:bCs/>
                <w:sz w:val="24"/>
                <w:szCs w:val="24"/>
              </w:rPr>
              <w:t>Резюме</w:t>
            </w:r>
          </w:p>
          <w:p w14:paraId="39E34E5E" w14:textId="48C99053" w:rsidR="00D716C9" w:rsidRPr="00500A19" w:rsidRDefault="00D716C9" w:rsidP="00D716C9">
            <w:r w:rsidRPr="00500A19">
              <w:t>В настоящем документе содержится заключительный отчет Рабочей группы КГРЭ по Декларации</w:t>
            </w:r>
            <w:r w:rsidR="00FE528A" w:rsidRPr="00500A19">
              <w:t> </w:t>
            </w:r>
            <w:r w:rsidRPr="00500A19">
              <w:t>(КГРЭ-РГ-DEC), в том числе предлагаемый проект Бакинской декларации на основании соответствующего круга ведения.</w:t>
            </w:r>
          </w:p>
          <w:p w14:paraId="60424264" w14:textId="77777777" w:rsidR="00D716C9" w:rsidRPr="00500A19" w:rsidRDefault="00D716C9" w:rsidP="00D716C9">
            <w:r w:rsidRPr="00500A19">
              <w:t xml:space="preserve">Проект Бакинской декларации, подготовленный Группой под руководством Председателя, содержится в Приложении 1 (он отражает третий пересмотренный вариант, подготовленный Группой, который содержится в Документе </w:t>
            </w:r>
            <w:hyperlink r:id="rId119" w:tgtFrame="_blank" w:history="1">
              <w:r w:rsidRPr="00500A19">
                <w:rPr>
                  <w:color w:val="0000FF"/>
                  <w:u w:val="single"/>
                </w:rPr>
                <w:t>TDAG-WG-DEC/DT/1</w:t>
              </w:r>
            </w:hyperlink>
            <w:r w:rsidRPr="00500A19">
              <w:t xml:space="preserve"> в режиме правки). Этот проект был согласован на последнем собрании Группы и предназначен для использования региональными организациями электросвязи (РОЭ) и Государствами – Членами в качестве основы при подготовке к ВКРЭ-25.</w:t>
            </w:r>
          </w:p>
          <w:p w14:paraId="68F9D2CA" w14:textId="77777777" w:rsidR="00D716C9" w:rsidRPr="00500A19" w:rsidRDefault="00D716C9" w:rsidP="00311BCE">
            <w:r w:rsidRPr="00500A19">
              <w:rPr>
                <w:b/>
                <w:bCs/>
                <w:sz w:val="24"/>
                <w:szCs w:val="24"/>
              </w:rPr>
              <w:t>Необходимые действия</w:t>
            </w:r>
          </w:p>
          <w:p w14:paraId="53186EC4" w14:textId="77777777" w:rsidR="00D716C9" w:rsidRPr="00500A19" w:rsidRDefault="00D716C9" w:rsidP="00D716C9">
            <w:r w:rsidRPr="00500A19">
              <w:t>КГРЭ предлагается изучить настоящий отчет, дополнительно рассмотреть предложенный Председателем проект и представить его в качестве вклада на ВКРЭ-25.</w:t>
            </w:r>
          </w:p>
          <w:p w14:paraId="6B5E37CE" w14:textId="77777777" w:rsidR="00D716C9" w:rsidRPr="00500A19" w:rsidRDefault="00D716C9" w:rsidP="00311BCE">
            <w:r w:rsidRPr="00500A19">
              <w:rPr>
                <w:b/>
                <w:bCs/>
                <w:sz w:val="24"/>
                <w:szCs w:val="24"/>
              </w:rPr>
              <w:t>Справочные материалы</w:t>
            </w:r>
          </w:p>
          <w:p w14:paraId="188FDB8A"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Круг ведения КГРЭ-РГ-DEC (</w:t>
            </w:r>
            <w:hyperlink r:id="rId120" w:tgtFrame="_blank" w:history="1">
              <w:r w:rsidRPr="00500A19">
                <w:rPr>
                  <w:rFonts w:cstheme="minorHAnsi"/>
                  <w:color w:val="0000FF"/>
                  <w:szCs w:val="22"/>
                  <w:u w:val="single"/>
                </w:rPr>
                <w:t>TDAG-24/DT/4</w:t>
              </w:r>
            </w:hyperlink>
            <w:r w:rsidRPr="00500A19">
              <w:rPr>
                <w:rFonts w:cstheme="minorHAnsi"/>
                <w:color w:val="000000"/>
                <w:szCs w:val="22"/>
              </w:rPr>
              <w:t>)</w:t>
            </w:r>
          </w:p>
          <w:p w14:paraId="61E600CB"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Отчет о первом собрании КГРЭ-РГ-DEC (</w:t>
            </w:r>
            <w:hyperlink r:id="rId121" w:tgtFrame="_blank" w:history="1">
              <w:r w:rsidRPr="00500A19">
                <w:rPr>
                  <w:rFonts w:cstheme="minorHAnsi"/>
                  <w:color w:val="0000FF"/>
                  <w:szCs w:val="22"/>
                  <w:u w:val="single"/>
                </w:rPr>
                <w:t>TDAG-WG-DEC/2</w:t>
              </w:r>
            </w:hyperlink>
            <w:r w:rsidRPr="00500A19">
              <w:rPr>
                <w:rFonts w:cstheme="minorHAnsi"/>
                <w:color w:val="000000"/>
                <w:szCs w:val="22"/>
              </w:rPr>
              <w:t>)</w:t>
            </w:r>
          </w:p>
          <w:p w14:paraId="4FB94669"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Отчет о втором собрании КГРЭ-РГ-DEC (</w:t>
            </w:r>
            <w:hyperlink r:id="rId122" w:tgtFrame="_blank" w:history="1">
              <w:r w:rsidRPr="00500A19">
                <w:rPr>
                  <w:rFonts w:cstheme="minorHAnsi"/>
                  <w:color w:val="0000FF"/>
                  <w:szCs w:val="22"/>
                  <w:u w:val="single"/>
                </w:rPr>
                <w:t>TDAG-WG-DEC/6</w:t>
              </w:r>
            </w:hyperlink>
            <w:r w:rsidRPr="00500A19">
              <w:rPr>
                <w:rFonts w:cstheme="minorHAnsi"/>
                <w:color w:val="000000"/>
                <w:szCs w:val="22"/>
              </w:rPr>
              <w:t>)</w:t>
            </w:r>
          </w:p>
          <w:p w14:paraId="11CEFBBF"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Отчет о третьем собрании КГРЭ-РГ-DEC (</w:t>
            </w:r>
            <w:hyperlink r:id="rId123" w:tgtFrame="_blank" w:history="1">
              <w:r w:rsidRPr="00500A19">
                <w:rPr>
                  <w:rFonts w:cstheme="minorHAnsi"/>
                  <w:color w:val="0000FF"/>
                  <w:szCs w:val="22"/>
                  <w:u w:val="single"/>
                </w:rPr>
                <w:t>TDAG-WG-DEC/10</w:t>
              </w:r>
            </w:hyperlink>
            <w:r w:rsidRPr="00500A19">
              <w:rPr>
                <w:rFonts w:cstheme="minorHAnsi"/>
                <w:color w:val="000000"/>
                <w:szCs w:val="22"/>
              </w:rPr>
              <w:t>)</w:t>
            </w:r>
          </w:p>
          <w:p w14:paraId="4C9C7A72"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Отчет о четвертом собрании КГРЭ-РГ-DEC (</w:t>
            </w:r>
            <w:hyperlink r:id="rId124" w:tgtFrame="_blank" w:history="1">
              <w:r w:rsidRPr="00500A19">
                <w:rPr>
                  <w:rFonts w:cstheme="minorHAnsi"/>
                  <w:color w:val="0000FF"/>
                  <w:szCs w:val="22"/>
                  <w:u w:val="single"/>
                </w:rPr>
                <w:t>TDAG-WG-DEC/16</w:t>
              </w:r>
            </w:hyperlink>
            <w:r w:rsidRPr="00500A19">
              <w:rPr>
                <w:rFonts w:cstheme="minorHAnsi"/>
                <w:color w:val="000000"/>
                <w:szCs w:val="22"/>
              </w:rPr>
              <w:t>)</w:t>
            </w:r>
          </w:p>
          <w:p w14:paraId="2A1239C3"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Отчет о пятом собрании КГРЭ-РГ-DEC (</w:t>
            </w:r>
            <w:hyperlink r:id="rId125" w:tgtFrame="_blank" w:history="1">
              <w:r w:rsidRPr="00500A19">
                <w:rPr>
                  <w:rFonts w:cstheme="minorHAnsi"/>
                  <w:color w:val="0000FF"/>
                  <w:szCs w:val="22"/>
                  <w:u w:val="single"/>
                </w:rPr>
                <w:t>TDAG-WG-DEC/23</w:t>
              </w:r>
            </w:hyperlink>
            <w:r w:rsidRPr="00500A19">
              <w:rPr>
                <w:rFonts w:cstheme="minorHAnsi"/>
                <w:color w:val="000000"/>
                <w:szCs w:val="22"/>
              </w:rPr>
              <w:t>)</w:t>
            </w:r>
          </w:p>
          <w:p w14:paraId="183EB938" w14:textId="19491CC5"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Сопоставление тем Кигалийской декларации и новых и появляющихся тем (Документ</w:t>
            </w:r>
            <w:r w:rsidR="00FE528A" w:rsidRPr="00500A19">
              <w:rPr>
                <w:rFonts w:cstheme="minorHAnsi"/>
                <w:color w:val="000000"/>
                <w:szCs w:val="22"/>
              </w:rPr>
              <w:t> </w:t>
            </w:r>
            <w:hyperlink r:id="rId126" w:tgtFrame="_blank" w:history="1">
              <w:r w:rsidRPr="00500A19">
                <w:rPr>
                  <w:rFonts w:cstheme="minorHAnsi"/>
                  <w:color w:val="0000FF"/>
                  <w:szCs w:val="22"/>
                  <w:u w:val="single"/>
                </w:rPr>
                <w:t>TDAG-WG-DEC/INF/</w:t>
              </w:r>
            </w:hyperlink>
            <w:r w:rsidRPr="00500A19">
              <w:rPr>
                <w:rFonts w:cstheme="minorHAnsi"/>
                <w:color w:val="0000FF"/>
                <w:szCs w:val="22"/>
                <w:u w:val="single"/>
              </w:rPr>
              <w:t>1</w:t>
            </w:r>
            <w:r w:rsidRPr="00500A19">
              <w:rPr>
                <w:rFonts w:cstheme="minorHAnsi"/>
                <w:color w:val="000000"/>
                <w:szCs w:val="22"/>
              </w:rPr>
              <w:t>, 27 ноября 2024 года)</w:t>
            </w:r>
          </w:p>
          <w:p w14:paraId="395468D8" w14:textId="50825A98"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Пересмотренный аннотированный план Бакинской декларации 2025 года (</w:t>
            </w:r>
            <w:hyperlink r:id="rId127" w:tgtFrame="_blank" w:history="1">
              <w:r w:rsidRPr="00500A19">
                <w:rPr>
                  <w:rFonts w:cstheme="minorHAnsi"/>
                  <w:color w:val="0000FF"/>
                  <w:szCs w:val="22"/>
                  <w:u w:val="single"/>
                </w:rPr>
                <w:t>TDAGWG</w:t>
              </w:r>
              <w:r w:rsidR="00A55A39" w:rsidRPr="00500A19">
                <w:rPr>
                  <w:rFonts w:cstheme="minorHAnsi"/>
                  <w:color w:val="0000FF"/>
                  <w:szCs w:val="22"/>
                  <w:u w:val="single"/>
                </w:rPr>
                <w:t>­</w:t>
              </w:r>
              <w:r w:rsidRPr="00500A19">
                <w:rPr>
                  <w:rFonts w:cstheme="minorHAnsi"/>
                  <w:color w:val="0000FF"/>
                  <w:szCs w:val="22"/>
                  <w:u w:val="single"/>
                </w:rPr>
                <w:t>DEC/7</w:t>
              </w:r>
            </w:hyperlink>
            <w:r w:rsidRPr="00500A19">
              <w:rPr>
                <w:rFonts w:cstheme="minorHAnsi"/>
                <w:color w:val="000000"/>
                <w:szCs w:val="22"/>
              </w:rPr>
              <w:t>, 13 декабря 2024 года)</w:t>
            </w:r>
          </w:p>
          <w:p w14:paraId="7646F597" w14:textId="76B31069"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Первоначальный проект предложения Председателя (</w:t>
            </w:r>
            <w:hyperlink r:id="rId128" w:tgtFrame="_blank" w:history="1">
              <w:r w:rsidRPr="00500A19">
                <w:rPr>
                  <w:rFonts w:cstheme="minorHAnsi"/>
                  <w:color w:val="0000FF"/>
                  <w:szCs w:val="22"/>
                  <w:u w:val="single"/>
                </w:rPr>
                <w:t>Документ TDAG-WG-DEC/9</w:t>
              </w:r>
            </w:hyperlink>
            <w:r w:rsidRPr="00500A19">
              <w:rPr>
                <w:rFonts w:cstheme="minorHAnsi"/>
                <w:color w:val="000000"/>
                <w:szCs w:val="22"/>
              </w:rPr>
              <w:t>, 19</w:t>
            </w:r>
            <w:r w:rsidR="00A55A39" w:rsidRPr="00500A19">
              <w:rPr>
                <w:rFonts w:cstheme="minorHAnsi"/>
                <w:color w:val="000000"/>
                <w:szCs w:val="22"/>
              </w:rPr>
              <w:t> </w:t>
            </w:r>
            <w:r w:rsidRPr="00500A19">
              <w:rPr>
                <w:rFonts w:cstheme="minorHAnsi"/>
                <w:color w:val="000000"/>
                <w:szCs w:val="22"/>
              </w:rPr>
              <w:t>февраля 2025 года)</w:t>
            </w:r>
          </w:p>
          <w:p w14:paraId="1B489ADE"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Пересмотренный и аннотированный проект предложения Председателя по Бакинской декларации (</w:t>
            </w:r>
            <w:hyperlink r:id="rId129" w:tgtFrame="_blank" w:history="1">
              <w:r w:rsidRPr="00500A19">
                <w:rPr>
                  <w:rFonts w:cstheme="minorHAnsi"/>
                  <w:color w:val="0000FF"/>
                  <w:szCs w:val="22"/>
                  <w:u w:val="single"/>
                </w:rPr>
                <w:t>TDAG-WG-DEC/12</w:t>
              </w:r>
            </w:hyperlink>
            <w:r w:rsidRPr="00500A19">
              <w:rPr>
                <w:rFonts w:cstheme="minorHAnsi"/>
                <w:color w:val="000000"/>
                <w:szCs w:val="22"/>
              </w:rPr>
              <w:t>, 27 марта 2025 года)</w:t>
            </w:r>
          </w:p>
          <w:p w14:paraId="4B69F79C"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Второй пересмотренный проект предложения Председателя по Бакинской декларации (</w:t>
            </w:r>
            <w:hyperlink r:id="rId130" w:tgtFrame="_blank" w:history="1">
              <w:r w:rsidRPr="00500A19">
                <w:rPr>
                  <w:rFonts w:cstheme="minorHAnsi"/>
                  <w:color w:val="0000FF"/>
                  <w:szCs w:val="22"/>
                  <w:u w:val="single"/>
                </w:rPr>
                <w:t>TDAG-WG-DEC/14</w:t>
              </w:r>
            </w:hyperlink>
            <w:r w:rsidRPr="00500A19">
              <w:rPr>
                <w:rFonts w:cstheme="minorHAnsi"/>
                <w:color w:val="000000"/>
                <w:szCs w:val="22"/>
              </w:rPr>
              <w:t>, 22 апреля 2025 года)</w:t>
            </w:r>
          </w:p>
          <w:p w14:paraId="3B4D0805" w14:textId="77777777" w:rsidR="00D716C9" w:rsidRPr="00500A19" w:rsidRDefault="00D716C9" w:rsidP="00D716C9">
            <w:pPr>
              <w:pStyle w:val="enumlev1"/>
              <w:rPr>
                <w:rFonts w:cstheme="minorHAnsi"/>
                <w:szCs w:val="22"/>
              </w:rPr>
            </w:pPr>
            <w:r w:rsidRPr="00500A19">
              <w:rPr>
                <w:rFonts w:cstheme="minorHAnsi"/>
                <w:color w:val="000000"/>
                <w:szCs w:val="22"/>
              </w:rPr>
              <w:sym w:font="Symbol" w:char="F02D"/>
            </w:r>
            <w:r w:rsidRPr="00500A19">
              <w:rPr>
                <w:rFonts w:cstheme="minorHAnsi"/>
                <w:color w:val="000000"/>
                <w:szCs w:val="22"/>
              </w:rPr>
              <w:tab/>
              <w:t>Окончательный пересмотренный проект предложения Председателя по Бакинской декларации (</w:t>
            </w:r>
            <w:hyperlink r:id="rId131" w:tgtFrame="_blank" w:history="1">
              <w:r w:rsidRPr="00500A19">
                <w:rPr>
                  <w:rFonts w:cstheme="minorHAnsi"/>
                  <w:color w:val="0000FF"/>
                  <w:szCs w:val="22"/>
                  <w:u w:val="single"/>
                </w:rPr>
                <w:t>TDAG-WG-DEC/DT/1</w:t>
              </w:r>
            </w:hyperlink>
            <w:r w:rsidRPr="00500A19">
              <w:rPr>
                <w:rFonts w:cstheme="minorHAnsi"/>
                <w:color w:val="000000"/>
                <w:szCs w:val="22"/>
              </w:rPr>
              <w:t>, 15 мая 2025 года)</w:t>
            </w:r>
          </w:p>
          <w:p w14:paraId="28DE24BD" w14:textId="78E6F436" w:rsidR="00D716C9" w:rsidRPr="00500A19" w:rsidRDefault="00D716C9" w:rsidP="00D716C9">
            <w:pPr>
              <w:pStyle w:val="enumlev1"/>
              <w:spacing w:after="120"/>
              <w:rPr>
                <w:rFonts w:cstheme="minorHAnsi"/>
                <w:b/>
                <w:bCs/>
                <w:color w:val="000000"/>
                <w:szCs w:val="22"/>
              </w:rPr>
            </w:pPr>
            <w:r w:rsidRPr="00500A19">
              <w:rPr>
                <w:rFonts w:cstheme="minorHAnsi"/>
                <w:color w:val="000000"/>
                <w:szCs w:val="22"/>
              </w:rPr>
              <w:sym w:font="Symbol" w:char="F02D"/>
            </w:r>
            <w:r w:rsidRPr="00500A19">
              <w:rPr>
                <w:rFonts w:cstheme="minorHAnsi"/>
                <w:color w:val="000000"/>
                <w:szCs w:val="22"/>
              </w:rPr>
              <w:tab/>
            </w:r>
            <w:hyperlink r:id="rId132" w:tgtFrame="_blank" w:history="1">
              <w:r w:rsidRPr="00500A19">
                <w:rPr>
                  <w:rFonts w:cstheme="minorHAnsi"/>
                  <w:color w:val="0000FF"/>
                  <w:szCs w:val="22"/>
                  <w:u w:val="single"/>
                </w:rPr>
                <w:t>Веб-сайт КГРЭ-РГ-DEC</w:t>
              </w:r>
            </w:hyperlink>
          </w:p>
        </w:tc>
      </w:tr>
    </w:tbl>
    <w:p w14:paraId="0716C589" w14:textId="77777777" w:rsidR="007D7FAD" w:rsidRPr="00500A19" w:rsidRDefault="007D7FAD">
      <w:pPr>
        <w:overflowPunct/>
        <w:autoSpaceDE/>
        <w:autoSpaceDN/>
        <w:adjustRightInd/>
        <w:spacing w:before="0"/>
        <w:textAlignment w:val="auto"/>
        <w:rPr>
          <w:rFonts w:cstheme="minorHAnsi"/>
          <w:b/>
          <w:bCs/>
          <w:szCs w:val="22"/>
        </w:rPr>
      </w:pPr>
      <w:r w:rsidRPr="00500A19">
        <w:rPr>
          <w:rFonts w:cstheme="minorHAnsi"/>
          <w:b/>
          <w:bCs/>
          <w:szCs w:val="22"/>
        </w:rPr>
        <w:br w:type="page"/>
      </w:r>
    </w:p>
    <w:p w14:paraId="0FA4CE7F" w14:textId="747AEA60" w:rsidR="007D7FAD" w:rsidRPr="00500A19" w:rsidRDefault="00DC7457" w:rsidP="00DC7457">
      <w:pPr>
        <w:pStyle w:val="Heading1"/>
      </w:pPr>
      <w:r w:rsidRPr="00500A19">
        <w:lastRenderedPageBreak/>
        <w:t>1</w:t>
      </w:r>
      <w:r w:rsidRPr="00500A19">
        <w:tab/>
      </w:r>
      <w:r w:rsidR="007D7FAD" w:rsidRPr="00500A19">
        <w:t>Введение</w:t>
      </w:r>
    </w:p>
    <w:p w14:paraId="40929AAE" w14:textId="3F1ECB10" w:rsidR="007D7FAD" w:rsidRPr="00500A19" w:rsidRDefault="007D7FAD" w:rsidP="00DC7457">
      <w:r w:rsidRPr="00500A19">
        <w:t xml:space="preserve">Рабочая группа КГРЭ по Декларации (КГРЭ-РГ-DEC) была создана во время </w:t>
      </w:r>
      <w:hyperlink r:id="rId133" w:tgtFrame="_blank" w:history="1">
        <w:r w:rsidRPr="00500A19">
          <w:rPr>
            <w:color w:val="0000FF"/>
            <w:u w:val="single"/>
          </w:rPr>
          <w:t>TDAG-24</w:t>
        </w:r>
      </w:hyperlink>
      <w:r w:rsidRPr="00500A19">
        <w:t xml:space="preserve"> (20</w:t>
      </w:r>
      <w:r w:rsidR="00DC7457" w:rsidRPr="00500A19">
        <w:sym w:font="Symbol" w:char="F02D"/>
      </w:r>
      <w:r w:rsidRPr="00500A19">
        <w:t>23 мая 2024</w:t>
      </w:r>
      <w:r w:rsidR="00DC7457" w:rsidRPr="00500A19">
        <w:t> </w:t>
      </w:r>
      <w:r w:rsidRPr="00500A19">
        <w:t>года). Председателем этой Группы был назначен г-н Абдулкарим Олойеде от Нигерии, а заместителями Председателя – г-н Ахмед Абд Эль-Азиз от Египта и г-жа Ке Ван от Китая.</w:t>
      </w:r>
    </w:p>
    <w:p w14:paraId="5344D60F" w14:textId="77777777" w:rsidR="007D7FAD" w:rsidRPr="00500A19" w:rsidRDefault="007D7FAD" w:rsidP="00DC7457">
      <w:r w:rsidRPr="00500A19">
        <w:t xml:space="preserve">КГРЭ-РГ-DEC была поручена задача "предложить отдельные элементы и дать рекомендации членам МСЭ в отношении будущего проекта Декларации" Всемирной конференции по развитию электросвязи 2025 года (ВКРЭ-25) (Документ </w:t>
      </w:r>
      <w:hyperlink r:id="rId134" w:tgtFrame="_blank" w:history="1">
        <w:r w:rsidRPr="00500A19">
          <w:rPr>
            <w:color w:val="0000FF"/>
            <w:u w:val="single"/>
          </w:rPr>
          <w:t>TDAG-24/DT/4</w:t>
        </w:r>
      </w:hyperlink>
      <w:r w:rsidRPr="00500A19">
        <w:t>). КГРЭ-РГ-DEC была открыта для всех Государств – Членов МСЭ и Членов Сектора развития электросвязи МСЭ (МСЭ-D). Итоговые документы КГРЭ-РГ-DEC будут использоваться членами в качестве основы при работе над Декларацией ВКРЭ-25 в преддверии и во время Конференции.</w:t>
      </w:r>
    </w:p>
    <w:p w14:paraId="12D4D6EB" w14:textId="77777777" w:rsidR="007D7FAD" w:rsidRPr="00500A19" w:rsidRDefault="007D7FAD" w:rsidP="00DC7457">
      <w:r w:rsidRPr="00500A19">
        <w:t xml:space="preserve">КГРЭ-РГ-DEC провела четыре собрания в период с декабря 2024 года по апрель 2025 года. Отчеты об отдельных собраниях упомянуты в вышеприведенном резюме и размещены на </w:t>
      </w:r>
      <w:hyperlink r:id="rId135" w:tgtFrame="_blank" w:history="1">
        <w:r w:rsidRPr="00500A19">
          <w:rPr>
            <w:color w:val="0000FF"/>
            <w:u w:val="single"/>
          </w:rPr>
          <w:t>веб-сайте Группы</w:t>
        </w:r>
      </w:hyperlink>
      <w:r w:rsidRPr="00500A19">
        <w:t>.</w:t>
      </w:r>
    </w:p>
    <w:p w14:paraId="0A45A434" w14:textId="365792D8" w:rsidR="007D7FAD" w:rsidRPr="00500A19" w:rsidRDefault="00DC7457" w:rsidP="00DC7457">
      <w:pPr>
        <w:pStyle w:val="Heading1"/>
      </w:pPr>
      <w:r w:rsidRPr="00500A19">
        <w:t>2</w:t>
      </w:r>
      <w:r w:rsidRPr="00500A19">
        <w:tab/>
      </w:r>
      <w:r w:rsidR="007D7FAD" w:rsidRPr="00500A19">
        <w:t>Подход и процесс разработки предложенного Председателем проекта Декларации ВКРЭ-25</w:t>
      </w:r>
    </w:p>
    <w:p w14:paraId="2CB92686" w14:textId="77777777" w:rsidR="007D7FAD" w:rsidRPr="00500A19" w:rsidRDefault="007D7FAD" w:rsidP="00DC7457">
      <w:r w:rsidRPr="00500A19">
        <w:t>На протяжении всей своей работы КГРЭ-РГ-DEC обеспечивала тесную координацию действий по ключевым темам, связанным с подготовкой Декларации, особенно с Рабочей группой КГРЭ по приоритетам МСЭ-D (КГРЭ-РГ-ITUDP).</w:t>
      </w:r>
    </w:p>
    <w:p w14:paraId="5607AF08" w14:textId="77777777" w:rsidR="007D7FAD" w:rsidRPr="00500A19" w:rsidRDefault="007D7FAD" w:rsidP="00DC7457">
      <w:r w:rsidRPr="00500A19">
        <w:t>На своем первом собрании Группа решила сохранить структуру, аналогичную структуре Кигалийской декларации; Декларация должна быть лаконичной и простой, содержать четкие и практически ориентированные формулировки, а также охватывать как проблемы глобального цифрового развития, так и возможные решения.</w:t>
      </w:r>
    </w:p>
    <w:p w14:paraId="7FD2A343" w14:textId="55A7D6F3" w:rsidR="007D7FAD" w:rsidRPr="00500A19" w:rsidRDefault="007D7FAD" w:rsidP="00DC7457">
      <w:r w:rsidRPr="00500A19">
        <w:t xml:space="preserve">На основе обсуждений, состоявшихся в ходе первого собрания КГРЭ-РГ-DEC и неофициальных консультаций, Председатель представил второму собранию предложение по названию Декларации: "Универсальная и реальная возможность установления соединений для справедливого цифрового будущего", как указано в Документе </w:t>
      </w:r>
      <w:hyperlink r:id="rId136" w:tgtFrame="_blank" w:history="1">
        <w:r w:rsidRPr="00500A19">
          <w:rPr>
            <w:color w:val="0000FF"/>
            <w:u w:val="single"/>
          </w:rPr>
          <w:t>TDAG-WG-DEC/4(Rev.1)</w:t>
        </w:r>
      </w:hyperlink>
      <w:r w:rsidRPr="00500A19">
        <w:t xml:space="preserve">. После обсуждений на втором собрании Группа решила изменить название Декларации на следующее: "Универсальная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 Некоторые представители Государств – Членов высказались за более короткое название, в то время как другие </w:t>
      </w:r>
      <w:r w:rsidR="00A55A39" w:rsidRPr="00500A19">
        <w:sym w:font="Symbol" w:char="F02D"/>
      </w:r>
      <w:r w:rsidRPr="00500A19">
        <w:t xml:space="preserve"> за более полное.</w:t>
      </w:r>
    </w:p>
    <w:p w14:paraId="4ECE4DFB" w14:textId="59EAB589" w:rsidR="007D7FAD" w:rsidRPr="00500A19" w:rsidRDefault="007D7FAD" w:rsidP="00DC7457">
      <w:r w:rsidRPr="00500A19">
        <w:t xml:space="preserve">Также в ходе второго собрания Группы Председатель КГРЭ-РГ-DEC представил проект аннотированного плана Бакинской декларации (Документ </w:t>
      </w:r>
      <w:hyperlink r:id="rId137" w:tgtFrame="_blank" w:history="1">
        <w:r w:rsidRPr="00500A19">
          <w:rPr>
            <w:color w:val="0000FF"/>
            <w:u w:val="single"/>
          </w:rPr>
          <w:t>TDAG-WG-DEC/4(Rev.1)</w:t>
        </w:r>
      </w:hyperlink>
      <w:r w:rsidRPr="00500A19">
        <w:t>), состоящий из четырех основных разделов (Введение, "Мы заявляем", "Мы обязуемся" (позже изменен на "Мы</w:t>
      </w:r>
      <w:r w:rsidR="00DC7457" w:rsidRPr="00500A19">
        <w:t> </w:t>
      </w:r>
      <w:r w:rsidRPr="00500A19">
        <w:t xml:space="preserve">подтверждаем") и Призыв к действиям), с тем чтобы активизировать обсуждение структуры и возможных тем Декларации. Председатель также рассказал об обосновании и процессе разработки документа, объяснив, что проект плана был составлен с учетом первоначального распределения тем в Кигалийской декларации, а также новых и возникающих тем, как отражено в Документе </w:t>
      </w:r>
      <w:hyperlink r:id="rId138" w:tgtFrame="_blank" w:history="1">
        <w:r w:rsidRPr="00500A19">
          <w:rPr>
            <w:color w:val="0000FF"/>
            <w:u w:val="single"/>
          </w:rPr>
          <w:t>TDAG</w:t>
        </w:r>
        <w:r w:rsidR="00DC7457" w:rsidRPr="00500A19">
          <w:rPr>
            <w:color w:val="0000FF"/>
            <w:u w:val="single"/>
          </w:rPr>
          <w:t>­</w:t>
        </w:r>
        <w:r w:rsidRPr="00500A19">
          <w:rPr>
            <w:color w:val="0000FF"/>
            <w:u w:val="single"/>
          </w:rPr>
          <w:t>WG</w:t>
        </w:r>
        <w:r w:rsidR="00DC7457" w:rsidRPr="00500A19">
          <w:rPr>
            <w:color w:val="0000FF"/>
            <w:u w:val="single"/>
          </w:rPr>
          <w:t>­</w:t>
        </w:r>
        <w:r w:rsidRPr="00500A19">
          <w:rPr>
            <w:color w:val="0000FF"/>
            <w:u w:val="single"/>
          </w:rPr>
          <w:t>DEC/INF/</w:t>
        </w:r>
      </w:hyperlink>
      <w:r w:rsidRPr="00500A19">
        <w:rPr>
          <w:color w:val="0000FF"/>
          <w:u w:val="single"/>
        </w:rPr>
        <w:t>1</w:t>
      </w:r>
      <w:r w:rsidRPr="00500A19">
        <w:t>.</w:t>
      </w:r>
    </w:p>
    <w:p w14:paraId="5B926DC6" w14:textId="77777777" w:rsidR="007D7FAD" w:rsidRPr="00500A19" w:rsidRDefault="007D7FAD" w:rsidP="00DC7457">
      <w:r w:rsidRPr="00500A19">
        <w:t xml:space="preserve">Основываясь на отзывах, полученных во время второго собрания КГРЭ-РГ-DEC, Председатель подготовил и представил первоначальное предложение по содержанию Бакинской декларации на третьем собрании (Документ </w:t>
      </w:r>
      <w:hyperlink r:id="rId139" w:tgtFrame="_blank" w:history="1">
        <w:r w:rsidRPr="00500A19">
          <w:rPr>
            <w:color w:val="0000FF"/>
            <w:u w:val="single"/>
          </w:rPr>
          <w:t>TDAG-WG-DEC/9</w:t>
        </w:r>
      </w:hyperlink>
      <w:r w:rsidRPr="00500A19">
        <w:t>), предложив Группе внести свой вклад и отметив при этом замечания общего характера и предлагаемые изменения.</w:t>
      </w:r>
    </w:p>
    <w:p w14:paraId="1B8A2BBC" w14:textId="77777777" w:rsidR="007D7FAD" w:rsidRPr="00500A19" w:rsidRDefault="007D7FAD" w:rsidP="00DC7457">
      <w:r w:rsidRPr="00500A19">
        <w:t xml:space="preserve">На основе обсуждения по существу Председатель подготовил пересмотренный и аннотированный проект предложения (Документ </w:t>
      </w:r>
      <w:hyperlink r:id="rId140" w:tgtFrame="_blank" w:history="1">
        <w:r w:rsidRPr="00500A19">
          <w:rPr>
            <w:color w:val="0000FF"/>
            <w:u w:val="single"/>
          </w:rPr>
          <w:t>TDAG-WG-DEC/12</w:t>
        </w:r>
      </w:hyperlink>
      <w:r w:rsidRPr="00500A19">
        <w:t>) для обсуждения на четвертом собрании Группы.</w:t>
      </w:r>
    </w:p>
    <w:p w14:paraId="1EBC86DE" w14:textId="77777777" w:rsidR="007D7FAD" w:rsidRPr="00500A19" w:rsidRDefault="007D7FAD" w:rsidP="00DC7457">
      <w:r w:rsidRPr="00500A19">
        <w:t xml:space="preserve">В ходе четвертого собрания Группы были внесены дополнительные изменения, и был опубликован второй пересмотренный проект предложения для обсуждения на пятом собрании Группы, которое состоится в ходе КГРЭ-25 (Приложение 1, ниже, и Документ </w:t>
      </w:r>
      <w:hyperlink r:id="rId141" w:tgtFrame="_blank" w:history="1">
        <w:r w:rsidRPr="00500A19">
          <w:rPr>
            <w:color w:val="0000FF"/>
            <w:u w:val="single"/>
          </w:rPr>
          <w:t>TDAG-WG-DEC/14</w:t>
        </w:r>
      </w:hyperlink>
      <w:r w:rsidRPr="00500A19">
        <w:t>).</w:t>
      </w:r>
    </w:p>
    <w:p w14:paraId="418EB5A2" w14:textId="77CCD898" w:rsidR="007D7FAD" w:rsidRPr="00500A19" w:rsidRDefault="007D7FAD" w:rsidP="00DC7457">
      <w:r w:rsidRPr="00500A19">
        <w:lastRenderedPageBreak/>
        <w:t>На основе этих документов, а также результатов обсуждений и неофициальных консультаций в КГРЭ</w:t>
      </w:r>
      <w:r w:rsidR="0019380F" w:rsidRPr="00500A19">
        <w:t>­</w:t>
      </w:r>
      <w:r w:rsidRPr="00500A19">
        <w:t xml:space="preserve">РГ-DEC Председатель подготовил пересмотренный и аннотированный проект предложения (Документ </w:t>
      </w:r>
      <w:hyperlink r:id="rId142" w:tgtFrame="_blank" w:history="1">
        <w:r w:rsidRPr="00500A19">
          <w:rPr>
            <w:color w:val="0000FF"/>
            <w:u w:val="single"/>
          </w:rPr>
          <w:t>TDAG-WG-DEC/12</w:t>
        </w:r>
      </w:hyperlink>
      <w:r w:rsidRPr="00500A19">
        <w:t xml:space="preserve">), а после обсуждения дополнительного вклада, представленного на четвертом собрании Группы, подготовил второй пересмотренный проект предложения по Бакинской декларации (Документ </w:t>
      </w:r>
      <w:hyperlink r:id="rId143" w:tgtFrame="_blank" w:history="1">
        <w:r w:rsidRPr="00500A19">
          <w:rPr>
            <w:color w:val="0000FF"/>
            <w:u w:val="single"/>
          </w:rPr>
          <w:t>TDAG-WG-DEC/14</w:t>
        </w:r>
      </w:hyperlink>
      <w:r w:rsidRPr="00500A19">
        <w:t>).</w:t>
      </w:r>
    </w:p>
    <w:p w14:paraId="1ADAF087" w14:textId="77777777" w:rsidR="007D7FAD" w:rsidRPr="00500A19" w:rsidRDefault="007D7FAD" w:rsidP="00DC7457">
      <w:r w:rsidRPr="00500A19">
        <w:t xml:space="preserve">Окончательный пересмотренный проект предложения (Документ </w:t>
      </w:r>
      <w:hyperlink r:id="rId144" w:tgtFrame="_blank" w:history="1">
        <w:r w:rsidRPr="00500A19">
          <w:rPr>
            <w:color w:val="0000FF"/>
            <w:u w:val="single"/>
          </w:rPr>
          <w:t>TDAG-WG-DEC/DT/1</w:t>
        </w:r>
      </w:hyperlink>
      <w:r w:rsidRPr="00500A19">
        <w:t>), представленный в приложении к настоящему отчету, был согласован на пятом собрании Группы под руководством Председателя.</w:t>
      </w:r>
    </w:p>
    <w:p w14:paraId="5C4A3B5D" w14:textId="77777777" w:rsidR="007D7FAD" w:rsidRPr="00500A19" w:rsidRDefault="007D7FAD" w:rsidP="00DC7457">
      <w:r w:rsidRPr="00500A19">
        <w:t>Государства – Члены попросили отразить в настоящем отчете следующие обсуждения для поддержки региональных организаций электросвязи (РОЭ) в процессе подготовки к ВКРЭ-25:</w:t>
      </w:r>
    </w:p>
    <w:p w14:paraId="26D45433" w14:textId="3C96B7DC" w:rsidR="007D7FAD" w:rsidRPr="00500A19" w:rsidRDefault="00DC7457" w:rsidP="00DC7457">
      <w:pPr>
        <w:pStyle w:val="enumlev1"/>
      </w:pPr>
      <w:r w:rsidRPr="00500A19">
        <w:rPr>
          <w:b/>
          <w:bCs/>
        </w:rPr>
        <w:sym w:font="Symbol" w:char="F02D"/>
      </w:r>
      <w:r w:rsidRPr="00500A19">
        <w:rPr>
          <w:b/>
          <w:bCs/>
        </w:rPr>
        <w:tab/>
      </w:r>
      <w:r w:rsidR="007D7FAD" w:rsidRPr="00500A19">
        <w:rPr>
          <w:b/>
          <w:bCs/>
        </w:rPr>
        <w:t>Объем Декларации</w:t>
      </w:r>
      <w:r w:rsidR="007D7FAD" w:rsidRPr="00500A19">
        <w:t>: Ряд Государств – Членов вновь повторили мнение о том, что Декларация должна оставаться краткой, как подобает заявлению высокого уровня.</w:t>
      </w:r>
    </w:p>
    <w:p w14:paraId="3AAEF435" w14:textId="4DF33793" w:rsidR="007D7FAD" w:rsidRPr="00500A19" w:rsidRDefault="00DC7457" w:rsidP="00DC7457">
      <w:pPr>
        <w:pStyle w:val="enumlev1"/>
      </w:pPr>
      <w:r w:rsidRPr="00500A19">
        <w:rPr>
          <w:b/>
          <w:bCs/>
        </w:rPr>
        <w:sym w:font="Symbol" w:char="F02D"/>
      </w:r>
      <w:r w:rsidRPr="00500A19">
        <w:rPr>
          <w:b/>
          <w:bCs/>
        </w:rPr>
        <w:tab/>
      </w:r>
      <w:r w:rsidR="007D7FAD" w:rsidRPr="00500A19">
        <w:rPr>
          <w:b/>
          <w:bCs/>
        </w:rPr>
        <w:t>Технологический нейтралитет</w:t>
      </w:r>
      <w:r w:rsidR="007D7FAD" w:rsidRPr="00500A19">
        <w:t>: Некоторые регионы и Члены Сектора МСЭ-D высказались за сохранение формулировок общего характера, в то время как другие выступили за включение ссылок на конкретные ключевые технологии.</w:t>
      </w:r>
    </w:p>
    <w:p w14:paraId="64DB5A43" w14:textId="06A7D893" w:rsidR="007D7FAD" w:rsidRPr="00500A19" w:rsidRDefault="00DC7457" w:rsidP="00DC7457">
      <w:pPr>
        <w:pStyle w:val="enumlev1"/>
      </w:pPr>
      <w:r w:rsidRPr="00500A19">
        <w:rPr>
          <w:b/>
          <w:bCs/>
        </w:rPr>
        <w:sym w:font="Symbol" w:char="F02D"/>
      </w:r>
      <w:r w:rsidRPr="00500A19">
        <w:rPr>
          <w:b/>
          <w:bCs/>
        </w:rPr>
        <w:tab/>
      </w:r>
      <w:r w:rsidR="007D7FAD" w:rsidRPr="00500A19">
        <w:rPr>
          <w:b/>
          <w:bCs/>
        </w:rPr>
        <w:t>Искусственный интеллект (ИИ)</w:t>
      </w:r>
      <w:r w:rsidR="007D7FAD" w:rsidRPr="00500A19">
        <w:t>: В ходе собрания КГРЭ-РГ-DEC не было достигнуто согласия по вопросу о включении термина ИИ в Декларацию. Делегаты согласились включить в текст более общую ссылку на "новые и появляющиеся технологии".  Некоторые регионы и Государства – Члены высказали мнение, согласно которому следует уделить особое внимание ИИ ввиду его потенциала для ускорения развития ИКТ. Кроме того, было предложено, что в случае включения любых формулировок в текст Декларации необходимо обеспечить их соответствие Резолюции 214 ПК о технологиях искусственного интеллекта (например, "ИИ, связанный с электросвязью"). КГРЭ-25 приняла решение включить ссылки с внесенными изменениями в Приложение 1 к проекту.</w:t>
      </w:r>
    </w:p>
    <w:p w14:paraId="4E22A158" w14:textId="702C2E88" w:rsidR="007D7FAD" w:rsidRPr="00500A19" w:rsidRDefault="00DC7457" w:rsidP="00DC7457">
      <w:pPr>
        <w:pStyle w:val="enumlev1"/>
      </w:pPr>
      <w:r w:rsidRPr="00500A19">
        <w:rPr>
          <w:b/>
          <w:bCs/>
        </w:rPr>
        <w:sym w:font="Symbol" w:char="F02D"/>
      </w:r>
      <w:r w:rsidRPr="00500A19">
        <w:rPr>
          <w:b/>
          <w:bCs/>
        </w:rPr>
        <w:tab/>
      </w:r>
      <w:r w:rsidR="007D7FAD" w:rsidRPr="00500A19">
        <w:rPr>
          <w:b/>
          <w:bCs/>
        </w:rPr>
        <w:t>Космическая инфраструктура</w:t>
      </w:r>
      <w:r w:rsidR="007D7FAD" w:rsidRPr="00500A19">
        <w:t>: В то время как некоторые члены поддержали упоминание "спутниковой связи" как более соответствующей мандату МСЭ-D, другие члены подчеркнули важность новых космических технологий для достижения целей Сектора.</w:t>
      </w:r>
    </w:p>
    <w:p w14:paraId="2194811E" w14:textId="6A01FAE9" w:rsidR="007D7FAD" w:rsidRPr="00500A19" w:rsidRDefault="00DC7457" w:rsidP="00DC7457">
      <w:pPr>
        <w:pStyle w:val="enumlev1"/>
      </w:pPr>
      <w:r w:rsidRPr="00500A19">
        <w:rPr>
          <w:b/>
          <w:bCs/>
        </w:rPr>
        <w:sym w:font="Symbol" w:char="F02D"/>
      </w:r>
      <w:r w:rsidRPr="00500A19">
        <w:rPr>
          <w:b/>
          <w:bCs/>
        </w:rPr>
        <w:tab/>
      </w:r>
      <w:r w:rsidR="007D7FAD" w:rsidRPr="00500A19">
        <w:rPr>
          <w:b/>
          <w:bCs/>
        </w:rPr>
        <w:t>Передача технологий</w:t>
      </w:r>
      <w:r w:rsidR="007D7FAD" w:rsidRPr="00500A19">
        <w:t>: по этой теме также были выражены различные точки зрения.</w:t>
      </w:r>
    </w:p>
    <w:p w14:paraId="592A0EB3" w14:textId="69039EE0" w:rsidR="007D7FAD" w:rsidRPr="00500A19" w:rsidRDefault="00DC7457" w:rsidP="00DC7457">
      <w:pPr>
        <w:pStyle w:val="enumlev1"/>
      </w:pPr>
      <w:r w:rsidRPr="00500A19">
        <w:rPr>
          <w:b/>
          <w:bCs/>
        </w:rPr>
        <w:sym w:font="Symbol" w:char="F02D"/>
      </w:r>
      <w:r w:rsidRPr="00500A19">
        <w:rPr>
          <w:b/>
          <w:bCs/>
        </w:rPr>
        <w:tab/>
      </w:r>
      <w:r w:rsidR="007D7FAD" w:rsidRPr="00500A19">
        <w:rPr>
          <w:b/>
          <w:bCs/>
        </w:rPr>
        <w:t>Комплексный подход к проблемам</w:t>
      </w:r>
      <w:r w:rsidR="007D7FAD" w:rsidRPr="00500A19">
        <w:t>: Некоторые Члены Сектора МСЭ-D хотели бы уточнить формулировки, касающиеся решения проблем, связанных с доступом к ИКТ и их приемлемостью в ценовом отношении, включая вопросы о соответствующих приложениях и непрерывности услуг.</w:t>
      </w:r>
    </w:p>
    <w:p w14:paraId="3D82C8B6" w14:textId="4AF2D63C" w:rsidR="007D7FAD" w:rsidRPr="00500A19" w:rsidRDefault="00DC7457" w:rsidP="00DC7457">
      <w:pPr>
        <w:pStyle w:val="enumlev1"/>
      </w:pPr>
      <w:r w:rsidRPr="00500A19">
        <w:rPr>
          <w:b/>
          <w:bCs/>
        </w:rPr>
        <w:sym w:font="Symbol" w:char="F02D"/>
      </w:r>
      <w:r w:rsidRPr="00500A19">
        <w:rPr>
          <w:b/>
          <w:bCs/>
        </w:rPr>
        <w:tab/>
      </w:r>
      <w:r w:rsidR="007D7FAD" w:rsidRPr="00500A19">
        <w:rPr>
          <w:b/>
          <w:bCs/>
        </w:rPr>
        <w:t>Формулировки в отношении обязательств</w:t>
      </w:r>
      <w:r w:rsidR="007D7FAD" w:rsidRPr="00500A19">
        <w:t>: Ряд Государств – Членов предложили использовать более мягкие формулировки, не имеющие обязательной силы, во второй части проекта Декларации (например, заменить выражение "мы обязуемся"); однако по этому предложению Группа не достигла консенсуса.</w:t>
      </w:r>
    </w:p>
    <w:p w14:paraId="5D5AC63B" w14:textId="77777777" w:rsidR="007D7FAD" w:rsidRPr="00500A19" w:rsidRDefault="007D7FAD" w:rsidP="00DC7457">
      <w:r w:rsidRPr="00500A19">
        <w:t>Кроме того, в ходе собрания были высказаны следующие позиции:</w:t>
      </w:r>
    </w:p>
    <w:p w14:paraId="7E73B6A6" w14:textId="1EA91806" w:rsidR="007D7FAD" w:rsidRPr="00500A19" w:rsidRDefault="00DC7457" w:rsidP="00DC7457">
      <w:pPr>
        <w:pStyle w:val="enumlev1"/>
      </w:pPr>
      <w:r w:rsidRPr="00500A19">
        <w:rPr>
          <w:b/>
          <w:bCs/>
        </w:rPr>
        <w:sym w:font="Symbol" w:char="F02D"/>
      </w:r>
      <w:r w:rsidRPr="00500A19">
        <w:rPr>
          <w:b/>
          <w:bCs/>
        </w:rPr>
        <w:tab/>
      </w:r>
      <w:r w:rsidR="007D7FAD" w:rsidRPr="00500A19">
        <w:rPr>
          <w:b/>
          <w:bCs/>
        </w:rPr>
        <w:t>Соединенные Штаты поддерживают</w:t>
      </w:r>
      <w:r w:rsidR="007D7FAD" w:rsidRPr="00500A19">
        <w:t xml:space="preserve"> декларацию ВКРЭ-25, которая будет лаконичной, высокоэффективной и уделяющей основное внимание мандату МСЭ-D по подключению тех, кто еще не имеет соединений, и содействию цифровой трансформации. В отношении проекта Декларации Соединенные Штаты предлагают исключить формулировки, подтверждающие приверженность Повестке дня в области устойчивого развития на период до 2030 года и Целям в области устойчивого развития. Соединенные Штаты также выступают против ссылок на изменение климата во всем документе и против включения в документ формулировок, способствующих политике разнообразия, равенства и открытости</w:t>
      </w:r>
      <w:r w:rsidR="00A55A39" w:rsidRPr="00500A19">
        <w:t> </w:t>
      </w:r>
      <w:r w:rsidR="007D7FAD" w:rsidRPr="00500A19">
        <w:t>для всех.</w:t>
      </w:r>
    </w:p>
    <w:p w14:paraId="3832E9C1" w14:textId="7480B4D0" w:rsidR="007D7FAD" w:rsidRPr="00500A19" w:rsidRDefault="00DC7457" w:rsidP="00DC7457">
      <w:pPr>
        <w:pStyle w:val="enumlev1"/>
      </w:pPr>
      <w:r w:rsidRPr="00500A19">
        <w:rPr>
          <w:b/>
          <w:bCs/>
        </w:rPr>
        <w:lastRenderedPageBreak/>
        <w:sym w:font="Symbol" w:char="F02D"/>
      </w:r>
      <w:r w:rsidRPr="00500A19">
        <w:rPr>
          <w:b/>
          <w:bCs/>
        </w:rPr>
        <w:tab/>
      </w:r>
      <w:r w:rsidR="007D7FAD" w:rsidRPr="00500A19">
        <w:rPr>
          <w:b/>
          <w:bCs/>
        </w:rPr>
        <w:t>Ряд Государств – Членов</w:t>
      </w:r>
      <w:r w:rsidR="007D7FAD" w:rsidRPr="00500A19">
        <w:t xml:space="preserve"> выступили против внесения изменений, предложенных Соединенными Штатами, в текст проекта Бакинской декларации, ссылаясь на резолюции ПК и ВКРЭ и выражая поддержку работе МСЭ-D в этих областях.</w:t>
      </w:r>
    </w:p>
    <w:p w14:paraId="143E56E0" w14:textId="08A59397" w:rsidR="007D7FAD" w:rsidRPr="00500A19" w:rsidRDefault="00DC7457" w:rsidP="00DC7457">
      <w:pPr>
        <w:pStyle w:val="enumlev1"/>
      </w:pPr>
      <w:r w:rsidRPr="00500A19">
        <w:rPr>
          <w:b/>
          <w:bCs/>
        </w:rPr>
        <w:sym w:font="Symbol" w:char="F02D"/>
      </w:r>
      <w:r w:rsidRPr="00500A19">
        <w:rPr>
          <w:b/>
          <w:bCs/>
        </w:rPr>
        <w:tab/>
      </w:r>
      <w:r w:rsidR="007D7FAD" w:rsidRPr="00500A19">
        <w:rPr>
          <w:b/>
          <w:bCs/>
        </w:rPr>
        <w:t>Бразилия и Лига арабских государств (ЛАГ)</w:t>
      </w:r>
      <w:r w:rsidR="007D7FAD" w:rsidRPr="00500A19">
        <w:t xml:space="preserve"> обратились с просьбой включить словосочетание "передача технологий" в пункт 3 текста Приложения 1 перед словами "инициативы по передаче знаний", поскольку передача технологий является важным инструментом содействия развитию, закрепленным во многих резолюциях МСЭ. Несмотря на то что на данном этапе эта просьба не нашла отражения в тексте, Бразилия и ЛАГ настоятельно предлагают включить эту важную концепцию в Бакинскую декларацию.</w:t>
      </w:r>
    </w:p>
    <w:p w14:paraId="369786F9" w14:textId="531BBD6E" w:rsidR="007D7FAD" w:rsidRPr="00500A19" w:rsidRDefault="00DC7457" w:rsidP="00DC7457">
      <w:pPr>
        <w:pStyle w:val="enumlev1"/>
      </w:pPr>
      <w:r w:rsidRPr="00500A19">
        <w:rPr>
          <w:b/>
          <w:bCs/>
        </w:rPr>
        <w:sym w:font="Symbol" w:char="F02D"/>
      </w:r>
      <w:r w:rsidRPr="00500A19">
        <w:rPr>
          <w:b/>
          <w:bCs/>
        </w:rPr>
        <w:tab/>
      </w:r>
      <w:r w:rsidR="007D7FAD" w:rsidRPr="00500A19">
        <w:rPr>
          <w:b/>
          <w:bCs/>
        </w:rPr>
        <w:t>Африканский союз электросвязи (АСЭ)</w:t>
      </w:r>
      <w:r w:rsidR="007D7FAD" w:rsidRPr="00500A19">
        <w:t xml:space="preserve"> в устной форме подчеркнул важность включения в текст Декларации обязательства по обеспечению приемлемости в ценовом отношении как устройств, так и услуг электросвязи/ИКТ.</w:t>
      </w:r>
    </w:p>
    <w:p w14:paraId="6E21CFC0" w14:textId="6A3EF9ED" w:rsidR="007D7FAD" w:rsidRPr="00500A19" w:rsidRDefault="00DC7457" w:rsidP="00DC7457">
      <w:pPr>
        <w:pStyle w:val="enumlev1"/>
      </w:pPr>
      <w:r w:rsidRPr="00500A19">
        <w:rPr>
          <w:b/>
          <w:bCs/>
        </w:rPr>
        <w:sym w:font="Symbol" w:char="F02D"/>
      </w:r>
      <w:r w:rsidRPr="00500A19">
        <w:rPr>
          <w:b/>
          <w:bCs/>
        </w:rPr>
        <w:tab/>
      </w:r>
      <w:r w:rsidR="007D7FAD" w:rsidRPr="00500A19">
        <w:rPr>
          <w:b/>
          <w:bCs/>
        </w:rPr>
        <w:t xml:space="preserve">ЛАГ </w:t>
      </w:r>
      <w:r w:rsidR="007D7FAD" w:rsidRPr="00500A19">
        <w:t xml:space="preserve">и </w:t>
      </w:r>
      <w:r w:rsidR="007D7FAD" w:rsidRPr="00500A19">
        <w:rPr>
          <w:b/>
          <w:bCs/>
        </w:rPr>
        <w:t>Региональное содружество в области связи (РСС)</w:t>
      </w:r>
      <w:r w:rsidR="007D7FAD" w:rsidRPr="00500A19">
        <w:t xml:space="preserve"> подчеркнули решающую роль новых и появляющихся технологий, в частности ИИ, в контексте цифрового развития и выразили предпочтение конкретным формулировкам, отражающим эту роль.</w:t>
      </w:r>
    </w:p>
    <w:p w14:paraId="222BFC07" w14:textId="77777777" w:rsidR="007D7FAD" w:rsidRPr="00500A19" w:rsidRDefault="007D7FAD" w:rsidP="00DC7457">
      <w:r w:rsidRPr="00500A19">
        <w:t xml:space="preserve">При подготовке предложений для ВКРЭ-25 членам МСЭ-D предлагается учитывать </w:t>
      </w:r>
      <w:r w:rsidRPr="00500A19">
        <w:rPr>
          <w:b/>
          <w:bCs/>
        </w:rPr>
        <w:t>общие мнения отдельных Государств – Членов</w:t>
      </w:r>
      <w:r w:rsidRPr="00500A19">
        <w:t>, которые обсуждались в ходе КГРЭ-25 и нашли выражение в следующих вкладах:</w:t>
      </w:r>
    </w:p>
    <w:p w14:paraId="0C705503" w14:textId="66323881" w:rsidR="007D7FAD" w:rsidRPr="00500A19" w:rsidRDefault="00DC7457" w:rsidP="00DC7457">
      <w:pPr>
        <w:pStyle w:val="enumlev1"/>
        <w:rPr>
          <w:rFonts w:cstheme="minorHAnsi"/>
          <w:szCs w:val="22"/>
        </w:rPr>
      </w:pPr>
      <w:r w:rsidRPr="00500A19">
        <w:rPr>
          <w:b/>
          <w:bCs/>
        </w:rPr>
        <w:sym w:font="Symbol" w:char="F02D"/>
      </w:r>
      <w:r w:rsidRPr="00500A19">
        <w:rPr>
          <w:b/>
          <w:bCs/>
        </w:rPr>
        <w:tab/>
      </w:r>
      <w:hyperlink r:id="rId145" w:tgtFrame="_blank" w:history="1">
        <w:hyperlink r:id="rId146" w:tgtFrame="_blank" w:history="1">
          <w:r w:rsidR="007D7FAD" w:rsidRPr="00500A19">
            <w:rPr>
              <w:rFonts w:cstheme="minorHAnsi"/>
              <w:color w:val="0000FF"/>
              <w:szCs w:val="22"/>
              <w:u w:val="single"/>
            </w:rPr>
            <w:t>Документ TDAG-25/56</w:t>
          </w:r>
        </w:hyperlink>
        <w:r w:rsidR="007D7FAD" w:rsidRPr="00500A19">
          <w:rPr>
            <w:rFonts w:cstheme="minorHAnsi"/>
            <w:szCs w:val="22"/>
          </w:rPr>
          <w:t xml:space="preserve"> "Первоначальные мнения США в преддверии ВКРЭ-25", представленный Соединенными Штатами; и</w:t>
        </w:r>
      </w:hyperlink>
    </w:p>
    <w:p w14:paraId="4C7A1DF8" w14:textId="2FAE964A" w:rsidR="007D7FAD" w:rsidRPr="00500A19" w:rsidRDefault="00DC7457" w:rsidP="00DC7457">
      <w:pPr>
        <w:pStyle w:val="enumlev1"/>
        <w:rPr>
          <w:rFonts w:cstheme="minorHAnsi"/>
          <w:szCs w:val="22"/>
        </w:rPr>
      </w:pPr>
      <w:r w:rsidRPr="00500A19">
        <w:rPr>
          <w:b/>
          <w:bCs/>
        </w:rPr>
        <w:sym w:font="Symbol" w:char="F02D"/>
      </w:r>
      <w:r w:rsidRPr="00500A19">
        <w:rPr>
          <w:b/>
          <w:bCs/>
        </w:rPr>
        <w:tab/>
      </w:r>
      <w:hyperlink r:id="rId147" w:tgtFrame="_blank" w:history="1">
        <w:hyperlink r:id="rId148" w:tgtFrame="_blank" w:history="1">
          <w:r w:rsidR="007D7FAD" w:rsidRPr="00500A19">
            <w:rPr>
              <w:rFonts w:cstheme="minorHAnsi"/>
              <w:color w:val="0000FF"/>
              <w:szCs w:val="22"/>
              <w:u w:val="single"/>
            </w:rPr>
            <w:t>Документ TDAG-25/48</w:t>
          </w:r>
        </w:hyperlink>
        <w:r w:rsidR="007D7FAD" w:rsidRPr="00500A19">
          <w:rPr>
            <w:rFonts w:cstheme="minorHAnsi"/>
            <w:szCs w:val="22"/>
          </w:rPr>
          <w:t xml:space="preserve"> "Соображения и рекомендации относительно активного участия Сектора развития электросвязи МСЭ (МСЭ-D) в достижении цифрового будущего", представленный Китаем.</w:t>
        </w:r>
      </w:hyperlink>
    </w:p>
    <w:p w14:paraId="03DC90AF" w14:textId="4647129D" w:rsidR="007D7FAD" w:rsidRPr="00500A19" w:rsidRDefault="00DC7457" w:rsidP="00DC7457">
      <w:pPr>
        <w:pStyle w:val="Heading1"/>
      </w:pPr>
      <w:r w:rsidRPr="00500A19">
        <w:t>2</w:t>
      </w:r>
      <w:r w:rsidRPr="00500A19">
        <w:tab/>
      </w:r>
      <w:r w:rsidR="007D7FAD" w:rsidRPr="00500A19">
        <w:t>Консультации</w:t>
      </w:r>
    </w:p>
    <w:p w14:paraId="3FA73808" w14:textId="77777777" w:rsidR="007D7FAD" w:rsidRPr="00500A19" w:rsidRDefault="007D7FAD" w:rsidP="00DC7457">
      <w:r w:rsidRPr="00500A19">
        <w:t xml:space="preserve">Региональным организациям электросвязи было предложено представлять отчеты о ходе </w:t>
      </w:r>
      <w:proofErr w:type="gramStart"/>
      <w:r w:rsidRPr="00500A19">
        <w:t>работы по подготовке</w:t>
      </w:r>
      <w:proofErr w:type="gramEnd"/>
      <w:r w:rsidRPr="00500A19">
        <w:t xml:space="preserve"> к ВКРЭ-25 на каждом собрании Группы.</w:t>
      </w:r>
    </w:p>
    <w:p w14:paraId="0D1D5610" w14:textId="77777777" w:rsidR="007D7FAD" w:rsidRPr="00500A19" w:rsidRDefault="007D7FAD" w:rsidP="00DC7457">
      <w:r w:rsidRPr="00500A19">
        <w:t>В рамках подготовки к ВКРЭ-25 Председатель КГРЭ-РГ-DEC представил отчеты о ходе работы Группы региональным подготовительным собраниям (РПС).</w:t>
      </w:r>
    </w:p>
    <w:p w14:paraId="397B5E68" w14:textId="6D24D1C5" w:rsidR="007D7FAD" w:rsidRPr="00500A19" w:rsidRDefault="00DC7457" w:rsidP="00DC7457">
      <w:pPr>
        <w:pStyle w:val="Heading1"/>
      </w:pPr>
      <w:r w:rsidRPr="00500A19">
        <w:t>3</w:t>
      </w:r>
      <w:r w:rsidRPr="00500A19">
        <w:tab/>
      </w:r>
      <w:r w:rsidR="007D7FAD" w:rsidRPr="00500A19">
        <w:t>Конечные результаты и последующие шаги</w:t>
      </w:r>
    </w:p>
    <w:p w14:paraId="4CE19745" w14:textId="77777777" w:rsidR="007D7FAD" w:rsidRPr="00500A19" w:rsidRDefault="007D7FAD" w:rsidP="00DC7457">
      <w:r w:rsidRPr="00500A19">
        <w:t>На последнем собрании КГРЭ-РГ-DEC решила сохранить название Декларации: "</w:t>
      </w:r>
      <w:r w:rsidRPr="00500A19">
        <w:rPr>
          <w:i/>
          <w:iCs/>
        </w:rPr>
        <w:t>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w:t>
      </w:r>
      <w:r w:rsidRPr="00500A19">
        <w:t>". В соответствии с прошлой практикой это название также послужит темой ВКРЭ-25.</w:t>
      </w:r>
    </w:p>
    <w:p w14:paraId="05750398" w14:textId="46342119" w:rsidR="007D7FAD" w:rsidRPr="00500A19" w:rsidRDefault="007D7FAD" w:rsidP="00DC7457">
      <w:r w:rsidRPr="00500A19">
        <w:t>Окончательный проект Бакинской декларации, согласованный КГРЭ-РГ-DEC на ее заключительном собрании, представлен для дальнейшего рассмотрения КГРЭ-25 (см. Приложение 1). Проект</w:t>
      </w:r>
      <w:r w:rsidR="00A55A39" w:rsidRPr="00500A19">
        <w:t> </w:t>
      </w:r>
      <w:r w:rsidRPr="00500A19">
        <w:t>предназначен для использования РОЭ и Государствами – Членами в качестве основы при подготовке ко Всемирной конференции по развитию электросвязи 2025 года (ВКРЭ-25). Формулировки Бакинской декларации будут надлежащим образом приведены в соответствие с Бакинским планом действий после окончательного согласования приоритетов МСЭ-D.</w:t>
      </w:r>
    </w:p>
    <w:p w14:paraId="7517834E" w14:textId="77777777" w:rsidR="007D7FAD" w:rsidRPr="00500A19" w:rsidRDefault="007D7FAD" w:rsidP="00DC7457">
      <w:r w:rsidRPr="00500A19">
        <w:t>В соответствии со сложившейся практикой и по просьбе Группы Председатель рекомендует представить данный предварительный проект в качестве вклада в рамках ВКРЭ-25.</w:t>
      </w:r>
    </w:p>
    <w:p w14:paraId="2215442B" w14:textId="77777777" w:rsidR="007D7FAD" w:rsidRPr="00500A19" w:rsidRDefault="007D7FAD">
      <w:pPr>
        <w:overflowPunct/>
        <w:autoSpaceDE/>
        <w:autoSpaceDN/>
        <w:adjustRightInd/>
        <w:spacing w:before="0"/>
        <w:textAlignment w:val="auto"/>
        <w:rPr>
          <w:rFonts w:cstheme="minorHAnsi"/>
          <w:szCs w:val="22"/>
        </w:rPr>
      </w:pPr>
      <w:r w:rsidRPr="00500A19">
        <w:rPr>
          <w:rFonts w:cstheme="minorHAnsi"/>
          <w:szCs w:val="22"/>
        </w:rPr>
        <w:br w:type="page"/>
      </w:r>
    </w:p>
    <w:p w14:paraId="24E4F0C7" w14:textId="77777777" w:rsidR="007D7FAD" w:rsidRPr="00500A19" w:rsidRDefault="007D7FAD" w:rsidP="005820DB">
      <w:pPr>
        <w:pStyle w:val="AppendixNo"/>
        <w:rPr>
          <w:highlight w:val="yellow"/>
        </w:rPr>
      </w:pPr>
      <w:r w:rsidRPr="00500A19">
        <w:lastRenderedPageBreak/>
        <w:t>ПРИЛОЖЕНИЕ 1</w:t>
      </w:r>
    </w:p>
    <w:p w14:paraId="7DF5BCE2" w14:textId="221AC483" w:rsidR="007D7FAD" w:rsidRPr="00500A19" w:rsidRDefault="005820DB" w:rsidP="005820DB">
      <w:pPr>
        <w:pStyle w:val="Appendixtitle"/>
        <w:rPr>
          <w:bCs/>
          <w:szCs w:val="26"/>
        </w:rPr>
      </w:pPr>
      <w:r w:rsidRPr="00500A19">
        <w:rPr>
          <w:bCs/>
          <w:szCs w:val="26"/>
        </w:rPr>
        <w:t xml:space="preserve">Проект предложения Бакинской декларации 2025 года, подготовленный </w:t>
      </w:r>
      <w:r w:rsidR="00A55A39" w:rsidRPr="00500A19">
        <w:rPr>
          <w:bCs/>
          <w:szCs w:val="26"/>
        </w:rPr>
        <w:t xml:space="preserve">Председателем </w:t>
      </w:r>
      <w:r w:rsidRPr="00500A19">
        <w:rPr>
          <w:bCs/>
          <w:szCs w:val="26"/>
        </w:rPr>
        <w:t>КГРЭ-РГ-DEC</w:t>
      </w:r>
    </w:p>
    <w:p w14:paraId="03DFEC72" w14:textId="1D8A4443" w:rsidR="005820DB" w:rsidRPr="00500A19" w:rsidRDefault="005820DB" w:rsidP="00A34283">
      <w:pPr>
        <w:jc w:val="center"/>
        <w:rPr>
          <w:b/>
          <w:bCs/>
          <w:i/>
          <w:iCs/>
        </w:rPr>
      </w:pPr>
      <w:r w:rsidRPr="00500A19">
        <w:rPr>
          <w:b/>
          <w:bCs/>
          <w:i/>
          <w:iCs/>
        </w:rPr>
        <w:t>Универсальная и реальная возможность установления приемлемых в ценовом отношении соединений в интересах инклюзивного и устойчивого цифрового</w:t>
      </w:r>
      <w:r w:rsidR="00A34283" w:rsidRPr="00500A19">
        <w:rPr>
          <w:b/>
          <w:bCs/>
          <w:i/>
          <w:iCs/>
        </w:rPr>
        <w:t> </w:t>
      </w:r>
      <w:r w:rsidRPr="00500A19">
        <w:rPr>
          <w:b/>
          <w:bCs/>
          <w:i/>
          <w:iCs/>
        </w:rPr>
        <w:t>будущего</w:t>
      </w:r>
    </w:p>
    <w:p w14:paraId="407E7861" w14:textId="77777777" w:rsidR="005820DB" w:rsidRPr="00500A19" w:rsidRDefault="005820DB" w:rsidP="00A34283">
      <w:bookmarkStart w:id="21" w:name="_Hlk196207963"/>
      <w:r w:rsidRPr="00500A19">
        <w:t>Мы, представители Государств – Членов МСЭ, поддерживаем настоящую Декларацию на девятой Всемирной конференции по развитию электросвязи (ВКРЭ-25), состоявшейся в Баку, Азербайджанская Республика, с 17 по 28 ноября 2025 года, и посвященной теме "Универсальная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w:t>
      </w:r>
    </w:p>
    <w:p w14:paraId="4EDCE619" w14:textId="77777777" w:rsidR="005820DB" w:rsidRPr="00500A19" w:rsidRDefault="005820DB" w:rsidP="005820DB">
      <w:r w:rsidRPr="00500A19">
        <w:t>Мы подтверждаем нашу непоколебимую приверженность глобальному сообществу в области развития и достижению нашей общей цели, которая заключается в стимулировании устойчивой и справедливой цифровой трансформации и открытого для всех развития во всем мире на основе решений ВКРЭ-25 и недавних мероприятий и конференций Организации Объединенных Наций.</w:t>
      </w:r>
    </w:p>
    <w:p w14:paraId="0B742427" w14:textId="77777777" w:rsidR="005820DB" w:rsidRPr="00500A19" w:rsidRDefault="005820DB" w:rsidP="005820DB">
      <w:r w:rsidRPr="00500A19">
        <w:t>Мы признаем колоссальный прогресс, достигнутый в продвижении ИКТ и цифрового развития во всех регионах; вместе с тем сохраняющиеся проблемы и диспропорции по-прежнему препятствуют универсальной и реальной возможности установления приемлемых в ценовом отношении соединений как в рамках отдельных стран, так и между странами, в особенности в развивающихся странах, наименее развитых странах (НРС), развивающихся странах, не имеющих выхода к морю (ЛЛДС), и малых островных развивающихся государствах (СИДС). Таким образом, мы по-прежнему стремимся решать эти вопросы путем расширения международного сотрудничества и дальнейшего участия в работе Сектора развития электросвязи МСЭ (МСЭ-D).</w:t>
      </w:r>
    </w:p>
    <w:p w14:paraId="019BA232" w14:textId="08BF5BDE" w:rsidR="005820DB" w:rsidRPr="00500A19" w:rsidRDefault="005820DB" w:rsidP="005820DB">
      <w:r w:rsidRPr="00500A19">
        <w:t>Принимая во внимание проблемы и возможности цифровой трансформации, мы заявляем</w:t>
      </w:r>
      <w:r w:rsidR="00A55A39" w:rsidRPr="00500A19">
        <w:t> </w:t>
      </w:r>
      <w:r w:rsidRPr="00500A19">
        <w:t>следующее:</w:t>
      </w:r>
    </w:p>
    <w:p w14:paraId="4AAA0A37" w14:textId="77777777" w:rsidR="005820DB" w:rsidRPr="00500A19" w:rsidRDefault="005820DB" w:rsidP="005820DB">
      <w:pPr>
        <w:pStyle w:val="enumlev1"/>
      </w:pPr>
      <w:r w:rsidRPr="00500A19">
        <w:t>i)</w:t>
      </w:r>
      <w:r w:rsidRPr="00500A19">
        <w:rPr>
          <w:b/>
          <w:bCs/>
        </w:rPr>
        <w:tab/>
        <w:t>Мы сознаем, что электросвязь/ИКТ, новые и появляющиеся цифровые технологии являются движущими силами социально-экономического процветания и устойчивого развития в национальных, региональных и глобальных цифровых экосистемах</w:t>
      </w:r>
      <w:r w:rsidRPr="00500A19">
        <w:t>. Универсальная и реальная возможность установления соединений является важнейшим приоритетом для достижения всех Целей в области устойчивого развития (ЦУР) и выполнения решений Всемирной встречи на высшем уровне по вопросам информационного общества (ВВУИО). Сети, платформы, инструменты, данные и цифровые инновации создают возможности для совершенствования управления, поддержки предпринимательской деятельности и повышения качества жизни. Охват молодежи цифровыми технологиями имеет особенно важное значение с точки зрения раскрытия возможностей для обучения и гражданского участия, а также для подготовки молодежи к будущему трудоустройству в условиях цифровой экономики.</w:t>
      </w:r>
    </w:p>
    <w:p w14:paraId="7856C6B5" w14:textId="77777777" w:rsidR="005820DB" w:rsidRPr="00500A19" w:rsidRDefault="005820DB" w:rsidP="005820DB">
      <w:pPr>
        <w:pStyle w:val="enumlev1"/>
      </w:pPr>
      <w:r w:rsidRPr="00500A19">
        <w:t>ii)</w:t>
      </w:r>
      <w:r w:rsidRPr="00500A19">
        <w:rPr>
          <w:b/>
          <w:bCs/>
        </w:rPr>
        <w:tab/>
        <w:t xml:space="preserve">Мы глубоко обеспокоены тем, что треть населения планеты </w:t>
      </w:r>
      <w:r w:rsidRPr="00500A19">
        <w:t xml:space="preserve">по-прежнему лишена доступа к интернету, и что доля тех, кто все еще не имеют доступа к сети, непропорционально велика в развивающихся странах, включая НРС, ЛЛДС и СИДС, где существует насущная потребность в инвестициях в инфраструктуру связи. Цифровые разрывы, такие как ограниченный доступ к сетям широкополосной связи, сохраняются в сельских районах, в различных группах населения, отличающихся друг от друга по уровню дохода, гендерному признаку и возрасту, а также в уязвимых группах, таких как лица с ограниченными возможностями. Среди тех, кто охвачен сетями широкополосной связи, существует значительный "разрыв в использовании", обусловленный такими препятствиями, как ограниченная приемлемость в ценовом отношении и доступность цифровых услуг и устройств с выходом в интернет, недостаток цифровых навыков и актуального местного </w:t>
      </w:r>
      <w:r w:rsidRPr="00500A19">
        <w:lastRenderedPageBreak/>
        <w:t>контента, а также трудности с обеспечением надежной, безопасной и защищенной онлайновой работы. Развитие новых и появляющихся технологий в случае отсутствия инвестиций, а также инициатив по созданию потенциала и совместному использованию знаний создает риск дальнейшего углубления цифрового разрыва.</w:t>
      </w:r>
    </w:p>
    <w:p w14:paraId="3411F42F" w14:textId="6B8390D1" w:rsidR="005820DB" w:rsidRPr="00500A19" w:rsidRDefault="005820DB" w:rsidP="005820DB">
      <w:pPr>
        <w:pStyle w:val="enumlev1"/>
      </w:pPr>
      <w:r w:rsidRPr="00500A19">
        <w:t>iii)</w:t>
      </w:r>
      <w:r w:rsidRPr="00500A19">
        <w:rPr>
          <w:b/>
          <w:bCs/>
        </w:rPr>
        <w:tab/>
        <w:t>Мы признаем, что на фоне глобальных вызовов стремительное развитие технологий открывает беспрецедентные возможности для формирования экономической и экологической устойчивости</w:t>
      </w:r>
      <w:r w:rsidRPr="00500A19">
        <w:t>. Изменение климата, стихийные бедствия, экономические спады, проблемы энергетического перехода и перебои с поставками оказывают неблагоприятное воздействие, в особенности на развивающиеся страны, особенно НРС, ЛЛДС и СИДС. В этом контексте электросвязь/ИКТ и развитие новых и появляющихся технологий могут помочь странам укрепить устойчивость и решать проблемы динамичными и инновационными способами.</w:t>
      </w:r>
    </w:p>
    <w:p w14:paraId="2FD16E3D" w14:textId="31578369" w:rsidR="005820DB" w:rsidRPr="00500A19" w:rsidRDefault="005820DB" w:rsidP="005820DB">
      <w:pPr>
        <w:pStyle w:val="enumlev1"/>
      </w:pPr>
      <w:r w:rsidRPr="00500A19">
        <w:t>iv)</w:t>
      </w:r>
      <w:r w:rsidRPr="00500A19">
        <w:tab/>
        <w:t xml:space="preserve">Руководствуясь принципами коллективной ответственности, солидарности и справедливости, </w:t>
      </w:r>
      <w:r w:rsidRPr="00500A19">
        <w:rPr>
          <w:b/>
          <w:bCs/>
        </w:rPr>
        <w:t>мы настоятельно призываем к принятию многосторонних стимулирующих мер на основе сотрудничества</w:t>
      </w:r>
      <w:r w:rsidRPr="00500A19">
        <w:t xml:space="preserve"> между государственным и частным секторами, академическими организациями, структурами гражданского общества и другими </w:t>
      </w:r>
      <w:r w:rsidRPr="00500A19">
        <w:rPr>
          <w:b/>
          <w:bCs/>
        </w:rPr>
        <w:t>соответствующими</w:t>
      </w:r>
      <w:r w:rsidRPr="00500A19">
        <w:t xml:space="preserve"> заинтересованными сторонами как на региональном, так и на глобальном уровнях для повышения воздействия партнерств и помощи в области развития и достижения наших общих целей.</w:t>
      </w:r>
    </w:p>
    <w:p w14:paraId="107EF8B9" w14:textId="055912C3" w:rsidR="005820DB" w:rsidRPr="00500A19" w:rsidRDefault="005820DB" w:rsidP="005820DB">
      <w:pPr>
        <w:pStyle w:val="enumlev1"/>
      </w:pPr>
      <w:r w:rsidRPr="00500A19">
        <w:t>v)</w:t>
      </w:r>
      <w:r w:rsidRPr="00500A19">
        <w:rPr>
          <w:b/>
          <w:bCs/>
        </w:rPr>
        <w:tab/>
        <w:t>Мы вновь подтверждаем важность того, чтобы на пути к цифровой трансформации никто не был забыт</w:t>
      </w:r>
      <w:r w:rsidRPr="00500A19">
        <w:t xml:space="preserve">. Поэтому необходимо безотлагательно и систематически решать вопросы обеспечения равенства и добиваться равных возможностей для всех, способствуя при этом </w:t>
      </w:r>
      <w:r w:rsidRPr="00500A19">
        <w:rPr>
          <w:b/>
          <w:bCs/>
        </w:rPr>
        <w:t>широкому</w:t>
      </w:r>
      <w:r w:rsidRPr="00500A19">
        <w:t xml:space="preserve"> охвату цифровыми технологиями с помощью комплексной, инновационной и адаптивной политики и целевых экосистемных инициатив.</w:t>
      </w:r>
    </w:p>
    <w:p w14:paraId="72188D86" w14:textId="7D6E558D" w:rsidR="005820DB" w:rsidRPr="00500A19" w:rsidRDefault="005820DB" w:rsidP="005820DB">
      <w:r w:rsidRPr="00500A19">
        <w:t>Закладывая основу для согласованных коллективных действий в течение цикла развития 2026−2029</w:t>
      </w:r>
      <w:r w:rsidR="00A34283" w:rsidRPr="00500A19">
        <w:t> </w:t>
      </w:r>
      <w:r w:rsidRPr="00500A19">
        <w:t>годов, мы заявляем о следующем:</w:t>
      </w:r>
    </w:p>
    <w:p w14:paraId="32FA2FFD" w14:textId="0CD4F94A" w:rsidR="005820DB" w:rsidRPr="00500A19" w:rsidRDefault="005820DB" w:rsidP="005820DB">
      <w:pPr>
        <w:pStyle w:val="enumlev1"/>
      </w:pPr>
      <w:r w:rsidRPr="00500A19">
        <w:t>1)</w:t>
      </w:r>
      <w:r w:rsidRPr="00500A19">
        <w:rPr>
          <w:b/>
          <w:bCs/>
        </w:rPr>
        <w:tab/>
        <w:t>Мы поддерживаем развитие универсальной и реальной возможности установления соединений, которая включает доступные, приемлемые в ценовом отношении, высококачественные, устойчивые, функционально совместимые, безопасные и защищенные элементы инфраструктуры электросвязи/ИКТ и цифровой инфраструктуры, устройства, услуги и приложения</w:t>
      </w:r>
      <w:r w:rsidRPr="00500A19">
        <w:t>. Создание обширной энергетической и цифровой инфраструктуры, например для высокоскоростных магистральных сетей и решений по установлению соединений "последней мили", с использованием сочетания различных технологий, включая применение волоконно-оптических сетей, систем IMT, а также спутниковой и наземной связи, имеет решающее значение для преодоления разрывов в развитии. Надежная инфраструктура способствует достижению эффекта масштаба, появлению новых возможностей и долгосрочному развитию. Наряду с этим мы подчеркиваем потребность в инновационных инвестиционных моделях для поддержки устойчивого развертывания электросвязи/ИКТ и цифровой инфраструктуры. В свете сохраняющихся проблем финансирования в обслуживаемых в недостаточной степени районах мы призываем разрабатывать инклюзивные политические и регуляторные подходы, которые создадут благоприятную среду для формирования партнерств в рамках государственного сектора и государственно-частных партнерств, сотрудничества в масштабах всех правительственных органов и долгосрочного цифрового развития.</w:t>
      </w:r>
    </w:p>
    <w:p w14:paraId="430FBC60" w14:textId="77FAA0E1" w:rsidR="005820DB" w:rsidRPr="00500A19" w:rsidRDefault="005820DB" w:rsidP="005820DB">
      <w:pPr>
        <w:pStyle w:val="enumlev1"/>
      </w:pPr>
      <w:r w:rsidRPr="00500A19">
        <w:rPr>
          <w:b/>
          <w:bCs/>
        </w:rPr>
        <w:tab/>
        <w:t>Мы подчеркиваем важность инвестиций и финансирования проектов в области экологически устойчивой инфраструктуры, электронных отходов и циркуляционной экономики, чистой и возобновляемой энергии и "зеленых" технологий</w:t>
      </w:r>
      <w:r w:rsidRPr="00500A19">
        <w:t xml:space="preserve"> для поддержки инклюзивного долгосрочного экономического роста параллельно с сокращением выбросов углерода, повышением энергетической безопасности и использованием цифровых технологий. Эти усилия, подкрепленные надежным сбором и мониторингом данных, а </w:t>
      </w:r>
      <w:r w:rsidRPr="00500A19">
        <w:lastRenderedPageBreak/>
        <w:t xml:space="preserve">также основанные на примерах передового опыта и применении новых и появляющихся технологий, будут играть роль в смягчении последствий изменения климата, адаптации и климатоустойчивом цифровом развитии. Более того, </w:t>
      </w:r>
      <w:r w:rsidRPr="00500A19">
        <w:rPr>
          <w:b/>
          <w:bCs/>
        </w:rPr>
        <w:t>мы считаем, что хорошо интегрированный многоканальный подход к связи в чрезвычайных ситуациях</w:t>
      </w:r>
      <w:r w:rsidRPr="00500A19">
        <w:t>, включая мобильные системы раннего предупреждения, имеет важное значение для обеспечения того, чтобы универсальная возможность установления соединений обеспечивала эффективный и своевременный охват всех людей, подвергающихся риску стихийных</w:t>
      </w:r>
      <w:r w:rsidR="00A34283" w:rsidRPr="00500A19">
        <w:t> </w:t>
      </w:r>
      <w:r w:rsidRPr="00500A19">
        <w:t>бедствий.</w:t>
      </w:r>
    </w:p>
    <w:p w14:paraId="4DBA82F2" w14:textId="77777777" w:rsidR="005820DB" w:rsidRPr="00500A19" w:rsidRDefault="005820DB" w:rsidP="005820DB">
      <w:pPr>
        <w:pStyle w:val="enumlev1"/>
      </w:pPr>
      <w:r w:rsidRPr="00500A19">
        <w:rPr>
          <w:b/>
          <w:bCs/>
        </w:rPr>
        <w:tab/>
        <w:t xml:space="preserve">Мы признаем важнейшую роль космической радиосвязи в расширении возможностей установления соединений и экономического развития </w:t>
      </w:r>
      <w:r w:rsidRPr="00500A19">
        <w:t>и подчеркиваем общую ответственность в вопросе обеспечения эффективного и рационального использования ресурсов посредством осуществления непрерывного международного сотрудничества, открытого для всех диалога и создания потенциала для содействия долгосрочной устойчивости космических служб.</w:t>
      </w:r>
    </w:p>
    <w:p w14:paraId="073E501D" w14:textId="055234DA" w:rsidR="005820DB" w:rsidRPr="00500A19" w:rsidRDefault="005820DB" w:rsidP="005820DB">
      <w:pPr>
        <w:pStyle w:val="enumlev1"/>
      </w:pPr>
      <w:r w:rsidRPr="00500A19">
        <w:t>2)</w:t>
      </w:r>
      <w:r w:rsidRPr="00500A19">
        <w:rPr>
          <w:b/>
          <w:bCs/>
        </w:rPr>
        <w:tab/>
        <w:t>Мы призываем все директивные органы и заинтересованные стороны принять ориентированные на человека, учитывающие риски и ответственные подходы к цифровой трансформации и новым и появляющимся технологиям</w:t>
      </w:r>
      <w:r w:rsidRPr="00500A19">
        <w:t xml:space="preserve"> и проводить политику, направленную на содействие приемлемости в ценовом отношении услуг и устройств электросвязи/ИКТ в интересах содействия сокращению цифрового разрыва. Цифровая трансформация требует новых, равных условий деятельности, увеличения инвестиционных потоков, а также наличия основ для ответственного и устойчивого развития появляющихся технологий наземной, подводной и космической радиосвязи. Для адекватного практического реагирования на стремительные технологические преобразования требуются укрепление институционального потенциала, гибкое управление на основе сотрудничества и широкое внедрение принципа принятия решений на основе фактических</w:t>
      </w:r>
      <w:r w:rsidR="00A34283" w:rsidRPr="00500A19">
        <w:t> </w:t>
      </w:r>
      <w:r w:rsidRPr="00500A19">
        <w:t>данных.</w:t>
      </w:r>
    </w:p>
    <w:p w14:paraId="7C9425F9" w14:textId="3DC244B2" w:rsidR="005820DB" w:rsidRPr="00500A19" w:rsidRDefault="005820DB" w:rsidP="005820DB">
      <w:pPr>
        <w:pStyle w:val="enumlev1"/>
      </w:pPr>
      <w:r w:rsidRPr="00500A19">
        <w:rPr>
          <w:b/>
          <w:bCs/>
        </w:rPr>
        <w:tab/>
        <w:t>Мы признаем необходимость содействовать осуществлению инициатив по созданию человеческого и институционального потенциала по всем приоритетам МСЭ-D</w:t>
      </w:r>
      <w:r w:rsidRPr="00500A19">
        <w:t xml:space="preserve"> в интересах укрепления национальных основ политики, нормативно-правовых баз и возможностей их реализации. В центре внимания остаются повышение квалификации правительственных органов, регуляторных органов и ключевых национальных и региональных заинтересованных сторон, создание национального потенциала данных и статистики в области ИКТ, укрепление устойчивости в сфере кибербезопасности, а также обеспечение благоприятных условий для внедрения новых и появляющихся технологий.</w:t>
      </w:r>
    </w:p>
    <w:p w14:paraId="5A81BF8F" w14:textId="77777777" w:rsidR="005820DB" w:rsidRPr="00500A19" w:rsidRDefault="005820DB" w:rsidP="005820DB">
      <w:pPr>
        <w:pStyle w:val="enumlev1"/>
      </w:pPr>
      <w:r w:rsidRPr="00500A19">
        <w:t>3)</w:t>
      </w:r>
      <w:r w:rsidRPr="00500A19">
        <w:rPr>
          <w:b/>
          <w:bCs/>
        </w:rPr>
        <w:tab/>
        <w:t>Мы признаем необходимость ускорения инвестиций в науку, технику и инновации, подтверждая, что экосистемы цифровых инноваций имеют важнейшее значение для придания нового импульса экономическому развитию, поддержки структурных преобразований и решения важнейших проблем устойчивости</w:t>
      </w:r>
      <w:r w:rsidRPr="00500A19">
        <w:t>. Для расширения масштабов цифровых инноваций, предпринимательской деятельности и цифровизации экономики необходим стратегический подход к созданию благоприятной политической и деловой среды. Укрепление потенциала в области цифровых технологий и инноваций во всех отраслях экономики и на всех уровнях государственного управления способно повысить производительность и обеспечить диверсификацию экономики и конкурентоспособность национальных отраслей, а также содействовать равноправному участию всех стран в глобальной цифровой экономике и достижению ЦУР.</w:t>
      </w:r>
    </w:p>
    <w:p w14:paraId="3E9EC5C3" w14:textId="60D22EAA" w:rsidR="005820DB" w:rsidRPr="00500A19" w:rsidRDefault="005820DB" w:rsidP="005820DB">
      <w:pPr>
        <w:pStyle w:val="enumlev1"/>
      </w:pPr>
      <w:r w:rsidRPr="00500A19">
        <w:rPr>
          <w:b/>
          <w:bCs/>
        </w:rPr>
        <w:tab/>
        <w:t>Мы поддерживаем реализацию инициативы по развитию цифровых навыков для всех, с тем чтобы все люди обладали способностями, необходимыми для эффективного участия в цифровой экономике</w:t>
      </w:r>
      <w:r w:rsidRPr="00500A19">
        <w:t xml:space="preserve">, что будет способствовать сокращению неравенства. К таким инициативам могут относиться центры развития цифровых навыков и профессиональная подготовка, специализированные программы по созданию потенциала и инициативы по </w:t>
      </w:r>
      <w:r w:rsidRPr="00500A19">
        <w:lastRenderedPageBreak/>
        <w:t>передаче знаний, помогающие правительственным органам, компаниям и предпринимателям использовать цифровые технологии и поддерживать создание добавленной стоимости. Возможности национальных и региональных центров инноваций могут быть дополнительно использованы в качестве механизмов создания институционального потенциала для исследований, профессиональной подготовки, совместного творчества по конкретным проблемам и инкубации гибких решений правительственными органами и заинтересованными сторонами экосистемы.</w:t>
      </w:r>
    </w:p>
    <w:p w14:paraId="6C15AA7F" w14:textId="77777777" w:rsidR="005820DB" w:rsidRPr="00500A19" w:rsidRDefault="005820DB" w:rsidP="005820DB">
      <w:pPr>
        <w:pStyle w:val="enumlev1"/>
      </w:pPr>
      <w:r w:rsidRPr="00500A19">
        <w:t>4)</w:t>
      </w:r>
      <w:r w:rsidRPr="00500A19">
        <w:rPr>
          <w:b/>
          <w:bCs/>
        </w:rPr>
        <w:tab/>
        <w:t>Мы будем добиваться синергии, укреплять сотрудничество и соблюдать существующие обязательства, создавая при этом скоординированные глобальные и региональные партнерские отношения между государственным и частным секторами, международными финансовыми учреждениями и другими заинтересованными сторонами</w:t>
      </w:r>
      <w:r w:rsidRPr="00500A19">
        <w:t xml:space="preserve"> для объединения ресурсов, знаний и передового опыта различных групп заинтересованных сторон и регионов, с тем чтобы оказывать поддержку развивающимся странам, в особенности в вопросах обеспечения всеобщего доступа к новым и появляющимся технологиям. </w:t>
      </w:r>
      <w:r w:rsidRPr="00500A19">
        <w:rPr>
          <w:b/>
          <w:bCs/>
        </w:rPr>
        <w:t>Мы будем и далее использовать региональное и международное сотрудничество, сотрудничество по линии Юг-Юг и трехстороннее сотрудничество</w:t>
      </w:r>
      <w:r w:rsidRPr="00500A19">
        <w:t xml:space="preserve"> как способ ускорения темпов и расширения действий в контексте системы развития ООН и деятельности партнеров наряду с инициативами, разработанными и осуществляемыми на национальном уровне и направленными на достижение ЦУР.</w:t>
      </w:r>
    </w:p>
    <w:p w14:paraId="163AB01E" w14:textId="7A550CF7" w:rsidR="005820DB" w:rsidRPr="00500A19" w:rsidRDefault="005820DB" w:rsidP="005820DB">
      <w:pPr>
        <w:pStyle w:val="enumlev1"/>
      </w:pPr>
      <w:r w:rsidRPr="00500A19">
        <w:rPr>
          <w:b/>
          <w:bCs/>
        </w:rPr>
        <w:tab/>
        <w:t>Совместно с региональными организациями электросвязи, ассоциациями регуляторных органов и другими партнерами мы будем поддерживать согласование политических и регуляторных сред</w:t>
      </w:r>
      <w:r w:rsidRPr="00500A19">
        <w:t xml:space="preserve"> в ключевых областях, способствующих цифровой трансформации, для обеспечения скоординированного реагирования на трансграничные проблемы и расширения возможности установления региональных соединений, интеграции рынков и устойчивой цифровой трансформации.</w:t>
      </w:r>
    </w:p>
    <w:p w14:paraId="64832A9D" w14:textId="77777777" w:rsidR="005820DB" w:rsidRPr="00500A19" w:rsidRDefault="005820DB" w:rsidP="005820DB">
      <w:pPr>
        <w:pStyle w:val="enumlev1"/>
      </w:pPr>
      <w:r w:rsidRPr="00500A19">
        <w:t>5)</w:t>
      </w:r>
      <w:r w:rsidRPr="00500A19">
        <w:rPr>
          <w:b/>
          <w:bCs/>
        </w:rPr>
        <w:tab/>
        <w:t>Мы будем стремиться решать особые проблемы, стоящие перед развивающимися странами</w:t>
      </w:r>
      <w:r w:rsidRPr="00500A19">
        <w:t>, в частности перед НРС, ЛЛДС, СИДС и странами с особыми потребностями, путем создания потенциала, оказания индивидуальной технической помощи, обмена передовым опытом, мобилизации ресурсов, реализации проектов, ориентированных на результаты, и инициатив по налаживанию связей, а также знаний для использования новых и появляющихся технологий, в том числе искусственного интеллекта в сфере электросвязи/ИКТ.</w:t>
      </w:r>
    </w:p>
    <w:p w14:paraId="1706C053" w14:textId="2BDF5E70" w:rsidR="005820DB" w:rsidRPr="00500A19" w:rsidRDefault="005820DB" w:rsidP="005820DB">
      <w:r w:rsidRPr="00500A19">
        <w:t>Мы приветствуем постоянные усилия МСЭ-D и его вклад в построение инклюзивного и устойчивого цифрового будущего для всех.</w:t>
      </w:r>
    </w:p>
    <w:p w14:paraId="790CEA38" w14:textId="77777777" w:rsidR="005820DB" w:rsidRPr="00500A19" w:rsidRDefault="005820DB" w:rsidP="005820DB">
      <w:pPr>
        <w:rPr>
          <w:b/>
          <w:bCs/>
        </w:rPr>
      </w:pPr>
      <w:r w:rsidRPr="00500A19">
        <w:rPr>
          <w:b/>
          <w:bCs/>
        </w:rPr>
        <w:t>Мы обязуемся усиливать воздействие работы Сектора для ускорения глобального цифрового развития и призываем Государства-Члены, партнеров в области развития и компании частного сектора расширять соответствующие программы и инициативы, уделяя при этом первоочередное внимание потребностям развивающихся стран, в особенности НРС, ЛЛДС и СИДС, в целях всеобъемлющей и быстрой реализации Бакинского плана действий, региональных инициатив и Резолюций ВКРЭ, а также содействия выполнению обязательств Бакинской декларации</w:t>
      </w:r>
      <w:r w:rsidRPr="00500A19">
        <w:t>.</w:t>
      </w:r>
    </w:p>
    <w:bookmarkEnd w:id="21"/>
    <w:p w14:paraId="060F013E" w14:textId="77777777" w:rsidR="007D7FAD" w:rsidRPr="00500A19" w:rsidRDefault="007D7FAD" w:rsidP="009005C7">
      <w:pPr>
        <w:rPr>
          <w:rFonts w:eastAsia="Calibri"/>
        </w:rPr>
      </w:pPr>
    </w:p>
    <w:p w14:paraId="08AF5396" w14:textId="77777777" w:rsidR="007D7FAD" w:rsidRPr="00500A19" w:rsidRDefault="007D7FAD" w:rsidP="009005C7">
      <w:pPr>
        <w:rPr>
          <w:rFonts w:eastAsia="Calibri"/>
        </w:rPr>
      </w:pPr>
      <w:r w:rsidRPr="00500A19">
        <w:rPr>
          <w:rFonts w:eastAsia="Calibri"/>
        </w:rPr>
        <w:br w:type="page"/>
      </w:r>
    </w:p>
    <w:p w14:paraId="5D770CB2" w14:textId="77777777" w:rsidR="007D7FAD" w:rsidRPr="00500A19" w:rsidRDefault="007D7FAD" w:rsidP="00811790">
      <w:pPr>
        <w:pStyle w:val="AnnexNo"/>
        <w:rPr>
          <w:rFonts w:eastAsia="Calibri" w:cs="Calibri"/>
          <w:color w:val="000000" w:themeColor="text1"/>
          <w:sz w:val="24"/>
          <w:szCs w:val="24"/>
        </w:rPr>
      </w:pPr>
      <w:r w:rsidRPr="00500A19">
        <w:lastRenderedPageBreak/>
        <w:t>ПРИЛОЖЕНИЕ E</w:t>
      </w:r>
    </w:p>
    <w:p w14:paraId="3B2EFE87" w14:textId="101F183C" w:rsidR="007D7FAD" w:rsidRPr="00500A19" w:rsidRDefault="0019380F" w:rsidP="00811790">
      <w:pPr>
        <w:pStyle w:val="Annextitle"/>
        <w:rPr>
          <w:rFonts w:eastAsia="Calibri" w:cs="Calibri"/>
          <w:color w:val="000000" w:themeColor="text1"/>
          <w:sz w:val="24"/>
          <w:szCs w:val="24"/>
        </w:rPr>
      </w:pPr>
      <w:r w:rsidRPr="00500A19">
        <w:t>Будущие исследуемые вопросы</w:t>
      </w:r>
    </w:p>
    <w:p w14:paraId="1CB5EB0F" w14:textId="4357900D" w:rsidR="00811790" w:rsidRPr="00500A19" w:rsidRDefault="00811790" w:rsidP="0019380F">
      <w:pPr>
        <w:pStyle w:val="Heading1"/>
        <w:jc w:val="center"/>
      </w:pPr>
      <w:r w:rsidRPr="00500A19">
        <w:t>Председатель КГРЭ-РГ-futureSGQ</w:t>
      </w:r>
      <w:r w:rsidR="005B0FCB" w:rsidRPr="00500A19">
        <w:rPr>
          <w:rStyle w:val="FootnoteReference"/>
        </w:rPr>
        <w:footnoteReference w:id="7"/>
      </w:r>
    </w:p>
    <w:p w14:paraId="0A0768B5" w14:textId="77777777" w:rsidR="00811790" w:rsidRPr="00500A19" w:rsidRDefault="00811790" w:rsidP="00811790">
      <w:pPr>
        <w:pStyle w:val="Title1"/>
        <w:spacing w:after="120"/>
      </w:pPr>
      <w:r w:rsidRPr="00500A19">
        <w:t>Отчет о деятельности Рабочей группы КГРЭ по будущему Вопросов исследовательских комиссий (КГРЭ-РГ-futureSGQ)</w:t>
      </w:r>
    </w:p>
    <w:tbl>
      <w:tblPr>
        <w:tblStyle w:val="TableGrid"/>
        <w:tblW w:w="0" w:type="auto"/>
        <w:tblLook w:val="04A0" w:firstRow="1" w:lastRow="0" w:firstColumn="1" w:lastColumn="0" w:noHBand="0" w:noVBand="1"/>
      </w:tblPr>
      <w:tblGrid>
        <w:gridCol w:w="9629"/>
      </w:tblGrid>
      <w:tr w:rsidR="00811790" w:rsidRPr="00500A19" w14:paraId="75A0B6E4" w14:textId="77777777">
        <w:tc>
          <w:tcPr>
            <w:tcW w:w="9629" w:type="dxa"/>
          </w:tcPr>
          <w:p w14:paraId="31725B82" w14:textId="77777777" w:rsidR="00811790" w:rsidRPr="00500A19" w:rsidRDefault="00811790" w:rsidP="009A3C95">
            <w:pPr>
              <w:rPr>
                <w:b/>
                <w:bCs/>
              </w:rPr>
            </w:pPr>
            <w:r w:rsidRPr="00500A19">
              <w:rPr>
                <w:b/>
                <w:bCs/>
              </w:rPr>
              <w:t>Резюме</w:t>
            </w:r>
          </w:p>
          <w:p w14:paraId="0B2D6292" w14:textId="77777777" w:rsidR="00811790" w:rsidRPr="00500A19" w:rsidRDefault="00811790" w:rsidP="00811790">
            <w:r w:rsidRPr="00500A19">
              <w:t>В настоящем документе представлен отчет Рабочей группы КГРЭ по будущему Вопросов исследовательских комиссий (КГРЭ-РГ-futureSGQ).</w:t>
            </w:r>
          </w:p>
          <w:p w14:paraId="672B346F" w14:textId="77777777" w:rsidR="00811790" w:rsidRPr="00500A19" w:rsidRDefault="00811790" w:rsidP="00811790">
            <w:r w:rsidRPr="00500A19">
              <w:t>Пересмотренная версия содержит обновленную информацию о собрании КГРЭ-РГ-futureSGQ, которое состоялось 13 мая и 15 мая 2025 года. Настоящая версия включает Дополнение 4, в котором содержится заключительная версия сводного документа для использования в качестве базового документа вместо Приложений 1 и 2 к Резолюции 2 ВКРЭ (Пересм. Кигали, 2022 г.).</w:t>
            </w:r>
          </w:p>
          <w:p w14:paraId="7F876568" w14:textId="77777777" w:rsidR="00811790" w:rsidRPr="00500A19" w:rsidRDefault="00811790" w:rsidP="00811790">
            <w:r w:rsidRPr="00500A19">
              <w:t>Настоящая версия также включает Дополнение 5, содержащее подборку предложенных изменений к кругу ведения Вопросов исследовательских комиссий, которые не обсуждались в Рабочей группе. Региональные организации электросвязи и администрации могут рассмотреть возможность использования этого дополнения в ходе подготовки к ВКРЭ-25.</w:t>
            </w:r>
          </w:p>
          <w:p w14:paraId="084A33E1" w14:textId="77777777" w:rsidR="00811790" w:rsidRPr="00500A19" w:rsidRDefault="00811790" w:rsidP="00811790">
            <w:r w:rsidRPr="00500A19">
              <w:t xml:space="preserve">Эта пересмотренная версия может быть доступна не на всех официальных языках Союза. Текст можно перевести с помощью инструмента МСЭ ITU Translate </w:t>
            </w:r>
            <w:hyperlink r:id="rId149" w:tgtFrame="_blank" w:history="1">
              <w:r w:rsidRPr="00500A19">
                <w:rPr>
                  <w:color w:val="0000FF"/>
                  <w:u w:val="single"/>
                </w:rPr>
                <w:t>https://translate.itu.int/documents</w:t>
              </w:r>
            </w:hyperlink>
            <w:r w:rsidRPr="00500A19">
              <w:t xml:space="preserve"> – щелкните по этой ссылке, чтобы начать перевод.</w:t>
            </w:r>
          </w:p>
          <w:p w14:paraId="21B50433" w14:textId="77777777" w:rsidR="00811790" w:rsidRPr="00500A19" w:rsidRDefault="00811790" w:rsidP="009A3C95">
            <w:r w:rsidRPr="00500A19">
              <w:rPr>
                <w:b/>
                <w:bCs/>
              </w:rPr>
              <w:t>Необходимые действия</w:t>
            </w:r>
          </w:p>
          <w:p w14:paraId="386EDA9D" w14:textId="77777777" w:rsidR="00811790" w:rsidRPr="00500A19" w:rsidRDefault="00811790" w:rsidP="00811790">
            <w:r w:rsidRPr="00500A19">
              <w:t>КГРЭ предлагается рассмотреть этот документ и предоставить любые дополнительные указания, которые она сочтет целесообразными.</w:t>
            </w:r>
          </w:p>
          <w:p w14:paraId="0FC59AD2" w14:textId="77777777" w:rsidR="00811790" w:rsidRPr="00500A19" w:rsidRDefault="00811790" w:rsidP="009A3C95">
            <w:r w:rsidRPr="00500A19">
              <w:rPr>
                <w:b/>
                <w:bCs/>
              </w:rPr>
              <w:t>Справочные материалы</w:t>
            </w:r>
          </w:p>
          <w:p w14:paraId="6C43870C" w14:textId="33AC1729" w:rsidR="00811790" w:rsidRPr="00500A19" w:rsidRDefault="00811790" w:rsidP="00811790">
            <w:pPr>
              <w:pStyle w:val="enumlev1"/>
              <w:spacing w:after="120"/>
            </w:pPr>
            <w:r w:rsidRPr="00500A19">
              <w:sym w:font="Symbol" w:char="F02D"/>
            </w:r>
            <w:r w:rsidRPr="00500A19">
              <w:tab/>
            </w:r>
            <w:hyperlink r:id="rId150" w:tgtFrame="_blank" w:history="1">
              <w:r w:rsidRPr="00500A19">
                <w:rPr>
                  <w:rFonts w:cstheme="minorHAnsi"/>
                  <w:color w:val="0000FF"/>
                  <w:szCs w:val="22"/>
                  <w:u w:val="single"/>
                </w:rPr>
                <w:t>Резолюция 2 ВКРЭ (Пересм. Кигали, 2022 г.)</w:t>
              </w:r>
            </w:hyperlink>
          </w:p>
        </w:tc>
      </w:tr>
    </w:tbl>
    <w:p w14:paraId="68247DFC" w14:textId="0E96ED61" w:rsidR="007D7FAD" w:rsidRPr="00500A19" w:rsidRDefault="00811790" w:rsidP="00811790">
      <w:pPr>
        <w:pStyle w:val="Heading1"/>
      </w:pPr>
      <w:r w:rsidRPr="00500A19">
        <w:t>1</w:t>
      </w:r>
      <w:r w:rsidRPr="00500A19">
        <w:tab/>
      </w:r>
      <w:r w:rsidR="007D7FAD" w:rsidRPr="00500A19">
        <w:t>Введение</w:t>
      </w:r>
    </w:p>
    <w:p w14:paraId="5B0223C2" w14:textId="31AAD375" w:rsidR="007D7FAD" w:rsidRPr="00500A19" w:rsidRDefault="007D7FAD" w:rsidP="00457999">
      <w:pPr>
        <w:overflowPunct/>
        <w:autoSpaceDE/>
        <w:autoSpaceDN/>
        <w:adjustRightInd/>
        <w:spacing w:after="120"/>
        <w:rPr>
          <w:rFonts w:cstheme="minorHAnsi"/>
          <w:szCs w:val="22"/>
        </w:rPr>
      </w:pPr>
      <w:r w:rsidRPr="00500A19">
        <w:rPr>
          <w:rFonts w:cstheme="minorHAnsi"/>
          <w:szCs w:val="22"/>
        </w:rPr>
        <w:t>На 31-м собрании КГРЭ, состоявшемся в Женеве 20–23 мая 2024 года, был представлен первый отчет о ходе работы Рабочей группы КГРЭ по будущему Вопросов исследовательских комиссий (Документ</w:t>
      </w:r>
      <w:r w:rsidR="00811790" w:rsidRPr="00500A19">
        <w:rPr>
          <w:rFonts w:cstheme="minorHAnsi"/>
          <w:szCs w:val="22"/>
        </w:rPr>
        <w:t> </w:t>
      </w:r>
      <w:hyperlink r:id="rId151" w:tgtFrame="_blank" w:history="1">
        <w:r w:rsidRPr="00500A19">
          <w:rPr>
            <w:rFonts w:cstheme="minorHAnsi"/>
            <w:color w:val="0000FF"/>
            <w:szCs w:val="22"/>
            <w:u w:val="single"/>
          </w:rPr>
          <w:t>TDAG-24/25</w:t>
        </w:r>
      </w:hyperlink>
      <w:r w:rsidRPr="00500A19">
        <w:rPr>
          <w:rFonts w:cstheme="minorHAnsi"/>
          <w:szCs w:val="22"/>
        </w:rPr>
        <w:t>). В документе содержится отчет о первом собрании Рабочей группы КГРЭ по будущему Вопросов исследовательских комиссий (КГРЭ-РГ-futureSGQ), который включает предлагаемый состав Рабочей группы, справочный документ, предлагаемый круг ведения Рабочей группы и предлагаемый график будущих полностью онлайновых собраний.</w:t>
      </w:r>
    </w:p>
    <w:p w14:paraId="7C22A2F0" w14:textId="00BEB058" w:rsidR="007D7FAD" w:rsidRPr="00500A19" w:rsidRDefault="007D7FAD" w:rsidP="00457999">
      <w:pPr>
        <w:overflowPunct/>
        <w:autoSpaceDE/>
        <w:autoSpaceDN/>
        <w:adjustRightInd/>
        <w:spacing w:after="120"/>
        <w:rPr>
          <w:rFonts w:cstheme="minorHAnsi"/>
          <w:szCs w:val="22"/>
        </w:rPr>
      </w:pPr>
      <w:r w:rsidRPr="00500A19">
        <w:rPr>
          <w:rFonts w:cstheme="minorHAnsi"/>
          <w:szCs w:val="22"/>
        </w:rPr>
        <w:t>После утверждения круга ведения на собрании КГРЭ в мае 2024 года КГРЭ-РГ-futureSGQ провела два полностью онлайновых собрания (второе и третье) 3 сентября 2024 года и 3 декабря 2024 года, соответственно. Затем было решено провести дополнительные собрания 21 января 2025 года (четвертое собрание), 4 марта 2025 года (пятое собрание) и 16 апреля 2025 года (шестое собрание). Заключительное седьмое собрание было проведено 13 и 15 мая 2025 года и приурочено к КГРЭ-25 в</w:t>
      </w:r>
      <w:r w:rsidR="00811790" w:rsidRPr="00500A19">
        <w:rPr>
          <w:rFonts w:cstheme="minorHAnsi"/>
          <w:szCs w:val="22"/>
        </w:rPr>
        <w:t> </w:t>
      </w:r>
      <w:r w:rsidRPr="00500A19">
        <w:rPr>
          <w:rFonts w:cstheme="minorHAnsi"/>
          <w:szCs w:val="22"/>
        </w:rPr>
        <w:t>Женеве.</w:t>
      </w:r>
    </w:p>
    <w:p w14:paraId="57D1CCBE" w14:textId="77777777" w:rsidR="007D7FAD" w:rsidRPr="00500A19" w:rsidRDefault="007D7FAD" w:rsidP="00457999">
      <w:pPr>
        <w:overflowPunct/>
        <w:autoSpaceDE/>
        <w:autoSpaceDN/>
        <w:adjustRightInd/>
        <w:spacing w:after="120"/>
        <w:rPr>
          <w:rFonts w:cstheme="minorHAnsi"/>
          <w:szCs w:val="22"/>
        </w:rPr>
      </w:pPr>
      <w:r w:rsidRPr="00500A19">
        <w:rPr>
          <w:rFonts w:cstheme="minorHAnsi"/>
          <w:szCs w:val="22"/>
        </w:rPr>
        <w:lastRenderedPageBreak/>
        <w:t xml:space="preserve">Отчет о ходе работы (Документ </w:t>
      </w:r>
      <w:hyperlink r:id="rId152" w:tgtFrame="_blank" w:history="1">
        <w:r w:rsidRPr="00500A19">
          <w:rPr>
            <w:rFonts w:cstheme="minorHAnsi"/>
            <w:color w:val="0000FF"/>
            <w:szCs w:val="22"/>
            <w:u w:val="single"/>
          </w:rPr>
          <w:t>TDAG-Extra/4</w:t>
        </w:r>
      </w:hyperlink>
      <w:r w:rsidRPr="00500A19">
        <w:rPr>
          <w:rFonts w:cstheme="minorHAnsi"/>
          <w:szCs w:val="22"/>
        </w:rPr>
        <w:t>) КГРЭ-РГ-futureSGQ был представлен на внеочередном собрании КГРЭ, состоявшемся 23 января 2025 года, а также на всех региональных подготовительных собраниях к ВКРЭ-25.</w:t>
      </w:r>
    </w:p>
    <w:p w14:paraId="26A88318" w14:textId="77777777" w:rsidR="007D7FAD" w:rsidRPr="00500A19" w:rsidRDefault="007D7FAD" w:rsidP="00457999">
      <w:pPr>
        <w:overflowPunct/>
        <w:autoSpaceDE/>
        <w:autoSpaceDN/>
        <w:adjustRightInd/>
        <w:spacing w:after="120"/>
        <w:rPr>
          <w:rFonts w:cstheme="minorHAnsi"/>
          <w:szCs w:val="22"/>
        </w:rPr>
      </w:pPr>
      <w:r w:rsidRPr="00500A19">
        <w:rPr>
          <w:rFonts w:cstheme="minorHAnsi"/>
          <w:szCs w:val="22"/>
        </w:rPr>
        <w:t>В настоящем документе представлены результаты работы КГРЭ-РГ-futureSGQ.</w:t>
      </w:r>
    </w:p>
    <w:p w14:paraId="29BA030A" w14:textId="78F81EA1" w:rsidR="007D7FAD" w:rsidRPr="00500A19" w:rsidRDefault="00811790" w:rsidP="00811790">
      <w:pPr>
        <w:pStyle w:val="Heading1"/>
      </w:pPr>
      <w:r w:rsidRPr="00500A19">
        <w:t>2</w:t>
      </w:r>
      <w:r w:rsidRPr="00500A19">
        <w:tab/>
      </w:r>
      <w:r w:rsidR="007D7FAD" w:rsidRPr="00500A19">
        <w:t>Руководящий состав</w:t>
      </w:r>
    </w:p>
    <w:p w14:paraId="60136FDF" w14:textId="35BFFD75" w:rsidR="007D7FAD" w:rsidRPr="00500A19" w:rsidRDefault="007D7FAD" w:rsidP="00457999">
      <w:pPr>
        <w:overflowPunct/>
        <w:autoSpaceDE/>
        <w:autoSpaceDN/>
        <w:adjustRightInd/>
        <w:spacing w:after="120"/>
        <w:rPr>
          <w:rFonts w:cstheme="minorHAnsi"/>
          <w:szCs w:val="22"/>
        </w:rPr>
      </w:pPr>
      <w:r w:rsidRPr="00500A19">
        <w:rPr>
          <w:rFonts w:cstheme="minorHAnsi"/>
          <w:szCs w:val="22"/>
        </w:rPr>
        <w:t>Постоянную поддержку Председателю оказывали назначенные заместители Председателя</w:t>
      </w:r>
      <w:r w:rsidR="00A55A39" w:rsidRPr="00500A19">
        <w:rPr>
          <w:rFonts w:cstheme="minorHAnsi"/>
          <w:szCs w:val="22"/>
        </w:rPr>
        <w:t> </w:t>
      </w:r>
      <w:r w:rsidRPr="00500A19">
        <w:rPr>
          <w:rFonts w:cstheme="minorHAnsi"/>
          <w:szCs w:val="22"/>
        </w:rPr>
        <w:t>КГРЭ</w:t>
      </w:r>
      <w:r w:rsidR="00811790" w:rsidRPr="00500A19">
        <w:rPr>
          <w:rFonts w:cstheme="minorHAnsi"/>
          <w:szCs w:val="22"/>
        </w:rPr>
        <w:t>­</w:t>
      </w:r>
      <w:r w:rsidRPr="00500A19">
        <w:rPr>
          <w:rFonts w:cstheme="minorHAnsi"/>
          <w:szCs w:val="22"/>
        </w:rPr>
        <w:t>РГ</w:t>
      </w:r>
      <w:r w:rsidR="00811790" w:rsidRPr="00500A19">
        <w:rPr>
          <w:rFonts w:cstheme="minorHAnsi"/>
          <w:szCs w:val="22"/>
        </w:rPr>
        <w:t>­</w:t>
      </w:r>
      <w:r w:rsidRPr="00500A19">
        <w:rPr>
          <w:rFonts w:cstheme="minorHAnsi"/>
          <w:szCs w:val="22"/>
        </w:rPr>
        <w:t>futureSGQ г-жа Регина-Флёр Ассуму-Бессу (Кот-д'Ивуар) и д-р Фадель Дигхам (Египет), а также назначенные координаторы исследовательских комиссий г-н Роберту Хираяма (Бразилия) от 1</w:t>
      </w:r>
      <w:r w:rsidR="00811790" w:rsidRPr="00500A19">
        <w:rPr>
          <w:rFonts w:cstheme="minorHAnsi"/>
          <w:szCs w:val="22"/>
        </w:rPr>
        <w:t>­</w:t>
      </w:r>
      <w:r w:rsidRPr="00500A19">
        <w:rPr>
          <w:rFonts w:cstheme="minorHAnsi"/>
          <w:szCs w:val="22"/>
        </w:rPr>
        <w:t>й Исследовательской комиссии (ИК1) МСЭ-D и г-н Виктор Мартинес (Парагвай) от 2</w:t>
      </w:r>
      <w:r w:rsidR="00811790" w:rsidRPr="00500A19">
        <w:rPr>
          <w:rFonts w:cstheme="minorHAnsi"/>
          <w:szCs w:val="22"/>
        </w:rPr>
        <w:t>­</w:t>
      </w:r>
      <w:r w:rsidRPr="00500A19">
        <w:rPr>
          <w:rFonts w:cstheme="minorHAnsi"/>
          <w:szCs w:val="22"/>
        </w:rPr>
        <w:t>й</w:t>
      </w:r>
      <w:r w:rsidR="00811790" w:rsidRPr="00500A19">
        <w:rPr>
          <w:rFonts w:cstheme="minorHAnsi"/>
          <w:szCs w:val="22"/>
        </w:rPr>
        <w:t> </w:t>
      </w:r>
      <w:r w:rsidRPr="00500A19">
        <w:rPr>
          <w:rFonts w:cstheme="minorHAnsi"/>
          <w:szCs w:val="22"/>
        </w:rPr>
        <w:t>Исследовательской комиссии (ИК2) МСЭ-D.</w:t>
      </w:r>
    </w:p>
    <w:p w14:paraId="64B7A4A9" w14:textId="77777777" w:rsidR="007D7FAD" w:rsidRPr="00500A19" w:rsidRDefault="007D7FAD" w:rsidP="00883777">
      <w:pPr>
        <w:overflowPunct/>
        <w:autoSpaceDE/>
        <w:autoSpaceDN/>
        <w:adjustRightInd/>
        <w:spacing w:after="120"/>
        <w:rPr>
          <w:rFonts w:cstheme="minorHAnsi"/>
          <w:szCs w:val="22"/>
        </w:rPr>
      </w:pPr>
      <w:r w:rsidRPr="00500A19">
        <w:rPr>
          <w:rFonts w:cstheme="minorHAnsi"/>
          <w:szCs w:val="22"/>
        </w:rPr>
        <w:t>Были назначены региональные координаторы, информация о которых приводится в Дополнении 1.</w:t>
      </w:r>
    </w:p>
    <w:p w14:paraId="7434E1C0" w14:textId="5BDDD567" w:rsidR="007D7FAD" w:rsidRPr="00500A19" w:rsidRDefault="00811790" w:rsidP="00811790">
      <w:pPr>
        <w:pStyle w:val="Heading1"/>
      </w:pPr>
      <w:r w:rsidRPr="00500A19">
        <w:t>3</w:t>
      </w:r>
      <w:r w:rsidRPr="00500A19">
        <w:tab/>
      </w:r>
      <w:r w:rsidR="007D7FAD" w:rsidRPr="00500A19">
        <w:t>Утвержденный круг ведения КГРЭ-РГ-futureSGQ</w:t>
      </w:r>
    </w:p>
    <w:p w14:paraId="2BC57458" w14:textId="7AEFEE81" w:rsidR="007D7FAD" w:rsidRPr="00500A19" w:rsidRDefault="00811790" w:rsidP="00811790">
      <w:pPr>
        <w:pStyle w:val="enumlev1"/>
      </w:pPr>
      <w:r w:rsidRPr="00500A19">
        <w:t>1</w:t>
      </w:r>
      <w:r w:rsidRPr="00500A19">
        <w:tab/>
      </w:r>
      <w:r w:rsidR="007D7FAD" w:rsidRPr="00500A19">
        <w:t>Выступать в качестве единой платформы для предметных дискуссий по будущим исследуемым Вопросам МСЭ-D и оказывать помощь Членам МСЭ в подготовке к следующей ВКРЭ, предлагая конкретные изменения к Резолюции 2 (Пересм. Кигали, 2022</w:t>
      </w:r>
      <w:r w:rsidRPr="00500A19">
        <w:t> </w:t>
      </w:r>
      <w:r w:rsidR="007D7FAD" w:rsidRPr="00500A19">
        <w:t>г.) о сфере охвата исследуемых Вопросов МСЭ-D, их нумерации, названиях и круге ведения с учетом развития ИКТ, приоритетов Членов МСЭ, а также текущей и прошлой деятельности/результатов работы исследовательских комиссий МСЭ-D.</w:t>
      </w:r>
    </w:p>
    <w:p w14:paraId="510D1588" w14:textId="10D33D3A" w:rsidR="007D7FAD" w:rsidRPr="00500A19" w:rsidRDefault="00811790" w:rsidP="00811790">
      <w:pPr>
        <w:pStyle w:val="enumlev1"/>
      </w:pPr>
      <w:r w:rsidRPr="00500A19">
        <w:t>2</w:t>
      </w:r>
      <w:r w:rsidRPr="00500A19">
        <w:tab/>
      </w:r>
      <w:r w:rsidR="007D7FAD" w:rsidRPr="00500A19">
        <w:t>Согласовывать, по мере возможности, предлагаемые исследуемые Вопросы с приоритетами БРЭ, предлагаемыми региональными инициативами, Целями в области устойчивого развития на период до 2030 года и Направлениями деятельности ВВУИО (C2, C5 и C6), за которые МСЭ несет основную ответственность.</w:t>
      </w:r>
    </w:p>
    <w:p w14:paraId="7DFFD9C5" w14:textId="4BFC2186" w:rsidR="007D7FAD" w:rsidRPr="00500A19" w:rsidRDefault="00811790" w:rsidP="00811790">
      <w:pPr>
        <w:pStyle w:val="enumlev1"/>
      </w:pPr>
      <w:r w:rsidRPr="00500A19">
        <w:t>3</w:t>
      </w:r>
      <w:r w:rsidRPr="00500A19">
        <w:tab/>
      </w:r>
      <w:r w:rsidR="007D7FAD" w:rsidRPr="00500A19">
        <w:t>Изучать и выяснять мнения Членов МСЭ по соответствующим каналам, включая обследования, вклады и собрания.</w:t>
      </w:r>
    </w:p>
    <w:p w14:paraId="5B5252D3" w14:textId="43C7159F" w:rsidR="007D7FAD" w:rsidRPr="00500A19" w:rsidRDefault="00811790" w:rsidP="00811790">
      <w:pPr>
        <w:pStyle w:val="enumlev1"/>
      </w:pPr>
      <w:r w:rsidRPr="00500A19">
        <w:t>4</w:t>
      </w:r>
      <w:r w:rsidRPr="00500A19">
        <w:tab/>
      </w:r>
      <w:r w:rsidR="007D7FAD" w:rsidRPr="00500A19">
        <w:t>Взаимодействовать с исследовательскими комиссиями МСЭ-D через назначенных координаторов 1-й и 2-й Исследовательских комиссий МСЭ-D по будущему исследуемых Вопросов. Координаторы могут, среди прочего, по просьбе членов МСЭ оказывать им содействие в подготовке вкладов по будущему Вопросов.</w:t>
      </w:r>
    </w:p>
    <w:p w14:paraId="00405707" w14:textId="44BBE9B7" w:rsidR="007D7FAD" w:rsidRPr="00500A19" w:rsidRDefault="00811790" w:rsidP="00811790">
      <w:pPr>
        <w:pStyle w:val="enumlev1"/>
      </w:pPr>
      <w:r w:rsidRPr="00500A19">
        <w:t>5</w:t>
      </w:r>
      <w:r w:rsidRPr="00500A19">
        <w:tab/>
      </w:r>
      <w:r w:rsidR="007D7FAD" w:rsidRPr="00500A19">
        <w:t>Регулярно представлять КГРЭ обновленную информацию.</w:t>
      </w:r>
    </w:p>
    <w:p w14:paraId="3F574A03" w14:textId="2A924C8E" w:rsidR="007D7FAD" w:rsidRPr="00500A19" w:rsidRDefault="00811790" w:rsidP="00811790">
      <w:pPr>
        <w:pStyle w:val="Heading1"/>
        <w:spacing w:after="120"/>
      </w:pPr>
      <w:r w:rsidRPr="00500A19">
        <w:t>4</w:t>
      </w:r>
      <w:r w:rsidRPr="00500A19">
        <w:tab/>
      </w:r>
      <w:r w:rsidR="007D7FAD" w:rsidRPr="00500A19">
        <w:t>Результаты собраний</w:t>
      </w:r>
    </w:p>
    <w:tbl>
      <w:tblPr>
        <w:tblW w:w="0" w:type="dxa"/>
        <w:tblInd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790"/>
        <w:gridCol w:w="6825"/>
      </w:tblGrid>
      <w:tr w:rsidR="007D7FAD" w:rsidRPr="00500A19" w14:paraId="2899B3D7" w14:textId="77777777" w:rsidTr="00C9752A">
        <w:trPr>
          <w:trHeight w:val="300"/>
          <w:tblHeader/>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2BF1DDA" w14:textId="77777777" w:rsidR="007D7FAD" w:rsidRPr="00500A19" w:rsidRDefault="007D7FAD" w:rsidP="00811790">
            <w:pPr>
              <w:pStyle w:val="Tablehead"/>
            </w:pPr>
            <w:r w:rsidRPr="00500A19">
              <w:t>Отчет о собрании</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8E8DE01" w14:textId="77777777" w:rsidR="007D7FAD" w:rsidRPr="00500A19" w:rsidRDefault="007D7FAD" w:rsidP="00811790">
            <w:pPr>
              <w:pStyle w:val="Tablehead"/>
            </w:pPr>
            <w:r w:rsidRPr="00500A19">
              <w:t>Результаты</w:t>
            </w:r>
          </w:p>
        </w:tc>
      </w:tr>
      <w:tr w:rsidR="007D7FAD" w:rsidRPr="00500A19" w14:paraId="52403591" w14:textId="77777777" w:rsidTr="008F4B6B">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B951307" w14:textId="4EFD6BB6" w:rsidR="007D7FAD" w:rsidRPr="00500A19" w:rsidRDefault="007D7FAD" w:rsidP="00811790">
            <w:pPr>
              <w:pStyle w:val="Tabletext"/>
            </w:pPr>
            <w:r w:rsidRPr="00500A19">
              <w:t>1-е собрание, состоявшееся 4</w:t>
            </w:r>
            <w:r w:rsidR="00C9752A" w:rsidRPr="00500A19">
              <w:t> </w:t>
            </w:r>
            <w:r w:rsidRPr="00500A19">
              <w:t>марта 2024 года</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1107B7CE" w14:textId="7FB2C17A" w:rsidR="007D7FAD" w:rsidRPr="00500A19" w:rsidRDefault="00811790" w:rsidP="00811790">
            <w:pPr>
              <w:pStyle w:val="Tabletext"/>
              <w:ind w:left="225" w:hanging="225"/>
            </w:pPr>
            <w:r w:rsidRPr="00500A19">
              <w:sym w:font="Symbol" w:char="F02D"/>
            </w:r>
            <w:r w:rsidRPr="00500A19">
              <w:tab/>
            </w:r>
            <w:r w:rsidR="007D7FAD" w:rsidRPr="00500A19">
              <w:t>Согласование руководящего состава и круга ведения</w:t>
            </w:r>
            <w:r w:rsidR="00A55A39" w:rsidRPr="00500A19">
              <w:t>.</w:t>
            </w:r>
          </w:p>
          <w:p w14:paraId="70231F84" w14:textId="5504976D" w:rsidR="007D7FAD" w:rsidRPr="00500A19" w:rsidRDefault="00811790" w:rsidP="00811790">
            <w:pPr>
              <w:pStyle w:val="Tabletext"/>
              <w:ind w:left="225" w:hanging="225"/>
            </w:pPr>
            <w:r w:rsidRPr="00500A19">
              <w:sym w:font="Symbol" w:char="F02D"/>
            </w:r>
            <w:r w:rsidRPr="00500A19">
              <w:tab/>
            </w:r>
            <w:r w:rsidR="007D7FAD" w:rsidRPr="00500A19">
              <w:t>Договоренность относительно дат будущих собраний</w:t>
            </w:r>
            <w:r w:rsidR="00A55A39" w:rsidRPr="00500A19">
              <w:t>.</w:t>
            </w:r>
          </w:p>
          <w:p w14:paraId="0E7D0850" w14:textId="0E9C167B" w:rsidR="007D7FAD" w:rsidRPr="00500A19" w:rsidRDefault="00811790" w:rsidP="00811790">
            <w:pPr>
              <w:pStyle w:val="Tabletext"/>
              <w:ind w:left="225" w:hanging="225"/>
            </w:pPr>
            <w:r w:rsidRPr="00500A19">
              <w:sym w:font="Symbol" w:char="F02D"/>
            </w:r>
            <w:r w:rsidRPr="00500A19">
              <w:tab/>
            </w:r>
            <w:r w:rsidR="007D7FAD" w:rsidRPr="00500A19">
              <w:t>Рассмотрение справочного документа для разработки будущих исследуемых Вопросов.</w:t>
            </w:r>
          </w:p>
          <w:p w14:paraId="6DB49431" w14:textId="77777777" w:rsidR="007D7FAD" w:rsidRPr="00500A19" w:rsidRDefault="007D7FAD" w:rsidP="00811790">
            <w:pPr>
              <w:pStyle w:val="Tabletext"/>
            </w:pPr>
            <w:r w:rsidRPr="00500A19">
              <w:t xml:space="preserve">Отчет о собрании содержится в Документе </w:t>
            </w:r>
            <w:hyperlink r:id="rId153" w:tgtFrame="_blank" w:history="1">
              <w:r w:rsidRPr="00500A19">
                <w:rPr>
                  <w:color w:val="0000FF"/>
                  <w:u w:val="single"/>
                </w:rPr>
                <w:t>TDAG-WG-futureSGQ/6</w:t>
              </w:r>
            </w:hyperlink>
            <w:r w:rsidRPr="00500A19">
              <w:t>.</w:t>
            </w:r>
          </w:p>
          <w:p w14:paraId="43A5FF4E" w14:textId="77777777" w:rsidR="007D7FAD" w:rsidRPr="00500A19" w:rsidRDefault="007D7FAD" w:rsidP="00811790">
            <w:pPr>
              <w:pStyle w:val="Tabletext"/>
            </w:pPr>
            <w:r w:rsidRPr="00500A19">
              <w:t>Информация о результатах была представлена на КГРЭ-24.</w:t>
            </w:r>
          </w:p>
        </w:tc>
      </w:tr>
      <w:tr w:rsidR="007D7FAD" w:rsidRPr="00500A19" w14:paraId="736484C3" w14:textId="77777777" w:rsidTr="008F4B6B">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453DA8A" w14:textId="5D5CE570" w:rsidR="007D7FAD" w:rsidRPr="00500A19" w:rsidRDefault="007D7FAD" w:rsidP="00811790">
            <w:pPr>
              <w:pStyle w:val="Tabletext"/>
            </w:pPr>
            <w:r w:rsidRPr="00500A19">
              <w:t>2-е собрание, состоявшееся 3</w:t>
            </w:r>
            <w:r w:rsidR="00C9752A" w:rsidRPr="00500A19">
              <w:t> </w:t>
            </w:r>
            <w:r w:rsidRPr="00500A19">
              <w:t>сентября 2024 года</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1FF391F6" w14:textId="3B8A67DA" w:rsidR="007D7FAD" w:rsidRPr="00500A19" w:rsidRDefault="00811790" w:rsidP="00811790">
            <w:pPr>
              <w:pStyle w:val="Tabletext"/>
              <w:ind w:left="225" w:hanging="225"/>
            </w:pPr>
            <w:r w:rsidRPr="00500A19">
              <w:sym w:font="Symbol" w:char="F02D"/>
            </w:r>
            <w:r w:rsidRPr="00500A19">
              <w:tab/>
            </w:r>
            <w:r w:rsidR="007D7FAD" w:rsidRPr="00500A19">
              <w:t>Договоренность относительно содержания формы для онлайн</w:t>
            </w:r>
            <w:r w:rsidR="00A55A39" w:rsidRPr="00500A19">
              <w:t>­</w:t>
            </w:r>
            <w:r w:rsidR="007D7FAD" w:rsidRPr="00500A19">
              <w:t>консультаций, а также дат начала и окончания.</w:t>
            </w:r>
          </w:p>
          <w:p w14:paraId="5E335C30" w14:textId="77777777" w:rsidR="007D7FAD" w:rsidRPr="00500A19" w:rsidRDefault="007D7FAD" w:rsidP="00811790">
            <w:pPr>
              <w:pStyle w:val="Tabletext"/>
            </w:pPr>
            <w:r w:rsidRPr="00500A19">
              <w:t xml:space="preserve">Отчет о собрании содержится в Документе </w:t>
            </w:r>
            <w:hyperlink r:id="rId154" w:tgtFrame="_blank" w:history="1">
              <w:r w:rsidRPr="00500A19">
                <w:rPr>
                  <w:color w:val="0000FF"/>
                  <w:u w:val="single"/>
                </w:rPr>
                <w:t>TDAG-WG-futureSGQ/10</w:t>
              </w:r>
            </w:hyperlink>
            <w:r w:rsidRPr="00500A19">
              <w:t>.</w:t>
            </w:r>
          </w:p>
        </w:tc>
      </w:tr>
      <w:tr w:rsidR="007D7FAD" w:rsidRPr="00500A19" w14:paraId="389478FF" w14:textId="77777777" w:rsidTr="008F4B6B">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7246192F" w14:textId="185C3A71" w:rsidR="007D7FAD" w:rsidRPr="00500A19" w:rsidRDefault="007D7FAD" w:rsidP="00811790">
            <w:pPr>
              <w:pStyle w:val="Tabletext"/>
            </w:pPr>
            <w:r w:rsidRPr="00500A19">
              <w:t>3-е собрание, состоявшееся 3</w:t>
            </w:r>
            <w:r w:rsidR="00C9752A" w:rsidRPr="00500A19">
              <w:t> </w:t>
            </w:r>
            <w:r w:rsidRPr="00500A19">
              <w:t>декабря 2024 года</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06411318" w14:textId="17C1511C" w:rsidR="007D7FAD" w:rsidRPr="00500A19" w:rsidRDefault="00811790" w:rsidP="00811790">
            <w:pPr>
              <w:pStyle w:val="Tabletext"/>
              <w:ind w:left="225" w:hanging="225"/>
            </w:pPr>
            <w:r w:rsidRPr="00500A19">
              <w:sym w:font="Symbol" w:char="F02D"/>
            </w:r>
            <w:r w:rsidRPr="00500A19">
              <w:tab/>
            </w:r>
            <w:r w:rsidR="007D7FAD" w:rsidRPr="00500A19">
              <w:t>Представление результатов онлайн-консультации</w:t>
            </w:r>
            <w:r w:rsidR="00A55A39" w:rsidRPr="00500A19">
              <w:t>.</w:t>
            </w:r>
          </w:p>
          <w:p w14:paraId="09862C4E" w14:textId="448E316E" w:rsidR="007D7FAD" w:rsidRPr="00500A19" w:rsidRDefault="00811790" w:rsidP="00811790">
            <w:pPr>
              <w:pStyle w:val="Tabletext"/>
              <w:ind w:left="225" w:hanging="225"/>
            </w:pPr>
            <w:r w:rsidRPr="00500A19">
              <w:sym w:font="Symbol" w:char="F02D"/>
            </w:r>
            <w:r w:rsidRPr="00500A19">
              <w:tab/>
            </w:r>
            <w:r w:rsidR="007D7FAD" w:rsidRPr="00500A19">
              <w:t>Рассмотрение двух вкладов, представленных членами (АСЭ, ИК1)</w:t>
            </w:r>
            <w:r w:rsidR="00A55A39" w:rsidRPr="00500A19">
              <w:t>.</w:t>
            </w:r>
          </w:p>
          <w:p w14:paraId="7B5E62BB" w14:textId="62786DA3" w:rsidR="007D7FAD" w:rsidRPr="00500A19" w:rsidRDefault="00811790" w:rsidP="00811790">
            <w:pPr>
              <w:pStyle w:val="Tabletext"/>
              <w:ind w:left="225" w:hanging="225"/>
            </w:pPr>
            <w:r w:rsidRPr="00500A19">
              <w:lastRenderedPageBreak/>
              <w:sym w:font="Symbol" w:char="F02D"/>
            </w:r>
            <w:r w:rsidRPr="00500A19">
              <w:tab/>
            </w:r>
            <w:r w:rsidR="007D7FAD" w:rsidRPr="00500A19">
              <w:t>Договоренность относительно подготовки Председателем проекта обзора выдержек из Приложений 1 и 2 к Резолюции 2 (Пересм. Кигали, 2022 г.) ВКРЭ, включая круг ведения исследуемых Вопросов. В обзоре (первый проект сводного документа) будет использоваться информация, полученная по итогам онлайновых консультаций, рассмотренных вкладов и состоявшихся на собрании обсуждений.</w:t>
            </w:r>
          </w:p>
          <w:p w14:paraId="6EFE9B30" w14:textId="77777777" w:rsidR="007D7FAD" w:rsidRPr="00500A19" w:rsidRDefault="007D7FAD" w:rsidP="00811790">
            <w:pPr>
              <w:pStyle w:val="Tabletext"/>
            </w:pPr>
            <w:r w:rsidRPr="00500A19">
              <w:t xml:space="preserve">Отчет о собрании содержится в Документе </w:t>
            </w:r>
            <w:hyperlink r:id="rId155" w:tgtFrame="_blank" w:history="1">
              <w:r w:rsidRPr="00500A19">
                <w:rPr>
                  <w:color w:val="0000FF"/>
                  <w:u w:val="single"/>
                </w:rPr>
                <w:t>TDAG-WG-futureSGQ/16</w:t>
              </w:r>
            </w:hyperlink>
            <w:r w:rsidRPr="00500A19">
              <w:t>.</w:t>
            </w:r>
          </w:p>
        </w:tc>
      </w:tr>
      <w:tr w:rsidR="007D7FAD" w:rsidRPr="00500A19" w14:paraId="1E2E8B6A" w14:textId="77777777" w:rsidTr="008F4B6B">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2F2B284" w14:textId="77777777" w:rsidR="007D7FAD" w:rsidRPr="00500A19" w:rsidRDefault="007D7FAD" w:rsidP="00811790">
            <w:pPr>
              <w:pStyle w:val="Tabletext"/>
            </w:pPr>
            <w:r w:rsidRPr="00500A19">
              <w:lastRenderedPageBreak/>
              <w:t>4-е собрание, состоявшееся 21 января 2025 года</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23B750AA" w14:textId="2A3D7B6D" w:rsidR="007D7FAD" w:rsidRPr="00500A19" w:rsidRDefault="00811790" w:rsidP="00811790">
            <w:pPr>
              <w:pStyle w:val="Tabletext"/>
              <w:ind w:left="225" w:hanging="225"/>
            </w:pPr>
            <w:r w:rsidRPr="00500A19">
              <w:sym w:font="Symbol" w:char="F02D"/>
            </w:r>
            <w:r w:rsidRPr="00500A19">
              <w:tab/>
            </w:r>
            <w:r w:rsidR="007D7FAD" w:rsidRPr="00500A19">
              <w:t xml:space="preserve">Рассмотрение первого проекта сводного документа </w:t>
            </w:r>
            <w:hyperlink r:id="rId156" w:tgtFrame="_blank" w:history="1">
              <w:r w:rsidR="007D7FAD" w:rsidRPr="00500A19">
                <w:rPr>
                  <w:color w:val="0000FF"/>
                  <w:u w:val="single"/>
                </w:rPr>
                <w:t>TDAG</w:t>
              </w:r>
              <w:r w:rsidR="00C9752A" w:rsidRPr="00500A19">
                <w:rPr>
                  <w:color w:val="0000FF"/>
                  <w:u w:val="single"/>
                </w:rPr>
                <w:t>­</w:t>
              </w:r>
              <w:r w:rsidR="007D7FAD" w:rsidRPr="00500A19">
                <w:rPr>
                  <w:color w:val="0000FF"/>
                  <w:u w:val="single"/>
                </w:rPr>
                <w:t>WG</w:t>
              </w:r>
              <w:r w:rsidR="00C9752A" w:rsidRPr="00500A19">
                <w:rPr>
                  <w:color w:val="0000FF"/>
                  <w:u w:val="single"/>
                </w:rPr>
                <w:t>­</w:t>
              </w:r>
              <w:r w:rsidR="007D7FAD" w:rsidRPr="00500A19">
                <w:rPr>
                  <w:color w:val="0000FF"/>
                  <w:u w:val="single"/>
                </w:rPr>
                <w:t>futureSGQ/23</w:t>
              </w:r>
            </w:hyperlink>
            <w:r w:rsidR="00A55A39" w:rsidRPr="00500A19">
              <w:t>.</w:t>
            </w:r>
          </w:p>
          <w:p w14:paraId="4A9E5403" w14:textId="18E3AD1C" w:rsidR="007D7FAD" w:rsidRPr="00500A19" w:rsidRDefault="00811790" w:rsidP="00811790">
            <w:pPr>
              <w:pStyle w:val="Tabletext"/>
              <w:ind w:left="225" w:hanging="225"/>
            </w:pPr>
            <w:r w:rsidRPr="00500A19">
              <w:sym w:font="Symbol" w:char="F02D"/>
            </w:r>
            <w:r w:rsidRPr="00500A19">
              <w:tab/>
            </w:r>
            <w:r w:rsidR="007D7FAD" w:rsidRPr="00500A19">
              <w:t>Рассмотрение вкладов, представленных членами (АТСЭ, Соединенное Королевство и др., Китай, ИК1, ИК2)</w:t>
            </w:r>
            <w:r w:rsidR="00A55A39" w:rsidRPr="00500A19">
              <w:t>.</w:t>
            </w:r>
          </w:p>
          <w:p w14:paraId="3709D128" w14:textId="72D998BB" w:rsidR="007D7FAD" w:rsidRPr="00500A19" w:rsidRDefault="00811790" w:rsidP="00811790">
            <w:pPr>
              <w:pStyle w:val="Tabletext"/>
              <w:ind w:left="225" w:hanging="225"/>
            </w:pPr>
            <w:r w:rsidRPr="00500A19">
              <w:sym w:font="Symbol" w:char="F02D"/>
            </w:r>
            <w:r w:rsidRPr="00500A19">
              <w:tab/>
            </w:r>
            <w:r w:rsidR="007D7FAD" w:rsidRPr="00500A19">
              <w:t>Договоренность относительно обновления первого проекта сводного документа с использованием информации из рассмотренных вкладов, состоявшихся обсуждений и дальнейших консультаций, как было решено на собрании.</w:t>
            </w:r>
          </w:p>
          <w:p w14:paraId="0EA9ABC0" w14:textId="77777777" w:rsidR="007D7FAD" w:rsidRPr="00500A19" w:rsidRDefault="007D7FAD" w:rsidP="00811790">
            <w:pPr>
              <w:pStyle w:val="Tabletext"/>
            </w:pPr>
            <w:r w:rsidRPr="00500A19">
              <w:t xml:space="preserve">Отчет о собрании содержится в Документе </w:t>
            </w:r>
            <w:hyperlink r:id="rId157" w:tgtFrame="_blank" w:history="1">
              <w:r w:rsidRPr="00500A19">
                <w:rPr>
                  <w:color w:val="0000FF"/>
                  <w:u w:val="single"/>
                </w:rPr>
                <w:t>TDAG-WG-futureSGQ/25</w:t>
              </w:r>
            </w:hyperlink>
            <w:r w:rsidRPr="00500A19">
              <w:t>.</w:t>
            </w:r>
          </w:p>
        </w:tc>
      </w:tr>
      <w:tr w:rsidR="007D7FAD" w:rsidRPr="00500A19" w14:paraId="0633B5CC" w14:textId="77777777" w:rsidTr="008F4B6B">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7AA730DB" w14:textId="5B798AB1" w:rsidR="007D7FAD" w:rsidRPr="00500A19" w:rsidRDefault="007D7FAD" w:rsidP="00811790">
            <w:pPr>
              <w:pStyle w:val="Tabletext"/>
            </w:pPr>
            <w:r w:rsidRPr="00500A19">
              <w:t>5-е собрание, состоявшееся 4</w:t>
            </w:r>
            <w:r w:rsidR="00C9752A" w:rsidRPr="00500A19">
              <w:t> </w:t>
            </w:r>
            <w:r w:rsidRPr="00500A19">
              <w:t>марта 2025 года</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7B0A291B" w14:textId="27A8ADA2" w:rsidR="007D7FAD" w:rsidRPr="00500A19" w:rsidRDefault="00811790" w:rsidP="00811790">
            <w:pPr>
              <w:pStyle w:val="Tabletext"/>
              <w:ind w:left="225" w:hanging="225"/>
            </w:pPr>
            <w:r w:rsidRPr="00500A19">
              <w:sym w:font="Symbol" w:char="F02D"/>
            </w:r>
            <w:r w:rsidRPr="00500A19">
              <w:tab/>
            </w:r>
            <w:r w:rsidR="007D7FAD" w:rsidRPr="00500A19">
              <w:t xml:space="preserve">Рассмотрение второго проекта сводного документа </w:t>
            </w:r>
            <w:hyperlink r:id="rId158" w:tgtFrame="_blank" w:history="1">
              <w:r w:rsidR="007D7FAD" w:rsidRPr="00500A19">
                <w:rPr>
                  <w:color w:val="0000FF"/>
                  <w:u w:val="single"/>
                </w:rPr>
                <w:t>TDAG</w:t>
              </w:r>
              <w:r w:rsidR="00C9752A" w:rsidRPr="00500A19">
                <w:rPr>
                  <w:color w:val="0000FF"/>
                  <w:u w:val="single"/>
                </w:rPr>
                <w:t>­</w:t>
              </w:r>
              <w:r w:rsidR="007D7FAD" w:rsidRPr="00500A19">
                <w:rPr>
                  <w:color w:val="0000FF"/>
                  <w:u w:val="single"/>
                </w:rPr>
                <w:t>WG</w:t>
              </w:r>
              <w:r w:rsidR="00C9752A" w:rsidRPr="00500A19">
                <w:rPr>
                  <w:color w:val="0000FF"/>
                  <w:u w:val="single"/>
                </w:rPr>
                <w:t>­</w:t>
              </w:r>
              <w:r w:rsidR="007D7FAD" w:rsidRPr="00500A19">
                <w:rPr>
                  <w:color w:val="0000FF"/>
                  <w:u w:val="single"/>
                </w:rPr>
                <w:t>futureSGQ/29</w:t>
              </w:r>
            </w:hyperlink>
            <w:r w:rsidR="00A55A39" w:rsidRPr="00500A19">
              <w:t>.</w:t>
            </w:r>
          </w:p>
          <w:p w14:paraId="4FD7F236" w14:textId="351774CE" w:rsidR="007D7FAD" w:rsidRPr="00500A19" w:rsidRDefault="00811790" w:rsidP="00811790">
            <w:pPr>
              <w:pStyle w:val="Tabletext"/>
              <w:ind w:left="225" w:hanging="225"/>
            </w:pPr>
            <w:r w:rsidRPr="00500A19">
              <w:sym w:font="Symbol" w:char="F02D"/>
            </w:r>
            <w:r w:rsidRPr="00500A19">
              <w:tab/>
            </w:r>
            <w:r w:rsidR="007D7FAD" w:rsidRPr="00500A19">
              <w:t>Рассмотрение пяти вкладов, представленных членами (АСЭ, Китай, Египет, IAGDI-CRO, ИК1)</w:t>
            </w:r>
            <w:r w:rsidR="00A55A39" w:rsidRPr="00500A19">
              <w:t>.</w:t>
            </w:r>
          </w:p>
          <w:p w14:paraId="2A73CFC5" w14:textId="0B133177" w:rsidR="007D7FAD" w:rsidRPr="00500A19" w:rsidRDefault="00811790" w:rsidP="00811790">
            <w:pPr>
              <w:pStyle w:val="Tabletext"/>
              <w:ind w:left="225" w:hanging="225"/>
            </w:pPr>
            <w:r w:rsidRPr="00500A19">
              <w:sym w:font="Symbol" w:char="F02D"/>
            </w:r>
            <w:r w:rsidRPr="00500A19">
              <w:tab/>
            </w:r>
            <w:r w:rsidR="007D7FAD" w:rsidRPr="00500A19">
              <w:t>Договоренность относительно обновления второго проекта сводного документа с использованием информации из рассмотренных вкладов, состоявшихся обсуждений и дальнейших консультаций, как было решено на собрании.</w:t>
            </w:r>
          </w:p>
          <w:p w14:paraId="37F67D5A" w14:textId="77777777" w:rsidR="007D7FAD" w:rsidRPr="00500A19" w:rsidRDefault="007D7FAD" w:rsidP="00811790">
            <w:pPr>
              <w:pStyle w:val="Tabletext"/>
            </w:pPr>
            <w:r w:rsidRPr="00500A19">
              <w:t xml:space="preserve">Отчет о собрании содержится в Документе </w:t>
            </w:r>
            <w:hyperlink r:id="rId159" w:tgtFrame="_blank" w:history="1">
              <w:r w:rsidRPr="00500A19">
                <w:rPr>
                  <w:color w:val="0000FF"/>
                  <w:u w:val="single"/>
                </w:rPr>
                <w:t>TDAG-WG-futureSGQ/34</w:t>
              </w:r>
            </w:hyperlink>
            <w:r w:rsidRPr="00500A19">
              <w:t>.</w:t>
            </w:r>
          </w:p>
        </w:tc>
      </w:tr>
      <w:tr w:rsidR="007D7FAD" w:rsidRPr="00500A19" w14:paraId="5CB32C32" w14:textId="77777777" w:rsidTr="008F4B6B">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8D20D42" w14:textId="77777777" w:rsidR="007D7FAD" w:rsidRPr="00500A19" w:rsidRDefault="007D7FAD" w:rsidP="00811790">
            <w:pPr>
              <w:pStyle w:val="Tabletext"/>
            </w:pPr>
            <w:r w:rsidRPr="00500A19">
              <w:t>6-е собрание, состоявшееся 16 апреля 2025 года</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7D534EA7" w14:textId="03D3E59C" w:rsidR="007D7FAD" w:rsidRPr="00500A19" w:rsidRDefault="00811790" w:rsidP="00811790">
            <w:pPr>
              <w:pStyle w:val="Tabletext"/>
              <w:ind w:left="225" w:hanging="225"/>
            </w:pPr>
            <w:r w:rsidRPr="00500A19">
              <w:sym w:font="Symbol" w:char="F02D"/>
            </w:r>
            <w:r w:rsidRPr="00500A19">
              <w:tab/>
            </w:r>
            <w:r w:rsidR="007D7FAD" w:rsidRPr="00500A19">
              <w:t xml:space="preserve">Рассмотрение третьего проекта сводного документа </w:t>
            </w:r>
            <w:hyperlink r:id="rId160" w:tgtFrame="_blank" w:history="1">
              <w:r w:rsidR="007D7FAD" w:rsidRPr="00500A19">
                <w:rPr>
                  <w:color w:val="0000FF"/>
                  <w:u w:val="single"/>
                </w:rPr>
                <w:t>TDAG</w:t>
              </w:r>
              <w:r w:rsidR="00C9752A" w:rsidRPr="00500A19">
                <w:rPr>
                  <w:color w:val="0000FF"/>
                  <w:u w:val="single"/>
                </w:rPr>
                <w:t>­</w:t>
              </w:r>
              <w:r w:rsidR="007D7FAD" w:rsidRPr="00500A19">
                <w:rPr>
                  <w:color w:val="0000FF"/>
                  <w:u w:val="single"/>
                </w:rPr>
                <w:t>WG</w:t>
              </w:r>
              <w:r w:rsidR="00C9752A" w:rsidRPr="00500A19">
                <w:rPr>
                  <w:color w:val="0000FF"/>
                  <w:u w:val="single"/>
                </w:rPr>
                <w:t>­</w:t>
              </w:r>
              <w:r w:rsidR="007D7FAD" w:rsidRPr="00500A19">
                <w:rPr>
                  <w:color w:val="0000FF"/>
                  <w:u w:val="single"/>
                </w:rPr>
                <w:t>futureSGQ/38</w:t>
              </w:r>
            </w:hyperlink>
            <w:r w:rsidR="00A55A39" w:rsidRPr="00500A19">
              <w:t>.</w:t>
            </w:r>
          </w:p>
          <w:p w14:paraId="7FFD46EA" w14:textId="1E0B9AB0" w:rsidR="007D7FAD" w:rsidRPr="00500A19" w:rsidRDefault="00811790" w:rsidP="00811790">
            <w:pPr>
              <w:pStyle w:val="Tabletext"/>
              <w:ind w:left="225" w:hanging="225"/>
            </w:pPr>
            <w:r w:rsidRPr="00500A19">
              <w:sym w:font="Symbol" w:char="F02D"/>
            </w:r>
            <w:r w:rsidRPr="00500A19">
              <w:tab/>
            </w:r>
            <w:r w:rsidR="007D7FAD" w:rsidRPr="00500A19">
              <w:t>Рассмотрение трех вкладов, представленных членами (АТСЭ, РСС, Российская Федерация)</w:t>
            </w:r>
            <w:r w:rsidR="00A55A39" w:rsidRPr="00500A19">
              <w:t>.</w:t>
            </w:r>
          </w:p>
          <w:p w14:paraId="32966EBA" w14:textId="43D8832A" w:rsidR="007D7FAD" w:rsidRPr="00500A19" w:rsidRDefault="00811790" w:rsidP="00811790">
            <w:pPr>
              <w:pStyle w:val="Tabletext"/>
              <w:ind w:left="225" w:hanging="225"/>
            </w:pPr>
            <w:r w:rsidRPr="00500A19">
              <w:sym w:font="Symbol" w:char="F02D"/>
            </w:r>
            <w:r w:rsidRPr="00500A19">
              <w:tab/>
            </w:r>
            <w:r w:rsidR="007D7FAD" w:rsidRPr="00500A19">
              <w:t xml:space="preserve">Договоренность относительно обновления третьего проекта сводного документа с использованием информации из рассмотренных вкладов, из состоявшихся в ходе собрания обсуждений и дальнейших консультаций, как было решено на собрании. Обновленный документ: </w:t>
            </w:r>
            <w:hyperlink r:id="rId161" w:tgtFrame="_blank" w:history="1">
              <w:r w:rsidR="007D7FAD" w:rsidRPr="00500A19">
                <w:rPr>
                  <w:color w:val="0000FF"/>
                  <w:u w:val="single"/>
                </w:rPr>
                <w:t>TDAG</w:t>
              </w:r>
              <w:r w:rsidR="00C9752A" w:rsidRPr="00500A19">
                <w:rPr>
                  <w:color w:val="0000FF"/>
                  <w:u w:val="single"/>
                </w:rPr>
                <w:t>­</w:t>
              </w:r>
              <w:r w:rsidR="007D7FAD" w:rsidRPr="00500A19">
                <w:rPr>
                  <w:color w:val="0000FF"/>
                  <w:u w:val="single"/>
                </w:rPr>
                <w:t>WG</w:t>
              </w:r>
              <w:r w:rsidR="00C9752A" w:rsidRPr="00500A19">
                <w:rPr>
                  <w:color w:val="0000FF"/>
                  <w:u w:val="single"/>
                </w:rPr>
                <w:t>­</w:t>
              </w:r>
              <w:r w:rsidR="007D7FAD" w:rsidRPr="00500A19">
                <w:rPr>
                  <w:color w:val="0000FF"/>
                  <w:u w:val="single"/>
                </w:rPr>
                <w:t>futureSGQ/43</w:t>
              </w:r>
            </w:hyperlink>
            <w:r w:rsidR="007D7FAD" w:rsidRPr="00500A19">
              <w:t>.</w:t>
            </w:r>
          </w:p>
          <w:p w14:paraId="5022A8D1" w14:textId="77777777" w:rsidR="007D7FAD" w:rsidRPr="00500A19" w:rsidRDefault="007D7FAD" w:rsidP="00811790">
            <w:pPr>
              <w:pStyle w:val="Tabletext"/>
            </w:pPr>
            <w:r w:rsidRPr="00500A19">
              <w:t xml:space="preserve">Отчет о собрании содержится в Документе </w:t>
            </w:r>
            <w:hyperlink r:id="rId162" w:tgtFrame="_blank" w:history="1">
              <w:r w:rsidRPr="00500A19">
                <w:rPr>
                  <w:color w:val="0000FF"/>
                  <w:u w:val="single"/>
                </w:rPr>
                <w:t>TDAG-WG-futureSGQ/41</w:t>
              </w:r>
            </w:hyperlink>
            <w:r w:rsidRPr="00500A19">
              <w:t>.</w:t>
            </w:r>
          </w:p>
        </w:tc>
      </w:tr>
      <w:tr w:rsidR="007D7FAD" w:rsidRPr="00500A19" w14:paraId="630F4F5C" w14:textId="77777777" w:rsidTr="008F4B6B">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0B364EF" w14:textId="77777777" w:rsidR="007D7FAD" w:rsidRPr="00500A19" w:rsidRDefault="007D7FAD" w:rsidP="00811790">
            <w:pPr>
              <w:pStyle w:val="Tabletext"/>
            </w:pPr>
            <w:r w:rsidRPr="00500A19">
              <w:t>7-е собрание, состоявшееся 13 мая и 15 мая 2025 года</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5D341ECE" w14:textId="53C8FB5A" w:rsidR="007D7FAD" w:rsidRPr="00500A19" w:rsidRDefault="00C9752A" w:rsidP="00811790">
            <w:pPr>
              <w:pStyle w:val="Tabletext"/>
              <w:ind w:left="225" w:hanging="225"/>
            </w:pPr>
            <w:r w:rsidRPr="00500A19">
              <w:sym w:font="Symbol" w:char="F02D"/>
            </w:r>
            <w:r w:rsidRPr="00500A19">
              <w:tab/>
            </w:r>
            <w:r w:rsidR="007D7FAD" w:rsidRPr="00500A19">
              <w:t xml:space="preserve">Рассмотрение четвертого проекта сводного документа </w:t>
            </w:r>
            <w:hyperlink r:id="rId163" w:tgtFrame="_blank" w:history="1">
              <w:r w:rsidR="007D7FAD" w:rsidRPr="00500A19">
                <w:rPr>
                  <w:color w:val="0000FF"/>
                  <w:u w:val="single"/>
                </w:rPr>
                <w:t>TDAG</w:t>
              </w:r>
              <w:r w:rsidRPr="00500A19">
                <w:rPr>
                  <w:color w:val="0000FF"/>
                  <w:u w:val="single"/>
                </w:rPr>
                <w:t>­</w:t>
              </w:r>
              <w:r w:rsidR="007D7FAD" w:rsidRPr="00500A19">
                <w:rPr>
                  <w:color w:val="0000FF"/>
                  <w:u w:val="single"/>
                </w:rPr>
                <w:t>WG</w:t>
              </w:r>
              <w:r w:rsidRPr="00500A19">
                <w:rPr>
                  <w:color w:val="0000FF"/>
                  <w:u w:val="single"/>
                </w:rPr>
                <w:t>­</w:t>
              </w:r>
              <w:r w:rsidR="007D7FAD" w:rsidRPr="00500A19">
                <w:rPr>
                  <w:color w:val="0000FF"/>
                  <w:u w:val="single"/>
                </w:rPr>
                <w:t>futureSGQ/43</w:t>
              </w:r>
            </w:hyperlink>
            <w:r w:rsidR="00A55A39" w:rsidRPr="00500A19">
              <w:t>.</w:t>
            </w:r>
          </w:p>
          <w:p w14:paraId="338EB9F3" w14:textId="4A8FF615" w:rsidR="007D7FAD" w:rsidRPr="00500A19" w:rsidRDefault="00C9752A" w:rsidP="00811790">
            <w:pPr>
              <w:pStyle w:val="Tabletext"/>
              <w:ind w:left="225" w:hanging="225"/>
            </w:pPr>
            <w:r w:rsidRPr="00500A19">
              <w:sym w:font="Symbol" w:char="F02D"/>
            </w:r>
            <w:r w:rsidRPr="00500A19">
              <w:tab/>
            </w:r>
            <w:r w:rsidR="007D7FAD" w:rsidRPr="00500A19">
              <w:t>Рассмотрение шести вкладов, представленных членами (Португалия, АТСЭ, ЛАГ, координатор ИК1, координатор ИК2, АСЭ)</w:t>
            </w:r>
            <w:r w:rsidR="00A55A39" w:rsidRPr="00500A19">
              <w:t>.</w:t>
            </w:r>
          </w:p>
          <w:p w14:paraId="05807573" w14:textId="2B74AD07" w:rsidR="007D7FAD" w:rsidRPr="00500A19" w:rsidRDefault="00C9752A" w:rsidP="00811790">
            <w:pPr>
              <w:pStyle w:val="Tabletext"/>
              <w:ind w:left="225" w:hanging="225"/>
            </w:pPr>
            <w:r w:rsidRPr="00500A19">
              <w:sym w:font="Symbol" w:char="F02D"/>
            </w:r>
            <w:r w:rsidRPr="00500A19">
              <w:tab/>
            </w:r>
            <w:r w:rsidR="007D7FAD" w:rsidRPr="00500A19">
              <w:t xml:space="preserve">Договоренность относительно совместного использования таблицы с кратким обзором предложений, приведенной в </w:t>
            </w:r>
            <w:r w:rsidR="007D7FAD" w:rsidRPr="00500A19">
              <w:rPr>
                <w:b/>
                <w:bCs/>
              </w:rPr>
              <w:t>Дополнении 3</w:t>
            </w:r>
            <w:r w:rsidR="00A55A39" w:rsidRPr="00500A19">
              <w:t>.</w:t>
            </w:r>
          </w:p>
          <w:p w14:paraId="2C266BE9" w14:textId="7887D4B8" w:rsidR="007D7FAD" w:rsidRPr="00500A19" w:rsidRDefault="00C9752A" w:rsidP="00811790">
            <w:pPr>
              <w:pStyle w:val="Tabletext"/>
              <w:ind w:left="225" w:hanging="225"/>
            </w:pPr>
            <w:r w:rsidRPr="00500A19">
              <w:sym w:font="Symbol" w:char="F02D"/>
            </w:r>
            <w:r w:rsidRPr="00500A19">
              <w:tab/>
            </w:r>
            <w:r w:rsidR="007D7FAD" w:rsidRPr="00500A19">
              <w:t xml:space="preserve">Договоренность относительно заключительного сводного документа для использования в качестве базового документа (основы для работы) для Приложений 1 и 2 к Резолюции 2 ВКРЭ. Обновленный документ содержится в </w:t>
            </w:r>
            <w:r w:rsidR="007D7FAD" w:rsidRPr="00500A19">
              <w:rPr>
                <w:b/>
                <w:bCs/>
              </w:rPr>
              <w:t>Дополнении 4</w:t>
            </w:r>
            <w:r w:rsidR="007D7FAD" w:rsidRPr="00500A19">
              <w:t xml:space="preserve"> к Документу </w:t>
            </w:r>
            <w:hyperlink r:id="rId164" w:tgtFrame="_blank" w:history="1">
              <w:r w:rsidR="007D7FAD" w:rsidRPr="00500A19">
                <w:rPr>
                  <w:color w:val="0000FF"/>
                  <w:u w:val="single"/>
                </w:rPr>
                <w:t>TDAG-25/19(Rev.2)</w:t>
              </w:r>
            </w:hyperlink>
            <w:r w:rsidR="00A55A39" w:rsidRPr="00500A19">
              <w:t>.</w:t>
            </w:r>
          </w:p>
          <w:p w14:paraId="590686C9" w14:textId="3D6EBD86" w:rsidR="007D7FAD" w:rsidRPr="00500A19" w:rsidRDefault="00C9752A" w:rsidP="00C9752A">
            <w:pPr>
              <w:pStyle w:val="Tabletext"/>
              <w:ind w:left="225" w:hanging="225"/>
            </w:pPr>
            <w:r w:rsidRPr="00500A19">
              <w:sym w:font="Symbol" w:char="F02D"/>
            </w:r>
            <w:r w:rsidRPr="00500A19">
              <w:tab/>
            </w:r>
            <w:r w:rsidR="007D7FAD" w:rsidRPr="00500A19">
              <w:t xml:space="preserve">Отмечено, что выдержка из Документа </w:t>
            </w:r>
            <w:hyperlink r:id="rId165" w:tgtFrame="_blank" w:history="1">
              <w:r w:rsidR="007D7FAD" w:rsidRPr="00500A19">
                <w:rPr>
                  <w:color w:val="0000FF"/>
                  <w:u w:val="single"/>
                </w:rPr>
                <w:t>TDAG-WG-futureSGQ/43(Rev.1)</w:t>
              </w:r>
            </w:hyperlink>
            <w:r w:rsidR="007D7FAD" w:rsidRPr="00500A19">
              <w:t xml:space="preserve">, содержащего подборку предложенных изменений к кругу ведения Вопросов исследовательских комиссий, не обсуждалась в Рабочей группе. Данная информация содержится в </w:t>
            </w:r>
            <w:r w:rsidR="007D7FAD" w:rsidRPr="00500A19">
              <w:rPr>
                <w:b/>
                <w:bCs/>
              </w:rPr>
              <w:t>Дополнении 5</w:t>
            </w:r>
            <w:r w:rsidR="007D7FAD" w:rsidRPr="00500A19">
              <w:t xml:space="preserve"> и может быть </w:t>
            </w:r>
            <w:r w:rsidR="007D7FAD" w:rsidRPr="00500A19">
              <w:lastRenderedPageBreak/>
              <w:t>использована региональными организациями электросвязи и администрациями при подготовке к ВКРЭ-25</w:t>
            </w:r>
            <w:r w:rsidR="00A55A39" w:rsidRPr="00500A19">
              <w:t>.</w:t>
            </w:r>
          </w:p>
          <w:p w14:paraId="6A6DAF40" w14:textId="5BCF4500" w:rsidR="007D7FAD" w:rsidRPr="00500A19" w:rsidRDefault="00C9752A" w:rsidP="00C9752A">
            <w:pPr>
              <w:pStyle w:val="Tabletext"/>
              <w:ind w:left="225" w:hanging="225"/>
            </w:pPr>
            <w:r w:rsidRPr="00500A19">
              <w:sym w:font="Symbol" w:char="F02D"/>
            </w:r>
            <w:r w:rsidRPr="00500A19">
              <w:tab/>
            </w:r>
            <w:r w:rsidR="007D7FAD" w:rsidRPr="00500A19">
              <w:t>Соединенные Штаты Америки заявили, что, по их мнению, необходимо пересмотреть вопрос о включении таких тем исследования, как окружающая среда, ЭМП и соответствие и функциональная</w:t>
            </w:r>
            <w:r w:rsidRPr="00500A19">
              <w:t> </w:t>
            </w:r>
            <w:r w:rsidR="007D7FAD" w:rsidRPr="00500A19">
              <w:t>совместимость</w:t>
            </w:r>
            <w:r w:rsidR="00A55A39" w:rsidRPr="00500A19">
              <w:t>.</w:t>
            </w:r>
          </w:p>
          <w:p w14:paraId="0CE9091D" w14:textId="77777777" w:rsidR="007D7FAD" w:rsidRPr="00500A19" w:rsidRDefault="007D7FAD" w:rsidP="00C9752A">
            <w:pPr>
              <w:pStyle w:val="Tabletext"/>
              <w:ind w:left="225" w:hanging="225"/>
            </w:pPr>
            <w:r w:rsidRPr="00500A19">
              <w:t xml:space="preserve">Отчет о собрании содержится в Документе </w:t>
            </w:r>
            <w:hyperlink r:id="rId166" w:tgtFrame="_blank" w:history="1">
              <w:r w:rsidRPr="00500A19">
                <w:rPr>
                  <w:color w:val="0000FF"/>
                  <w:u w:val="single"/>
                </w:rPr>
                <w:t>TDAG-WG-futureSGQ/50</w:t>
              </w:r>
            </w:hyperlink>
            <w:r w:rsidRPr="00500A19">
              <w:t>.</w:t>
            </w:r>
          </w:p>
        </w:tc>
      </w:tr>
    </w:tbl>
    <w:p w14:paraId="5D64749B" w14:textId="77777777" w:rsidR="007D7FAD" w:rsidRPr="00500A19" w:rsidRDefault="007D7FAD" w:rsidP="00C9752A">
      <w:r w:rsidRPr="00500A19">
        <w:lastRenderedPageBreak/>
        <w:t>В Дополнении 2 приводится краткая информация о собраниях, состоявшихся после ВКРЭ-24.</w:t>
      </w:r>
    </w:p>
    <w:p w14:paraId="71DA45A2" w14:textId="2CDC72BB" w:rsidR="007D7FAD" w:rsidRPr="00500A19" w:rsidRDefault="00C9752A" w:rsidP="00C9752A">
      <w:pPr>
        <w:pStyle w:val="Heading1"/>
      </w:pPr>
      <w:r w:rsidRPr="00500A19">
        <w:t>5</w:t>
      </w:r>
      <w:r w:rsidRPr="00500A19">
        <w:tab/>
      </w:r>
      <w:r w:rsidR="007D7FAD" w:rsidRPr="00500A19">
        <w:t>Предложения, полученные в форме вкладов для собраний КГРЭ</w:t>
      </w:r>
      <w:r w:rsidRPr="00500A19">
        <w:t>­</w:t>
      </w:r>
      <w:r w:rsidR="007D7FAD" w:rsidRPr="00500A19">
        <w:t>РГ</w:t>
      </w:r>
      <w:r w:rsidRPr="00500A19">
        <w:t>­</w:t>
      </w:r>
      <w:r w:rsidR="007D7FAD" w:rsidRPr="00500A19">
        <w:t>futureSGQ</w:t>
      </w:r>
    </w:p>
    <w:p w14:paraId="5DAE4432" w14:textId="399706B7" w:rsidR="007D7FAD" w:rsidRPr="00500A19" w:rsidRDefault="00C9752A" w:rsidP="00C9752A">
      <w:pPr>
        <w:pStyle w:val="enumlev1"/>
        <w:rPr>
          <w:rFonts w:cstheme="minorHAnsi"/>
          <w:szCs w:val="22"/>
        </w:rPr>
      </w:pPr>
      <w:r w:rsidRPr="00500A19">
        <w:rPr>
          <w:rFonts w:cstheme="minorHAnsi"/>
          <w:szCs w:val="22"/>
        </w:rPr>
        <w:t>a</w:t>
      </w:r>
      <w:r w:rsidRPr="00500A19">
        <w:rPr>
          <w:rFonts w:cstheme="minorHAnsi"/>
          <w:szCs w:val="22"/>
        </w:rPr>
        <w:tab/>
      </w:r>
      <w:r w:rsidR="007D7FAD" w:rsidRPr="00500A19">
        <w:rPr>
          <w:rFonts w:cstheme="minorHAnsi"/>
          <w:szCs w:val="22"/>
        </w:rPr>
        <w:t xml:space="preserve">Документы </w:t>
      </w:r>
      <w:hyperlink r:id="rId167" w:tgtFrame="_blank" w:history="1">
        <w:r w:rsidR="007D7FAD" w:rsidRPr="00500A19">
          <w:rPr>
            <w:rFonts w:cstheme="minorHAnsi"/>
            <w:color w:val="0000FF"/>
            <w:szCs w:val="22"/>
            <w:u w:val="single"/>
          </w:rPr>
          <w:t>TDAG-WG-futureSGQ/14</w:t>
        </w:r>
      </w:hyperlink>
      <w:r w:rsidR="007D7FAD" w:rsidRPr="00500A19">
        <w:rPr>
          <w:rFonts w:cstheme="minorHAnsi"/>
          <w:szCs w:val="22"/>
        </w:rPr>
        <w:t xml:space="preserve">, </w:t>
      </w:r>
      <w:hyperlink r:id="rId168" w:tgtFrame="_blank" w:history="1">
        <w:r w:rsidR="007D7FAD" w:rsidRPr="00500A19">
          <w:rPr>
            <w:rFonts w:cstheme="minorHAnsi"/>
            <w:color w:val="0000FF"/>
            <w:szCs w:val="22"/>
            <w:u w:val="single"/>
          </w:rPr>
          <w:t>TDAG-WG-futureSGQ/27</w:t>
        </w:r>
      </w:hyperlink>
      <w:r w:rsidR="007D7FAD" w:rsidRPr="00500A19">
        <w:rPr>
          <w:rFonts w:cstheme="minorHAnsi"/>
          <w:color w:val="0000FF"/>
          <w:szCs w:val="22"/>
          <w:u w:val="single"/>
        </w:rPr>
        <w:t>(Rev.1)</w:t>
      </w:r>
      <w:r w:rsidR="007D7FAD" w:rsidRPr="00500A19">
        <w:rPr>
          <w:rFonts w:cstheme="minorHAnsi"/>
          <w:szCs w:val="22"/>
        </w:rPr>
        <w:t xml:space="preserve"> и </w:t>
      </w:r>
      <w:hyperlink r:id="rId169" w:tgtFrame="_blank" w:history="1">
        <w:r w:rsidR="007D7FAD" w:rsidRPr="00500A19">
          <w:rPr>
            <w:rFonts w:cstheme="minorHAnsi"/>
            <w:color w:val="0000FF"/>
            <w:szCs w:val="22"/>
            <w:u w:val="single"/>
          </w:rPr>
          <w:t>TDAG</w:t>
        </w:r>
        <w:r w:rsidRPr="00500A19">
          <w:rPr>
            <w:rFonts w:cstheme="minorHAnsi"/>
            <w:color w:val="0000FF"/>
            <w:szCs w:val="22"/>
            <w:u w:val="single"/>
          </w:rPr>
          <w:t>­</w:t>
        </w:r>
        <w:r w:rsidR="007D7FAD" w:rsidRPr="00500A19">
          <w:rPr>
            <w:rFonts w:cstheme="minorHAnsi"/>
            <w:color w:val="0000FF"/>
            <w:szCs w:val="22"/>
            <w:u w:val="single"/>
          </w:rPr>
          <w:t>WG</w:t>
        </w:r>
        <w:r w:rsidRPr="00500A19">
          <w:rPr>
            <w:rFonts w:cstheme="minorHAnsi"/>
            <w:color w:val="0000FF"/>
            <w:szCs w:val="22"/>
            <w:u w:val="single"/>
          </w:rPr>
          <w:t>­</w:t>
        </w:r>
        <w:r w:rsidR="007D7FAD" w:rsidRPr="00500A19">
          <w:rPr>
            <w:rFonts w:cstheme="minorHAnsi"/>
            <w:color w:val="0000FF"/>
            <w:szCs w:val="22"/>
            <w:u w:val="single"/>
          </w:rPr>
          <w:t>TDAG</w:t>
        </w:r>
        <w:r w:rsidRPr="00500A19">
          <w:rPr>
            <w:rFonts w:cstheme="minorHAnsi"/>
            <w:color w:val="0000FF"/>
            <w:szCs w:val="22"/>
            <w:u w:val="single"/>
          </w:rPr>
          <w:t>­</w:t>
        </w:r>
        <w:r w:rsidR="007D7FAD" w:rsidRPr="00500A19">
          <w:rPr>
            <w:rFonts w:cstheme="minorHAnsi"/>
            <w:color w:val="0000FF"/>
            <w:szCs w:val="22"/>
            <w:u w:val="single"/>
          </w:rPr>
          <w:t>WG</w:t>
        </w:r>
        <w:r w:rsidRPr="00500A19">
          <w:rPr>
            <w:rFonts w:cstheme="minorHAnsi"/>
            <w:color w:val="0000FF"/>
            <w:szCs w:val="22"/>
            <w:u w:val="single"/>
          </w:rPr>
          <w:t>­</w:t>
        </w:r>
        <w:r w:rsidR="007D7FAD" w:rsidRPr="00500A19">
          <w:rPr>
            <w:rFonts w:cstheme="minorHAnsi"/>
            <w:color w:val="0000FF"/>
            <w:szCs w:val="22"/>
            <w:u w:val="single"/>
          </w:rPr>
          <w:t>futureSGQ/49</w:t>
        </w:r>
      </w:hyperlink>
      <w:r w:rsidR="007D7FAD" w:rsidRPr="00500A19">
        <w:rPr>
          <w:rFonts w:cstheme="minorHAnsi"/>
          <w:szCs w:val="22"/>
        </w:rPr>
        <w:t xml:space="preserve"> от Африканского союза электросвязи (АСЭ) содержат мнения африканских стран по конкретным темам и согласуются со сводным предложением КГРЭ-РГ-futureSGQ по сохранению двух исследовательских комиссий и в общей сложности десяти исследуемых Вопросов.</w:t>
      </w:r>
    </w:p>
    <w:p w14:paraId="017B252F" w14:textId="4EBB9C9E" w:rsidR="007D7FAD" w:rsidRPr="00500A19" w:rsidRDefault="00C9752A" w:rsidP="00C9752A">
      <w:pPr>
        <w:pStyle w:val="enumlev1"/>
        <w:rPr>
          <w:rFonts w:cstheme="minorHAnsi"/>
          <w:szCs w:val="22"/>
        </w:rPr>
      </w:pPr>
      <w:r w:rsidRPr="00500A19">
        <w:rPr>
          <w:rFonts w:cstheme="minorHAnsi"/>
          <w:szCs w:val="22"/>
        </w:rPr>
        <w:t>b</w:t>
      </w:r>
      <w:r w:rsidRPr="00500A19">
        <w:rPr>
          <w:rFonts w:cstheme="minorHAnsi"/>
          <w:szCs w:val="22"/>
        </w:rPr>
        <w:tab/>
      </w:r>
      <w:r w:rsidR="007D7FAD" w:rsidRPr="00500A19">
        <w:rPr>
          <w:rFonts w:cstheme="minorHAnsi"/>
          <w:szCs w:val="22"/>
        </w:rPr>
        <w:t xml:space="preserve">В Документах </w:t>
      </w:r>
      <w:hyperlink r:id="rId170" w:tgtFrame="_blank" w:history="1">
        <w:r w:rsidR="007D7FAD" w:rsidRPr="00500A19">
          <w:rPr>
            <w:rFonts w:cstheme="minorHAnsi"/>
            <w:color w:val="0000FF"/>
            <w:szCs w:val="22"/>
            <w:u w:val="single"/>
          </w:rPr>
          <w:t>TDAG-WG-futureSGQ/18</w:t>
        </w:r>
      </w:hyperlink>
      <w:r w:rsidR="007D7FAD" w:rsidRPr="00500A19">
        <w:rPr>
          <w:rFonts w:cstheme="minorHAnsi"/>
          <w:szCs w:val="22"/>
        </w:rPr>
        <w:t xml:space="preserve">, </w:t>
      </w:r>
      <w:hyperlink r:id="rId171" w:tgtFrame="_blank" w:history="1">
        <w:r w:rsidR="007D7FAD" w:rsidRPr="00500A19">
          <w:rPr>
            <w:rFonts w:cstheme="minorHAnsi"/>
            <w:color w:val="0000FF"/>
            <w:szCs w:val="22"/>
            <w:u w:val="single"/>
          </w:rPr>
          <w:t>TDAG-WG-futureSGQ/36</w:t>
        </w:r>
      </w:hyperlink>
      <w:r w:rsidR="007D7FAD" w:rsidRPr="00500A19">
        <w:rPr>
          <w:rFonts w:cstheme="minorHAnsi"/>
          <w:szCs w:val="22"/>
        </w:rPr>
        <w:t xml:space="preserve"> и </w:t>
      </w:r>
      <w:hyperlink r:id="rId172" w:tgtFrame="_blank" w:history="1">
        <w:r w:rsidR="007D7FAD" w:rsidRPr="00500A19">
          <w:rPr>
            <w:rFonts w:cstheme="minorHAnsi"/>
            <w:color w:val="0000FF"/>
            <w:szCs w:val="22"/>
            <w:u w:val="single"/>
          </w:rPr>
          <w:t>TDAG</w:t>
        </w:r>
        <w:r w:rsidRPr="00500A19">
          <w:rPr>
            <w:rFonts w:cstheme="minorHAnsi"/>
            <w:color w:val="0000FF"/>
            <w:szCs w:val="22"/>
            <w:u w:val="single"/>
          </w:rPr>
          <w:t>­</w:t>
        </w:r>
        <w:r w:rsidR="007D7FAD" w:rsidRPr="00500A19">
          <w:rPr>
            <w:rFonts w:cstheme="minorHAnsi"/>
            <w:color w:val="0000FF"/>
            <w:szCs w:val="22"/>
            <w:u w:val="single"/>
          </w:rPr>
          <w:t>WG</w:t>
        </w:r>
        <w:r w:rsidRPr="00500A19">
          <w:rPr>
            <w:rFonts w:cstheme="minorHAnsi"/>
            <w:color w:val="0000FF"/>
            <w:szCs w:val="22"/>
            <w:u w:val="single"/>
          </w:rPr>
          <w:t>­</w:t>
        </w:r>
        <w:r w:rsidR="007D7FAD" w:rsidRPr="00500A19">
          <w:rPr>
            <w:rFonts w:cstheme="minorHAnsi"/>
            <w:color w:val="0000FF"/>
            <w:szCs w:val="22"/>
            <w:u w:val="single"/>
          </w:rPr>
          <w:t>TDAG</w:t>
        </w:r>
        <w:r w:rsidRPr="00500A19">
          <w:rPr>
            <w:rFonts w:cstheme="minorHAnsi"/>
            <w:color w:val="0000FF"/>
            <w:szCs w:val="22"/>
            <w:u w:val="single"/>
          </w:rPr>
          <w:t>­</w:t>
        </w:r>
        <w:r w:rsidR="007D7FAD" w:rsidRPr="00500A19">
          <w:rPr>
            <w:rFonts w:cstheme="minorHAnsi"/>
            <w:color w:val="0000FF"/>
            <w:szCs w:val="22"/>
            <w:u w:val="single"/>
          </w:rPr>
          <w:t>WG</w:t>
        </w:r>
        <w:r w:rsidRPr="00500A19">
          <w:rPr>
            <w:rFonts w:cstheme="minorHAnsi"/>
            <w:color w:val="0000FF"/>
            <w:szCs w:val="22"/>
            <w:u w:val="single"/>
          </w:rPr>
          <w:t>­</w:t>
        </w:r>
        <w:r w:rsidR="007D7FAD" w:rsidRPr="00500A19">
          <w:rPr>
            <w:rFonts w:cstheme="minorHAnsi"/>
            <w:color w:val="0000FF"/>
            <w:szCs w:val="22"/>
            <w:u w:val="single"/>
          </w:rPr>
          <w:t>futureSGQ/45</w:t>
        </w:r>
      </w:hyperlink>
      <w:r w:rsidR="007D7FAD" w:rsidRPr="00500A19">
        <w:rPr>
          <w:rFonts w:cstheme="minorHAnsi"/>
          <w:szCs w:val="22"/>
        </w:rPr>
        <w:t xml:space="preserve"> от Азиатско-Тихоокеанского сообщества (АТСЭ) выражается мнение о сохранении двух исследовательских комиссий и в общей сложности десяти исследуемых Вопросов, что соответствует сводному предложению КГРЭ</w:t>
      </w:r>
      <w:r w:rsidRPr="00500A19">
        <w:rPr>
          <w:rFonts w:cstheme="minorHAnsi"/>
          <w:szCs w:val="22"/>
        </w:rPr>
        <w:t>­</w:t>
      </w:r>
      <w:r w:rsidR="007D7FAD" w:rsidRPr="00500A19">
        <w:rPr>
          <w:rFonts w:cstheme="minorHAnsi"/>
          <w:szCs w:val="22"/>
        </w:rPr>
        <w:t>РГ</w:t>
      </w:r>
      <w:r w:rsidRPr="00500A19">
        <w:rPr>
          <w:rFonts w:cstheme="minorHAnsi"/>
          <w:szCs w:val="22"/>
        </w:rPr>
        <w:t>­</w:t>
      </w:r>
      <w:r w:rsidR="007D7FAD" w:rsidRPr="00500A19">
        <w:rPr>
          <w:rFonts w:cstheme="minorHAnsi"/>
          <w:szCs w:val="22"/>
        </w:rPr>
        <w:t>futureSGQ.</w:t>
      </w:r>
    </w:p>
    <w:p w14:paraId="6C4E2894" w14:textId="68F0C409" w:rsidR="007D7FAD" w:rsidRPr="00500A19" w:rsidRDefault="00C9752A" w:rsidP="00C9752A">
      <w:pPr>
        <w:pStyle w:val="enumlev1"/>
        <w:rPr>
          <w:rFonts w:cstheme="minorHAnsi"/>
          <w:szCs w:val="22"/>
        </w:rPr>
      </w:pPr>
      <w:r w:rsidRPr="00500A19">
        <w:rPr>
          <w:rFonts w:cstheme="minorHAnsi"/>
          <w:szCs w:val="22"/>
        </w:rPr>
        <w:t>c</w:t>
      </w:r>
      <w:r w:rsidRPr="00500A19">
        <w:rPr>
          <w:rFonts w:cstheme="minorHAnsi"/>
          <w:szCs w:val="22"/>
        </w:rPr>
        <w:tab/>
      </w:r>
      <w:r w:rsidR="007D7FAD" w:rsidRPr="00500A19">
        <w:rPr>
          <w:rFonts w:cstheme="minorHAnsi"/>
          <w:szCs w:val="22"/>
        </w:rPr>
        <w:t xml:space="preserve">В Документе </w:t>
      </w:r>
      <w:hyperlink r:id="rId173" w:tgtFrame="_blank" w:history="1">
        <w:r w:rsidR="007D7FAD" w:rsidRPr="00500A19">
          <w:rPr>
            <w:rFonts w:cstheme="minorHAnsi"/>
            <w:color w:val="0000FF"/>
            <w:szCs w:val="22"/>
            <w:u w:val="single"/>
          </w:rPr>
          <w:t>TDAG-WG-futureSGQ/19</w:t>
        </w:r>
      </w:hyperlink>
      <w:r w:rsidR="007D7FAD" w:rsidRPr="00500A19">
        <w:rPr>
          <w:rFonts w:cstheme="minorHAnsi"/>
          <w:szCs w:val="22"/>
        </w:rPr>
        <w:t xml:space="preserve"> от Кении, Соединенного Королевства, GDPI, Ассоциации GSM и Испании предлагаются новый исследуемый Вопрос о приемлемости устройств в ценовом отношении, а также проект круга ведения по нему.</w:t>
      </w:r>
    </w:p>
    <w:p w14:paraId="0D77B1ED" w14:textId="6D35E715" w:rsidR="007D7FAD" w:rsidRPr="00500A19" w:rsidRDefault="00C9752A" w:rsidP="00C9752A">
      <w:pPr>
        <w:pStyle w:val="enumlev1"/>
        <w:rPr>
          <w:rFonts w:cstheme="minorHAnsi"/>
          <w:szCs w:val="22"/>
        </w:rPr>
      </w:pPr>
      <w:r w:rsidRPr="00500A19">
        <w:rPr>
          <w:rFonts w:cstheme="minorHAnsi"/>
          <w:szCs w:val="22"/>
        </w:rPr>
        <w:t>d</w:t>
      </w:r>
      <w:r w:rsidRPr="00500A19">
        <w:rPr>
          <w:rFonts w:cstheme="minorHAnsi"/>
          <w:szCs w:val="22"/>
        </w:rPr>
        <w:tab/>
      </w:r>
      <w:r w:rsidR="007D7FAD" w:rsidRPr="00500A19">
        <w:rPr>
          <w:rFonts w:cstheme="minorHAnsi"/>
          <w:szCs w:val="22"/>
        </w:rPr>
        <w:t xml:space="preserve">В Документах </w:t>
      </w:r>
      <w:hyperlink r:id="rId174" w:tgtFrame="_blank" w:history="1">
        <w:r w:rsidR="007D7FAD" w:rsidRPr="00500A19">
          <w:rPr>
            <w:rFonts w:cstheme="minorHAnsi"/>
            <w:color w:val="0000FF"/>
            <w:szCs w:val="22"/>
            <w:u w:val="single"/>
          </w:rPr>
          <w:t>TDAG-WG-futureSGQ/20</w:t>
        </w:r>
      </w:hyperlink>
      <w:r w:rsidR="007D7FAD" w:rsidRPr="00500A19">
        <w:rPr>
          <w:rFonts w:cstheme="minorHAnsi"/>
          <w:szCs w:val="22"/>
        </w:rPr>
        <w:t xml:space="preserve"> и </w:t>
      </w:r>
      <w:hyperlink r:id="rId175" w:tgtFrame="_blank" w:history="1">
        <w:r w:rsidR="007D7FAD" w:rsidRPr="00500A19">
          <w:rPr>
            <w:rFonts w:cstheme="minorHAnsi"/>
            <w:color w:val="0000FF"/>
            <w:szCs w:val="22"/>
            <w:u w:val="single"/>
          </w:rPr>
          <w:t>TDAG-WG-futureSGQ/30</w:t>
        </w:r>
      </w:hyperlink>
      <w:r w:rsidR="007D7FAD" w:rsidRPr="00500A19">
        <w:rPr>
          <w:rFonts w:cstheme="minorHAnsi"/>
          <w:szCs w:val="22"/>
        </w:rPr>
        <w:t xml:space="preserve"> от Китая предлагаются новый исследуемый Вопрос о применении искусственного интеллекта в ходе цифровой трансформации, а также проект круга ведения по нему.</w:t>
      </w:r>
    </w:p>
    <w:p w14:paraId="43F18F5D" w14:textId="085531A3" w:rsidR="007D7FAD" w:rsidRPr="00500A19" w:rsidRDefault="00C9752A" w:rsidP="00C9752A">
      <w:pPr>
        <w:pStyle w:val="enumlev1"/>
        <w:rPr>
          <w:rFonts w:cstheme="minorHAnsi"/>
          <w:szCs w:val="22"/>
        </w:rPr>
      </w:pPr>
      <w:r w:rsidRPr="00500A19">
        <w:rPr>
          <w:rFonts w:cstheme="minorHAnsi"/>
          <w:szCs w:val="22"/>
        </w:rPr>
        <w:t>e</w:t>
      </w:r>
      <w:r w:rsidRPr="00500A19">
        <w:rPr>
          <w:rFonts w:cstheme="minorHAnsi"/>
          <w:szCs w:val="22"/>
        </w:rPr>
        <w:tab/>
      </w:r>
      <w:r w:rsidR="007D7FAD" w:rsidRPr="00500A19">
        <w:rPr>
          <w:rFonts w:cstheme="minorHAnsi"/>
          <w:szCs w:val="22"/>
        </w:rPr>
        <w:t xml:space="preserve">В Документах </w:t>
      </w:r>
      <w:hyperlink r:id="rId176" w:tgtFrame="_blank" w:history="1">
        <w:r w:rsidR="007D7FAD" w:rsidRPr="00500A19">
          <w:rPr>
            <w:rFonts w:cstheme="minorHAnsi"/>
            <w:color w:val="0000FF"/>
            <w:szCs w:val="22"/>
            <w:u w:val="single"/>
          </w:rPr>
          <w:t>TDAG-WG-futureSGQ/12</w:t>
        </w:r>
      </w:hyperlink>
      <w:r w:rsidR="007D7FAD" w:rsidRPr="00500A19">
        <w:rPr>
          <w:rFonts w:cstheme="minorHAnsi"/>
          <w:szCs w:val="22"/>
        </w:rPr>
        <w:t xml:space="preserve">, </w:t>
      </w:r>
      <w:hyperlink r:id="rId177" w:tgtFrame="_blank" w:history="1">
        <w:r w:rsidR="007D7FAD" w:rsidRPr="00500A19">
          <w:rPr>
            <w:rFonts w:cstheme="minorHAnsi"/>
            <w:color w:val="0000FF"/>
            <w:szCs w:val="22"/>
            <w:u w:val="single"/>
          </w:rPr>
          <w:t>TDAG-WG-futureSGQ/21</w:t>
        </w:r>
      </w:hyperlink>
      <w:r w:rsidR="007D7FAD" w:rsidRPr="00500A19">
        <w:rPr>
          <w:rFonts w:cstheme="minorHAnsi"/>
          <w:szCs w:val="22"/>
        </w:rPr>
        <w:t xml:space="preserve">, </w:t>
      </w:r>
      <w:hyperlink r:id="rId178" w:tgtFrame="_blank" w:history="1">
        <w:r w:rsidR="007D7FAD" w:rsidRPr="00500A19">
          <w:rPr>
            <w:rFonts w:cstheme="minorHAnsi"/>
            <w:color w:val="0000FF"/>
            <w:szCs w:val="22"/>
            <w:u w:val="single"/>
          </w:rPr>
          <w:t>TDAG</w:t>
        </w:r>
        <w:r w:rsidRPr="00500A19">
          <w:rPr>
            <w:rFonts w:cstheme="minorHAnsi"/>
            <w:color w:val="0000FF"/>
            <w:szCs w:val="22"/>
            <w:u w:val="single"/>
          </w:rPr>
          <w:t>­</w:t>
        </w:r>
        <w:r w:rsidR="007D7FAD" w:rsidRPr="00500A19">
          <w:rPr>
            <w:rFonts w:cstheme="minorHAnsi"/>
            <w:color w:val="0000FF"/>
            <w:szCs w:val="22"/>
            <w:u w:val="single"/>
          </w:rPr>
          <w:t>WG</w:t>
        </w:r>
        <w:r w:rsidRPr="00500A19">
          <w:rPr>
            <w:rFonts w:cstheme="minorHAnsi"/>
            <w:color w:val="0000FF"/>
            <w:szCs w:val="22"/>
            <w:u w:val="single"/>
          </w:rPr>
          <w:t>­</w:t>
        </w:r>
        <w:r w:rsidR="007D7FAD" w:rsidRPr="00500A19">
          <w:rPr>
            <w:rFonts w:cstheme="minorHAnsi"/>
            <w:color w:val="0000FF"/>
            <w:szCs w:val="22"/>
            <w:u w:val="single"/>
          </w:rPr>
          <w:t>TDAG</w:t>
        </w:r>
        <w:r w:rsidRPr="00500A19">
          <w:rPr>
            <w:rFonts w:cstheme="minorHAnsi"/>
            <w:color w:val="0000FF"/>
            <w:szCs w:val="22"/>
            <w:u w:val="single"/>
          </w:rPr>
          <w:t>­</w:t>
        </w:r>
        <w:r w:rsidR="007D7FAD" w:rsidRPr="00500A19">
          <w:rPr>
            <w:rFonts w:cstheme="minorHAnsi"/>
            <w:color w:val="0000FF"/>
            <w:szCs w:val="22"/>
            <w:u w:val="single"/>
          </w:rPr>
          <w:t>WG</w:t>
        </w:r>
        <w:r w:rsidRPr="00500A19">
          <w:rPr>
            <w:rFonts w:cstheme="minorHAnsi"/>
            <w:color w:val="0000FF"/>
            <w:szCs w:val="22"/>
            <w:u w:val="single"/>
          </w:rPr>
          <w:t>­</w:t>
        </w:r>
        <w:r w:rsidR="007D7FAD" w:rsidRPr="00500A19">
          <w:rPr>
            <w:rFonts w:cstheme="minorHAnsi"/>
            <w:color w:val="0000FF"/>
            <w:szCs w:val="22"/>
            <w:u w:val="single"/>
          </w:rPr>
          <w:t>futureSGQ/28</w:t>
        </w:r>
      </w:hyperlink>
      <w:r w:rsidR="007D7FAD" w:rsidRPr="00500A19">
        <w:rPr>
          <w:rFonts w:cstheme="minorHAnsi"/>
          <w:szCs w:val="22"/>
        </w:rPr>
        <w:t xml:space="preserve"> и </w:t>
      </w:r>
      <w:hyperlink r:id="rId179" w:tgtFrame="_blank" w:history="1">
        <w:r w:rsidR="007D7FAD" w:rsidRPr="00500A19">
          <w:rPr>
            <w:rFonts w:cstheme="minorHAnsi"/>
            <w:color w:val="0000FF"/>
            <w:szCs w:val="22"/>
            <w:u w:val="single"/>
          </w:rPr>
          <w:t>TDAG-WG-futureSGQfutureSGQ/47</w:t>
        </w:r>
      </w:hyperlink>
      <w:r w:rsidR="007D7FAD" w:rsidRPr="00500A19">
        <w:rPr>
          <w:rFonts w:cstheme="minorHAnsi"/>
          <w:szCs w:val="22"/>
        </w:rPr>
        <w:t xml:space="preserve"> от координатора 1</w:t>
      </w:r>
      <w:r w:rsidRPr="00500A19">
        <w:rPr>
          <w:rFonts w:cstheme="minorHAnsi"/>
          <w:szCs w:val="22"/>
        </w:rPr>
        <w:t>­</w:t>
      </w:r>
      <w:r w:rsidR="007D7FAD" w:rsidRPr="00500A19">
        <w:rPr>
          <w:rFonts w:cstheme="minorHAnsi"/>
          <w:szCs w:val="22"/>
        </w:rPr>
        <w:t>й</w:t>
      </w:r>
      <w:r w:rsidRPr="00500A19">
        <w:rPr>
          <w:rFonts w:cstheme="minorHAnsi"/>
          <w:szCs w:val="22"/>
        </w:rPr>
        <w:t> </w:t>
      </w:r>
      <w:r w:rsidR="007D7FAD" w:rsidRPr="00500A19">
        <w:rPr>
          <w:rFonts w:cstheme="minorHAnsi"/>
          <w:szCs w:val="22"/>
        </w:rPr>
        <w:t>Исследовательской комиссии (ИК1) содержатся пересмотренные круги ведения Вопросов ИК1 МСЭ-D, вошедшие в сводное предложение КГРЭ-РГ-futureSGQ.</w:t>
      </w:r>
    </w:p>
    <w:p w14:paraId="2515BA74" w14:textId="367FE286" w:rsidR="007D7FAD" w:rsidRPr="00500A19" w:rsidRDefault="00C9752A" w:rsidP="00C9752A">
      <w:pPr>
        <w:pStyle w:val="enumlev1"/>
        <w:rPr>
          <w:rFonts w:cstheme="minorHAnsi"/>
          <w:szCs w:val="22"/>
        </w:rPr>
      </w:pPr>
      <w:r w:rsidRPr="00500A19">
        <w:rPr>
          <w:rFonts w:cstheme="minorHAnsi"/>
          <w:szCs w:val="22"/>
        </w:rPr>
        <w:t>f</w:t>
      </w:r>
      <w:r w:rsidRPr="00500A19">
        <w:rPr>
          <w:rFonts w:cstheme="minorHAnsi"/>
          <w:szCs w:val="22"/>
        </w:rPr>
        <w:tab/>
      </w:r>
      <w:r w:rsidR="007D7FAD" w:rsidRPr="00500A19">
        <w:rPr>
          <w:rFonts w:cstheme="minorHAnsi"/>
          <w:szCs w:val="22"/>
        </w:rPr>
        <w:t xml:space="preserve">В Документах </w:t>
      </w:r>
      <w:hyperlink r:id="rId180" w:tgtFrame="_blank" w:history="1">
        <w:r w:rsidR="007D7FAD" w:rsidRPr="00500A19">
          <w:rPr>
            <w:rFonts w:cstheme="minorHAnsi"/>
            <w:color w:val="0000FF"/>
            <w:szCs w:val="22"/>
            <w:u w:val="single"/>
          </w:rPr>
          <w:t>TDAG-WG-futureSGQ/22</w:t>
        </w:r>
      </w:hyperlink>
      <w:r w:rsidR="007D7FAD" w:rsidRPr="00500A19">
        <w:rPr>
          <w:rFonts w:cstheme="minorHAnsi"/>
          <w:szCs w:val="22"/>
        </w:rPr>
        <w:t xml:space="preserve"> и </w:t>
      </w:r>
      <w:hyperlink r:id="rId181" w:tgtFrame="_blank" w:history="1">
        <w:r w:rsidR="007D7FAD" w:rsidRPr="00500A19">
          <w:rPr>
            <w:rFonts w:cstheme="minorHAnsi"/>
            <w:color w:val="0000FF"/>
            <w:szCs w:val="22"/>
            <w:u w:val="single"/>
          </w:rPr>
          <w:t>TDAG-WG-futureSGQ/48</w:t>
        </w:r>
      </w:hyperlink>
      <w:r w:rsidR="007D7FAD" w:rsidRPr="00500A19">
        <w:rPr>
          <w:rFonts w:cstheme="minorHAnsi"/>
          <w:szCs w:val="22"/>
        </w:rPr>
        <w:t xml:space="preserve"> от координатора 2</w:t>
      </w:r>
      <w:r w:rsidRPr="00500A19">
        <w:rPr>
          <w:rFonts w:cstheme="minorHAnsi"/>
          <w:szCs w:val="22"/>
        </w:rPr>
        <w:t>­</w:t>
      </w:r>
      <w:r w:rsidR="007D7FAD" w:rsidRPr="00500A19">
        <w:rPr>
          <w:rFonts w:cstheme="minorHAnsi"/>
          <w:szCs w:val="22"/>
        </w:rPr>
        <w:t>й</w:t>
      </w:r>
      <w:r w:rsidRPr="00500A19">
        <w:rPr>
          <w:rFonts w:cstheme="minorHAnsi"/>
          <w:szCs w:val="22"/>
        </w:rPr>
        <w:t> </w:t>
      </w:r>
      <w:r w:rsidR="007D7FAD" w:rsidRPr="00500A19">
        <w:rPr>
          <w:rFonts w:cstheme="minorHAnsi"/>
          <w:szCs w:val="22"/>
        </w:rPr>
        <w:t>Исследовательской комиссии (ИК2) содержатся исходные соображения по новым и пересмотренным темам исследования в рамках Вопросов 2-й Исследовательской комиссии, вошедшие в сводное предложение КГРЭ-РГ-futureSGQ.</w:t>
      </w:r>
    </w:p>
    <w:p w14:paraId="4D9EBB8C" w14:textId="09F52295" w:rsidR="007D7FAD" w:rsidRPr="00500A19" w:rsidRDefault="00C9752A" w:rsidP="00C9752A">
      <w:pPr>
        <w:pStyle w:val="enumlev1"/>
        <w:rPr>
          <w:rFonts w:cstheme="minorHAnsi"/>
          <w:szCs w:val="22"/>
        </w:rPr>
      </w:pPr>
      <w:r w:rsidRPr="00500A19">
        <w:rPr>
          <w:rFonts w:cstheme="minorHAnsi"/>
          <w:szCs w:val="22"/>
        </w:rPr>
        <w:t>g</w:t>
      </w:r>
      <w:r w:rsidRPr="00500A19">
        <w:rPr>
          <w:rFonts w:cstheme="minorHAnsi"/>
          <w:szCs w:val="22"/>
        </w:rPr>
        <w:tab/>
      </w:r>
      <w:r w:rsidR="007D7FAD" w:rsidRPr="00500A19">
        <w:rPr>
          <w:rFonts w:cstheme="minorHAnsi"/>
          <w:szCs w:val="22"/>
        </w:rPr>
        <w:t xml:space="preserve">В Документе </w:t>
      </w:r>
      <w:hyperlink r:id="rId182" w:tgtFrame="_blank" w:history="1">
        <w:r w:rsidR="007D7FAD" w:rsidRPr="00500A19">
          <w:rPr>
            <w:rFonts w:cstheme="minorHAnsi"/>
            <w:color w:val="0000FF"/>
            <w:szCs w:val="22"/>
            <w:u w:val="single"/>
          </w:rPr>
          <w:t>TDAG-WG-futureSGQ/31</w:t>
        </w:r>
      </w:hyperlink>
      <w:r w:rsidR="007D7FAD" w:rsidRPr="00500A19">
        <w:rPr>
          <w:rFonts w:cstheme="minorHAnsi"/>
          <w:szCs w:val="22"/>
        </w:rPr>
        <w:t xml:space="preserve"> от Отраслевой консультативной группы по вопросам развития и старших сотрудников по регуляторным вопросам из частного сектора (IAGDI</w:t>
      </w:r>
      <w:r w:rsidRPr="00500A19">
        <w:rPr>
          <w:rFonts w:cstheme="minorHAnsi"/>
          <w:szCs w:val="22"/>
        </w:rPr>
        <w:t>­</w:t>
      </w:r>
      <w:r w:rsidR="007D7FAD" w:rsidRPr="00500A19">
        <w:rPr>
          <w:rFonts w:cstheme="minorHAnsi"/>
          <w:szCs w:val="22"/>
        </w:rPr>
        <w:t>CRO) содержится информация о темах исследования, которые могут быть актуальны в будущем и которые были определены по итогам двух мероприятий Tech Talk, посвященных тематике, соответствующей названиям ИК1 и ИК2.</w:t>
      </w:r>
    </w:p>
    <w:p w14:paraId="5D8DC7AB" w14:textId="031E5407" w:rsidR="007D7FAD" w:rsidRPr="00500A19" w:rsidRDefault="00C9752A" w:rsidP="00C9752A">
      <w:pPr>
        <w:pStyle w:val="enumlev1"/>
        <w:rPr>
          <w:rFonts w:cstheme="minorHAnsi"/>
          <w:szCs w:val="22"/>
        </w:rPr>
      </w:pPr>
      <w:r w:rsidRPr="00500A19">
        <w:rPr>
          <w:rFonts w:cstheme="minorHAnsi"/>
          <w:szCs w:val="22"/>
        </w:rPr>
        <w:t>h</w:t>
      </w:r>
      <w:r w:rsidRPr="00500A19">
        <w:rPr>
          <w:rFonts w:cstheme="minorHAnsi"/>
          <w:szCs w:val="22"/>
        </w:rPr>
        <w:tab/>
      </w:r>
      <w:r w:rsidR="007D7FAD" w:rsidRPr="00500A19">
        <w:rPr>
          <w:rFonts w:cstheme="minorHAnsi"/>
          <w:szCs w:val="22"/>
        </w:rPr>
        <w:t xml:space="preserve">В Документе </w:t>
      </w:r>
      <w:hyperlink r:id="rId183" w:tgtFrame="_blank" w:history="1">
        <w:r w:rsidR="007D7FAD" w:rsidRPr="00500A19">
          <w:rPr>
            <w:rFonts w:cstheme="minorHAnsi"/>
            <w:color w:val="0000FF"/>
            <w:szCs w:val="22"/>
            <w:u w:val="single"/>
          </w:rPr>
          <w:t>TDAG-WG-futureSGQ/32</w:t>
        </w:r>
      </w:hyperlink>
      <w:r w:rsidR="007D7FAD" w:rsidRPr="00500A19">
        <w:rPr>
          <w:rFonts w:cstheme="minorHAnsi"/>
          <w:szCs w:val="22"/>
        </w:rPr>
        <w:t xml:space="preserve"> от Египта предлагаются основы и руководящие принципы для предложения будущих Вопросов, а также содержатся замечания по сводному предложению КГРЭ-РГ-futureSGQ.</w:t>
      </w:r>
    </w:p>
    <w:p w14:paraId="2331D4D9" w14:textId="4F30225E" w:rsidR="007D7FAD" w:rsidRPr="00500A19" w:rsidRDefault="00C9752A" w:rsidP="00C9752A">
      <w:pPr>
        <w:pStyle w:val="enumlev1"/>
        <w:rPr>
          <w:rFonts w:cstheme="minorHAnsi"/>
          <w:szCs w:val="22"/>
        </w:rPr>
      </w:pPr>
      <w:r w:rsidRPr="00500A19">
        <w:rPr>
          <w:rFonts w:cstheme="minorHAnsi"/>
          <w:szCs w:val="22"/>
        </w:rPr>
        <w:t>i</w:t>
      </w:r>
      <w:r w:rsidRPr="00500A19">
        <w:rPr>
          <w:rFonts w:cstheme="minorHAnsi"/>
          <w:szCs w:val="22"/>
        </w:rPr>
        <w:tab/>
      </w:r>
      <w:r w:rsidR="007D7FAD" w:rsidRPr="00500A19">
        <w:rPr>
          <w:rFonts w:cstheme="minorHAnsi"/>
          <w:szCs w:val="22"/>
        </w:rPr>
        <w:t xml:space="preserve">В Документе </w:t>
      </w:r>
      <w:hyperlink r:id="rId184" w:tgtFrame="_blank" w:history="1">
        <w:r w:rsidR="007D7FAD" w:rsidRPr="00500A19">
          <w:rPr>
            <w:rFonts w:cstheme="minorHAnsi"/>
            <w:color w:val="0000FF"/>
            <w:szCs w:val="22"/>
            <w:u w:val="single"/>
          </w:rPr>
          <w:t>TDAG-WG-futureSGQ/37</w:t>
        </w:r>
      </w:hyperlink>
      <w:r w:rsidR="007D7FAD" w:rsidRPr="00500A19">
        <w:rPr>
          <w:rFonts w:cstheme="minorHAnsi"/>
          <w:szCs w:val="22"/>
        </w:rPr>
        <w:t xml:space="preserve"> от Регионального содружества в области связи (РСС) представлено мнение о количестве исследовательских комиссий и Вопросов исследовательских комиссий на 2026−2029 годы. Это мнение подкрепляется анализом </w:t>
      </w:r>
      <w:r w:rsidR="007D7FAD" w:rsidRPr="00500A19">
        <w:rPr>
          <w:rFonts w:cstheme="minorHAnsi"/>
          <w:szCs w:val="22"/>
        </w:rPr>
        <w:lastRenderedPageBreak/>
        <w:t>существующей структуры, в том числе сопоставлением тематик Вопросов и полученных</w:t>
      </w:r>
      <w:r w:rsidRPr="00500A19">
        <w:rPr>
          <w:rFonts w:cstheme="minorHAnsi"/>
          <w:szCs w:val="22"/>
        </w:rPr>
        <w:t> </w:t>
      </w:r>
      <w:r w:rsidR="007D7FAD" w:rsidRPr="00500A19">
        <w:rPr>
          <w:rFonts w:cstheme="minorHAnsi"/>
          <w:szCs w:val="22"/>
        </w:rPr>
        <w:t>вкладов.</w:t>
      </w:r>
    </w:p>
    <w:p w14:paraId="49BF479F" w14:textId="53708FA5" w:rsidR="007D7FAD" w:rsidRPr="00500A19" w:rsidRDefault="00C9752A" w:rsidP="00C9752A">
      <w:pPr>
        <w:pStyle w:val="enumlev1"/>
        <w:rPr>
          <w:rFonts w:cstheme="minorHAnsi"/>
          <w:szCs w:val="22"/>
        </w:rPr>
      </w:pPr>
      <w:r w:rsidRPr="00500A19">
        <w:rPr>
          <w:rFonts w:cstheme="minorHAnsi"/>
          <w:szCs w:val="22"/>
        </w:rPr>
        <w:t>j</w:t>
      </w:r>
      <w:r w:rsidRPr="00500A19">
        <w:rPr>
          <w:rFonts w:cstheme="minorHAnsi"/>
          <w:szCs w:val="22"/>
        </w:rPr>
        <w:tab/>
      </w:r>
      <w:r w:rsidR="007D7FAD" w:rsidRPr="00500A19">
        <w:rPr>
          <w:rFonts w:cstheme="minorHAnsi"/>
          <w:szCs w:val="22"/>
        </w:rPr>
        <w:t xml:space="preserve">В Документе </w:t>
      </w:r>
      <w:hyperlink r:id="rId185" w:tgtFrame="_blank" w:history="1">
        <w:r w:rsidR="007D7FAD" w:rsidRPr="00500A19">
          <w:rPr>
            <w:rFonts w:cstheme="minorHAnsi"/>
            <w:color w:val="0000FF"/>
            <w:szCs w:val="22"/>
            <w:u w:val="single"/>
          </w:rPr>
          <w:t>TDAG-WG-futureSGQ/39</w:t>
        </w:r>
      </w:hyperlink>
      <w:r w:rsidR="007D7FAD" w:rsidRPr="00500A19">
        <w:rPr>
          <w:rFonts w:cstheme="minorHAnsi"/>
          <w:szCs w:val="22"/>
        </w:rPr>
        <w:t xml:space="preserve"> от Российской Федерации представлены обновления пересмотренного круга ведения Вопроса 7/1.</w:t>
      </w:r>
    </w:p>
    <w:p w14:paraId="4A2B80D8" w14:textId="5B26065A" w:rsidR="007D7FAD" w:rsidRPr="00500A19" w:rsidRDefault="00C9752A" w:rsidP="00C9752A">
      <w:pPr>
        <w:pStyle w:val="enumlev1"/>
        <w:rPr>
          <w:rFonts w:cstheme="minorHAnsi"/>
          <w:szCs w:val="22"/>
        </w:rPr>
      </w:pPr>
      <w:r w:rsidRPr="00500A19">
        <w:rPr>
          <w:rFonts w:cstheme="minorHAnsi"/>
          <w:szCs w:val="22"/>
        </w:rPr>
        <w:t>k</w:t>
      </w:r>
      <w:r w:rsidRPr="00500A19">
        <w:rPr>
          <w:rFonts w:cstheme="minorHAnsi"/>
          <w:szCs w:val="22"/>
        </w:rPr>
        <w:tab/>
      </w:r>
      <w:r w:rsidR="007D7FAD" w:rsidRPr="00500A19">
        <w:rPr>
          <w:rFonts w:cstheme="minorHAnsi"/>
          <w:szCs w:val="22"/>
        </w:rPr>
        <w:t xml:space="preserve">В Документе </w:t>
      </w:r>
      <w:hyperlink r:id="rId186" w:tgtFrame="_blank" w:history="1">
        <w:r w:rsidR="007D7FAD" w:rsidRPr="00500A19">
          <w:rPr>
            <w:rFonts w:cstheme="minorHAnsi"/>
            <w:color w:val="0000FF"/>
            <w:szCs w:val="22"/>
            <w:u w:val="single"/>
          </w:rPr>
          <w:t>TDAG-WG-futureSGQ/44</w:t>
        </w:r>
      </w:hyperlink>
      <w:r w:rsidR="007D7FAD" w:rsidRPr="00500A19">
        <w:rPr>
          <w:rFonts w:cstheme="minorHAnsi"/>
          <w:szCs w:val="22"/>
        </w:rPr>
        <w:t xml:space="preserve"> от Португалии представлены предложения по обновлению круга ведения Вопроса 6/1.</w:t>
      </w:r>
    </w:p>
    <w:p w14:paraId="01FAAF65" w14:textId="7A12A9B0" w:rsidR="007D7FAD" w:rsidRPr="00500A19" w:rsidRDefault="00C9752A" w:rsidP="00C9752A">
      <w:pPr>
        <w:pStyle w:val="enumlev1"/>
        <w:rPr>
          <w:rFonts w:cstheme="minorHAnsi"/>
          <w:szCs w:val="22"/>
        </w:rPr>
      </w:pPr>
      <w:r w:rsidRPr="00500A19">
        <w:rPr>
          <w:rFonts w:cstheme="minorHAnsi"/>
          <w:szCs w:val="22"/>
        </w:rPr>
        <w:t>l</w:t>
      </w:r>
      <w:r w:rsidRPr="00500A19">
        <w:rPr>
          <w:rFonts w:cstheme="minorHAnsi"/>
          <w:szCs w:val="22"/>
        </w:rPr>
        <w:tab/>
      </w:r>
      <w:r w:rsidR="007D7FAD" w:rsidRPr="00500A19">
        <w:rPr>
          <w:rFonts w:cstheme="minorHAnsi"/>
          <w:szCs w:val="22"/>
        </w:rPr>
        <w:t xml:space="preserve">В Документе </w:t>
      </w:r>
      <w:hyperlink r:id="rId187" w:tgtFrame="_blank" w:history="1">
        <w:r w:rsidR="007D7FAD" w:rsidRPr="00500A19">
          <w:rPr>
            <w:rFonts w:cstheme="minorHAnsi"/>
            <w:color w:val="0000FF"/>
            <w:szCs w:val="22"/>
            <w:u w:val="single"/>
          </w:rPr>
          <w:t>TDAG-WG-futureSGQ/46</w:t>
        </w:r>
      </w:hyperlink>
      <w:r w:rsidR="007D7FAD" w:rsidRPr="00500A19">
        <w:rPr>
          <w:rFonts w:cstheme="minorHAnsi"/>
          <w:szCs w:val="22"/>
        </w:rPr>
        <w:t xml:space="preserve"> от Лиги Арабских государств (ЛАГ) содержатся замечания по сводному предложению КГРЭ-РГ-futureSGQ.</w:t>
      </w:r>
    </w:p>
    <w:p w14:paraId="09276FC4" w14:textId="570BE797" w:rsidR="007D7FAD" w:rsidRPr="00500A19" w:rsidRDefault="00C9752A" w:rsidP="00C9752A">
      <w:pPr>
        <w:pStyle w:val="Heading1"/>
      </w:pPr>
      <w:r w:rsidRPr="00500A19">
        <w:t>6</w:t>
      </w:r>
      <w:r w:rsidRPr="00500A19">
        <w:tab/>
      </w:r>
      <w:r w:rsidR="007D7FAD" w:rsidRPr="00500A19">
        <w:t>Заключение</w:t>
      </w:r>
    </w:p>
    <w:p w14:paraId="48F75CEA" w14:textId="77777777" w:rsidR="007D7FAD" w:rsidRPr="00500A19" w:rsidRDefault="007D7FAD" w:rsidP="00C9752A">
      <w:r w:rsidRPr="00500A19">
        <w:t xml:space="preserve">После проведенных широких консультаций был представлен заключительный сводный документ для использования в качестве базового документа (основы для работы) для Приложений 1 и 2 к Резолюции 2 ВКРЭ, приведенный в </w:t>
      </w:r>
      <w:r w:rsidRPr="00500A19">
        <w:rPr>
          <w:b/>
          <w:bCs/>
        </w:rPr>
        <w:t>Дополнении 4</w:t>
      </w:r>
      <w:r w:rsidRPr="00500A19">
        <w:t>. Основные предлагаемые элементы включают:</w:t>
      </w:r>
    </w:p>
    <w:p w14:paraId="54B45C02" w14:textId="1E18BBB5" w:rsidR="007D7FAD" w:rsidRPr="00500A19" w:rsidRDefault="00C9752A" w:rsidP="00C9752A">
      <w:pPr>
        <w:pStyle w:val="enumlev1"/>
      </w:pPr>
      <w:r w:rsidRPr="00500A19">
        <w:sym w:font="Symbol" w:char="F02D"/>
      </w:r>
      <w:r w:rsidRPr="00500A19">
        <w:tab/>
      </w:r>
      <w:r w:rsidR="007D7FAD" w:rsidRPr="00500A19">
        <w:t>Сохранение двух исследовательских комиссий с сокращенным пересмотренным названием</w:t>
      </w:r>
      <w:r w:rsidRPr="00500A19">
        <w:t> </w:t>
      </w:r>
      <w:r w:rsidR="007D7FAD" w:rsidRPr="00500A19">
        <w:t>ИК1;</w:t>
      </w:r>
    </w:p>
    <w:p w14:paraId="263A8F92" w14:textId="6E1CA3F0" w:rsidR="007D7FAD" w:rsidRPr="00500A19" w:rsidRDefault="00C9752A" w:rsidP="00C9752A">
      <w:pPr>
        <w:pStyle w:val="enumlev1"/>
      </w:pPr>
      <w:r w:rsidRPr="00500A19">
        <w:sym w:font="Symbol" w:char="F02D"/>
      </w:r>
      <w:r w:rsidRPr="00500A19">
        <w:tab/>
      </w:r>
      <w:r w:rsidR="007D7FAD" w:rsidRPr="00500A19">
        <w:t>Пять исследуемых Вопросов для каждой исследовательской комиссии для сокращения дублирования тем/вкладов и повышения эффективности использования ресурсов. Благодаря этому предложению серия собраний групп Докладчиков может занять всего одну неделю, а затем можно было бы сократить продолжительность следующих одно за другим собраний групп Докладчиков ИК1 и ИК2 до двух недель вместо четырех недель.</w:t>
      </w:r>
    </w:p>
    <w:p w14:paraId="2FA29B86" w14:textId="77777777" w:rsidR="007D7FAD" w:rsidRPr="00500A19" w:rsidRDefault="007D7FAD" w:rsidP="00C9752A">
      <w:r w:rsidRPr="00500A19">
        <w:t xml:space="preserve">На основе полученных вкладов в </w:t>
      </w:r>
      <w:r w:rsidRPr="00500A19">
        <w:rPr>
          <w:b/>
          <w:bCs/>
        </w:rPr>
        <w:t xml:space="preserve">Дополнении 5 </w:t>
      </w:r>
      <w:r w:rsidRPr="00500A19">
        <w:t>приведена подборка предложенных изменений к кругу ведения Вопросов исследовательских комиссий, которые не обсуждались в Рабочей группе. Региональные организации электросвязи и администрации могут рассмотреть возможность использования этого дополнения в ходе подготовки к ВКРЭ-25.</w:t>
      </w:r>
    </w:p>
    <w:p w14:paraId="0C352219" w14:textId="77777777" w:rsidR="007D7FAD" w:rsidRPr="00500A19" w:rsidRDefault="007D7FAD" w:rsidP="0086588E">
      <w:pPr>
        <w:overflowPunct/>
        <w:autoSpaceDE/>
        <w:autoSpaceDN/>
        <w:adjustRightInd/>
        <w:spacing w:after="120"/>
        <w:rPr>
          <w:rFonts w:cstheme="minorHAnsi"/>
          <w:b/>
          <w:bCs/>
          <w:szCs w:val="22"/>
        </w:rPr>
      </w:pPr>
    </w:p>
    <w:p w14:paraId="6D69D852" w14:textId="77777777" w:rsidR="007D7FAD" w:rsidRPr="00500A19" w:rsidRDefault="007D7FAD">
      <w:pPr>
        <w:overflowPunct/>
        <w:autoSpaceDE/>
        <w:autoSpaceDN/>
        <w:adjustRightInd/>
        <w:spacing w:before="0"/>
        <w:textAlignment w:val="auto"/>
        <w:rPr>
          <w:rFonts w:cstheme="minorHAnsi"/>
          <w:b/>
          <w:bCs/>
          <w:szCs w:val="22"/>
        </w:rPr>
      </w:pPr>
      <w:r w:rsidRPr="00500A19">
        <w:rPr>
          <w:rFonts w:cstheme="minorHAnsi"/>
          <w:b/>
          <w:bCs/>
          <w:szCs w:val="22"/>
        </w:rPr>
        <w:br w:type="page"/>
      </w:r>
    </w:p>
    <w:p w14:paraId="109CA752" w14:textId="77777777" w:rsidR="007D7FAD" w:rsidRPr="00500A19" w:rsidRDefault="007D7FAD" w:rsidP="00C9752A">
      <w:pPr>
        <w:pStyle w:val="AppendixNo"/>
      </w:pPr>
      <w:r w:rsidRPr="00500A19">
        <w:lastRenderedPageBreak/>
        <w:t>Дополнение 1</w:t>
      </w:r>
    </w:p>
    <w:p w14:paraId="64CBAD0F" w14:textId="77777777" w:rsidR="007D7FAD" w:rsidRPr="00500A19" w:rsidRDefault="007D7FAD" w:rsidP="00C9752A">
      <w:pPr>
        <w:pStyle w:val="Appendixtitle"/>
      </w:pPr>
      <w:r w:rsidRPr="00500A19">
        <w:t>Региональные координаторы</w:t>
      </w:r>
    </w:p>
    <w:p w14:paraId="74BB0218" w14:textId="77777777" w:rsidR="007D7FAD" w:rsidRPr="00500A19" w:rsidRDefault="007D7FAD" w:rsidP="00C9752A">
      <w:r w:rsidRPr="00500A19">
        <w:t>Г-н Мохаммад Халил-Ур-Рахман (Бангладеш), АТСЭ (Азиатско-Тихоокеанский регион)</w:t>
      </w:r>
    </w:p>
    <w:p w14:paraId="454C5744" w14:textId="77777777" w:rsidR="007D7FAD" w:rsidRPr="00500A19" w:rsidRDefault="007D7FAD" w:rsidP="00C9752A">
      <w:r w:rsidRPr="00500A19">
        <w:t>Г-жа Сесилия Ньямутсва (Зимбабве), АСЭ (Африка)</w:t>
      </w:r>
    </w:p>
    <w:p w14:paraId="1CBCB1FC" w14:textId="77777777" w:rsidR="007D7FAD" w:rsidRPr="00500A19" w:rsidRDefault="007D7FAD" w:rsidP="00C9752A">
      <w:r w:rsidRPr="00500A19">
        <w:t>Г-жа Мадалина Клапон (Румыния) и г-н Тедди Вудхаус (Соединенное Королевство), СЕПТ (Европа)</w:t>
      </w:r>
    </w:p>
    <w:p w14:paraId="0E04C1B4" w14:textId="77777777" w:rsidR="007D7FAD" w:rsidRPr="00500A19" w:rsidRDefault="007D7FAD" w:rsidP="00C9752A">
      <w:r w:rsidRPr="00500A19">
        <w:t>Г-н Роберту Хираяма (Бразилия), СИТЕЛ (Северная и Южная Америка)</w:t>
      </w:r>
    </w:p>
    <w:p w14:paraId="6787CFDC" w14:textId="77777777" w:rsidR="007D7FAD" w:rsidRPr="00500A19" w:rsidRDefault="007D7FAD" w:rsidP="00C9752A">
      <w:r w:rsidRPr="00500A19">
        <w:t>Г-н Белкассем Маклюф (ЛАГ), ЛАГ (Арабские государства)</w:t>
      </w:r>
    </w:p>
    <w:p w14:paraId="603E10F9" w14:textId="77777777" w:rsidR="007D7FAD" w:rsidRPr="00500A19" w:rsidRDefault="007D7FAD" w:rsidP="00C9752A">
      <w:r w:rsidRPr="00500A19">
        <w:t>Г-н Арсений Плосский (Российская Федерация), РСС (регионы СНГ)</w:t>
      </w:r>
    </w:p>
    <w:p w14:paraId="481E096E" w14:textId="77777777" w:rsidR="007D7FAD" w:rsidRPr="00500A19" w:rsidRDefault="007D7FAD" w:rsidP="0086588E">
      <w:pPr>
        <w:overflowPunct/>
        <w:autoSpaceDE/>
        <w:autoSpaceDN/>
        <w:adjustRightInd/>
        <w:spacing w:after="120"/>
        <w:rPr>
          <w:rFonts w:cstheme="minorHAnsi"/>
          <w:b/>
          <w:bCs/>
          <w:szCs w:val="22"/>
        </w:rPr>
      </w:pPr>
    </w:p>
    <w:p w14:paraId="435CAD28" w14:textId="77777777" w:rsidR="007D7FAD" w:rsidRPr="00500A19" w:rsidRDefault="007D7FAD">
      <w:pPr>
        <w:overflowPunct/>
        <w:autoSpaceDE/>
        <w:autoSpaceDN/>
        <w:adjustRightInd/>
        <w:spacing w:before="0"/>
        <w:textAlignment w:val="auto"/>
        <w:rPr>
          <w:rFonts w:cstheme="minorHAnsi"/>
          <w:b/>
          <w:bCs/>
          <w:szCs w:val="22"/>
        </w:rPr>
      </w:pPr>
      <w:r w:rsidRPr="00500A19">
        <w:rPr>
          <w:rFonts w:cstheme="minorHAnsi"/>
          <w:b/>
          <w:bCs/>
          <w:szCs w:val="22"/>
        </w:rPr>
        <w:br w:type="page"/>
      </w:r>
    </w:p>
    <w:p w14:paraId="556BBC75" w14:textId="77777777" w:rsidR="007D7FAD" w:rsidRPr="00500A19" w:rsidRDefault="007D7FAD" w:rsidP="00C9752A">
      <w:pPr>
        <w:pStyle w:val="AppendixNo"/>
      </w:pPr>
      <w:r w:rsidRPr="00500A19">
        <w:lastRenderedPageBreak/>
        <w:t>Дополнение 2</w:t>
      </w:r>
    </w:p>
    <w:p w14:paraId="2129C80C" w14:textId="77777777" w:rsidR="007D7FAD" w:rsidRPr="00500A19" w:rsidRDefault="007D7FAD" w:rsidP="00C9752A">
      <w:pPr>
        <w:pStyle w:val="Appendixtitle"/>
      </w:pPr>
      <w:r w:rsidRPr="00500A19">
        <w:t>Краткая информация о собраниях, состоявшихся после ВКРЭ-24</w:t>
      </w:r>
    </w:p>
    <w:p w14:paraId="5AEC2B48" w14:textId="6FCD5D60" w:rsidR="007D7FAD" w:rsidRPr="00500A19" w:rsidRDefault="00C9752A" w:rsidP="00C9752A">
      <w:pPr>
        <w:pStyle w:val="Heading1"/>
      </w:pPr>
      <w:r w:rsidRPr="00500A19">
        <w:t>1</w:t>
      </w:r>
      <w:r w:rsidRPr="00500A19">
        <w:tab/>
      </w:r>
      <w:r w:rsidR="007D7FAD" w:rsidRPr="00500A19">
        <w:t>Второе полностью онлайновое собрание КГРЭ-РГ-futureSGQ, состоявшееся 3</w:t>
      </w:r>
      <w:r w:rsidRPr="00500A19">
        <w:t> </w:t>
      </w:r>
      <w:r w:rsidR="007D7FAD" w:rsidRPr="00500A19">
        <w:t>сентября 2024 года</w:t>
      </w:r>
    </w:p>
    <w:p w14:paraId="31454877" w14:textId="29489A88" w:rsidR="007D7FAD" w:rsidRPr="00500A19" w:rsidRDefault="007D7FAD" w:rsidP="00C9752A">
      <w:r w:rsidRPr="00500A19">
        <w:t>Приводимая ниже информация взята из отчета о втором собрании КГРЭ-РГ-futureSGQ (Документ</w:t>
      </w:r>
      <w:r w:rsidR="00272A1E" w:rsidRPr="00500A19">
        <w:t> </w:t>
      </w:r>
      <w:hyperlink r:id="rId188" w:tgtFrame="_blank" w:history="1">
        <w:r w:rsidRPr="00500A19">
          <w:rPr>
            <w:color w:val="0000FF"/>
            <w:u w:val="single"/>
          </w:rPr>
          <w:t>TDAG-WG-futureSGQ/10</w:t>
        </w:r>
      </w:hyperlink>
      <w:r w:rsidRPr="00500A19">
        <w:t>).</w:t>
      </w:r>
    </w:p>
    <w:p w14:paraId="49F9D8DE" w14:textId="77777777" w:rsidR="007D7FAD" w:rsidRPr="00500A19" w:rsidRDefault="007D7FAD" w:rsidP="00C9752A">
      <w:r w:rsidRPr="00500A19">
        <w:t>Основная цель собрания заключалась в рассмотрении и согласовании содержания онлайновой формы-вопросника (анкеты), разработанной для сбора мнений всех заинтересованных членов, подписанных на списки почтовой рассылки КГРЭ и КГРЭ-РГ-futureSGQ.</w:t>
      </w:r>
    </w:p>
    <w:p w14:paraId="11019C1C" w14:textId="77777777" w:rsidR="007D7FAD" w:rsidRPr="00500A19" w:rsidRDefault="007D7FAD" w:rsidP="00C9752A">
      <w:r w:rsidRPr="00500A19">
        <w:t>Форма-вопросник состояла из следующих разделов:</w:t>
      </w:r>
    </w:p>
    <w:p w14:paraId="05CEA163" w14:textId="586DBF10" w:rsidR="007D7FAD" w:rsidRPr="00500A19" w:rsidRDefault="00C9752A" w:rsidP="00C9752A">
      <w:pPr>
        <w:pStyle w:val="enumlev1"/>
      </w:pPr>
      <w:r w:rsidRPr="00500A19">
        <w:t>1</w:t>
      </w:r>
      <w:r w:rsidRPr="00500A19">
        <w:tab/>
      </w:r>
      <w:r w:rsidR="007D7FAD" w:rsidRPr="00500A19">
        <w:t>В разделе 1 ("Актуальные исследуемые Вопросы") респондентам были адресованы вопросы общего характера относительно их знаний о текущей структуре исследовательских комиссий МСЭ-D, а также о том, какие исследуемые Вопросы в текущем исследовательском периоде являются для них важными.</w:t>
      </w:r>
    </w:p>
    <w:p w14:paraId="631203D1" w14:textId="28B06CE9" w:rsidR="007D7FAD" w:rsidRPr="00500A19" w:rsidRDefault="00C9752A" w:rsidP="00C9752A">
      <w:pPr>
        <w:pStyle w:val="enumlev1"/>
      </w:pPr>
      <w:r w:rsidRPr="00500A19">
        <w:t>2</w:t>
      </w:r>
      <w:r w:rsidRPr="00500A19">
        <w:tab/>
      </w:r>
      <w:r w:rsidR="007D7FAD" w:rsidRPr="00500A19">
        <w:t>В разделе 2 ("Количество Вопросов") предлагается определить количество исследуемых Вопросов для рассмотрения в следующем исследовательском периоде и подробно проанализировать Вопросы, подлежащие объединению или прекращению.</w:t>
      </w:r>
    </w:p>
    <w:p w14:paraId="45295340" w14:textId="55D00961" w:rsidR="007D7FAD" w:rsidRPr="00500A19" w:rsidRDefault="00C9752A" w:rsidP="00C9752A">
      <w:pPr>
        <w:pStyle w:val="enumlev1"/>
      </w:pPr>
      <w:r w:rsidRPr="00500A19">
        <w:t>3</w:t>
      </w:r>
      <w:r w:rsidRPr="00500A19">
        <w:tab/>
      </w:r>
      <w:r w:rsidR="007D7FAD" w:rsidRPr="00500A19">
        <w:t>Раздел 3 ("Новые темы") посвящен определению появляющихся тем, которые должны быть рассмотрены в предстоящем исследовательском периоде, с упором на предоставление руководящих указаний и примеров передовой практики, а также на обмен опытом в интересах развивающихся стран.</w:t>
      </w:r>
    </w:p>
    <w:p w14:paraId="5D6B8E6C" w14:textId="316927AF" w:rsidR="007D7FAD" w:rsidRPr="00500A19" w:rsidRDefault="00C9752A" w:rsidP="00C9752A">
      <w:pPr>
        <w:pStyle w:val="enumlev1"/>
      </w:pPr>
      <w:r w:rsidRPr="00500A19">
        <w:t>4</w:t>
      </w:r>
      <w:r w:rsidRPr="00500A19">
        <w:tab/>
      </w:r>
      <w:r w:rsidR="007D7FAD" w:rsidRPr="00500A19">
        <w:t>Раздел 4 ("Сквозные темы") касается сквозных тем, которые должны рассматриваться в рамках отдельного исследуемого Вопроса или нескольких исследуемых Вопросов.</w:t>
      </w:r>
    </w:p>
    <w:p w14:paraId="0243ACB7" w14:textId="77777777" w:rsidR="007D7FAD" w:rsidRPr="00500A19" w:rsidRDefault="007D7FAD" w:rsidP="00C9752A">
      <w:r w:rsidRPr="00500A19">
        <w:t>Собрание решило, что форма-вопросник будет обновлена с учетом обсуждений, состоявшихся на собрании, и распространена 17 сентября 2024 года, при этом крайним сроком для представления ответов определено 1 октября 2024 года. Результаты будут предоставлены (в качестве вклада для следующего собрания) к концу октября 2024 года, с тем чтобы члены могли использовать вклады для следующего собрания КГРЭ-РГ-futureSGQ, запланированного на 3 декабря 2024 года, и для оказания помощи региональным группам в подготовке к ВКРЭ-25.</w:t>
      </w:r>
    </w:p>
    <w:p w14:paraId="79459609" w14:textId="4973570C" w:rsidR="007D7FAD" w:rsidRPr="00500A19" w:rsidRDefault="00C9752A" w:rsidP="00C9752A">
      <w:pPr>
        <w:pStyle w:val="Heading1"/>
      </w:pPr>
      <w:r w:rsidRPr="00500A19">
        <w:t>2</w:t>
      </w:r>
      <w:r w:rsidRPr="00500A19">
        <w:tab/>
      </w:r>
      <w:r w:rsidR="007D7FAD" w:rsidRPr="00500A19">
        <w:t>Третье полностью онлайновое собрание КГРЭ-РГ-futureSGQ, состоявшееся 3</w:t>
      </w:r>
      <w:r w:rsidR="00272A1E" w:rsidRPr="00500A19">
        <w:t> </w:t>
      </w:r>
      <w:r w:rsidR="007D7FAD" w:rsidRPr="00500A19">
        <w:t>декабря 2024 года</w:t>
      </w:r>
    </w:p>
    <w:p w14:paraId="7D99C1E4" w14:textId="5A25388F" w:rsidR="007D7FAD" w:rsidRPr="00500A19" w:rsidRDefault="007D7FAD" w:rsidP="00C9752A">
      <w:r w:rsidRPr="00500A19">
        <w:t>Приводимая ниже информация взята из отчета о третьем собрании КГРЭ-РГ-futureSGQ (Документ</w:t>
      </w:r>
      <w:r w:rsidR="00272A1E" w:rsidRPr="00500A19">
        <w:t> </w:t>
      </w:r>
      <w:hyperlink r:id="rId189" w:tgtFrame="_blank" w:history="1">
        <w:r w:rsidRPr="00500A19">
          <w:rPr>
            <w:color w:val="0000FF"/>
            <w:u w:val="single"/>
          </w:rPr>
          <w:t>TDAG-WG-futureSGQ/16</w:t>
        </w:r>
      </w:hyperlink>
      <w:r w:rsidRPr="00500A19">
        <w:t>).</w:t>
      </w:r>
    </w:p>
    <w:p w14:paraId="0EB04AE2" w14:textId="77777777" w:rsidR="007D7FAD" w:rsidRPr="00500A19" w:rsidRDefault="007D7FAD" w:rsidP="00C9752A">
      <w:r w:rsidRPr="00500A19">
        <w:t>Результаты онлайновых консультаций представлены на рисунке, ниже. Эти данные предназначены для использования всеми сторонами при подготовке вкладов для представления будущим собраниям КГРЭ-РГ-futureSGQ.</w:t>
      </w:r>
    </w:p>
    <w:p w14:paraId="1C3567BE" w14:textId="46F22062" w:rsidR="007D7FAD" w:rsidRPr="00500A19" w:rsidRDefault="005041EC" w:rsidP="00AA43C3">
      <w:pPr>
        <w:overflowPunct/>
        <w:autoSpaceDE/>
        <w:autoSpaceDN/>
        <w:adjustRightInd/>
        <w:spacing w:after="120"/>
        <w:jc w:val="center"/>
        <w:rPr>
          <w:rFonts w:cstheme="minorHAnsi"/>
          <w:szCs w:val="22"/>
        </w:rPr>
      </w:pPr>
      <w:r w:rsidRPr="00500A19">
        <w:rPr>
          <w:rFonts w:cstheme="minorHAnsi"/>
          <w:szCs w:val="22"/>
        </w:rPr>
        <w:lastRenderedPageBreak/>
        <w:drawing>
          <wp:inline distT="0" distB="0" distL="0" distR="0" wp14:anchorId="05D83690" wp14:editId="6C446020">
            <wp:extent cx="6096635" cy="3157268"/>
            <wp:effectExtent l="0" t="0" r="0" b="5080"/>
            <wp:docPr id="21006636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0" cstate="print">
                      <a:extLst>
                        <a:ext uri="{28A0092B-C50C-407E-A947-70E740481C1C}">
                          <a14:useLocalDpi xmlns:a14="http://schemas.microsoft.com/office/drawing/2010/main" val="0"/>
                        </a:ext>
                      </a:extLst>
                    </a:blip>
                    <a:srcRect b="7924"/>
                    <a:stretch>
                      <a:fillRect/>
                    </a:stretch>
                  </pic:blipFill>
                  <pic:spPr bwMode="auto">
                    <a:xfrm>
                      <a:off x="0" y="0"/>
                      <a:ext cx="6096635" cy="3157268"/>
                    </a:xfrm>
                    <a:prstGeom prst="rect">
                      <a:avLst/>
                    </a:prstGeom>
                    <a:noFill/>
                    <a:ln>
                      <a:noFill/>
                    </a:ln>
                    <a:extLst>
                      <a:ext uri="{53640926-AAD7-44D8-BBD7-CCE9431645EC}">
                        <a14:shadowObscured xmlns:a14="http://schemas.microsoft.com/office/drawing/2010/main"/>
                      </a:ext>
                    </a:extLst>
                  </pic:spPr>
                </pic:pic>
              </a:graphicData>
            </a:graphic>
          </wp:inline>
        </w:drawing>
      </w:r>
    </w:p>
    <w:p w14:paraId="4F669D74" w14:textId="77777777" w:rsidR="007D7FAD" w:rsidRPr="00500A19" w:rsidRDefault="007D7FAD" w:rsidP="00C9752A">
      <w:r w:rsidRPr="00500A19">
        <w:t>Были получены и обсуждены вклад Африканского союза электросвязи (АСЭ) и вклад, касающийся первоначальных мнений Докладчиков и Содокладчиков 1-й Исследовательской комиссии.</w:t>
      </w:r>
    </w:p>
    <w:p w14:paraId="2EB34A3A" w14:textId="77777777" w:rsidR="007D7FAD" w:rsidRPr="00500A19" w:rsidRDefault="007D7FAD" w:rsidP="00C9752A">
      <w:r w:rsidRPr="00500A19">
        <w:t>Участники собрания приняли следующие решения:</w:t>
      </w:r>
    </w:p>
    <w:p w14:paraId="2F3370CF" w14:textId="634E3A1A" w:rsidR="007D7FAD" w:rsidRPr="00500A19" w:rsidRDefault="00C9752A" w:rsidP="00C9752A">
      <w:pPr>
        <w:pStyle w:val="enumlev1"/>
      </w:pPr>
      <w:r w:rsidRPr="00500A19">
        <w:sym w:font="Symbol" w:char="F02D"/>
      </w:r>
      <w:r w:rsidRPr="00500A19">
        <w:tab/>
      </w:r>
      <w:r w:rsidR="007D7FAD" w:rsidRPr="00500A19">
        <w:t>Председатель подготовит проект пересмотренных выдержек из приложений к Резолюции</w:t>
      </w:r>
      <w:r w:rsidR="006852FA" w:rsidRPr="00500A19">
        <w:t> </w:t>
      </w:r>
      <w:r w:rsidR="007D7FAD" w:rsidRPr="00500A19">
        <w:t>2, включая круг ведения исследуемых Вопросов, для обсуждения на следующем собрании. В этом документе будут рассмотрены результаты онлайновых консультаций, полученные вклады, а также мнения, представленные на собрании. Его целью станет привлечение как можно более широкого числа вкладов/мнений, полученных как официально, так и неофициально. Настоящий документ будет использован в качестве вклада для следующего собрания КГРЭ</w:t>
      </w:r>
      <w:r w:rsidR="007D7FAD" w:rsidRPr="00500A19">
        <w:noBreakHyphen/>
        <w:t>РГ</w:t>
      </w:r>
      <w:r w:rsidR="007D7FAD" w:rsidRPr="00500A19">
        <w:noBreakHyphen/>
        <w:t>futureSGQ.</w:t>
      </w:r>
    </w:p>
    <w:p w14:paraId="637B7197" w14:textId="7FD5470C" w:rsidR="007D7FAD" w:rsidRPr="00500A19" w:rsidRDefault="00C9752A" w:rsidP="00C9752A">
      <w:pPr>
        <w:pStyle w:val="enumlev1"/>
      </w:pPr>
      <w:r w:rsidRPr="00500A19">
        <w:sym w:font="Symbol" w:char="F02D"/>
      </w:r>
      <w:r w:rsidRPr="00500A19">
        <w:tab/>
      </w:r>
      <w:r w:rsidR="007D7FAD" w:rsidRPr="00500A19">
        <w:t>Секретариату БРЭ будет поручено просить РОЭ назначить координаторов для КГРЭ</w:t>
      </w:r>
      <w:r w:rsidR="007D7FAD" w:rsidRPr="00500A19">
        <w:noBreakHyphen/>
        <w:t>РГ</w:t>
      </w:r>
      <w:r w:rsidR="007D7FAD" w:rsidRPr="00500A19">
        <w:noBreakHyphen/>
        <w:t>futureSGQ, которые направят и представят вклады РОЭ следующему собранию КГРЭ</w:t>
      </w:r>
      <w:r w:rsidR="007D7FAD" w:rsidRPr="00500A19">
        <w:noBreakHyphen/>
        <w:t>РГ-futureSGQ.</w:t>
      </w:r>
    </w:p>
    <w:p w14:paraId="11C19722" w14:textId="34139AB6" w:rsidR="007D7FAD" w:rsidRPr="00500A19" w:rsidRDefault="00C9752A" w:rsidP="00C9752A">
      <w:pPr>
        <w:pStyle w:val="enumlev1"/>
      </w:pPr>
      <w:r w:rsidRPr="00500A19">
        <w:sym w:font="Symbol" w:char="F02D"/>
      </w:r>
      <w:r w:rsidRPr="00500A19">
        <w:tab/>
      </w:r>
      <w:r w:rsidR="007D7FAD" w:rsidRPr="00500A19">
        <w:t>Дополнительное онлайновое собрание будет проведено в январе−феврале 2025 года после дальнейших консультаций с секретариатом БРЭ, Директором БРЭ и Председателем КГРЭ.</w:t>
      </w:r>
    </w:p>
    <w:p w14:paraId="4ACFAEB2" w14:textId="3A99D801" w:rsidR="007D7FAD" w:rsidRPr="00500A19" w:rsidRDefault="00C9752A" w:rsidP="00C9752A">
      <w:pPr>
        <w:pStyle w:val="Heading1"/>
      </w:pPr>
      <w:r w:rsidRPr="00500A19">
        <w:t>3</w:t>
      </w:r>
      <w:r w:rsidRPr="00500A19">
        <w:tab/>
      </w:r>
      <w:r w:rsidR="007D7FAD" w:rsidRPr="00500A19">
        <w:t>Четвертое полностью онлайновое собрание КГРЭ-РГ-futureSGQ, состоявшееся 21 января 2025 года</w:t>
      </w:r>
    </w:p>
    <w:p w14:paraId="1C6DB71C" w14:textId="68D02EAD" w:rsidR="007D7FAD" w:rsidRPr="00500A19" w:rsidRDefault="007D7FAD" w:rsidP="00C9752A">
      <w:r w:rsidRPr="00500A19">
        <w:t>Приводимая ниже информация взята из отчета о четвертом собрании КГРЭ-РГ-futureSGQ (Документ</w:t>
      </w:r>
      <w:r w:rsidR="00130DA6" w:rsidRPr="00500A19">
        <w:t> </w:t>
      </w:r>
      <w:hyperlink r:id="rId191" w:tgtFrame="_blank" w:history="1">
        <w:r w:rsidRPr="00500A19">
          <w:rPr>
            <w:color w:val="0000FF"/>
            <w:u w:val="single"/>
          </w:rPr>
          <w:t>TDAG-WG-futureSGQ/25</w:t>
        </w:r>
      </w:hyperlink>
      <w:r w:rsidRPr="00500A19">
        <w:t>). На этом собрании присутствовали более 80 участников.</w:t>
      </w:r>
    </w:p>
    <w:p w14:paraId="38167BD9" w14:textId="3B0081A5" w:rsidR="007D7FAD" w:rsidRPr="00500A19" w:rsidRDefault="007D7FAD" w:rsidP="00C9752A">
      <w:r w:rsidRPr="00500A19">
        <w:t>Были получены, представлены и всесторонне обсуждены шесть вкладов, перечисленных ниже:</w:t>
      </w:r>
    </w:p>
    <w:p w14:paraId="519A0308" w14:textId="6CCE30A0" w:rsidR="007D7FAD" w:rsidRPr="00500A19" w:rsidRDefault="00C9752A" w:rsidP="00C9752A">
      <w:pPr>
        <w:pStyle w:val="enumlev1"/>
      </w:pPr>
      <w:r w:rsidRPr="00500A19">
        <w:sym w:font="Symbol" w:char="F02D"/>
      </w:r>
      <w:r w:rsidRPr="00500A19">
        <w:tab/>
      </w:r>
      <w:r w:rsidR="00130DA6" w:rsidRPr="00500A19">
        <w:t xml:space="preserve">Документ </w:t>
      </w:r>
      <w:hyperlink r:id="rId192" w:tgtFrame="_blank" w:history="1">
        <w:r w:rsidR="007D7FAD" w:rsidRPr="00500A19">
          <w:rPr>
            <w:color w:val="0000FF"/>
            <w:u w:val="single"/>
          </w:rPr>
          <w:t>TDAG-WG-futureSGQ/18</w:t>
        </w:r>
      </w:hyperlink>
      <w:r w:rsidR="007D7FAD" w:rsidRPr="00500A19">
        <w:t xml:space="preserve"> от Азиатско-Тихоокеанского сообщества (АТСЭ) выражает мнение Азиатско-Тихоокеанского сообщества (АТСЭ), которое согласуется со сводным предложением КГРЭ-РГ-futureSGQ;</w:t>
      </w:r>
    </w:p>
    <w:p w14:paraId="1C732386" w14:textId="034BEC0D" w:rsidR="007D7FAD" w:rsidRPr="00500A19" w:rsidRDefault="00C9752A" w:rsidP="00C9752A">
      <w:pPr>
        <w:pStyle w:val="enumlev1"/>
      </w:pPr>
      <w:r w:rsidRPr="00500A19">
        <w:sym w:font="Symbol" w:char="F02D"/>
      </w:r>
      <w:r w:rsidRPr="00500A19">
        <w:tab/>
      </w:r>
      <w:r w:rsidR="007D7FAD" w:rsidRPr="00500A19">
        <w:t>предложение в отношении нового Вопроса о приемлемости в ценовом отношении/доступности устройств;</w:t>
      </w:r>
    </w:p>
    <w:p w14:paraId="08268873" w14:textId="12AB6E31" w:rsidR="007D7FAD" w:rsidRPr="00500A19" w:rsidRDefault="00C9752A" w:rsidP="00C9752A">
      <w:pPr>
        <w:pStyle w:val="enumlev1"/>
      </w:pPr>
      <w:r w:rsidRPr="00500A19">
        <w:sym w:font="Symbol" w:char="F02D"/>
      </w:r>
      <w:r w:rsidRPr="00500A19">
        <w:tab/>
      </w:r>
      <w:r w:rsidR="007D7FAD" w:rsidRPr="00500A19">
        <w:t>предложение в отношении нового Вопроса о применении искусственного интеллекта;</w:t>
      </w:r>
    </w:p>
    <w:p w14:paraId="494D632B" w14:textId="55AEFB82" w:rsidR="007D7FAD" w:rsidRPr="00500A19" w:rsidRDefault="00C9752A" w:rsidP="00C9752A">
      <w:pPr>
        <w:pStyle w:val="enumlev1"/>
      </w:pPr>
      <w:r w:rsidRPr="00500A19">
        <w:sym w:font="Symbol" w:char="F02D"/>
      </w:r>
      <w:r w:rsidRPr="00500A19">
        <w:tab/>
      </w:r>
      <w:r w:rsidR="007D7FAD" w:rsidRPr="00500A19">
        <w:t>первоначальные мнения Докладчиков и Содокладчиков 2-й Исследовательской комиссии;</w:t>
      </w:r>
    </w:p>
    <w:p w14:paraId="38E235B9" w14:textId="34F3936D" w:rsidR="007D7FAD" w:rsidRPr="00500A19" w:rsidRDefault="00C9752A" w:rsidP="00C9752A">
      <w:pPr>
        <w:pStyle w:val="enumlev1"/>
      </w:pPr>
      <w:r w:rsidRPr="00500A19">
        <w:lastRenderedPageBreak/>
        <w:sym w:font="Symbol" w:char="F02D"/>
      </w:r>
      <w:r w:rsidRPr="00500A19">
        <w:tab/>
      </w:r>
      <w:r w:rsidR="007D7FAD" w:rsidRPr="00500A19">
        <w:t>пересмотренный круг ведения по большинству Вопросов 1-й Исследовательской комиссии;</w:t>
      </w:r>
    </w:p>
    <w:p w14:paraId="5933D086" w14:textId="268EB207" w:rsidR="007D7FAD" w:rsidRPr="00500A19" w:rsidRDefault="00C9752A" w:rsidP="00C9752A">
      <w:pPr>
        <w:pStyle w:val="enumlev1"/>
      </w:pPr>
      <w:r w:rsidRPr="00500A19">
        <w:sym w:font="Symbol" w:char="F02D"/>
      </w:r>
      <w:r w:rsidRPr="00500A19">
        <w:tab/>
      </w:r>
      <w:r w:rsidR="00130DA6" w:rsidRPr="00500A19">
        <w:t xml:space="preserve">Документ </w:t>
      </w:r>
      <w:hyperlink r:id="rId193" w:tgtFrame="_blank" w:history="1">
        <w:r w:rsidR="007D7FAD" w:rsidRPr="00500A19">
          <w:rPr>
            <w:color w:val="0000FF"/>
            <w:u w:val="single"/>
          </w:rPr>
          <w:t>TDAG-WG-futureSGQ/23</w:t>
        </w:r>
      </w:hyperlink>
      <w:r w:rsidR="007D7FAD" w:rsidRPr="00500A19">
        <w:t>, в котором содержится проект пересмотра выдержек из приложений к Резолюции 2, включая круг ведения исследуемых Вопросов, подготовленный Председателем в соответствии с решением предыдущего собрания.</w:t>
      </w:r>
    </w:p>
    <w:p w14:paraId="33D3881C" w14:textId="77777777" w:rsidR="007D7FAD" w:rsidRPr="00500A19" w:rsidRDefault="007D7FAD" w:rsidP="00C9752A">
      <w:r w:rsidRPr="00500A19">
        <w:t>Участники собрания приняли следующие решения:</w:t>
      </w:r>
    </w:p>
    <w:p w14:paraId="5519756F" w14:textId="2AE7048F" w:rsidR="007D7FAD" w:rsidRPr="00500A19" w:rsidRDefault="00C9752A" w:rsidP="00C9752A">
      <w:pPr>
        <w:pStyle w:val="enumlev1"/>
      </w:pPr>
      <w:r w:rsidRPr="00500A19">
        <w:sym w:font="Symbol" w:char="F02D"/>
      </w:r>
      <w:r w:rsidRPr="00500A19">
        <w:tab/>
      </w:r>
      <w:r w:rsidR="007D7FAD" w:rsidRPr="00500A19">
        <w:t xml:space="preserve">Обновить Документ </w:t>
      </w:r>
      <w:hyperlink r:id="rId194" w:tgtFrame="_blank" w:history="1">
        <w:r w:rsidR="007D7FAD" w:rsidRPr="00500A19">
          <w:rPr>
            <w:color w:val="0000FF"/>
            <w:u w:val="single"/>
          </w:rPr>
          <w:t>TDAG-WG-futureSGQ/23</w:t>
        </w:r>
      </w:hyperlink>
      <w:r w:rsidR="007D7FAD" w:rsidRPr="00500A19">
        <w:t>, включив в него элементы из полученных вкладов, а также дискуссий, состоявшихся в ходе обсуждения на собрании. Планируется, что финальный вариант документа будет распространен в качестве итогового документа КГРЭ</w:t>
      </w:r>
      <w:r w:rsidR="007D7FAD" w:rsidRPr="00500A19">
        <w:noBreakHyphen/>
        <w:t>РГ-futureSGQ.</w:t>
      </w:r>
    </w:p>
    <w:p w14:paraId="4CBB064E" w14:textId="7BA69BF1" w:rsidR="007D7FAD" w:rsidRPr="00500A19" w:rsidRDefault="00C9752A" w:rsidP="00C9752A">
      <w:pPr>
        <w:pStyle w:val="enumlev1"/>
      </w:pPr>
      <w:r w:rsidRPr="00500A19">
        <w:sym w:font="Symbol" w:char="F02D"/>
      </w:r>
      <w:r w:rsidRPr="00500A19">
        <w:tab/>
      </w:r>
      <w:r w:rsidR="007D7FAD" w:rsidRPr="00500A19">
        <w:t xml:space="preserve">Оба предложения по новым Вопросам должны рассматриваться совместно авторами и участниками, которые обменялись мнениями по ним на собрании. Рассмотренные предложения будут представлены на следующем собрании и включены в пересмотренную версию Документа </w:t>
      </w:r>
      <w:hyperlink r:id="rId195" w:tgtFrame="_blank" w:history="1">
        <w:r w:rsidR="007D7FAD" w:rsidRPr="00500A19">
          <w:rPr>
            <w:color w:val="0000FF"/>
            <w:u w:val="single"/>
          </w:rPr>
          <w:t>TDAG-WG-futureSGQ/23</w:t>
        </w:r>
      </w:hyperlink>
      <w:r w:rsidR="007D7FAD" w:rsidRPr="00500A19">
        <w:t>.</w:t>
      </w:r>
    </w:p>
    <w:p w14:paraId="3DEDB627" w14:textId="649A42A9" w:rsidR="007D7FAD" w:rsidRPr="00500A19" w:rsidRDefault="00C9752A" w:rsidP="00C9752A">
      <w:pPr>
        <w:pStyle w:val="Heading1"/>
      </w:pPr>
      <w:r w:rsidRPr="00500A19">
        <w:t>4</w:t>
      </w:r>
      <w:r w:rsidRPr="00500A19">
        <w:tab/>
      </w:r>
      <w:r w:rsidR="007D7FAD" w:rsidRPr="00500A19">
        <w:t>Пятое полностью онлайновое собрание КГРЭ-РГ-futureSGQ, состоявшееся 4</w:t>
      </w:r>
      <w:r w:rsidRPr="00500A19">
        <w:t> </w:t>
      </w:r>
      <w:r w:rsidR="007D7FAD" w:rsidRPr="00500A19">
        <w:t>марта 2025 года</w:t>
      </w:r>
    </w:p>
    <w:p w14:paraId="6371CB82" w14:textId="0FE924A9" w:rsidR="007D7FAD" w:rsidRPr="00500A19" w:rsidRDefault="007D7FAD" w:rsidP="00C9752A">
      <w:r w:rsidRPr="00500A19">
        <w:t>Приводимая ниже информация взята из отчета о пятом собрании КГРЭ-РГ-futureSGQ (Документ</w:t>
      </w:r>
      <w:r w:rsidR="00C9752A" w:rsidRPr="00500A19">
        <w:t> </w:t>
      </w:r>
      <w:hyperlink r:id="rId196" w:tgtFrame="_blank" w:history="1">
        <w:r w:rsidRPr="00500A19">
          <w:rPr>
            <w:color w:val="0000FF"/>
            <w:u w:val="single"/>
          </w:rPr>
          <w:t>TDAG</w:t>
        </w:r>
        <w:r w:rsidR="00C9752A" w:rsidRPr="00500A19">
          <w:rPr>
            <w:color w:val="0000FF"/>
            <w:u w:val="single"/>
          </w:rPr>
          <w:t>­</w:t>
        </w:r>
        <w:r w:rsidRPr="00500A19">
          <w:rPr>
            <w:color w:val="0000FF"/>
            <w:u w:val="single"/>
          </w:rPr>
          <w:t>WG-futureSGQ/34</w:t>
        </w:r>
      </w:hyperlink>
      <w:r w:rsidRPr="00500A19">
        <w:t>). На этом собрании присутствовали более 80 участников.</w:t>
      </w:r>
    </w:p>
    <w:p w14:paraId="1F993629" w14:textId="67BD794E" w:rsidR="007D7FAD" w:rsidRPr="00500A19" w:rsidRDefault="007D7FAD" w:rsidP="00C9752A">
      <w:r w:rsidRPr="00500A19">
        <w:t>Были получены, представлены и всесторонне обсуждены шесть вкладов, перечисленных ниже:</w:t>
      </w:r>
    </w:p>
    <w:p w14:paraId="53BF8701" w14:textId="5BEE64C7" w:rsidR="007D7FAD" w:rsidRPr="00500A19" w:rsidRDefault="00C9752A" w:rsidP="00C9752A">
      <w:pPr>
        <w:pStyle w:val="enumlev1"/>
      </w:pPr>
      <w:r w:rsidRPr="00500A19">
        <w:sym w:font="Symbol" w:char="F02D"/>
      </w:r>
      <w:r w:rsidRPr="00500A19">
        <w:tab/>
      </w:r>
      <w:r w:rsidR="007D7FAD" w:rsidRPr="00500A19">
        <w:t>отчеты Отраслевой консультативной группы по вопросам развития и старших сотрудников по регуляторным вопросам из частного сектора (IAGDI-CRO) о двух мероприятиях Tech Talks, организованных по темам двух исследовательских комиссий МСЭ-D. Они обсудили темы, которые могут быть представлены в качестве вкладов для будущих исследуемых Вопросов;</w:t>
      </w:r>
    </w:p>
    <w:p w14:paraId="75AB0F78" w14:textId="639D04C7" w:rsidR="007D7FAD" w:rsidRPr="00500A19" w:rsidRDefault="00C9752A" w:rsidP="00C9752A">
      <w:pPr>
        <w:pStyle w:val="enumlev1"/>
      </w:pPr>
      <w:r w:rsidRPr="00500A19">
        <w:sym w:font="Symbol" w:char="F02D"/>
      </w:r>
      <w:r w:rsidRPr="00500A19">
        <w:tab/>
      </w:r>
      <w:r w:rsidR="007D7FAD" w:rsidRPr="00500A19">
        <w:t>обновленные мнения Африканского союза электросвязи (АСЭ) по новым темам (приемлемость в ценовом отношении/доступность устройств и применение искусственного интеллекта), по количеству исследовательских комиссий и по проекту предложения в качестве итогового документа КГРЭ-РГ-futureSGQ;</w:t>
      </w:r>
    </w:p>
    <w:p w14:paraId="3E7D7431" w14:textId="19CD2202" w:rsidR="007D7FAD" w:rsidRPr="00500A19" w:rsidRDefault="00C9752A" w:rsidP="00C9752A">
      <w:pPr>
        <w:pStyle w:val="enumlev1"/>
      </w:pPr>
      <w:r w:rsidRPr="00500A19">
        <w:sym w:font="Symbol" w:char="F02D"/>
      </w:r>
      <w:r w:rsidRPr="00500A19">
        <w:tab/>
      </w:r>
      <w:r w:rsidR="007D7FAD" w:rsidRPr="00500A19">
        <w:t>составленная подборка текстов круга ведения по Вопросам 1-й Исследовательской комиссии (ИК1) МСЭ-D, представленная заместителем Председателя и координатором ИК1 по будущим исследуемым Вопросам от имени Докладчиков и Содокладчиков ИК1;</w:t>
      </w:r>
    </w:p>
    <w:p w14:paraId="6DDF508B" w14:textId="0C21BA0C" w:rsidR="007D7FAD" w:rsidRPr="00500A19" w:rsidRDefault="00C9752A" w:rsidP="00C9752A">
      <w:pPr>
        <w:pStyle w:val="enumlev1"/>
      </w:pPr>
      <w:r w:rsidRPr="00500A19">
        <w:sym w:font="Symbol" w:char="F02D"/>
      </w:r>
      <w:r w:rsidRPr="00500A19">
        <w:tab/>
      </w:r>
      <w:r w:rsidR="007D7FAD" w:rsidRPr="00500A19">
        <w:t>обновленное предложение Китая по новому Вопросу о применении искусственного интеллекта (ИИ), с учетом замечаний и обсуждений, проведенных после предыдущего</w:t>
      </w:r>
      <w:r w:rsidR="00130DA6" w:rsidRPr="00500A19">
        <w:t> </w:t>
      </w:r>
      <w:r w:rsidR="007D7FAD" w:rsidRPr="00500A19">
        <w:t>собрания;</w:t>
      </w:r>
    </w:p>
    <w:p w14:paraId="2B21CF0C" w14:textId="743FFC65" w:rsidR="007D7FAD" w:rsidRPr="00500A19" w:rsidRDefault="00C9752A" w:rsidP="00C9752A">
      <w:pPr>
        <w:pStyle w:val="enumlev1"/>
      </w:pPr>
      <w:r w:rsidRPr="00500A19">
        <w:sym w:font="Symbol" w:char="F02D"/>
      </w:r>
      <w:r w:rsidRPr="00500A19">
        <w:tab/>
      </w:r>
      <w:r w:rsidR="007D7FAD" w:rsidRPr="00500A19">
        <w:t>предложение Египта об основах и руководящих указаниях для предложения будущих Вопросов, а также замечания по проекту предложения итогового документа КГРЭ</w:t>
      </w:r>
      <w:r w:rsidR="00130DA6" w:rsidRPr="00500A19">
        <w:t>­</w:t>
      </w:r>
      <w:r w:rsidR="007D7FAD" w:rsidRPr="00500A19">
        <w:t>РГ</w:t>
      </w:r>
      <w:r w:rsidR="00130DA6" w:rsidRPr="00500A19">
        <w:t>­</w:t>
      </w:r>
      <w:r w:rsidR="007D7FAD" w:rsidRPr="00500A19">
        <w:t>futureSGQ;</w:t>
      </w:r>
    </w:p>
    <w:p w14:paraId="4B10BE39" w14:textId="7EC3417B" w:rsidR="007D7FAD" w:rsidRPr="00500A19" w:rsidRDefault="00C9752A" w:rsidP="00C9752A">
      <w:pPr>
        <w:pStyle w:val="enumlev1"/>
      </w:pPr>
      <w:r w:rsidRPr="00500A19">
        <w:sym w:font="Symbol" w:char="F02D"/>
      </w:r>
      <w:r w:rsidRPr="00500A19">
        <w:tab/>
      </w:r>
      <w:r w:rsidR="007D7FAD" w:rsidRPr="00500A19">
        <w:t xml:space="preserve">Документ </w:t>
      </w:r>
      <w:hyperlink r:id="rId197" w:tgtFrame="_blank" w:history="1">
        <w:r w:rsidR="007D7FAD" w:rsidRPr="00500A19">
          <w:rPr>
            <w:color w:val="0000FF"/>
            <w:u w:val="single"/>
          </w:rPr>
          <w:t>TDAG-WG-futureSGQ/29</w:t>
        </w:r>
      </w:hyperlink>
      <w:r w:rsidR="007D7FAD" w:rsidRPr="00500A19">
        <w:t>, в котором содержится второй вариант проекта пересмотра выдержек из приложений к Резолюции 2, включая круг ведения исследуемых Вопросов, подготовленный Председателем после получения вкладов, замечаний, а также проведения обсуждений в офлайновом режиме за период после предыдущего собрания.</w:t>
      </w:r>
    </w:p>
    <w:p w14:paraId="5C5E79C1" w14:textId="77777777" w:rsidR="007D7FAD" w:rsidRPr="00500A19" w:rsidRDefault="007D7FAD" w:rsidP="00C9752A">
      <w:r w:rsidRPr="00500A19">
        <w:t>Участники собрания приняли следующие решения:</w:t>
      </w:r>
    </w:p>
    <w:p w14:paraId="2F71D448" w14:textId="7256FBEB" w:rsidR="007D7FAD" w:rsidRPr="00500A19" w:rsidRDefault="00130DA6" w:rsidP="00130DA6">
      <w:pPr>
        <w:pStyle w:val="enumlev1"/>
      </w:pPr>
      <w:r w:rsidRPr="00500A19">
        <w:sym w:font="Symbol" w:char="F02D"/>
      </w:r>
      <w:r w:rsidRPr="00500A19">
        <w:tab/>
      </w:r>
      <w:r w:rsidR="007D7FAD" w:rsidRPr="00500A19">
        <w:t>Сохранить две существующие исследовательские комиссии. Было отмечено обсуждение возможного создания третьей исследовательской комиссии, но было сочтено, что оно выходит за рамки компетенции двух исследовательских комиссий и должно обсуждаться в рамках отдельной темы;</w:t>
      </w:r>
    </w:p>
    <w:p w14:paraId="3CE9889A" w14:textId="0E0B5CB0" w:rsidR="007D7FAD" w:rsidRPr="00500A19" w:rsidRDefault="00130DA6" w:rsidP="00130DA6">
      <w:pPr>
        <w:pStyle w:val="enumlev1"/>
      </w:pPr>
      <w:r w:rsidRPr="00500A19">
        <w:sym w:font="Symbol" w:char="F02D"/>
      </w:r>
      <w:r w:rsidRPr="00500A19">
        <w:tab/>
      </w:r>
      <w:r w:rsidR="007D7FAD" w:rsidRPr="00500A19">
        <w:t>утвердить по пять исследуемых Вопросов в каждой из двух исследовательских комиссий;</w:t>
      </w:r>
    </w:p>
    <w:p w14:paraId="662A497E" w14:textId="64EF7838" w:rsidR="007D7FAD" w:rsidRPr="00500A19" w:rsidRDefault="00130DA6" w:rsidP="00130DA6">
      <w:pPr>
        <w:pStyle w:val="enumlev1"/>
      </w:pPr>
      <w:r w:rsidRPr="00500A19">
        <w:lastRenderedPageBreak/>
        <w:sym w:font="Symbol" w:char="F02D"/>
      </w:r>
      <w:r w:rsidRPr="00500A19">
        <w:tab/>
      </w:r>
      <w:r w:rsidR="007D7FAD" w:rsidRPr="00500A19">
        <w:t>объединить Вопрос 1/1 (широкополосная связь) и Вопрос 5/1 (сельские и отдаленные районы) текущего исследовательского периода;</w:t>
      </w:r>
    </w:p>
    <w:p w14:paraId="7F5266E6" w14:textId="51E3E398" w:rsidR="007D7FAD" w:rsidRPr="00500A19" w:rsidRDefault="00130DA6" w:rsidP="00130DA6">
      <w:pPr>
        <w:pStyle w:val="enumlev1"/>
      </w:pPr>
      <w:r w:rsidRPr="00500A19">
        <w:sym w:font="Symbol" w:char="F02D"/>
      </w:r>
      <w:r w:rsidRPr="00500A19">
        <w:tab/>
      </w:r>
      <w:r w:rsidR="007D7FAD" w:rsidRPr="00500A19">
        <w:t>согласовать основную направленность Вопроса 4/1 (экономические аспекты);</w:t>
      </w:r>
    </w:p>
    <w:p w14:paraId="174276A0" w14:textId="57BBFD47" w:rsidR="007D7FAD" w:rsidRPr="00500A19" w:rsidRDefault="00130DA6" w:rsidP="00130DA6">
      <w:pPr>
        <w:pStyle w:val="enumlev1"/>
      </w:pPr>
      <w:r w:rsidRPr="00500A19">
        <w:sym w:font="Symbol" w:char="F02D"/>
      </w:r>
      <w:r w:rsidRPr="00500A19">
        <w:tab/>
      </w:r>
      <w:r w:rsidR="007D7FAD" w:rsidRPr="00500A19">
        <w:t>включить новую тему по ИИ в существующий исследуемый Вопрос.</w:t>
      </w:r>
    </w:p>
    <w:p w14:paraId="6BCD8F58" w14:textId="0836062C" w:rsidR="007D7FAD" w:rsidRPr="00500A19" w:rsidRDefault="007D7FAD" w:rsidP="00C9752A">
      <w:r w:rsidRPr="00500A19">
        <w:t>Необходимо провести дополнительные обсуждения, с тем чтобы достичь консенсуса по следующим</w:t>
      </w:r>
      <w:r w:rsidR="00C9752A" w:rsidRPr="00500A19">
        <w:t> </w:t>
      </w:r>
      <w:r w:rsidRPr="00500A19">
        <w:t>вопросам:</w:t>
      </w:r>
    </w:p>
    <w:p w14:paraId="48011E27" w14:textId="77777777" w:rsidR="007D7FAD" w:rsidRPr="00500A19" w:rsidRDefault="007D7FAD" w:rsidP="005B0FCB">
      <w:pPr>
        <w:numPr>
          <w:ilvl w:val="0"/>
          <w:numId w:val="1"/>
        </w:numPr>
        <w:overflowPunct/>
        <w:autoSpaceDE/>
        <w:autoSpaceDN/>
        <w:adjustRightInd/>
        <w:spacing w:before="60" w:after="60"/>
        <w:ind w:hanging="357"/>
        <w:rPr>
          <w:rFonts w:cstheme="minorHAnsi"/>
          <w:szCs w:val="22"/>
        </w:rPr>
      </w:pPr>
      <w:r w:rsidRPr="00500A19">
        <w:rPr>
          <w:rFonts w:cstheme="minorHAnsi"/>
          <w:szCs w:val="22"/>
        </w:rPr>
        <w:t>определение места новой темы о доступности устройств и их приемлемости в ценовом отношении;</w:t>
      </w:r>
    </w:p>
    <w:p w14:paraId="6DEE8952" w14:textId="01D1D4F4" w:rsidR="007D7FAD" w:rsidRPr="00500A19" w:rsidRDefault="007D7FAD" w:rsidP="005B0FCB">
      <w:pPr>
        <w:numPr>
          <w:ilvl w:val="0"/>
          <w:numId w:val="1"/>
        </w:numPr>
        <w:overflowPunct/>
        <w:autoSpaceDE/>
        <w:autoSpaceDN/>
        <w:adjustRightInd/>
        <w:spacing w:before="60" w:after="60"/>
        <w:ind w:hanging="357"/>
        <w:rPr>
          <w:rFonts w:cstheme="minorHAnsi"/>
          <w:szCs w:val="22"/>
        </w:rPr>
      </w:pPr>
      <w:r w:rsidRPr="00500A19">
        <w:rPr>
          <w:rFonts w:cstheme="minorHAnsi"/>
          <w:szCs w:val="22"/>
        </w:rPr>
        <w:t>следует ли объединить некоторые конкретные Вопросы (в том числе Вопрос 6/1 с Вопросом 4/2 или Вопросом 5/2, Вопрос 7/1 с Вопросом 5/2, Вопрос 1/2 с Вопросом</w:t>
      </w:r>
      <w:r w:rsidR="00130DA6" w:rsidRPr="00500A19">
        <w:rPr>
          <w:rFonts w:cstheme="minorHAnsi"/>
          <w:szCs w:val="22"/>
        </w:rPr>
        <w:t> </w:t>
      </w:r>
      <w:r w:rsidRPr="00500A19">
        <w:rPr>
          <w:rFonts w:cstheme="minorHAnsi"/>
          <w:szCs w:val="22"/>
        </w:rPr>
        <w:t>2/2, C&amp;I Вопроса 4/2 с Вопросом 6/2 и Вопросом 7/2) и в рамках какой исследовательской комиссии они должны изучаться (включая Вопросы 3/1 и 3/2);</w:t>
      </w:r>
    </w:p>
    <w:p w14:paraId="7316EFBE" w14:textId="461FCEA3" w:rsidR="007D7FAD" w:rsidRPr="00500A19" w:rsidRDefault="007D7FAD" w:rsidP="005B0FCB">
      <w:pPr>
        <w:numPr>
          <w:ilvl w:val="0"/>
          <w:numId w:val="1"/>
        </w:numPr>
        <w:overflowPunct/>
        <w:autoSpaceDE/>
        <w:autoSpaceDN/>
        <w:adjustRightInd/>
        <w:spacing w:before="60" w:after="60"/>
        <w:ind w:hanging="357"/>
        <w:rPr>
          <w:rFonts w:cstheme="minorHAnsi"/>
          <w:szCs w:val="22"/>
        </w:rPr>
      </w:pPr>
      <w:r w:rsidRPr="00500A19">
        <w:rPr>
          <w:rFonts w:cstheme="minorHAnsi"/>
          <w:szCs w:val="22"/>
        </w:rPr>
        <w:t>следует ли некоторым самостоятельным или объединенным группам Докладчиков по Вопросам (в том числе Вопросу 1/1, объединенному с Вопросами 5/1, 2/1)</w:t>
      </w:r>
      <w:r w:rsidR="00130DA6" w:rsidRPr="00500A19">
        <w:rPr>
          <w:rFonts w:cstheme="minorHAnsi"/>
          <w:szCs w:val="22"/>
        </w:rPr>
        <w:t xml:space="preserve"> </w:t>
      </w:r>
      <w:r w:rsidRPr="00500A19">
        <w:rPr>
          <w:rFonts w:cstheme="minorHAnsi"/>
          <w:szCs w:val="22"/>
        </w:rPr>
        <w:t>расширить сферу охвата, с тем чтобы они стали более привлекательными.</w:t>
      </w:r>
    </w:p>
    <w:p w14:paraId="51F84E06" w14:textId="22CAFE12" w:rsidR="007D7FAD" w:rsidRPr="00500A19" w:rsidRDefault="00130DA6" w:rsidP="00130DA6">
      <w:pPr>
        <w:pStyle w:val="Heading1"/>
      </w:pPr>
      <w:r w:rsidRPr="00500A19">
        <w:t>5</w:t>
      </w:r>
      <w:r w:rsidRPr="00500A19">
        <w:tab/>
      </w:r>
      <w:r w:rsidR="007D7FAD" w:rsidRPr="00500A19">
        <w:t>Шестое полностью онлайновое собрание КГРЭ-РГ-futureSGQ, состоявшееся 16 апреля 2025 года</w:t>
      </w:r>
    </w:p>
    <w:p w14:paraId="3DD61BB7" w14:textId="1F284225" w:rsidR="007D7FAD" w:rsidRPr="00500A19" w:rsidRDefault="007D7FAD" w:rsidP="004E3E4A">
      <w:r w:rsidRPr="00500A19">
        <w:t>Приводимая ниже информация взята из отчета о шестом собрании КГРЭ-РГ-futureSGQ (Документ</w:t>
      </w:r>
      <w:r w:rsidR="004E3E4A" w:rsidRPr="00500A19">
        <w:t> </w:t>
      </w:r>
      <w:hyperlink r:id="rId198" w:tgtFrame="_blank" w:history="1">
        <w:r w:rsidRPr="00500A19">
          <w:rPr>
            <w:color w:val="0000FF"/>
            <w:u w:val="single"/>
          </w:rPr>
          <w:t>TDAG-WG-futureSGQ/41</w:t>
        </w:r>
      </w:hyperlink>
      <w:r w:rsidRPr="00500A19">
        <w:t>).На этом собрании присутствовали более 60 участников.</w:t>
      </w:r>
    </w:p>
    <w:p w14:paraId="59F205A9" w14:textId="3EBD6EF9" w:rsidR="007D7FAD" w:rsidRPr="00500A19" w:rsidRDefault="007D7FAD" w:rsidP="004E3E4A">
      <w:r w:rsidRPr="00500A19">
        <w:t>Были получены, представлены и всесторонне обсуждены четыре вклада, перечисленные ниже:</w:t>
      </w:r>
    </w:p>
    <w:p w14:paraId="34CFF77E" w14:textId="4A7FE132" w:rsidR="007D7FAD" w:rsidRPr="00500A19" w:rsidRDefault="004E3E4A" w:rsidP="004E3E4A">
      <w:pPr>
        <w:pStyle w:val="enumlev1"/>
      </w:pPr>
      <w:r w:rsidRPr="00500A19">
        <w:sym w:font="Symbol" w:char="F02D"/>
      </w:r>
      <w:r w:rsidRPr="00500A19">
        <w:tab/>
      </w:r>
      <w:r w:rsidR="007D7FAD" w:rsidRPr="00500A19">
        <w:t>согласованные мнения Азиатско-Тихоокеанского сообщества (АТСЭ) по исследуемым Вопросам на исследовательский период 2025–2029 годов по итогам обсуждений на третьем собрании Подготовительной группы АТСЭ для ВКРЭ-25, которое состоялось 17–18 марта 2025 года в Бангкоке, Таиланд;</w:t>
      </w:r>
    </w:p>
    <w:p w14:paraId="2956611C" w14:textId="1ED9191C" w:rsidR="007D7FAD" w:rsidRPr="00500A19" w:rsidRDefault="004E3E4A" w:rsidP="004E3E4A">
      <w:pPr>
        <w:pStyle w:val="enumlev1"/>
      </w:pPr>
      <w:r w:rsidRPr="00500A19">
        <w:sym w:font="Symbol" w:char="F02D"/>
      </w:r>
      <w:r w:rsidRPr="00500A19">
        <w:tab/>
      </w:r>
      <w:r w:rsidR="007D7FAD" w:rsidRPr="00500A19">
        <w:t>мнения Регионального содружества в области связи (РСС) о структуре, то есть о количестве исследовательских комиссий, и о Вопросах исследовательских комиссий на 2026−2029</w:t>
      </w:r>
      <w:r w:rsidR="007120B6" w:rsidRPr="00500A19">
        <w:t> </w:t>
      </w:r>
      <w:r w:rsidR="007D7FAD" w:rsidRPr="00500A19">
        <w:t>годы. Эти мнения подкрепляются анализом существующей структуры, в том числе сопоставлением тематик Вопросов и полученных вкладов;</w:t>
      </w:r>
    </w:p>
    <w:p w14:paraId="71D83BD2" w14:textId="3CA0FD90" w:rsidR="007D7FAD" w:rsidRPr="00500A19" w:rsidRDefault="004E3E4A" w:rsidP="004E3E4A">
      <w:pPr>
        <w:pStyle w:val="enumlev1"/>
      </w:pPr>
      <w:r w:rsidRPr="00500A19">
        <w:sym w:font="Symbol" w:char="F02D"/>
      </w:r>
      <w:r w:rsidRPr="00500A19">
        <w:tab/>
      </w:r>
      <w:r w:rsidR="007D7FAD" w:rsidRPr="00500A19">
        <w:t>предлагаемые Российской Федерацией обновления пересмотренного круга ведения Вопроса 7/1, подготовленные Содокладчиками по Вопросу 7/1 и ранее представленные КГРЭ-РГ-futureSGQ координатором ИК1;</w:t>
      </w:r>
    </w:p>
    <w:p w14:paraId="0F7BE087" w14:textId="072C4D7D" w:rsidR="007D7FAD" w:rsidRPr="00500A19" w:rsidRDefault="004E3E4A" w:rsidP="004E3E4A">
      <w:pPr>
        <w:pStyle w:val="enumlev1"/>
      </w:pPr>
      <w:r w:rsidRPr="00500A19">
        <w:sym w:font="Symbol" w:char="F02D"/>
      </w:r>
      <w:r w:rsidRPr="00500A19">
        <w:tab/>
      </w:r>
      <w:r w:rsidR="007D7FAD" w:rsidRPr="00500A19">
        <w:t>третий вариант проекта пересмотра выдержек из приложений к Резолюции 2, включая круг ведения исследуемых Вопросов, подготовленный Председателем после получения вкладов, замечаний, а также проведения обсуждений в офлайновом режиме за период после предыдущего собрания.</w:t>
      </w:r>
    </w:p>
    <w:p w14:paraId="1E614AA0" w14:textId="77777777" w:rsidR="007D7FAD" w:rsidRPr="00500A19" w:rsidRDefault="007D7FAD" w:rsidP="00AA43C3">
      <w:pPr>
        <w:overflowPunct/>
        <w:autoSpaceDE/>
        <w:autoSpaceDN/>
        <w:adjustRightInd/>
        <w:spacing w:after="120"/>
        <w:rPr>
          <w:rFonts w:cstheme="minorHAnsi"/>
          <w:szCs w:val="22"/>
        </w:rPr>
      </w:pPr>
      <w:r w:rsidRPr="00500A19">
        <w:rPr>
          <w:rFonts w:cstheme="minorHAnsi"/>
          <w:szCs w:val="22"/>
        </w:rPr>
        <w:t>Участники собрания приняли следующие решения:</w:t>
      </w:r>
    </w:p>
    <w:p w14:paraId="15789CB7" w14:textId="284FBE0C" w:rsidR="007D7FAD" w:rsidRPr="00500A19" w:rsidRDefault="004E3E4A" w:rsidP="004E3E4A">
      <w:pPr>
        <w:pStyle w:val="enumlev1"/>
      </w:pPr>
      <w:r w:rsidRPr="00500A19">
        <w:sym w:font="Symbol" w:char="F02D"/>
      </w:r>
      <w:r w:rsidRPr="00500A19">
        <w:tab/>
      </w:r>
      <w:r w:rsidR="007D7FAD" w:rsidRPr="00500A19">
        <w:t>предложить РСС пересмотреть свой вклад с учетом замечаний, полученных в ходе собрания, и подготовить пересмотренные/новые варианты для рассмотрения на следующем собрании;</w:t>
      </w:r>
    </w:p>
    <w:p w14:paraId="4F20E1FC" w14:textId="163AADDA" w:rsidR="007D7FAD" w:rsidRPr="00500A19" w:rsidRDefault="004E3E4A" w:rsidP="004E3E4A">
      <w:pPr>
        <w:pStyle w:val="enumlev1"/>
      </w:pPr>
      <w:r w:rsidRPr="00500A19">
        <w:sym w:font="Symbol" w:char="F02D"/>
      </w:r>
      <w:r w:rsidRPr="00500A19">
        <w:tab/>
      </w:r>
      <w:r w:rsidR="007D7FAD" w:rsidRPr="00500A19">
        <w:t>пересмотреть заглавие предлагаемого вопроса A/1;</w:t>
      </w:r>
    </w:p>
    <w:p w14:paraId="3B8A61A8" w14:textId="642C2F5A" w:rsidR="007D7FAD" w:rsidRPr="00500A19" w:rsidRDefault="004E3E4A" w:rsidP="004E3E4A">
      <w:pPr>
        <w:pStyle w:val="enumlev1"/>
      </w:pPr>
      <w:r w:rsidRPr="00500A19">
        <w:sym w:font="Symbol" w:char="F02D"/>
      </w:r>
      <w:r w:rsidRPr="00500A19">
        <w:tab/>
      </w:r>
      <w:r w:rsidR="007D7FAD" w:rsidRPr="00500A19">
        <w:t>использовать формулировку "терминалы/устройства пользователей" вместо "терминалы пользователей";</w:t>
      </w:r>
    </w:p>
    <w:p w14:paraId="46D12D18" w14:textId="56711B87" w:rsidR="007D7FAD" w:rsidRPr="00500A19" w:rsidRDefault="004E3E4A" w:rsidP="004E3E4A">
      <w:pPr>
        <w:pStyle w:val="enumlev1"/>
      </w:pPr>
      <w:r w:rsidRPr="00500A19">
        <w:lastRenderedPageBreak/>
        <w:sym w:font="Symbol" w:char="F02D"/>
      </w:r>
      <w:r w:rsidRPr="00500A19">
        <w:tab/>
      </w:r>
      <w:r w:rsidR="007D7FAD" w:rsidRPr="00500A19">
        <w:t xml:space="preserve">по мере возможности включить предложения Российской Федерации по кругу ведения Вопроса Q7/1 в обновленный пересмотр Документа </w:t>
      </w:r>
      <w:hyperlink r:id="rId199" w:tgtFrame="_blank" w:history="1">
        <w:r w:rsidR="007D7FAD" w:rsidRPr="00500A19">
          <w:rPr>
            <w:color w:val="0000FF"/>
            <w:u w:val="single"/>
          </w:rPr>
          <w:t>TDAG-WG-futureSGQ/38</w:t>
        </w:r>
      </w:hyperlink>
      <w:r w:rsidR="007D7FAD" w:rsidRPr="00500A19">
        <w:t xml:space="preserve"> в рамках</w:t>
      </w:r>
      <w:r w:rsidR="0091114C" w:rsidRPr="00500A19">
        <w:t> </w:t>
      </w:r>
      <w:r w:rsidR="007D7FAD" w:rsidRPr="00500A19">
        <w:t>Вопроса B/1;</w:t>
      </w:r>
    </w:p>
    <w:p w14:paraId="61BBBAFF" w14:textId="63F3A641" w:rsidR="007D7FAD" w:rsidRPr="00500A19" w:rsidRDefault="004E3E4A" w:rsidP="004E3E4A">
      <w:pPr>
        <w:pStyle w:val="enumlev1"/>
      </w:pPr>
      <w:r w:rsidRPr="00500A19">
        <w:sym w:font="Symbol" w:char="F02D"/>
      </w:r>
      <w:r w:rsidRPr="00500A19">
        <w:tab/>
      </w:r>
      <w:r w:rsidR="007D7FAD" w:rsidRPr="00500A19">
        <w:t xml:space="preserve">предоставить обновленный пересмотр Документа </w:t>
      </w:r>
      <w:hyperlink r:id="rId200" w:tgtFrame="_blank" w:history="1">
        <w:r w:rsidR="007D7FAD" w:rsidRPr="00500A19">
          <w:rPr>
            <w:color w:val="0000FF"/>
            <w:u w:val="single"/>
          </w:rPr>
          <w:t>TDAG-WG-futureSGQ/38</w:t>
        </w:r>
      </w:hyperlink>
      <w:r w:rsidR="007D7FAD" w:rsidRPr="00500A19">
        <w:t xml:space="preserve"> (это</w:t>
      </w:r>
      <w:r w:rsidR="0091114C" w:rsidRPr="00500A19">
        <w:t> </w:t>
      </w:r>
      <w:r w:rsidR="007D7FAD" w:rsidRPr="00500A19">
        <w:t>Документ</w:t>
      </w:r>
      <w:r w:rsidR="007120B6" w:rsidRPr="00500A19">
        <w:t> </w:t>
      </w:r>
      <w:hyperlink r:id="rId201" w:tgtFrame="_blank" w:history="1">
        <w:r w:rsidR="007D7FAD" w:rsidRPr="00500A19">
          <w:rPr>
            <w:color w:val="0000FF"/>
            <w:u w:val="single"/>
          </w:rPr>
          <w:t>TDAG-WG-futureSGQ/43</w:t>
        </w:r>
      </w:hyperlink>
      <w:r w:rsidR="007D7FAD" w:rsidRPr="00500A19">
        <w:t>) в режиме правки и без него. В данном документе будут учтены все полученные вклады и замечания;</w:t>
      </w:r>
    </w:p>
    <w:p w14:paraId="7A01BB33" w14:textId="5B35EB73" w:rsidR="007D7FAD" w:rsidRPr="00500A19" w:rsidRDefault="004E3E4A" w:rsidP="004E3E4A">
      <w:pPr>
        <w:pStyle w:val="enumlev1"/>
      </w:pPr>
      <w:r w:rsidRPr="00500A19">
        <w:sym w:font="Symbol" w:char="F02D"/>
      </w:r>
      <w:r w:rsidRPr="00500A19">
        <w:tab/>
      </w:r>
      <w:r w:rsidR="007D7FAD" w:rsidRPr="00500A19">
        <w:t>провести заключительное собрание, приуроченное к КГРЭ-25 в мае 2025 года в Женеве.</w:t>
      </w:r>
    </w:p>
    <w:p w14:paraId="2F778951" w14:textId="05CE7FD4" w:rsidR="007D7FAD" w:rsidRPr="00500A19" w:rsidRDefault="004E3E4A" w:rsidP="004E3E4A">
      <w:pPr>
        <w:pStyle w:val="Heading1"/>
      </w:pPr>
      <w:r w:rsidRPr="00500A19">
        <w:t>6</w:t>
      </w:r>
      <w:r w:rsidRPr="00500A19">
        <w:tab/>
      </w:r>
      <w:r w:rsidR="007D7FAD" w:rsidRPr="00500A19">
        <w:t>Седьмое собрание КГРЭ-РГ-futureSGQ, состоявшееся 13 и 15 мая 2025</w:t>
      </w:r>
      <w:r w:rsidR="0091114C" w:rsidRPr="00500A19">
        <w:t> </w:t>
      </w:r>
      <w:r w:rsidR="007D7FAD" w:rsidRPr="00500A19">
        <w:t>года в</w:t>
      </w:r>
      <w:r w:rsidRPr="00500A19">
        <w:t> </w:t>
      </w:r>
      <w:r w:rsidR="007D7FAD" w:rsidRPr="00500A19">
        <w:t>Женеве</w:t>
      </w:r>
    </w:p>
    <w:p w14:paraId="17DBB096" w14:textId="3C252F26" w:rsidR="007D7FAD" w:rsidRPr="00500A19" w:rsidRDefault="007D7FAD" w:rsidP="004E3E4A">
      <w:r w:rsidRPr="00500A19">
        <w:t>Приводимая ниже информация взята из отчета о седьмом собрании КГРЭ-РГ-futureSGQ (Документ</w:t>
      </w:r>
      <w:r w:rsidR="004E3E4A" w:rsidRPr="00500A19">
        <w:t> </w:t>
      </w:r>
      <w:hyperlink r:id="rId202" w:tgtFrame="_blank" w:history="1">
        <w:r w:rsidRPr="00500A19">
          <w:rPr>
            <w:color w:val="0000FF"/>
            <w:u w:val="single"/>
          </w:rPr>
          <w:t>TDAG-WG-futureSGQ/50</w:t>
        </w:r>
      </w:hyperlink>
      <w:r w:rsidRPr="00500A19">
        <w:t>). На этом собрании присутствовали более 25 участников.</w:t>
      </w:r>
    </w:p>
    <w:p w14:paraId="62121AE5" w14:textId="06A5C568" w:rsidR="007D7FAD" w:rsidRPr="00500A19" w:rsidRDefault="007D7FAD" w:rsidP="004E3E4A">
      <w:r w:rsidRPr="00500A19">
        <w:t>Были получены, представлены и всесторонне обсуждены семь вкладов, перечисленных ниже:</w:t>
      </w:r>
    </w:p>
    <w:p w14:paraId="6B9EAA11" w14:textId="063D46AC" w:rsidR="007D7FAD" w:rsidRPr="00500A19" w:rsidRDefault="004E3E4A" w:rsidP="004E3E4A">
      <w:pPr>
        <w:pStyle w:val="enumlev1"/>
      </w:pPr>
      <w:r w:rsidRPr="00500A19">
        <w:sym w:font="Symbol" w:char="F02D"/>
      </w:r>
      <w:r w:rsidRPr="00500A19">
        <w:tab/>
      </w:r>
      <w:r w:rsidR="007D7FAD" w:rsidRPr="00500A19">
        <w:t>предложение Португалии об изменении круга ведения Вопроса 6/1: Информация для потребителей, их защита и права;</w:t>
      </w:r>
    </w:p>
    <w:p w14:paraId="40EF3713" w14:textId="4981739E" w:rsidR="007D7FAD" w:rsidRPr="00500A19" w:rsidRDefault="004E3E4A" w:rsidP="004E3E4A">
      <w:pPr>
        <w:pStyle w:val="enumlev1"/>
      </w:pPr>
      <w:r w:rsidRPr="00500A19">
        <w:sym w:font="Symbol" w:char="F02D"/>
      </w:r>
      <w:r w:rsidRPr="00500A19">
        <w:tab/>
      </w:r>
      <w:r w:rsidR="007D7FAD" w:rsidRPr="00500A19">
        <w:t>согласованные мнения Азиатско-Тихоокеанского сообщества (АТСЭ) по исследуемым Вопросам на исследовательский период 2025–2029 годов. Настоящий документ представляет собой повторное представление КГРЭ-25, которое затем было перенаправлено КГРЭ-РГ-futureSGQ;</w:t>
      </w:r>
    </w:p>
    <w:p w14:paraId="3420B922" w14:textId="648E7DEA" w:rsidR="007D7FAD" w:rsidRPr="00500A19" w:rsidRDefault="004E3E4A" w:rsidP="004E3E4A">
      <w:pPr>
        <w:pStyle w:val="enumlev1"/>
      </w:pPr>
      <w:r w:rsidRPr="00500A19">
        <w:sym w:font="Symbol" w:char="F02D"/>
      </w:r>
      <w:r w:rsidRPr="00500A19">
        <w:tab/>
      </w:r>
      <w:r w:rsidR="007D7FAD" w:rsidRPr="00500A19">
        <w:t>предложение Лиги арабских государств, содержащее мнения администраций Арабских государств в отношении пересмотренного предложения РГ КГРЭ о будущем Вопросов;</w:t>
      </w:r>
    </w:p>
    <w:p w14:paraId="666B1009" w14:textId="0F692F34" w:rsidR="007D7FAD" w:rsidRPr="00500A19" w:rsidRDefault="004E3E4A" w:rsidP="004E3E4A">
      <w:pPr>
        <w:pStyle w:val="enumlev1"/>
      </w:pPr>
      <w:r w:rsidRPr="00500A19">
        <w:sym w:font="Symbol" w:char="F02D"/>
      </w:r>
      <w:r w:rsidRPr="00500A19">
        <w:tab/>
      </w:r>
      <w:r w:rsidR="007D7FAD" w:rsidRPr="00500A19">
        <w:t>последние мнения Африканского союза электросвязи (АСЭ) по исследуемым Вопросам на исследовательский период 2025</w:t>
      </w:r>
      <w:r w:rsidR="007120B6" w:rsidRPr="00500A19">
        <w:sym w:font="Symbol" w:char="F02D"/>
      </w:r>
      <w:r w:rsidR="007D7FAD" w:rsidRPr="00500A19">
        <w:t>2029 годов;</w:t>
      </w:r>
    </w:p>
    <w:p w14:paraId="34531C6F" w14:textId="4A451825" w:rsidR="007D7FAD" w:rsidRPr="00500A19" w:rsidRDefault="004E3E4A" w:rsidP="004E3E4A">
      <w:pPr>
        <w:pStyle w:val="enumlev1"/>
      </w:pPr>
      <w:r w:rsidRPr="00500A19">
        <w:sym w:font="Symbol" w:char="F02D"/>
      </w:r>
      <w:r w:rsidRPr="00500A19">
        <w:tab/>
      </w:r>
      <w:r w:rsidR="007D7FAD" w:rsidRPr="00500A19">
        <w:t>обновленная подборка текстов круга ведения по Вопросам 1-й Исследовательской комиссии (ИК1) МСЭ-D, представленная заместителем Председателя и координатором ИК1 по будущим исследуемым Вопросам от имени Докладчиков и Содокладчиков ИК1 по итогам собрания ИК1, которое прошло с 28 апреля по 2 мая 2025 года;</w:t>
      </w:r>
    </w:p>
    <w:p w14:paraId="7376AF21" w14:textId="1E3DF74D" w:rsidR="007D7FAD" w:rsidRPr="00500A19" w:rsidRDefault="004E3E4A" w:rsidP="004E3E4A">
      <w:pPr>
        <w:pStyle w:val="enumlev1"/>
      </w:pPr>
      <w:r w:rsidRPr="00500A19">
        <w:sym w:font="Symbol" w:char="F02D"/>
      </w:r>
      <w:r w:rsidRPr="00500A19">
        <w:tab/>
      </w:r>
      <w:r w:rsidR="007D7FAD" w:rsidRPr="00500A19">
        <w:t>обновленные мнения, представленные заместителем Председателя и координатором ИК2 по будущим исследуемым Вопросам от имени Докладчиков и Содокладчиков ИК2 по итогам собрания ИК2, состоявшегося 5−9 мая 2025 года;</w:t>
      </w:r>
    </w:p>
    <w:p w14:paraId="2B2978E7" w14:textId="6386C13A" w:rsidR="007D7FAD" w:rsidRPr="00500A19" w:rsidRDefault="004E3E4A" w:rsidP="004E3E4A">
      <w:pPr>
        <w:pStyle w:val="enumlev1"/>
      </w:pPr>
      <w:r w:rsidRPr="00500A19">
        <w:sym w:font="Symbol" w:char="F02D"/>
      </w:r>
      <w:r w:rsidRPr="00500A19">
        <w:tab/>
        <w:t xml:space="preserve">четвертый </w:t>
      </w:r>
      <w:r w:rsidR="007D7FAD" w:rsidRPr="00500A19">
        <w:t>вариант проекта пересмотра (</w:t>
      </w:r>
      <w:hyperlink r:id="rId203" w:tgtFrame="_blank" w:history="1">
        <w:r w:rsidR="007D7FAD" w:rsidRPr="00500A19">
          <w:rPr>
            <w:color w:val="0000FF"/>
            <w:u w:val="single"/>
          </w:rPr>
          <w:t>TDAG-WG-futureSGQ/43</w:t>
        </w:r>
      </w:hyperlink>
      <w:r w:rsidR="007D7FAD" w:rsidRPr="00500A19">
        <w:t>) выдержек из приложений к Резолюции 2, включая круг ведения исследуемых Вопросов, подготовленный Председателем после получения вкладов, замечаний, а также проведения обсуждений в офлайновом режиме за период после предыдущего собрания.</w:t>
      </w:r>
    </w:p>
    <w:p w14:paraId="71100FC1" w14:textId="5EEBCF60" w:rsidR="007D7FAD" w:rsidRPr="00500A19" w:rsidRDefault="007D7FAD" w:rsidP="004E3E4A">
      <w:r w:rsidRPr="00500A19">
        <w:t>Собрание приняло решение о том, что согласованный Документ 19(Rev.2) станет заключительным отчетом Председателя для КГРЭ, включающим:</w:t>
      </w:r>
    </w:p>
    <w:p w14:paraId="10395727" w14:textId="37ADC59E" w:rsidR="007D7FAD" w:rsidRPr="00500A19" w:rsidRDefault="004E3E4A" w:rsidP="004E3E4A">
      <w:pPr>
        <w:pStyle w:val="enumlev1"/>
      </w:pPr>
      <w:r w:rsidRPr="00500A19">
        <w:sym w:font="Symbol" w:char="F02D"/>
      </w:r>
      <w:r w:rsidRPr="00500A19">
        <w:tab/>
      </w:r>
      <w:r w:rsidR="007D7FAD" w:rsidRPr="00500A19">
        <w:t>таблицу с кратким обзором предложений, приведенную в новом Дополнении 3;</w:t>
      </w:r>
    </w:p>
    <w:p w14:paraId="02D12659" w14:textId="20830894" w:rsidR="007D7FAD" w:rsidRPr="00500A19" w:rsidRDefault="004E3E4A" w:rsidP="004E3E4A">
      <w:pPr>
        <w:pStyle w:val="enumlev1"/>
      </w:pPr>
      <w:r w:rsidRPr="00500A19">
        <w:sym w:font="Symbol" w:char="F02D"/>
      </w:r>
      <w:r w:rsidRPr="00500A19">
        <w:tab/>
      </w:r>
      <w:r w:rsidR="007D7FAD" w:rsidRPr="00500A19">
        <w:t>новое Дополнение 4, включающее Приложение 1 и Приложение 2 к Резолюции 2, которые будут рассматриваться в качестве базового документа (основы для работы);</w:t>
      </w:r>
    </w:p>
    <w:p w14:paraId="2CB8DA22" w14:textId="5DECE8DC" w:rsidR="007D7FAD" w:rsidRPr="00500A19" w:rsidRDefault="004E3E4A" w:rsidP="004E3E4A">
      <w:pPr>
        <w:pStyle w:val="enumlev1"/>
      </w:pPr>
      <w:r w:rsidRPr="00500A19">
        <w:sym w:font="Symbol" w:char="F02D"/>
      </w:r>
      <w:r w:rsidRPr="00500A19">
        <w:tab/>
      </w:r>
      <w:r w:rsidR="007D7FAD" w:rsidRPr="00500A19">
        <w:t>новое Дополнение 5, включающее подборку текстов круга ведения по исследуемым Вопросам для дальнейших обсуждений, которое не было принято в целом;</w:t>
      </w:r>
    </w:p>
    <w:p w14:paraId="4A950DDD" w14:textId="64AE2A9E" w:rsidR="007D7FAD" w:rsidRPr="00500A19" w:rsidRDefault="004E3E4A" w:rsidP="004E3E4A">
      <w:pPr>
        <w:pStyle w:val="enumlev1"/>
      </w:pPr>
      <w:r w:rsidRPr="00500A19">
        <w:sym w:font="Symbol" w:char="F02D"/>
      </w:r>
      <w:r w:rsidRPr="00500A19">
        <w:tab/>
      </w:r>
      <w:r w:rsidR="007D7FAD" w:rsidRPr="00500A19">
        <w:t>с учетом объединения ряда Вопросов и охвата ими дополнительных тем возникает желание пересмотреть текущий подход к отчетам о результатах работы.</w:t>
      </w:r>
    </w:p>
    <w:p w14:paraId="5341BB04" w14:textId="08A5E26B" w:rsidR="007D7FAD" w:rsidRPr="00500A19" w:rsidRDefault="007D7FAD" w:rsidP="0059573D">
      <w:pPr>
        <w:overflowPunct/>
        <w:autoSpaceDE/>
        <w:autoSpaceDN/>
        <w:adjustRightInd/>
        <w:spacing w:before="0"/>
        <w:rPr>
          <w:rFonts w:cstheme="minorHAnsi"/>
          <w:szCs w:val="22"/>
        </w:rPr>
      </w:pPr>
    </w:p>
    <w:p w14:paraId="1BB0593A" w14:textId="77777777" w:rsidR="007D7FAD" w:rsidRPr="00500A19" w:rsidRDefault="007D7FAD">
      <w:pPr>
        <w:overflowPunct/>
        <w:autoSpaceDE/>
        <w:autoSpaceDN/>
        <w:adjustRightInd/>
        <w:spacing w:before="0"/>
        <w:textAlignment w:val="auto"/>
        <w:rPr>
          <w:rFonts w:eastAsia="Calibri" w:cstheme="minorHAnsi"/>
          <w:b/>
          <w:bCs/>
          <w:szCs w:val="22"/>
        </w:rPr>
        <w:sectPr w:rsidR="007D7FAD" w:rsidRPr="00500A19" w:rsidSect="007D7FAD">
          <w:headerReference w:type="default" r:id="rId204"/>
          <w:footerReference w:type="first" r:id="rId205"/>
          <w:pgSz w:w="11907" w:h="16840" w:code="9"/>
          <w:pgMar w:top="1418" w:right="1134" w:bottom="1418" w:left="1134" w:header="567" w:footer="567" w:gutter="0"/>
          <w:cols w:space="720"/>
          <w:titlePg/>
          <w:docGrid w:linePitch="326"/>
        </w:sectPr>
      </w:pPr>
    </w:p>
    <w:p w14:paraId="0617D3D8" w14:textId="77777777" w:rsidR="007120B6" w:rsidRPr="00500A19" w:rsidRDefault="007D7FAD" w:rsidP="007120B6">
      <w:pPr>
        <w:pStyle w:val="AppendixNo"/>
      </w:pPr>
      <w:r w:rsidRPr="00500A19">
        <w:lastRenderedPageBreak/>
        <w:t>Дополнение 3</w:t>
      </w:r>
    </w:p>
    <w:p w14:paraId="575BD891" w14:textId="0FE60343" w:rsidR="007D7FAD" w:rsidRPr="00500A19" w:rsidRDefault="007D7FAD" w:rsidP="007120B6">
      <w:pPr>
        <w:pStyle w:val="Appendixtitle"/>
        <w:spacing w:before="120" w:after="120"/>
        <w:rPr>
          <w:rFonts w:eastAsia="Calibri"/>
        </w:rPr>
      </w:pPr>
      <w:r w:rsidRPr="00500A19">
        <w:t>Таблица с кратким обзором предложений</w:t>
      </w:r>
    </w:p>
    <w:tbl>
      <w:tblPr>
        <w:tblW w:w="5000" w:type="pct"/>
        <w:tblInd w:w="-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45"/>
        <w:gridCol w:w="2550"/>
        <w:gridCol w:w="2553"/>
        <w:gridCol w:w="3118"/>
        <w:gridCol w:w="3216"/>
      </w:tblGrid>
      <w:tr w:rsidR="009D35EB" w:rsidRPr="00500A19" w14:paraId="3F20F711" w14:textId="77777777" w:rsidTr="009D35EB">
        <w:trPr>
          <w:trHeight w:val="300"/>
        </w:trPr>
        <w:tc>
          <w:tcPr>
            <w:tcW w:w="91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14:paraId="79900BFD" w14:textId="77777777" w:rsidR="007D7FAD" w:rsidRPr="00500A19" w:rsidRDefault="007D7FAD" w:rsidP="007120B6">
            <w:pPr>
              <w:pStyle w:val="Tablehead"/>
              <w:rPr>
                <w:rFonts w:eastAsia="Calibri"/>
              </w:rPr>
            </w:pPr>
            <w:r w:rsidRPr="00500A19">
              <w:t>Документ 43 (Председатель)</w:t>
            </w:r>
          </w:p>
        </w:tc>
        <w:tc>
          <w:tcPr>
            <w:tcW w:w="912"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14:paraId="2628D688" w14:textId="77777777" w:rsidR="007D7FAD" w:rsidRPr="00500A19" w:rsidRDefault="007D7FAD" w:rsidP="007120B6">
            <w:pPr>
              <w:pStyle w:val="Tablehead"/>
              <w:rPr>
                <w:rFonts w:eastAsia="Calibri"/>
              </w:rPr>
            </w:pPr>
            <w:r w:rsidRPr="00500A19">
              <w:t>Документ 45 (АТСЭ)</w:t>
            </w:r>
          </w:p>
        </w:tc>
        <w:tc>
          <w:tcPr>
            <w:tcW w:w="913"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14:paraId="07BAEF5C" w14:textId="77777777" w:rsidR="007D7FAD" w:rsidRPr="00500A19" w:rsidRDefault="007D7FAD" w:rsidP="007120B6">
            <w:pPr>
              <w:pStyle w:val="Tablehead"/>
              <w:rPr>
                <w:rFonts w:eastAsia="Calibri"/>
              </w:rPr>
            </w:pPr>
            <w:r w:rsidRPr="00500A19">
              <w:t>Документ 46 (ЛАГ)</w:t>
            </w:r>
          </w:p>
        </w:tc>
        <w:tc>
          <w:tcPr>
            <w:tcW w:w="1115"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14:paraId="297D48A2" w14:textId="77777777" w:rsidR="007D7FAD" w:rsidRPr="00500A19" w:rsidRDefault="007D7FAD" w:rsidP="007120B6">
            <w:pPr>
              <w:pStyle w:val="Tablehead"/>
              <w:rPr>
                <w:rFonts w:eastAsia="Calibri"/>
              </w:rPr>
            </w:pPr>
            <w:r w:rsidRPr="00500A19">
              <w:t>Документ 49 (АСЭ)</w:t>
            </w:r>
          </w:p>
        </w:tc>
        <w:tc>
          <w:tcPr>
            <w:tcW w:w="1150" w:type="pct"/>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14:paraId="465828C5" w14:textId="77777777" w:rsidR="007D7FAD" w:rsidRPr="00500A19" w:rsidRDefault="007D7FAD" w:rsidP="007120B6">
            <w:pPr>
              <w:pStyle w:val="Tablehead"/>
              <w:rPr>
                <w:rFonts w:eastAsia="Calibri"/>
              </w:rPr>
            </w:pPr>
            <w:r w:rsidRPr="00500A19">
              <w:t>Документ 37</w:t>
            </w:r>
            <w:r w:rsidRPr="00500A19">
              <w:rPr>
                <w:position w:val="6"/>
                <w:sz w:val="16"/>
                <w:szCs w:val="16"/>
              </w:rPr>
              <w:t>*</w:t>
            </w:r>
            <w:r w:rsidRPr="00500A19">
              <w:t xml:space="preserve"> (РСС)</w:t>
            </w:r>
          </w:p>
        </w:tc>
      </w:tr>
      <w:tr w:rsidR="007120B6" w:rsidRPr="00500A19" w14:paraId="64C82E63" w14:textId="77777777" w:rsidTr="009D35EB">
        <w:trPr>
          <w:trHeight w:val="300"/>
        </w:trPr>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6EB3176C" w14:textId="77777777" w:rsidR="007D7FAD" w:rsidRPr="00500A19" w:rsidRDefault="007D7FAD" w:rsidP="0091114C">
            <w:pPr>
              <w:pStyle w:val="Tabletext"/>
              <w:spacing w:before="20" w:after="20"/>
              <w:rPr>
                <w:rFonts w:eastAsia="Calibri"/>
              </w:rPr>
            </w:pPr>
            <w:r w:rsidRPr="00500A19">
              <w:t>Две Исследовательские комиссии</w:t>
            </w:r>
          </w:p>
          <w:p w14:paraId="679678AD" w14:textId="77777777" w:rsidR="007D7FAD" w:rsidRPr="00500A19" w:rsidRDefault="007D7FAD" w:rsidP="0091114C">
            <w:pPr>
              <w:pStyle w:val="Tabletext"/>
              <w:spacing w:before="20" w:after="20"/>
              <w:rPr>
                <w:rFonts w:eastAsia="Calibri"/>
              </w:rPr>
            </w:pPr>
            <w:r w:rsidRPr="00500A19">
              <w:t>Пять Вопросов на Исследовательскую комиссию</w:t>
            </w:r>
          </w:p>
        </w:tc>
        <w:tc>
          <w:tcPr>
            <w:tcW w:w="912" w:type="pct"/>
            <w:tcBorders>
              <w:top w:val="single" w:sz="6" w:space="0" w:color="000000"/>
              <w:left w:val="single" w:sz="6" w:space="0" w:color="000000"/>
              <w:bottom w:val="single" w:sz="6" w:space="0" w:color="000000"/>
              <w:right w:val="single" w:sz="6" w:space="0" w:color="000000"/>
            </w:tcBorders>
            <w:shd w:val="clear" w:color="auto" w:fill="auto"/>
            <w:hideMark/>
          </w:tcPr>
          <w:p w14:paraId="12A07B2A"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913" w:type="pct"/>
            <w:tcBorders>
              <w:top w:val="single" w:sz="6" w:space="0" w:color="000000"/>
              <w:left w:val="single" w:sz="6" w:space="0" w:color="000000"/>
              <w:bottom w:val="single" w:sz="6" w:space="0" w:color="000000"/>
              <w:right w:val="single" w:sz="6" w:space="0" w:color="000000"/>
            </w:tcBorders>
            <w:shd w:val="clear" w:color="auto" w:fill="auto"/>
            <w:hideMark/>
          </w:tcPr>
          <w:p w14:paraId="31A1A677"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1115" w:type="pct"/>
            <w:tcBorders>
              <w:top w:val="single" w:sz="6" w:space="0" w:color="000000"/>
              <w:left w:val="single" w:sz="6" w:space="0" w:color="000000"/>
              <w:bottom w:val="single" w:sz="6" w:space="0" w:color="000000"/>
              <w:right w:val="single" w:sz="6" w:space="0" w:color="000000"/>
            </w:tcBorders>
            <w:shd w:val="clear" w:color="auto" w:fill="auto"/>
            <w:hideMark/>
          </w:tcPr>
          <w:p w14:paraId="217C0384"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2D9FA217" w14:textId="77777777" w:rsidR="007D7FAD" w:rsidRPr="00500A19" w:rsidRDefault="007D7FAD" w:rsidP="0091114C">
            <w:pPr>
              <w:pStyle w:val="Tabletext"/>
              <w:spacing w:before="20" w:after="20"/>
              <w:rPr>
                <w:rFonts w:eastAsia="Calibri"/>
              </w:rPr>
            </w:pPr>
            <w:r w:rsidRPr="00500A19">
              <w:t>Три Исследовательские комиссии</w:t>
            </w:r>
          </w:p>
          <w:p w14:paraId="601A1C9A" w14:textId="77777777" w:rsidR="007D7FAD" w:rsidRPr="00500A19" w:rsidRDefault="007D7FAD" w:rsidP="0091114C">
            <w:pPr>
              <w:pStyle w:val="Tabletext"/>
              <w:spacing w:before="20" w:after="20"/>
              <w:rPr>
                <w:rFonts w:eastAsia="Calibri"/>
              </w:rPr>
            </w:pPr>
            <w:r w:rsidRPr="00500A19">
              <w:t>Шесть Вопросов на исследовательскую комиссию</w:t>
            </w:r>
          </w:p>
        </w:tc>
      </w:tr>
      <w:tr w:rsidR="007D7FAD" w:rsidRPr="00500A19" w14:paraId="5194F09F" w14:textId="77777777" w:rsidTr="009D35EB">
        <w:trPr>
          <w:trHeight w:val="3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hideMark/>
          </w:tcPr>
          <w:p w14:paraId="6EA88220" w14:textId="301EE7C7" w:rsidR="007D7FAD" w:rsidRPr="00500A19" w:rsidRDefault="00ED6B8F" w:rsidP="009D35EB">
            <w:pPr>
              <w:pStyle w:val="Tablehead"/>
            </w:pPr>
            <w:r w:rsidRPr="00500A19">
              <w:t xml:space="preserve">1-я </w:t>
            </w:r>
            <w:r w:rsidR="007D7FAD" w:rsidRPr="00500A19">
              <w:t>Исследовательская комиссия</w:t>
            </w:r>
          </w:p>
        </w:tc>
      </w:tr>
      <w:tr w:rsidR="007120B6" w:rsidRPr="00500A19" w14:paraId="36E2891D" w14:textId="77777777" w:rsidTr="009D35EB">
        <w:trPr>
          <w:trHeight w:val="300"/>
        </w:trPr>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59DFEC49" w14:textId="4C9A23B6" w:rsidR="007D7FAD" w:rsidRPr="00500A19" w:rsidRDefault="007D7FAD" w:rsidP="0091114C">
            <w:pPr>
              <w:pStyle w:val="Tabletext"/>
              <w:spacing w:before="20" w:after="20" w:line="220" w:lineRule="exact"/>
              <w:rPr>
                <w:rFonts w:eastAsia="Calibri"/>
              </w:rPr>
            </w:pPr>
            <w:r w:rsidRPr="00500A19">
              <w:t>Объединить предыдущие Вопросы</w:t>
            </w:r>
            <w:r w:rsidR="007120B6" w:rsidRPr="00500A19">
              <w:t> </w:t>
            </w:r>
            <w:r w:rsidRPr="00500A19">
              <w:t>1/1 и 5/1</w:t>
            </w:r>
          </w:p>
          <w:p w14:paraId="7E789544" w14:textId="7EFDB532" w:rsidR="007D7FAD" w:rsidRPr="00500A19" w:rsidRDefault="003E6913" w:rsidP="0091114C">
            <w:pPr>
              <w:pStyle w:val="Tabletext"/>
              <w:spacing w:before="20" w:after="20" w:line="220" w:lineRule="exact"/>
              <w:rPr>
                <w:rFonts w:eastAsia="Calibri"/>
              </w:rPr>
            </w:pPr>
            <w:r w:rsidRPr="00500A19">
              <w:t>Стимулирующая политика и регулирование для повсеместного распространения возможности установления соединений, включая широкополосную связь, с уделением особого внимания сельским и отдаленным районам</w:t>
            </w:r>
          </w:p>
        </w:tc>
        <w:tc>
          <w:tcPr>
            <w:tcW w:w="912" w:type="pct"/>
            <w:tcBorders>
              <w:top w:val="single" w:sz="6" w:space="0" w:color="000000"/>
              <w:left w:val="single" w:sz="6" w:space="0" w:color="000000"/>
              <w:bottom w:val="single" w:sz="6" w:space="0" w:color="000000"/>
              <w:right w:val="single" w:sz="6" w:space="0" w:color="000000"/>
            </w:tcBorders>
            <w:shd w:val="clear" w:color="auto" w:fill="auto"/>
            <w:hideMark/>
          </w:tcPr>
          <w:p w14:paraId="73034F5B" w14:textId="77777777" w:rsidR="007D7FAD" w:rsidRPr="00500A19" w:rsidRDefault="007D7FAD" w:rsidP="0091114C">
            <w:pPr>
              <w:pStyle w:val="Tabletext"/>
              <w:spacing w:before="20" w:after="20" w:line="220" w:lineRule="exact"/>
              <w:rPr>
                <w:rFonts w:eastAsia="Calibri"/>
              </w:rPr>
            </w:pPr>
            <w:r w:rsidRPr="00500A19">
              <w:t>Аналогично Документу 43 (Председатель) с отличием в заглавии</w:t>
            </w:r>
          </w:p>
          <w:p w14:paraId="6108476C" w14:textId="2E54ABE6" w:rsidR="007D7FAD" w:rsidRPr="00500A19" w:rsidRDefault="003E6913" w:rsidP="0091114C">
            <w:pPr>
              <w:pStyle w:val="Tabletext"/>
              <w:spacing w:before="20" w:after="20" w:line="220" w:lineRule="exact"/>
              <w:rPr>
                <w:rFonts w:eastAsia="Calibri"/>
              </w:rPr>
            </w:pPr>
            <w:r w:rsidRPr="00500A19">
              <w:t xml:space="preserve">Стимулирующая политика и регулирование </w:t>
            </w:r>
            <w:r w:rsidR="007D7FAD" w:rsidRPr="00500A19">
              <w:t>для повсеместного распространения широкополосной связи с уделением особого внимания сельским и отдаленным районам</w:t>
            </w:r>
          </w:p>
        </w:tc>
        <w:tc>
          <w:tcPr>
            <w:tcW w:w="913" w:type="pct"/>
            <w:tcBorders>
              <w:top w:val="single" w:sz="6" w:space="0" w:color="000000"/>
              <w:left w:val="single" w:sz="6" w:space="0" w:color="000000"/>
              <w:bottom w:val="single" w:sz="6" w:space="0" w:color="000000"/>
              <w:right w:val="single" w:sz="6" w:space="0" w:color="000000"/>
            </w:tcBorders>
            <w:shd w:val="clear" w:color="auto" w:fill="auto"/>
            <w:hideMark/>
          </w:tcPr>
          <w:p w14:paraId="15A8F3B2" w14:textId="77777777" w:rsidR="007D7FAD" w:rsidRPr="00500A19" w:rsidRDefault="007D7FAD" w:rsidP="0091114C">
            <w:pPr>
              <w:pStyle w:val="Tabletext"/>
              <w:spacing w:before="20" w:after="20" w:line="220" w:lineRule="exact"/>
              <w:rPr>
                <w:rFonts w:eastAsia="Calibri"/>
              </w:rPr>
            </w:pPr>
            <w:r w:rsidRPr="00500A19">
              <w:t>Аналогично Документу 43 (Председатель) с отличием в заглавии</w:t>
            </w:r>
          </w:p>
          <w:p w14:paraId="0D99B801" w14:textId="77777777" w:rsidR="007D7FAD" w:rsidRPr="00500A19" w:rsidRDefault="007D7FAD" w:rsidP="0091114C">
            <w:pPr>
              <w:pStyle w:val="Tabletext"/>
              <w:spacing w:before="20" w:after="20" w:line="220" w:lineRule="exact"/>
              <w:rPr>
                <w:rFonts w:eastAsia="Calibri"/>
              </w:rPr>
            </w:pPr>
            <w:r w:rsidRPr="00500A19">
              <w:t>Универсальный охват широкополосной связью с уделением особого внимания отдаленным и сельским районам</w:t>
            </w:r>
          </w:p>
        </w:tc>
        <w:tc>
          <w:tcPr>
            <w:tcW w:w="1115" w:type="pct"/>
            <w:tcBorders>
              <w:top w:val="single" w:sz="6" w:space="0" w:color="000000"/>
              <w:left w:val="single" w:sz="6" w:space="0" w:color="000000"/>
              <w:bottom w:val="single" w:sz="6" w:space="0" w:color="000000"/>
              <w:right w:val="single" w:sz="6" w:space="0" w:color="000000"/>
            </w:tcBorders>
            <w:shd w:val="clear" w:color="auto" w:fill="auto"/>
            <w:hideMark/>
          </w:tcPr>
          <w:p w14:paraId="5D34A4A6" w14:textId="77777777" w:rsidR="007D7FAD" w:rsidRPr="00500A19" w:rsidRDefault="007D7FAD" w:rsidP="0091114C">
            <w:pPr>
              <w:pStyle w:val="Tabletext"/>
              <w:spacing w:before="20" w:after="20" w:line="220" w:lineRule="exact"/>
              <w:rPr>
                <w:rFonts w:eastAsia="Calibri"/>
              </w:rPr>
            </w:pPr>
            <w:r w:rsidRPr="00500A19">
              <w:t>Аналогично Документу 43 (Председатель)</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479D6D8A" w14:textId="77777777" w:rsidR="007D7FAD" w:rsidRPr="00500A19" w:rsidRDefault="007D7FAD" w:rsidP="0091114C">
            <w:pPr>
              <w:pStyle w:val="Tabletext"/>
              <w:spacing w:before="20" w:after="20" w:line="220" w:lineRule="exact"/>
              <w:rPr>
                <w:rFonts w:eastAsia="Calibri"/>
              </w:rPr>
            </w:pPr>
            <w:r w:rsidRPr="00500A19">
              <w:t>Аналогично Документу 43 (Председатель) в аспекте объединения Вопросов 1/1 и 5/1</w:t>
            </w:r>
          </w:p>
          <w:p w14:paraId="7D801CEC" w14:textId="77777777" w:rsidR="007D7FAD" w:rsidRPr="00500A19" w:rsidRDefault="007D7FAD" w:rsidP="0091114C">
            <w:pPr>
              <w:pStyle w:val="Tabletext"/>
              <w:spacing w:before="20" w:after="20" w:line="220" w:lineRule="exact"/>
              <w:rPr>
                <w:rFonts w:eastAsia="Calibri"/>
              </w:rPr>
            </w:pPr>
            <w:r w:rsidRPr="00500A19">
              <w:t>с отличием в заглавии (Инфраструктура) и охвате (включает текущий Вопрос 2/1 в части перехода к DTV)</w:t>
            </w:r>
          </w:p>
        </w:tc>
      </w:tr>
      <w:tr w:rsidR="007120B6" w:rsidRPr="00500A19" w14:paraId="12CA9CE3" w14:textId="77777777" w:rsidTr="009D35EB">
        <w:trPr>
          <w:trHeight w:val="300"/>
        </w:trPr>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2BB2EF49" w14:textId="77777777" w:rsidR="007D7FAD" w:rsidRPr="00500A19" w:rsidRDefault="007D7FAD" w:rsidP="0091114C">
            <w:pPr>
              <w:pStyle w:val="Tabletext"/>
              <w:spacing w:before="20" w:after="20"/>
              <w:rPr>
                <w:rFonts w:eastAsia="Calibri"/>
              </w:rPr>
            </w:pPr>
            <w:r w:rsidRPr="00500A19">
              <w:t>Изменить заглавие предыдущего Вопроса 2/1</w:t>
            </w:r>
          </w:p>
          <w:p w14:paraId="0A927D85" w14:textId="10E8A936" w:rsidR="007D7FAD" w:rsidRPr="00500A19" w:rsidRDefault="003E6913" w:rsidP="0091114C">
            <w:pPr>
              <w:pStyle w:val="Tabletext"/>
              <w:spacing w:before="20" w:after="20"/>
              <w:rPr>
                <w:rFonts w:eastAsia="Calibri"/>
              </w:rPr>
            </w:pPr>
            <w:r w:rsidRPr="00500A19">
              <w:t>Стимулирующая политика и регулирование для внедрения цифровых технологий для распространения контента и радиовещания</w:t>
            </w:r>
          </w:p>
        </w:tc>
        <w:tc>
          <w:tcPr>
            <w:tcW w:w="912" w:type="pct"/>
            <w:tcBorders>
              <w:top w:val="single" w:sz="6" w:space="0" w:color="000000"/>
              <w:left w:val="single" w:sz="6" w:space="0" w:color="000000"/>
              <w:bottom w:val="single" w:sz="6" w:space="0" w:color="000000"/>
              <w:right w:val="single" w:sz="6" w:space="0" w:color="000000"/>
            </w:tcBorders>
            <w:shd w:val="clear" w:color="auto" w:fill="auto"/>
            <w:hideMark/>
          </w:tcPr>
          <w:p w14:paraId="30E5FB0F"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913" w:type="pct"/>
            <w:tcBorders>
              <w:top w:val="single" w:sz="6" w:space="0" w:color="000000"/>
              <w:left w:val="single" w:sz="6" w:space="0" w:color="000000"/>
              <w:bottom w:val="single" w:sz="6" w:space="0" w:color="000000"/>
              <w:right w:val="single" w:sz="6" w:space="0" w:color="000000"/>
            </w:tcBorders>
            <w:shd w:val="clear" w:color="auto" w:fill="auto"/>
            <w:hideMark/>
          </w:tcPr>
          <w:p w14:paraId="01DD3A95" w14:textId="0D4A1A3F" w:rsidR="007D7FAD" w:rsidRPr="00500A19" w:rsidRDefault="007D7FAD" w:rsidP="0091114C">
            <w:pPr>
              <w:pStyle w:val="Tabletext"/>
              <w:spacing w:before="20" w:after="20"/>
              <w:rPr>
                <w:rFonts w:eastAsia="Calibri"/>
              </w:rPr>
            </w:pPr>
            <w:r w:rsidRPr="00500A19">
              <w:t xml:space="preserve">Аналогично Документу 43 (Председатель) с отличием в заглавии Внедрение цифровых технологий для </w:t>
            </w:r>
            <w:r w:rsidR="003E6913" w:rsidRPr="00500A19">
              <w:t xml:space="preserve">распространения </w:t>
            </w:r>
            <w:r w:rsidRPr="00500A19">
              <w:t>контента и радиовещания</w:t>
            </w:r>
          </w:p>
        </w:tc>
        <w:tc>
          <w:tcPr>
            <w:tcW w:w="1115" w:type="pct"/>
            <w:tcBorders>
              <w:top w:val="single" w:sz="6" w:space="0" w:color="000000"/>
              <w:left w:val="single" w:sz="6" w:space="0" w:color="000000"/>
              <w:bottom w:val="single" w:sz="6" w:space="0" w:color="000000"/>
              <w:right w:val="single" w:sz="6" w:space="0" w:color="000000"/>
            </w:tcBorders>
            <w:shd w:val="clear" w:color="auto" w:fill="auto"/>
            <w:hideMark/>
          </w:tcPr>
          <w:p w14:paraId="1F1D0839"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37D13EFD" w14:textId="5530E40D" w:rsidR="007D7FAD" w:rsidRPr="00500A19" w:rsidRDefault="007D7FAD" w:rsidP="0091114C">
            <w:pPr>
              <w:pStyle w:val="Tabletext"/>
              <w:spacing w:before="20" w:after="20" w:line="220" w:lineRule="exact"/>
              <w:rPr>
                <w:rFonts w:eastAsia="Calibri"/>
              </w:rPr>
            </w:pPr>
            <w:r w:rsidRPr="00500A19">
              <w:t>Аналогично Документу 43 (Председатель) в аспекте изменения предыдущего Вопроса</w:t>
            </w:r>
            <w:r w:rsidR="008C6FDA" w:rsidRPr="00500A19">
              <w:t> </w:t>
            </w:r>
            <w:r w:rsidRPr="00500A19">
              <w:t>2/1</w:t>
            </w:r>
          </w:p>
          <w:p w14:paraId="716A36F1" w14:textId="1788D72C" w:rsidR="007D7FAD" w:rsidRPr="00500A19" w:rsidRDefault="007D7FAD" w:rsidP="0091114C">
            <w:pPr>
              <w:pStyle w:val="Tabletext"/>
              <w:spacing w:before="20" w:after="20" w:line="220" w:lineRule="exact"/>
              <w:rPr>
                <w:rFonts w:eastAsia="Calibri"/>
              </w:rPr>
            </w:pPr>
            <w:r w:rsidRPr="00500A19">
              <w:t>с отличием в заглавии (Ресурс) и охвате (текущий Вопрос 2/1 в части планирования использования спектра и цифрового дивиденда + добавление темы орбитального ресурса + текущий Вопрос 7/2 об информационных ресурсах по</w:t>
            </w:r>
            <w:r w:rsidR="008C6FDA" w:rsidRPr="00500A19">
              <w:t> </w:t>
            </w:r>
            <w:r w:rsidRPr="00500A19">
              <w:t>ЭМП)</w:t>
            </w:r>
          </w:p>
        </w:tc>
      </w:tr>
      <w:tr w:rsidR="007120B6" w:rsidRPr="00500A19" w14:paraId="110A3BF1" w14:textId="77777777" w:rsidTr="009D35EB">
        <w:trPr>
          <w:trHeight w:val="300"/>
        </w:trPr>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01F16225" w14:textId="77777777" w:rsidR="007D7FAD" w:rsidRPr="00500A19" w:rsidRDefault="007D7FAD" w:rsidP="0091114C">
            <w:pPr>
              <w:pStyle w:val="Tabletext"/>
              <w:spacing w:before="20" w:after="20"/>
              <w:rPr>
                <w:rFonts w:eastAsia="Calibri"/>
              </w:rPr>
            </w:pPr>
            <w:r w:rsidRPr="00500A19">
              <w:lastRenderedPageBreak/>
              <w:t>Сохранить Вопрос 3/1</w:t>
            </w:r>
          </w:p>
          <w:p w14:paraId="244EE954" w14:textId="77777777" w:rsidR="007D7FAD" w:rsidRPr="00500A19" w:rsidRDefault="007D7FAD" w:rsidP="0091114C">
            <w:pPr>
              <w:pStyle w:val="Tabletext"/>
              <w:spacing w:before="20" w:after="20"/>
              <w:rPr>
                <w:rFonts w:eastAsia="Calibri"/>
              </w:rPr>
            </w:pPr>
            <w:r w:rsidRPr="00500A19">
              <w:t>Использование электросвязи/ИКТ для снижения риска бедствий и управления операциями в случае бедствий</w:t>
            </w:r>
          </w:p>
        </w:tc>
        <w:tc>
          <w:tcPr>
            <w:tcW w:w="912" w:type="pct"/>
            <w:tcBorders>
              <w:top w:val="single" w:sz="6" w:space="0" w:color="000000"/>
              <w:left w:val="single" w:sz="6" w:space="0" w:color="000000"/>
              <w:bottom w:val="single" w:sz="6" w:space="0" w:color="000000"/>
              <w:right w:val="single" w:sz="6" w:space="0" w:color="000000"/>
            </w:tcBorders>
            <w:shd w:val="clear" w:color="auto" w:fill="auto"/>
            <w:hideMark/>
          </w:tcPr>
          <w:p w14:paraId="025A04BA"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913" w:type="pct"/>
            <w:tcBorders>
              <w:top w:val="single" w:sz="6" w:space="0" w:color="000000"/>
              <w:left w:val="single" w:sz="6" w:space="0" w:color="000000"/>
              <w:bottom w:val="single" w:sz="6" w:space="0" w:color="000000"/>
              <w:right w:val="single" w:sz="6" w:space="0" w:color="000000"/>
            </w:tcBorders>
            <w:shd w:val="clear" w:color="auto" w:fill="auto"/>
            <w:hideMark/>
          </w:tcPr>
          <w:p w14:paraId="52740971" w14:textId="77777777" w:rsidR="007D7FAD" w:rsidRPr="00500A19" w:rsidRDefault="007D7FAD" w:rsidP="0091114C">
            <w:pPr>
              <w:pStyle w:val="Tabletext"/>
              <w:spacing w:before="20" w:after="20"/>
              <w:rPr>
                <w:rFonts w:eastAsia="Calibri"/>
              </w:rPr>
            </w:pPr>
            <w:r w:rsidRPr="00500A19">
              <w:t>Сохранить Вопрос 3/1</w:t>
            </w:r>
          </w:p>
          <w:p w14:paraId="489B24E5" w14:textId="77777777" w:rsidR="007D7FAD" w:rsidRPr="00500A19" w:rsidRDefault="007D7FAD" w:rsidP="0091114C">
            <w:pPr>
              <w:pStyle w:val="Tabletext"/>
              <w:spacing w:before="20" w:after="20"/>
              <w:rPr>
                <w:rFonts w:eastAsia="Calibri"/>
              </w:rPr>
            </w:pPr>
            <w:r w:rsidRPr="00500A19">
              <w:t>Устойчивая электросвязь/ИКТ для управления рисками в случае чрезвычайных ситуаций и бедствий</w:t>
            </w:r>
          </w:p>
        </w:tc>
        <w:tc>
          <w:tcPr>
            <w:tcW w:w="1115" w:type="pct"/>
            <w:tcBorders>
              <w:top w:val="single" w:sz="6" w:space="0" w:color="000000"/>
              <w:left w:val="single" w:sz="6" w:space="0" w:color="000000"/>
              <w:bottom w:val="single" w:sz="6" w:space="0" w:color="000000"/>
              <w:right w:val="single" w:sz="6" w:space="0" w:color="000000"/>
            </w:tcBorders>
            <w:shd w:val="clear" w:color="auto" w:fill="auto"/>
            <w:hideMark/>
          </w:tcPr>
          <w:p w14:paraId="02E344CE"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p w14:paraId="63D33D9E" w14:textId="77777777" w:rsidR="007D7FAD" w:rsidRPr="00500A19" w:rsidRDefault="007D7FAD" w:rsidP="0091114C">
            <w:pPr>
              <w:pStyle w:val="Tabletext"/>
              <w:spacing w:before="20" w:after="20"/>
              <w:rPr>
                <w:rFonts w:eastAsia="Calibri"/>
              </w:rPr>
            </w:pPr>
            <w:r w:rsidRPr="00500A19">
              <w:t>АСЭ предложил ряд изменений для круга ведения</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39EFCBBD" w14:textId="3BC34BFE" w:rsidR="007D7FAD" w:rsidRPr="00500A19" w:rsidRDefault="007D7FAD" w:rsidP="0091114C">
            <w:pPr>
              <w:pStyle w:val="Tabletext"/>
              <w:spacing w:before="20" w:after="20"/>
              <w:rPr>
                <w:rFonts w:eastAsia="Calibri"/>
              </w:rPr>
            </w:pPr>
            <w:r w:rsidRPr="00500A19">
              <w:t>Аналогично Документу 43 (Председатель) в аспекте сохранения предыдущего Вопроса</w:t>
            </w:r>
            <w:r w:rsidR="008C6FDA" w:rsidRPr="00500A19">
              <w:t> </w:t>
            </w:r>
            <w:r w:rsidRPr="00500A19">
              <w:t>3/1</w:t>
            </w:r>
          </w:p>
          <w:p w14:paraId="3F67ED5F" w14:textId="77777777" w:rsidR="007D7FAD" w:rsidRPr="00500A19" w:rsidRDefault="007D7FAD" w:rsidP="0091114C">
            <w:pPr>
              <w:pStyle w:val="Tabletext"/>
              <w:spacing w:before="20" w:after="20"/>
              <w:rPr>
                <w:rFonts w:eastAsia="Calibri"/>
              </w:rPr>
            </w:pPr>
            <w:r w:rsidRPr="00500A19">
              <w:t>с отличием в заглавии (Потребители) и охвате (текущий Вопрос 6/1 + текущий Вопрос 5/2 в части цифровых навыков)</w:t>
            </w:r>
          </w:p>
        </w:tc>
      </w:tr>
      <w:tr w:rsidR="007120B6" w:rsidRPr="00500A19" w14:paraId="3DAC50DF" w14:textId="77777777" w:rsidTr="009D35EB">
        <w:trPr>
          <w:trHeight w:val="300"/>
        </w:trPr>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50AA4BA4" w14:textId="77777777" w:rsidR="007D7FAD" w:rsidRPr="00500A19" w:rsidRDefault="007D7FAD" w:rsidP="0091114C">
            <w:pPr>
              <w:pStyle w:val="Tabletext"/>
              <w:spacing w:before="20" w:after="20"/>
              <w:rPr>
                <w:rFonts w:eastAsia="Calibri"/>
              </w:rPr>
            </w:pPr>
            <w:r w:rsidRPr="00500A19">
              <w:t>Сохранить Вопрос 4/1</w:t>
            </w:r>
          </w:p>
          <w:p w14:paraId="3024AA2C" w14:textId="77777777" w:rsidR="007D7FAD" w:rsidRPr="00500A19" w:rsidRDefault="007D7FAD" w:rsidP="0091114C">
            <w:pPr>
              <w:pStyle w:val="Tabletext"/>
              <w:spacing w:before="20" w:after="20"/>
              <w:rPr>
                <w:rFonts w:eastAsia="Calibri"/>
              </w:rPr>
            </w:pPr>
            <w:r w:rsidRPr="00500A19">
              <w:t>Экономические аспекты национальной электросвязи/ИКТ</w:t>
            </w:r>
          </w:p>
        </w:tc>
        <w:tc>
          <w:tcPr>
            <w:tcW w:w="912" w:type="pct"/>
            <w:tcBorders>
              <w:top w:val="single" w:sz="6" w:space="0" w:color="000000"/>
              <w:left w:val="single" w:sz="6" w:space="0" w:color="000000"/>
              <w:bottom w:val="single" w:sz="6" w:space="0" w:color="000000"/>
              <w:right w:val="single" w:sz="6" w:space="0" w:color="000000"/>
            </w:tcBorders>
            <w:shd w:val="clear" w:color="auto" w:fill="auto"/>
            <w:hideMark/>
          </w:tcPr>
          <w:p w14:paraId="09A11A6D"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913" w:type="pct"/>
            <w:tcBorders>
              <w:top w:val="single" w:sz="6" w:space="0" w:color="000000"/>
              <w:left w:val="single" w:sz="6" w:space="0" w:color="000000"/>
              <w:bottom w:val="single" w:sz="6" w:space="0" w:color="000000"/>
              <w:right w:val="single" w:sz="6" w:space="0" w:color="000000"/>
            </w:tcBorders>
            <w:shd w:val="clear" w:color="auto" w:fill="auto"/>
            <w:hideMark/>
          </w:tcPr>
          <w:p w14:paraId="047F832B"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1115" w:type="pct"/>
            <w:tcBorders>
              <w:top w:val="single" w:sz="6" w:space="0" w:color="000000"/>
              <w:left w:val="single" w:sz="6" w:space="0" w:color="000000"/>
              <w:bottom w:val="single" w:sz="6" w:space="0" w:color="000000"/>
              <w:right w:val="single" w:sz="6" w:space="0" w:color="000000"/>
            </w:tcBorders>
            <w:shd w:val="clear" w:color="auto" w:fill="auto"/>
            <w:hideMark/>
          </w:tcPr>
          <w:p w14:paraId="2AD7CB9C"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33AAE1FC"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r>
      <w:tr w:rsidR="007120B6" w:rsidRPr="00500A19" w14:paraId="0E67CEA4" w14:textId="77777777" w:rsidTr="009D35EB">
        <w:trPr>
          <w:trHeight w:val="300"/>
        </w:trPr>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16A74A10" w14:textId="77777777" w:rsidR="007D7FAD" w:rsidRPr="00500A19" w:rsidRDefault="007D7FAD" w:rsidP="0091114C">
            <w:pPr>
              <w:pStyle w:val="Tabletext"/>
              <w:spacing w:before="20" w:after="20"/>
              <w:rPr>
                <w:rFonts w:eastAsia="Calibri"/>
              </w:rPr>
            </w:pPr>
            <w:r w:rsidRPr="00500A19">
              <w:t>Объединить предыдущий Вопрос 6/1 с предыдущим Вопросом 7/1</w:t>
            </w:r>
          </w:p>
          <w:p w14:paraId="2AD1137E" w14:textId="2B36831B" w:rsidR="007D7FAD" w:rsidRPr="00500A19" w:rsidRDefault="003E6913" w:rsidP="0091114C">
            <w:pPr>
              <w:pStyle w:val="Tabletext"/>
              <w:spacing w:before="20" w:after="20"/>
              <w:rPr>
                <w:rFonts w:eastAsia="Calibri"/>
              </w:rPr>
            </w:pPr>
            <w:r w:rsidRPr="00500A19">
              <w:t>Защита потребителей и всеобщая и реальная доступность</w:t>
            </w:r>
          </w:p>
        </w:tc>
        <w:tc>
          <w:tcPr>
            <w:tcW w:w="912" w:type="pct"/>
            <w:tcBorders>
              <w:top w:val="single" w:sz="6" w:space="0" w:color="000000"/>
              <w:left w:val="single" w:sz="6" w:space="0" w:color="000000"/>
              <w:bottom w:val="single" w:sz="6" w:space="0" w:color="000000"/>
              <w:right w:val="single" w:sz="6" w:space="0" w:color="000000"/>
            </w:tcBorders>
            <w:shd w:val="clear" w:color="auto" w:fill="auto"/>
            <w:hideMark/>
          </w:tcPr>
          <w:p w14:paraId="31E58DC9" w14:textId="77777777" w:rsidR="007D7FAD" w:rsidRPr="00500A19" w:rsidRDefault="007D7FAD" w:rsidP="0091114C">
            <w:pPr>
              <w:pStyle w:val="Tabletext"/>
              <w:spacing w:before="20" w:after="20"/>
              <w:rPr>
                <w:rFonts w:eastAsia="Calibri"/>
              </w:rPr>
            </w:pPr>
            <w:r w:rsidRPr="00500A19">
              <w:t xml:space="preserve">Аналогично Документу 43 (Председатель) </w:t>
            </w:r>
          </w:p>
        </w:tc>
        <w:tc>
          <w:tcPr>
            <w:tcW w:w="913" w:type="pct"/>
            <w:tcBorders>
              <w:top w:val="single" w:sz="6" w:space="0" w:color="000000"/>
              <w:left w:val="single" w:sz="6" w:space="0" w:color="000000"/>
              <w:bottom w:val="single" w:sz="6" w:space="0" w:color="000000"/>
              <w:right w:val="single" w:sz="6" w:space="0" w:color="000000"/>
            </w:tcBorders>
            <w:shd w:val="clear" w:color="auto" w:fill="auto"/>
            <w:hideMark/>
          </w:tcPr>
          <w:p w14:paraId="4E7D16A9"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tc>
        <w:tc>
          <w:tcPr>
            <w:tcW w:w="1115" w:type="pct"/>
            <w:tcBorders>
              <w:top w:val="single" w:sz="6" w:space="0" w:color="000000"/>
              <w:left w:val="single" w:sz="6" w:space="0" w:color="000000"/>
              <w:bottom w:val="single" w:sz="6" w:space="0" w:color="000000"/>
              <w:right w:val="single" w:sz="6" w:space="0" w:color="000000"/>
            </w:tcBorders>
            <w:shd w:val="clear" w:color="auto" w:fill="auto"/>
            <w:hideMark/>
          </w:tcPr>
          <w:p w14:paraId="2FDB258A" w14:textId="77777777" w:rsidR="007D7FAD" w:rsidRPr="00500A19" w:rsidRDefault="007D7FAD" w:rsidP="0091114C">
            <w:pPr>
              <w:pStyle w:val="Tabletext"/>
              <w:spacing w:before="20" w:after="20"/>
              <w:rPr>
                <w:rFonts w:eastAsia="Calibri"/>
              </w:rPr>
            </w:pPr>
            <w:r w:rsidRPr="00500A19">
              <w:t>Аналогично Документу 43 (Председатель)</w:t>
            </w:r>
          </w:p>
          <w:p w14:paraId="053BF84D" w14:textId="77777777" w:rsidR="007D7FAD" w:rsidRPr="00500A19" w:rsidRDefault="007D7FAD" w:rsidP="0091114C">
            <w:pPr>
              <w:pStyle w:val="Tabletext"/>
              <w:spacing w:before="20" w:after="20"/>
              <w:rPr>
                <w:rFonts w:eastAsia="Calibri"/>
              </w:rPr>
            </w:pPr>
            <w:r w:rsidRPr="00500A19">
              <w:t>АСЭ предлагает обеспечить уделение достаточного внимания вопросу доступности за счет назначения двух Докладчиков по Вопросу B/1, при этом возложив на одного из Докладчиков ответственность за стимулирование предоставления вкладов по вопросу доступности и отслеживание проблем в сфере доступности</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68B15B4A" w14:textId="77777777" w:rsidR="007D7FAD" w:rsidRPr="00500A19" w:rsidRDefault="007D7FAD" w:rsidP="0091114C">
            <w:pPr>
              <w:pStyle w:val="Tabletext"/>
              <w:spacing w:before="20" w:after="20"/>
              <w:rPr>
                <w:rFonts w:eastAsia="Calibri"/>
              </w:rPr>
            </w:pPr>
            <w:r w:rsidRPr="00500A19">
              <w:t>Сходство отсутствует</w:t>
            </w:r>
          </w:p>
          <w:p w14:paraId="7708245C" w14:textId="052A1CED" w:rsidR="007D7FAD" w:rsidRPr="00500A19" w:rsidRDefault="007D7FAD" w:rsidP="0091114C">
            <w:pPr>
              <w:pStyle w:val="Tabletext"/>
              <w:spacing w:before="20" w:after="20"/>
              <w:rPr>
                <w:rFonts w:eastAsia="Calibri"/>
              </w:rPr>
            </w:pPr>
            <w:r w:rsidRPr="00500A19">
              <w:t>Другой заголовок (Устройства) и другой охват (новая тема доступности устройств + текущий Вопрос 5/2 в части внедрения ИКТ</w:t>
            </w:r>
            <w:r w:rsidR="002A1334" w:rsidRPr="00500A19">
              <w:t> </w:t>
            </w:r>
            <w:r w:rsidRPr="00500A19">
              <w:t>+</w:t>
            </w:r>
            <w:r w:rsidR="002A1334" w:rsidRPr="00500A19">
              <w:t> </w:t>
            </w:r>
            <w:r w:rsidRPr="00500A19">
              <w:t>текущий Вопрос 4/2)</w:t>
            </w:r>
          </w:p>
        </w:tc>
      </w:tr>
      <w:tr w:rsidR="007120B6" w:rsidRPr="00500A19" w14:paraId="3C59D0E3" w14:textId="77777777" w:rsidTr="009D35EB">
        <w:trPr>
          <w:trHeight w:val="300"/>
        </w:trPr>
        <w:tc>
          <w:tcPr>
            <w:tcW w:w="910" w:type="pct"/>
            <w:tcBorders>
              <w:top w:val="single" w:sz="6" w:space="0" w:color="000000"/>
              <w:left w:val="single" w:sz="6" w:space="0" w:color="000000"/>
              <w:bottom w:val="single" w:sz="6" w:space="0" w:color="000000"/>
              <w:right w:val="single" w:sz="6" w:space="0" w:color="000000"/>
            </w:tcBorders>
            <w:shd w:val="clear" w:color="auto" w:fill="auto"/>
            <w:hideMark/>
          </w:tcPr>
          <w:p w14:paraId="3F6F2EBD" w14:textId="77777777" w:rsidR="007D7FAD" w:rsidRPr="00500A19" w:rsidRDefault="007D7FAD" w:rsidP="0091114C">
            <w:pPr>
              <w:pStyle w:val="Tabletext"/>
              <w:spacing w:before="20" w:after="20"/>
              <w:rPr>
                <w:rFonts w:eastAsia="Calibri"/>
              </w:rPr>
            </w:pPr>
          </w:p>
        </w:tc>
        <w:tc>
          <w:tcPr>
            <w:tcW w:w="912" w:type="pct"/>
            <w:tcBorders>
              <w:top w:val="single" w:sz="6" w:space="0" w:color="000000"/>
              <w:left w:val="single" w:sz="6" w:space="0" w:color="000000"/>
              <w:bottom w:val="single" w:sz="6" w:space="0" w:color="000000"/>
              <w:right w:val="single" w:sz="6" w:space="0" w:color="000000"/>
            </w:tcBorders>
            <w:shd w:val="clear" w:color="auto" w:fill="auto"/>
            <w:hideMark/>
          </w:tcPr>
          <w:p w14:paraId="2760D53D" w14:textId="77777777" w:rsidR="007D7FAD" w:rsidRPr="00500A19" w:rsidRDefault="007D7FAD" w:rsidP="0091114C">
            <w:pPr>
              <w:pStyle w:val="Tabletext"/>
              <w:spacing w:before="20" w:after="20"/>
              <w:rPr>
                <w:rFonts w:eastAsia="Calibri"/>
              </w:rPr>
            </w:pPr>
          </w:p>
        </w:tc>
        <w:tc>
          <w:tcPr>
            <w:tcW w:w="913" w:type="pct"/>
            <w:tcBorders>
              <w:top w:val="single" w:sz="6" w:space="0" w:color="000000"/>
              <w:left w:val="single" w:sz="6" w:space="0" w:color="000000"/>
              <w:bottom w:val="single" w:sz="6" w:space="0" w:color="000000"/>
              <w:right w:val="single" w:sz="6" w:space="0" w:color="000000"/>
            </w:tcBorders>
            <w:shd w:val="clear" w:color="auto" w:fill="auto"/>
            <w:hideMark/>
          </w:tcPr>
          <w:p w14:paraId="48E15110" w14:textId="77777777" w:rsidR="007D7FAD" w:rsidRPr="00500A19" w:rsidRDefault="007D7FAD" w:rsidP="0091114C">
            <w:pPr>
              <w:pStyle w:val="Tabletext"/>
              <w:spacing w:before="20" w:after="20"/>
              <w:rPr>
                <w:rFonts w:eastAsia="Calibri"/>
              </w:rPr>
            </w:pPr>
          </w:p>
        </w:tc>
        <w:tc>
          <w:tcPr>
            <w:tcW w:w="1115" w:type="pct"/>
            <w:tcBorders>
              <w:top w:val="single" w:sz="6" w:space="0" w:color="000000"/>
              <w:left w:val="single" w:sz="6" w:space="0" w:color="000000"/>
              <w:bottom w:val="single" w:sz="6" w:space="0" w:color="000000"/>
              <w:right w:val="single" w:sz="6" w:space="0" w:color="000000"/>
            </w:tcBorders>
            <w:shd w:val="clear" w:color="auto" w:fill="auto"/>
            <w:hideMark/>
          </w:tcPr>
          <w:p w14:paraId="06EFACBB" w14:textId="77777777" w:rsidR="007D7FAD" w:rsidRPr="00500A19" w:rsidRDefault="007D7FAD" w:rsidP="0091114C">
            <w:pPr>
              <w:pStyle w:val="Tabletext"/>
              <w:spacing w:before="20" w:after="20"/>
              <w:rPr>
                <w:rFonts w:eastAsia="Calibri"/>
              </w:rPr>
            </w:pP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33C23436" w14:textId="77777777" w:rsidR="007D7FAD" w:rsidRPr="00500A19" w:rsidRDefault="007D7FAD" w:rsidP="0091114C">
            <w:pPr>
              <w:pStyle w:val="Tabletext"/>
              <w:spacing w:before="20" w:after="20"/>
              <w:rPr>
                <w:rFonts w:eastAsia="Calibri"/>
              </w:rPr>
            </w:pPr>
            <w:r w:rsidRPr="00500A19">
              <w:t>Дополнительное заглавие (Безопасность) и охват (текущий Вопрос 3/2) Вопроса 6/1</w:t>
            </w:r>
          </w:p>
        </w:tc>
      </w:tr>
    </w:tbl>
    <w:p w14:paraId="3EB97819" w14:textId="725B73C6" w:rsidR="007120B6" w:rsidRPr="00500A19" w:rsidRDefault="007D7FAD" w:rsidP="00D45E77">
      <w:pPr>
        <w:overflowPunct/>
        <w:autoSpaceDE/>
        <w:autoSpaceDN/>
        <w:adjustRightInd/>
        <w:spacing w:before="0"/>
        <w:textAlignment w:val="auto"/>
        <w:rPr>
          <w:rFonts w:cstheme="minorHAnsi"/>
          <w:szCs w:val="22"/>
        </w:rPr>
      </w:pPr>
      <w:r w:rsidRPr="00500A19">
        <w:rPr>
          <w:rFonts w:cstheme="minorHAnsi"/>
          <w:szCs w:val="22"/>
        </w:rPr>
        <w:t>Примечание</w:t>
      </w:r>
      <w:r w:rsidR="00784E95" w:rsidRPr="00500A19">
        <w:rPr>
          <w:rFonts w:cstheme="minorHAnsi"/>
          <w:szCs w:val="22"/>
        </w:rPr>
        <w:t>:</w:t>
      </w:r>
    </w:p>
    <w:p w14:paraId="4F784B68" w14:textId="1A2FEB3C" w:rsidR="007D7FAD" w:rsidRPr="00500A19" w:rsidRDefault="007D7FAD" w:rsidP="007120B6">
      <w:pPr>
        <w:pStyle w:val="Tablelegend"/>
        <w:tabs>
          <w:tab w:val="left" w:pos="284"/>
        </w:tabs>
        <w:rPr>
          <w:rFonts w:eastAsia="Calibri"/>
        </w:rPr>
      </w:pPr>
      <w:r w:rsidRPr="00500A19">
        <w:t>*</w:t>
      </w:r>
      <w:r w:rsidR="007120B6" w:rsidRPr="00500A19">
        <w:tab/>
      </w:r>
      <w:r w:rsidRPr="00500A19">
        <w:t>Ниже приведено предложение 3-й Исследовательской комиссии, содержащееся в Документе 37 (РСС):</w:t>
      </w:r>
    </w:p>
    <w:p w14:paraId="54F1B284" w14:textId="26345B37" w:rsidR="007D7FAD" w:rsidRPr="00500A19" w:rsidRDefault="007D7FAD" w:rsidP="008C6FDA">
      <w:pPr>
        <w:pStyle w:val="Headingb"/>
        <w:pageBreakBefore/>
        <w:rPr>
          <w:rFonts w:eastAsia="Calibri"/>
          <w:lang w:val="ru-RU"/>
        </w:rPr>
      </w:pPr>
      <w:r w:rsidRPr="00500A19">
        <w:rPr>
          <w:lang w:val="ru-RU"/>
        </w:rPr>
        <w:lastRenderedPageBreak/>
        <w:t xml:space="preserve">ИК3 </w:t>
      </w:r>
      <w:r w:rsidR="0091114C" w:rsidRPr="00500A19">
        <w:rPr>
          <w:lang w:val="ru-RU"/>
        </w:rPr>
        <w:sym w:font="Symbol" w:char="F02D"/>
      </w:r>
      <w:r w:rsidRPr="00500A19">
        <w:rPr>
          <w:lang w:val="ru-RU"/>
        </w:rPr>
        <w:t xml:space="preserve"> Измерение электросвязи/ИКТ</w:t>
      </w:r>
    </w:p>
    <w:p w14:paraId="575A54B5" w14:textId="0AB3E835" w:rsidR="007D7FAD" w:rsidRPr="00500A19" w:rsidRDefault="008C6FDA" w:rsidP="008C6FDA">
      <w:pPr>
        <w:pStyle w:val="enumlev1"/>
        <w:rPr>
          <w:rFonts w:eastAsia="Calibri"/>
        </w:rPr>
      </w:pPr>
      <w:r w:rsidRPr="00500A19">
        <w:t>•</w:t>
      </w:r>
      <w:r w:rsidRPr="00500A19">
        <w:tab/>
      </w:r>
      <w:r w:rsidR="007D7FAD" w:rsidRPr="00500A19">
        <w:t>Вопрос 1/3 – Измерение цифрового разрыва (Индекс развития электросвязи/ИКТ (IDI) (Новая тема, основанная на совместной работе EGTI/EGH по IDI);</w:t>
      </w:r>
    </w:p>
    <w:p w14:paraId="3F708D07" w14:textId="106AEC88" w:rsidR="007D7FAD" w:rsidRPr="00500A19" w:rsidRDefault="008C6FDA" w:rsidP="008C6FDA">
      <w:pPr>
        <w:pStyle w:val="enumlev1"/>
        <w:rPr>
          <w:rFonts w:eastAsia="Calibri"/>
        </w:rPr>
      </w:pPr>
      <w:r w:rsidRPr="00500A19">
        <w:t>•</w:t>
      </w:r>
      <w:r w:rsidRPr="00500A19">
        <w:tab/>
      </w:r>
      <w:r w:rsidR="007D7FAD" w:rsidRPr="00500A19">
        <w:t>Вопрос 2/3 – Измерение в области политического управления (Обследование в области управления ИКТ) (Новая тема, связанная с работой БРЭ и различными Вопросами ИК</w:t>
      </w:r>
      <w:r w:rsidR="006A395E" w:rsidRPr="00500A19">
        <w:t> </w:t>
      </w:r>
      <w:r w:rsidR="007D7FAD" w:rsidRPr="00500A19">
        <w:t>1 и 2);</w:t>
      </w:r>
    </w:p>
    <w:p w14:paraId="5BDF2740" w14:textId="3C728527" w:rsidR="007D7FAD" w:rsidRPr="00500A19" w:rsidRDefault="008C6FDA" w:rsidP="008C6FDA">
      <w:pPr>
        <w:pStyle w:val="enumlev1"/>
        <w:rPr>
          <w:rFonts w:eastAsia="Calibri"/>
        </w:rPr>
      </w:pPr>
      <w:r w:rsidRPr="00500A19">
        <w:t>•</w:t>
      </w:r>
      <w:r w:rsidRPr="00500A19">
        <w:tab/>
      </w:r>
      <w:r w:rsidR="007D7FAD" w:rsidRPr="00500A19">
        <w:t>Вопрос 3/3 – Экономические измерения (Ценовые корзины на услуги ИКТ + Обследование тарифных политик) (Новая тема, связанная с работой EGTI, БРЭ и Вопросом 4/1 ИК1 МСЭ-D);</w:t>
      </w:r>
    </w:p>
    <w:p w14:paraId="1AF196B2" w14:textId="5C93F13D" w:rsidR="007D7FAD" w:rsidRPr="00500A19" w:rsidRDefault="008C6FDA" w:rsidP="008C6FDA">
      <w:pPr>
        <w:pStyle w:val="enumlev1"/>
        <w:rPr>
          <w:rFonts w:eastAsia="Calibri"/>
        </w:rPr>
      </w:pPr>
      <w:r w:rsidRPr="00500A19">
        <w:t>•</w:t>
      </w:r>
      <w:r w:rsidRPr="00500A19">
        <w:tab/>
      </w:r>
      <w:r w:rsidR="007D7FAD" w:rsidRPr="00500A19">
        <w:t>Вопрос 4/3 – Измерение кибербезопасности (Глобальный индекс кибербезопасности) (Новая тема, связанная с работой БРЭ и Вопросом</w:t>
      </w:r>
      <w:r w:rsidR="00A8622E" w:rsidRPr="00500A19">
        <w:t> </w:t>
      </w:r>
      <w:r w:rsidR="007D7FAD" w:rsidRPr="00500A19">
        <w:t>3/2 ИК2 МСЭ-D);</w:t>
      </w:r>
    </w:p>
    <w:p w14:paraId="412EF957" w14:textId="68EE3787" w:rsidR="007D7FAD" w:rsidRPr="00500A19" w:rsidRDefault="008C6FDA" w:rsidP="008C6FDA">
      <w:pPr>
        <w:pStyle w:val="enumlev1"/>
        <w:rPr>
          <w:rFonts w:eastAsia="Calibri"/>
        </w:rPr>
      </w:pPr>
      <w:r w:rsidRPr="00500A19">
        <w:t>•</w:t>
      </w:r>
      <w:r w:rsidRPr="00500A19">
        <w:tab/>
      </w:r>
      <w:r w:rsidR="007D7FAD" w:rsidRPr="00500A19">
        <w:t>Вопрос 5/3 – Измерение новых и появляющихся технологий (Измерение показателей, которые не включены в IDI, Глобальный индекс кибербезопасности, Ценовые корзины на услуги ИКТ);</w:t>
      </w:r>
    </w:p>
    <w:p w14:paraId="42204DCE" w14:textId="15D52E9B" w:rsidR="007D7FAD" w:rsidRPr="00500A19" w:rsidRDefault="008C6FDA" w:rsidP="008C6FDA">
      <w:pPr>
        <w:pStyle w:val="enumlev1"/>
        <w:rPr>
          <w:rFonts w:eastAsia="Calibri"/>
        </w:rPr>
      </w:pPr>
      <w:r w:rsidRPr="00500A19">
        <w:t>•</w:t>
      </w:r>
      <w:r w:rsidRPr="00500A19">
        <w:tab/>
      </w:r>
      <w:r w:rsidR="007D7FAD" w:rsidRPr="00500A19">
        <w:t>Вопрос 6/3 – Улучшение измерений (Новая тема, связанная с текущей работой EGTI и EGH по улучшению длинных и кратких вопросников МСЭ по показателям электросвязи/ИКТ + длинных и кратких вопросников МСЭ по использованию ИКТ в домохозяйствах).</w:t>
      </w:r>
    </w:p>
    <w:p w14:paraId="6C55B173" w14:textId="77777777" w:rsidR="007D7FAD" w:rsidRPr="00500A19" w:rsidRDefault="007D7FAD">
      <w:pPr>
        <w:overflowPunct/>
        <w:autoSpaceDE/>
        <w:autoSpaceDN/>
        <w:adjustRightInd/>
        <w:spacing w:before="0"/>
        <w:textAlignment w:val="auto"/>
        <w:rPr>
          <w:rFonts w:eastAsia="Calibri" w:cstheme="minorHAnsi"/>
          <w:b/>
          <w:bCs/>
          <w:szCs w:val="22"/>
        </w:rPr>
      </w:pPr>
    </w:p>
    <w:p w14:paraId="2E856BE9" w14:textId="77777777" w:rsidR="007D7FAD" w:rsidRPr="00500A19" w:rsidRDefault="007D7FAD" w:rsidP="009D40CA">
      <w:pPr>
        <w:overflowPunct/>
        <w:autoSpaceDE/>
        <w:autoSpaceDN/>
        <w:adjustRightInd/>
        <w:spacing w:before="0"/>
        <w:textAlignment w:val="auto"/>
        <w:rPr>
          <w:rFonts w:cstheme="minorHAnsi"/>
          <w:szCs w:val="22"/>
        </w:rPr>
        <w:sectPr w:rsidR="007D7FAD" w:rsidRPr="00500A19" w:rsidSect="007D7FAD">
          <w:headerReference w:type="default" r:id="rId206"/>
          <w:pgSz w:w="16834" w:h="11907" w:orient="landscape" w:code="9"/>
          <w:pgMar w:top="1134" w:right="1418" w:bottom="1134" w:left="1418" w:header="720" w:footer="720" w:gutter="0"/>
          <w:paperSrc w:first="7" w:other="7"/>
          <w:cols w:space="720"/>
          <w:docGrid w:linePitch="326"/>
        </w:sectPr>
      </w:pPr>
    </w:p>
    <w:p w14:paraId="595849AF" w14:textId="1042CD17" w:rsidR="00B0450E" w:rsidRPr="00500A19" w:rsidRDefault="00B0450E" w:rsidP="00B0450E">
      <w:pPr>
        <w:pStyle w:val="AppendixNo"/>
      </w:pPr>
      <w:r w:rsidRPr="00500A19">
        <w:lastRenderedPageBreak/>
        <w:t>Дополнение 4</w:t>
      </w:r>
    </w:p>
    <w:p w14:paraId="71532E74" w14:textId="0B47C3BA" w:rsidR="00B0450E" w:rsidRPr="00500A19" w:rsidRDefault="00B0450E" w:rsidP="00B0450E">
      <w:pPr>
        <w:pStyle w:val="Appendixtitle"/>
        <w:rPr>
          <w:rFonts w:eastAsia="Calibri" w:cstheme="minorHAnsi"/>
          <w:szCs w:val="24"/>
        </w:rPr>
      </w:pPr>
      <w:r w:rsidRPr="00500A19">
        <w:t>Сводные предложения для Приложения 1 к Резолюции 2 (сфера деятельности) и Приложения 2 к Резолюции 2 (названия Вопросов) для использования в качестве базового документа (справки)</w:t>
      </w:r>
    </w:p>
    <w:p w14:paraId="1F29FCEC" w14:textId="77777777" w:rsidR="00B0450E" w:rsidRPr="00500A19" w:rsidRDefault="00B0450E" w:rsidP="00B0450E">
      <w:pPr>
        <w:pStyle w:val="ResNo"/>
      </w:pPr>
      <w:bookmarkStart w:id="22" w:name="_Toc116556641"/>
      <w:bookmarkStart w:id="23" w:name="_Toc116557194"/>
      <w:bookmarkStart w:id="24" w:name="_Toc116636433"/>
      <w:r w:rsidRPr="00500A19">
        <w:t>РЕЗОЛЮЦИЯ 2 (Пересм. Баку, 2025 г.)</w:t>
      </w:r>
    </w:p>
    <w:p w14:paraId="28D8A90D" w14:textId="77777777" w:rsidR="00B0450E" w:rsidRPr="00500A19" w:rsidRDefault="00B0450E" w:rsidP="00B0450E">
      <w:pPr>
        <w:pStyle w:val="Restitle"/>
      </w:pPr>
      <w:bookmarkStart w:id="25" w:name="_Toc116556642"/>
      <w:bookmarkStart w:id="26" w:name="_Toc116557195"/>
      <w:bookmarkStart w:id="27" w:name="_Toc116636434"/>
      <w:r w:rsidRPr="00500A19">
        <w:t>Создание исследовательских комиссий</w:t>
      </w:r>
      <w:bookmarkEnd w:id="25"/>
      <w:bookmarkEnd w:id="26"/>
      <w:bookmarkEnd w:id="27"/>
    </w:p>
    <w:p w14:paraId="1ADA1DDC" w14:textId="77777777" w:rsidR="00B0450E" w:rsidRPr="00500A19" w:rsidRDefault="00B0450E" w:rsidP="00046F0E">
      <w:pPr>
        <w:pStyle w:val="Normalaftertitle"/>
        <w:keepNext/>
        <w:keepLines/>
        <w:spacing w:before="120" w:after="120"/>
        <w:rPr>
          <w:rFonts w:cstheme="minorBidi"/>
        </w:rPr>
      </w:pPr>
      <w:r w:rsidRPr="00500A19">
        <w:t>Всемирная конференция по развитию электросвязи (Баку, 2025 г.),</w:t>
      </w:r>
    </w:p>
    <w:p w14:paraId="3CB834FF" w14:textId="77777777" w:rsidR="00B0450E" w:rsidRPr="00500A19" w:rsidRDefault="00B0450E" w:rsidP="00046F0E">
      <w:pPr>
        <w:pStyle w:val="Call"/>
        <w:spacing w:before="120" w:after="120"/>
        <w:rPr>
          <w:rFonts w:cstheme="minorBidi"/>
        </w:rPr>
      </w:pPr>
      <w:r w:rsidRPr="00500A19">
        <w:rPr>
          <w:iCs/>
        </w:rPr>
        <w:t>учитывая,</w:t>
      </w:r>
    </w:p>
    <w:p w14:paraId="01D5FDB2" w14:textId="424E1668" w:rsidR="00B0450E" w:rsidRPr="00500A19" w:rsidRDefault="00B0450E" w:rsidP="00DB3F59">
      <w:pPr>
        <w:rPr>
          <w:rFonts w:cstheme="minorBidi"/>
        </w:rPr>
      </w:pPr>
      <w:r w:rsidRPr="00500A19">
        <w:rPr>
          <w:i/>
          <w:iCs/>
        </w:rPr>
        <w:t>a)</w:t>
      </w:r>
      <w:r w:rsidRPr="00500A19">
        <w:tab/>
        <w:t>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(МСЭ-D), создаваемыми в соответствии с п. 209А Конвенции МСЭ, и обеспечения согласованности общей программы работы Сектора в соответствии со Статьей</w:t>
      </w:r>
      <w:r w:rsidR="009467F5" w:rsidRPr="00500A19">
        <w:t> </w:t>
      </w:r>
      <w:r w:rsidRPr="00500A19">
        <w:t>16</w:t>
      </w:r>
      <w:r w:rsidR="009467F5" w:rsidRPr="00500A19">
        <w:t> </w:t>
      </w:r>
      <w:r w:rsidRPr="00500A19">
        <w:t>Конвенции;</w:t>
      </w:r>
    </w:p>
    <w:p w14:paraId="09724E17" w14:textId="77777777" w:rsidR="00B0450E" w:rsidRPr="00500A19" w:rsidRDefault="00B0450E" w:rsidP="00DB3F59">
      <w:pPr>
        <w:rPr>
          <w:rFonts w:cstheme="minorBidi"/>
        </w:rPr>
      </w:pPr>
      <w:r w:rsidRPr="00500A19">
        <w:rPr>
          <w:i/>
          <w:iCs/>
        </w:rPr>
        <w:t>b)</w:t>
      </w:r>
      <w:r w:rsidRPr="00500A19">
        <w:tab/>
        <w:t>что для проведения исследований, порученных МСЭ-D, необходимо создавать исследовательские комиссии, предусмотренные в Статье 17 Конвенции, для рассмотрения специальных целевых Вопросов электросвязи, представляющих первостепенный интерес для развивающихся стран</w:t>
      </w:r>
      <w:r w:rsidRPr="00500A19">
        <w:rPr>
          <w:rStyle w:val="FootnoteReference"/>
          <w:rFonts w:eastAsiaTheme="majorEastAsia" w:cstheme="minorHAnsi"/>
          <w:szCs w:val="24"/>
        </w:rPr>
        <w:footnoteReference w:id="8"/>
      </w:r>
      <w:r w:rsidRPr="00500A19">
        <w:t>, с учетом Стратегического плана МСЭ и целей и подготовки соответствующих выходных документов в форме отчетов, руководящих указаний и/или Рекомендаций для развития электросвязи/информационно-коммуникационных технологий (ИКТ);</w:t>
      </w:r>
    </w:p>
    <w:p w14:paraId="012A7339" w14:textId="07B1F4C4" w:rsidR="00B0450E" w:rsidRPr="00500A19" w:rsidRDefault="00B0450E" w:rsidP="00DB3F59">
      <w:pPr>
        <w:rPr>
          <w:rFonts w:cstheme="minorBidi"/>
        </w:rPr>
      </w:pPr>
      <w:r w:rsidRPr="00500A19">
        <w:rPr>
          <w:i/>
          <w:iCs/>
        </w:rPr>
        <w:t>c)</w:t>
      </w:r>
      <w:r w:rsidRPr="00500A19">
        <w:tab/>
        <w:t>необходимость избегать в максимально возможной степени дублирования между исследованиями, проводимыми в МСЭ-D, и исследованиями, проводимыми в двух других Секторах</w:t>
      </w:r>
      <w:r w:rsidR="009467F5" w:rsidRPr="00500A19">
        <w:t> </w:t>
      </w:r>
      <w:r w:rsidRPr="00500A19">
        <w:t>Союза;</w:t>
      </w:r>
    </w:p>
    <w:p w14:paraId="5492F1EA" w14:textId="77777777" w:rsidR="00B0450E" w:rsidRPr="00500A19" w:rsidRDefault="00B0450E" w:rsidP="00DB3F59">
      <w:pPr>
        <w:rPr>
          <w:rFonts w:cstheme="minorBidi"/>
        </w:rPr>
      </w:pPr>
      <w:r w:rsidRPr="00500A19">
        <w:rPr>
          <w:i/>
          <w:iCs/>
        </w:rPr>
        <w:t>d)</w:t>
      </w:r>
      <w:r w:rsidRPr="00500A19">
        <w:tab/>
        <w:t>результаты исследований в рамках исследуемых Вопросов, принятых на Всемирной конференции по развитию электросвязи (Буэнос-Айрес, 2017 г.) и Всемирной конференции по развитию электросвязи (Кигали, 2022 г.) и порученным двум исследовательским комиссиям,</w:t>
      </w:r>
    </w:p>
    <w:p w14:paraId="24579301" w14:textId="77777777" w:rsidR="00B0450E" w:rsidRPr="00500A19" w:rsidRDefault="00B0450E" w:rsidP="009467F5">
      <w:pPr>
        <w:pStyle w:val="Call"/>
        <w:rPr>
          <w:rFonts w:eastAsia="Malgun Gothic" w:cstheme="minorBidi"/>
        </w:rPr>
      </w:pPr>
      <w:r w:rsidRPr="00500A19">
        <w:t>решает</w:t>
      </w:r>
    </w:p>
    <w:p w14:paraId="4EAF421D" w14:textId="77777777" w:rsidR="00B0450E" w:rsidRPr="00500A19" w:rsidRDefault="00B0450E" w:rsidP="009467F5">
      <w:pPr>
        <w:rPr>
          <w:rFonts w:cstheme="minorBidi"/>
          <w:strike/>
        </w:rPr>
      </w:pPr>
      <w:r w:rsidRPr="00500A19">
        <w:t>1</w:t>
      </w:r>
      <w:r w:rsidRPr="00500A19">
        <w:tab/>
        <w:t>продолжить в рамках Сектора работу двух исследовательских комиссий с четким определением обязанностей и кругов ведения, приведенных в Приложении 1 и Приложении 3 к настоящей Резолюции;</w:t>
      </w:r>
    </w:p>
    <w:p w14:paraId="34882794" w14:textId="77777777" w:rsidR="00B0450E" w:rsidRPr="00500A19" w:rsidRDefault="00B0450E" w:rsidP="009467F5">
      <w:pPr>
        <w:rPr>
          <w:rFonts w:cstheme="minorBidi"/>
          <w:strike/>
        </w:rPr>
      </w:pPr>
      <w:r w:rsidRPr="00500A19">
        <w:t>2</w:t>
      </w:r>
      <w:r w:rsidRPr="00500A19">
        <w:tab/>
        <w:t>что каждая исследовательская комиссия и ее соответствующие группы будут вести исследования в рамках исследуемых Вопросов МСЭ-D, принятых на данной Конференции и порученных им согласно структуре, приведенной в Приложении 2 к настоящей Резолюции, а также исследуемых Вопросов МСЭ-D, принятых или пересмотренных в период между двумя всемирными конференциями по развитию электросвязи (ВКРЭ) в соответствии с положениями Резолюции 1 (Пересм. Кигали, 2022 г.) настоящей Конференции;</w:t>
      </w:r>
    </w:p>
    <w:p w14:paraId="666338D2" w14:textId="77777777" w:rsidR="00B0450E" w:rsidRPr="00500A19" w:rsidRDefault="00B0450E" w:rsidP="009467F5">
      <w:pPr>
        <w:rPr>
          <w:rFonts w:cstheme="minorBidi"/>
          <w:strike/>
        </w:rPr>
      </w:pPr>
      <w:r w:rsidRPr="00500A19">
        <w:t>3</w:t>
      </w:r>
      <w:r w:rsidRPr="00500A19">
        <w:tab/>
        <w:t>что следует обеспечивать, чтобы организация исследовательских комиссий приводила к повышению синергического эффекта, прозрачности и эффективности при минимальном совпадении между исследуемыми Вопросами МСЭ-D;</w:t>
      </w:r>
    </w:p>
    <w:p w14:paraId="0787CB40" w14:textId="77777777" w:rsidR="00B0450E" w:rsidRPr="00500A19" w:rsidRDefault="00B0450E" w:rsidP="009467F5">
      <w:pPr>
        <w:rPr>
          <w:rFonts w:cstheme="minorBidi"/>
          <w:strike/>
        </w:rPr>
      </w:pPr>
      <w:r w:rsidRPr="00500A19">
        <w:lastRenderedPageBreak/>
        <w:t>4</w:t>
      </w:r>
      <w:r w:rsidRPr="00500A19">
        <w:tab/>
        <w:t>что следует обеспечивать взаимосвязь исследуемых Вопросов МСЭ-D с выполнением Резолюций ВКРЭ и Полномочной конференции, а также с программами Бюро развития электросвязи (БРЭ), предусмотренными Планом действий МСЭ-D, с тем чтобы исследовательские комиссии и программы БРЭ могли пользоваться преимуществами деятельности, ресурсов и специальных знаний друг друга и сообща вносить вклад в выполнение задач МСЭ-D;</w:t>
      </w:r>
    </w:p>
    <w:p w14:paraId="7F8D0C7F" w14:textId="77777777" w:rsidR="00B0450E" w:rsidRPr="00500A19" w:rsidRDefault="00B0450E" w:rsidP="009467F5">
      <w:pPr>
        <w:rPr>
          <w:rFonts w:cstheme="minorBidi"/>
          <w:strike/>
        </w:rPr>
      </w:pPr>
      <w:r w:rsidRPr="00500A19">
        <w:t>5</w:t>
      </w:r>
      <w:r w:rsidRPr="00500A19">
        <w:tab/>
        <w:t>что исследовательским комиссиям следует использовать соответствующие результаты работы и материалы двух других Секторов и Генерального секретариата, которые соответствуют их кругу ведения, и тесно взаимодействовать с исследовательскими комиссиями других Секторов по вопросам, представляющим взаимный интерес;</w:t>
      </w:r>
    </w:p>
    <w:p w14:paraId="61255175" w14:textId="77777777" w:rsidR="00B0450E" w:rsidRPr="00500A19" w:rsidRDefault="00B0450E" w:rsidP="009467F5">
      <w:pPr>
        <w:rPr>
          <w:rFonts w:cstheme="minorBidi"/>
        </w:rPr>
      </w:pPr>
      <w:r w:rsidRPr="00500A19">
        <w:t>6</w:t>
      </w:r>
      <w:r w:rsidRPr="00500A19">
        <w:tab/>
        <w:t>что руководство работой исследовательских комиссий будут осуществлять председатели и заместители председателей, как указано в Приложении 3 к настоящей Резолюции.</w:t>
      </w:r>
    </w:p>
    <w:p w14:paraId="39E0339B" w14:textId="77777777" w:rsidR="00B0450E" w:rsidRPr="00500A19" w:rsidRDefault="00B0450E" w:rsidP="009467F5">
      <w:pPr>
        <w:pStyle w:val="AppendixNo"/>
        <w:rPr>
          <w:rFonts w:cstheme="minorBidi"/>
          <w:sz w:val="24"/>
          <w:szCs w:val="24"/>
        </w:rPr>
      </w:pPr>
      <w:r w:rsidRPr="00500A19">
        <w:t>Приложение 1 к Резолюции 2 (Пересм. Баку, 2025 г.)</w:t>
      </w:r>
    </w:p>
    <w:p w14:paraId="6928A03E" w14:textId="77777777" w:rsidR="00B0450E" w:rsidRPr="00500A19" w:rsidRDefault="00B0450E" w:rsidP="009467F5">
      <w:pPr>
        <w:pStyle w:val="Appendixtitle"/>
        <w:rPr>
          <w:rFonts w:cstheme="minorBidi"/>
          <w:sz w:val="24"/>
          <w:szCs w:val="24"/>
        </w:rPr>
      </w:pPr>
      <w:bookmarkStart w:id="28" w:name="_Toc116636435"/>
      <w:r w:rsidRPr="00500A19">
        <w:t>Сфера деятельности исследовательских комиссий МСЭ-D</w:t>
      </w:r>
      <w:bookmarkEnd w:id="28"/>
    </w:p>
    <w:p w14:paraId="569849AE" w14:textId="77777777" w:rsidR="00B0450E" w:rsidRPr="00500A19" w:rsidRDefault="00B0450E" w:rsidP="00DB3F59">
      <w:pPr>
        <w:pStyle w:val="Heading1"/>
      </w:pPr>
      <w:bookmarkStart w:id="29" w:name="_Toc116556643"/>
      <w:bookmarkStart w:id="30" w:name="_Toc116557196"/>
      <w:bookmarkStart w:id="31" w:name="_Toc116636436"/>
      <w:r w:rsidRPr="00500A19">
        <w:t>1</w:t>
      </w:r>
      <w:r w:rsidRPr="00500A19">
        <w:tab/>
        <w:t>1-я Исследовательская комиссия</w:t>
      </w:r>
    </w:p>
    <w:bookmarkEnd w:id="29"/>
    <w:bookmarkEnd w:id="30"/>
    <w:bookmarkEnd w:id="31"/>
    <w:p w14:paraId="2B4F8C47" w14:textId="0D09B871" w:rsidR="00B0450E" w:rsidRPr="00500A19" w:rsidRDefault="00B0450E" w:rsidP="00DB3F59">
      <w:pPr>
        <w:pStyle w:val="Headingb"/>
        <w:rPr>
          <w:rFonts w:cstheme="minorBidi"/>
          <w:sz w:val="24"/>
          <w:szCs w:val="24"/>
          <w:lang w:val="ru-RU"/>
        </w:rPr>
      </w:pPr>
      <w:r w:rsidRPr="00500A19">
        <w:rPr>
          <w:lang w:val="ru-RU"/>
        </w:rPr>
        <w:t>Универсальная и реальная возможность установления соединений</w:t>
      </w:r>
      <w:r w:rsidRPr="00500A19">
        <w:rPr>
          <w:rStyle w:val="FootnoteReference"/>
          <w:rFonts w:cstheme="minorHAnsi"/>
          <w:b w:val="0"/>
          <w:bCs/>
          <w:szCs w:val="16"/>
          <w:lang w:val="ru-RU"/>
        </w:rPr>
        <w:footnoteReference w:id="9"/>
      </w:r>
    </w:p>
    <w:p w14:paraId="25C54122" w14:textId="77777777"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Национальные политические и регуляторные аспекты развития широкополосной электросвязи/ИКТ.</w:t>
      </w:r>
    </w:p>
    <w:p w14:paraId="1B6077D1" w14:textId="77777777"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Экономические аспекты в области электросвязи/ИКТ на национальном уровне, включая содействие развитию цифровой экономики и предоставлению услуг электросвязи/ИКТ, в том числе в сельских и отдаленных районах.</w:t>
      </w:r>
    </w:p>
    <w:p w14:paraId="5EE144D2" w14:textId="77777777"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Национальные подходы к обеспечению доступа к электросвязи/ИКТ в сельских и отдаленных районах, при уделении особого внимания развивающимся странам,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14:paraId="031A1977" w14:textId="77777777"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Доступ к услугам электросвязи/ИКТ для обеспечения связи для всех, в особенности для лиц с ограниченными возможностями и лиц с особыми потребностями.</w:t>
      </w:r>
    </w:p>
    <w:p w14:paraId="1B4F904C" w14:textId="77777777"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Переход к цифровым технологиям и внедрение цифровых технологий для  радиовещания в различных средах.</w:t>
      </w:r>
    </w:p>
    <w:p w14:paraId="565F7194" w14:textId="77777777"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Использование электросвязи/ИКТ для снижения рисков бедствий и управления операциями в случае бедствий, в особенности в развивающихся странах.</w:t>
      </w:r>
    </w:p>
    <w:p w14:paraId="26950D90" w14:textId="77777777"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Информация для потребителей, их защита и права в сфере услуг электросвязи/ИКТ, особенно для уязвимых групп.</w:t>
      </w:r>
    </w:p>
    <w:p w14:paraId="3F361C23" w14:textId="0950DA4D" w:rsidR="00B0450E" w:rsidRPr="00500A19" w:rsidRDefault="00B0450E" w:rsidP="00046F0E">
      <w:pPr>
        <w:pStyle w:val="Heading1"/>
        <w:spacing w:before="120" w:after="120"/>
        <w:rPr>
          <w:rFonts w:cstheme="minorBidi"/>
          <w:sz w:val="24"/>
          <w:szCs w:val="24"/>
        </w:rPr>
      </w:pPr>
      <w:bookmarkStart w:id="32" w:name="_Toc116556644"/>
      <w:bookmarkStart w:id="33" w:name="_Toc116557197"/>
      <w:bookmarkStart w:id="34" w:name="_Toc116636437"/>
      <w:r w:rsidRPr="00500A19">
        <w:rPr>
          <w:bCs/>
        </w:rPr>
        <w:t>2</w:t>
      </w:r>
      <w:r w:rsidRPr="00500A19">
        <w:tab/>
      </w:r>
      <w:r w:rsidRPr="00500A19">
        <w:rPr>
          <w:bCs/>
        </w:rPr>
        <w:t>2-я Исследовательская комиссия</w:t>
      </w:r>
    </w:p>
    <w:p w14:paraId="19E247DA" w14:textId="48F575E1" w:rsidR="00B0450E" w:rsidRPr="00500A19" w:rsidRDefault="00B0450E" w:rsidP="00DB3F59">
      <w:pPr>
        <w:pStyle w:val="Headingb"/>
        <w:rPr>
          <w:rFonts w:cstheme="minorBidi"/>
          <w:sz w:val="24"/>
          <w:szCs w:val="24"/>
          <w:lang w:val="ru-RU"/>
        </w:rPr>
      </w:pPr>
      <w:r w:rsidRPr="00500A19">
        <w:rPr>
          <w:lang w:val="ru-RU"/>
        </w:rPr>
        <w:t>Цифровая трансформация</w:t>
      </w:r>
      <w:bookmarkEnd w:id="32"/>
      <w:bookmarkEnd w:id="33"/>
      <w:bookmarkEnd w:id="34"/>
    </w:p>
    <w:p w14:paraId="18EB4792" w14:textId="2C7625DB"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Электросвязь/ИКТ для цифровых услуг, включая электронное здравоохранение и электронное</w:t>
      </w:r>
      <w:r w:rsidR="009467F5" w:rsidRPr="00500A19">
        <w:t> </w:t>
      </w:r>
      <w:r w:rsidRPr="00500A19">
        <w:t>образование</w:t>
      </w:r>
      <w:r w:rsidR="009467F5" w:rsidRPr="00500A19">
        <w:t>.</w:t>
      </w:r>
    </w:p>
    <w:p w14:paraId="1525698F" w14:textId="4B97023F"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lastRenderedPageBreak/>
        <w:t>Укрепление доверия и безопасности при использовании ИКТ</w:t>
      </w:r>
      <w:r w:rsidR="009467F5" w:rsidRPr="00500A19">
        <w:t>.</w:t>
      </w:r>
    </w:p>
    <w:p w14:paraId="574F4B4B" w14:textId="0F5922D5"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Использование электросвязи/ИКТ для мониторинга и смягчения воздействия изменения климата и учет проблемы циркуляционной экономики и безопасного удаления электронных</w:t>
      </w:r>
      <w:r w:rsidR="009467F5" w:rsidRPr="00500A19">
        <w:t> </w:t>
      </w:r>
      <w:r w:rsidRPr="00500A19">
        <w:t>отходов</w:t>
      </w:r>
      <w:r w:rsidR="009467F5" w:rsidRPr="00500A19">
        <w:t>.</w:t>
      </w:r>
    </w:p>
    <w:p w14:paraId="18086CDE" w14:textId="6999EC31"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Проведение проверок на соответствие и функциональную совместимость устройств и оборудования электросвязи/ИКТ</w:t>
      </w:r>
      <w:r w:rsidR="009467F5" w:rsidRPr="00500A19">
        <w:t>.</w:t>
      </w:r>
    </w:p>
    <w:p w14:paraId="1645345A" w14:textId="5106F116"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Воздействие электромагнитных полей на человека</w:t>
      </w:r>
      <w:r w:rsidR="009467F5" w:rsidRPr="00500A19">
        <w:t>.</w:t>
      </w:r>
    </w:p>
    <w:p w14:paraId="77F620E8" w14:textId="63BA3D9C"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Проблемы и возможности для развивающихся стран, связанные с доступом к появляющимся технологиям, платформам, приложениям и сценариям использования</w:t>
      </w:r>
      <w:r w:rsidR="009467F5" w:rsidRPr="00500A19">
        <w:t>.</w:t>
      </w:r>
    </w:p>
    <w:p w14:paraId="385957AC" w14:textId="23226B9B"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Использование электросвязи/ИКТ при формировании "умных" городов и информационного</w:t>
      </w:r>
      <w:r w:rsidR="009467F5" w:rsidRPr="00500A19">
        <w:t> </w:t>
      </w:r>
      <w:r w:rsidRPr="00500A19">
        <w:t>общества</w:t>
      </w:r>
      <w:r w:rsidR="009467F5" w:rsidRPr="00500A19">
        <w:t>.</w:t>
      </w:r>
    </w:p>
    <w:p w14:paraId="568530D5" w14:textId="7A86E43C"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Внедрение электросвязи/ИКТ и совершенствование цифровых навыков</w:t>
      </w:r>
      <w:r w:rsidR="009467F5" w:rsidRPr="00500A19">
        <w:t>.</w:t>
      </w:r>
    </w:p>
    <w:p w14:paraId="4EAF42EE" w14:textId="3E1D4813"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 xml:space="preserve">Наличие и приемлемость в ценовом отношении </w:t>
      </w:r>
      <w:r w:rsidR="003E6913" w:rsidRPr="00500A19">
        <w:t>терминалов/устройств пользователей</w:t>
      </w:r>
      <w:r w:rsidR="009467F5" w:rsidRPr="00500A19">
        <w:t>.</w:t>
      </w:r>
    </w:p>
    <w:p w14:paraId="34A77F5A" w14:textId="48C832DD" w:rsidR="00B0450E" w:rsidRPr="00500A19" w:rsidRDefault="00B0450E" w:rsidP="005B0FCB">
      <w:pPr>
        <w:pStyle w:val="enumlev1"/>
        <w:numPr>
          <w:ilvl w:val="0"/>
          <w:numId w:val="2"/>
        </w:numPr>
        <w:tabs>
          <w:tab w:val="clear" w:pos="907"/>
          <w:tab w:val="left" w:pos="1134"/>
          <w:tab w:val="left" w:pos="1871"/>
          <w:tab w:val="left" w:pos="2608"/>
          <w:tab w:val="left" w:pos="3345"/>
        </w:tabs>
        <w:spacing w:before="120" w:after="120"/>
        <w:textAlignment w:val="auto"/>
        <w:rPr>
          <w:rFonts w:cstheme="minorBidi"/>
        </w:rPr>
      </w:pPr>
      <w:r w:rsidRPr="00500A19">
        <w:t>Использование новых появляющихся технологий ИКТ</w:t>
      </w:r>
      <w:r w:rsidR="009467F5" w:rsidRPr="00500A19">
        <w:t>.</w:t>
      </w:r>
    </w:p>
    <w:p w14:paraId="19E25ACE" w14:textId="77777777" w:rsidR="00B0450E" w:rsidRPr="00500A19" w:rsidRDefault="00B0450E" w:rsidP="009467F5">
      <w:pPr>
        <w:pStyle w:val="AppendixNo"/>
        <w:rPr>
          <w:rFonts w:cstheme="minorBidi"/>
          <w:sz w:val="24"/>
          <w:szCs w:val="24"/>
        </w:rPr>
      </w:pPr>
      <w:r w:rsidRPr="00500A19">
        <w:t>Приложение 2 к Резолюции 2 (Пересм. Баку, 2025 г.)</w:t>
      </w:r>
    </w:p>
    <w:p w14:paraId="1BC23DF2" w14:textId="77777777" w:rsidR="00B0450E" w:rsidRPr="00500A19" w:rsidRDefault="00B0450E" w:rsidP="009467F5">
      <w:pPr>
        <w:pStyle w:val="Appendixtitle"/>
        <w:rPr>
          <w:rFonts w:cstheme="minorBidi"/>
          <w:sz w:val="24"/>
          <w:szCs w:val="24"/>
        </w:rPr>
      </w:pPr>
      <w:bookmarkStart w:id="35" w:name="_Toc116636438"/>
      <w:r w:rsidRPr="00500A19">
        <w:t>Вопросы, порученные Всемирной конференцией по развитию электросвязи исследовательским комиссиям МСЭ-D</w:t>
      </w:r>
      <w:bookmarkEnd w:id="35"/>
    </w:p>
    <w:p w14:paraId="05CF2DBB" w14:textId="0E16AA1B" w:rsidR="00B0450E" w:rsidRPr="00500A19" w:rsidRDefault="00B0450E" w:rsidP="009467F5">
      <w:pPr>
        <w:pStyle w:val="Headingb"/>
        <w:rPr>
          <w:rFonts w:cstheme="minorBidi"/>
          <w:sz w:val="24"/>
          <w:szCs w:val="24"/>
          <w:lang w:val="ru-RU"/>
        </w:rPr>
      </w:pPr>
      <w:bookmarkStart w:id="36" w:name="_Toc116556645"/>
      <w:bookmarkStart w:id="37" w:name="_Toc116557198"/>
      <w:bookmarkStart w:id="38" w:name="_Toc116636439"/>
      <w:r w:rsidRPr="00500A19">
        <w:rPr>
          <w:lang w:val="ru-RU"/>
        </w:rPr>
        <w:t>1-я Исследовательская комиссия</w:t>
      </w:r>
      <w:bookmarkEnd w:id="36"/>
      <w:bookmarkEnd w:id="37"/>
      <w:bookmarkEnd w:id="38"/>
    </w:p>
    <w:p w14:paraId="781A16FA" w14:textId="32DA130F" w:rsidR="00B0450E" w:rsidRPr="00500A19" w:rsidRDefault="00B0450E" w:rsidP="00046F0E">
      <w:pPr>
        <w:pStyle w:val="enumlev1"/>
        <w:spacing w:before="120" w:after="120"/>
        <w:ind w:left="0" w:firstLine="0"/>
        <w:rPr>
          <w:rFonts w:cstheme="minorBidi"/>
        </w:rPr>
      </w:pPr>
      <w:r w:rsidRPr="00500A19">
        <w:rPr>
          <w:b/>
          <w:bCs/>
        </w:rPr>
        <w:t>Вопрос A/1</w:t>
      </w:r>
      <w:r w:rsidRPr="00500A19">
        <w:t>: Стимулирующая политика и регулирование для повсеместного распространения возможности установления соединений, включая широкополосную связь, с уделением особого внимания сельским и отдаленным районам</w:t>
      </w:r>
      <w:r w:rsidR="009467F5" w:rsidRPr="00500A19">
        <w:t>.</w:t>
      </w:r>
    </w:p>
    <w:p w14:paraId="1BF06FEE" w14:textId="7319EF94" w:rsidR="00B0450E" w:rsidRPr="00500A19" w:rsidRDefault="00B0450E" w:rsidP="00046F0E">
      <w:pPr>
        <w:pStyle w:val="enumlev1"/>
        <w:spacing w:before="120" w:after="120"/>
        <w:ind w:left="0" w:firstLine="0"/>
        <w:rPr>
          <w:rFonts w:cstheme="minorBidi"/>
        </w:rPr>
      </w:pPr>
      <w:r w:rsidRPr="00500A19">
        <w:rPr>
          <w:b/>
          <w:bCs/>
        </w:rPr>
        <w:t>Вопрос 2/1</w:t>
      </w:r>
      <w:r w:rsidRPr="00500A19">
        <w:t>: Стимулирующая политика и регулирование для внедрения цифровых технологий для распространения контента и радиовещания</w:t>
      </w:r>
      <w:r w:rsidR="009467F5" w:rsidRPr="00500A19">
        <w:t>.</w:t>
      </w:r>
    </w:p>
    <w:p w14:paraId="7202C1B8" w14:textId="4508E565" w:rsidR="00B0450E" w:rsidRPr="00500A19" w:rsidRDefault="00B0450E" w:rsidP="00046F0E">
      <w:pPr>
        <w:pStyle w:val="enumlev1"/>
        <w:spacing w:before="120" w:after="120"/>
        <w:ind w:left="0" w:firstLine="0"/>
        <w:rPr>
          <w:rFonts w:cstheme="minorBidi"/>
        </w:rPr>
      </w:pPr>
      <w:r w:rsidRPr="00500A19">
        <w:rPr>
          <w:b/>
          <w:bCs/>
        </w:rPr>
        <w:t>Вопрос 3/1</w:t>
      </w:r>
      <w:r w:rsidRPr="00500A19">
        <w:t>: Использование электросвязи/ИКТ для снижения риска бедствий и управления операциями в случае бедствий</w:t>
      </w:r>
      <w:r w:rsidR="009467F5" w:rsidRPr="00500A19">
        <w:t>.</w:t>
      </w:r>
    </w:p>
    <w:p w14:paraId="6ECE9BE3" w14:textId="01552B70" w:rsidR="00B0450E" w:rsidRPr="00500A19" w:rsidRDefault="00B0450E" w:rsidP="00046F0E">
      <w:pPr>
        <w:pStyle w:val="enumlev1"/>
        <w:spacing w:before="120" w:after="120"/>
        <w:ind w:left="0" w:firstLine="0"/>
        <w:rPr>
          <w:rFonts w:eastAsia="Malgun Gothic" w:cstheme="minorBidi"/>
        </w:rPr>
      </w:pPr>
      <w:r w:rsidRPr="00500A19">
        <w:rPr>
          <w:b/>
          <w:bCs/>
        </w:rPr>
        <w:t>Вопрос 4/1</w:t>
      </w:r>
      <w:r w:rsidRPr="00500A19">
        <w:t>: Экономические аспекты национальной электросвязи/ИКТ</w:t>
      </w:r>
      <w:r w:rsidR="009467F5" w:rsidRPr="00500A19">
        <w:t>.</w:t>
      </w:r>
    </w:p>
    <w:p w14:paraId="073F50F9" w14:textId="3B700FB3" w:rsidR="00B0450E" w:rsidRPr="00500A19" w:rsidRDefault="00B0450E" w:rsidP="00046F0E">
      <w:pPr>
        <w:pStyle w:val="enumlev1"/>
        <w:spacing w:before="120" w:after="120"/>
        <w:ind w:left="0" w:firstLine="0"/>
        <w:rPr>
          <w:rFonts w:eastAsia="Aptos" w:cstheme="minorBidi"/>
        </w:rPr>
      </w:pPr>
      <w:r w:rsidRPr="00500A19">
        <w:rPr>
          <w:b/>
          <w:bCs/>
        </w:rPr>
        <w:t>Вопрос B/1</w:t>
      </w:r>
      <w:r w:rsidRPr="00500A19">
        <w:t>: Защита потребителей и всеобщая и реальная доступность. (объединены предыдущие Вопросы 6/1 и 7/1)</w:t>
      </w:r>
      <w:r w:rsidR="009467F5" w:rsidRPr="00500A19">
        <w:t>.</w:t>
      </w:r>
    </w:p>
    <w:p w14:paraId="090378F2" w14:textId="55171FB7" w:rsidR="00B0450E" w:rsidRPr="00500A19" w:rsidRDefault="00B0450E" w:rsidP="009467F5">
      <w:pPr>
        <w:pStyle w:val="Headingb"/>
        <w:rPr>
          <w:rFonts w:cstheme="minorBidi"/>
          <w:sz w:val="24"/>
          <w:szCs w:val="24"/>
          <w:lang w:val="ru-RU"/>
        </w:rPr>
      </w:pPr>
      <w:r w:rsidRPr="00500A19">
        <w:rPr>
          <w:lang w:val="ru-RU"/>
        </w:rPr>
        <w:t>2-я Исследовательская комиссия</w:t>
      </w:r>
    </w:p>
    <w:p w14:paraId="65439887" w14:textId="161A3E26" w:rsidR="00B0450E" w:rsidRPr="00500A19" w:rsidRDefault="00B0450E" w:rsidP="00046F0E">
      <w:pPr>
        <w:pStyle w:val="enumlev1"/>
        <w:spacing w:before="120" w:after="120"/>
        <w:ind w:left="0" w:firstLine="0"/>
        <w:rPr>
          <w:rFonts w:cstheme="minorBidi"/>
        </w:rPr>
      </w:pPr>
      <w:r w:rsidRPr="00500A19">
        <w:rPr>
          <w:b/>
          <w:bCs/>
        </w:rPr>
        <w:t>Вопрос А/2</w:t>
      </w:r>
      <w:r w:rsidRPr="00500A19">
        <w:t>: Цифровые услуги и "умные" устойчивые города и сообщества</w:t>
      </w:r>
      <w:r w:rsidR="009467F5" w:rsidRPr="00500A19">
        <w:t>.</w:t>
      </w:r>
    </w:p>
    <w:p w14:paraId="6D3F7138" w14:textId="07CEF3E7" w:rsidR="00B0450E" w:rsidRPr="00500A19" w:rsidRDefault="00B0450E" w:rsidP="00046F0E">
      <w:pPr>
        <w:pStyle w:val="enumlev1"/>
        <w:spacing w:before="120" w:after="120"/>
        <w:ind w:left="0" w:firstLine="0"/>
        <w:rPr>
          <w:rFonts w:eastAsia="Malgun Gothic" w:cstheme="minorBidi"/>
        </w:rPr>
      </w:pPr>
      <w:r w:rsidRPr="00500A19">
        <w:rPr>
          <w:b/>
          <w:bCs/>
        </w:rPr>
        <w:t>Вопрос B/2</w:t>
      </w:r>
      <w:r w:rsidRPr="00500A19">
        <w:t>: ИКТ для окружающей среды и воздействие электромагнитных полей на человека</w:t>
      </w:r>
      <w:r w:rsidR="009467F5" w:rsidRPr="00500A19">
        <w:t>.</w:t>
      </w:r>
    </w:p>
    <w:p w14:paraId="35E76D0D" w14:textId="4594B50D" w:rsidR="00B0450E" w:rsidRPr="00500A19" w:rsidRDefault="00B0450E" w:rsidP="00046F0E">
      <w:pPr>
        <w:pStyle w:val="enumlev1"/>
        <w:spacing w:before="120" w:after="120"/>
        <w:ind w:left="0" w:firstLine="0"/>
        <w:rPr>
          <w:rFonts w:cstheme="minorBidi"/>
          <w:b/>
          <w:bCs/>
        </w:rPr>
      </w:pPr>
      <w:r w:rsidRPr="00500A19">
        <w:rPr>
          <w:b/>
          <w:bCs/>
        </w:rPr>
        <w:t>Вопрос 3/2</w:t>
      </w:r>
      <w:r w:rsidRPr="00500A19">
        <w:t>: Защищенность сетей информации и связи: передовой опыт по созданию культуры</w:t>
      </w:r>
      <w:r w:rsidR="009467F5" w:rsidRPr="00500A19">
        <w:t> </w:t>
      </w:r>
      <w:r w:rsidRPr="00500A19">
        <w:t>кибербезопасности</w:t>
      </w:r>
      <w:r w:rsidR="009467F5" w:rsidRPr="00500A19">
        <w:t>.</w:t>
      </w:r>
    </w:p>
    <w:p w14:paraId="0A4F615F" w14:textId="66B2A255" w:rsidR="00B0450E" w:rsidRPr="00500A19" w:rsidRDefault="00B0450E" w:rsidP="00046F0E">
      <w:pPr>
        <w:pStyle w:val="enumlev1"/>
        <w:spacing w:before="120" w:after="120"/>
        <w:ind w:left="0" w:firstLine="0"/>
        <w:rPr>
          <w:rFonts w:cstheme="minorBidi"/>
        </w:rPr>
      </w:pPr>
      <w:r w:rsidRPr="00500A19">
        <w:rPr>
          <w:b/>
          <w:bCs/>
        </w:rPr>
        <w:t>Вопрос C/2</w:t>
      </w:r>
      <w:r w:rsidRPr="00500A19">
        <w:t xml:space="preserve">: Наличие и приемлемость в ценовом отношении </w:t>
      </w:r>
      <w:r w:rsidR="003E6913" w:rsidRPr="00500A19">
        <w:t>терминалов/устройств пользователей</w:t>
      </w:r>
      <w:r w:rsidRPr="00500A19">
        <w:t>, соответствие и функциональная совместимость оборудования</w:t>
      </w:r>
      <w:bookmarkStart w:id="39" w:name="_Hlk187933461"/>
      <w:bookmarkEnd w:id="39"/>
      <w:r w:rsidR="009467F5" w:rsidRPr="00500A19">
        <w:t>.</w:t>
      </w:r>
    </w:p>
    <w:p w14:paraId="22571E3B" w14:textId="6CA81B52" w:rsidR="00B0450E" w:rsidRPr="00500A19" w:rsidRDefault="00B0450E" w:rsidP="00046F0E">
      <w:pPr>
        <w:pStyle w:val="enumlev1"/>
        <w:spacing w:before="120" w:after="120"/>
        <w:ind w:left="0" w:firstLine="0"/>
        <w:rPr>
          <w:rFonts w:eastAsia="Malgun Gothic" w:cstheme="minorBidi"/>
        </w:rPr>
      </w:pPr>
      <w:r w:rsidRPr="00500A19">
        <w:rPr>
          <w:b/>
          <w:bCs/>
        </w:rPr>
        <w:t>Вопрос D/2</w:t>
      </w:r>
      <w:r w:rsidRPr="00500A19">
        <w:t>: Использование новых и появляющихся технологий электросвязи/ИКТ и развитие цифровых навыков</w:t>
      </w:r>
      <w:r w:rsidR="009467F5" w:rsidRPr="00500A19">
        <w:t>.</w:t>
      </w:r>
    </w:p>
    <w:p w14:paraId="032F7110" w14:textId="77777777" w:rsidR="00B0450E" w:rsidRPr="00500A19" w:rsidRDefault="00B0450E" w:rsidP="00046F0E">
      <w:pPr>
        <w:overflowPunct/>
        <w:autoSpaceDE/>
        <w:autoSpaceDN/>
        <w:adjustRightInd/>
        <w:spacing w:before="0" w:after="160" w:line="259" w:lineRule="auto"/>
        <w:rPr>
          <w:rFonts w:eastAsiaTheme="minorEastAsia" w:cstheme="minorBidi"/>
          <w:b/>
          <w:bCs/>
          <w:caps/>
          <w:kern w:val="2"/>
          <w:sz w:val="28"/>
          <w:szCs w:val="28"/>
          <w14:ligatures w14:val="standardContextual"/>
        </w:rPr>
      </w:pPr>
      <w:r w:rsidRPr="00500A19">
        <w:rPr>
          <w:rFonts w:cstheme="minorBidi"/>
          <w:b/>
          <w:bCs/>
        </w:rPr>
        <w:br w:type="page"/>
      </w:r>
    </w:p>
    <w:bookmarkEnd w:id="22"/>
    <w:bookmarkEnd w:id="23"/>
    <w:bookmarkEnd w:id="24"/>
    <w:p w14:paraId="4E112C0F" w14:textId="77777777" w:rsidR="00B0450E" w:rsidRPr="00500A19" w:rsidRDefault="00B0450E" w:rsidP="009467F5">
      <w:pPr>
        <w:pStyle w:val="AppendixNo"/>
        <w:rPr>
          <w:rFonts w:eastAsia="Calibri" w:cs="Calibri"/>
          <w:sz w:val="24"/>
          <w:szCs w:val="24"/>
        </w:rPr>
      </w:pPr>
      <w:r w:rsidRPr="00500A19">
        <w:lastRenderedPageBreak/>
        <w:t>Дополнение 5</w:t>
      </w:r>
    </w:p>
    <w:p w14:paraId="03D40C9A" w14:textId="77777777" w:rsidR="00B0450E" w:rsidRPr="00500A19" w:rsidRDefault="00B0450E" w:rsidP="009467F5">
      <w:pPr>
        <w:pStyle w:val="AppArttitle"/>
        <w:rPr>
          <w:rFonts w:cstheme="minorBidi"/>
          <w:sz w:val="24"/>
          <w:szCs w:val="24"/>
        </w:rPr>
      </w:pPr>
      <w:r w:rsidRPr="00500A19">
        <w:t>Часть V − Исследуемые вопросы МСЭ-D и их круг ведения</w:t>
      </w:r>
    </w:p>
    <w:p w14:paraId="78F42F8E" w14:textId="77777777" w:rsidR="00B0450E" w:rsidRPr="00500A19" w:rsidRDefault="00B0450E" w:rsidP="00046F0E">
      <w:pPr>
        <w:tabs>
          <w:tab w:val="left" w:pos="720"/>
        </w:tabs>
        <w:overflowPunct/>
        <w:autoSpaceDE/>
        <w:spacing w:after="120"/>
        <w:jc w:val="center"/>
        <w:rPr>
          <w:rFonts w:cstheme="minorBidi"/>
          <w:b/>
          <w:bCs/>
          <w:szCs w:val="24"/>
        </w:rPr>
      </w:pPr>
      <w:r w:rsidRPr="00500A19">
        <w:rPr>
          <w:b/>
          <w:bCs/>
        </w:rPr>
        <w:t>Выдержки из Плана действий ВКРЭ 2022 года</w:t>
      </w:r>
      <w:r w:rsidRPr="00500A19">
        <w:rPr>
          <w:rStyle w:val="FootnoteReference"/>
          <w:rFonts w:cstheme="minorHAnsi"/>
          <w:szCs w:val="16"/>
          <w:lang w:eastAsia="en-GB"/>
        </w:rPr>
        <w:footnoteReference w:id="10"/>
      </w:r>
    </w:p>
    <w:p w14:paraId="4AD162F5" w14:textId="77777777" w:rsidR="00B0450E" w:rsidRPr="00500A19" w:rsidRDefault="00B0450E" w:rsidP="00380A46">
      <w:pPr>
        <w:pStyle w:val="Headingb"/>
        <w:tabs>
          <w:tab w:val="clear" w:pos="907"/>
        </w:tabs>
        <w:ind w:left="0" w:firstLine="0"/>
        <w:rPr>
          <w:rFonts w:cstheme="minorBidi"/>
          <w:lang w:val="ru-RU"/>
        </w:rPr>
      </w:pPr>
      <w:r w:rsidRPr="00500A19">
        <w:rPr>
          <w:lang w:val="ru-RU"/>
        </w:rPr>
        <w:t>ВОПРОС A/1: Стимулирующая политика и регулирование для повсеместного распространения возможности установления соединений, включая широкополосную связь, с уделением особого внимания сельским и отдаленным районам</w:t>
      </w:r>
    </w:p>
    <w:p w14:paraId="5DCE1AF5" w14:textId="6D12D18A" w:rsidR="00B0450E" w:rsidRPr="00500A19" w:rsidRDefault="00B0450E" w:rsidP="00380A46">
      <w:pPr>
        <w:pStyle w:val="Headingb"/>
        <w:rPr>
          <w:rFonts w:cstheme="minorBidi"/>
          <w:lang w:val="ru-RU"/>
        </w:rPr>
      </w:pPr>
      <w:r w:rsidRPr="00500A19">
        <w:rPr>
          <w:lang w:val="ru-RU"/>
        </w:rPr>
        <w:t>1</w:t>
      </w:r>
      <w:r w:rsidR="009467F5" w:rsidRPr="00500A19">
        <w:rPr>
          <w:lang w:val="ru-RU"/>
        </w:rPr>
        <w:tab/>
      </w:r>
      <w:r w:rsidRPr="00500A19">
        <w:rPr>
          <w:lang w:val="ru-RU"/>
        </w:rPr>
        <w:t>Изложение ситуации или проблемы</w:t>
      </w:r>
    </w:p>
    <w:p w14:paraId="46ED0D8F" w14:textId="77777777" w:rsidR="00B0450E" w:rsidRPr="00500A19" w:rsidRDefault="00B0450E" w:rsidP="009467F5">
      <w:pPr>
        <w:rPr>
          <w:rFonts w:cstheme="minorBidi"/>
          <w:color w:val="000000" w:themeColor="text1"/>
        </w:rPr>
      </w:pPr>
      <w:r w:rsidRPr="00500A19">
        <w:t>В целях оказания дальнейшего содействия выполнению задач, поставленных в Женевском плане действий Всемирной встречи на высшем уровне по вопросам информационного общества (ВВУИО), и содействия достижению Целей в области устойчивого развития (ЦУР), необходимо решить проблему цифрового разрыва между городскими и сельскими районами путем развития цифровой инфраструктуры и обеспечения доступности цифровых услуг для всех в сельских и отдаленных районах развивающихся стран, включая НРС, ЛЛДС и СИДС, в которых проживает более половины мирового населения</w:t>
      </w:r>
      <w:r w:rsidRPr="00500A19">
        <w:rPr>
          <w:rStyle w:val="FootnoteReference"/>
          <w:rFonts w:cstheme="minorHAnsi"/>
          <w:color w:val="000000" w:themeColor="text1"/>
          <w:szCs w:val="24"/>
        </w:rPr>
        <w:footnoteReference w:id="11"/>
      </w:r>
      <w:r w:rsidRPr="00500A19">
        <w:t>. В настоящее время приоритетными являются решения, предусматривающие возможность установления наземных и спутниковых широкополосных соединений для поддержки сетевых технологий, позволяющих использовать распространенные применения широкополосной связи , необходимые гражданам для целей цифровой трансформации.</w:t>
      </w:r>
    </w:p>
    <w:p w14:paraId="0F2DF7A6" w14:textId="3B3AB399" w:rsidR="00B0450E" w:rsidRPr="00500A19" w:rsidRDefault="00B0450E" w:rsidP="009467F5">
      <w:pPr>
        <w:rPr>
          <w:rFonts w:cstheme="minorBidi"/>
        </w:rPr>
      </w:pPr>
      <w:r w:rsidRPr="00500A19">
        <w:t>По данным МСЭ, 2024 год стал первым полным годом, когда более 70 процентов населения мира начали участвовать в глобальной цифровой экономике, подключаясь к сети. Последние данные МСЭ свидетельствуют о том, что в настоящее время около 30 процентов мирового населения по</w:t>
      </w:r>
      <w:r w:rsidR="000B277C" w:rsidRPr="00500A19">
        <w:t>­</w:t>
      </w:r>
      <w:r w:rsidRPr="00500A19">
        <w:t>прежнему не имеют доступа к интернету (МСЭ, оценка 2024 г.).</w:t>
      </w:r>
    </w:p>
    <w:p w14:paraId="718266D4" w14:textId="77777777" w:rsidR="00B0450E" w:rsidRPr="00500A19" w:rsidRDefault="00B0450E" w:rsidP="009467F5">
      <w:pPr>
        <w:rPr>
          <w:rFonts w:cstheme="minorBidi"/>
        </w:rPr>
      </w:pPr>
      <w:r w:rsidRPr="00500A19">
        <w:t>Технологии широкополосной связи трансформируют наш образ жизни. Инфраструктура широкополосной связи, приложения и услуги открывают значительные возможности для стимулирования экономического роста, совершенствования связи, повышения энергоэффективности, охраны окружающей среды и улучшения жизни людей.</w:t>
      </w:r>
    </w:p>
    <w:p w14:paraId="32AFD6D1" w14:textId="675ABC3C" w:rsidR="00B0450E" w:rsidRPr="00500A19" w:rsidRDefault="00B0450E" w:rsidP="009467F5">
      <w:pPr>
        <w:rPr>
          <w:rFonts w:cstheme="minorBidi"/>
        </w:rPr>
      </w:pPr>
      <w:r w:rsidRPr="00500A19">
        <w:t>Широкополосный доступ оказывает значительное воздействие на мировую экономику и способствует обеспечению реальной возможности установления соединений для всех. Быстрые изменения в этой сфере и новые возможности для бизнеса приводят к стремительному, но порой неравномерному развитию цифровых технологий.</w:t>
      </w:r>
    </w:p>
    <w:p w14:paraId="1ED0D6E3" w14:textId="77777777" w:rsidR="00B0450E" w:rsidRPr="00500A19" w:rsidRDefault="00B0450E" w:rsidP="00380A46">
      <w:pPr>
        <w:pStyle w:val="Headingb"/>
        <w:tabs>
          <w:tab w:val="clear" w:pos="907"/>
        </w:tabs>
        <w:ind w:left="0" w:firstLine="0"/>
        <w:rPr>
          <w:rFonts w:cstheme="minorBidi"/>
          <w:lang w:val="ru-RU"/>
        </w:rPr>
      </w:pPr>
      <w:r w:rsidRPr="00500A19">
        <w:rPr>
          <w:lang w:val="ru-RU"/>
        </w:rPr>
        <w:t>В связи с этим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 имеют потребности в следующих областях</w:t>
      </w:r>
      <w:r w:rsidRPr="00500A19">
        <w:rPr>
          <w:b w:val="0"/>
          <w:bCs/>
          <w:lang w:val="ru-RU"/>
        </w:rPr>
        <w:t>:</w:t>
      </w:r>
    </w:p>
    <w:p w14:paraId="4CD07677" w14:textId="3B06C3C7" w:rsidR="00B0450E" w:rsidRPr="00500A19" w:rsidRDefault="009467F5" w:rsidP="009467F5">
      <w:pPr>
        <w:pStyle w:val="enumlev1"/>
      </w:pPr>
      <w:r w:rsidRPr="00500A19">
        <w:sym w:font="Symbol" w:char="F02D"/>
      </w:r>
      <w:r w:rsidRPr="00500A19">
        <w:tab/>
      </w:r>
      <w:r w:rsidR="00B0450E" w:rsidRPr="00500A19">
        <w:t>политика, стратегии и регуляторные аспекты широкополосной связи;</w:t>
      </w:r>
    </w:p>
    <w:p w14:paraId="745D8F51" w14:textId="0D9179D8" w:rsidR="00B0450E" w:rsidRPr="00500A19" w:rsidRDefault="009467F5" w:rsidP="009467F5">
      <w:pPr>
        <w:pStyle w:val="enumlev1"/>
      </w:pPr>
      <w:r w:rsidRPr="00500A19">
        <w:sym w:font="Symbol" w:char="F02D"/>
      </w:r>
      <w:r w:rsidRPr="00500A19">
        <w:tab/>
      </w:r>
      <w:r w:rsidR="00B0450E" w:rsidRPr="00500A19">
        <w:t>анализ передового опыта национальных планов в области широкополосной связи;</w:t>
      </w:r>
    </w:p>
    <w:p w14:paraId="444FF955" w14:textId="2C2FDECF" w:rsidR="00B0450E" w:rsidRPr="00500A19" w:rsidRDefault="009467F5" w:rsidP="009467F5">
      <w:pPr>
        <w:pStyle w:val="enumlev1"/>
      </w:pPr>
      <w:r w:rsidRPr="00500A19">
        <w:sym w:font="Symbol" w:char="F02D"/>
      </w:r>
      <w:r w:rsidRPr="00500A19">
        <w:tab/>
      </w:r>
      <w:r w:rsidR="00B0450E" w:rsidRPr="00500A19">
        <w:t>технологии широкополосного доступа, включая проводные/беспроводные наземные и неназемные сети;</w:t>
      </w:r>
    </w:p>
    <w:p w14:paraId="4B1D02BA" w14:textId="43837B73" w:rsidR="00B0450E" w:rsidRPr="00500A19" w:rsidRDefault="009467F5" w:rsidP="009467F5">
      <w:pPr>
        <w:pStyle w:val="enumlev1"/>
      </w:pPr>
      <w:r w:rsidRPr="00500A19">
        <w:sym w:font="Symbol" w:char="F02D"/>
      </w:r>
      <w:r w:rsidRPr="00500A19">
        <w:tab/>
      </w:r>
      <w:r w:rsidR="00B0450E" w:rsidRPr="00500A19">
        <w:t>аспекты широкополосной связи, связанные с финансированием и инвестированием;</w:t>
      </w:r>
    </w:p>
    <w:p w14:paraId="32FE7309" w14:textId="2623B2DC" w:rsidR="00B0450E" w:rsidRPr="00500A19" w:rsidRDefault="009467F5" w:rsidP="009467F5">
      <w:pPr>
        <w:pStyle w:val="enumlev1"/>
      </w:pPr>
      <w:r w:rsidRPr="00500A19">
        <w:sym w:font="Symbol" w:char="F02D"/>
      </w:r>
      <w:r w:rsidRPr="00500A19">
        <w:tab/>
      </w:r>
      <w:r w:rsidR="00B0450E" w:rsidRPr="00500A19">
        <w:t>цифровая инфраструктура, необходимая для открытой для всех цифровой трансформации с учетом совместного развертывания и совместного использования.</w:t>
      </w:r>
    </w:p>
    <w:p w14:paraId="668FF576" w14:textId="77777777" w:rsidR="00B0450E" w:rsidRPr="00500A19" w:rsidRDefault="00B0450E" w:rsidP="009467F5">
      <w:pPr>
        <w:rPr>
          <w:color w:val="000000" w:themeColor="text1"/>
        </w:rPr>
      </w:pPr>
      <w:r w:rsidRPr="00500A19">
        <w:lastRenderedPageBreak/>
        <w:t>Важно также рассмотреть программы создания спроса на широкополосную связь и обеспечения доступности электронных услуг и широкополосной связи для населения сельских и отдаленных районов. Необходимы государственные стимулы, субсидии и другие механизмы финансирования. Также следует продолжить деятельность по эффективному использованию фондов универсального обслуживания и разработка передового опыта.</w:t>
      </w:r>
    </w:p>
    <w:p w14:paraId="3BC89DDD" w14:textId="7D74A975" w:rsidR="00B0450E" w:rsidRPr="00500A19" w:rsidRDefault="00B0450E" w:rsidP="00380A46">
      <w:pPr>
        <w:pStyle w:val="Headingb"/>
        <w:rPr>
          <w:rFonts w:cstheme="minorBidi"/>
          <w:lang w:val="ru-RU"/>
        </w:rPr>
      </w:pPr>
      <w:r w:rsidRPr="00500A19">
        <w:rPr>
          <w:lang w:val="ru-RU"/>
        </w:rPr>
        <w:t>2</w:t>
      </w:r>
      <w:r w:rsidR="009467F5" w:rsidRPr="00500A19">
        <w:rPr>
          <w:lang w:val="ru-RU"/>
        </w:rPr>
        <w:tab/>
      </w:r>
      <w:r w:rsidRPr="00500A19">
        <w:rPr>
          <w:lang w:val="ru-RU"/>
        </w:rPr>
        <w:t>Вопрос или предмет для изучения</w:t>
      </w:r>
    </w:p>
    <w:p w14:paraId="1A5CF3A4" w14:textId="2F3AB9B4" w:rsidR="00B0450E" w:rsidRPr="00500A19" w:rsidRDefault="00B0450E" w:rsidP="009467F5">
      <w:pPr>
        <w:rPr>
          <w:rFonts w:cstheme="minorBidi"/>
          <w:b/>
          <w:bCs/>
        </w:rPr>
      </w:pPr>
      <w:r w:rsidRPr="00500A19">
        <w:t>Важно актуализировать исследование цифровых соединений широкополосной связи в сельских и отдаленных районах для адаптации и поддержки социальных инноваций и появляющихся технологий в интересах жителей сельских районов развивающихся стран, включая НРС, ЛЛДС и СИДС по следующим направлениям</w:t>
      </w:r>
      <w:r w:rsidR="00DB3F59" w:rsidRPr="00500A19">
        <w:t>.</w:t>
      </w:r>
    </w:p>
    <w:p w14:paraId="7AFB9192" w14:textId="130C734B" w:rsidR="00B0450E" w:rsidRPr="00500A19" w:rsidRDefault="00B0450E" w:rsidP="00380A46">
      <w:pPr>
        <w:pStyle w:val="Headingb"/>
        <w:rPr>
          <w:rFonts w:cstheme="minorBidi"/>
          <w:lang w:val="ru-RU"/>
        </w:rPr>
      </w:pPr>
      <w:r w:rsidRPr="00500A19">
        <w:rPr>
          <w:lang w:val="ru-RU"/>
        </w:rPr>
        <w:t>2.1</w:t>
      </w:r>
      <w:r w:rsidR="009467F5" w:rsidRPr="00500A19">
        <w:rPr>
          <w:lang w:val="ru-RU"/>
        </w:rPr>
        <w:tab/>
      </w:r>
      <w:r w:rsidRPr="00500A19">
        <w:rPr>
          <w:lang w:val="ru-RU"/>
        </w:rPr>
        <w:t>Продолжение рассмотрения тем в рамках Вопроса 1/1 и Вопроса 5/1 из исследовательского периода 2021−2025 годов</w:t>
      </w:r>
    </w:p>
    <w:p w14:paraId="200C9AAF" w14:textId="0D1FDB3A"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Методы и устойчивые решения, которые могут оказать влияние на предоставление услуг электросвязи/ИКТ и наличие цифровой инфраструктуры широкополосной связи в сельских и отдаленных районах, при уделении особого внимания тем, в которых применяются современные технологии, разработанные для снижения капитальных и эксплуатационных затрат, содействия конвергенции услуг и приложений.</w:t>
      </w:r>
    </w:p>
    <w:p w14:paraId="1E96DCCE" w14:textId="1A29F5A6"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Сложности в процессе создания, построения и развертывания цифровой инфраструктуры широкополосной связи в сельских и отдаленных районах.</w:t>
      </w:r>
    </w:p>
    <w:p w14:paraId="1CA18B47" w14:textId="56C18FE9"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Потребности, стратегии, механизмы и регуляторные инициативы, направленные на сокращение цифрового разрыва между сельскими и городскими районами путем расширения широкополосного цифрового доступа, включая: 1) методики для планирования перехода и внедрения технологий широкополосного доступа с учетом существующих сетей, в соответствующих случаях; 2) национальные цифровые стратегии, политика и планы, целью которых является обеспечение доступности широкополосной связи для как можно более широкого сообщества пользователей.</w:t>
      </w:r>
    </w:p>
    <w:p w14:paraId="7C68DE5C" w14:textId="5ABAB6BC"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Повышение качества услуг в сельских и отдаленных районах в условиях роста трафика данных в инфраструктуре широкополосной связи (в сотрудничестве с Вопросом 4/1 и Вопросом B/1)</w:t>
      </w:r>
    </w:p>
    <w:p w14:paraId="5E2758C5" w14:textId="18B7B3FA"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Подходы к лицензированию и бизнес-модели для устойчивого развертывания сетей в сельских и отдаленных районах с использованием новых и появляющихся технологий. При</w:t>
      </w:r>
      <w:r w:rsidR="00DB3F59" w:rsidRPr="00500A19">
        <w:t> </w:t>
      </w:r>
      <w:r w:rsidR="00B0450E" w:rsidRPr="00500A19">
        <w:t>этом учитывается возможность формирования государственных, частных и государственно-частных партнерств для инвестирования в масштабное развертывание широкополосной связи, а также более эффективная интеграция использования наземной, спутниковой, транзитной и подводной инфраструктуры электросвязи.</w:t>
      </w:r>
    </w:p>
    <w:p w14:paraId="26856665" w14:textId="0437B38B"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Разработка местного контента и соответствующих стратегий для использования возможностей и разрешения проблем, связанных с обеспечением доступа к услугам на соответствующих местных языках для коренных народов и для лиц с особыми</w:t>
      </w:r>
      <w:r w:rsidR="00DB3F59" w:rsidRPr="00500A19">
        <w:t> </w:t>
      </w:r>
      <w:r w:rsidR="00B0450E" w:rsidRPr="00500A19">
        <w:t>потребностями.</w:t>
      </w:r>
    </w:p>
    <w:p w14:paraId="66B5E896" w14:textId="65648EFE"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Приемлемость в ценовом отношении услуг/устройств, в особенности для сельских пользователей, которые могли бы их применять для достижения своих целей в области развития (в сотрудничестве с Вопросом 4/1).</w:t>
      </w:r>
    </w:p>
    <w:p w14:paraId="6BA8AFA9" w14:textId="67EF8514" w:rsidR="00B0450E" w:rsidRPr="00500A19" w:rsidRDefault="009467F5" w:rsidP="009467F5">
      <w:pPr>
        <w:pStyle w:val="enumlev1"/>
        <w:rPr>
          <w:rFonts w:cstheme="minorBidi"/>
          <w:b/>
          <w:bCs/>
        </w:rPr>
      </w:pPr>
      <w:r w:rsidRPr="00500A19">
        <w:sym w:font="Symbol" w:char="F02D"/>
      </w:r>
      <w:r w:rsidRPr="00500A19">
        <w:tab/>
      </w:r>
      <w:r w:rsidR="00B0450E" w:rsidRPr="00500A19">
        <w:t>Стратегии содействия малым и средним предприятиям (МСП) и дополнительным сетям доступа и подключения в деревнях, в соответствии с национальными нормативными положениями, в предоставлении услуг электросвязи/ИКТ в сельских и отдаленных районах для стимулирования инноваций, достижения национального экономического роста с целью сокращения цифрового разрыва между сельскими и городскими районами.</w:t>
      </w:r>
    </w:p>
    <w:p w14:paraId="4167D92F" w14:textId="6AD14933" w:rsidR="00B0450E" w:rsidRPr="00500A19" w:rsidRDefault="009467F5" w:rsidP="009467F5">
      <w:pPr>
        <w:pStyle w:val="enumlev1"/>
        <w:rPr>
          <w:rFonts w:cstheme="minorBidi"/>
        </w:rPr>
      </w:pPr>
      <w:r w:rsidRPr="00500A19">
        <w:lastRenderedPageBreak/>
        <w:sym w:font="Symbol" w:char="F02D"/>
      </w:r>
      <w:r w:rsidRPr="00500A19">
        <w:tab/>
      </w:r>
      <w:r w:rsidR="00B0450E" w:rsidRPr="00500A19">
        <w:t>Возможность установления трансграничных соединений и проблемы малых островных развивающихся государств.</w:t>
      </w:r>
    </w:p>
    <w:p w14:paraId="4803C467" w14:textId="6E4D0597" w:rsidR="00B0450E" w:rsidRPr="00500A19" w:rsidRDefault="009467F5" w:rsidP="009467F5">
      <w:pPr>
        <w:pStyle w:val="enumlev1"/>
        <w:rPr>
          <w:rFonts w:cstheme="minorBidi"/>
        </w:rPr>
      </w:pPr>
      <w:r w:rsidRPr="00500A19">
        <w:sym w:font="Symbol" w:char="F02D"/>
      </w:r>
      <w:r w:rsidRPr="00500A19">
        <w:tab/>
      </w:r>
      <w:r w:rsidR="00B0450E" w:rsidRPr="00500A19">
        <w:t>Регуляторные и рыночные условия, необходимые для содействия развертыванию широкополосных сетей и услуг, включая, при необходимости, введение асимметричного регулирования для операторов, обладающих значительным влиянием на рынке (SMP), например развязывание абонентской линии, если это требуется для таких операторов с SMP, и варианты организации национальных регуляторных органов, обуславливаемые конвергенцией. Также предполагается рассмотреть вопросы, касающиеся 1) гибких и прозрачных подходов к содействию здоровой конкуренции при обеспечении доступа к сетям (возможно сотрудничество с Вопросом 4/1); 2) совместного инвестирования, совместного размещения, совместного развертывания и совместного использования широкополосной инфраструктуры с другими инфраструктурными сетями.</w:t>
      </w:r>
    </w:p>
    <w:p w14:paraId="53928593" w14:textId="70057E2A" w:rsidR="00B0450E" w:rsidRPr="00500A19" w:rsidRDefault="00B0450E" w:rsidP="00380A46">
      <w:pPr>
        <w:pStyle w:val="Headingb"/>
        <w:rPr>
          <w:rFonts w:cstheme="minorBidi"/>
          <w:lang w:val="ru-RU"/>
        </w:rPr>
      </w:pPr>
      <w:r w:rsidRPr="00500A19">
        <w:rPr>
          <w:lang w:val="ru-RU"/>
        </w:rPr>
        <w:t>2.2</w:t>
      </w:r>
      <w:r w:rsidR="009467F5" w:rsidRPr="00500A19">
        <w:rPr>
          <w:lang w:val="ru-RU"/>
        </w:rPr>
        <w:tab/>
      </w:r>
      <w:r w:rsidRPr="00500A19">
        <w:rPr>
          <w:lang w:val="ru-RU"/>
        </w:rPr>
        <w:t>Новые темы для данного исследовательского периода</w:t>
      </w:r>
    </w:p>
    <w:p w14:paraId="371B304B" w14:textId="3D9576DA"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Эффективное использование наземных и неназемных сетей.</w:t>
      </w:r>
    </w:p>
    <w:p w14:paraId="2918898F" w14:textId="3F356CD4" w:rsidR="00B0450E" w:rsidRPr="000776BB" w:rsidRDefault="009467F5" w:rsidP="009467F5">
      <w:pPr>
        <w:pStyle w:val="enumlev1"/>
        <w:rPr>
          <w:rFonts w:cstheme="minorBidi"/>
          <w:color w:val="000000" w:themeColor="text1"/>
          <w:lang w:val="en-US"/>
        </w:rPr>
      </w:pPr>
      <w:r w:rsidRPr="00500A19">
        <w:sym w:font="Symbol" w:char="F02D"/>
      </w:r>
      <w:r w:rsidRPr="00500A19">
        <w:tab/>
      </w:r>
      <w:r w:rsidR="00B0450E" w:rsidRPr="00500A19">
        <w:t>Возможные способы улучшения инфраструктуры и доступа в сельских районах с помощью искусственного интеллекта (в сотрудничестве с Вопросом D/2).</w:t>
      </w:r>
    </w:p>
    <w:p w14:paraId="2D620466" w14:textId="798519A9"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Преимущества искусственного интеллекта (ИИ) и проблемы внедрения ИИ в сельских и отдаленных районах.</w:t>
      </w:r>
    </w:p>
    <w:p w14:paraId="244F818B" w14:textId="02366CF2"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Эффективное использование ИИ для повышения цифровой грамотности и развития цифровых навыков в сельских сообществах (в сотрудничестве с Вопросом D/2).</w:t>
      </w:r>
    </w:p>
    <w:p w14:paraId="192965B9" w14:textId="79F209CF"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Инновационные решения для обеспечения возможности установления высокоскоростных широкополосных соединений.</w:t>
      </w:r>
    </w:p>
    <w:p w14:paraId="643034D5" w14:textId="40E37F89"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Модели ценообразования и стратегии обеспечения приемлемости в ценовом отношении для спутниковой широкополосной связи (в сотрудничестве с Вопросом 4/1).</w:t>
      </w:r>
    </w:p>
    <w:p w14:paraId="2867CC49" w14:textId="72A07B51"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Инновационные модели ГЧП для финансирования развертывания инфраструктуры и предоставления услуг, смешанные механизмы финансирования и стимулы, включая многосторонние банки развития, соответствующие международные организации и другие структуры частного сектора (в сотрудничестве с Вопросом 4/1).</w:t>
      </w:r>
    </w:p>
    <w:p w14:paraId="3114DE7E" w14:textId="11A7B662" w:rsidR="00B0450E" w:rsidRPr="00500A19" w:rsidRDefault="009467F5" w:rsidP="009467F5">
      <w:pPr>
        <w:pStyle w:val="enumlev1"/>
        <w:rPr>
          <w:rFonts w:cstheme="minorBidi"/>
          <w:color w:val="000000" w:themeColor="text1"/>
        </w:rPr>
      </w:pPr>
      <w:r w:rsidRPr="00500A19">
        <w:sym w:font="Symbol" w:char="F02D"/>
      </w:r>
      <w:r w:rsidRPr="00500A19">
        <w:tab/>
      </w:r>
      <w:r w:rsidR="00B0450E" w:rsidRPr="00500A19">
        <w:t>Возобновляемые источники энергии и энергоэффективные технологии для энергоснабжения сетевой инфраструктуры (в сотрудничестве с Вопросом B/2).</w:t>
      </w:r>
    </w:p>
    <w:p w14:paraId="3D11E897" w14:textId="41545D7E" w:rsidR="00B0450E" w:rsidRPr="00500A19" w:rsidRDefault="00B0450E" w:rsidP="00380A46">
      <w:pPr>
        <w:pStyle w:val="Headingb"/>
        <w:tabs>
          <w:tab w:val="clear" w:pos="907"/>
        </w:tabs>
        <w:ind w:left="0" w:firstLine="0"/>
        <w:rPr>
          <w:rFonts w:eastAsia="Aptos" w:cstheme="minorBidi"/>
          <w:kern w:val="2"/>
          <w:lang w:val="ru-RU"/>
          <w14:ligatures w14:val="standardContextual"/>
        </w:rPr>
      </w:pPr>
      <w:r w:rsidRPr="00500A19">
        <w:rPr>
          <w:lang w:val="ru-RU"/>
        </w:rPr>
        <w:t>ВОПРОС 2/1: Стимулирующая политика и регулирование для внедрения цифровых технологий для распространения контента и радиовещания</w:t>
      </w:r>
    </w:p>
    <w:p w14:paraId="7314B61B" w14:textId="556F33C6" w:rsidR="00B0450E" w:rsidRPr="00500A19" w:rsidRDefault="00B0450E" w:rsidP="00380A46">
      <w:pPr>
        <w:pStyle w:val="Headingb"/>
        <w:rPr>
          <w:rFonts w:eastAsia="Aptos" w:cstheme="minorBidi"/>
          <w:kern w:val="2"/>
          <w:lang w:val="ru-RU"/>
          <w14:ligatures w14:val="standardContextual"/>
        </w:rPr>
      </w:pPr>
      <w:r w:rsidRPr="00500A19">
        <w:rPr>
          <w:lang w:val="ru-RU"/>
        </w:rPr>
        <w:t>1</w:t>
      </w:r>
      <w:r w:rsidR="009467F5" w:rsidRPr="00500A19">
        <w:rPr>
          <w:lang w:val="ru-RU"/>
        </w:rPr>
        <w:tab/>
      </w:r>
      <w:r w:rsidRPr="00500A19">
        <w:rPr>
          <w:lang w:val="ru-RU"/>
        </w:rPr>
        <w:t>Изложение ситуации или проблемы</w:t>
      </w:r>
    </w:p>
    <w:p w14:paraId="7C9B0E0F" w14:textId="7E29DCE0" w:rsidR="00B0450E" w:rsidRPr="00500A19" w:rsidRDefault="009467F5" w:rsidP="009467F5">
      <w:pPr>
        <w:pStyle w:val="enumlev1"/>
        <w:rPr>
          <w:rFonts w:cstheme="minorBidi"/>
        </w:rPr>
      </w:pPr>
      <w:r w:rsidRPr="00500A19">
        <w:t>1.1</w:t>
      </w:r>
      <w:r w:rsidRPr="00500A19">
        <w:tab/>
      </w:r>
      <w:r w:rsidR="00B0450E" w:rsidRPr="00500A19">
        <w:t>Сектор развития электросвязи МСЭ (МСЭ-D) может по-прежнему играть определенную роль в оказании содействия Государствам-Членам в проведении оценки технико-экономических аспектов внедрения и использования цифровых технологий и услуг. По данным вопросам МСЭ-D тесно сотрудничает как с Сектором радиосвязи МСЭ (МСЭ-R), так и с Сектором стандартизации электросвязи МСЭ (МСЭ-Т), позволяя таким образом избежать дублирования усилий.</w:t>
      </w:r>
    </w:p>
    <w:p w14:paraId="63775726" w14:textId="1DA5D6B0" w:rsidR="00B0450E" w:rsidRPr="00500A19" w:rsidRDefault="009467F5" w:rsidP="009467F5">
      <w:pPr>
        <w:pStyle w:val="enumlev1"/>
        <w:rPr>
          <w:rFonts w:cstheme="minorBidi"/>
        </w:rPr>
      </w:pPr>
      <w:r w:rsidRPr="00500A19">
        <w:t>1.2</w:t>
      </w:r>
      <w:r w:rsidRPr="00500A19">
        <w:tab/>
      </w:r>
      <w:r w:rsidR="00B0450E" w:rsidRPr="00500A19">
        <w:t>МСЭ проводит работу по анализу и выявлению передового опыта в области внедрения и использования цифрового радиовещания, включая новые и инновационные системы.</w:t>
      </w:r>
    </w:p>
    <w:p w14:paraId="745736D3" w14:textId="4D75074C" w:rsidR="00B0450E" w:rsidRPr="00500A19" w:rsidRDefault="009467F5" w:rsidP="009467F5">
      <w:pPr>
        <w:pStyle w:val="enumlev1"/>
        <w:rPr>
          <w:rFonts w:cstheme="minorBidi"/>
        </w:rPr>
      </w:pPr>
      <w:r w:rsidRPr="00500A19">
        <w:t>1.3</w:t>
      </w:r>
      <w:r w:rsidRPr="00500A19">
        <w:tab/>
      </w:r>
      <w:r w:rsidR="00B0450E" w:rsidRPr="00500A19">
        <w:t xml:space="preserve">В связи с этим в отчетах за прошлые исследовательские периоды помимо прочих исследований конкретных ситуаций приводится описание передового опыта по повышению темпов перехода и сокращению цифрового разрыва путем развертывания новых услуг, коммуникационных стратегий повышения осведомленности общественности в области </w:t>
      </w:r>
      <w:r w:rsidR="00B0450E" w:rsidRPr="00500A19">
        <w:lastRenderedPageBreak/>
        <w:t>цифрового радиовещания и вопросов, касающихся радиоспектра для процесса отключения аналогового радиовещания.</w:t>
      </w:r>
    </w:p>
    <w:p w14:paraId="50DF3DAE" w14:textId="6A6DD0AE" w:rsidR="00B0450E" w:rsidRPr="00500A19" w:rsidRDefault="009467F5" w:rsidP="009467F5">
      <w:pPr>
        <w:pStyle w:val="enumlev1"/>
        <w:rPr>
          <w:rFonts w:cstheme="minorBidi"/>
        </w:rPr>
      </w:pPr>
      <w:r w:rsidRPr="00500A19">
        <w:t>1.4</w:t>
      </w:r>
      <w:r w:rsidRPr="00500A19">
        <w:tab/>
      </w:r>
      <w:r w:rsidR="00B0450E" w:rsidRPr="00500A19">
        <w:t>Важно также признать взаимосвязь между различными средами, в частности радиовещанием и широкополосной связью, а также необходимость рассматривать радиовещание в целом и учитывать взаимосвязь между различными сетями доставки аудиовизуального контента, а также внедрения и использования новых и инновационных радиовещательных услуг и приложений.</w:t>
      </w:r>
    </w:p>
    <w:p w14:paraId="1F4E0DF6" w14:textId="4BDF3BC4" w:rsidR="00B0450E" w:rsidRPr="00500A19" w:rsidRDefault="005B0FCB" w:rsidP="009467F5">
      <w:pPr>
        <w:pStyle w:val="enumlev1"/>
        <w:rPr>
          <w:rFonts w:cstheme="minorBidi"/>
        </w:rPr>
      </w:pPr>
      <w:r w:rsidRPr="00500A19">
        <w:t>1.5</w:t>
      </w:r>
      <w:r w:rsidRPr="00500A19">
        <w:tab/>
      </w:r>
      <w:r w:rsidR="00B0450E" w:rsidRPr="00500A19">
        <w:t>Более того, сфера радиовещания меняется, и предложения для пользователей также изменяются. Создаются новые возможности в сфере доступа к аудиовизуальному контенту, и одним из результатов этих новых предложений является то, что теперь пользователям доступны не только традиционные медиауслуги/приложения. В рамках предоставляемых услуг радиовещания они начинают познавать различные способы получения аудиовизуального контента. В этом контексте для оценки ситуации в области телевидения важно проанализировать другие предложения цифровых аудиовизуальных услуг, а также новые и появляющиеся системы, услуги и приложения в области распространения радиовещательного/аудиовизуального контента, включая услуги OTT и другие платформы распространения, такие как спутниковые и кабельные сети.</w:t>
      </w:r>
    </w:p>
    <w:p w14:paraId="107A505D" w14:textId="3E9016FC" w:rsidR="00B0450E" w:rsidRPr="00500A19" w:rsidRDefault="005B0FCB" w:rsidP="009467F5">
      <w:pPr>
        <w:pStyle w:val="enumlev1"/>
        <w:rPr>
          <w:rFonts w:cstheme="minorBidi"/>
        </w:rPr>
      </w:pPr>
      <w:r w:rsidRPr="00500A19">
        <w:t>1.6</w:t>
      </w:r>
      <w:r w:rsidRPr="00500A19">
        <w:tab/>
      </w:r>
      <w:r w:rsidR="00B0450E" w:rsidRPr="00500A19">
        <w:t>Таким образом, применительно к внедрению новых технологий, услуг и приложений радиовещания в этой новой среде, которая, как представляется, развивается в направлении создания глобальной медиастратегии для поставщиков услуг и не ограничивает предложения услуг традиционным рынком радиовещания, по всей видимости, ключевыми тенденциями являются консолидация, совместное инвестирование и совместное использование инфраструктуры, которые позволят снизить затраты и будут способствовать масштабным инвестициям в развертывание сетей и доставку контента.</w:t>
      </w:r>
    </w:p>
    <w:p w14:paraId="3F69C9E4" w14:textId="42E1DF14" w:rsidR="00B0450E" w:rsidRPr="00500A19" w:rsidRDefault="005B0FCB" w:rsidP="009467F5">
      <w:pPr>
        <w:pStyle w:val="enumlev1"/>
        <w:rPr>
          <w:rFonts w:cstheme="minorBidi"/>
        </w:rPr>
      </w:pPr>
      <w:r w:rsidRPr="00500A19">
        <w:t>1.7</w:t>
      </w:r>
      <w:r w:rsidRPr="00500A19">
        <w:tab/>
      </w:r>
      <w:r w:rsidR="00B0450E" w:rsidRPr="00500A19">
        <w:t>Принимая это во внимание, полезно изучить радиовещание как важнейшую инфраструктуру для предоставления инновационных приложений и услуг в сочетании с другими сетями и платформами услуг. Кроме того, важно рассмотреть эти взаимодействия с регуляторной, экономической и технической точек зрения, с тем чтобы использовать преимущества каждой сети на благо пользователей и для предоставления более разнообразных услуг.</w:t>
      </w:r>
    </w:p>
    <w:p w14:paraId="5872FBF4" w14:textId="306305C5" w:rsidR="00B0450E" w:rsidRPr="00500A19" w:rsidRDefault="005B0FCB" w:rsidP="009467F5">
      <w:pPr>
        <w:pStyle w:val="enumlev1"/>
        <w:rPr>
          <w:rFonts w:cstheme="minorBidi"/>
        </w:rPr>
      </w:pPr>
      <w:r w:rsidRPr="00500A19">
        <w:t>1.8</w:t>
      </w:r>
      <w:r w:rsidRPr="00500A19">
        <w:tab/>
      </w:r>
      <w:r w:rsidR="00B0450E" w:rsidRPr="00500A19">
        <w:t>Идет развитие радиовещательных систем и их интеграция в сети ИКТ с использованием протокола Интернет по всей цепочке радиовещания, а также с использованием сотовых сетей для передачи медиаданных. Такие изменения и конвергенция секторов медиа и ИКТ требуют особого рассмотрения с точки зрения политики, инвестиций и технологий, а также открывают перспективы для различных услуг и приложений.</w:t>
      </w:r>
    </w:p>
    <w:p w14:paraId="4E38AE76" w14:textId="33D241DF" w:rsidR="00B0450E" w:rsidRPr="00500A19" w:rsidRDefault="005B0FCB" w:rsidP="009467F5">
      <w:pPr>
        <w:pStyle w:val="enumlev1"/>
        <w:rPr>
          <w:rFonts w:cstheme="minorBidi"/>
        </w:rPr>
      </w:pPr>
      <w:r w:rsidRPr="00500A19">
        <w:t>1.9</w:t>
      </w:r>
      <w:r w:rsidRPr="00500A19">
        <w:tab/>
      </w:r>
      <w:r w:rsidR="00B0450E" w:rsidRPr="00500A19">
        <w:t>Следует принять во внимание возможные инновации в сфере радиовещания в диапазоне УВЧ, предлагаемые новыми системами, такими как технология радиовещания 5G, ATSC3.0 и ожидаемая новая система второго поколения радиовещания Бразилии, а также использование диапазона III ОВЧ для радиовещания DAB или ЦНТ, что может привести к появлению новых видов радиовещательных услуг и приложений.</w:t>
      </w:r>
    </w:p>
    <w:p w14:paraId="6F89B124" w14:textId="187C63E3" w:rsidR="00B0450E" w:rsidRPr="00500A19" w:rsidRDefault="005B0FCB" w:rsidP="009467F5">
      <w:pPr>
        <w:pStyle w:val="enumlev1"/>
        <w:rPr>
          <w:rFonts w:cstheme="minorBidi"/>
        </w:rPr>
      </w:pPr>
      <w:r w:rsidRPr="00500A19">
        <w:t>1.10</w:t>
      </w:r>
      <w:r w:rsidRPr="00500A19">
        <w:tab/>
      </w:r>
      <w:r w:rsidR="00B0450E" w:rsidRPr="00500A19">
        <w:t>Использование "цифрового дивиденда" является чрезвычайно важной темой, которая по-прежнему широко обсуждается радиовещательными организациями и операторами электросвязи и других услуг, действующими в одних и тех же полосах частот.</w:t>
      </w:r>
    </w:p>
    <w:p w14:paraId="105DAED6" w14:textId="49B2090C" w:rsidR="00B0450E" w:rsidRPr="00500A19" w:rsidRDefault="005B0FCB" w:rsidP="009467F5">
      <w:pPr>
        <w:pStyle w:val="enumlev1"/>
        <w:rPr>
          <w:rFonts w:cstheme="minorBidi"/>
        </w:rPr>
      </w:pPr>
      <w:r w:rsidRPr="00500A19">
        <w:t>1.11</w:t>
      </w:r>
      <w:r w:rsidRPr="00500A19">
        <w:tab/>
      </w:r>
      <w:r w:rsidR="00B0450E" w:rsidRPr="00500A19">
        <w:t>Наконец, еще одним важным вопросом для будущего радиовещания является появление новых технологий и стандартов радиовещания, которые развивающиеся страны</w:t>
      </w:r>
      <w:r w:rsidR="00B0450E" w:rsidRPr="00500A19">
        <w:rPr>
          <w:rStyle w:val="FootnoteReference"/>
          <w:rFonts w:cstheme="minorHAnsi"/>
          <w:szCs w:val="16"/>
        </w:rPr>
        <w:footnoteReference w:id="12"/>
      </w:r>
      <w:r w:rsidR="00B0450E" w:rsidRPr="00500A19">
        <w:t xml:space="preserve"> могут учитывать при переходе на цифровое телевидение и другие платформы распространения </w:t>
      </w:r>
      <w:r w:rsidR="00B0450E" w:rsidRPr="00500A19">
        <w:lastRenderedPageBreak/>
        <w:t>аудиовизуального контента. В то же время следует рассмотреть и традиционные радиовещательные услуги в контексте взаимодействия с другими платформами и сетями или вне такого контекста.</w:t>
      </w:r>
      <w:bookmarkStart w:id="40" w:name="_Hlk198132271"/>
      <w:bookmarkEnd w:id="40"/>
    </w:p>
    <w:p w14:paraId="75090BD9" w14:textId="516E932A" w:rsidR="00B0450E" w:rsidRPr="00500A19" w:rsidRDefault="00B0450E" w:rsidP="00380A46">
      <w:pPr>
        <w:pStyle w:val="Headingb"/>
        <w:rPr>
          <w:rFonts w:eastAsia="Aptos" w:cstheme="minorBidi"/>
          <w:kern w:val="2"/>
          <w:lang w:val="ru-RU"/>
          <w14:ligatures w14:val="standardContextual"/>
        </w:rPr>
      </w:pPr>
      <w:r w:rsidRPr="00500A19">
        <w:rPr>
          <w:lang w:val="ru-RU"/>
        </w:rPr>
        <w:t>2</w:t>
      </w:r>
      <w:r w:rsidR="005B0FCB" w:rsidRPr="00500A19">
        <w:rPr>
          <w:lang w:val="ru-RU"/>
        </w:rPr>
        <w:tab/>
      </w:r>
      <w:r w:rsidRPr="00500A19">
        <w:rPr>
          <w:lang w:val="ru-RU"/>
        </w:rPr>
        <w:t>Вопрос или предмет для изучения</w:t>
      </w:r>
    </w:p>
    <w:p w14:paraId="7718884D" w14:textId="5A2AAFD7" w:rsidR="00B0450E" w:rsidRPr="00500A19" w:rsidRDefault="00B0450E" w:rsidP="005B0FCB">
      <w:pPr>
        <w:rPr>
          <w:rFonts w:cstheme="minorBidi"/>
        </w:rPr>
      </w:pPr>
      <w:r w:rsidRPr="00500A19">
        <w:t xml:space="preserve">В рамках данного Вопроса усилия предполагается сосредоточить на новых и появляющихся системах, услугах и приложениях радиовещательного/аудиовизуального контента, включая услуги OTT и другие платформы распространения, такие как спутниковые и кабельные сети, а также на новых темах, ориентированных на получение новых результатов работы в исследовательском периоде МСЭ-D 2026−2029 </w:t>
      </w:r>
      <w:r w:rsidR="00DB3F59" w:rsidRPr="00500A19">
        <w:t>годов</w:t>
      </w:r>
      <w:r w:rsidRPr="00500A19">
        <w:t>, в зависимости от случая.</w:t>
      </w:r>
    </w:p>
    <w:p w14:paraId="0331F793" w14:textId="77777777" w:rsidR="00B0450E" w:rsidRPr="00500A19" w:rsidRDefault="00B0450E" w:rsidP="005B0FCB">
      <w:pPr>
        <w:rPr>
          <w:rFonts w:cstheme="minorBidi"/>
        </w:rPr>
      </w:pPr>
      <w:r w:rsidRPr="00500A19">
        <w:t>Будет продолжена работа по комплексным исследованиям в области планирования использования спектра, цифрового радиовещания и использования "цифрового дивиденда" для охвата новых тем и интересов развивающихся стран.</w:t>
      </w:r>
    </w:p>
    <w:p w14:paraId="2EF370C9" w14:textId="1A108727" w:rsidR="00B0450E" w:rsidRPr="00500A19" w:rsidRDefault="00B0450E" w:rsidP="005B0FCB">
      <w:pPr>
        <w:rPr>
          <w:rFonts w:eastAsia="Aptos" w:cstheme="minorBidi"/>
          <w:kern w:val="2"/>
          <w14:ligatures w14:val="standardContextual"/>
        </w:rPr>
      </w:pPr>
      <w:r w:rsidRPr="00500A19">
        <w:t>В рамках изучения Вопроса будут рассматриваться следующие темы:</w:t>
      </w:r>
    </w:p>
    <w:p w14:paraId="4C3A9335" w14:textId="7D2FA7D1" w:rsidR="00B0450E" w:rsidRPr="00500A19" w:rsidRDefault="00B0450E" w:rsidP="005B0FCB">
      <w:pPr>
        <w:pStyle w:val="Heading2"/>
        <w:rPr>
          <w:rFonts w:cstheme="minorBidi"/>
        </w:rPr>
      </w:pPr>
      <w:r w:rsidRPr="00500A19">
        <w:t>2.1</w:t>
      </w:r>
      <w:r w:rsidR="005B0FCB" w:rsidRPr="00500A19">
        <w:tab/>
      </w:r>
      <w:r w:rsidRPr="00500A19">
        <w:t>Продолжение рассмотрения тем в рамках Вопроса 2/1 из исследовательского периода 2021−2025 годов</w:t>
      </w:r>
    </w:p>
    <w:p w14:paraId="7E2E2DF8" w14:textId="6548DDF9" w:rsidR="00B0450E" w:rsidRPr="00500A19" w:rsidRDefault="005B0FCB" w:rsidP="005B0FCB">
      <w:pPr>
        <w:pStyle w:val="enumlev1"/>
        <w:rPr>
          <w:rFonts w:eastAsia="Aptos" w:cstheme="minorBidi"/>
          <w:kern w:val="2"/>
          <w14:ligatures w14:val="standardContextual"/>
        </w:rPr>
      </w:pPr>
      <w:r w:rsidRPr="00500A19">
        <w:t>1</w:t>
      </w:r>
      <w:r w:rsidRPr="00500A19">
        <w:tab/>
      </w:r>
      <w:r w:rsidR="00B0450E" w:rsidRPr="00500A19">
        <w:t>Анализ методов внедрения и использования цифрового радиовещания (звукового и телевизионного), включая развертывание новых услуг и приложений, таких как ТСВЧ, AR/VR, интерактивные приложения, для потребителей/зрителей в различных средах (возможно, в сотрудничестве с Вопросом А/2).</w:t>
      </w:r>
    </w:p>
    <w:p w14:paraId="4CA67B81" w14:textId="2444ECC4" w:rsidR="00B0450E" w:rsidRPr="00500A19" w:rsidRDefault="005B0FCB" w:rsidP="005B0FCB">
      <w:pPr>
        <w:pStyle w:val="enumlev1"/>
        <w:rPr>
          <w:rFonts w:eastAsia="Aptos" w:cstheme="minorBidi"/>
          <w:kern w:val="2"/>
          <w14:ligatures w14:val="standardContextual"/>
        </w:rPr>
      </w:pPr>
      <w:r w:rsidRPr="00500A19">
        <w:t>2</w:t>
      </w:r>
      <w:r w:rsidRPr="00500A19">
        <w:tab/>
      </w:r>
      <w:r w:rsidR="00B0450E" w:rsidRPr="00500A19">
        <w:t>Анализ последствий стремительного роста услуг традиционного и онлайнового линейного телевидения и подписки на услуги "видео по запросу" для служб радиовещания общего пользования в развивающихся странах.</w:t>
      </w:r>
    </w:p>
    <w:p w14:paraId="29DCD9CF" w14:textId="2904746B" w:rsidR="00B0450E" w:rsidRPr="00500A19" w:rsidRDefault="005B0FCB" w:rsidP="005B0FCB">
      <w:pPr>
        <w:pStyle w:val="enumlev1"/>
        <w:rPr>
          <w:rFonts w:eastAsia="Aptos" w:cstheme="minorBidi"/>
          <w:kern w:val="2"/>
          <w14:ligatures w14:val="standardContextual"/>
        </w:rPr>
      </w:pPr>
      <w:r w:rsidRPr="00500A19">
        <w:t>3</w:t>
      </w:r>
      <w:r w:rsidRPr="00500A19">
        <w:tab/>
      </w:r>
      <w:r w:rsidR="00B0450E" w:rsidRPr="00500A19">
        <w:t>Национальный опыт разработки стратегий внедрения новых технологий радиовещания, применений, появляющихся услуг и функциональных возможностей, включая регуляторные, экономические, финансовые и технические аспекты, отражающие потребность в масштабных затратах на внедрение и инвестициях, чтобы справиться с постоянно растущим спросом на видеоконтент (возможно, в сотрудничестве с Вопросами А/2 и 4/1, по мере необходимости).</w:t>
      </w:r>
    </w:p>
    <w:p w14:paraId="189C9ACA" w14:textId="4621F624" w:rsidR="00B0450E" w:rsidRPr="00500A19" w:rsidRDefault="005B0FCB" w:rsidP="005B0FCB">
      <w:pPr>
        <w:pStyle w:val="enumlev1"/>
        <w:rPr>
          <w:rFonts w:eastAsia="Aptos" w:cstheme="minorBidi"/>
          <w:kern w:val="2"/>
          <w14:ligatures w14:val="standardContextual"/>
        </w:rPr>
      </w:pPr>
      <w:r w:rsidRPr="00500A19">
        <w:t>4</w:t>
      </w:r>
      <w:r w:rsidRPr="00500A19">
        <w:tab/>
      </w:r>
      <w:r w:rsidR="00B0450E" w:rsidRPr="00500A19">
        <w:t>Анализ развития систем радиовещания с использованием технологий на базе IP по всей цепочке радиовещания, включая производство, подачу и передачу.</w:t>
      </w:r>
    </w:p>
    <w:p w14:paraId="4AEB00E3" w14:textId="523021D8" w:rsidR="00B0450E" w:rsidRPr="00500A19" w:rsidRDefault="005B0FCB" w:rsidP="005B0FCB">
      <w:pPr>
        <w:pStyle w:val="enumlev1"/>
        <w:rPr>
          <w:rFonts w:eastAsia="Aptos" w:cstheme="minorBidi"/>
          <w:kern w:val="2"/>
          <w14:ligatures w14:val="standardContextual"/>
        </w:rPr>
      </w:pPr>
      <w:r w:rsidRPr="00500A19">
        <w:t>5</w:t>
      </w:r>
      <w:r w:rsidRPr="00500A19">
        <w:tab/>
      </w:r>
      <w:r w:rsidR="00B0450E" w:rsidRPr="00500A19">
        <w:t>Примеры передового опыта и национальный опыт в области использования спектра, включая ослабление влияния помех, использование "цифрового дивиденда", технические, регуляторные и экономические аспекты и другие соответствующие вопросы управления использованием спектра.</w:t>
      </w:r>
    </w:p>
    <w:p w14:paraId="348DE593" w14:textId="6391E01D" w:rsidR="00B0450E" w:rsidRPr="00500A19" w:rsidRDefault="005B0FCB" w:rsidP="005B0FCB">
      <w:pPr>
        <w:pStyle w:val="enumlev1"/>
        <w:rPr>
          <w:rFonts w:eastAsia="Aptos" w:cstheme="minorBidi"/>
          <w:kern w:val="2"/>
          <w14:ligatures w14:val="standardContextual"/>
        </w:rPr>
      </w:pPr>
      <w:r w:rsidRPr="00500A19">
        <w:t>6</w:t>
      </w:r>
      <w:r w:rsidRPr="00500A19">
        <w:tab/>
      </w:r>
      <w:r w:rsidR="00B0450E" w:rsidRPr="00500A19">
        <w:t>Анализ постепенного перехода к цифровому звуковому радиовещанию, исследование конкретных ситуаций, обмен опытом и информацией о реализованных стратегиях, включая использование диапазона III ОВЧ для DAB или ЦНТ.</w:t>
      </w:r>
    </w:p>
    <w:p w14:paraId="42ACFB77" w14:textId="01D3EED4" w:rsidR="00B0450E" w:rsidRPr="00500A19" w:rsidRDefault="005B0FCB" w:rsidP="005B0FCB">
      <w:pPr>
        <w:pStyle w:val="enumlev1"/>
        <w:rPr>
          <w:rFonts w:eastAsia="Aptos" w:cstheme="minorBidi"/>
          <w:kern w:val="2"/>
          <w14:ligatures w14:val="standardContextual"/>
        </w:rPr>
      </w:pPr>
      <w:r w:rsidRPr="00500A19">
        <w:t>7</w:t>
      </w:r>
      <w:r w:rsidRPr="00500A19">
        <w:tab/>
      </w:r>
      <w:r w:rsidR="00B0450E" w:rsidRPr="00500A19">
        <w:t>Анализ возможных инноваций для радиовещания в диапазоне ОВЧ, предлагаемых новыми системами радиовещания, такими как технология радиовещания 5G, ATSC3.0 и другими системами следующего поколения.</w:t>
      </w:r>
    </w:p>
    <w:p w14:paraId="0137CD84" w14:textId="0E38922C" w:rsidR="00B0450E" w:rsidRPr="00500A19" w:rsidRDefault="00B0450E" w:rsidP="005B0FCB">
      <w:pPr>
        <w:pStyle w:val="Heading2"/>
        <w:rPr>
          <w:rFonts w:cstheme="minorBidi"/>
          <w:szCs w:val="22"/>
        </w:rPr>
      </w:pPr>
      <w:r w:rsidRPr="00500A19">
        <w:t>2.2</w:t>
      </w:r>
      <w:r w:rsidR="005B0FCB" w:rsidRPr="00500A19">
        <w:tab/>
      </w:r>
      <w:r w:rsidRPr="00500A19">
        <w:t>Новые темы для данного исследовательского периода</w:t>
      </w:r>
    </w:p>
    <w:p w14:paraId="54D3E6CA" w14:textId="0E710CB7" w:rsidR="00B0450E" w:rsidRPr="00500A19" w:rsidRDefault="005B0FCB" w:rsidP="005B0FCB">
      <w:pPr>
        <w:pStyle w:val="enumlev1"/>
        <w:rPr>
          <w:rFonts w:cstheme="minorBidi"/>
        </w:rPr>
      </w:pPr>
      <w:r w:rsidRPr="00500A19">
        <w:t>1</w:t>
      </w:r>
      <w:r w:rsidRPr="00500A19">
        <w:tab/>
      </w:r>
      <w:r w:rsidR="00B0450E" w:rsidRPr="00500A19">
        <w:t>Стратегии, политика и регулирование для внедрения и использования цифровых аудиовизуальных услуг в контексте распространения аудиовизуального контента.</w:t>
      </w:r>
    </w:p>
    <w:p w14:paraId="6049C92B" w14:textId="315E70C0" w:rsidR="00B0450E" w:rsidRPr="00500A19" w:rsidRDefault="005B0FCB" w:rsidP="005B0FCB">
      <w:pPr>
        <w:pStyle w:val="enumlev1"/>
        <w:rPr>
          <w:rFonts w:cstheme="minorBidi"/>
        </w:rPr>
      </w:pPr>
      <w:r w:rsidRPr="00500A19">
        <w:t>2</w:t>
      </w:r>
      <w:r w:rsidRPr="00500A19">
        <w:tab/>
      </w:r>
      <w:r w:rsidR="00B0450E" w:rsidRPr="00500A19">
        <w:t>Новые системы, услуги и технологии распространения контента, появляющиеся приложения и возможности, включая регуляторные, экономические и технические аспекты, в том числе радиовещательные системы последующих поколений и IP-доставку</w:t>
      </w:r>
      <w:bookmarkStart w:id="41" w:name="_Hlk198132390"/>
      <w:r w:rsidR="00B0450E" w:rsidRPr="00500A19">
        <w:t>.</w:t>
      </w:r>
    </w:p>
    <w:bookmarkEnd w:id="41"/>
    <w:p w14:paraId="09B7709C" w14:textId="30B55C6B" w:rsidR="00B0450E" w:rsidRPr="00500A19" w:rsidRDefault="005B0FCB" w:rsidP="005B0FCB">
      <w:pPr>
        <w:pStyle w:val="enumlev1"/>
        <w:rPr>
          <w:rFonts w:cstheme="minorBidi"/>
        </w:rPr>
      </w:pPr>
      <w:r w:rsidRPr="00500A19">
        <w:lastRenderedPageBreak/>
        <w:t>3</w:t>
      </w:r>
      <w:r w:rsidRPr="00500A19">
        <w:tab/>
      </w:r>
      <w:r w:rsidR="00B0450E" w:rsidRPr="00500A19">
        <w:t>Стратегии развертывания новых услуг и приложений для платформ распространения аудиовизуального контента, таких как ТСВЧ, дополненная/виртуальная реальность, интерактивные приложения, метавселенная, ИИ и прочие; (возможно, в сотрудничестве с Вопросом 4/2).</w:t>
      </w:r>
    </w:p>
    <w:p w14:paraId="5D67B90F" w14:textId="2B3FD2C5" w:rsidR="00B0450E" w:rsidRPr="00500A19" w:rsidRDefault="005B0FCB" w:rsidP="005B0FCB">
      <w:pPr>
        <w:pStyle w:val="enumlev1"/>
        <w:rPr>
          <w:rFonts w:cstheme="minorBidi"/>
        </w:rPr>
      </w:pPr>
      <w:r w:rsidRPr="00500A19">
        <w:t>4</w:t>
      </w:r>
      <w:r w:rsidRPr="00500A19">
        <w:tab/>
      </w:r>
      <w:r w:rsidR="00B0450E" w:rsidRPr="00500A19">
        <w:t>Предложения цифровых аудиовизуальных услуг, включая OTT и другие платформы распространения, такие как IPTV, спутниковые и кабельные сети, для оценки сферы</w:t>
      </w:r>
      <w:r w:rsidR="000B277C" w:rsidRPr="00500A19">
        <w:t> </w:t>
      </w:r>
      <w:r w:rsidR="00B0450E" w:rsidRPr="00500A19">
        <w:t>телевидения.</w:t>
      </w:r>
    </w:p>
    <w:p w14:paraId="1DC264E5" w14:textId="3DB8AD05" w:rsidR="00B0450E" w:rsidRPr="00500A19" w:rsidRDefault="00B0450E" w:rsidP="00380A46">
      <w:pPr>
        <w:pStyle w:val="Headingb"/>
        <w:tabs>
          <w:tab w:val="clear" w:pos="907"/>
        </w:tabs>
        <w:ind w:left="0" w:firstLine="0"/>
        <w:rPr>
          <w:rFonts w:eastAsia="Aptos" w:cstheme="minorBidi"/>
          <w:kern w:val="2"/>
          <w:lang w:val="ru-RU"/>
          <w14:ligatures w14:val="standardContextual"/>
        </w:rPr>
      </w:pPr>
      <w:r w:rsidRPr="00500A19">
        <w:rPr>
          <w:lang w:val="ru-RU"/>
        </w:rPr>
        <w:t>ВОПРОС 3/1</w:t>
      </w:r>
      <w:r w:rsidR="00A3524C" w:rsidRPr="00500A19">
        <w:rPr>
          <w:lang w:val="ru-RU"/>
        </w:rPr>
        <w:t>:</w:t>
      </w:r>
      <w:r w:rsidRPr="00500A19">
        <w:rPr>
          <w:lang w:val="ru-RU"/>
        </w:rPr>
        <w:t xml:space="preserve"> Использование электросвязи/ИКТ для снижения риска бедствий и управления операциями в случае бедствий</w:t>
      </w:r>
    </w:p>
    <w:p w14:paraId="45A56268" w14:textId="3ADE1375" w:rsidR="00B0450E" w:rsidRPr="00500A19" w:rsidRDefault="005B0FCB" w:rsidP="00380A46">
      <w:pPr>
        <w:pStyle w:val="Headingb"/>
        <w:rPr>
          <w:rFonts w:eastAsia="Aptos" w:cstheme="minorBidi"/>
          <w:kern w:val="2"/>
          <w:lang w:val="ru-RU"/>
          <w14:ligatures w14:val="standardContextual"/>
        </w:rPr>
      </w:pPr>
      <w:r w:rsidRPr="00500A19">
        <w:rPr>
          <w:lang w:val="ru-RU"/>
        </w:rPr>
        <w:t>1</w:t>
      </w:r>
      <w:r w:rsidRPr="00500A19">
        <w:rPr>
          <w:lang w:val="ru-RU"/>
        </w:rPr>
        <w:tab/>
      </w:r>
      <w:r w:rsidR="00B0450E" w:rsidRPr="00500A19">
        <w:rPr>
          <w:lang w:val="ru-RU"/>
        </w:rPr>
        <w:t>Изложение ситуации или проблемы</w:t>
      </w:r>
    </w:p>
    <w:p w14:paraId="74BD18FA" w14:textId="32A8B5E1" w:rsidR="00B0450E" w:rsidRPr="00500A19" w:rsidRDefault="00B0450E" w:rsidP="005B0FCB">
      <w:pPr>
        <w:rPr>
          <w:rFonts w:eastAsia="Aptos" w:cstheme="minorBidi"/>
          <w:kern w:val="2"/>
          <w14:ligatures w14:val="standardContextual"/>
        </w:rPr>
      </w:pPr>
      <w:r w:rsidRPr="00500A19">
        <w:t>Общепризнано, что электросвязь и ИКТ имеют большое значение для смягчения последствий бедствий, обеспечения готовности к бедствиям, реагирования на бедствия и восстановления после них. В течение исследовательского периода 2022–2025 годов 1-я Исследовательская комиссия МСЭ-D в рамках Вопроса 3/1 рассматривала использование ИКТ для снижения риска бедствий, с привлечением исследований конкретных ситуаций, примеров технологий, приложений и планирования для устойчивости ИКТ в целях управления операциями в случае бедствий. До этого, в ходе исследовательского периода 2018–2021 годов основное внимание уделялось теме использования электросвязи/ИКТ для обеспечения готовности, смягчения последствий бедствий и реагирования, при этом особое внимание уделялось учениям и тренировочным занятиям.</w:t>
      </w:r>
    </w:p>
    <w:p w14:paraId="15742FED" w14:textId="565B66C9" w:rsidR="00B0450E" w:rsidRPr="00500A19" w:rsidRDefault="00B0450E" w:rsidP="005B0FCB">
      <w:pPr>
        <w:rPr>
          <w:rFonts w:eastAsia="Aptos" w:cstheme="minorBidi"/>
          <w:kern w:val="2"/>
          <w14:ligatures w14:val="standardContextual"/>
        </w:rPr>
      </w:pPr>
      <w:r w:rsidRPr="00500A19">
        <w:t>За последние несколько десятилетий бедствия, начиная от землетрясений и ураганов и заканчивая наводнениями и засухами, ежегодно уносят в среднем от 40 до 50 тысяч жизней. В 2023 году в базе данных о чрезвычайных происшествиях (EM-DAT) было зарегистрировано 399 бедствий, связанных с опасными природными явлениями. В результате этих событий погибли 86</w:t>
      </w:r>
      <w:r w:rsidR="00DB3F59" w:rsidRPr="00500A19">
        <w:t> </w:t>
      </w:r>
      <w:r w:rsidRPr="00500A19">
        <w:t>473 человека и пострадали 93,1 миллиона человек. Экономический ущерб от этих бедствий составил 202,7 миллиарда долларов США. Самым катастрофическим событием года стало землетрясение в Турции и Сирийской Арабской Республике, в результате которого погибли 56</w:t>
      </w:r>
      <w:r w:rsidR="00DB3F59" w:rsidRPr="00500A19">
        <w:t> </w:t>
      </w:r>
      <w:r w:rsidRPr="00500A19">
        <w:t>683 человека и был причинен ущерб в размере 42,9</w:t>
      </w:r>
      <w:r w:rsidR="00DB3F59" w:rsidRPr="00500A19">
        <w:t> </w:t>
      </w:r>
      <w:r w:rsidRPr="00500A19">
        <w:t>миллиарда долларов США. Это землетрясение затронуло, по оценкам, 18 миллионов человек, что делает его вторым по масштабу событием с точки зрения числа пострадавших после засухи в Индонезии в 2023 году, которая в период с июня по сентябрь затронула 18,8 миллиона человек.</w:t>
      </w:r>
    </w:p>
    <w:p w14:paraId="255F4960" w14:textId="77777777" w:rsidR="00B0450E" w:rsidRPr="00500A19" w:rsidRDefault="00B0450E" w:rsidP="005B0FCB">
      <w:pPr>
        <w:rPr>
          <w:rFonts w:eastAsia="Aptos" w:cstheme="minorBidi"/>
          <w:kern w:val="2"/>
          <w14:ligatures w14:val="standardContextual"/>
        </w:rPr>
      </w:pPr>
      <w:r w:rsidRPr="00500A19">
        <w:t>Хотя эти цифры составляют относительно небольшую долю смертей в мире, бедствия могут иметь непропорционально большие последствия для отдельных групп населения. Экстремальные явления могут привести к единовременной гибели десятков и сотен тысяч людей. В ХХ веке бедствия могли ежегодно уносить более миллиона жизней.</w:t>
      </w:r>
    </w:p>
    <w:p w14:paraId="538EBD24" w14:textId="77777777" w:rsidR="00B0450E" w:rsidRPr="00500A19" w:rsidRDefault="00B0450E" w:rsidP="005B0FCB">
      <w:pPr>
        <w:rPr>
          <w:rFonts w:eastAsia="Aptos" w:cstheme="minorBidi"/>
          <w:kern w:val="2"/>
          <w14:ligatures w14:val="standardContextual"/>
        </w:rPr>
      </w:pPr>
      <w:r w:rsidRPr="00500A19">
        <w:t>Помимо гибели людей, бедствия также приводят к значительному перемещению населения, и ежегодно миллионы людей остаются без крова. Экономические издержки таких событий могут быть серьезными, и от них трудно оправиться, в особенности в странах с низким уровнем доходов.</w:t>
      </w:r>
    </w:p>
    <w:p w14:paraId="25FB030B" w14:textId="77777777" w:rsidR="00B0450E" w:rsidRPr="00500A19" w:rsidRDefault="00B0450E" w:rsidP="005B0FCB">
      <w:pPr>
        <w:rPr>
          <w:rFonts w:eastAsia="Aptos" w:cstheme="minorBidi"/>
          <w:kern w:val="2"/>
          <w14:ligatures w14:val="standardContextual"/>
        </w:rPr>
      </w:pPr>
      <w:r w:rsidRPr="00500A19">
        <w:t>Вместе с тем мы не беспомощны перед лицом бедствий. За последнее столетие число случаев гибели в результате стихийных бедствий значительно уменьшилось благодаря системам раннего предупреждения, более совершенной инфраструктуре, более высокой производительности сельского хозяйства и более скоординированным мерам реагирования.</w:t>
      </w:r>
    </w:p>
    <w:p w14:paraId="29B0853B" w14:textId="77777777" w:rsidR="00B0450E" w:rsidRPr="00500A19" w:rsidRDefault="00B0450E" w:rsidP="005B0FCB">
      <w:pPr>
        <w:rPr>
          <w:rFonts w:eastAsia="Malgun Gothic" w:cstheme="minorBidi"/>
          <w:kern w:val="2"/>
          <w14:ligatures w14:val="standardContextual"/>
        </w:rPr>
      </w:pPr>
      <w:r w:rsidRPr="00500A19">
        <w:t>Частота и масштабы экстремальных явлений растут с изменением климата, и решающее значение будет иметь повышение устойчивости для недопущения обращения вспять достигнутого нами прогресса. Для достижения этой цели необходимо продолжать работать над повышением устойчивости уязвимых стран, используя информационно-коммуникационные технологии (ИКТ) и другие стратегии для снижения уязвимости населения и обеспечения того, чтобы никто из подвергающихся рискам не был забыт.</w:t>
      </w:r>
    </w:p>
    <w:p w14:paraId="73F3DFCE" w14:textId="77777777" w:rsidR="00B0450E" w:rsidRPr="00500A19" w:rsidRDefault="00B0450E" w:rsidP="005B0FCB">
      <w:pPr>
        <w:rPr>
          <w:rFonts w:eastAsia="Aptos" w:cstheme="minorBidi"/>
          <w:kern w:val="2"/>
          <w14:ligatures w14:val="standardContextual"/>
        </w:rPr>
      </w:pPr>
      <w:bookmarkStart w:id="42" w:name="_Hlk198132537"/>
      <w:r w:rsidRPr="00500A19">
        <w:lastRenderedPageBreak/>
        <w:t>Использование технологий ИКТ (в особенности новых технологий) важно для определения потенциально опасных мест с точки зрения риска бедствий и передачи этой информации населению.</w:t>
      </w:r>
    </w:p>
    <w:bookmarkEnd w:id="42"/>
    <w:p w14:paraId="6DDDC497" w14:textId="77777777" w:rsidR="00B0450E" w:rsidRPr="00500A19" w:rsidRDefault="00B0450E" w:rsidP="005B0FCB">
      <w:pPr>
        <w:rPr>
          <w:rFonts w:eastAsia="Aptos" w:cstheme="minorBidi"/>
          <w:kern w:val="2"/>
          <w14:ligatures w14:val="standardContextual"/>
        </w:rPr>
      </w:pPr>
      <w:r w:rsidRPr="00500A19">
        <w:t>Большинство развитых и развивающихся</w:t>
      </w:r>
      <w:r w:rsidRPr="00500A19">
        <w:rPr>
          <w:rStyle w:val="FootnoteReference"/>
          <w:rFonts w:eastAsia="Malgun Gothic" w:cstheme="minorHAnsi"/>
          <w:kern w:val="2"/>
          <w:szCs w:val="24"/>
          <w:lang w:eastAsia="ko-KR"/>
          <w14:ligatures w14:val="standardContextual"/>
        </w:rPr>
        <w:footnoteReference w:id="13"/>
      </w:r>
      <w:r w:rsidRPr="00500A19">
        <w:t xml:space="preserve"> стран признают, что электросвязь в чрезвычайных ситуациях приобретает приоритетный характер, и предпринимают шаги в следующих направлениях:</w:t>
      </w:r>
    </w:p>
    <w:p w14:paraId="6FCBBE47" w14:textId="06634DDB" w:rsidR="00B0450E" w:rsidRPr="00500A19" w:rsidRDefault="005B0FCB" w:rsidP="005B0FCB">
      <w:pPr>
        <w:pStyle w:val="enumlev1"/>
        <w:rPr>
          <w:rFonts w:eastAsia="Aptos" w:cstheme="minorBidi"/>
          <w:kern w:val="2"/>
          <w14:ligatures w14:val="standardContextual"/>
        </w:rPr>
      </w:pPr>
      <w:r w:rsidRPr="00500A19">
        <w:sym w:font="Symbol" w:char="F02D"/>
      </w:r>
      <w:r w:rsidRPr="00500A19">
        <w:tab/>
      </w:r>
      <w:r w:rsidR="00B0450E" w:rsidRPr="00500A19">
        <w:t>разработка национальных планов электросвязи в чрезвычайных ситуациях;</w:t>
      </w:r>
    </w:p>
    <w:p w14:paraId="764F9982" w14:textId="04AEFBD8" w:rsidR="00B0450E" w:rsidRPr="00500A19" w:rsidRDefault="005B0FCB" w:rsidP="005B0FCB">
      <w:pPr>
        <w:pStyle w:val="enumlev1"/>
        <w:rPr>
          <w:rFonts w:eastAsia="Aptos" w:cstheme="minorBidi"/>
          <w:kern w:val="2"/>
          <w14:ligatures w14:val="standardContextual"/>
        </w:rPr>
      </w:pPr>
      <w:r w:rsidRPr="00500A19">
        <w:sym w:font="Symbol" w:char="F02D"/>
      </w:r>
      <w:r w:rsidRPr="00500A19">
        <w:tab/>
      </w:r>
      <w:r w:rsidR="00B0450E" w:rsidRPr="00500A19">
        <w:t>разработка и развертывание систем раннего предупреждения; и</w:t>
      </w:r>
    </w:p>
    <w:p w14:paraId="66C109D5" w14:textId="480030E9" w:rsidR="00B0450E" w:rsidRPr="00500A19" w:rsidRDefault="005B0FCB" w:rsidP="005B0FCB">
      <w:pPr>
        <w:pStyle w:val="enumlev1"/>
        <w:rPr>
          <w:rFonts w:eastAsia="Aptos" w:cstheme="minorBidi"/>
          <w:kern w:val="2"/>
          <w14:ligatures w14:val="standardContextual"/>
        </w:rPr>
      </w:pPr>
      <w:r w:rsidRPr="00500A19">
        <w:sym w:font="Symbol" w:char="F02D"/>
      </w:r>
      <w:r w:rsidRPr="00500A19">
        <w:tab/>
      </w:r>
      <w:r w:rsidR="00B0450E" w:rsidRPr="00500A19">
        <w:t>проведение проверок, что технологии и системы введены в действие и готовы к использованию для обеспечения устойчивости в случае бедствий.</w:t>
      </w:r>
    </w:p>
    <w:p w14:paraId="16A32917" w14:textId="0E9684F0" w:rsidR="00B0450E" w:rsidRPr="00500A19" w:rsidRDefault="00B0450E" w:rsidP="005B0FCB">
      <w:pPr>
        <w:rPr>
          <w:rFonts w:eastAsia="Aptos" w:cstheme="minorBidi"/>
          <w:kern w:val="2"/>
          <w14:ligatures w14:val="standardContextual"/>
        </w:rPr>
      </w:pPr>
      <w:r w:rsidRPr="00500A19">
        <w:t>На основе опыта последних трех лет представляется, что на следующем этапе исследования основное внимание следует уделить подготовке: контрольных перечней; руководящих указаний по подготовке стандартных рабочих процедур, а также примеров передового опыта для использования странами в целях обеспечения устойчивости при реагировании на бедствия и последующем</w:t>
      </w:r>
      <w:r w:rsidR="005B0FCB" w:rsidRPr="00500A19">
        <w:t> </w:t>
      </w:r>
      <w:r w:rsidRPr="00500A19">
        <w:t>восстановлении.</w:t>
      </w:r>
    </w:p>
    <w:p w14:paraId="0C6C22BD" w14:textId="77777777" w:rsidR="00B0450E" w:rsidRPr="00500A19" w:rsidRDefault="00B0450E" w:rsidP="005B0FCB">
      <w:pPr>
        <w:rPr>
          <w:rFonts w:eastAsia="Aptos" w:cstheme="minorBidi"/>
          <w:kern w:val="2"/>
          <w14:ligatures w14:val="standardContextual"/>
        </w:rPr>
      </w:pPr>
      <w:r w:rsidRPr="00500A19">
        <w:t>Ввиду вышеизложенного в период 2026–202Х годов основное внимание в рамках исследуемого Вопроса следует продолжить уделять теме "Использование электросвязи/ИКТ для реагирования на бедствия и восстановления после бедствий".</w:t>
      </w:r>
    </w:p>
    <w:p w14:paraId="2B7D55CC" w14:textId="0B830BE2" w:rsidR="00B0450E" w:rsidRPr="00500A19" w:rsidRDefault="00B0450E" w:rsidP="00380A46">
      <w:pPr>
        <w:pStyle w:val="Headingb"/>
        <w:rPr>
          <w:rFonts w:eastAsia="Aptos" w:cstheme="minorBidi"/>
          <w:kern w:val="2"/>
          <w:szCs w:val="22"/>
          <w:lang w:val="ru-RU"/>
          <w14:ligatures w14:val="standardContextual"/>
        </w:rPr>
      </w:pPr>
      <w:r w:rsidRPr="00500A19">
        <w:rPr>
          <w:lang w:val="ru-RU"/>
        </w:rPr>
        <w:t>2</w:t>
      </w:r>
      <w:r w:rsidR="005B0FCB" w:rsidRPr="00500A19">
        <w:rPr>
          <w:lang w:val="ru-RU"/>
        </w:rPr>
        <w:tab/>
      </w:r>
      <w:r w:rsidRPr="00500A19">
        <w:rPr>
          <w:lang w:val="ru-RU"/>
        </w:rPr>
        <w:t>Вопрос или предмет для изучения</w:t>
      </w:r>
    </w:p>
    <w:p w14:paraId="0251423D" w14:textId="3D6B8EEE" w:rsidR="00B0450E" w:rsidRPr="00500A19" w:rsidRDefault="005B0FCB" w:rsidP="005B0FCB">
      <w:pPr>
        <w:pStyle w:val="enumlev1"/>
        <w:rPr>
          <w:rFonts w:eastAsia="Aptos" w:cstheme="minorBidi"/>
          <w:kern w:val="2"/>
          <w14:ligatures w14:val="standardContextual"/>
        </w:rPr>
      </w:pPr>
      <w:r w:rsidRPr="00500A19">
        <w:t>1</w:t>
      </w:r>
      <w:r w:rsidRPr="00500A19">
        <w:tab/>
      </w:r>
      <w:r w:rsidR="00B0450E" w:rsidRPr="00500A19">
        <w:t>Продолжить изучение наземной, космической и интегрированной электросвязи/ИКТ в целях оказания помощи пострадавшим странам с использованием соответствующих приложений для прогнозирования, обнаружения, мониторинга, раннего предупреждения, реагирования, оказания помощи при бедствиях и восстановления после бедствий, учитывая при реализации примеры передового опыта/справочники и обеспечивая благоприятную регуляторную среду с целью содействия оперативному развертыванию и внедрению.</w:t>
      </w:r>
    </w:p>
    <w:p w14:paraId="0266CA72" w14:textId="63A7CA07" w:rsidR="00B0450E" w:rsidRPr="00500A19" w:rsidRDefault="005B0FCB" w:rsidP="005B0FCB">
      <w:pPr>
        <w:pStyle w:val="enumlev1"/>
        <w:rPr>
          <w:rFonts w:eastAsia="Aptos" w:cstheme="minorBidi"/>
          <w:kern w:val="2"/>
          <w14:ligatures w14:val="standardContextual"/>
        </w:rPr>
      </w:pPr>
      <w:r w:rsidRPr="00500A19">
        <w:t>2</w:t>
      </w:r>
      <w:r w:rsidRPr="00500A19">
        <w:tab/>
      </w:r>
      <w:r w:rsidR="00B0450E" w:rsidRPr="00500A19">
        <w:t>Продолжить сбор и изучение примеров опыта и исследований конкретных ситуаций применения электросвязи/ИКТ на национальном уровне по обеспечению готовности к бедствиям, смягчению последствий, реагированию и восстановлению, включая реагирование на пандемии, проводя анализ извлеченных уроков и имеющихся в них общих</w:t>
      </w:r>
      <w:r w:rsidR="00DB3F59" w:rsidRPr="00500A19">
        <w:t> </w:t>
      </w:r>
      <w:r w:rsidR="00B0450E" w:rsidRPr="00500A19">
        <w:t>тем.</w:t>
      </w:r>
    </w:p>
    <w:p w14:paraId="3C71384E" w14:textId="23A9C24E" w:rsidR="00B0450E" w:rsidRPr="00500A19" w:rsidRDefault="005B0FCB" w:rsidP="005B0FCB">
      <w:pPr>
        <w:pStyle w:val="enumlev1"/>
        <w:rPr>
          <w:rFonts w:eastAsia="Aptos" w:cstheme="minorBidi"/>
          <w:kern w:val="2"/>
          <w14:ligatures w14:val="standardContextual"/>
        </w:rPr>
      </w:pPr>
      <w:r w:rsidRPr="00500A19">
        <w:t>3</w:t>
      </w:r>
      <w:r w:rsidRPr="00500A19">
        <w:tab/>
      </w:r>
      <w:r w:rsidR="00B0450E" w:rsidRPr="00500A19">
        <w:t>Изучить роль, которую играют администрации, Члены Сектора, другие экспертные организации и заинтересованные стороны в совместном управлении операциями в случае бедствий и эффективном применении электросвязи/ИКТ, в особенности в областях планирования устойчивости ИКТ для управления операциями в случае бедствий, включая:</w:t>
      </w:r>
    </w:p>
    <w:p w14:paraId="5E89DE59" w14:textId="045C0093" w:rsidR="00B0450E" w:rsidRPr="00500A19" w:rsidRDefault="005B0FCB" w:rsidP="005B0FCB">
      <w:pPr>
        <w:pStyle w:val="enumlev2"/>
      </w:pPr>
      <w:r w:rsidRPr="00500A19">
        <w:sym w:font="Symbol" w:char="F02D"/>
      </w:r>
      <w:r w:rsidRPr="00500A19">
        <w:tab/>
      </w:r>
      <w:r w:rsidR="00B0450E" w:rsidRPr="00500A19">
        <w:t>надлежащее проектирование инфраструктуры для обеспечения устойчивости к любым потенциальным сбоям связи (аспект инициативного проектирования);</w:t>
      </w:r>
    </w:p>
    <w:p w14:paraId="6A23E29B" w14:textId="719374DE" w:rsidR="00B0450E" w:rsidRPr="00500A19" w:rsidRDefault="005B0FCB" w:rsidP="005B0FCB">
      <w:pPr>
        <w:pStyle w:val="enumlev2"/>
      </w:pPr>
      <w:r w:rsidRPr="00500A19">
        <w:sym w:font="Symbol" w:char="F02D"/>
      </w:r>
      <w:r w:rsidRPr="00500A19">
        <w:tab/>
      </w:r>
      <w:r w:rsidR="00B0450E" w:rsidRPr="00500A19">
        <w:t>как именно управлять восстановлением связи в случае неисправности или сбоя в работе сети (аспект оперативного реагирования);</w:t>
      </w:r>
    </w:p>
    <w:p w14:paraId="7DB9522F" w14:textId="40F7645B" w:rsidR="00B0450E" w:rsidRPr="00500A19" w:rsidRDefault="005B0FCB" w:rsidP="005B0FCB">
      <w:pPr>
        <w:pStyle w:val="enumlev2"/>
      </w:pPr>
      <w:r w:rsidRPr="00500A19">
        <w:sym w:font="Symbol" w:char="F02D"/>
      </w:r>
      <w:r w:rsidRPr="00500A19">
        <w:tab/>
      </w:r>
      <w:r w:rsidR="00B0450E" w:rsidRPr="00500A19">
        <w:t>рассмотрение мер по обеспечению защищенности устройств и оконечного оборудования, которые могут быть уязвимой частью многих применений.</w:t>
      </w:r>
    </w:p>
    <w:p w14:paraId="4992DB45" w14:textId="4A09FCAE" w:rsidR="00B0450E" w:rsidRPr="00500A19" w:rsidRDefault="005B0FCB" w:rsidP="005B0FCB">
      <w:pPr>
        <w:pStyle w:val="enumlev1"/>
        <w:rPr>
          <w:rFonts w:eastAsia="Aptos" w:cstheme="minorBidi"/>
          <w:kern w:val="2"/>
          <w14:ligatures w14:val="standardContextual"/>
        </w:rPr>
      </w:pPr>
      <w:r w:rsidRPr="00500A19">
        <w:t>4</w:t>
      </w:r>
      <w:r w:rsidRPr="00500A19">
        <w:tab/>
      </w:r>
      <w:r w:rsidR="00B0450E" w:rsidRPr="00500A19">
        <w:t>Изучить благоприятные условия для повышения устойчивости сетей связи и развертывания систем связи в чрезвычайных ситуациях, а также новейшие технологии цифровой связи, включающие, помимо прочего, меры по обеспечению готовности к чрезвычайным ситуациям, реагированию на чрезвычайные ситуации и восстановлению после бедствий.</w:t>
      </w:r>
    </w:p>
    <w:p w14:paraId="21F2CC32" w14:textId="63EE5A45" w:rsidR="00B0450E" w:rsidRPr="00500A19" w:rsidRDefault="005B0FCB" w:rsidP="005B0FCB">
      <w:pPr>
        <w:pStyle w:val="enumlev1"/>
        <w:rPr>
          <w:rFonts w:eastAsia="Aptos" w:cstheme="minorBidi"/>
          <w:kern w:val="2"/>
          <w14:ligatures w14:val="standardContextual"/>
        </w:rPr>
      </w:pPr>
      <w:r w:rsidRPr="00500A19">
        <w:lastRenderedPageBreak/>
        <w:t>5</w:t>
      </w:r>
      <w:r w:rsidRPr="00500A19">
        <w:tab/>
      </w:r>
      <w:r w:rsidR="00B0450E" w:rsidRPr="00500A19">
        <w:t>Собрать данные исследований конкретных ситуаций и передового опыта для обеспечения охвата уязвимых групп, таких как лица с ограниченными возможностями, женщины и молодежь, для использования ИКТ в целях управления операциями в случае бедствий и снижения рисков.</w:t>
      </w:r>
    </w:p>
    <w:p w14:paraId="7A9063BE" w14:textId="518300FD" w:rsidR="00B0450E" w:rsidRPr="00500A19" w:rsidRDefault="005B0FCB" w:rsidP="005B0FCB">
      <w:pPr>
        <w:pStyle w:val="enumlev1"/>
        <w:rPr>
          <w:rFonts w:eastAsia="Aptos" w:cstheme="minorBidi"/>
          <w:kern w:val="2"/>
          <w14:ligatures w14:val="standardContextual"/>
        </w:rPr>
      </w:pPr>
      <w:r w:rsidRPr="00500A19">
        <w:t>6</w:t>
      </w:r>
      <w:r w:rsidRPr="00500A19">
        <w:tab/>
      </w:r>
      <w:r w:rsidR="00B0450E" w:rsidRPr="00500A19">
        <w:t>Провести сбор примеров национального опыта и исследований конкретных ситуаций и составить примеры передового опыта для целей разработки, реализации и улучшения национальных и региональных планов или структур использования электросвязи/ИКТ в ситуациях бедствий и/или в чрезвычайных ситуациях, включая пандемии, работая при координации с соответствующими программами БРЭ, региональными отделениями и другими партнерами. Это будет включать руководство для стран по разработке стандартных рабочих процедур, а также по разработке и внедрению национальных планов по электросвязи в чрезвычайных ситуациях и систем раннего предупреждения.</w:t>
      </w:r>
    </w:p>
    <w:p w14:paraId="104F581A" w14:textId="029D6061" w:rsidR="00B0450E" w:rsidRPr="00500A19" w:rsidRDefault="005B0FCB" w:rsidP="005B0FCB">
      <w:pPr>
        <w:pStyle w:val="enumlev1"/>
        <w:rPr>
          <w:rFonts w:eastAsia="Aptos" w:cstheme="minorBidi"/>
          <w:kern w:val="2"/>
          <w14:ligatures w14:val="standardContextual"/>
        </w:rPr>
      </w:pPr>
      <w:bookmarkStart w:id="43" w:name="_Hlk198132629"/>
      <w:r w:rsidRPr="00500A19">
        <w:t>7</w:t>
      </w:r>
      <w:r w:rsidRPr="00500A19">
        <w:tab/>
      </w:r>
      <w:r w:rsidR="00B0450E" w:rsidRPr="00500A19">
        <w:t>Провести работу по определению мест, подверженных опасности бедствий, с использованием технологий ИКТ и передачей информации населению.</w:t>
      </w:r>
    </w:p>
    <w:bookmarkEnd w:id="43"/>
    <w:p w14:paraId="4EF39C76" w14:textId="77777777" w:rsidR="00B0450E" w:rsidRPr="00500A19" w:rsidRDefault="00B0450E" w:rsidP="00046F0E">
      <w:pPr>
        <w:overflowPunct/>
        <w:autoSpaceDE/>
        <w:autoSpaceDN/>
        <w:spacing w:after="120"/>
        <w:rPr>
          <w:rFonts w:eastAsia="Aptos" w:cstheme="minorBidi"/>
          <w:kern w:val="2"/>
          <w:szCs w:val="22"/>
          <w14:ligatures w14:val="standardContextual"/>
        </w:rPr>
      </w:pPr>
      <w:r w:rsidRPr="00500A19">
        <w:rPr>
          <w:szCs w:val="22"/>
        </w:rPr>
        <w:t>Новые темы</w:t>
      </w:r>
    </w:p>
    <w:p w14:paraId="72C62B7D" w14:textId="2F943628" w:rsidR="00B0450E" w:rsidRPr="00500A19" w:rsidRDefault="005B0FCB" w:rsidP="005B0FCB">
      <w:pPr>
        <w:pStyle w:val="enumlev1"/>
        <w:rPr>
          <w:rFonts w:eastAsia="Aptos" w:cstheme="minorBidi"/>
          <w:kern w:val="2"/>
          <w14:ligatures w14:val="standardContextual"/>
        </w:rPr>
      </w:pPr>
      <w:r w:rsidRPr="00500A19">
        <w:t>1</w:t>
      </w:r>
      <w:r w:rsidRPr="00500A19">
        <w:tab/>
      </w:r>
      <w:r w:rsidR="00B0450E" w:rsidRPr="00500A19">
        <w:t>Реагирование на обрывы или неготовность инфраструктуры в чрезвычайных ситуациях и управление операциями в таких случаях для обеспечения устойчивости и непрерывности функционирования сети</w:t>
      </w:r>
      <w:r w:rsidRPr="00500A19">
        <w:t>.</w:t>
      </w:r>
    </w:p>
    <w:p w14:paraId="377F4555" w14:textId="18675656" w:rsidR="00B0450E" w:rsidRPr="00500A19" w:rsidRDefault="005B0FCB" w:rsidP="005B0FCB">
      <w:pPr>
        <w:pStyle w:val="enumlev1"/>
        <w:rPr>
          <w:rFonts w:eastAsia="Aptos" w:cstheme="minorBidi"/>
          <w:kern w:val="2"/>
          <w14:ligatures w14:val="standardContextual"/>
        </w:rPr>
      </w:pPr>
      <w:r w:rsidRPr="00500A19">
        <w:t>2</w:t>
      </w:r>
      <w:r w:rsidRPr="00500A19">
        <w:tab/>
      </w:r>
      <w:r w:rsidR="00B0450E" w:rsidRPr="00500A19">
        <w:t>Использование инструментов ИИ для прогнозирования рисков бедствий, снижения таких рисков бедствий и управления ими (в сотрудничестве с Вопросом D/2)</w:t>
      </w:r>
      <w:r w:rsidRPr="00500A19">
        <w:t>.</w:t>
      </w:r>
    </w:p>
    <w:p w14:paraId="44C10211" w14:textId="2A231936" w:rsidR="00B0450E" w:rsidRPr="00500A19" w:rsidRDefault="00B0450E" w:rsidP="005B0FCB">
      <w:pPr>
        <w:pStyle w:val="Headingb"/>
        <w:rPr>
          <w:rFonts w:eastAsia="Aptos" w:cstheme="minorBidi"/>
          <w:kern w:val="2"/>
          <w:lang w:val="ru-RU"/>
          <w14:ligatures w14:val="standardContextual"/>
        </w:rPr>
      </w:pPr>
      <w:r w:rsidRPr="00500A19">
        <w:rPr>
          <w:lang w:val="ru-RU"/>
        </w:rPr>
        <w:t>ВОПРОС 4/1</w:t>
      </w:r>
      <w:r w:rsidR="00A3524C" w:rsidRPr="00500A19">
        <w:rPr>
          <w:lang w:val="ru-RU"/>
        </w:rPr>
        <w:t xml:space="preserve">: </w:t>
      </w:r>
      <w:r w:rsidRPr="00500A19">
        <w:rPr>
          <w:lang w:val="ru-RU"/>
        </w:rPr>
        <w:t>Экономические аспекты национальной электросвязи/ИКТ</w:t>
      </w:r>
    </w:p>
    <w:p w14:paraId="3B7918F9" w14:textId="74B22C6B" w:rsidR="00B0450E" w:rsidRPr="00500A19" w:rsidRDefault="00B0450E" w:rsidP="00DB3F59">
      <w:pPr>
        <w:pStyle w:val="Headingb"/>
        <w:rPr>
          <w:rFonts w:eastAsia="Aptos" w:cstheme="minorBidi"/>
          <w:kern w:val="2"/>
          <w:lang w:val="ru-RU"/>
          <w14:ligatures w14:val="standardContextual"/>
        </w:rPr>
      </w:pPr>
      <w:r w:rsidRPr="00500A19">
        <w:rPr>
          <w:lang w:val="ru-RU"/>
        </w:rPr>
        <w:t>1</w:t>
      </w:r>
      <w:r w:rsidR="005B0FCB" w:rsidRPr="00500A19">
        <w:rPr>
          <w:lang w:val="ru-RU"/>
        </w:rPr>
        <w:tab/>
      </w:r>
      <w:r w:rsidRPr="00500A19">
        <w:rPr>
          <w:lang w:val="ru-RU"/>
        </w:rPr>
        <w:t>Изложение ситуации или проблемы</w:t>
      </w:r>
    </w:p>
    <w:p w14:paraId="2FBFD748" w14:textId="7B858269" w:rsidR="00B0450E" w:rsidRPr="00500A19" w:rsidRDefault="00B0450E" w:rsidP="005B0FCB">
      <w:pPr>
        <w:rPr>
          <w:rFonts w:eastAsia="Aptos" w:cstheme="minorBidi"/>
          <w:kern w:val="2"/>
          <w14:ligatures w14:val="standardContextual"/>
        </w:rPr>
      </w:pPr>
      <w:r w:rsidRPr="00500A19">
        <w:t>Как признается в заключительных отчетах по Вопросу 4/1, сохраняется актуальность учета экономических аспектов в национальной электросвязи/ИКТ.</w:t>
      </w:r>
    </w:p>
    <w:p w14:paraId="6DB2C24A" w14:textId="4BE900B0" w:rsidR="00B0450E" w:rsidRPr="00500A19" w:rsidRDefault="00B0450E" w:rsidP="005B0FCB">
      <w:pPr>
        <w:rPr>
          <w:rFonts w:eastAsia="Aptos" w:cstheme="minorBidi"/>
          <w:kern w:val="2"/>
          <w14:ligatures w14:val="standardContextual"/>
        </w:rPr>
      </w:pPr>
      <w:r w:rsidRPr="00500A19">
        <w:t>С появлением новых типов компаний электросвязи, таких как операторы виртуальных сетей подвижной связи (MVNO), компании, обслуживающие вышки, оптовые операторы пропускной способности, и конвергенции традиционных компаний электросвязи, регуляторным органам и операторам приходится адаптировать свою политику и стратегии к этой новой цифровой реальности. Поиск подходящих разрешений, моделей затрат и бизнес-моделей, а также использование соответствующих политических и регуляторных инструментов, таких как совместное использование инфраструктуры, должно рассматриваться национальными регуляторными органами (НРО) в целях содействия процветанию национальных рынков, что отражено во вкладах, полученных от НРО, директивных органов и операторов, и рассмотренных Группой Докладчика по Вопросу 4/1 в последнем исследовательском периоде.</w:t>
      </w:r>
    </w:p>
    <w:p w14:paraId="7DD4889D" w14:textId="44CC343B" w:rsidR="00B0450E" w:rsidRPr="00500A19" w:rsidRDefault="00B0450E" w:rsidP="005B0FCB">
      <w:pPr>
        <w:rPr>
          <w:rFonts w:eastAsia="Aptos" w:cstheme="minorBidi"/>
          <w:kern w:val="2"/>
          <w14:ligatures w14:val="standardContextual"/>
        </w:rPr>
      </w:pPr>
      <w:r w:rsidRPr="00500A19">
        <w:t>В то же время дальнейшие глобальные силы, способствующие укреплению цифровизации, а также национальная экономическая обстановка и глобальные чрезвычайные ситуации, такие как пандемия коронавирусной болезни (COVID-19), ведут к появлению множества новых актуальных проблем, которые требуют дополнительного исследования и изучения в течение следующего исследовательского периода МСЭ-D.</w:t>
      </w:r>
    </w:p>
    <w:p w14:paraId="5D89F96D" w14:textId="11F7A4A3" w:rsidR="00B0450E" w:rsidRPr="00500A19" w:rsidRDefault="00B0450E" w:rsidP="005B0FCB">
      <w:pPr>
        <w:rPr>
          <w:rFonts w:eastAsia="Aptos" w:cstheme="minorBidi"/>
          <w:kern w:val="2"/>
          <w14:ligatures w14:val="standardContextual"/>
        </w:rPr>
      </w:pPr>
      <w:r w:rsidRPr="00500A19">
        <w:t>Увеличение количества тем обусловлено необходимостью разделения работы над заключительными отчетами по Вопросу 4/1. Таким образом, темы, которые будут продолжением тех же тем из исследовательского периода МСЭ-D 2018−2021 годов, могут рассматриваться в рамках пересмотра Заключительного отчета по Вопросу 4/1 по итогам указанного исследовательского периода, а новые темы могут быть рассмотрены в новом Заключительном отчете по Вопросу 4/1 по итогам исследовательского периода 2022</w:t>
      </w:r>
      <w:r w:rsidR="00243C29" w:rsidRPr="00500A19">
        <w:sym w:font="Symbol" w:char="F02D"/>
      </w:r>
      <w:r w:rsidRPr="00500A19">
        <w:t>2025 годов.</w:t>
      </w:r>
    </w:p>
    <w:p w14:paraId="1132B752" w14:textId="77777777" w:rsidR="00B0450E" w:rsidRPr="00500A19" w:rsidRDefault="00B0450E" w:rsidP="005B0FCB">
      <w:pPr>
        <w:rPr>
          <w:rFonts w:eastAsia="Aptos" w:cstheme="minorBidi"/>
          <w:kern w:val="2"/>
          <w14:ligatures w14:val="standardContextual"/>
        </w:rPr>
      </w:pPr>
      <w:r w:rsidRPr="00500A19">
        <w:lastRenderedPageBreak/>
        <w:t>Таким образом, изложенная ниже программа работы, которая будет задавать направление деятельности по Вопросу 4/1, должна охватывать следующие элементы:</w:t>
      </w:r>
    </w:p>
    <w:p w14:paraId="61AF8DC4" w14:textId="3D451992" w:rsidR="00B0450E" w:rsidRPr="00500A19" w:rsidRDefault="005B0FCB" w:rsidP="005B0FCB">
      <w:pPr>
        <w:pStyle w:val="enumlev1"/>
        <w:rPr>
          <w:rFonts w:eastAsia="Aptos" w:cstheme="minorBidi"/>
          <w:kern w:val="2"/>
          <w14:ligatures w14:val="standardContextual"/>
        </w:rPr>
      </w:pPr>
      <w:r w:rsidRPr="00500A19">
        <w:sym w:font="Symbol" w:char="F02D"/>
      </w:r>
      <w:r w:rsidRPr="00500A19">
        <w:tab/>
      </w:r>
      <w:r w:rsidR="00B0450E" w:rsidRPr="00500A19">
        <w:t>определение активных участников работы;</w:t>
      </w:r>
    </w:p>
    <w:p w14:paraId="26DE9543" w14:textId="2116A88C" w:rsidR="00B0450E" w:rsidRPr="00500A19" w:rsidRDefault="005B0FCB" w:rsidP="005B0FCB">
      <w:pPr>
        <w:pStyle w:val="enumlev1"/>
        <w:rPr>
          <w:rFonts w:eastAsia="Aptos" w:cstheme="minorBidi"/>
          <w:kern w:val="2"/>
          <w14:ligatures w14:val="standardContextual"/>
        </w:rPr>
      </w:pPr>
      <w:r w:rsidRPr="00500A19">
        <w:sym w:font="Symbol" w:char="F02D"/>
      </w:r>
      <w:r w:rsidRPr="00500A19">
        <w:tab/>
      </w:r>
      <w:r w:rsidR="00B0450E" w:rsidRPr="00500A19">
        <w:t>ожидаемые намеченные результаты деятельности по Вопросу;</w:t>
      </w:r>
    </w:p>
    <w:p w14:paraId="4410E4E3" w14:textId="7D4CCADD" w:rsidR="00B0450E" w:rsidRPr="00500A19" w:rsidRDefault="005B0FCB" w:rsidP="005B0FCB">
      <w:pPr>
        <w:pStyle w:val="enumlev1"/>
        <w:rPr>
          <w:rFonts w:eastAsia="Aptos" w:cstheme="minorBidi"/>
          <w:kern w:val="2"/>
          <w14:ligatures w14:val="standardContextual"/>
        </w:rPr>
      </w:pPr>
      <w:r w:rsidRPr="00500A19">
        <w:sym w:font="Symbol" w:char="F02D"/>
      </w:r>
      <w:r w:rsidRPr="00500A19">
        <w:tab/>
      </w:r>
      <w:r w:rsidR="00B0450E" w:rsidRPr="00500A19">
        <w:t>методы работы; и</w:t>
      </w:r>
    </w:p>
    <w:p w14:paraId="57299F1F" w14:textId="060F6F7C" w:rsidR="00B0450E" w:rsidRPr="00500A19" w:rsidRDefault="005B0FCB" w:rsidP="005B0FCB">
      <w:pPr>
        <w:pStyle w:val="enumlev1"/>
        <w:rPr>
          <w:rFonts w:eastAsia="Aptos" w:cstheme="minorBidi"/>
          <w:kern w:val="2"/>
          <w14:ligatures w14:val="standardContextual"/>
        </w:rPr>
      </w:pPr>
      <w:r w:rsidRPr="00500A19">
        <w:sym w:font="Symbol" w:char="F02D"/>
      </w:r>
      <w:r w:rsidRPr="00500A19">
        <w:tab/>
      </w:r>
      <w:r w:rsidR="00B0450E" w:rsidRPr="00500A19">
        <w:t>программа работы.</w:t>
      </w:r>
    </w:p>
    <w:p w14:paraId="72CA4D1D" w14:textId="0FD2131E" w:rsidR="00B0450E" w:rsidRPr="00500A19" w:rsidRDefault="00B0450E" w:rsidP="00DB3F59">
      <w:pPr>
        <w:pStyle w:val="Headingb"/>
        <w:rPr>
          <w:rFonts w:eastAsia="Aptos" w:cstheme="minorBidi"/>
          <w:kern w:val="2"/>
          <w:lang w:val="ru-RU"/>
          <w14:ligatures w14:val="standardContextual"/>
        </w:rPr>
      </w:pPr>
      <w:r w:rsidRPr="00500A19">
        <w:rPr>
          <w:lang w:val="ru-RU"/>
        </w:rPr>
        <w:t>2</w:t>
      </w:r>
      <w:r w:rsidR="005B0FCB" w:rsidRPr="00500A19">
        <w:rPr>
          <w:lang w:val="ru-RU"/>
        </w:rPr>
        <w:tab/>
      </w:r>
      <w:r w:rsidRPr="00500A19">
        <w:rPr>
          <w:lang w:val="ru-RU"/>
        </w:rPr>
        <w:t>Вопрос или предмет для изучения</w:t>
      </w:r>
    </w:p>
    <w:p w14:paraId="55FD3E1B" w14:textId="3005FACE" w:rsidR="00B0450E" w:rsidRPr="00500A19" w:rsidRDefault="00B0450E" w:rsidP="00765CDD">
      <w:pPr>
        <w:pStyle w:val="Headingb"/>
        <w:tabs>
          <w:tab w:val="clear" w:pos="907"/>
        </w:tabs>
        <w:ind w:left="0" w:firstLine="0"/>
        <w:rPr>
          <w:rFonts w:eastAsia="Aptos" w:cstheme="minorBidi"/>
          <w:kern w:val="2"/>
          <w:lang w:val="ru-RU"/>
          <w14:ligatures w14:val="standardContextual"/>
        </w:rPr>
      </w:pPr>
      <w:r w:rsidRPr="00500A19">
        <w:rPr>
          <w:lang w:val="ru-RU"/>
        </w:rPr>
        <w:t>2.1</w:t>
      </w:r>
      <w:r w:rsidR="005B0FCB" w:rsidRPr="00500A19">
        <w:rPr>
          <w:lang w:val="ru-RU"/>
        </w:rPr>
        <w:tab/>
      </w:r>
      <w:r w:rsidRPr="00500A19">
        <w:rPr>
          <w:lang w:val="ru-RU"/>
        </w:rPr>
        <w:t>Продолжение тем исследовательского периода МСЭ-D 2018–2021 годов</w:t>
      </w:r>
    </w:p>
    <w:p w14:paraId="6F44734A" w14:textId="31A24645" w:rsidR="00B0450E" w:rsidRPr="00500A19" w:rsidRDefault="00B0450E" w:rsidP="005B0FCB">
      <w:pPr>
        <w:rPr>
          <w:rFonts w:eastAsia="Aptos" w:cstheme="minorBidi"/>
          <w:kern w:val="2"/>
          <w14:ligatures w14:val="standardContextual"/>
        </w:rPr>
      </w:pPr>
      <w:r w:rsidRPr="00500A19">
        <w:t>В рамках этого Вопроса будут и далее охватываться следующие основные темы в общенациональной перспективе в рамках возможного пересмотра Заключительного отчета по Вопросу 4/1 за исследовательский период МСЭ-D 2018–2021 годов:</w:t>
      </w:r>
    </w:p>
    <w:p w14:paraId="3007C3C9" w14:textId="4B44A5DD" w:rsidR="00B0450E" w:rsidRPr="00500A19" w:rsidRDefault="005B0FCB" w:rsidP="005B0FCB">
      <w:pPr>
        <w:pStyle w:val="enumlev1"/>
        <w:rPr>
          <w:rFonts w:cstheme="minorBidi"/>
        </w:rPr>
      </w:pPr>
      <w:r w:rsidRPr="00500A19">
        <w:t>1</w:t>
      </w:r>
      <w:r w:rsidRPr="00500A19">
        <w:tab/>
      </w:r>
      <w:r w:rsidR="00B0450E" w:rsidRPr="00500A19">
        <w:t>Новые методы (или модели, если это применимо) начисления платы за услуги, предоставляемые по сетям СПП, включая методы моделирования затрат.</w:t>
      </w:r>
    </w:p>
    <w:p w14:paraId="34EED10F" w14:textId="7EA61463" w:rsidR="00B0450E" w:rsidRPr="00500A19" w:rsidRDefault="005B0FCB" w:rsidP="005B0FCB">
      <w:pPr>
        <w:pStyle w:val="enumlev1"/>
        <w:rPr>
          <w:rFonts w:eastAsia="Aptos" w:cstheme="minorBidi"/>
          <w:kern w:val="2"/>
          <w14:ligatures w14:val="standardContextual"/>
        </w:rPr>
      </w:pPr>
      <w:r w:rsidRPr="00500A19">
        <w:t>2</w:t>
      </w:r>
      <w:r w:rsidRPr="00500A19">
        <w:tab/>
      </w:r>
      <w:r w:rsidR="00B0450E" w:rsidRPr="00500A19">
        <w:t>Изменение потребительских цен и тарифов и воздействие на использование услуг ИКТ, инновации, инвестиции и доходы операторов, связанные с услугами ИКТ.</w:t>
      </w:r>
    </w:p>
    <w:p w14:paraId="48D6FA86" w14:textId="693057D2" w:rsidR="00B0450E" w:rsidRPr="00500A19" w:rsidRDefault="005B0FCB" w:rsidP="005B0FCB">
      <w:pPr>
        <w:pStyle w:val="enumlev1"/>
        <w:rPr>
          <w:rFonts w:eastAsia="Aptos" w:cstheme="minorBidi"/>
          <w:kern w:val="2"/>
          <w14:ligatures w14:val="standardContextual"/>
        </w:rPr>
      </w:pPr>
      <w:r w:rsidRPr="00500A19">
        <w:t>3</w:t>
      </w:r>
      <w:r w:rsidRPr="00500A19">
        <w:tab/>
      </w:r>
      <w:r w:rsidR="00B0450E" w:rsidRPr="00500A19">
        <w:t>Тенденции в области развития операторов виртуальной сети подвижной связи и разработки их нормативной базы.</w:t>
      </w:r>
    </w:p>
    <w:p w14:paraId="5FDA6788" w14:textId="77777777" w:rsidR="00A3524C" w:rsidRPr="00500A19" w:rsidRDefault="00A3524C" w:rsidP="00A3524C">
      <w:pPr>
        <w:pStyle w:val="Headingb"/>
        <w:tabs>
          <w:tab w:val="clear" w:pos="907"/>
        </w:tabs>
        <w:ind w:left="0" w:firstLine="0"/>
        <w:rPr>
          <w:rFonts w:eastAsia="Aptos" w:cstheme="minorBidi"/>
          <w:b w:val="0"/>
          <w:bCs/>
          <w:kern w:val="2"/>
          <w:szCs w:val="22"/>
          <w:lang w:val="ru-RU"/>
          <w14:ligatures w14:val="standardContextual"/>
        </w:rPr>
      </w:pPr>
      <w:r w:rsidRPr="00500A19">
        <w:rPr>
          <w:bCs/>
          <w:szCs w:val="22"/>
          <w:lang w:val="ru-RU"/>
        </w:rPr>
        <w:t>2.2</w:t>
      </w:r>
      <w:r w:rsidRPr="00500A19">
        <w:rPr>
          <w:szCs w:val="22"/>
          <w:lang w:val="ru-RU"/>
        </w:rPr>
        <w:tab/>
      </w:r>
      <w:r w:rsidRPr="00500A19">
        <w:rPr>
          <w:bCs/>
          <w:szCs w:val="22"/>
          <w:lang w:val="ru-RU"/>
        </w:rPr>
        <w:t>Продолжение тем исследовательского периода МСЭ-D 2022−2025 годов</w:t>
      </w:r>
    </w:p>
    <w:p w14:paraId="58C2BCB9" w14:textId="09242C8B" w:rsidR="00A3524C" w:rsidRPr="00500A19" w:rsidRDefault="00A3524C" w:rsidP="00A3524C">
      <w:pPr>
        <w:rPr>
          <w:rFonts w:cstheme="minorBidi"/>
        </w:rPr>
      </w:pPr>
      <w:r w:rsidRPr="00500A19">
        <w:t>Вопрос будет охватывать следующие основные темы в общенациональной перспективе в рамках возможного пересмотра Заключительного отчета по Вопросу 4/1 за исследовательский период 2022</w:t>
      </w:r>
      <w:r w:rsidRPr="00500A19">
        <w:sym w:font="Symbol" w:char="F02D"/>
      </w:r>
      <w:r w:rsidRPr="00500A19">
        <w:t>2025 годов МСЭ-D:</w:t>
      </w:r>
    </w:p>
    <w:p w14:paraId="41CEE9C3" w14:textId="522FC096" w:rsidR="00A3524C" w:rsidRPr="00500A19" w:rsidRDefault="00A3524C" w:rsidP="00A3524C">
      <w:pPr>
        <w:pStyle w:val="enumlev1"/>
        <w:rPr>
          <w:rFonts w:eastAsia="Aptos" w:cstheme="minorBidi"/>
          <w:kern w:val="2"/>
          <w14:ligatures w14:val="standardContextual"/>
        </w:rPr>
      </w:pPr>
      <w:r w:rsidRPr="00500A19">
        <w:t>1</w:t>
      </w:r>
      <w:r w:rsidRPr="00500A19">
        <w:tab/>
        <w:t>Влияние новых конвергентных ИКТ на стратегии моделирования затрат, традиционно осуществляемые заинтересованными сторонами, участвующими в формировании сетевой цепочки создания стоимости ИКТ (например, операторами электросвязи, поставщиками услуг OTT, поставщиками цифровых услуг и т.</w:t>
      </w:r>
      <w:r w:rsidR="00243C29" w:rsidRPr="00500A19">
        <w:t> </w:t>
      </w:r>
      <w:r w:rsidRPr="00500A19">
        <w:t>д.) (возможно, в сотрудничестве с Группой</w:t>
      </w:r>
      <w:r w:rsidR="00243C29" w:rsidRPr="00500A19">
        <w:t> </w:t>
      </w:r>
      <w:r w:rsidRPr="00500A19">
        <w:t>Докладчика по Вопросу 2/2):</w:t>
      </w:r>
    </w:p>
    <w:p w14:paraId="39EAAE8A" w14:textId="51161D9F" w:rsidR="00A3524C" w:rsidRPr="00500A19" w:rsidRDefault="00A3524C" w:rsidP="00A3524C">
      <w:pPr>
        <w:pStyle w:val="enumlev2"/>
        <w:rPr>
          <w:rFonts w:eastAsia="Aptos" w:cstheme="minorBidi"/>
          <w:kern w:val="2"/>
          <w14:ligatures w14:val="standardContextual"/>
        </w:rPr>
      </w:pPr>
      <w:r w:rsidRPr="00500A19">
        <w:t>1.1</w:t>
      </w:r>
      <w:r w:rsidRPr="00500A19">
        <w:tab/>
        <w:t>роль и структура новых тарифов на конвергентные сети/услуги (например, пакетирование);</w:t>
      </w:r>
    </w:p>
    <w:p w14:paraId="7B36AFA8" w14:textId="6E1B130F" w:rsidR="00A3524C" w:rsidRPr="00500A19" w:rsidRDefault="00A3524C" w:rsidP="00A3524C">
      <w:pPr>
        <w:pStyle w:val="enumlev2"/>
        <w:rPr>
          <w:rFonts w:eastAsia="Aptos" w:cstheme="minorBidi"/>
          <w:kern w:val="2"/>
          <w14:ligatures w14:val="standardContextual"/>
        </w:rPr>
      </w:pPr>
      <w:r w:rsidRPr="00500A19">
        <w:t>1.2</w:t>
      </w:r>
      <w:r w:rsidRPr="00500A19">
        <w:tab/>
        <w:t>роль и влияние компаний, обслуживающих вышки, как новых участников конвергентного рынка электросвязи/ИКТ.</w:t>
      </w:r>
    </w:p>
    <w:p w14:paraId="7BFDC3D4" w14:textId="4AED9D1E" w:rsidR="00A3524C" w:rsidRPr="00500A19" w:rsidRDefault="00A3524C" w:rsidP="00A3524C">
      <w:pPr>
        <w:pStyle w:val="enumlev1"/>
        <w:rPr>
          <w:rFonts w:eastAsia="Aptos" w:cstheme="minorBidi"/>
          <w:kern w:val="2"/>
          <w14:ligatures w14:val="standardContextual"/>
        </w:rPr>
      </w:pPr>
      <w:r w:rsidRPr="00500A19">
        <w:t>2</w:t>
      </w:r>
      <w:r w:rsidRPr="00500A19">
        <w:tab/>
        <w:t>Роль и воздействие на достижение целей Организации Объединенных Наций в области устойчивого развития (ЦУР) новых типов и способов инвестирования в электросвязь/ИКТ, например смешанных инвестиций и краудфандинга.</w:t>
      </w:r>
    </w:p>
    <w:p w14:paraId="514E8956" w14:textId="663C15A2" w:rsidR="00A3524C" w:rsidRPr="00500A19" w:rsidRDefault="00A3524C" w:rsidP="00A3524C">
      <w:pPr>
        <w:pStyle w:val="enumlev1"/>
        <w:rPr>
          <w:rFonts w:eastAsia="Aptos" w:cstheme="minorBidi"/>
          <w:kern w:val="2"/>
          <w14:ligatures w14:val="standardContextual"/>
        </w:rPr>
      </w:pPr>
      <w:r w:rsidRPr="00500A19">
        <w:t>3</w:t>
      </w:r>
      <w:r w:rsidRPr="00500A19">
        <w:tab/>
        <w:t>Анализ исследований конкретных ситуаций экономического вклада технологий и услуг цифровой электросвязи/ИКТ в национальную экономику и ВВП стран.</w:t>
      </w:r>
    </w:p>
    <w:p w14:paraId="4CF782AE" w14:textId="4AF99C75" w:rsidR="00A3524C" w:rsidRPr="00500A19" w:rsidRDefault="00A3524C" w:rsidP="00A3524C">
      <w:pPr>
        <w:pStyle w:val="enumlev1"/>
        <w:rPr>
          <w:rFonts w:eastAsia="Aptos" w:cstheme="minorBidi"/>
          <w:kern w:val="2"/>
          <w14:ligatures w14:val="standardContextual"/>
        </w:rPr>
      </w:pPr>
      <w:r w:rsidRPr="00500A19">
        <w:t>4</w:t>
      </w:r>
      <w:r w:rsidRPr="00500A19">
        <w:tab/>
        <w:t>Экономические стимулы и механизмы для преодоления цифрового разрыва в целях обеспечения доступного и приемлемого в ценовом отношении доступа.</w:t>
      </w:r>
    </w:p>
    <w:p w14:paraId="4E5D3044" w14:textId="021934AC" w:rsidR="00A3524C" w:rsidRPr="00500A19" w:rsidRDefault="00A3524C" w:rsidP="00A3524C">
      <w:pPr>
        <w:pStyle w:val="enumlev1"/>
        <w:rPr>
          <w:rFonts w:eastAsia="Aptos" w:cstheme="minorBidi"/>
          <w:kern w:val="2"/>
          <w14:ligatures w14:val="standardContextual"/>
        </w:rPr>
      </w:pPr>
      <w:r w:rsidRPr="00500A19">
        <w:t>5</w:t>
      </w:r>
      <w:r w:rsidRPr="00500A19">
        <w:tab/>
        <w:t>Анализ экономических последствий пандемии COVID-19.</w:t>
      </w:r>
    </w:p>
    <w:p w14:paraId="68117F7C" w14:textId="388977FC" w:rsidR="00A3524C" w:rsidRPr="00500A19" w:rsidRDefault="00A3524C" w:rsidP="00A3524C">
      <w:pPr>
        <w:pStyle w:val="enumlev1"/>
        <w:rPr>
          <w:rFonts w:eastAsia="Aptos" w:cstheme="minorBidi"/>
          <w:kern w:val="2"/>
          <w14:ligatures w14:val="standardContextual"/>
        </w:rPr>
      </w:pPr>
      <w:r w:rsidRPr="00500A19">
        <w:t>6</w:t>
      </w:r>
      <w:r w:rsidRPr="00500A19">
        <w:tab/>
        <w:t>Экономические аспекты/последствия цифровой трансформации.</w:t>
      </w:r>
    </w:p>
    <w:p w14:paraId="0254AFA3" w14:textId="34562ED4" w:rsidR="00A3524C" w:rsidRPr="00500A19" w:rsidRDefault="00A3524C" w:rsidP="00A3524C">
      <w:pPr>
        <w:pStyle w:val="enumlev1"/>
        <w:rPr>
          <w:rFonts w:eastAsia="Aptos" w:cstheme="minorBidi"/>
          <w:kern w:val="2"/>
          <w14:ligatures w14:val="standardContextual"/>
        </w:rPr>
      </w:pPr>
      <w:r w:rsidRPr="00500A19">
        <w:t>7</w:t>
      </w:r>
      <w:r w:rsidRPr="00500A19">
        <w:tab/>
        <w:t>Экономическая ценность использования персональных данных (возможно, в сотрудничестве с Группами Докладчика по Вопросам В/1 и 3/2).</w:t>
      </w:r>
    </w:p>
    <w:p w14:paraId="05E2AFCC" w14:textId="1F74F567" w:rsidR="00A3524C" w:rsidRPr="00500A19" w:rsidRDefault="00A3524C" w:rsidP="00A3524C">
      <w:pPr>
        <w:pStyle w:val="enumlev1"/>
        <w:rPr>
          <w:rFonts w:eastAsia="Aptos" w:cstheme="minorBidi"/>
          <w:kern w:val="2"/>
          <w14:ligatures w14:val="standardContextual"/>
        </w:rPr>
      </w:pPr>
      <w:r w:rsidRPr="00500A19">
        <w:t>8</w:t>
      </w:r>
      <w:r w:rsidRPr="00500A19">
        <w:tab/>
        <w:t>Воздействие охвата цифровыми финансовыми технологиями на инновации, производительность и другие аспекты национальной экономики.</w:t>
      </w:r>
    </w:p>
    <w:p w14:paraId="647EE5B3" w14:textId="5BFC01B1" w:rsidR="00A3524C" w:rsidRPr="00500A19" w:rsidRDefault="00A3524C" w:rsidP="00A3524C">
      <w:pPr>
        <w:pStyle w:val="Headingb"/>
        <w:tabs>
          <w:tab w:val="clear" w:pos="907"/>
        </w:tabs>
        <w:ind w:left="0" w:firstLine="0"/>
        <w:rPr>
          <w:rFonts w:eastAsia="Aptos" w:cstheme="minorBidi"/>
          <w:b w:val="0"/>
          <w:bCs/>
          <w:kern w:val="2"/>
          <w:szCs w:val="22"/>
          <w:lang w:val="ru-RU"/>
          <w14:ligatures w14:val="standardContextual"/>
        </w:rPr>
      </w:pPr>
      <w:r w:rsidRPr="00500A19">
        <w:rPr>
          <w:bCs/>
          <w:szCs w:val="22"/>
          <w:lang w:val="ru-RU"/>
        </w:rPr>
        <w:lastRenderedPageBreak/>
        <w:t>2.3</w:t>
      </w:r>
      <w:r w:rsidRPr="00500A19">
        <w:rPr>
          <w:szCs w:val="22"/>
          <w:lang w:val="ru-RU"/>
        </w:rPr>
        <w:tab/>
      </w:r>
      <w:r w:rsidRPr="00500A19">
        <w:rPr>
          <w:bCs/>
          <w:szCs w:val="22"/>
          <w:lang w:val="ru-RU"/>
        </w:rPr>
        <w:t>Новые темы исследований для следующего исследовательского периода</w:t>
      </w:r>
    </w:p>
    <w:p w14:paraId="733EE486" w14:textId="77777777" w:rsidR="00A3524C" w:rsidRPr="00500A19" w:rsidRDefault="00A3524C" w:rsidP="00A3524C">
      <w:pPr>
        <w:rPr>
          <w:rFonts w:eastAsia="Aptos" w:cstheme="minorBidi"/>
          <w:kern w:val="2"/>
          <w14:ligatures w14:val="standardContextual"/>
        </w:rPr>
      </w:pPr>
      <w:r w:rsidRPr="00500A19">
        <w:t>Вопрос будет охватывать следующие основные темы в общенациональной перспективе в рамках разработки нового Заключительного отчета по Вопросу 4/1 или иных итоговых документов за исследовательский период 2026–2029 годов МСЭ-D:</w:t>
      </w:r>
    </w:p>
    <w:p w14:paraId="4ED1D7CC" w14:textId="577FB3EC" w:rsidR="00A3524C" w:rsidRPr="00500A19" w:rsidRDefault="00A3524C" w:rsidP="00A3524C">
      <w:pPr>
        <w:pStyle w:val="enumlev1"/>
        <w:rPr>
          <w:rFonts w:cstheme="minorBidi"/>
          <w:color w:val="242424"/>
        </w:rPr>
      </w:pPr>
      <w:r w:rsidRPr="00500A19">
        <w:t>1</w:t>
      </w:r>
      <w:r w:rsidRPr="00500A19">
        <w:tab/>
        <w:t>цифровые валюты;</w:t>
      </w:r>
    </w:p>
    <w:p w14:paraId="63509555" w14:textId="2BE7D751" w:rsidR="00A3524C" w:rsidRPr="00500A19" w:rsidRDefault="00A3524C" w:rsidP="00A3524C">
      <w:pPr>
        <w:pStyle w:val="enumlev1"/>
        <w:rPr>
          <w:rFonts w:cstheme="minorBidi"/>
          <w:color w:val="242424"/>
        </w:rPr>
      </w:pPr>
      <w:r w:rsidRPr="00500A19">
        <w:t>2</w:t>
      </w:r>
      <w:r w:rsidRPr="00500A19">
        <w:tab/>
        <w:t>экономика ИИ и метавселенной (в сотрудничестве с Группой Докладчика по Вопросу D/2);</w:t>
      </w:r>
    </w:p>
    <w:p w14:paraId="257DD11F" w14:textId="31DB18A3" w:rsidR="00A3524C" w:rsidRPr="00500A19" w:rsidRDefault="00A3524C" w:rsidP="00A3524C">
      <w:pPr>
        <w:pStyle w:val="enumlev1"/>
        <w:rPr>
          <w:rFonts w:cstheme="minorBidi"/>
          <w:color w:val="242424"/>
        </w:rPr>
      </w:pPr>
      <w:r w:rsidRPr="00500A19">
        <w:t>3</w:t>
      </w:r>
      <w:r w:rsidRPr="00500A19">
        <w:tab/>
        <w:t>цифровые налоги;</w:t>
      </w:r>
    </w:p>
    <w:p w14:paraId="66CC53AC" w14:textId="4E99857B" w:rsidR="00A3524C" w:rsidRPr="00500A19" w:rsidRDefault="00A3524C" w:rsidP="00A3524C">
      <w:pPr>
        <w:pStyle w:val="enumlev1"/>
        <w:rPr>
          <w:rFonts w:cstheme="minorBidi"/>
          <w:color w:val="242424"/>
        </w:rPr>
      </w:pPr>
      <w:r w:rsidRPr="00500A19">
        <w:t>4</w:t>
      </w:r>
      <w:r w:rsidRPr="00500A19">
        <w:tab/>
        <w:t>национальные аспекты экономики использования спектра;</w:t>
      </w:r>
    </w:p>
    <w:p w14:paraId="47B2DD47" w14:textId="27095A80" w:rsidR="00A3524C" w:rsidRPr="00500A19" w:rsidRDefault="00A3524C" w:rsidP="00A3524C">
      <w:pPr>
        <w:pStyle w:val="enumlev1"/>
        <w:rPr>
          <w:rFonts w:cstheme="minorBidi"/>
          <w:color w:val="242424"/>
        </w:rPr>
      </w:pPr>
      <w:r w:rsidRPr="00500A19">
        <w:t>5</w:t>
      </w:r>
      <w:r w:rsidRPr="00500A19">
        <w:tab/>
        <w:t>социальная отдача от инвестиций;</w:t>
      </w:r>
    </w:p>
    <w:p w14:paraId="33DFC6EF" w14:textId="67C26F4A" w:rsidR="00A3524C" w:rsidRPr="00500A19" w:rsidRDefault="00A3524C" w:rsidP="00A3524C">
      <w:pPr>
        <w:pStyle w:val="enumlev1"/>
        <w:rPr>
          <w:rFonts w:cstheme="minorBidi"/>
        </w:rPr>
      </w:pPr>
      <w:r w:rsidRPr="00500A19">
        <w:t>6</w:t>
      </w:r>
      <w:r w:rsidRPr="00500A19">
        <w:tab/>
        <w:t>каталогизация национального опыта и передовых методов в области сбора данных и измерения приемлемости в ценовом отношении устройств электросвязи/ИКТ для конечных пользователей, а также обмен таким опытом и методами, особенно с дезагрегированием данных по полу и географическому положению (в сотрудничестве с Группой Докладчика по Вопросу C/2).</w:t>
      </w:r>
    </w:p>
    <w:p w14:paraId="2ADF8602" w14:textId="05DB6C07" w:rsidR="00A3524C" w:rsidRPr="00500A19" w:rsidRDefault="00A3524C" w:rsidP="00A3524C">
      <w:pPr>
        <w:pStyle w:val="Headingb"/>
        <w:rPr>
          <w:rFonts w:cstheme="minorBidi"/>
          <w:szCs w:val="22"/>
          <w:lang w:val="ru-RU"/>
        </w:rPr>
      </w:pPr>
      <w:r w:rsidRPr="00500A19">
        <w:rPr>
          <w:bCs/>
          <w:szCs w:val="22"/>
          <w:lang w:val="ru-RU"/>
        </w:rPr>
        <w:t>ВОПРОС B/1: Защита прав потребителей и всеобщая и реальная доступность</w:t>
      </w:r>
    </w:p>
    <w:p w14:paraId="5C24C3A1" w14:textId="7F8A1E0A" w:rsidR="00A3524C" w:rsidRPr="00500A19" w:rsidRDefault="00A3524C" w:rsidP="00A3524C">
      <w:pPr>
        <w:pStyle w:val="Headingb"/>
        <w:rPr>
          <w:rFonts w:eastAsia="Aptos" w:cstheme="minorBidi"/>
          <w:kern w:val="2"/>
          <w:lang w:val="ru-RU"/>
          <w14:ligatures w14:val="standardContextual"/>
        </w:rPr>
      </w:pPr>
      <w:r w:rsidRPr="00500A19">
        <w:rPr>
          <w:lang w:val="ru-RU"/>
        </w:rPr>
        <w:t>1</w:t>
      </w:r>
      <w:r w:rsidRPr="00500A19">
        <w:rPr>
          <w:lang w:val="ru-RU"/>
        </w:rPr>
        <w:tab/>
        <w:t>Изложение ситуации или проблемы</w:t>
      </w:r>
    </w:p>
    <w:p w14:paraId="0971ED94" w14:textId="7DD9B150" w:rsidR="00A3524C" w:rsidRPr="00500A19" w:rsidRDefault="00A3524C" w:rsidP="00A3524C">
      <w:pPr>
        <w:rPr>
          <w:rFonts w:cstheme="minorBidi"/>
        </w:rPr>
      </w:pPr>
      <w:r w:rsidRPr="00500A19">
        <w:t>1.1</w:t>
      </w:r>
      <w:r w:rsidR="00243C29" w:rsidRPr="00500A19">
        <w:tab/>
      </w:r>
      <w:r w:rsidRPr="00500A19">
        <w:t>Появляющиеся технологии электросвязи и ИКТ привели к смене парадигмы образа жизни, работы и взаимодействия людей, что открывает новые перспективы для взаимодействия с цифровыми технологиями, расширения прав и возможностей, социально-экономического роста и повышения качества обслуживания потребителей. Разработка технологий искусственного интеллекта (ИИ) может стать ключевым фактором, способствующим вкладу электросвязи/ИКТ в обеспечение универсальной устойчивой возможности установления цифровых соединений и достижение ЦУР. В</w:t>
      </w:r>
      <w:r w:rsidR="00243C29" w:rsidRPr="00500A19">
        <w:t> </w:t>
      </w:r>
      <w:r w:rsidRPr="00500A19">
        <w:t>частности, преимущества от цифровой трансформации получат развивающиеся страны.</w:t>
      </w:r>
    </w:p>
    <w:p w14:paraId="72B4046E" w14:textId="3E047374" w:rsidR="00A3524C" w:rsidRPr="00500A19" w:rsidRDefault="00A3524C" w:rsidP="00A3524C">
      <w:pPr>
        <w:rPr>
          <w:rFonts w:cstheme="minorBidi"/>
        </w:rPr>
      </w:pPr>
      <w:r w:rsidRPr="00500A19">
        <w:t>1.2</w:t>
      </w:r>
      <w:r w:rsidR="00243C29" w:rsidRPr="00500A19">
        <w:tab/>
      </w:r>
      <w:r w:rsidRPr="00500A19">
        <w:t>Однако эти новые возможности сопровождаются и новыми проблемами. Сюда относится укрепление и поддержание доверия потребителей к цифровым услугам, несмотря на возможность причинения вреда в онлайновой среде, в том числе в результате неправомерного использования персональных данных. Учитывая растущую изощренность недостоверной информации, дезинформации и случаев онлайнового мошенничества с использованием технологий электросвязи/ИКТ, необходимо повысить внимание к вопросу защиты потребителей и применять более целостный подход на основе сотрудничества, чем тот, который используется в настоящее время.</w:t>
      </w:r>
    </w:p>
    <w:p w14:paraId="7F1ADC9A" w14:textId="3735E14D" w:rsidR="00A3524C" w:rsidRPr="00500A19" w:rsidRDefault="00A3524C" w:rsidP="00A3524C">
      <w:pPr>
        <w:rPr>
          <w:rFonts w:cstheme="minorBidi"/>
        </w:rPr>
      </w:pPr>
      <w:r w:rsidRPr="00500A19">
        <w:t>1.3</w:t>
      </w:r>
      <w:r w:rsidR="00243C29" w:rsidRPr="00500A19">
        <w:tab/>
      </w:r>
      <w:r w:rsidRPr="00500A19">
        <w:t>Цифровая революция сформировала общемировую информированность о правах потребителей, сделав информацию, осведомленность и права потребителей весьма важными для выполнения миссии МСЭ. С одной стороны, цифровая трансформация привела к возникновению новых видов прав, а с другой стороны оказывает влияние на характер и осуществление традиционных прав потребителей, связанных с ценой, качеством и безопасностью. Это взаимодействие носит сложный характер и постоянно развивается вместе с глобальным и безграничным технологическим прогрессом, что требует постоянного международного сотрудничества и взаимодействия.</w:t>
      </w:r>
    </w:p>
    <w:p w14:paraId="448E0ED5" w14:textId="633BE9AA" w:rsidR="00A3524C" w:rsidRPr="00500A19" w:rsidRDefault="00A3524C" w:rsidP="00A3524C">
      <w:pPr>
        <w:rPr>
          <w:rFonts w:cstheme="minorBidi"/>
        </w:rPr>
      </w:pPr>
      <w:r w:rsidRPr="00500A19">
        <w:t>1.4</w:t>
      </w:r>
      <w:r w:rsidR="00CB4A3D" w:rsidRPr="00500A19">
        <w:tab/>
      </w:r>
      <w:r w:rsidRPr="00500A19">
        <w:t xml:space="preserve">Регуляторные органы развивающихся стран сталкиваются с двойным давлением, связанным с обеспечением универсального доступа, который позволит подключить население, не имеющее выхода в интернет, и защиты потребителей путем повышения их доверия к развертываемым приложениям, которые создают возможности для столь необходимой цифровой трансформации. Благодаря содействию обмену мнениями, информацией о вызовах и решениях в рамках Вопроса 6/1, развивающиеся страны получат пользу от извлечения уроков из опыта и инноваций в области регуляторной среды в развитых странах, что позволит совершить скачок в </w:t>
      </w:r>
      <w:r w:rsidRPr="00500A19">
        <w:lastRenderedPageBreak/>
        <w:t>направлении реальной возможности установления соединений при минимизации вреда для потребителей. В свою очередь, учет перспективы развивающихся стран может стать основой для траектории на пути к всеобъемлющей и справедливой цифровой трансформации для всех.</w:t>
      </w:r>
    </w:p>
    <w:p w14:paraId="18DBEA35" w14:textId="24C9F33F" w:rsidR="00A3524C" w:rsidRPr="00500A19" w:rsidRDefault="00A3524C" w:rsidP="00A3524C">
      <w:pPr>
        <w:rPr>
          <w:rFonts w:cstheme="minorBidi"/>
        </w:rPr>
      </w:pPr>
      <w:r w:rsidRPr="00500A19">
        <w:t>1.5</w:t>
      </w:r>
      <w:r w:rsidR="00CB4A3D" w:rsidRPr="00500A19">
        <w:tab/>
      </w:r>
      <w:r w:rsidRPr="00500A19">
        <w:t>Уязвимость потребителей может возникнуть, когда люди сталкиваются с препятствиями или проблемами, которые ограничивают их способность принимать обоснованные решения о безопасном доступе к ИКТ. Эта уязвимость может быть вызвана личными обстоятельствами, социальным неравенством или системными факторами. Уязвимость также может возникнуть в результате недостаточных мер по расширению прав и возможностей потребителей, в том числе мер, обеспечивающих надлежащий уровень информации и прозрачности. Уязвимость потребителей может выражаться в неравном доступе к услугам, в том, что они становятся жертвами методов эксплуатации или испытывают трудности при урегулировании споров. В любом случае эти факторы уязвимости могут поставить под угрозу глобальные усилия по достижению скорейшей и устойчивой цифровой трансформации.</w:t>
      </w:r>
    </w:p>
    <w:p w14:paraId="47B4AB26" w14:textId="7FC8709E" w:rsidR="00A3524C" w:rsidRPr="00500A19" w:rsidRDefault="00A3524C" w:rsidP="00A3524C">
      <w:pPr>
        <w:rPr>
          <w:rFonts w:cstheme="minorBidi"/>
        </w:rPr>
      </w:pPr>
      <w:r w:rsidRPr="00500A19">
        <w:t>1.6</w:t>
      </w:r>
      <w:r w:rsidR="00CB4A3D" w:rsidRPr="00500A19">
        <w:tab/>
      </w:r>
      <w:r w:rsidRPr="00500A19">
        <w:t>Решение проблемы уязвимости потребителей и уделение большего внимания информации, осведомленности и правам потребителей имеет решающее значение для обеспечения того, чтобы все люди могли осуществлять свои права на эффективное и реальное участие в цифровом мире и пользование благами развития технологий. Таким образом, обеспечение информированности при принятии решений путем повышения осведомленности, поощрения прозрачности и соблюдения прав и интересов потребителей является важнейшим элементом укрепления доверия и устойчивости в сфере ИКТ в цифровую эпоху. Учитывая глобальный и повсеместный характер электросвязи/ИКТ, для достижения этого требуется сотрудничество с участием многих заинтересованных сторон, трансграничное развитие потенциала и совместная</w:t>
      </w:r>
      <w:r w:rsidR="00CB4A3D" w:rsidRPr="00500A19">
        <w:t> </w:t>
      </w:r>
      <w:r w:rsidRPr="00500A19">
        <w:t>работа.</w:t>
      </w:r>
    </w:p>
    <w:p w14:paraId="7916BDF9" w14:textId="45D909DA" w:rsidR="00A3524C" w:rsidRPr="00500A19" w:rsidRDefault="00A3524C" w:rsidP="00A3524C">
      <w:pPr>
        <w:rPr>
          <w:rFonts w:cstheme="minorBidi"/>
        </w:rPr>
      </w:pPr>
      <w:r w:rsidRPr="00500A19">
        <w:t>1.7</w:t>
      </w:r>
      <w:r w:rsidR="00CB4A3D" w:rsidRPr="00500A19">
        <w:tab/>
      </w:r>
      <w:r w:rsidRPr="00500A19">
        <w:t>Расширение развертывания ИИ в сфере ИКТ может приводить к непреднамеренной предвзятости и дискриминации из-за неравной представленности различных сегментов населения планеты в данных, используемых для обучения ИИ, и в управлении ИИ, включая процесс принятия решений по его разработке и внедрению. В этом отношении в особенно уязвимом положении могут оказаться потребители в развивающихся странах, как, например, жители сельских районов, лица с ограниченными возможностями и женщины. Таким образом, важно обеспечивать вовлечение маргинализированных групп в принятие решений по вопросам регулирования и управления. Данный Вопрос станет площадкой для содействия проведению дискуссий на более предметной основе, и позволит обсудить, каким образом поощрять более широкое участие.</w:t>
      </w:r>
    </w:p>
    <w:p w14:paraId="7882EC3E" w14:textId="304C4758" w:rsidR="00A3524C" w:rsidRPr="00500A19" w:rsidRDefault="00A3524C" w:rsidP="00A3524C">
      <w:pPr>
        <w:rPr>
          <w:rFonts w:cstheme="minorBidi"/>
          <w:b/>
          <w:bCs/>
        </w:rPr>
      </w:pPr>
      <w:r w:rsidRPr="00500A19">
        <w:t>1.8</w:t>
      </w:r>
      <w:r w:rsidR="00CB4A3D" w:rsidRPr="00500A19">
        <w:tab/>
      </w:r>
      <w:r w:rsidRPr="00500A19">
        <w:t>Защита персональных данных означает информирование потребителей о необходимости осознания и надлежащей осмотрительности при обмене своей информацией в онлайновой среде. Она также включает в себя правильные регуляторные стимулы для сведения к минимуму неправомерного использования персональных данных. Эффективные меры по защите персональных данных представляют собой обязательство по укреплению доверия потребителей. Соблюдение</w:t>
      </w:r>
      <w:r w:rsidR="00CB4A3D" w:rsidRPr="00500A19">
        <w:t> </w:t>
      </w:r>
      <w:r w:rsidRPr="00500A19">
        <w:t>организациями принципов прозрачности при обработке персональных данных повышает доверие потребителей, которые предоставляют свою информацию для обеспечения личной или общественной выгоды. Регулирование и контроль в сфере защиты прав потребителей требуют повышенного внимания к бережной обработке персональных данных и недопущению причинения вреда потребителям. В течение исследовательского периода будет поощряться применение передового опыта отрасли в целях использования, хранения, обработки, передачи и т. д. персональных данных, а также обмен информацией о таком передовом опыте.</w:t>
      </w:r>
    </w:p>
    <w:p w14:paraId="51AE1137" w14:textId="2ECAA998" w:rsidR="00A3524C" w:rsidRPr="00500A19" w:rsidRDefault="00A3524C" w:rsidP="00A3524C">
      <w:pPr>
        <w:rPr>
          <w:rFonts w:cstheme="minorBidi"/>
        </w:rPr>
      </w:pPr>
      <w:r w:rsidRPr="00500A19">
        <w:t>1.9</w:t>
      </w:r>
      <w:r w:rsidR="00CB4A3D" w:rsidRPr="00500A19">
        <w:tab/>
      </w:r>
      <w:r w:rsidRPr="00500A19">
        <w:t>Потребители могут принимать обоснованные решения посредством получения доступа к ясной, точной и полной информации об условиях предоставления услуг ИКТ, а также о своих правах и обязанностях. По мере развития технологий будет возрастать потребность в надежных мерах защиты и четкой коммуникации между заинтересованными сторонами.</w:t>
      </w:r>
    </w:p>
    <w:p w14:paraId="1DD74D37" w14:textId="77777777" w:rsidR="00A3524C" w:rsidRPr="00500A19" w:rsidRDefault="00A3524C" w:rsidP="00A3524C">
      <w:pPr>
        <w:rPr>
          <w:rFonts w:cstheme="minorBidi"/>
        </w:rPr>
      </w:pPr>
      <w:r w:rsidRPr="00500A19">
        <w:lastRenderedPageBreak/>
        <w:t>Как указано в статье 9 Конвенции Организации Объединенных Наций о правах инвалидов (КПИ ООН), государства-участники принимают надлежащие меры для обеспечения инвалидам доступа наравне с другими, в том числе к информации и связи, включая информационно-коммуникационные технологии и системы.</w:t>
      </w:r>
    </w:p>
    <w:p w14:paraId="67B9EF79" w14:textId="6C4146B3" w:rsidR="00A3524C" w:rsidRPr="00500A19" w:rsidDel="00871D05" w:rsidRDefault="00A3524C" w:rsidP="00A3524C">
      <w:pPr>
        <w:rPr>
          <w:rFonts w:eastAsia="Aptos" w:cstheme="minorBidi"/>
          <w:kern w:val="2"/>
          <w14:ligatures w14:val="standardContextual"/>
        </w:rPr>
      </w:pPr>
      <w:r w:rsidRPr="00500A19">
        <w:t>На Всемирной встрече на высшем уровне по вопросам информационного общества (ВВУИО) была признана необходимость уделения особого внимания потребностям пожилых людей и лиц с ограниченными возможностями.</w:t>
      </w:r>
    </w:p>
    <w:p w14:paraId="6324F382" w14:textId="02CDA2D6" w:rsidR="00A3524C" w:rsidRPr="00500A19" w:rsidDel="00871D05" w:rsidRDefault="00A3524C" w:rsidP="00A3524C">
      <w:pPr>
        <w:rPr>
          <w:rFonts w:eastAsia="Aptos" w:cstheme="minorBidi"/>
          <w:kern w:val="2"/>
          <w14:ligatures w14:val="standardContextual"/>
        </w:rPr>
      </w:pPr>
      <w:r w:rsidRPr="00500A19">
        <w:t>На совещании высокого уровня Генеральной Ассамблеи Организации Объединенных Наций (ГА</w:t>
      </w:r>
      <w:r w:rsidR="00CB4A3D" w:rsidRPr="00500A19">
        <w:t> </w:t>
      </w:r>
      <w:r w:rsidRPr="00500A19">
        <w:t>ООН), посвященном общему обзору хода осуществления решений ВВУИО, была признана необходимость решать особые проблемы в области ИКТ, которые испытывают дети, молодежь, лица с ограниченными возможностями, пожилые люди, коренные народы, беженцы и внутренне перемещенные лица, мигранты и отдаленные и сельские сообщества.</w:t>
      </w:r>
    </w:p>
    <w:p w14:paraId="1B9EBA6A" w14:textId="4BB81C06" w:rsidR="00A3524C" w:rsidRPr="00500A19" w:rsidRDefault="00A3524C" w:rsidP="00A3524C">
      <w:pPr>
        <w:rPr>
          <w:rFonts w:cstheme="minorBidi"/>
        </w:rPr>
      </w:pPr>
      <w:r w:rsidRPr="00500A19">
        <w:t>Инвалидность, будь то временная, ситуационная или постоянная, представляет собой состояние, которое может затронуть человека в любой момент времени. Проектирование совместно с людьми с ограниченными возможностями и особыми потребностями и с учетом их интересов позволяет получить более значительные преимущества для всех. Доступность электросвязи/ИКТ важна не только для лиц с ограниченными возможностями, она также приносит выгоду растущему числу пожилого населения, мигрантам, не говорящим на родном языке, и людям с низким уровнем грамотности.</w:t>
      </w:r>
    </w:p>
    <w:p w14:paraId="33623579" w14:textId="25ECA643" w:rsidR="00A3524C" w:rsidRPr="00500A19" w:rsidDel="00871D05" w:rsidRDefault="00A3524C" w:rsidP="00A3524C">
      <w:pPr>
        <w:rPr>
          <w:rFonts w:eastAsia="Aptos" w:cstheme="minorBidi"/>
          <w:kern w:val="2"/>
          <w14:ligatures w14:val="standardContextual"/>
        </w:rPr>
      </w:pPr>
      <w:r w:rsidRPr="00500A19">
        <w:t>По оценкам Всемирной организации здравоохранения (ВОЗ) возможности одного миллиарда человек в мире ограничены тем или иным образом. Согласно ВОЗ, около 80% лиц с ограниченными возможностями живут в странах с низким уровнем доходов. Инвалидность проявляется в различных формах и в разной степени, в зависимости от физических и умственных аспектов и действия органов чувств. Кроме того, увеличение продолжительности жизни приводит к росту числа пожилых людей с ограниченными возможностями. В связи с этим вероятно, что число лиц с ограниченными возможностями будет и далее возрастать.</w:t>
      </w:r>
    </w:p>
    <w:p w14:paraId="59AA28F0" w14:textId="66636E4C" w:rsidR="00A3524C" w:rsidRPr="00500A19" w:rsidRDefault="00A3524C" w:rsidP="00A3524C">
      <w:pPr>
        <w:rPr>
          <w:rFonts w:cstheme="minorBidi"/>
        </w:rPr>
      </w:pPr>
      <w:r w:rsidRPr="00500A19">
        <w:t>К 2050 году число людей старшего поколения будет больше, чем население младше 15 лет. Всего через 10 лет число пожилых людей превысит 1 млрд. человек, то есть за десятилетие оно увеличится почти на 200 млн. человек. Сегодня двое из трех человек в возрасте 60 лет и старше живут в развивающихся странах. К 2050 году этот показатель вырастет почти до четырех из пяти</w:t>
      </w:r>
      <w:r w:rsidRPr="00500A19">
        <w:rPr>
          <w:rStyle w:val="FootnoteReference"/>
          <w:rFonts w:cstheme="minorHAnsi"/>
          <w:szCs w:val="16"/>
          <w:shd w:val="clear" w:color="auto" w:fill="FFFFFF"/>
        </w:rPr>
        <w:footnoteReference w:id="14"/>
      </w:r>
      <w:r w:rsidRPr="00500A19">
        <w:t>. Если в 2022 году люди старше 60 лет составляли менее 15 процентов населения мира, то, по оценкам, к концу века их доля достигнет 28 процентов</w:t>
      </w:r>
      <w:r w:rsidRPr="00500A19">
        <w:rPr>
          <w:rStyle w:val="FootnoteReference"/>
          <w:rFonts w:cstheme="minorHAnsi"/>
          <w:szCs w:val="16"/>
        </w:rPr>
        <w:footnoteReference w:id="15"/>
      </w:r>
      <w:r w:rsidRPr="00500A19">
        <w:t>.</w:t>
      </w:r>
    </w:p>
    <w:p w14:paraId="6FF1720D" w14:textId="77777777" w:rsidR="00A3524C" w:rsidRPr="00500A19" w:rsidRDefault="00A3524C" w:rsidP="00A3524C">
      <w:pPr>
        <w:rPr>
          <w:rFonts w:cstheme="minorBidi"/>
        </w:rPr>
      </w:pPr>
      <w:r w:rsidRPr="00500A19">
        <w:t>По данным издания "Мировые демографические перспективы, 2024 год" Организации Объединенных Наций, к середине 2030-х годов прогнозируется, что число людей в возрасте 80 лет и старше достигнет 265 млн. человек, что превысит число младенцев (1 год и младше)</w:t>
      </w:r>
      <w:r w:rsidRPr="00500A19">
        <w:rPr>
          <w:rStyle w:val="FootnoteReference"/>
          <w:rFonts w:cstheme="minorHAnsi"/>
          <w:szCs w:val="16"/>
        </w:rPr>
        <w:footnoteReference w:id="16"/>
      </w:r>
      <w:r w:rsidRPr="00500A19">
        <w:t>. Кроме того, по прогнозам, в 2070-х годах число людей старше 65 лет достигнет 2,2 млрд., превысив число детей (до 18 лет).</w:t>
      </w:r>
    </w:p>
    <w:p w14:paraId="1CB14806" w14:textId="77777777" w:rsidR="00A3524C" w:rsidRPr="00500A19" w:rsidRDefault="00A3524C" w:rsidP="00A3524C">
      <w:pPr>
        <w:rPr>
          <w:rFonts w:eastAsia="Aptos" w:cstheme="minorBidi"/>
          <w:kern w:val="2"/>
          <w14:ligatures w14:val="standardContextual"/>
        </w:rPr>
      </w:pPr>
      <w:r w:rsidRPr="00500A19">
        <w:t>С учетом глобальных тенденций, как, например, старение населения в мире, который становится все более цифровым, ожидаемый рост числа лиц с ограниченными возможностями, а также прогнозы в отношении мигрантов и лиц, испытывающих трудности с грамотностью, подчеркивают решающее значение доступности ИКТ. Обеспечение универсальной доступности ИКТ станет важнейшим условием обеспечения возможности для почти половины населения эффективно участвовать в цифровой экосистеме.</w:t>
      </w:r>
    </w:p>
    <w:p w14:paraId="5824C5DA" w14:textId="77777777" w:rsidR="00A3524C" w:rsidRPr="00500A19" w:rsidDel="00871D05" w:rsidRDefault="00A3524C" w:rsidP="00A3524C">
      <w:pPr>
        <w:rPr>
          <w:rFonts w:eastAsia="Aptos" w:cstheme="minorBidi"/>
          <w:kern w:val="2"/>
          <w14:ligatures w14:val="standardContextual"/>
        </w:rPr>
      </w:pPr>
      <w:r w:rsidRPr="00500A19">
        <w:lastRenderedPageBreak/>
        <w:t>Уместно также отметить, что доступ к широкополосной связи и пользование ею в значительной мере зависят от общей грамотности, а также от грамотности в области ИКТ. По данным Организации Объединенных Наций по вопросам образования, науки и культуры (ЮНЕСКО), во всем мире насчитывается 750 млн. человек в возрасте 15 лет и старше, которые являются неграмотными, то есть не умеют читать или писать, причем две трети из них − женщины. Некоторые проблемы, с которыми сталкиваются как группы лиц с ограниченными возможностями, так и группы неграмотных лиц, имеют общие решения.</w:t>
      </w:r>
    </w:p>
    <w:p w14:paraId="15C71477" w14:textId="6D982775" w:rsidR="00A3524C" w:rsidRPr="00500A19" w:rsidDel="00871D05" w:rsidRDefault="00A3524C" w:rsidP="00A3524C">
      <w:pPr>
        <w:rPr>
          <w:rFonts w:eastAsia="Aptos" w:cstheme="minorBidi"/>
          <w:kern w:val="2"/>
          <w14:ligatures w14:val="standardContextual"/>
        </w:rPr>
      </w:pPr>
      <w:r w:rsidRPr="00500A19">
        <w:t>Во время пандемии коронавирусной болезни (COVID-19) вопрос охвата цифровыми технологиями и доступности электросвязи/ИКТ во всем мире приобрел существенное значение. Стало чрезвычайно важно включать ИКТ в основные направления деятельности посредством реализации политики, мер регулирования и стратегий в области связи (в том числе в сферах образования, занятости и здравоохранения) для социально-экономического развития всех людей, включая лиц с ограниченными возможностями и лиц с особыми потребностями. В целях сокращения цифрового разрыва принципы доступности следует внедрять на стадии проектирования приложений и услуг ИКТ.</w:t>
      </w:r>
    </w:p>
    <w:p w14:paraId="1168CBA9" w14:textId="77777777" w:rsidR="00A3524C" w:rsidRPr="00500A19" w:rsidRDefault="00A3524C" w:rsidP="00A3524C">
      <w:pPr>
        <w:rPr>
          <w:rFonts w:cstheme="minorBidi"/>
        </w:rPr>
      </w:pPr>
      <w:r w:rsidRPr="00500A19">
        <w:t>Как подчеркивается в докладе Объединенной инспекционной группы ОИГ 2018/6, "</w:t>
      </w:r>
      <w:r w:rsidRPr="00500A19">
        <w:rPr>
          <w:i/>
          <w:iCs/>
        </w:rPr>
        <w:t>из всех специализированных учреждений ООН только МСЭ получил конкретный мандат, касающийся обеспечения доступности, от своего руководящего органа</w:t>
      </w:r>
      <w:r w:rsidRPr="00500A19">
        <w:t>". Руководящий орган МСЭ принял ряд соответствующих резолюций о доступности в интересах лиц с ограниченными возможностями и лиц с особыми потребностями, в том числе лиц с ограниченными возможностями, обусловленными возрастом. Эти резолюции предусматривают, в частности, проведение исследований и изысканий и выпуск рекомендаций и руководящих указаний по доступности электросвязи и ИКТ; придание приоритета работе над терминами и определениями в области доступности; рассмотрение аспектов универсального дизайна, включая разработку недискриминационных стандартов, служебных регламентов и мер и т. д.</w:t>
      </w:r>
      <w:r w:rsidRPr="00500A19">
        <w:rPr>
          <w:rStyle w:val="FootnoteReference"/>
          <w:rFonts w:cstheme="minorHAnsi"/>
          <w:szCs w:val="16"/>
          <w:lang w:eastAsia="en-GB"/>
        </w:rPr>
        <w:footnoteReference w:id="17"/>
      </w:r>
      <w:r w:rsidRPr="00500A19">
        <w:t xml:space="preserve"> Кроме того, в системе ООН </w:t>
      </w:r>
      <w:r w:rsidRPr="00500A19">
        <w:rPr>
          <w:b/>
          <w:bCs/>
        </w:rPr>
        <w:t xml:space="preserve">МСЭ признан </w:t>
      </w:r>
      <w:r w:rsidRPr="00500A19">
        <w:t>"</w:t>
      </w:r>
      <w:r w:rsidRPr="00500A19">
        <w:rPr>
          <w:b/>
          <w:bCs/>
        </w:rPr>
        <w:t>ведущим учреждением ООН по вопросам технологий и доступности</w:t>
      </w:r>
      <w:r w:rsidRPr="00500A19">
        <w:t>", о чем было сказано на 45-й сессии Комитета высокого уровня по вопросам управления (КВУУ), которая прошла 3–4 апреля 2023 года.</w:t>
      </w:r>
    </w:p>
    <w:p w14:paraId="7C59CF3C" w14:textId="77777777" w:rsidR="00A3524C" w:rsidRPr="00500A19" w:rsidRDefault="00A3524C" w:rsidP="00A3524C">
      <w:pPr>
        <w:rPr>
          <w:rFonts w:cstheme="minorBidi"/>
        </w:rPr>
      </w:pPr>
      <w:r w:rsidRPr="00500A19">
        <w:t>Общепризнано, что доступные средства электросвязи/ИКТ – это продукты и услуги, которые включают характеристики, встроенные на этапе дизайна и изготовления, для того чтобы их могли использовать лица с ограниченными возможностями, и которые могут приносить пользу лицам с особыми потребностями, независимо от их возможностей, потребностей или обстоятельств. Учет потребностей пользователей в универсальном дизайне, стандартах доступности и процедурах по обеспечению удобства использования гарантирует, что ИКТ будут не только обеспечивать техническую функциональность, но будут также пригодными для использования всеми людьми, включая лиц с ограниченными возможностями, пожилых людей и неграмотных лиц.</w:t>
      </w:r>
    </w:p>
    <w:p w14:paraId="1C701D85" w14:textId="79BDA0D2" w:rsidR="00A3524C" w:rsidRPr="00500A19" w:rsidDel="00871D05" w:rsidRDefault="00A3524C" w:rsidP="00A3524C">
      <w:pPr>
        <w:rPr>
          <w:rFonts w:eastAsia="Aptos" w:cstheme="minorBidi"/>
          <w:kern w:val="2"/>
          <w14:ligatures w14:val="standardContextual"/>
        </w:rPr>
      </w:pPr>
      <w:r w:rsidRPr="00500A19">
        <w:t>В ходе текущего цикла работы по Вопросу 7 Члены МСЭ согласились с необходимостью учета требований, принципов и стандартов доступности цифровых технологий начиная со стадии проектирования, для того чтобы обеспечить, чтобы цифровые продукты, услуги, приложения и решения удовлетворяли максимально широкий круг конечных пользователей, имеющих разнообразные возможности и потребности. Более того, содействие обеспечению универсального дизайна в технологиях и включение принципов и стратегий в области доступности ИКТ было признано не только обязательным требованием для обеспечения равного и справедливого использования всеми людьми продуктов и услуг электросвязи/ИКТ, но и ключевым условием достижения всеобъемлющей цифровой трансформации в целом. В результате Члены МСЭ заявили в ходе дискуссии (</w:t>
      </w:r>
      <w:r w:rsidRPr="00500A19">
        <w:rPr>
          <w:i/>
          <w:iCs/>
        </w:rPr>
        <w:t>как это отражено в отчетах по Вопросу 7, в частности в отчетах о собраниях Групп Докладчиков в 2024 г.</w:t>
      </w:r>
      <w:r w:rsidRPr="00500A19">
        <w:t xml:space="preserve">), что в рамках Вопроса следует развивать и интегрировать целостный, ориентированный на человека подход, учитывающий потребности всех людей в использовании </w:t>
      </w:r>
      <w:r w:rsidRPr="00500A19">
        <w:lastRenderedPageBreak/>
        <w:t>технологий, а также обеспечивать всеохватность цифровой трансформация в равной степени для всех и в соответствии с принципами справедливости.</w:t>
      </w:r>
    </w:p>
    <w:p w14:paraId="14294060" w14:textId="5EEB08CE" w:rsidR="00A3524C" w:rsidRPr="00500A19" w:rsidDel="00871D05" w:rsidRDefault="00A3524C" w:rsidP="00A3524C">
      <w:pPr>
        <w:rPr>
          <w:rFonts w:eastAsia="Aptos" w:cstheme="minorBidi"/>
          <w:kern w:val="2"/>
          <w14:ligatures w14:val="standardContextual"/>
        </w:rPr>
      </w:pPr>
      <w:r w:rsidRPr="00500A19">
        <w:t>Сбор информации и данных по многим ключевым вопросам, касающимся доступности электросвязи/ИКТ для лиц с ограниченными возможностями, позволяет получить ценную информацию об охвате цифровыми технологиями и о том, как лицам с ограниченными возможностями и особыми потребностями ориентироваться в цифровом обществе. В связи с этим следует разработать методику для содействия процессу сбора информации.</w:t>
      </w:r>
    </w:p>
    <w:p w14:paraId="0D975A2D" w14:textId="5D74A501" w:rsidR="00A3524C" w:rsidRPr="00500A19" w:rsidRDefault="00A3524C" w:rsidP="00A3524C">
      <w:pPr>
        <w:pStyle w:val="Headingb"/>
        <w:rPr>
          <w:rFonts w:eastAsia="Aptos" w:cstheme="minorBidi"/>
          <w:kern w:val="2"/>
          <w:lang w:val="ru-RU"/>
          <w14:ligatures w14:val="standardContextual"/>
        </w:rPr>
      </w:pPr>
      <w:r w:rsidRPr="00500A19">
        <w:rPr>
          <w:lang w:val="ru-RU"/>
        </w:rPr>
        <w:t>2</w:t>
      </w:r>
      <w:r w:rsidRPr="00500A19">
        <w:rPr>
          <w:lang w:val="ru-RU"/>
        </w:rPr>
        <w:tab/>
        <w:t>Вопрос или предмет для изучения</w:t>
      </w:r>
    </w:p>
    <w:p w14:paraId="026B25C7" w14:textId="281F044E" w:rsidR="00A3524C" w:rsidRPr="00500A19" w:rsidRDefault="00A3524C" w:rsidP="00A3524C">
      <w:pPr>
        <w:rPr>
          <w:rFonts w:cstheme="minorBidi"/>
        </w:rPr>
      </w:pPr>
      <w:r w:rsidRPr="00500A19">
        <w:t>2.1</w:t>
      </w:r>
      <w:r w:rsidRPr="00500A19">
        <w:tab/>
        <w:t>В рамках этого Вопроса продолжится работа предыдущих исследовательских периодов и будут охвачены существующие проблемы защиты потребителей, с учетом того что разные Государства-Члены находятся на различных этапах внедрения ИКТ и цифровой трансформации. В</w:t>
      </w:r>
      <w:r w:rsidR="00D56557" w:rsidRPr="00500A19">
        <w:t> </w:t>
      </w:r>
      <w:r w:rsidRPr="00500A19">
        <w:t>сферу охвата данного Вопроса также будут включены новые темы, соответствующие новым Резолюциям, утвержденным на предыдущей Полномочной конференции МСЭ и ВАСЭ-2024, такие как темы об ИИ, метавселенной и реальной и устойчивой цифровой трансформации, при возможном сотрудничестве с Группой Докладчика по Вопросу D/2. Сквозной темой этого Вопроса будет реальная и устойчивая цифровая трансформация, основанная на доверии и безопасности потребителей. Цель</w:t>
      </w:r>
      <w:r w:rsidR="00D56557" w:rsidRPr="00500A19">
        <w:t> </w:t>
      </w:r>
      <w:r w:rsidRPr="00500A19">
        <w:t>заключается в том, чтобы укрепить наличие, доступность и приемлемость в ценовом отношении мерами по информированию и осведомленности потребителей о возможности установления соединений для эффективного достижения ЦУР. В данном исследовательском периоде основное внимание будет уделяться обмену сведениями о проблемах в области защиты прав потребителей во всем мире и в частности в развивающихся странах, а также на обмене опытом между членами с целью поиска решений для содействия информированности потребителей об информации и их правах.</w:t>
      </w:r>
    </w:p>
    <w:p w14:paraId="6394E3F6" w14:textId="1C654633" w:rsidR="00A3524C" w:rsidRPr="00500A19" w:rsidRDefault="00A3524C" w:rsidP="00A3524C">
      <w:pPr>
        <w:rPr>
          <w:rFonts w:cstheme="minorBidi"/>
        </w:rPr>
      </w:pPr>
      <w:r w:rsidRPr="00500A19">
        <w:t>2.2</w:t>
      </w:r>
      <w:r w:rsidRPr="00500A19">
        <w:tab/>
        <w:t>В частности, исследования в рамках данного Вопроса будут в основном посвящены перечисленным ниже темам.</w:t>
      </w:r>
    </w:p>
    <w:p w14:paraId="61FA35B3" w14:textId="77BC6815" w:rsidR="00A3524C" w:rsidRPr="00500A19" w:rsidRDefault="00A3524C" w:rsidP="00A3524C">
      <w:pPr>
        <w:rPr>
          <w:rFonts w:cstheme="minorBidi"/>
        </w:rPr>
      </w:pPr>
      <w:r w:rsidRPr="00500A19">
        <w:t>2.2.1</w:t>
      </w:r>
      <w:r w:rsidRPr="00500A19">
        <w:tab/>
        <w:t>Активизация традиционных мер реагирования и обновление инструментария традиционных регуляторных органов в цифровую эпоху. Сюда относятся меры, содействующие развитию инноваций, конкуренции и безопасности потребителей, а также методы и средства защиты потребителей от незапрашиваемых коммерческих сообщений, онлайнового мошенничества и неправомерного использования персональных данных — все эти меры должны быть неотъемлемой частью политики в области электросвязи/ИКТ.</w:t>
      </w:r>
    </w:p>
    <w:p w14:paraId="56EB02FF" w14:textId="3DAA7FF7" w:rsidR="00A3524C" w:rsidRPr="00500A19" w:rsidRDefault="00A3524C" w:rsidP="00A3524C">
      <w:pPr>
        <w:rPr>
          <w:rFonts w:cstheme="minorBidi"/>
        </w:rPr>
      </w:pPr>
      <w:r w:rsidRPr="00500A19">
        <w:t>2.2.2</w:t>
      </w:r>
      <w:r w:rsidRPr="00500A19">
        <w:tab/>
        <w:t>Инновационные средства и передовой опыт по предоставлению потребителям необходимой информации, повышению осведомленности и развитию навыков, позволяющих повысить информированность о потенциально вредоносных и вводящих в заблуждение практиках и устойчивость к ним. К таким средствам и передовому опыту относятся меры, принимаемые поставщиками услуг, регуляторными органами и организациями потребителей. Обмен информацией о проблемах и решениях между менее и более опытными юрисдикциями помог бы населению планеты совершить рывок в направлении выполнения задач SGD за счет преимуществ, которые предоставляет более оперативное подключение, и передовых цифровых продуктов и услуг.</w:t>
      </w:r>
    </w:p>
    <w:p w14:paraId="10DECADB" w14:textId="768EDB22" w:rsidR="00A3524C" w:rsidRPr="00500A19" w:rsidRDefault="00A3524C" w:rsidP="00A3524C">
      <w:pPr>
        <w:rPr>
          <w:rFonts w:cstheme="minorBidi"/>
        </w:rPr>
      </w:pPr>
      <w:r w:rsidRPr="00500A19">
        <w:t>2.2.3</w:t>
      </w:r>
      <w:r w:rsidRPr="00500A19">
        <w:tab/>
        <w:t>Защита уязвимых потребителей: большие потоки онлайновых данных, как правило, усиливают информационную асимметрию между поставщиками и потребителями. Таким образом, ключевой вопрос состоит в том, как сбалансировать эту динамику путем повышения прозрачности и использования данных для защиты потребителей. Данные также могут использоваться для выявления уязвимых групп потребителей, таких как пожилые люди, лица с ограниченными возможностями, женщины и дети, и для оказания им индивидуальной поддержки. В этом исследовательском периоде основное внимание будет уделяться тому, как собирать и использовать аналитическую информацию о поведении потребителей для оказания содействия регуляторным органам, с тем чтобы в порядке сотрудничества</w:t>
      </w:r>
      <w:r w:rsidR="00D56557" w:rsidRPr="00500A19">
        <w:t>.</w:t>
      </w:r>
    </w:p>
    <w:p w14:paraId="4E18DB58" w14:textId="12127070" w:rsidR="00A3524C" w:rsidRPr="00500A19" w:rsidRDefault="00A3524C" w:rsidP="00A3524C">
      <w:pPr>
        <w:rPr>
          <w:rFonts w:cstheme="minorBidi"/>
        </w:rPr>
      </w:pPr>
      <w:r w:rsidRPr="00500A19">
        <w:lastRenderedPageBreak/>
        <w:t>2.2.3.1</w:t>
      </w:r>
      <w:r w:rsidRPr="00500A19">
        <w:tab/>
        <w:t>понимать процесс принятия решений потребителями и разрабатывать более совершенные регуляторные нормы для их информирования и защиты в цифровую эпоху</w:t>
      </w:r>
      <w:r w:rsidR="00D56557" w:rsidRPr="00500A19">
        <w:t>.</w:t>
      </w:r>
    </w:p>
    <w:p w14:paraId="2AA3AA1E" w14:textId="2F1E4E89" w:rsidR="00A3524C" w:rsidRPr="00500A19" w:rsidRDefault="00A3524C" w:rsidP="00A3524C">
      <w:pPr>
        <w:rPr>
          <w:rFonts w:cstheme="minorBidi"/>
        </w:rPr>
      </w:pPr>
      <w:r w:rsidRPr="00500A19">
        <w:t>2.2.3.2</w:t>
      </w:r>
      <w:r w:rsidRPr="00500A19">
        <w:tab/>
        <w:t>взаимодействовать с поставщиками услуг для совместной работы в области информирования, осведомленности и безопасности потребителей на этапе проектирования с учетом потребностей наиболее уязвимых потребителей.</w:t>
      </w:r>
    </w:p>
    <w:p w14:paraId="63C210FF" w14:textId="49A70FC9" w:rsidR="00A3524C" w:rsidRPr="00500A19" w:rsidRDefault="00A3524C" w:rsidP="00A3524C">
      <w:pPr>
        <w:rPr>
          <w:rFonts w:cstheme="minorBidi"/>
        </w:rPr>
      </w:pPr>
      <w:r w:rsidRPr="00500A19">
        <w:t>2.2.4</w:t>
      </w:r>
      <w:r w:rsidRPr="00500A19">
        <w:tab/>
        <w:t>В рамках Вопроса пройдет обсуждение о том, как мы можем определить уникальные требования к навыкам, направленным на повышение осведомленности и безопасности потребителей при использовании услуг ИКТ, которые возможны благодаря эпохе новых и появляющихся технологий, включая уникальные потребности развивающихся стран и маргинализированных групп потребителей. Эти темы будут включать обсуждение того, как</w:t>
      </w:r>
      <w:r w:rsidR="00EB5C55" w:rsidRPr="00500A19">
        <w:t>:</w:t>
      </w:r>
    </w:p>
    <w:p w14:paraId="2712E725" w14:textId="66C6A78D" w:rsidR="00A3524C" w:rsidRPr="00500A19" w:rsidRDefault="00A3524C" w:rsidP="00A3524C">
      <w:pPr>
        <w:rPr>
          <w:rFonts w:cstheme="minorBidi"/>
        </w:rPr>
      </w:pPr>
      <w:r w:rsidRPr="00500A19">
        <w:t>2.2.4.1</w:t>
      </w:r>
      <w:r w:rsidRPr="00500A19">
        <w:tab/>
      </w:r>
      <w:r w:rsidR="00D56557" w:rsidRPr="00500A19">
        <w:t xml:space="preserve">Информировать </w:t>
      </w:r>
      <w:r w:rsidRPr="00500A19">
        <w:t>потребителей об их правах и о том, как противостоять рискам в цифровую эпоху</w:t>
      </w:r>
      <w:r w:rsidR="00D56557" w:rsidRPr="00500A19">
        <w:t>.</w:t>
      </w:r>
    </w:p>
    <w:p w14:paraId="1B3A4E7C" w14:textId="7EB6338E" w:rsidR="00A3524C" w:rsidRPr="00500A19" w:rsidRDefault="00A3524C" w:rsidP="00A3524C">
      <w:pPr>
        <w:rPr>
          <w:rFonts w:cstheme="minorBidi"/>
        </w:rPr>
      </w:pPr>
      <w:r w:rsidRPr="00500A19">
        <w:t>2.2.4.2</w:t>
      </w:r>
      <w:r w:rsidRPr="00500A19">
        <w:tab/>
      </w:r>
      <w:r w:rsidR="00D56557" w:rsidRPr="00500A19">
        <w:t xml:space="preserve">Уделять </w:t>
      </w:r>
      <w:r w:rsidRPr="00500A19">
        <w:t>больше внимания лицам с ограниченными возможностями, детям, женщинам и пожилым людям в целях укрепления доверия к ИКТ, обеспечения их безопасности в онлайновой среде и оказания помощи в эффективном взаимодействии с цифровым миром</w:t>
      </w:r>
      <w:r w:rsidR="00D56557" w:rsidRPr="00500A19">
        <w:t>.</w:t>
      </w:r>
    </w:p>
    <w:p w14:paraId="26E1AEEF" w14:textId="3D92CF30" w:rsidR="00A3524C" w:rsidRPr="00500A19" w:rsidRDefault="00A3524C" w:rsidP="00A3524C">
      <w:pPr>
        <w:rPr>
          <w:rFonts w:cstheme="minorBidi"/>
        </w:rPr>
      </w:pPr>
      <w:r w:rsidRPr="00500A19">
        <w:t>2.2.4.3</w:t>
      </w:r>
      <w:r w:rsidR="00D56557" w:rsidRPr="00500A19">
        <w:tab/>
      </w:r>
      <w:r w:rsidRPr="00500A19">
        <w:t>содействовать достижению более сбалансированных и выгодных результатов цифровой трансформации для женщин как группы потребителей, включая расширение участия женщин и их уникальный вклад в глобальное управление появляющимися технологиями.</w:t>
      </w:r>
    </w:p>
    <w:p w14:paraId="3B00D008" w14:textId="387FDFF6" w:rsidR="00A3524C" w:rsidRPr="00500A19" w:rsidRDefault="00A3524C" w:rsidP="00A3524C">
      <w:pPr>
        <w:rPr>
          <w:rFonts w:cstheme="minorBidi"/>
        </w:rPr>
      </w:pPr>
      <w:r w:rsidRPr="00500A19">
        <w:t>3</w:t>
      </w:r>
      <w:r w:rsidR="00D56557" w:rsidRPr="00500A19">
        <w:tab/>
      </w:r>
      <w:r w:rsidRPr="00500A19">
        <w:t>В рамках Вопроса пройдет обсуждение того, каким образом с учетом глобального характера цифровой трансформации и вреда, наносимого онлайновой среде, мы можем эффективно сотрудничать в целях защиты прав потребителей во всем мире, даже если мы стремительно приближаемся к преимуществам цифровой трансформации. Можем ли мы определить единый передовой опыт и принципы? В связи с этим данный исследовательский период будет посвящен разработке инструментария для совершенствования механизмов регулирования защиты потребителей в цифровую эпоху и повышению информированности на основе опыта членов и семинаров-практикумов, что станет основным итогом работы, помимо отчета.</w:t>
      </w:r>
    </w:p>
    <w:p w14:paraId="29398824" w14:textId="0FAAD361" w:rsidR="00A3524C" w:rsidRPr="00500A19" w:rsidRDefault="00A3524C" w:rsidP="00A3524C">
      <w:pPr>
        <w:rPr>
          <w:rFonts w:cstheme="minorBidi"/>
        </w:rPr>
      </w:pPr>
      <w:r w:rsidRPr="00500A19">
        <w:t>3.1</w:t>
      </w:r>
      <w:r w:rsidR="00D56557" w:rsidRPr="00500A19">
        <w:tab/>
      </w:r>
      <w:r w:rsidRPr="00500A19">
        <w:t>Рекомендации будут основываться на фактических данных, в том числе о влиянии надлежащего регулирования (которое защищает потребителей в дополнение к инициативам по обеспечению возможности установления цифровых соединений) на расширение охвата инициатив по цифровой трансформации. Например, основой успеха цифровой общественной инфраструктуры является надлежащее регулирование, которое способствует формированию доверия потребителей, а также превосходный технологический дизайн.</w:t>
      </w:r>
    </w:p>
    <w:p w14:paraId="1F28A0A0" w14:textId="022BAA34" w:rsidR="00A3524C" w:rsidRPr="00500A19" w:rsidRDefault="00A3524C" w:rsidP="00A3524C">
      <w:pPr>
        <w:rPr>
          <w:rFonts w:cstheme="minorBidi"/>
        </w:rPr>
      </w:pPr>
      <w:r w:rsidRPr="00500A19">
        <w:t>3.2</w:t>
      </w:r>
      <w:r w:rsidR="000B277C" w:rsidRPr="00500A19">
        <w:tab/>
      </w:r>
      <w:r w:rsidRPr="00500A19">
        <w:t>Исследовательский период поможет сосредоточиться в рамках Вопроса 6/1 на обмене опытом и создании потенциала, с тем чтобы регуляторные органы могли оценивать и смягчать любое потенциальное неблагоприятное воздействие новых и появляющихся технологий, таких как генеративный ИИ, на безопасность потребительского опыта в онлайновой среде с точки зрения сохранения их доверия к возможностям установления цифровых соединений и всестороннего принятия цифровой трансформации (в сотрудничестве с Группой Докладчика по Вопросу D/2), в том числе на следующем:</w:t>
      </w:r>
    </w:p>
    <w:p w14:paraId="74A6E1E7" w14:textId="379B1E24" w:rsidR="00A3524C" w:rsidRPr="00500A19" w:rsidRDefault="00A3524C" w:rsidP="00A3524C">
      <w:pPr>
        <w:rPr>
          <w:rFonts w:cstheme="minorBidi"/>
        </w:rPr>
      </w:pPr>
      <w:r w:rsidRPr="00500A19">
        <w:t>3.2.1</w:t>
      </w:r>
      <w:r w:rsidR="00D56557" w:rsidRPr="00500A19">
        <w:tab/>
      </w:r>
      <w:r w:rsidRPr="00500A19">
        <w:t>Способ и степень: регуляторные органы способствуют реализации основанного на сотрудничестве подхода к вопросам защиты потребителей, образования и расширения прав и возможностей, т. е. при взаимодействии с другими регуляторными органами, организациями потребителей, гражданским обществом и т. д. Каковы примеры используемого ими передового</w:t>
      </w:r>
      <w:r w:rsidR="00D56557" w:rsidRPr="00500A19">
        <w:t> </w:t>
      </w:r>
      <w:r w:rsidRPr="00500A19">
        <w:t>опыта?</w:t>
      </w:r>
    </w:p>
    <w:p w14:paraId="41355B92" w14:textId="31EA4B9A" w:rsidR="00A3524C" w:rsidRPr="00500A19" w:rsidRDefault="00A3524C" w:rsidP="00A3524C">
      <w:pPr>
        <w:rPr>
          <w:rFonts w:cstheme="minorBidi"/>
        </w:rPr>
      </w:pPr>
      <w:r w:rsidRPr="00500A19">
        <w:t>3.2.2</w:t>
      </w:r>
      <w:r w:rsidR="00D56557" w:rsidRPr="00500A19">
        <w:tab/>
      </w:r>
      <w:r w:rsidRPr="00500A19">
        <w:t>Каковы примеры передового опыта в области сотрудничества с участием многих заинтересованных сторон, включая отраслевое саморегулирование и совместное регулирование?</w:t>
      </w:r>
    </w:p>
    <w:p w14:paraId="3706C53C" w14:textId="69C5C331" w:rsidR="00A3524C" w:rsidRPr="00500A19" w:rsidRDefault="00A3524C" w:rsidP="00A3524C">
      <w:pPr>
        <w:rPr>
          <w:rFonts w:cstheme="minorBidi"/>
        </w:rPr>
      </w:pPr>
      <w:r w:rsidRPr="00500A19">
        <w:lastRenderedPageBreak/>
        <w:t>3.2.3</w:t>
      </w:r>
      <w:r w:rsidR="00D56557" w:rsidRPr="00500A19">
        <w:tab/>
      </w:r>
      <w:r w:rsidRPr="00500A19">
        <w:t>Как регуляторные органы могут использовать результаты исследований и оценку регуляторного воздействия для совершенствования механизмов, программ и инициатив, ориентированных на защиту прав и просвещение потребителей?</w:t>
      </w:r>
    </w:p>
    <w:p w14:paraId="19C9566E" w14:textId="2983101B" w:rsidR="00A3524C" w:rsidRPr="00500A19" w:rsidRDefault="00A3524C" w:rsidP="00A3524C">
      <w:pPr>
        <w:rPr>
          <w:rFonts w:cstheme="minorBidi"/>
        </w:rPr>
      </w:pPr>
      <w:r w:rsidRPr="00500A19">
        <w:t>3.2.4</w:t>
      </w:r>
      <w:r w:rsidR="00D56557" w:rsidRPr="00500A19">
        <w:tab/>
      </w:r>
      <w:r w:rsidRPr="00500A19">
        <w:t>Как регуляторные органы и поставщики услуг используют появляющиеся технологии для совершенствования механизмов защиты потребителей и расширения прав и возможностей</w:t>
      </w:r>
      <w:r w:rsidR="00D56557" w:rsidRPr="00500A19">
        <w:t> </w:t>
      </w:r>
      <w:r w:rsidRPr="00500A19">
        <w:t>потребителей?</w:t>
      </w:r>
    </w:p>
    <w:p w14:paraId="5C058650" w14:textId="763AFCF1" w:rsidR="00A3524C" w:rsidRPr="00500A19" w:rsidRDefault="00A3524C" w:rsidP="00A3524C">
      <w:pPr>
        <w:rPr>
          <w:rFonts w:cstheme="minorBidi"/>
        </w:rPr>
      </w:pPr>
      <w:r w:rsidRPr="00500A19">
        <w:t>3.2.5</w:t>
      </w:r>
      <w:r w:rsidR="00D56557" w:rsidRPr="00500A19">
        <w:tab/>
      </w:r>
      <w:r w:rsidRPr="00500A19">
        <w:t>Каким образом регуляторные органы и участники отрасли могут предоставлять потребителям необходимую информацию и обучать их вопросам защиты их персональных данных от неправомерного использования?</w:t>
      </w:r>
    </w:p>
    <w:p w14:paraId="5AFE886C" w14:textId="51D9593A" w:rsidR="00A3524C" w:rsidRPr="00500A19" w:rsidDel="00871D05" w:rsidRDefault="00A3524C" w:rsidP="00510F0F">
      <w:pPr>
        <w:pStyle w:val="enumlev1"/>
        <w:rPr>
          <w:rFonts w:eastAsia="Aptos" w:cstheme="minorBidi"/>
          <w:kern w:val="2"/>
          <w14:ligatures w14:val="standardContextual"/>
        </w:rPr>
      </w:pPr>
      <w:r w:rsidRPr="00500A19">
        <w:t>1</w:t>
      </w:r>
      <w:r w:rsidR="00510F0F" w:rsidRPr="00500A19">
        <w:tab/>
        <w:t xml:space="preserve">обмен </w:t>
      </w:r>
      <w:r w:rsidRPr="00500A19">
        <w:t>передовым опытом осуществления национальной политики в области обеспечения возможности доступа к ИКТ, внедрения нормативно-правовой базы, директив, руководящих указаний, стратегий и технологических решений в целях повышения доступности, совместимости и удобства использования цифровых продуктов, инструментов, платформ, услуг и решений в области электросвязи/ИКТ;</w:t>
      </w:r>
    </w:p>
    <w:p w14:paraId="71C47D82" w14:textId="0B245B19" w:rsidR="00A3524C" w:rsidRPr="00500A19" w:rsidDel="00871D05" w:rsidRDefault="00A3524C" w:rsidP="00510F0F">
      <w:pPr>
        <w:pStyle w:val="enumlev1"/>
        <w:rPr>
          <w:rFonts w:eastAsia="Aptos" w:cstheme="minorBidi"/>
          <w:kern w:val="2"/>
          <w14:ligatures w14:val="standardContextual"/>
        </w:rPr>
      </w:pPr>
      <w:r w:rsidRPr="00500A19">
        <w:t>2</w:t>
      </w:r>
      <w:r w:rsidR="00510F0F" w:rsidRPr="00500A19">
        <w:tab/>
      </w:r>
      <w:r w:rsidRPr="00500A19">
        <w:t>обеспечение всеобщей доступности электронного правительства и других социально значимых цифровых услуг;</w:t>
      </w:r>
    </w:p>
    <w:p w14:paraId="1A0FE21C" w14:textId="291B146E" w:rsidR="00A3524C" w:rsidRPr="00500A19" w:rsidDel="00871D05" w:rsidRDefault="00A3524C" w:rsidP="00510F0F">
      <w:pPr>
        <w:pStyle w:val="enumlev1"/>
        <w:rPr>
          <w:rFonts w:eastAsia="Aptos" w:cstheme="minorBidi"/>
          <w:kern w:val="2"/>
          <w14:ligatures w14:val="standardContextual"/>
        </w:rPr>
      </w:pPr>
      <w:r w:rsidRPr="00500A19">
        <w:t>3</w:t>
      </w:r>
      <w:r w:rsidR="00510F0F" w:rsidRPr="00500A19">
        <w:tab/>
      </w:r>
      <w:r w:rsidRPr="00500A19">
        <w:t>повышение доступности продуктов и услуг электросвязи/ИКТ путем содействия развитию ИИ и появляющихся технологий. (в сотрудничестве с Группой Докладчика по Вопросу D/2);</w:t>
      </w:r>
    </w:p>
    <w:p w14:paraId="6E6205A4" w14:textId="0BA55B1B" w:rsidR="00A3524C" w:rsidRPr="00500A19" w:rsidRDefault="00A3524C" w:rsidP="00510F0F">
      <w:pPr>
        <w:pStyle w:val="enumlev1"/>
        <w:rPr>
          <w:rFonts w:eastAsia="Aptos" w:cstheme="minorBidi"/>
          <w:kern w:val="2"/>
          <w14:ligatures w14:val="standardContextual"/>
        </w:rPr>
      </w:pPr>
      <w:r w:rsidRPr="00500A19">
        <w:t>4</w:t>
      </w:r>
      <w:r w:rsidR="00510F0F" w:rsidRPr="00500A19">
        <w:tab/>
      </w:r>
      <w:r w:rsidRPr="00500A19">
        <w:t>содействие инклюзивному образованию путем обеспечения доступности цифровых образовательных платформ с точки зрения дизайна и таким образом в цифровом виде для всех предполагаемых пользователей, включая лиц с ограниченными возможностями (в том числе глухих и слепых);</w:t>
      </w:r>
    </w:p>
    <w:p w14:paraId="417F4AA1" w14:textId="54C98E70" w:rsidR="00A3524C" w:rsidRPr="00500A19" w:rsidRDefault="00A3524C" w:rsidP="00510F0F">
      <w:pPr>
        <w:pStyle w:val="enumlev1"/>
        <w:rPr>
          <w:rFonts w:eastAsia="Aptos" w:cstheme="minorBidi"/>
          <w:kern w:val="2"/>
          <w14:ligatures w14:val="standardContextual"/>
        </w:rPr>
      </w:pPr>
      <w:r w:rsidRPr="00500A19">
        <w:t>5</w:t>
      </w:r>
      <w:r w:rsidR="00510F0F" w:rsidRPr="00500A19">
        <w:tab/>
      </w:r>
      <w:r w:rsidRPr="00500A19">
        <w:t>содействие подготовке лиц с ограниченными возможностями и особыми потребностями в области использования электросвязи/ИКТ;</w:t>
      </w:r>
    </w:p>
    <w:p w14:paraId="4B5EEB9D" w14:textId="3CE10355" w:rsidR="00A3524C" w:rsidRPr="00500A19" w:rsidDel="00871D05" w:rsidRDefault="00A3524C" w:rsidP="00510F0F">
      <w:pPr>
        <w:pStyle w:val="enumlev1"/>
        <w:rPr>
          <w:rFonts w:eastAsia="Aptos" w:cstheme="minorBidi"/>
          <w:kern w:val="2"/>
          <w14:ligatures w14:val="standardContextual"/>
        </w:rPr>
      </w:pPr>
      <w:r w:rsidRPr="00500A19">
        <w:t>6</w:t>
      </w:r>
      <w:r w:rsidR="00EB5C55" w:rsidRPr="00500A19">
        <w:tab/>
      </w:r>
      <w:r w:rsidRPr="00500A19">
        <w:t>содействие подготовке специалистов в области доступности электросвязи/ИКТ, а также обучению и развитию специальных знаний для оказания помощи лицам с ограниченными возможностями и лицам с особыми потребностями (включая пожилых и неграмотных людей) в использовании электросвязи/ИКТ;</w:t>
      </w:r>
    </w:p>
    <w:p w14:paraId="1381B9CF" w14:textId="75DDFF13" w:rsidR="00A3524C" w:rsidRPr="00500A19" w:rsidDel="00871D05" w:rsidRDefault="00A3524C" w:rsidP="00510F0F">
      <w:pPr>
        <w:pStyle w:val="enumlev1"/>
        <w:rPr>
          <w:rFonts w:eastAsia="Aptos" w:cstheme="minorBidi"/>
          <w:kern w:val="2"/>
          <w14:ligatures w14:val="standardContextual"/>
        </w:rPr>
      </w:pPr>
      <w:r w:rsidRPr="00500A19">
        <w:t>7</w:t>
      </w:r>
      <w:r w:rsidR="00510F0F" w:rsidRPr="00500A19">
        <w:tab/>
      </w:r>
      <w:r w:rsidRPr="00500A19">
        <w:t>использование доступных средств электросвязи/ИКТ для содействия равной и справедливой занятости всех людей, включая лиц с ограниченными возможностями в целях обеспечения открытого и инклюзивного общества;</w:t>
      </w:r>
    </w:p>
    <w:p w14:paraId="72C1F085" w14:textId="61B6E1E8" w:rsidR="00A3524C" w:rsidRPr="00500A19" w:rsidDel="00871D05" w:rsidRDefault="00A3524C" w:rsidP="00510F0F">
      <w:pPr>
        <w:pStyle w:val="enumlev1"/>
        <w:rPr>
          <w:rFonts w:eastAsia="Aptos" w:cstheme="minorBidi"/>
          <w:kern w:val="2"/>
          <w14:ligatures w14:val="standardContextual"/>
        </w:rPr>
      </w:pPr>
      <w:r w:rsidRPr="00500A19">
        <w:t>8</w:t>
      </w:r>
      <w:r w:rsidR="00510F0F" w:rsidRPr="00500A19">
        <w:tab/>
      </w:r>
      <w:r w:rsidRPr="00500A19">
        <w:t>развитие специальных знаний на национальном уровне и обеспечение сбора информации и статистических данных о доступности электросвязи/ИКТ с дезагрегацией пользователей по группам;</w:t>
      </w:r>
    </w:p>
    <w:p w14:paraId="1535129C" w14:textId="2C8F170B" w:rsidR="00A3524C" w:rsidRPr="00500A19" w:rsidRDefault="00A3524C" w:rsidP="00510F0F">
      <w:pPr>
        <w:pStyle w:val="enumlev1"/>
        <w:rPr>
          <w:rFonts w:eastAsia="Aptos" w:cstheme="minorBidi"/>
          <w:kern w:val="2"/>
          <w14:ligatures w14:val="standardContextual"/>
        </w:rPr>
      </w:pPr>
      <w:r w:rsidRPr="00500A19">
        <w:t>9</w:t>
      </w:r>
      <w:r w:rsidR="00510F0F" w:rsidRPr="00500A19">
        <w:tab/>
      </w:r>
      <w:r w:rsidRPr="00500A19">
        <w:t>разработка механизмов для вовлечения лиц с ограниченными возможностями как наиболее требовательных конечных пользователей, так и лиц с особыми потребностями, таких как пожилые люди, начиная с этапа проектирования в процесс разработки правовых/регуляторных положений, государственной политики, стандартов и стратегий, касающихся повышения доступности продуктов и услуг электросвязи/ИКТ/цифровых технологий. Лица с ограниченными возможностями также могут выполнять валидирующую функцию в отношении этих цифровых доступных продуктов и услуг;</w:t>
      </w:r>
    </w:p>
    <w:p w14:paraId="30179A8D" w14:textId="20AFAAE8" w:rsidR="00A3524C" w:rsidRPr="00500A19" w:rsidRDefault="00A3524C" w:rsidP="00510F0F">
      <w:pPr>
        <w:pStyle w:val="enumlev1"/>
        <w:rPr>
          <w:rFonts w:asciiTheme="minorHAnsi" w:eastAsia="Aptos" w:hAnsiTheme="minorHAnsi" w:cstheme="minorBidi"/>
          <w:kern w:val="2"/>
          <w14:ligatures w14:val="standardContextual"/>
        </w:rPr>
      </w:pPr>
      <w:r w:rsidRPr="00500A19">
        <w:rPr>
          <w:rFonts w:asciiTheme="minorHAnsi" w:hAnsiTheme="minorHAnsi" w:cstheme="minorHAnsi"/>
        </w:rPr>
        <w:t>10</w:t>
      </w:r>
      <w:r w:rsidR="00510F0F" w:rsidRPr="00500A19">
        <w:rPr>
          <w:rFonts w:asciiTheme="minorHAnsi" w:hAnsiTheme="minorHAnsi" w:cstheme="minorHAnsi"/>
        </w:rPr>
        <w:tab/>
      </w:r>
      <w:r w:rsidRPr="00500A19">
        <w:rPr>
          <w:rFonts w:asciiTheme="minorHAnsi" w:eastAsia="Times New Roman" w:hAnsiTheme="minorHAnsi"/>
        </w:rPr>
        <w:t xml:space="preserve">обеспечение того, чтобы аспект доступности ИКТ учитывался на этапе планирования и проектирования и был включен в процесс развития "умных" городов и деревень, чтобы </w:t>
      </w:r>
      <w:r w:rsidRPr="00500A19">
        <w:rPr>
          <w:rFonts w:asciiTheme="minorHAnsi" w:eastAsia="Times New Roman" w:hAnsiTheme="minorHAnsi"/>
        </w:rPr>
        <w:lastRenderedPageBreak/>
        <w:t>гарантировать, что эти города и сообщества будут "умными" для всех и чтобы никто не был оставлен позади</w:t>
      </w:r>
      <w:r w:rsidRPr="00500A19">
        <w:rPr>
          <w:rStyle w:val="FootnoteReference"/>
          <w:rFonts w:eastAsia="Aptos" w:cstheme="minorHAnsi"/>
          <w:kern w:val="2"/>
          <w:szCs w:val="16"/>
          <w14:ligatures w14:val="standardContextual"/>
        </w:rPr>
        <w:footnoteReference w:id="18"/>
      </w:r>
      <w:r w:rsidRPr="00500A19">
        <w:rPr>
          <w:rFonts w:asciiTheme="minorHAnsi" w:eastAsia="Times New Roman" w:hAnsiTheme="minorHAnsi"/>
        </w:rPr>
        <w:t>.</w:t>
      </w:r>
    </w:p>
    <w:p w14:paraId="1490EFB0" w14:textId="7A07E7C3" w:rsidR="00A3524C" w:rsidRPr="00500A19" w:rsidRDefault="00A3524C" w:rsidP="00510F0F">
      <w:pPr>
        <w:pStyle w:val="Headingb"/>
        <w:rPr>
          <w:rFonts w:eastAsia="Aptos" w:cstheme="minorBidi"/>
          <w:kern w:val="2"/>
          <w:szCs w:val="22"/>
          <w:lang w:val="ru-RU"/>
          <w14:ligatures w14:val="standardContextual"/>
        </w:rPr>
      </w:pPr>
      <w:r w:rsidRPr="00500A19">
        <w:rPr>
          <w:lang w:val="ru-RU"/>
        </w:rPr>
        <w:t>2.1</w:t>
      </w:r>
      <w:r w:rsidR="00510F0F" w:rsidRPr="00500A19">
        <w:rPr>
          <w:lang w:val="ru-RU"/>
        </w:rPr>
        <w:tab/>
      </w:r>
      <w:r w:rsidRPr="00500A19">
        <w:rPr>
          <w:lang w:val="ru-RU"/>
        </w:rPr>
        <w:t>Новая тема для исследования</w:t>
      </w:r>
    </w:p>
    <w:p w14:paraId="1747EBF6" w14:textId="77777777" w:rsidR="00A3524C" w:rsidRPr="00500A19" w:rsidRDefault="00A3524C" w:rsidP="45F85149">
      <w:pPr>
        <w:keepNext/>
        <w:overflowPunct/>
        <w:autoSpaceDE/>
        <w:autoSpaceDN/>
        <w:spacing w:after="120"/>
        <w:rPr>
          <w:rFonts w:eastAsia="Malgun Gothic" w:cstheme="minorBidi"/>
          <w:kern w:val="2"/>
          <w:szCs w:val="22"/>
          <w14:ligatures w14:val="standardContextual"/>
        </w:rPr>
      </w:pPr>
      <w:r w:rsidRPr="00500A19">
        <w:rPr>
          <w:szCs w:val="22"/>
        </w:rPr>
        <w:t>Передовой опыт по обеспечению того, чтобы внедрение ИИ расширяло всеохватные социальные преимущества, особенно для лиц с ограниченными возможностями, пожилых людей и уязвимых групп населения (в сотрудничестве с Группой Докладчика по Вопросу D/2).</w:t>
      </w:r>
    </w:p>
    <w:p w14:paraId="0DD55403" w14:textId="463C2E4B" w:rsidR="00A3524C" w:rsidRPr="00500A19" w:rsidRDefault="00A3524C" w:rsidP="00510F0F">
      <w:pPr>
        <w:pStyle w:val="Headingb"/>
        <w:rPr>
          <w:rFonts w:eastAsia="Malgun Gothic" w:cstheme="minorBidi"/>
          <w:kern w:val="2"/>
          <w:lang w:val="ru-RU"/>
          <w14:ligatures w14:val="standardContextual"/>
        </w:rPr>
      </w:pPr>
      <w:r w:rsidRPr="00500A19">
        <w:rPr>
          <w:lang w:val="ru-RU"/>
        </w:rPr>
        <w:t>ВОПРОС А/2</w:t>
      </w:r>
      <w:r w:rsidR="00510F0F" w:rsidRPr="00500A19">
        <w:rPr>
          <w:lang w:val="ru-RU"/>
        </w:rPr>
        <w:t xml:space="preserve">: </w:t>
      </w:r>
      <w:r w:rsidRPr="00500A19">
        <w:rPr>
          <w:lang w:val="ru-RU"/>
        </w:rPr>
        <w:t>Цифровые услуги и "умные" устойчивые города и сообщества</w:t>
      </w:r>
    </w:p>
    <w:p w14:paraId="4C04BAAD" w14:textId="4844646B" w:rsidR="00A3524C" w:rsidRPr="00500A19" w:rsidRDefault="00510F0F" w:rsidP="00510F0F">
      <w:pPr>
        <w:pStyle w:val="Headingb"/>
        <w:rPr>
          <w:rFonts w:eastAsia="Malgun Gothic" w:cstheme="minorBidi"/>
          <w:kern w:val="2"/>
          <w:lang w:val="ru-RU"/>
          <w14:ligatures w14:val="standardContextual"/>
        </w:rPr>
      </w:pPr>
      <w:r w:rsidRPr="00500A19">
        <w:rPr>
          <w:lang w:val="ru-RU"/>
        </w:rPr>
        <w:t>1</w:t>
      </w:r>
      <w:r w:rsidRPr="00500A19">
        <w:rPr>
          <w:lang w:val="ru-RU"/>
        </w:rPr>
        <w:tab/>
      </w:r>
      <w:r w:rsidR="00A3524C" w:rsidRPr="00500A19">
        <w:rPr>
          <w:lang w:val="ru-RU"/>
        </w:rPr>
        <w:t>Изложение ситуации или проблемы</w:t>
      </w:r>
    </w:p>
    <w:p w14:paraId="6C7A528A" w14:textId="77777777" w:rsidR="00A3524C" w:rsidRPr="00500A19" w:rsidRDefault="00A3524C" w:rsidP="00510F0F">
      <w:pPr>
        <w:rPr>
          <w:rFonts w:eastAsia="Malgun Gothic" w:cstheme="minorBidi"/>
          <w:kern w:val="2"/>
          <w14:ligatures w14:val="standardContextual"/>
        </w:rPr>
      </w:pPr>
      <w:r w:rsidRPr="00500A19">
        <w:t>Развитие всех сфер общества – культуры, образования, здравоохранения, транспорта, торговли и туризма – будет зависеть от прогресса, достигаемого за счет использования систем и услуг информационно-коммуникационных технологий (ИКТ) в деятельности в этих сферах. ИКТ могут играть одну из ключевых ролей в защите собственности и отдельных лиц; "умном" управлении автомобильным движением; экономии электроэнергии; измерении уровней загрязнения окружающей среды; повышении урожайности сельскохозяйственных культур; повышении эффективности глобальных перемещений и туризма; управлении здравоохранением и образованием; управлении системами снабжения питьевой водой и контроле этих систем; решении проблем, стоящих перед городами и сельскими районами. "Умное" общество может быть создано путем обеспечения "умного" функционирования и цифровизации в следующих областях:</w:t>
      </w:r>
    </w:p>
    <w:p w14:paraId="2BBD7437" w14:textId="414ABBFF" w:rsidR="00A3524C" w:rsidRPr="00500A19" w:rsidRDefault="00510F0F" w:rsidP="00510F0F">
      <w:pPr>
        <w:pStyle w:val="enumlev1"/>
        <w:rPr>
          <w:rFonts w:eastAsia="Malgun Gothic" w:cstheme="minorBidi"/>
          <w:kern w:val="2"/>
          <w14:ligatures w14:val="standardContextual"/>
        </w:rPr>
      </w:pPr>
      <w:r w:rsidRPr="00500A19">
        <w:t>i</w:t>
      </w:r>
      <w:r w:rsidRPr="00500A19">
        <w:tab/>
      </w:r>
      <w:r w:rsidR="00A3524C" w:rsidRPr="00500A19">
        <w:t>конкретный сектор: использование цифровых услуг в различных секторах, таких как здравоохранение, образование, туризм и т.</w:t>
      </w:r>
      <w:r w:rsidR="000B277C" w:rsidRPr="00500A19">
        <w:t> </w:t>
      </w:r>
      <w:r w:rsidR="00A3524C" w:rsidRPr="00500A19">
        <w:t>д.;</w:t>
      </w:r>
    </w:p>
    <w:p w14:paraId="1E203408" w14:textId="3F551D2E" w:rsidR="00A3524C" w:rsidRPr="00500A19" w:rsidRDefault="00510F0F" w:rsidP="00510F0F">
      <w:pPr>
        <w:pStyle w:val="enumlev1"/>
        <w:rPr>
          <w:rFonts w:eastAsia="Malgun Gothic" w:cstheme="minorBidi"/>
          <w:kern w:val="2"/>
          <w14:ligatures w14:val="standardContextual"/>
        </w:rPr>
      </w:pPr>
      <w:r w:rsidRPr="00500A19">
        <w:t>ii</w:t>
      </w:r>
      <w:r w:rsidRPr="00500A19">
        <w:tab/>
      </w:r>
      <w:r w:rsidR="00A3524C" w:rsidRPr="00500A19">
        <w:t>конкретный регион: на уровне города, деревни или общины.</w:t>
      </w:r>
    </w:p>
    <w:p w14:paraId="5478C669" w14:textId="6EF8A834" w:rsidR="00A3524C" w:rsidRPr="00500A19" w:rsidRDefault="00A3524C" w:rsidP="00510F0F">
      <w:pPr>
        <w:rPr>
          <w:rFonts w:eastAsia="Malgun Gothic" w:cstheme="minorBidi"/>
          <w:kern w:val="2"/>
          <w14:ligatures w14:val="standardContextual"/>
        </w:rPr>
      </w:pPr>
      <w:r w:rsidRPr="00500A19">
        <w:t>Аналогичным образом, как подчеркивалось Всемирной встречей на высшем уровне по вопросам информационного общества (ВВУИО), услуги и приложения ИКТ могут служить опорой для устойчивого развития в сферах государственного управления, хозяйственной деятельности, образования и профессиональной подготовки, здравоохранения, охраны окружающей среды, сельского хозяйства и науки в рамках национальных киберстратегий. Предложения цифровых услуг, в том числе электронных услуг, мобильных услуг и приложений "over</w:t>
      </w:r>
      <w:r w:rsidR="00510F0F" w:rsidRPr="00500A19">
        <w:t>-</w:t>
      </w:r>
      <w:r w:rsidRPr="00500A19">
        <w:t>the</w:t>
      </w:r>
      <w:r w:rsidR="00510F0F" w:rsidRPr="00500A19">
        <w:t>-</w:t>
      </w:r>
      <w:r w:rsidRPr="00500A19">
        <w:t>top" (ОТТ), создают новые возможности для экономического развития, особенно в развивающихся странах. Опорные</w:t>
      </w:r>
      <w:r w:rsidR="00510F0F" w:rsidRPr="00500A19">
        <w:t> </w:t>
      </w:r>
      <w:r w:rsidRPr="00500A19">
        <w:t>технологии, такие как облачные вычисления, обеспечивают повсеместный и удобный сетевой доступ и сетевой доступ по запросу к совместно используемому набору конфигурируемых вычислительных ресурсов (например, сетей, серверов, устройств хранения данных, приложений и услуг), которые могут быть оперативно инициализированы и высвобождены при минимальных управленческих усилиях или минимальном взаимодействии поставщиков услуг. Кроме того, применение ИИ в сельском хозяйстве повышает производительность, способствует сокращению масштабов нищеты и промышленному развитию сельских районов. Кроме того, ИИ повышает точность клинической диагностики и доступность медицинского обслуживания.</w:t>
      </w:r>
    </w:p>
    <w:p w14:paraId="38608A21" w14:textId="77777777" w:rsidR="00A3524C" w:rsidRPr="00500A19" w:rsidRDefault="00A3524C" w:rsidP="00510F0F">
      <w:pPr>
        <w:rPr>
          <w:rFonts w:eastAsia="Malgun Gothic" w:cstheme="minorBidi"/>
          <w:kern w:val="2"/>
          <w14:ligatures w14:val="standardContextual"/>
        </w:rPr>
      </w:pPr>
      <w:r w:rsidRPr="00500A19">
        <w:t>В Повестке дня Организации Объединенных Наций в области устойчивого развития на период до 2030 года признаются колоссальные возможности, создаваемые ИКТ, и содержится призыв существенно расширить доступ к таким технологиям, которые вносят решающий вклад в содействие достижению всех Целей в области устойчивого развития (ЦУР). В связи с этим МСЭ считает приоритетной задачей поддержку деятельности своих членов для достижения ЦУР в тесном сотрудничестве с другими партнерами.</w:t>
      </w:r>
    </w:p>
    <w:p w14:paraId="6A9FE19D" w14:textId="13E49E67" w:rsidR="00A3524C" w:rsidRPr="00500A19" w:rsidRDefault="00A3524C" w:rsidP="00510F0F">
      <w:pPr>
        <w:rPr>
          <w:rFonts w:eastAsia="Malgun Gothic" w:cstheme="minorBidi"/>
          <w:kern w:val="2"/>
          <w14:ligatures w14:val="standardContextual"/>
        </w:rPr>
      </w:pPr>
      <w:r w:rsidRPr="00500A19">
        <w:lastRenderedPageBreak/>
        <w:t>В 2024 году Организация Объединенных Наций приняла Глобальный цифровой договор, и одно из ее действий заключается в составлении карты и подключении всех школ и больниц к интернету на основе инициативы GIGA МСЭ и ЮНИСЕФ, а также в расширении услуг и возможностей</w:t>
      </w:r>
      <w:r w:rsidR="00510F0F" w:rsidRPr="00500A19">
        <w:t> </w:t>
      </w:r>
      <w:r w:rsidRPr="00500A19">
        <w:t>телемедицины.</w:t>
      </w:r>
    </w:p>
    <w:p w14:paraId="129F24C5" w14:textId="77777777" w:rsidR="00A3524C" w:rsidRPr="00500A19" w:rsidRDefault="00A3524C" w:rsidP="00510F0F">
      <w:pPr>
        <w:rPr>
          <w:rFonts w:eastAsia="Malgun Gothic" w:cstheme="minorBidi"/>
          <w:kern w:val="2"/>
          <w14:ligatures w14:val="standardContextual"/>
        </w:rPr>
      </w:pPr>
      <w:r w:rsidRPr="00500A19">
        <w:t>Реализация потенциала "умного" общества опирается на три технологических направления – возможность установления соединений, "умные" устройства/терминалы и программное обеспечение, а также на принципы устойчивого развития.</w:t>
      </w:r>
    </w:p>
    <w:p w14:paraId="7E526025" w14:textId="77777777" w:rsidR="00A3524C" w:rsidRPr="00500A19" w:rsidRDefault="00A3524C" w:rsidP="00510F0F">
      <w:pPr>
        <w:rPr>
          <w:rFonts w:eastAsia="Malgun Gothic" w:cstheme="minorBidi"/>
          <w:kern w:val="2"/>
          <w14:ligatures w14:val="standardContextual"/>
        </w:rPr>
      </w:pPr>
      <w:r w:rsidRPr="00500A19">
        <w:t>Возможность установления соединений или базовая инфраструктура охватывает традиционные и появляющиеся сети и новые технологии. Это один из важнейших факторов, создающий условия для предоставления всех "умных" услуг. В качестве примеров можно привести межмашинное взаимодействие (M2M), интернет вещей (IoT), а также обусловленные им приложения и услуги, такие как электронное правительство, управление движением и безопасность дорожного движения.</w:t>
      </w:r>
    </w:p>
    <w:p w14:paraId="393F6FB1" w14:textId="77777777" w:rsidR="00A3524C" w:rsidRPr="00500A19" w:rsidRDefault="00A3524C" w:rsidP="00510F0F">
      <w:pPr>
        <w:rPr>
          <w:rFonts w:eastAsia="Malgun Gothic" w:cstheme="minorBidi"/>
          <w:kern w:val="2"/>
          <w14:ligatures w14:val="standardContextual"/>
        </w:rPr>
      </w:pPr>
      <w:r w:rsidRPr="00500A19">
        <w:t>"Умные" устройства/терминалы – это предметы и оконечные компоненты, соединенные при помощи обеспечивающей инфраструктуры и уровня соединений для обмена данными между объектами на местах и городским оперативным центром. Автомобили, светофоры и камеры, водяные насосы, электросети, бытовые приборы, уличные фонари и мониторы состояния здоровья – все они являются примерами предметов, которые должны стать "умными", с тем чтобы они могли обеспечивать существенный прогресс в поддержке достижения целей в области устойчивости и социально-экономического развития. Это особенно важно для развивающихся стран</w:t>
      </w:r>
      <w:r w:rsidRPr="00500A19">
        <w:rPr>
          <w:rStyle w:val="FootnoteReference"/>
          <w:rFonts w:eastAsia="Malgun Gothic" w:cstheme="minorHAnsi"/>
          <w:kern w:val="2"/>
          <w:szCs w:val="16"/>
          <w:lang w:eastAsia="ko-KR"/>
          <w14:ligatures w14:val="standardContextual"/>
        </w:rPr>
        <w:footnoteReference w:id="19"/>
      </w:r>
      <w:r w:rsidRPr="00500A19">
        <w:t>.</w:t>
      </w:r>
    </w:p>
    <w:p w14:paraId="51ACA3B4" w14:textId="77777777" w:rsidR="00A3524C" w:rsidRPr="00500A19" w:rsidRDefault="00A3524C" w:rsidP="00510F0F">
      <w:pPr>
        <w:rPr>
          <w:rFonts w:eastAsia="Malgun Gothic" w:cstheme="minorBidi"/>
          <w:kern w:val="2"/>
          <w14:ligatures w14:val="standardContextual"/>
        </w:rPr>
      </w:pPr>
      <w:r w:rsidRPr="00500A19">
        <w:t>Роль разработки программного обеспечения приобретает первостепенное значение для использования первых двух направлений (соединений и терминалов), так что взаимодействие всех трех направлений обеспечивает появление новых услуг, которые до этого были бы невозможны. Программное обеспечение используется как для городской платформы, которая бесперебойно взаимодействует со всеми терминалами, так и для функций, касающихся оказания конкретных услуг, которые предназначены для работы вертикальных приложений или служб города.</w:t>
      </w:r>
    </w:p>
    <w:p w14:paraId="67111864" w14:textId="6A1830AE" w:rsidR="00A3524C" w:rsidRPr="00500A19" w:rsidRDefault="00A3524C" w:rsidP="00510F0F">
      <w:pPr>
        <w:rPr>
          <w:rFonts w:eastAsia="Malgun Gothic" w:cstheme="minorBidi"/>
          <w:kern w:val="2"/>
          <w14:ligatures w14:val="standardContextual"/>
        </w:rPr>
      </w:pPr>
      <w:r w:rsidRPr="00500A19">
        <w:t>Возможно, что проводимая в рамках этого исследуемого Вопроса работа будет основываться на Резолюции 11 (Пересм. Кигали, 2022 г.) об услугах электросвязи/ИКТ в сельских, изолированных и недостаточно обслуживаемых районах, Резолюции 68 (Пересм. Кигали, 2022 г.) об оказании помощи коренным народам и их сообществам с помощью ИКТ и Рекомендации МСЭ-D 19 об электросвязи для сельских и отдаленных районов Всемирной конференции по развитию электросвязи; Резолюции</w:t>
      </w:r>
      <w:r w:rsidR="00510F0F" w:rsidRPr="00500A19">
        <w:t> </w:t>
      </w:r>
      <w:r w:rsidRPr="00500A19">
        <w:t>139 (Пересм. Бухарест, 2022 г.) Полномочной конференции об использовании электросвязи/ИКТ для преодоления цифрового разрыва и построения открытого для всех информационного общества и Резолюции 197 (Пересм. Дубай, 2018 г.) Полномочной конференции о содействии развитию интернета вещей для подготовки к глобально соединенному миру; Резолюции 44 (Пересм. Нью-Дели, 2024 г.) Всемирной ассамблеи по стандартизации электросвязи о преодолении разрыва в стандартизации между развивающимися и развитыми странами и Резолюции 98 (Пересм. Нью-Дели, 2024 г.) Всемирной ассамблеи по стандартизации электросвязи о совершенствовании стандартизации интернета вещей, цифровых двойников и "умных" устойчивых городов и сообществ в интересах глобального развития; и Резолюции МСЭ-R 66-2 (Пересм. Дубай, 2023 г.) Ассамблеи радиосвязи об исследованиях, касающихся беспроводных систем и приложений для развития IoT.</w:t>
      </w:r>
    </w:p>
    <w:p w14:paraId="15E192AA" w14:textId="2214F761" w:rsidR="00A3524C" w:rsidRPr="00500A19" w:rsidRDefault="00510F0F" w:rsidP="00510F0F">
      <w:pPr>
        <w:pStyle w:val="Headingb"/>
        <w:rPr>
          <w:rFonts w:eastAsia="Malgun Gothic" w:cstheme="minorBidi"/>
          <w:kern w:val="2"/>
          <w:lang w:val="ru-RU"/>
          <w14:ligatures w14:val="standardContextual"/>
        </w:rPr>
      </w:pPr>
      <w:r w:rsidRPr="00500A19">
        <w:rPr>
          <w:lang w:val="ru-RU"/>
        </w:rPr>
        <w:t>2</w:t>
      </w:r>
      <w:r w:rsidRPr="00500A19">
        <w:rPr>
          <w:lang w:val="ru-RU"/>
        </w:rPr>
        <w:tab/>
      </w:r>
      <w:r w:rsidR="00A3524C" w:rsidRPr="00500A19">
        <w:rPr>
          <w:lang w:val="ru-RU"/>
        </w:rPr>
        <w:t>Вопрос или предмет для изучения</w:t>
      </w:r>
    </w:p>
    <w:p w14:paraId="09C45189" w14:textId="3328FD19" w:rsidR="00A3524C" w:rsidRPr="00500A19" w:rsidRDefault="00A3524C" w:rsidP="00510F0F">
      <w:pPr>
        <w:rPr>
          <w:rFonts w:eastAsia="Malgun Gothic" w:cstheme="minorBidi"/>
          <w:kern w:val="2"/>
          <w14:ligatures w14:val="standardContextual"/>
        </w:rPr>
      </w:pPr>
      <w:r w:rsidRPr="00500A19">
        <w:t>На основании изложения ситуации, приведенного в разделе 1, выше, исследования будут проводиться по трем основным направлениям, а также по другим дополнительным элементам,</w:t>
      </w:r>
      <w:r w:rsidR="00510F0F" w:rsidRPr="00500A19">
        <w:t> </w:t>
      </w:r>
      <w:r w:rsidRPr="00500A19">
        <w:t>а</w:t>
      </w:r>
      <w:r w:rsidR="00510F0F" w:rsidRPr="00500A19">
        <w:t> </w:t>
      </w:r>
      <w:r w:rsidRPr="00500A19">
        <w:t>именно:</w:t>
      </w:r>
    </w:p>
    <w:p w14:paraId="4B78BD13" w14:textId="15F8E0D8" w:rsidR="00A3524C" w:rsidRPr="00500A19" w:rsidRDefault="00510F0F" w:rsidP="00510F0F">
      <w:pPr>
        <w:pStyle w:val="enumlev1"/>
        <w:rPr>
          <w:rFonts w:eastAsia="Malgun Gothic" w:cstheme="minorBidi"/>
          <w:kern w:val="2"/>
          <w14:ligatures w14:val="standardContextual"/>
        </w:rPr>
      </w:pPr>
      <w:r w:rsidRPr="00500A19">
        <w:lastRenderedPageBreak/>
        <w:t>1</w:t>
      </w:r>
      <w:r w:rsidRPr="00500A19">
        <w:tab/>
      </w:r>
      <w:r w:rsidR="00A3524C" w:rsidRPr="00500A19">
        <w:t>рассмотрение "умных" устойчивых городов и сообществ (SSСC) для расширения сферы охвата исследования и включения "умных" деревень и сообществ любой формы;</w:t>
      </w:r>
    </w:p>
    <w:p w14:paraId="71FA669A" w14:textId="48A4A52C" w:rsidR="00A3524C" w:rsidRPr="00500A19" w:rsidRDefault="00510F0F" w:rsidP="00510F0F">
      <w:pPr>
        <w:pStyle w:val="enumlev1"/>
        <w:rPr>
          <w:rFonts w:eastAsia="Malgun Gothic" w:cstheme="minorBidi"/>
          <w:kern w:val="2"/>
          <w14:ligatures w14:val="standardContextual"/>
        </w:rPr>
      </w:pPr>
      <w:r w:rsidRPr="00500A19">
        <w:t>2</w:t>
      </w:r>
      <w:r w:rsidRPr="00500A19">
        <w:tab/>
      </w:r>
      <w:r w:rsidR="00A3524C" w:rsidRPr="00500A19">
        <w:t>повышение осведомленности об улучшении возможности установления соединений и укреплении базовой инфраструктуры для поддержки "умного" общества и перспективных "умных" услуг, включая "умные" электросети, государственное управление, транспорт, хозяйственную деятельность, охрану окружающей среды, сельское хозяйство, туризм и науку, образование, здравоохранение, торговую деятельность и финансы, а также обмен информацией о таких улучшениях;</w:t>
      </w:r>
    </w:p>
    <w:p w14:paraId="2E3F26F2" w14:textId="06E24146" w:rsidR="00A3524C" w:rsidRPr="00500A19" w:rsidRDefault="00510F0F" w:rsidP="00510F0F">
      <w:pPr>
        <w:pStyle w:val="enumlev1"/>
        <w:rPr>
          <w:rFonts w:eastAsia="Malgun Gothic" w:cstheme="minorBidi"/>
          <w:kern w:val="2"/>
          <w14:ligatures w14:val="standardContextual"/>
        </w:rPr>
      </w:pPr>
      <w:r w:rsidRPr="00500A19">
        <w:t>3</w:t>
      </w:r>
      <w:r w:rsidRPr="00500A19">
        <w:tab/>
      </w:r>
      <w:r w:rsidR="00A3524C" w:rsidRPr="00500A19">
        <w:t>изучение методов и примеров того, как платформы и программное обеспечение с открытым исходным кодом и/или проприетарные платформы и программное обеспечение создают возможности для эффективной архитектуры и функционирования "умных" услуг;</w:t>
      </w:r>
    </w:p>
    <w:p w14:paraId="47C5D546" w14:textId="1BF86062" w:rsidR="00A3524C" w:rsidRPr="00500A19" w:rsidRDefault="00510F0F" w:rsidP="00510F0F">
      <w:pPr>
        <w:pStyle w:val="enumlev1"/>
        <w:rPr>
          <w:rFonts w:eastAsia="Malgun Gothic" w:cstheme="minorBidi"/>
          <w:kern w:val="2"/>
          <w14:ligatures w14:val="standardContextual"/>
        </w:rPr>
      </w:pPr>
      <w:r w:rsidRPr="00500A19">
        <w:t>4</w:t>
      </w:r>
      <w:r w:rsidRPr="00500A19">
        <w:tab/>
      </w:r>
      <w:r w:rsidR="00A3524C" w:rsidRPr="00500A19">
        <w:t>изучение политики и бизнес-моделей, обеспечивающих вовлечение различных заинтересованных сторон, а также устойчивое и гармоничное развитие "умных" городов</w:t>
      </w:r>
      <w:r w:rsidR="00010F6B" w:rsidRPr="00500A19">
        <w:t> </w:t>
      </w:r>
      <w:r w:rsidR="00A3524C" w:rsidRPr="00500A19">
        <w:t>и</w:t>
      </w:r>
      <w:r w:rsidR="00010F6B" w:rsidRPr="00500A19">
        <w:t> </w:t>
      </w:r>
      <w:r w:rsidR="00A3524C" w:rsidRPr="00500A19">
        <w:t>сообществ;</w:t>
      </w:r>
    </w:p>
    <w:p w14:paraId="0B93C396" w14:textId="0977B1CD" w:rsidR="00A3524C" w:rsidRPr="00500A19" w:rsidRDefault="00510F0F" w:rsidP="00510F0F">
      <w:pPr>
        <w:pStyle w:val="enumlev1"/>
        <w:rPr>
          <w:rFonts w:eastAsia="Malgun Gothic" w:cstheme="minorBidi"/>
          <w:kern w:val="2"/>
          <w14:ligatures w14:val="standardContextual"/>
        </w:rPr>
      </w:pPr>
      <w:r w:rsidRPr="00500A19">
        <w:t>5</w:t>
      </w:r>
      <w:r w:rsidRPr="00500A19">
        <w:tab/>
      </w:r>
      <w:r w:rsidR="00A3524C" w:rsidRPr="00500A19">
        <w:t>обсуждение и распространение эталонных архитектур управления данными, которые будут способствовать развитию "умных" городов и сообществ и создавать возможности для такого развития;</w:t>
      </w:r>
    </w:p>
    <w:p w14:paraId="3EC30D36" w14:textId="4535AE55" w:rsidR="00A3524C" w:rsidRPr="00500A19" w:rsidRDefault="00510F0F" w:rsidP="00510F0F">
      <w:pPr>
        <w:pStyle w:val="enumlev1"/>
        <w:rPr>
          <w:rFonts w:eastAsia="Malgun Gothic" w:cstheme="minorBidi"/>
          <w:kern w:val="2"/>
          <w14:ligatures w14:val="standardContextual"/>
        </w:rPr>
      </w:pPr>
      <w:r w:rsidRPr="00500A19">
        <w:t>6</w:t>
      </w:r>
      <w:r w:rsidRPr="00500A19">
        <w:tab/>
      </w:r>
      <w:r w:rsidR="00A3524C" w:rsidRPr="00500A19">
        <w:t>определение функциональных показателей и механизмов оценки степени, в которой объект является "умным", связанных с качеством жизни, техническими аспектами и механизмами политики;</w:t>
      </w:r>
    </w:p>
    <w:p w14:paraId="5BDEA18A" w14:textId="09C3C6FC" w:rsidR="00A3524C" w:rsidRPr="00500A19" w:rsidRDefault="00510F0F" w:rsidP="00510F0F">
      <w:pPr>
        <w:pStyle w:val="enumlev1"/>
        <w:rPr>
          <w:rFonts w:eastAsia="Malgun Gothic" w:cstheme="minorBidi"/>
          <w:kern w:val="2"/>
          <w14:ligatures w14:val="standardContextual"/>
        </w:rPr>
      </w:pPr>
      <w:r w:rsidRPr="00500A19">
        <w:t>7</w:t>
      </w:r>
      <w:r w:rsidRPr="00500A19">
        <w:tab/>
      </w:r>
      <w:r w:rsidR="00A3524C" w:rsidRPr="00500A19">
        <w:t>обмен информацией и передовым опытом, а также выработка надлежащей нормативно-правовой базы в области создания "умных" городов и выбора/предоставления "умных" услуг и приложений;</w:t>
      </w:r>
    </w:p>
    <w:p w14:paraId="06E80B92" w14:textId="6A02510E" w:rsidR="00A3524C" w:rsidRPr="00500A19" w:rsidRDefault="00510F0F" w:rsidP="00510F0F">
      <w:pPr>
        <w:pStyle w:val="enumlev1"/>
        <w:rPr>
          <w:rFonts w:eastAsia="Malgun Gothic" w:cstheme="minorBidi"/>
          <w:kern w:val="2"/>
          <w14:ligatures w14:val="standardContextual"/>
        </w:rPr>
      </w:pPr>
      <w:r w:rsidRPr="00500A19">
        <w:t>8</w:t>
      </w:r>
      <w:r w:rsidRPr="00500A19">
        <w:tab/>
      </w:r>
      <w:r w:rsidR="00A3524C" w:rsidRPr="00500A19">
        <w:t>содействие созданию потенциала и приобретению знаний в области ИКТ в целях получения новых навыков, необходимых для развития "умного" общества;</w:t>
      </w:r>
    </w:p>
    <w:p w14:paraId="0F108AC0" w14:textId="09708A08" w:rsidR="00A3524C" w:rsidRPr="00500A19" w:rsidRDefault="00510F0F" w:rsidP="00510F0F">
      <w:pPr>
        <w:pStyle w:val="enumlev1"/>
        <w:rPr>
          <w:rFonts w:eastAsia="Malgun Gothic" w:cstheme="minorBidi"/>
          <w:kern w:val="2"/>
          <w14:ligatures w14:val="standardContextual"/>
        </w:rPr>
      </w:pPr>
      <w:r w:rsidRPr="00500A19">
        <w:t>9</w:t>
      </w:r>
      <w:r w:rsidRPr="00500A19">
        <w:tab/>
      </w:r>
      <w:r w:rsidR="00A3524C" w:rsidRPr="00500A19">
        <w:t>стимулирование градостроителей и властей города к участию в исследовании и совместному использованию своего опыта;</w:t>
      </w:r>
    </w:p>
    <w:p w14:paraId="08A7AFC3" w14:textId="20A6E241" w:rsidR="00A3524C" w:rsidRPr="00500A19" w:rsidRDefault="00510F0F" w:rsidP="00510F0F">
      <w:pPr>
        <w:pStyle w:val="enumlev1"/>
        <w:rPr>
          <w:rFonts w:eastAsia="Malgun Gothic" w:cstheme="minorBidi"/>
          <w:kern w:val="2"/>
          <w14:ligatures w14:val="standardContextual"/>
        </w:rPr>
      </w:pPr>
      <w:r w:rsidRPr="00500A19">
        <w:t>10</w:t>
      </w:r>
      <w:r w:rsidRPr="00500A19">
        <w:tab/>
      </w:r>
      <w:r w:rsidR="00A3524C" w:rsidRPr="00500A19">
        <w:t>стратегии и политика в целях содействия созданию экосистемы облачных вычислений в развивающихся странах с учетом уже признанных или исследуемых в двух других Секторах МСЭ соответствующих стандартов;</w:t>
      </w:r>
    </w:p>
    <w:p w14:paraId="240E6E4F" w14:textId="3EAF99F9" w:rsidR="00A3524C" w:rsidRPr="00500A19" w:rsidRDefault="00510F0F" w:rsidP="00510F0F">
      <w:pPr>
        <w:pStyle w:val="enumlev1"/>
        <w:rPr>
          <w:rFonts w:eastAsia="Malgun Gothic" w:cstheme="minorBidi"/>
          <w:kern w:val="2"/>
          <w14:ligatures w14:val="standardContextual"/>
        </w:rPr>
      </w:pPr>
      <w:r w:rsidRPr="00500A19">
        <w:t>11</w:t>
      </w:r>
      <w:r w:rsidRPr="00500A19">
        <w:tab/>
      </w:r>
      <w:r w:rsidR="00A3524C" w:rsidRPr="00500A19">
        <w:t>применение технологий ИИ в поддержку цифровых услуг и приложений для создания эффективной экосистемы электросвязи/ИКТ и расширения возможностей традиционной отрасли ИКТ, а также воздействие таких технологий (в сотрудничестве с Группой Докладчика по Вопросу D/2);</w:t>
      </w:r>
    </w:p>
    <w:p w14:paraId="58AA9574" w14:textId="36A07FBA" w:rsidR="00A3524C" w:rsidRPr="00500A19" w:rsidRDefault="00510F0F" w:rsidP="00510F0F">
      <w:pPr>
        <w:pStyle w:val="enumlev1"/>
        <w:rPr>
          <w:rFonts w:cstheme="minorBidi"/>
          <w:kern w:val="2"/>
          <w14:ligatures w14:val="standardContextual"/>
        </w:rPr>
      </w:pPr>
      <w:r w:rsidRPr="00500A19">
        <w:t>12</w:t>
      </w:r>
      <w:r w:rsidRPr="00500A19">
        <w:tab/>
      </w:r>
      <w:r w:rsidR="00A3524C" w:rsidRPr="00500A19">
        <w:t>поддержка в сфере передовых знаний проектам БРЭ в области цифровых услуг и приложений в сотрудничестве с ВОЗ или другими органами ООН.</w:t>
      </w:r>
    </w:p>
    <w:p w14:paraId="2D04E228" w14:textId="77777777" w:rsidR="00A3524C" w:rsidRPr="00500A19" w:rsidRDefault="00A3524C" w:rsidP="00510F0F">
      <w:pPr>
        <w:pStyle w:val="Headingb"/>
        <w:rPr>
          <w:rFonts w:eastAsia="Malgun Gothic" w:cstheme="minorBidi"/>
          <w:kern w:val="2"/>
          <w:lang w:val="ru-RU"/>
          <w14:ligatures w14:val="standardContextual"/>
        </w:rPr>
      </w:pPr>
      <w:r w:rsidRPr="00500A19">
        <w:rPr>
          <w:lang w:val="ru-RU"/>
        </w:rPr>
        <w:t>ВОПРОС B/2: ИКТ для окружающей среды и воздействие электромагнитных полей на человека</w:t>
      </w:r>
    </w:p>
    <w:p w14:paraId="2F64DE11" w14:textId="59D19294" w:rsidR="00A3524C" w:rsidRPr="00500A19" w:rsidRDefault="00510F0F" w:rsidP="00510F0F">
      <w:pPr>
        <w:pStyle w:val="Headingb"/>
        <w:rPr>
          <w:rFonts w:eastAsia="Malgun Gothic" w:cstheme="minorBidi"/>
          <w:kern w:val="2"/>
          <w:lang w:val="ru-RU"/>
          <w14:ligatures w14:val="standardContextual"/>
        </w:rPr>
      </w:pPr>
      <w:r w:rsidRPr="00500A19">
        <w:rPr>
          <w:lang w:val="ru-RU"/>
        </w:rPr>
        <w:t>1</w:t>
      </w:r>
      <w:r w:rsidRPr="00500A19">
        <w:rPr>
          <w:lang w:val="ru-RU"/>
        </w:rPr>
        <w:tab/>
      </w:r>
      <w:r w:rsidR="00A3524C" w:rsidRPr="00500A19">
        <w:rPr>
          <w:lang w:val="ru-RU"/>
        </w:rPr>
        <w:t>Изложение ситуации или проблемы</w:t>
      </w:r>
    </w:p>
    <w:p w14:paraId="4BA7FB3B" w14:textId="05F81545" w:rsidR="00A3524C" w:rsidRPr="00500A19" w:rsidRDefault="00510F0F" w:rsidP="00510F0F">
      <w:pPr>
        <w:pStyle w:val="Headingb"/>
        <w:rPr>
          <w:rFonts w:eastAsia="Malgun Gothic" w:cstheme="minorBidi"/>
          <w:kern w:val="2"/>
          <w:lang w:val="ru-RU"/>
          <w14:ligatures w14:val="standardContextual"/>
        </w:rPr>
      </w:pPr>
      <w:r w:rsidRPr="00500A19">
        <w:rPr>
          <w:lang w:val="ru-RU"/>
        </w:rPr>
        <w:t>1.1</w:t>
      </w:r>
      <w:r w:rsidRPr="00500A19">
        <w:rPr>
          <w:lang w:val="ru-RU"/>
        </w:rPr>
        <w:tab/>
      </w:r>
      <w:r w:rsidR="00A3524C" w:rsidRPr="00500A19">
        <w:rPr>
          <w:lang w:val="ru-RU"/>
        </w:rPr>
        <w:t>ИКТ и изменение климата</w:t>
      </w:r>
    </w:p>
    <w:p w14:paraId="065DE419" w14:textId="4B4005CB" w:rsidR="00A3524C" w:rsidRPr="00500A19" w:rsidRDefault="00A3524C" w:rsidP="00A03861">
      <w:pPr>
        <w:rPr>
          <w:rFonts w:eastAsia="Malgun Gothic" w:cstheme="minorBidi"/>
          <w:kern w:val="2"/>
          <w14:ligatures w14:val="standardContextual"/>
        </w:rPr>
      </w:pPr>
      <w:r w:rsidRPr="00500A19">
        <w:t>Вопрос изменения климата возник в качестве проблемы, вызывающей всеобщую обеспокоенность, решение которой требует глобального сотрудничества всех стран, в частности развивающихся стран</w:t>
      </w:r>
      <w:r w:rsidRPr="00500A19">
        <w:rPr>
          <w:rStyle w:val="FootnoteReference"/>
          <w:rFonts w:eastAsia="Malgun Gothic" w:cstheme="minorHAnsi"/>
          <w:kern w:val="2"/>
          <w:szCs w:val="16"/>
          <w:lang w:eastAsia="ko-KR"/>
          <w14:ligatures w14:val="standardContextual"/>
        </w:rPr>
        <w:footnoteReference w:id="20"/>
      </w:r>
      <w:r w:rsidRPr="00500A19">
        <w:t xml:space="preserve"> (которые являются наиболее уязвимой к изменению климата группой стран). Международные инициативы в этой области направлены на достижение устойчивого развития, определение путей и </w:t>
      </w:r>
      <w:r w:rsidRPr="00500A19">
        <w:lastRenderedPageBreak/>
        <w:t>средств мониторинга такого изменения климата с помощью информационно-коммуникационных технологий (ИКТ), например посредством спутниковых снимков, беспилотных летательных аппаратов, ИИ и т. д., а также снижения с их помощью общего объема выбросов парниковых газов. Основная направленность данного исследуемого Вопроса – "ответственное потребление</w:t>
      </w:r>
      <w:r w:rsidR="00010F6B" w:rsidRPr="00500A19">
        <w:t> </w:t>
      </w:r>
      <w:r w:rsidRPr="00500A19">
        <w:t>и</w:t>
      </w:r>
      <w:r w:rsidR="00010F6B" w:rsidRPr="00500A19">
        <w:t> </w:t>
      </w:r>
      <w:r w:rsidRPr="00500A19">
        <w:t>производство".</w:t>
      </w:r>
    </w:p>
    <w:p w14:paraId="5B044881" w14:textId="77777777" w:rsidR="00A3524C" w:rsidRPr="00500A19" w:rsidRDefault="00A3524C" w:rsidP="00A03861">
      <w:pPr>
        <w:rPr>
          <w:rFonts w:eastAsia="Malgun Gothic" w:cstheme="minorBidi"/>
          <w:kern w:val="2"/>
          <w14:ligatures w14:val="standardContextual"/>
        </w:rPr>
      </w:pPr>
      <w:r w:rsidRPr="00500A19">
        <w:t>ИКТ оказывают на окружающую среду прямое и косвенное воздействие. ИКТ оставляют непосредственный след в окружающей среде, который необходимо уменьшить для достижения целей Парижского соглашения. При этом ИКТ могут помочь странам с формирующейся рыночной экономикой преодолеть воздействие изменения климата и колебаний и процветать, оказывая содействие в смягчении последствий изменения климата по всему миру.</w:t>
      </w:r>
    </w:p>
    <w:p w14:paraId="4E5E6A42" w14:textId="77777777" w:rsidR="00A3524C" w:rsidRPr="00500A19" w:rsidRDefault="00A3524C" w:rsidP="00A03861">
      <w:pPr>
        <w:rPr>
          <w:rFonts w:eastAsia="Malgun Gothic" w:cstheme="minorBidi"/>
          <w:kern w:val="2"/>
          <w14:ligatures w14:val="standardContextual"/>
        </w:rPr>
      </w:pPr>
      <w:r w:rsidRPr="00500A19">
        <w:t>Новые технологии, системы и приложения могут осуществлять мониторинг климата и смягчать его неблагоприятное воздействие благодаря использованию больших данных. Они могут играть решающую роль, помогая директивным органам и отрасли решать проблемы, связанные с изменениями окружающей среды, при формулировании новых направлений политики, устанавливая новые стандарты производства для сокращения объема выбросов. Кроме того, искусственный интеллект (ИИ) может способствовать сбору информации с помощью различных методов и каналов сбора данных, используя человеческий и исторический опыт для действий при чрезвычайных и непредсказуемых метеорологических сценариях. ИИ вносит вклад в сохранение окружающей среды, отслеживая изменение климата, оптимизируя использование ресурсов и поддерживая развитие возобновляемых источников энергии.</w:t>
      </w:r>
    </w:p>
    <w:p w14:paraId="171F4750" w14:textId="77777777" w:rsidR="00A3524C" w:rsidRPr="00500A19" w:rsidRDefault="00A3524C" w:rsidP="00A03861">
      <w:pPr>
        <w:rPr>
          <w:rFonts w:eastAsia="Malgun Gothic" w:cstheme="minorBidi"/>
          <w:kern w:val="2"/>
          <w14:ligatures w14:val="standardContextual"/>
        </w:rPr>
      </w:pPr>
      <w:r w:rsidRPr="00500A19">
        <w:t>5-я Исследовательская комиссия Сектора стандартизации электросвязи МСЭ (МСЭ-Т) является ведущей исследовательской комиссией по изучению связанных с ИКТ экологических аспектов воздействия электромагнитных явлений и изменения состояния окружающей среды и климата, включая методики и руководящие указания по оценке и сокращению воздействия на окружающую среду, таких как утилизация устройств и оборудования ИКТ; 7-я Исследовательская комиссия Сектора радиосвязи МСЭ (МСЭ-R) ("Научные службы") является ведущей исследовательской комиссией по исследованиям, связанным с использованием технологий, систем и приложений радиосвязи, включая спутниковые системы, для мониторинга состояния окружающей среды и изменения климата и прогнозирования изменения климата.</w:t>
      </w:r>
    </w:p>
    <w:p w14:paraId="25FF79AB" w14:textId="7B365CD7" w:rsidR="00A3524C" w:rsidRPr="00500A19" w:rsidRDefault="00A3524C" w:rsidP="00A03861">
      <w:pPr>
        <w:rPr>
          <w:rFonts w:eastAsia="Malgun Gothic" w:cstheme="minorBidi"/>
          <w:kern w:val="2"/>
          <w14:ligatures w14:val="standardContextual"/>
        </w:rPr>
      </w:pPr>
      <w:r w:rsidRPr="00500A19">
        <w:t>В связи с этим в качестве основы для исследований в рамках данного Вопроса следует использовать решения, содержащиеся в Резолюциях и Рекомендациях МСЭ-R и МСЭ-Т, и в частности в Резолюции</w:t>
      </w:r>
      <w:r w:rsidR="00010F6B" w:rsidRPr="00500A19">
        <w:t> </w:t>
      </w:r>
      <w:r w:rsidRPr="00500A19">
        <w:t>73 (Пересм. Женева, 2022 г.) Всемирной ассамблеи по стандартизации электросвязи (ВАСЭ) и Резолюции 673 (Пересм. ВКР-12) Всемирной конференции радиосвязи.</w:t>
      </w:r>
    </w:p>
    <w:p w14:paraId="54EB5209" w14:textId="709B9673" w:rsidR="00A3524C" w:rsidRPr="00500A19" w:rsidRDefault="00A03861" w:rsidP="00A03861">
      <w:pPr>
        <w:pStyle w:val="Headingb"/>
        <w:rPr>
          <w:rFonts w:eastAsia="Malgun Gothic" w:cstheme="minorBidi"/>
          <w:kern w:val="2"/>
          <w:lang w:val="ru-RU"/>
          <w14:ligatures w14:val="standardContextual"/>
        </w:rPr>
      </w:pPr>
      <w:r w:rsidRPr="00500A19">
        <w:rPr>
          <w:lang w:val="ru-RU"/>
        </w:rPr>
        <w:t>1.2</w:t>
      </w:r>
      <w:r w:rsidRPr="00500A19">
        <w:rPr>
          <w:lang w:val="ru-RU"/>
        </w:rPr>
        <w:tab/>
      </w:r>
      <w:r w:rsidR="00A3524C" w:rsidRPr="00500A19">
        <w:rPr>
          <w:lang w:val="ru-RU"/>
        </w:rPr>
        <w:t>Отходы, связанные с ‎электросвязью/ИКТ</w:t>
      </w:r>
    </w:p>
    <w:p w14:paraId="62B716F5" w14:textId="3403015D" w:rsidR="00A3524C" w:rsidRPr="00500A19" w:rsidRDefault="00A3524C" w:rsidP="00945E28">
      <w:pPr>
        <w:rPr>
          <w:rFonts w:eastAsia="Malgun Gothic" w:cstheme="minorBidi"/>
          <w:kern w:val="2"/>
          <w14:ligatures w14:val="standardContextual"/>
        </w:rPr>
      </w:pPr>
      <w:r w:rsidRPr="00500A19">
        <w:t xml:space="preserve">В последние годы наблюдается экспоненциальный рост электросвязи/ИКТ, в особенности в развивающихся странах. Например, в период с 2002 по 2007 год проникновение мобильных телефонов в регионе Северной и Южной Америки возросло с 19 до 70 терминалов на 100 жителей. Во всем мире за тот же самый период доля контрактов на использование мобильных телефонов в развивающихся странах увеличилась на 20 процентных пунктов </w:t>
      </w:r>
      <w:r w:rsidR="00010F6B" w:rsidRPr="00500A19">
        <w:sym w:font="Symbol" w:char="F02D"/>
      </w:r>
      <w:r w:rsidRPr="00500A19">
        <w:t xml:space="preserve"> с 44% до 64%.</w:t>
      </w:r>
    </w:p>
    <w:p w14:paraId="24F8A03A" w14:textId="20500C8A" w:rsidR="00A3524C" w:rsidRPr="00500A19" w:rsidRDefault="00A3524C" w:rsidP="00945E28">
      <w:pPr>
        <w:rPr>
          <w:rFonts w:eastAsia="Malgun Gothic" w:cstheme="minorBidi"/>
          <w:kern w:val="2"/>
          <w14:ligatures w14:val="standardContextual"/>
        </w:rPr>
      </w:pPr>
      <w:r w:rsidRPr="00500A19">
        <w:t>Увеличение количества электрического и электронного оборудования и относящихся к нему периферийных устройств, а также непрерывное совершенствование технологий привело к значительному росту отходов, связанных с электросвязью/ИКТ. Согласно оценкам, каждый год во всем мире создается от 20 до 50 миллионов тонн отходов, связанных с электросвязью/ИКТ. Однако</w:t>
      </w:r>
      <w:r w:rsidR="00A03861" w:rsidRPr="00500A19">
        <w:t> </w:t>
      </w:r>
      <w:r w:rsidRPr="00500A19">
        <w:t>уровень обеспечения переработки и надежной утилизации отходов, связанных с электросвязью/ИКТ, является низким, что затрудняет даже количественную оценку данной проблемы на региональном уровне.</w:t>
      </w:r>
    </w:p>
    <w:p w14:paraId="7127A822" w14:textId="007CB809" w:rsidR="00A3524C" w:rsidRPr="00500A19" w:rsidRDefault="00A3524C" w:rsidP="00945E28">
      <w:pPr>
        <w:rPr>
          <w:rFonts w:eastAsia="Malgun Gothic" w:cstheme="minorBidi"/>
          <w:kern w:val="2"/>
          <w14:ligatures w14:val="standardContextual"/>
        </w:rPr>
      </w:pPr>
      <w:r w:rsidRPr="00500A19">
        <w:t xml:space="preserve">Согласно "Глобальному мониторингу электронных отходов, 2020 год", в 2019 году в мире было произведено 53,6 млн. тонн электронных отходов, и прогнозируется, что к 2030 году глобальное </w:t>
      </w:r>
      <w:r w:rsidRPr="00500A19">
        <w:lastRenderedPageBreak/>
        <w:t>производство отходов достигнет 74 млн. тонн, то есть почти удвоится по сравнению с 2014 годом. Это</w:t>
      </w:r>
      <w:r w:rsidR="00562A55" w:rsidRPr="00500A19">
        <w:t> </w:t>
      </w:r>
      <w:r w:rsidRPr="00500A19">
        <w:t>составляет в среднем 7,3 кг на человека.</w:t>
      </w:r>
    </w:p>
    <w:p w14:paraId="196A231B" w14:textId="77777777" w:rsidR="00A3524C" w:rsidRPr="00500A19" w:rsidRDefault="00A3524C" w:rsidP="00945E28">
      <w:pPr>
        <w:rPr>
          <w:rFonts w:eastAsia="Malgun Gothic" w:cstheme="minorBidi"/>
          <w:kern w:val="2"/>
          <w14:ligatures w14:val="standardContextual"/>
        </w:rPr>
      </w:pPr>
      <w:r w:rsidRPr="00500A19">
        <w:t>Переработка и эффективная утилизация отходов электросвязи/ИКТ не ведется должным образом, в связи с чем серьезной проблемой является даже получение точных сведений об общем объеме отходов ИКТ/электронных отходов в мире.</w:t>
      </w:r>
    </w:p>
    <w:p w14:paraId="17D174F0" w14:textId="77777777" w:rsidR="00A3524C" w:rsidRPr="00500A19" w:rsidRDefault="00A3524C" w:rsidP="00945E28">
      <w:pPr>
        <w:rPr>
          <w:rFonts w:eastAsia="Malgun Gothic" w:cstheme="minorBidi"/>
          <w:kern w:val="2"/>
          <w14:ligatures w14:val="standardContextual"/>
        </w:rPr>
      </w:pPr>
      <w:r w:rsidRPr="00500A19">
        <w:t>В результате того что не обеспечивается надлежащая переработка или утилизация электронных отходов, возникают крупные экологические проблемы и проблемы здравоохранения, в особенности в развивающихся странах.</w:t>
      </w:r>
    </w:p>
    <w:p w14:paraId="597FE285" w14:textId="77777777" w:rsidR="00A3524C" w:rsidRPr="00500A19" w:rsidRDefault="00A3524C" w:rsidP="00945E28">
      <w:pPr>
        <w:rPr>
          <w:rFonts w:eastAsia="Malgun Gothic" w:cstheme="minorBidi"/>
          <w:kern w:val="2"/>
          <w14:ligatures w14:val="standardContextual"/>
        </w:rPr>
      </w:pPr>
      <w:r w:rsidRPr="00500A19">
        <w:t>Экспоненциальный рост терминалов электросвязи/ИКТ, сопровождающийся их высокой обновляемостью, а также развитие технологий обусловливают настоятельную необходимость ускоренного принятия в ближайшем будущем мер по предотвращению экологической катастрофы, которая произойдет в развивающихся странах, если не будет создана соответствующая система регулирования и не будет выработана политика, направленная на решение этой проблемы.</w:t>
      </w:r>
    </w:p>
    <w:p w14:paraId="4EDDED7A" w14:textId="5C71698A" w:rsidR="00945E28" w:rsidRPr="00500A19" w:rsidRDefault="00945E28" w:rsidP="00945E28">
      <w:pPr>
        <w:pStyle w:val="Headingb"/>
        <w:rPr>
          <w:rFonts w:eastAsia="Malgun Gothic" w:cstheme="minorBidi"/>
          <w:kern w:val="2"/>
          <w:lang w:val="ru-RU" w:eastAsia="ko-KR"/>
          <w14:ligatures w14:val="standardContextual"/>
        </w:rPr>
      </w:pPr>
      <w:r w:rsidRPr="00500A19">
        <w:rPr>
          <w:lang w:val="ru-RU"/>
        </w:rPr>
        <w:t>1.3</w:t>
      </w:r>
      <w:r w:rsidRPr="00500A19">
        <w:rPr>
          <w:lang w:val="ru-RU"/>
        </w:rPr>
        <w:tab/>
        <w:t>ИКТ и биоразнообразие</w:t>
      </w:r>
    </w:p>
    <w:p w14:paraId="32EC304C" w14:textId="4507655B" w:rsidR="00945E28" w:rsidRPr="00500A19" w:rsidRDefault="00945E28" w:rsidP="00945E28">
      <w:pPr>
        <w:rPr>
          <w:rFonts w:eastAsia="Malgun Gothic" w:cstheme="minorBidi"/>
          <w:kern w:val="2"/>
          <w14:ligatures w14:val="standardContextual"/>
        </w:rPr>
      </w:pPr>
      <w:r w:rsidRPr="00500A19">
        <w:t>В 2022 году на Конференции Организации Объединенных Наций по биоразнообразию (КС-15), организованной Конвенцией ООН о биологическом разнообразии, была определена дорожная карта на период после 2030 года в отношении биоразнообразия. По итогам этой конференции 196</w:t>
      </w:r>
      <w:r w:rsidR="008B6441" w:rsidRPr="00500A19">
        <w:t> </w:t>
      </w:r>
      <w:r w:rsidRPr="00500A19">
        <w:t xml:space="preserve">странами была принята Куньминско-Монреальская глобальная рамочная программа в области биоразнообразия </w:t>
      </w:r>
      <w:r w:rsidRPr="00500A19">
        <w:rPr>
          <w:rFonts w:cstheme="minorHAnsi"/>
        </w:rPr>
        <w:t xml:space="preserve">– </w:t>
      </w:r>
      <w:r w:rsidRPr="00500A19">
        <w:t>мотивирующее глобальное соглашение, ориентированное на достижение нескольких глобальных целей до 2050 года и охватывающее выполнение 23 задач до 2030 года. Это соглашение включает в себя защиту 30% суши и 30% площади морей к 2030 году и внедрение решений, основанных на природных факторах, для борьбы с изменением климата.</w:t>
      </w:r>
    </w:p>
    <w:p w14:paraId="2A059852" w14:textId="1EB2E570" w:rsidR="00945E28" w:rsidRPr="00500A19" w:rsidRDefault="00945E28" w:rsidP="00945E28">
      <w:pPr>
        <w:rPr>
          <w:rFonts w:eastAsia="Malgun Gothic" w:cstheme="minorBidi"/>
          <w:kern w:val="2"/>
          <w14:ligatures w14:val="standardContextual"/>
        </w:rPr>
      </w:pPr>
      <w:r w:rsidRPr="00500A19">
        <w:t>В ходе КС-15 была поставлена следующая основополагающая цель – прекращение и обращение вспять утраты биоразнообразия к 2030 году. Эта цель подразумевает необходимость оценки воздействия на биоразнообразие деятельности человека, включая воздействие со стороны организаций.</w:t>
      </w:r>
    </w:p>
    <w:p w14:paraId="33B14AEC" w14:textId="5018C298" w:rsidR="00945E28" w:rsidRPr="00500A19" w:rsidRDefault="00945E28" w:rsidP="00945E28">
      <w:pPr>
        <w:rPr>
          <w:rFonts w:eastAsia="Malgun Gothic" w:cstheme="minorBidi"/>
          <w:kern w:val="2"/>
          <w14:ligatures w14:val="standardContextual"/>
        </w:rPr>
      </w:pPr>
      <w:r w:rsidRPr="00500A19">
        <w:t>В отличие от многих других продуктов и услуг воздействие информационно-коммуникационных технологий (ИКТ) имеет двойственную природу. Сектор ИКТ не относится к основным секторам, влияющим на биоразнообразие, но при этом он оказывает влияние, например, в результате добычи сырья, увеличения производства, утилизации отслужившего свой срок оборудования ИКТ, занятия земель и косвенно посредством выбросов парниковых газов.</w:t>
      </w:r>
    </w:p>
    <w:p w14:paraId="3393FE00" w14:textId="77777777" w:rsidR="00945E28" w:rsidRPr="00500A19" w:rsidRDefault="00945E28" w:rsidP="00945E28">
      <w:pPr>
        <w:rPr>
          <w:rFonts w:eastAsia="Malgun Gothic" w:cstheme="minorBidi"/>
          <w:kern w:val="2"/>
          <w:lang w:eastAsia="ko-KR"/>
          <w14:ligatures w14:val="standardContextual"/>
        </w:rPr>
      </w:pPr>
      <w:r w:rsidRPr="00500A19">
        <w:t>Однако в то же самое время ИКТ и цифровые технологии, такие как IoT, искусственный интеллект, беспилотные летательные аппараты и технологии спутниковой съемки, могут помогать вести мониторинг биоразнообразия и содействовать его защите и восстановлению с помощью удаленных сенсорных сетей, сбора данных и управления ими в целях сохранения биоразнообразия.</w:t>
      </w:r>
    </w:p>
    <w:p w14:paraId="4F841DAA" w14:textId="657AF666" w:rsidR="00945E28" w:rsidRPr="00500A19" w:rsidRDefault="00945E28" w:rsidP="00945E28">
      <w:pPr>
        <w:pStyle w:val="Headingb"/>
        <w:rPr>
          <w:rFonts w:eastAsia="Malgun Gothic" w:cstheme="minorBidi"/>
          <w:b w:val="0"/>
          <w:bCs/>
          <w:kern w:val="2"/>
          <w:lang w:val="ru-RU" w:eastAsia="ko-KR"/>
          <w14:ligatures w14:val="standardContextual"/>
        </w:rPr>
      </w:pPr>
      <w:r w:rsidRPr="00500A19">
        <w:rPr>
          <w:rFonts w:eastAsia="Malgun Gothic" w:cstheme="minorBidi"/>
          <w:bCs/>
          <w:kern w:val="2"/>
          <w:lang w:val="ru-RU" w:eastAsia="ko-KR"/>
          <w14:ligatures w14:val="standardContextual"/>
        </w:rPr>
        <w:t>1.4</w:t>
      </w:r>
      <w:r w:rsidRPr="00500A19">
        <w:rPr>
          <w:rFonts w:eastAsia="Malgun Gothic" w:cstheme="minorBidi"/>
          <w:bCs/>
          <w:kern w:val="2"/>
          <w:lang w:val="ru-RU" w:eastAsia="ko-KR"/>
          <w14:ligatures w14:val="standardContextual"/>
        </w:rPr>
        <w:tab/>
        <w:t>Воздействие электромагнитных полей на человека</w:t>
      </w:r>
    </w:p>
    <w:p w14:paraId="1A72F088" w14:textId="77777777" w:rsidR="00945E28" w:rsidRPr="00500A19" w:rsidRDefault="00945E28" w:rsidP="00945E28">
      <w:pPr>
        <w:rPr>
          <w:lang w:eastAsia="ko-KR"/>
        </w:rPr>
      </w:pPr>
      <w:r w:rsidRPr="00500A19">
        <w:rPr>
          <w:lang w:eastAsia="ko-KR"/>
        </w:rPr>
        <w:t xml:space="preserve">По мере распространения технологий беспроводной связи воздействие электромагнитных полей на человека вызвало обеспокоенность общественности. Активно обсуждается значение разработки стратегий и руководящих указаний, касающихся воздействия электромагнитных полей (ЭМП) на человека. В течение исследовательского цикла 2018–2021 годов в рамках исследуемого Вопроса 7/2 2-й Исследовательской комиссии Сектора развития электросвязи МСЭ (МСЭ-D) изучались вопросы политики, руководящие указания, примеры национального опыта и оценки воздействия радиочастотных ЭМП (РЧ-ЭМП) на человека, имеющие научное обоснование. Также в ходе исследовательских циклов были опубликованы новые версии стандартов ЭМП: в марте 2020 года Международная комиссия по защите от неионизирующего излучения (МКЗНИ) опубликовала новую редакцию своих Руководящих принципов (1998 г.). В октябре 2019 года Институт инженеров по электротехнике и радиоэлектронике (IEEE) также выпустил обновленную версию соответствующего </w:t>
      </w:r>
      <w:r w:rsidRPr="00500A19">
        <w:rPr>
          <w:lang w:eastAsia="ko-KR"/>
        </w:rPr>
        <w:lastRenderedPageBreak/>
        <w:t>нормативного документа – C95.1-2019. Предельные уровни, установленные МКЗНИ и IEEE, по большей части согласованы, и на частотах выше 30 МГц предельные значения плотности потока мощности непрерывных полей для случая воздействия на все тело установлены идентичными.</w:t>
      </w:r>
    </w:p>
    <w:p w14:paraId="468248DA" w14:textId="77777777" w:rsidR="00945E28" w:rsidRPr="00500A19" w:rsidRDefault="00945E28" w:rsidP="00945E28">
      <w:pPr>
        <w:rPr>
          <w:lang w:eastAsia="ko-KR"/>
        </w:rPr>
      </w:pPr>
      <w:r w:rsidRPr="00500A19">
        <w:rPr>
          <w:lang w:eastAsia="ko-KR"/>
        </w:rPr>
        <w:t>Ввиду характеристик технологий множественных приемных и передающих трактов (MIMO), формирования луча и миллиметровой связи, применяемых в новых системах связи, был проведен ряд первоначальных исследований для оценки уровней РЧ-ЭМП. Важным методом снижения излишней обеспокоенности общественности по поводу воздействия РЧ-ЭМП является информирование о рисках, в том числе о преимуществах новых технологий беспроводной связи для населения, в частности во время пандемии. ВОЗ и МСЭ неустанно содействуют обмену знаниями о текущем состоянии научного знания между странами и регионами.</w:t>
      </w:r>
    </w:p>
    <w:p w14:paraId="0F31BCEC" w14:textId="0CF78B88" w:rsidR="00945E28" w:rsidRPr="00500A19" w:rsidRDefault="00945E28" w:rsidP="00945E28">
      <w:pPr>
        <w:pStyle w:val="Headingb"/>
        <w:rPr>
          <w:lang w:val="ru-RU" w:eastAsia="ko-KR"/>
        </w:rPr>
      </w:pPr>
      <w:r w:rsidRPr="00500A19">
        <w:rPr>
          <w:lang w:val="ru-RU" w:eastAsia="ko-KR"/>
        </w:rPr>
        <w:t>2</w:t>
      </w:r>
      <w:r w:rsidRPr="00500A19">
        <w:rPr>
          <w:lang w:val="ru-RU" w:eastAsia="ko-KR"/>
        </w:rPr>
        <w:tab/>
        <w:t>Вопрос или предмет для изучения</w:t>
      </w:r>
    </w:p>
    <w:p w14:paraId="02296887" w14:textId="77777777" w:rsidR="00945E28" w:rsidRPr="00500A19" w:rsidRDefault="00945E28" w:rsidP="00945E28">
      <w:pPr>
        <w:rPr>
          <w:lang w:eastAsia="ko-KR"/>
        </w:rPr>
      </w:pPr>
      <w:r w:rsidRPr="00500A19">
        <w:rPr>
          <w:lang w:eastAsia="ko-KR"/>
        </w:rPr>
        <w:t>Существует много различных тем, которые члены будут рассматривать в рамках настоящего Вопроса в течение следующего четырехлетнего периода. Ожидается, что следующие этапы исследования будут играть в будущем главную роль при выполнении задачи данного Вопроса:</w:t>
      </w:r>
    </w:p>
    <w:p w14:paraId="099BBEC4" w14:textId="77777777" w:rsidR="00945E28" w:rsidRPr="00500A19" w:rsidRDefault="00945E28" w:rsidP="00945E28">
      <w:pPr>
        <w:pStyle w:val="enumlev1"/>
        <w:rPr>
          <w:lang w:eastAsia="ko-KR"/>
        </w:rPr>
      </w:pPr>
      <w:r w:rsidRPr="00500A19">
        <w:rPr>
          <w:lang w:eastAsia="ko-KR"/>
        </w:rPr>
        <w:t>определение региональных потребностей развивающихся стран в таких приложениях при тесном сотрудничестве с соответствующей программой (программами) БРЭ;</w:t>
      </w:r>
    </w:p>
    <w:p w14:paraId="36F20FC4" w14:textId="740AAE0B" w:rsidR="00945E28" w:rsidRPr="00500A19" w:rsidRDefault="00945E28" w:rsidP="00945E28">
      <w:pPr>
        <w:pStyle w:val="enumlev1"/>
        <w:rPr>
          <w:lang w:eastAsia="ko-KR"/>
        </w:rPr>
      </w:pPr>
      <w:r w:rsidRPr="00500A19">
        <w:rPr>
          <w:lang w:eastAsia="ko-KR"/>
        </w:rPr>
        <w:t>1</w:t>
      </w:r>
      <w:r w:rsidRPr="00500A19">
        <w:rPr>
          <w:lang w:eastAsia="ko-KR"/>
        </w:rPr>
        <w:tab/>
        <w:t>разработка методики реализации настоящего Вопроса, в частности сбор данных и информации, касающихся текущего передового опыта в отношении того, как ИКТ могут способствовать сокращению общих объемов выбросов парниковых газов, включая выбросы самого сектора ИКТ, принимая во внимание прогресс, достигнутый в этом отношении МСЭ</w:t>
      </w:r>
      <w:r w:rsidR="0005555F" w:rsidRPr="00500A19">
        <w:rPr>
          <w:lang w:eastAsia="ko-KR"/>
        </w:rPr>
        <w:t>­</w:t>
      </w:r>
      <w:r w:rsidRPr="00500A19">
        <w:rPr>
          <w:lang w:eastAsia="ko-KR"/>
        </w:rPr>
        <w:t>Т и МСЭ-R;</w:t>
      </w:r>
    </w:p>
    <w:p w14:paraId="7F53A343" w14:textId="6AF4F884" w:rsidR="00945E28" w:rsidRPr="00500A19" w:rsidRDefault="0005555F" w:rsidP="00945E28">
      <w:pPr>
        <w:pStyle w:val="enumlev1"/>
        <w:rPr>
          <w:lang w:eastAsia="ko-KR"/>
        </w:rPr>
      </w:pPr>
      <w:r w:rsidRPr="00500A19">
        <w:rPr>
          <w:lang w:eastAsia="ko-KR"/>
        </w:rPr>
        <w:t>2</w:t>
      </w:r>
      <w:r w:rsidRPr="00500A19">
        <w:rPr>
          <w:lang w:eastAsia="ko-KR"/>
        </w:rPr>
        <w:tab/>
      </w:r>
      <w:r w:rsidR="00945E28" w:rsidRPr="00500A19">
        <w:rPr>
          <w:lang w:eastAsia="ko-KR"/>
        </w:rPr>
        <w:t>рассмотрение роли наблюдений Земли в изменении климата, как это определено в соответствии с выполнением Резолюции 673 (Пересм. ВКР-12) "Использование радиосвязи для применений наблюдения Земли", с тем чтобы повышать уровень знаний и понимания в развивающихся странах в области использования соответствующих приложений в связи с изменением климата и их преимуществ;</w:t>
      </w:r>
    </w:p>
    <w:p w14:paraId="46AB46C9" w14:textId="2F11E7C3" w:rsidR="00945E28" w:rsidRPr="00500A19" w:rsidRDefault="0005555F" w:rsidP="00945E28">
      <w:pPr>
        <w:pStyle w:val="enumlev1"/>
        <w:rPr>
          <w:lang w:eastAsia="ko-KR"/>
        </w:rPr>
      </w:pPr>
      <w:r w:rsidRPr="00500A19">
        <w:rPr>
          <w:lang w:eastAsia="ko-KR"/>
        </w:rPr>
        <w:t>3</w:t>
      </w:r>
      <w:r w:rsidRPr="00500A19">
        <w:rPr>
          <w:lang w:eastAsia="ko-KR"/>
        </w:rPr>
        <w:tab/>
      </w:r>
      <w:r w:rsidR="00945E28" w:rsidRPr="00500A19">
        <w:rPr>
          <w:lang w:eastAsia="ko-KR"/>
        </w:rPr>
        <w:t>разработка руководящих указаний на основе примеров передового опыта по выполнению соответствующих Рекомендаций, принятых МСЭ-Т в результате выполнения Резолюции 73 (Пересм. Женева, 2022 г.), в отношении мониторинга изменения климата и снижения воздействия изменения климата с использованием плана действий, изложенного в Резолюции 44 (Пересм. Женева, 2022 г.), в частности программ 1, 2, 3 и 4 этой Резолюции;</w:t>
      </w:r>
    </w:p>
    <w:p w14:paraId="33C77A31" w14:textId="3C86FB76" w:rsidR="00945E28" w:rsidRPr="00500A19" w:rsidRDefault="0005555F" w:rsidP="00945E28">
      <w:pPr>
        <w:pStyle w:val="enumlev1"/>
        <w:rPr>
          <w:lang w:eastAsia="ko-KR"/>
        </w:rPr>
      </w:pPr>
      <w:r w:rsidRPr="00500A19">
        <w:rPr>
          <w:lang w:eastAsia="ko-KR"/>
        </w:rPr>
        <w:t>4</w:t>
      </w:r>
      <w:r w:rsidRPr="00500A19">
        <w:rPr>
          <w:lang w:eastAsia="ko-KR"/>
        </w:rPr>
        <w:tab/>
      </w:r>
      <w:r w:rsidR="00945E28" w:rsidRPr="00500A19">
        <w:rPr>
          <w:lang w:eastAsia="ko-KR"/>
        </w:rPr>
        <w:t>стратегии развития ответственного подхода к проблеме отходов, связанных с электросвязью/ИКТ, и их комплексной обработки: меры в области политики и регулирования, которые требуется принять в развивающихся странах в тесном сотрудничестве с 5-й Исследовательской комиссией МСЭ-Т и Группой Докладчика по Вопросу C/2;</w:t>
      </w:r>
    </w:p>
    <w:p w14:paraId="06A7763B" w14:textId="71433AB5" w:rsidR="00945E28" w:rsidRPr="00500A19" w:rsidRDefault="0005555F" w:rsidP="00945E28">
      <w:pPr>
        <w:pStyle w:val="enumlev1"/>
        <w:rPr>
          <w:lang w:eastAsia="ko-KR"/>
        </w:rPr>
      </w:pPr>
      <w:r w:rsidRPr="00500A19">
        <w:t>5</w:t>
      </w:r>
      <w:r w:rsidRPr="00500A19">
        <w:tab/>
      </w:r>
      <w:r w:rsidR="00945E28" w:rsidRPr="00500A19">
        <w:t>роль ИКТ и передовых интеллектуальных технологий, таких как ИИ, в эффективном обращении с электронными отходами и в сокращении числа бедствий, связанных с изменением климата, например внезапных наводнений и масштабных пожаров (в сотрудничестве с Группами Докладчиков по Вопросам 3/1 и D/2);</w:t>
      </w:r>
    </w:p>
    <w:p w14:paraId="616F7366" w14:textId="70E2E07E" w:rsidR="00945E28" w:rsidRPr="00500A19" w:rsidRDefault="0005555F" w:rsidP="00945E28">
      <w:pPr>
        <w:pStyle w:val="enumlev1"/>
      </w:pPr>
      <w:r w:rsidRPr="00500A19">
        <w:rPr>
          <w:lang w:eastAsia="ko-KR"/>
        </w:rPr>
        <w:t>6</w:t>
      </w:r>
      <w:r w:rsidRPr="00500A19">
        <w:rPr>
          <w:lang w:eastAsia="ko-KR"/>
        </w:rPr>
        <w:tab/>
      </w:r>
      <w:r w:rsidR="00945E28" w:rsidRPr="00500A19">
        <w:rPr>
          <w:lang w:eastAsia="ko-KR"/>
        </w:rPr>
        <w:t>роль ИКТ в мониторинге и охране биоразнообразия во всем мире и, в частности, в местах, являющихся очагами биоразнообразия, где многообразие и богатство экосистем особенно</w:t>
      </w:r>
      <w:r w:rsidR="006C2BF9" w:rsidRPr="00500A19">
        <w:rPr>
          <w:lang w:eastAsia="ko-KR"/>
        </w:rPr>
        <w:t> </w:t>
      </w:r>
      <w:r w:rsidR="00945E28" w:rsidRPr="00500A19">
        <w:rPr>
          <w:lang w:eastAsia="ko-KR"/>
        </w:rPr>
        <w:t>велико;</w:t>
      </w:r>
    </w:p>
    <w:p w14:paraId="0BAAF237" w14:textId="6F7BAA7F" w:rsidR="00945E28" w:rsidRPr="00500A19" w:rsidRDefault="0005555F" w:rsidP="00945E28">
      <w:pPr>
        <w:pStyle w:val="enumlev1"/>
        <w:rPr>
          <w:lang w:eastAsia="ko-KR"/>
        </w:rPr>
      </w:pPr>
      <w:r w:rsidRPr="00500A19">
        <w:rPr>
          <w:lang w:eastAsia="ko-KR"/>
        </w:rPr>
        <w:t>7</w:t>
      </w:r>
      <w:r w:rsidRPr="00500A19">
        <w:rPr>
          <w:lang w:eastAsia="ko-KR"/>
        </w:rPr>
        <w:tab/>
      </w:r>
      <w:r w:rsidR="00945E28" w:rsidRPr="00500A19">
        <w:rPr>
          <w:lang w:eastAsia="ko-KR"/>
        </w:rPr>
        <w:t>сбор материалов по исследованиям конкретных ситуаций, определение извлеченных уроков и передового опыта, относящихся к воздействию электромагнитных полей на</w:t>
      </w:r>
      <w:r w:rsidR="006C2BF9" w:rsidRPr="00500A19">
        <w:rPr>
          <w:lang w:eastAsia="ko-KR"/>
        </w:rPr>
        <w:t> </w:t>
      </w:r>
      <w:r w:rsidR="00945E28" w:rsidRPr="00500A19">
        <w:rPr>
          <w:lang w:eastAsia="ko-KR"/>
        </w:rPr>
        <w:t>человека;</w:t>
      </w:r>
    </w:p>
    <w:p w14:paraId="381AD982" w14:textId="47725375" w:rsidR="00945E28" w:rsidRPr="00500A19" w:rsidRDefault="0005555F" w:rsidP="00945E28">
      <w:pPr>
        <w:pStyle w:val="enumlev1"/>
        <w:rPr>
          <w:lang w:eastAsia="ko-KR"/>
        </w:rPr>
      </w:pPr>
      <w:r w:rsidRPr="00500A19">
        <w:rPr>
          <w:lang w:eastAsia="ko-KR"/>
        </w:rPr>
        <w:lastRenderedPageBreak/>
        <w:t>8</w:t>
      </w:r>
      <w:r w:rsidRPr="00500A19">
        <w:rPr>
          <w:lang w:eastAsia="ko-KR"/>
        </w:rPr>
        <w:tab/>
      </w:r>
      <w:r w:rsidR="00945E28" w:rsidRPr="00500A19">
        <w:rPr>
          <w:lang w:eastAsia="ko-KR"/>
        </w:rPr>
        <w:t>изучение новых технологий беспроводной связи, передового опыта управления ЭМП, согласования стандартов и информирования о рисках при уделении первоочередного внимания следующим темам:</w:t>
      </w:r>
    </w:p>
    <w:p w14:paraId="79172C89" w14:textId="64216D7E" w:rsidR="00945E28" w:rsidRPr="00500A19" w:rsidRDefault="0005555F" w:rsidP="00945E28">
      <w:pPr>
        <w:pStyle w:val="enumlev2"/>
        <w:rPr>
          <w:lang w:eastAsia="ko-KR"/>
        </w:rPr>
      </w:pPr>
      <w:r w:rsidRPr="00500A19">
        <w:rPr>
          <w:lang w:eastAsia="ko-KR"/>
        </w:rPr>
        <w:sym w:font="Symbol" w:char="F02D"/>
      </w:r>
      <w:r w:rsidRPr="00500A19">
        <w:rPr>
          <w:lang w:eastAsia="ko-KR"/>
        </w:rPr>
        <w:tab/>
      </w:r>
      <w:r w:rsidR="00945E28" w:rsidRPr="00500A19">
        <w:rPr>
          <w:lang w:eastAsia="ko-KR"/>
        </w:rPr>
        <w:t>реагирование на недопонимание в отношении ЭМП;</w:t>
      </w:r>
    </w:p>
    <w:p w14:paraId="09147B95" w14:textId="5932410F" w:rsidR="00945E28" w:rsidRPr="00500A19" w:rsidRDefault="0005555F" w:rsidP="00945E28">
      <w:pPr>
        <w:pStyle w:val="enumlev2"/>
        <w:rPr>
          <w:lang w:eastAsia="ko-KR"/>
        </w:rPr>
      </w:pPr>
      <w:r w:rsidRPr="00500A19">
        <w:rPr>
          <w:lang w:eastAsia="ko-KR"/>
        </w:rPr>
        <w:sym w:font="Symbol" w:char="F02D"/>
      </w:r>
      <w:r w:rsidRPr="00500A19">
        <w:rPr>
          <w:lang w:eastAsia="ko-KR"/>
        </w:rPr>
        <w:tab/>
      </w:r>
      <w:r w:rsidR="00945E28" w:rsidRPr="00500A19">
        <w:rPr>
          <w:lang w:eastAsia="ko-KR"/>
        </w:rPr>
        <w:t>воздействие в соответствии с новыми сценариями ЭМП;</w:t>
      </w:r>
    </w:p>
    <w:p w14:paraId="71D5C7B0" w14:textId="77F6C14D" w:rsidR="00945E28" w:rsidRPr="00500A19" w:rsidRDefault="0005555F" w:rsidP="00945E28">
      <w:pPr>
        <w:pStyle w:val="enumlev2"/>
        <w:rPr>
          <w:lang w:eastAsia="ko-KR"/>
        </w:rPr>
      </w:pPr>
      <w:r w:rsidRPr="00500A19">
        <w:rPr>
          <w:lang w:eastAsia="ko-KR"/>
        </w:rPr>
        <w:sym w:font="Symbol" w:char="F02D"/>
      </w:r>
      <w:r w:rsidRPr="00500A19">
        <w:rPr>
          <w:lang w:eastAsia="ko-KR"/>
        </w:rPr>
        <w:tab/>
      </w:r>
      <w:r w:rsidR="00945E28" w:rsidRPr="00500A19">
        <w:rPr>
          <w:lang w:eastAsia="ko-KR"/>
        </w:rPr>
        <w:t>изучение внедрения предельно допустимых уровней воздействия на основе широкого спектра исследований конкретных ситуаций по странам, в том числе на основе Руководящих принципов МКЗНИ (2020 г.);</w:t>
      </w:r>
    </w:p>
    <w:p w14:paraId="315A8C7F" w14:textId="5062938B" w:rsidR="00945E28" w:rsidRPr="00500A19" w:rsidRDefault="0005555F" w:rsidP="00945E28">
      <w:pPr>
        <w:pStyle w:val="enumlev2"/>
        <w:rPr>
          <w:lang w:eastAsia="ko-KR"/>
        </w:rPr>
      </w:pPr>
      <w:r w:rsidRPr="00500A19">
        <w:rPr>
          <w:lang w:eastAsia="ko-KR"/>
        </w:rPr>
        <w:sym w:font="Symbol" w:char="F02D"/>
      </w:r>
      <w:r w:rsidRPr="00500A19">
        <w:rPr>
          <w:lang w:eastAsia="ko-KR"/>
        </w:rPr>
        <w:tab/>
      </w:r>
      <w:r w:rsidR="00945E28" w:rsidRPr="00500A19">
        <w:rPr>
          <w:lang w:eastAsia="ko-KR"/>
        </w:rPr>
        <w:t>аспекты ЭМП в связи с новыми методами развертывания оборудования беспроводной связи;</w:t>
      </w:r>
    </w:p>
    <w:p w14:paraId="79CCAACA" w14:textId="70C31CFA" w:rsidR="00945E28" w:rsidRPr="00500A19" w:rsidRDefault="0005555F" w:rsidP="00945E28">
      <w:pPr>
        <w:pStyle w:val="enumlev2"/>
        <w:rPr>
          <w:lang w:eastAsia="ko-KR"/>
        </w:rPr>
      </w:pPr>
      <w:r w:rsidRPr="00500A19">
        <w:rPr>
          <w:lang w:eastAsia="ko-KR"/>
        </w:rPr>
        <w:sym w:font="Symbol" w:char="F02D"/>
      </w:r>
      <w:r w:rsidRPr="00500A19">
        <w:rPr>
          <w:lang w:eastAsia="ko-KR"/>
        </w:rPr>
        <w:tab/>
      </w:r>
      <w:r w:rsidR="00945E28" w:rsidRPr="00500A19">
        <w:rPr>
          <w:lang w:eastAsia="ko-KR"/>
        </w:rPr>
        <w:t>ЭМП 5G;</w:t>
      </w:r>
    </w:p>
    <w:p w14:paraId="3BC1129A" w14:textId="083B88BA" w:rsidR="00945E28" w:rsidRPr="00500A19" w:rsidRDefault="0005555F" w:rsidP="00945E28">
      <w:pPr>
        <w:pStyle w:val="enumlev2"/>
        <w:rPr>
          <w:lang w:eastAsia="ko-KR"/>
        </w:rPr>
      </w:pPr>
      <w:r w:rsidRPr="00500A19">
        <w:rPr>
          <w:lang w:eastAsia="ko-KR"/>
        </w:rPr>
        <w:sym w:font="Symbol" w:char="F02D"/>
      </w:r>
      <w:r w:rsidRPr="00500A19">
        <w:rPr>
          <w:lang w:eastAsia="ko-KR"/>
        </w:rPr>
        <w:tab/>
      </w:r>
      <w:r w:rsidR="00945E28" w:rsidRPr="00500A19">
        <w:rPr>
          <w:lang w:eastAsia="ko-KR"/>
        </w:rPr>
        <w:t>ЭМП в воздушном пространстве на низких высотах и ЭМП беспилотных летательных аппаратов;</w:t>
      </w:r>
    </w:p>
    <w:p w14:paraId="78F3644D" w14:textId="6EF8FC3E" w:rsidR="00945E28" w:rsidRPr="00500A19" w:rsidRDefault="0005555F" w:rsidP="00945E28">
      <w:pPr>
        <w:pStyle w:val="enumlev2"/>
        <w:rPr>
          <w:lang w:eastAsia="ko-KR"/>
        </w:rPr>
      </w:pPr>
      <w:r w:rsidRPr="00500A19">
        <w:rPr>
          <w:lang w:eastAsia="ko-KR"/>
        </w:rPr>
        <w:sym w:font="Symbol" w:char="F02D"/>
      </w:r>
      <w:r w:rsidRPr="00500A19">
        <w:rPr>
          <w:lang w:eastAsia="ko-KR"/>
        </w:rPr>
        <w:tab/>
      </w:r>
      <w:r w:rsidR="00945E28" w:rsidRPr="00500A19">
        <w:rPr>
          <w:lang w:eastAsia="ko-KR"/>
        </w:rPr>
        <w:t>ИИ в оценке ЭМП (в сотрудничестве с Группой Докладчика по Вопросу D/2);</w:t>
      </w:r>
    </w:p>
    <w:p w14:paraId="2C5BCD51" w14:textId="60F1CAF6" w:rsidR="00945E28" w:rsidRPr="00500A19" w:rsidRDefault="0005555F" w:rsidP="00945E28">
      <w:pPr>
        <w:pStyle w:val="enumlev2"/>
        <w:rPr>
          <w:lang w:eastAsia="ko-KR"/>
        </w:rPr>
      </w:pPr>
      <w:r w:rsidRPr="00500A19">
        <w:rPr>
          <w:lang w:eastAsia="ko-KR"/>
        </w:rPr>
        <w:sym w:font="Symbol" w:char="F02D"/>
      </w:r>
      <w:r w:rsidRPr="00500A19">
        <w:rPr>
          <w:lang w:eastAsia="ko-KR"/>
        </w:rPr>
        <w:tab/>
      </w:r>
      <w:r w:rsidR="00945E28" w:rsidRPr="00500A19">
        <w:rPr>
          <w:lang w:eastAsia="ko-KR"/>
        </w:rPr>
        <w:t>ЭМП "умных" портативных устройств.</w:t>
      </w:r>
    </w:p>
    <w:p w14:paraId="35B2E58D" w14:textId="0396A40D" w:rsidR="00945E28" w:rsidRPr="00500A19" w:rsidRDefault="00945E28" w:rsidP="45F85149">
      <w:pPr>
        <w:overflowPunct/>
        <w:autoSpaceDE/>
        <w:autoSpaceDN/>
        <w:spacing w:after="120"/>
        <w:rPr>
          <w:rFonts w:eastAsia="Malgun Gothic" w:cstheme="minorBidi"/>
          <w:b/>
          <w:bCs/>
          <w:kern w:val="2"/>
          <w:lang w:eastAsia="ko-KR"/>
          <w14:ligatures w14:val="standardContextual"/>
        </w:rPr>
      </w:pPr>
      <w:r w:rsidRPr="00500A19">
        <w:rPr>
          <w:rFonts w:eastAsia="Malgun Gothic" w:cstheme="minorBidi"/>
          <w:b/>
          <w:bCs/>
          <w:kern w:val="2"/>
          <w:lang w:eastAsia="ko-KR"/>
          <w14:ligatures w14:val="standardContextual"/>
        </w:rPr>
        <w:t>ВОПРОС 3/2</w:t>
      </w:r>
      <w:r w:rsidR="0005555F" w:rsidRPr="00500A19">
        <w:rPr>
          <w:rFonts w:eastAsia="Malgun Gothic" w:cstheme="minorBidi"/>
          <w:b/>
          <w:bCs/>
          <w:kern w:val="2"/>
          <w:lang w:eastAsia="ko-KR"/>
          <w14:ligatures w14:val="standardContextual"/>
        </w:rPr>
        <w:t xml:space="preserve">: </w:t>
      </w:r>
      <w:r w:rsidRPr="00500A19">
        <w:rPr>
          <w:rFonts w:eastAsia="Malgun Gothic" w:cstheme="minorBidi"/>
          <w:b/>
          <w:bCs/>
          <w:kern w:val="2"/>
          <w:lang w:eastAsia="ko-KR"/>
          <w14:ligatures w14:val="standardContextual"/>
        </w:rPr>
        <w:t>Защищенность сетей информации и связи: передовой опыт по созданию культуры кибербезопасности в секторе электросвязи/ИКТ</w:t>
      </w:r>
    </w:p>
    <w:p w14:paraId="2B1D10A4" w14:textId="09451AC2" w:rsidR="00945E28" w:rsidRPr="00500A19" w:rsidRDefault="0005555F" w:rsidP="0005555F">
      <w:pPr>
        <w:pStyle w:val="Headingb"/>
        <w:rPr>
          <w:lang w:val="ru-RU" w:eastAsia="ko-KR"/>
        </w:rPr>
      </w:pPr>
      <w:r w:rsidRPr="00500A19">
        <w:rPr>
          <w:lang w:val="ru-RU" w:eastAsia="ko-KR"/>
        </w:rPr>
        <w:t>1</w:t>
      </w:r>
      <w:r w:rsidRPr="00500A19">
        <w:rPr>
          <w:lang w:val="ru-RU" w:eastAsia="ko-KR"/>
        </w:rPr>
        <w:tab/>
      </w:r>
      <w:r w:rsidR="00945E28" w:rsidRPr="00500A19">
        <w:rPr>
          <w:lang w:val="ru-RU" w:eastAsia="ko-KR"/>
        </w:rPr>
        <w:t>Изложение ситуации или проблемы</w:t>
      </w:r>
    </w:p>
    <w:p w14:paraId="151422D2" w14:textId="2A35C0C7" w:rsidR="00945E28" w:rsidRPr="00500A19" w:rsidRDefault="00945E28" w:rsidP="0005555F">
      <w:pPr>
        <w:rPr>
          <w:lang w:eastAsia="ko-KR"/>
        </w:rPr>
      </w:pPr>
      <w:r w:rsidRPr="00500A19">
        <w:rPr>
          <w:lang w:eastAsia="ko-KR"/>
        </w:rPr>
        <w:t>Использование электросвязи и информационно-коммуникационных технологий (ИКТ) неоценимо для стимулирования развития и социально-экономического роста на глобальном уровне. Однако, несмотря на все преимущества и возможности использования, которые обеспечивают эти технологи, существуют также риски и угрозы в области безопасности.</w:t>
      </w:r>
    </w:p>
    <w:p w14:paraId="40889174" w14:textId="77777777" w:rsidR="00945E28" w:rsidRPr="00500A19" w:rsidRDefault="00945E28" w:rsidP="0005555F">
      <w:pPr>
        <w:rPr>
          <w:lang w:eastAsia="ko-KR"/>
        </w:rPr>
      </w:pPr>
      <w:r w:rsidRPr="00500A19">
        <w:rPr>
          <w:lang w:eastAsia="ko-KR"/>
        </w:rPr>
        <w:t>Управление всеми транзакциями – от личных финансовых средств до бизнес-операций, от критической национальной инфраструктуры до базовых услуг и услуг частного сектора – все в большей степени осуществляется через информационно-коммуникационные сети, делая их более уязвимыми к определенным видам атак.</w:t>
      </w:r>
    </w:p>
    <w:p w14:paraId="5240EDB3" w14:textId="77777777" w:rsidR="00945E28" w:rsidRPr="00500A19" w:rsidRDefault="00945E28" w:rsidP="0005555F">
      <w:pPr>
        <w:rPr>
          <w:lang w:eastAsia="ko-KR"/>
        </w:rPr>
      </w:pPr>
      <w:r w:rsidRPr="00500A19">
        <w:rPr>
          <w:lang w:eastAsia="ko-KR"/>
        </w:rPr>
        <w:t>Для того чтобы укрепить доверие при использовании и применении электросвязи/ИКТ в отношении всех типов приложений и контента, особенно тех, которые характеризуются значительным положительным влиянием на социально-экономические аспекты, где все субъекты воздействуют на защиту личных данных, безопасность сетей и их фактических пользователей, необходимо тесное сотрудничество между национальными органами и иностранными ведомствами, отраслью, академическими организациями и пользователями.</w:t>
      </w:r>
    </w:p>
    <w:p w14:paraId="1FEBCEB6" w14:textId="5EDDCAC0" w:rsidR="00945E28" w:rsidRPr="00500A19" w:rsidRDefault="00945E28" w:rsidP="0005555F">
      <w:pPr>
        <w:rPr>
          <w:lang w:eastAsia="ko-KR"/>
        </w:rPr>
      </w:pPr>
      <w:r w:rsidRPr="00500A19">
        <w:rPr>
          <w:lang w:eastAsia="ko-KR"/>
        </w:rPr>
        <w:t>С учетом вышесказанного, в современном мире обеспечение защиты сетей информации и связи и создание культуры кибербезопасности приобрели важнейшее значение вследствие многих причин, в</w:t>
      </w:r>
      <w:r w:rsidR="0005555F" w:rsidRPr="00500A19">
        <w:rPr>
          <w:lang w:eastAsia="ko-KR"/>
        </w:rPr>
        <w:t> </w:t>
      </w:r>
      <w:r w:rsidRPr="00500A19">
        <w:rPr>
          <w:lang w:eastAsia="ko-KR"/>
        </w:rPr>
        <w:t>том числе:</w:t>
      </w:r>
    </w:p>
    <w:p w14:paraId="3465D810" w14:textId="45DC68DA" w:rsidR="00945E28" w:rsidRPr="00500A19" w:rsidRDefault="0005555F" w:rsidP="0005555F">
      <w:pPr>
        <w:pStyle w:val="enumlev1"/>
        <w:rPr>
          <w:lang w:eastAsia="ko-KR"/>
        </w:rPr>
      </w:pPr>
      <w:r w:rsidRPr="00500A19">
        <w:rPr>
          <w:lang w:eastAsia="ko-KR"/>
        </w:rPr>
        <w:t>a</w:t>
      </w:r>
      <w:r w:rsidRPr="00500A19">
        <w:rPr>
          <w:lang w:eastAsia="ko-KR"/>
        </w:rPr>
        <w:tab/>
      </w:r>
      <w:r w:rsidR="00945E28" w:rsidRPr="00500A19">
        <w:rPr>
          <w:lang w:eastAsia="ko-KR"/>
        </w:rPr>
        <w:t>взрывного роста масштабов развертывания и использования ИКТ;</w:t>
      </w:r>
    </w:p>
    <w:p w14:paraId="421E9D47" w14:textId="694A6B7F" w:rsidR="00945E28" w:rsidRPr="00500A19" w:rsidRDefault="0005555F" w:rsidP="0005555F">
      <w:pPr>
        <w:pStyle w:val="enumlev1"/>
        <w:rPr>
          <w:lang w:eastAsia="ko-KR"/>
        </w:rPr>
      </w:pPr>
      <w:r w:rsidRPr="00500A19">
        <w:rPr>
          <w:lang w:eastAsia="ko-KR"/>
        </w:rPr>
        <w:t>b</w:t>
      </w:r>
      <w:r w:rsidRPr="00500A19">
        <w:rPr>
          <w:lang w:eastAsia="ko-KR"/>
        </w:rPr>
        <w:tab/>
      </w:r>
      <w:r w:rsidR="00945E28" w:rsidRPr="00500A19">
        <w:rPr>
          <w:lang w:eastAsia="ko-KR"/>
        </w:rPr>
        <w:t>того, что кибербезопасность остается предметом всеобщей обеспокоенности и, таким образом, существует необходимость в оказании содействия странам, особенно развивающимся странам</w:t>
      </w:r>
      <w:r w:rsidR="00945E28" w:rsidRPr="00500A19">
        <w:rPr>
          <w:rStyle w:val="FootnoteReference"/>
          <w:rFonts w:eastAsia="Malgun Gothic" w:cstheme="minorBidi"/>
          <w:kern w:val="2"/>
          <w:lang w:eastAsia="ko-KR"/>
          <w14:ligatures w14:val="standardContextual"/>
        </w:rPr>
        <w:footnoteReference w:id="21"/>
      </w:r>
      <w:r w:rsidR="00945E28" w:rsidRPr="00500A19">
        <w:rPr>
          <w:lang w:eastAsia="ko-KR"/>
        </w:rPr>
        <w:t>, в обеспечении защиты их сетей электросвязи/ИКТ от кибератак и киберугроз;</w:t>
      </w:r>
    </w:p>
    <w:p w14:paraId="2B8480DD" w14:textId="268AFB1A" w:rsidR="00945E28" w:rsidRPr="00500A19" w:rsidRDefault="0005555F" w:rsidP="0005555F">
      <w:pPr>
        <w:pStyle w:val="enumlev1"/>
        <w:rPr>
          <w:lang w:eastAsia="ko-KR"/>
        </w:rPr>
      </w:pPr>
      <w:r w:rsidRPr="00500A19">
        <w:rPr>
          <w:lang w:eastAsia="ko-KR"/>
        </w:rPr>
        <w:t>c</w:t>
      </w:r>
      <w:r w:rsidRPr="00500A19">
        <w:rPr>
          <w:lang w:eastAsia="ko-KR"/>
        </w:rPr>
        <w:tab/>
      </w:r>
      <w:r w:rsidR="00945E28" w:rsidRPr="00500A19">
        <w:rPr>
          <w:lang w:eastAsia="ko-KR"/>
        </w:rPr>
        <w:t>необходимости стремиться к обеспечению безопасности этих глобально сопряженных инфраструктур для реализации потенциала информационного общества;</w:t>
      </w:r>
    </w:p>
    <w:p w14:paraId="1550707C" w14:textId="0BD647A8" w:rsidR="00945E28" w:rsidRPr="00500A19" w:rsidRDefault="0005555F" w:rsidP="0005555F">
      <w:pPr>
        <w:pStyle w:val="enumlev1"/>
        <w:rPr>
          <w:lang w:eastAsia="ko-KR"/>
        </w:rPr>
      </w:pPr>
      <w:r w:rsidRPr="00500A19">
        <w:rPr>
          <w:lang w:eastAsia="ko-KR"/>
        </w:rPr>
        <w:lastRenderedPageBreak/>
        <w:t>d</w:t>
      </w:r>
      <w:r w:rsidRPr="00500A19">
        <w:rPr>
          <w:lang w:eastAsia="ko-KR"/>
        </w:rPr>
        <w:tab/>
      </w:r>
      <w:r w:rsidR="00945E28" w:rsidRPr="00500A19">
        <w:rPr>
          <w:lang w:eastAsia="ko-KR"/>
        </w:rPr>
        <w:t>расширяющегося признания на национальном, региональном и международном уровнях необходимости в разработке и содействии распространению примеров передового опыта, стандартов и технических руководств, а также процедур для снижения уязвимости сетей на базе ИКТ и числа угроз для таких сетей;</w:t>
      </w:r>
    </w:p>
    <w:p w14:paraId="49F8027D" w14:textId="1029F09D" w:rsidR="00945E28" w:rsidRPr="00500A19" w:rsidRDefault="0005555F" w:rsidP="0005555F">
      <w:pPr>
        <w:pStyle w:val="enumlev1"/>
        <w:rPr>
          <w:lang w:eastAsia="ko-KR"/>
        </w:rPr>
      </w:pPr>
      <w:r w:rsidRPr="00500A19">
        <w:rPr>
          <w:lang w:eastAsia="ko-KR"/>
        </w:rPr>
        <w:t>e</w:t>
      </w:r>
      <w:r w:rsidRPr="00500A19">
        <w:rPr>
          <w:lang w:eastAsia="ko-KR"/>
        </w:rPr>
        <w:tab/>
      </w:r>
      <w:r w:rsidR="00945E28" w:rsidRPr="00500A19">
        <w:rPr>
          <w:lang w:eastAsia="ko-KR"/>
        </w:rPr>
        <w:t>необходимости национальных действий, регионального и международного сотрудничества для формирования глобальной культуры кибербезопасности, что включает координацию на национальном уровне, соответствующую национальную правовую инфраструктуру, наличие средств слежения, оповещения и восстановления, партнерские отношения между правительством/отраслью, а также просветительскую работу с гражданским обществом и потребителями;</w:t>
      </w:r>
    </w:p>
    <w:p w14:paraId="4A844D27" w14:textId="10DD3FED" w:rsidR="00945E28" w:rsidRPr="00500A19" w:rsidRDefault="0005555F" w:rsidP="0005555F">
      <w:pPr>
        <w:pStyle w:val="enumlev1"/>
        <w:rPr>
          <w:lang w:eastAsia="ko-KR"/>
        </w:rPr>
      </w:pPr>
      <w:r w:rsidRPr="00500A19">
        <w:rPr>
          <w:lang w:eastAsia="ko-KR"/>
        </w:rPr>
        <w:t>f</w:t>
      </w:r>
      <w:r w:rsidRPr="00500A19">
        <w:rPr>
          <w:lang w:eastAsia="ko-KR"/>
        </w:rPr>
        <w:tab/>
      </w:r>
      <w:r w:rsidR="00945E28" w:rsidRPr="00500A19">
        <w:rPr>
          <w:lang w:eastAsia="ko-KR"/>
        </w:rPr>
        <w:t>потребности в подходе, предусматривающем участие многих заинтересованных сторон, в целях эффективного использования всего диапазона имеющихся инструментов для укрепления доверия при использовании сетей на базе ИКТ;</w:t>
      </w:r>
    </w:p>
    <w:p w14:paraId="50909F8B" w14:textId="3B8E599E" w:rsidR="00945E28" w:rsidRPr="00500A19" w:rsidRDefault="0005555F" w:rsidP="0005555F">
      <w:pPr>
        <w:pStyle w:val="enumlev1"/>
        <w:rPr>
          <w:lang w:eastAsia="ko-KR"/>
        </w:rPr>
      </w:pPr>
      <w:r w:rsidRPr="00500A19">
        <w:rPr>
          <w:lang w:eastAsia="ko-KR"/>
        </w:rPr>
        <w:t>g</w:t>
      </w:r>
      <w:r w:rsidRPr="00500A19">
        <w:rPr>
          <w:lang w:eastAsia="ko-KR"/>
        </w:rPr>
        <w:tab/>
      </w:r>
      <w:r w:rsidR="00945E28" w:rsidRPr="00500A19">
        <w:rPr>
          <w:lang w:eastAsia="ko-KR"/>
        </w:rPr>
        <w:t>того, что в резолюции 57/239 Генеральной Ассамблеи Организации Объединенных Наций (ГА ООН) "Создание глобальной культуры кибербезопасности" государствам-членам предлагается обеспечивать "развитие у себя в обществе культуры кибербезопасности при применении и использовании информационных технологий";</w:t>
      </w:r>
    </w:p>
    <w:p w14:paraId="5745712F" w14:textId="21E9E3D9" w:rsidR="00945E28" w:rsidRPr="00500A19" w:rsidRDefault="0005555F" w:rsidP="0005555F">
      <w:pPr>
        <w:pStyle w:val="enumlev1"/>
        <w:rPr>
          <w:lang w:eastAsia="ko-KR"/>
        </w:rPr>
      </w:pPr>
      <w:r w:rsidRPr="00500A19">
        <w:rPr>
          <w:lang w:eastAsia="ko-KR"/>
        </w:rPr>
        <w:t>h</w:t>
      </w:r>
      <w:r w:rsidRPr="00500A19">
        <w:rPr>
          <w:lang w:eastAsia="ko-KR"/>
        </w:rPr>
        <w:tab/>
      </w:r>
      <w:r w:rsidR="00945E28" w:rsidRPr="00500A19">
        <w:rPr>
          <w:lang w:eastAsia="ko-KR"/>
        </w:rPr>
        <w:t>того, что в резолюциях 68/167, 69/166 и 71/199 ГА ООН о праве на неприкосновенность личной жизни в цифровой век подтверждается, "что те же права, которые человек имеет в офлайновой среде, должны также защищаться и в онлайновой среде, включая право на неприкосновенность личной жизни";</w:t>
      </w:r>
    </w:p>
    <w:p w14:paraId="1E14022D" w14:textId="5C71CB76" w:rsidR="00945E28" w:rsidRPr="00500A19" w:rsidRDefault="0005555F" w:rsidP="0005555F">
      <w:pPr>
        <w:pStyle w:val="enumlev1"/>
        <w:rPr>
          <w:lang w:eastAsia="ko-KR"/>
        </w:rPr>
      </w:pPr>
      <w:r w:rsidRPr="00500A19">
        <w:rPr>
          <w:lang w:eastAsia="ko-KR"/>
        </w:rPr>
        <w:t>i</w:t>
      </w:r>
      <w:r w:rsidRPr="00500A19">
        <w:rPr>
          <w:lang w:eastAsia="ko-KR"/>
        </w:rPr>
        <w:tab/>
      </w:r>
      <w:r w:rsidR="00945E28" w:rsidRPr="00500A19">
        <w:rPr>
          <w:lang w:eastAsia="ko-KR"/>
        </w:rPr>
        <w:t>того, что передовой опыт в области обеспечения кибербезопасности должен защищать и уважать права на неприкосновенность частной жизни и свободу волеизъявления, содержащиеся в соответствующих частях Всеобщей декларации прав человека, Женевской декларации принципов, принятой Всемирной встречей на высшем уровне по вопросам информационного общества (ВВУИО), и других соответствующих международных документах о правах человека;</w:t>
      </w:r>
    </w:p>
    <w:p w14:paraId="00A4339F" w14:textId="0F1BE916" w:rsidR="00945E28" w:rsidRPr="00500A19" w:rsidRDefault="0005555F" w:rsidP="0005555F">
      <w:pPr>
        <w:pStyle w:val="enumlev1"/>
        <w:rPr>
          <w:lang w:eastAsia="ko-KR"/>
        </w:rPr>
      </w:pPr>
      <w:r w:rsidRPr="00500A19">
        <w:rPr>
          <w:lang w:eastAsia="ko-KR"/>
        </w:rPr>
        <w:t>j</w:t>
      </w:r>
      <w:r w:rsidRPr="00500A19">
        <w:rPr>
          <w:lang w:eastAsia="ko-KR"/>
        </w:rPr>
        <w:tab/>
      </w:r>
      <w:r w:rsidR="00945E28" w:rsidRPr="00500A19">
        <w:rPr>
          <w:lang w:eastAsia="ko-KR"/>
        </w:rPr>
        <w:t>того, что в Женевской декларации принципов ВВУИО указывается, что "необходимо формировать, развивать и внедрять глобальную культуру кибербезопасности в сотрудничестве со всеми заинтересованными сторонами и компетентными международными организациями", а в Женевском плане действий поощряется обмен примерами передового опыта и принятие необходимых мер для защиты от спама на национальном и международном уровнях, в то время как в Тунисской программе для информационного общества подтверждается необходимость глобальной культуры кибербезопасности, в частности в Направлении деятельности С5 (Укрепление доверия и безопасности при использовании ИКТ);</w:t>
      </w:r>
    </w:p>
    <w:p w14:paraId="365D01E0" w14:textId="7EAE056D" w:rsidR="00945E28" w:rsidRPr="00500A19" w:rsidRDefault="0005555F" w:rsidP="0005555F">
      <w:pPr>
        <w:pStyle w:val="enumlev1"/>
        <w:rPr>
          <w:lang w:eastAsia="ko-KR"/>
        </w:rPr>
      </w:pPr>
      <w:r w:rsidRPr="00500A19">
        <w:rPr>
          <w:lang w:eastAsia="ko-KR"/>
        </w:rPr>
        <w:t>k</w:t>
      </w:r>
      <w:r w:rsidRPr="00500A19">
        <w:rPr>
          <w:lang w:eastAsia="ko-KR"/>
        </w:rPr>
        <w:tab/>
      </w:r>
      <w:r w:rsidR="00945E28" w:rsidRPr="00500A19">
        <w:rPr>
          <w:lang w:eastAsia="ko-KR"/>
        </w:rPr>
        <w:t>того, что в программе по выполнению решений ВВУИО и последующей деятельности в связи с ВВУИО, состоявшейся в Тунисе в 2005 году, МСЭ предлагается стать основной содействующей/ведущей организацией для Направления деятельности С5 (Укрепление доверия и безопасности при использовании ИКТ), и что Полномочной конференцией, Всемирной ассамблеей по стандартизации электросвязи (ВАСЭ) и Всемирной конференцией по развитию электросвязи (ВКРЭ) были приняты соответствующие</w:t>
      </w:r>
      <w:r w:rsidRPr="00500A19">
        <w:rPr>
          <w:lang w:eastAsia="ko-KR"/>
        </w:rPr>
        <w:t> </w:t>
      </w:r>
      <w:r w:rsidR="00945E28" w:rsidRPr="00500A19">
        <w:rPr>
          <w:lang w:eastAsia="ko-KR"/>
        </w:rPr>
        <w:t>Резолюции;</w:t>
      </w:r>
    </w:p>
    <w:p w14:paraId="291DC12C" w14:textId="784914DF" w:rsidR="00945E28" w:rsidRPr="00500A19" w:rsidRDefault="0005555F" w:rsidP="0005555F">
      <w:pPr>
        <w:pStyle w:val="enumlev1"/>
        <w:rPr>
          <w:lang w:eastAsia="ko-KR"/>
        </w:rPr>
      </w:pPr>
      <w:r w:rsidRPr="00500A19">
        <w:rPr>
          <w:lang w:eastAsia="ko-KR"/>
        </w:rPr>
        <w:t>l</w:t>
      </w:r>
      <w:r w:rsidRPr="00500A19">
        <w:rPr>
          <w:lang w:eastAsia="ko-KR"/>
        </w:rPr>
        <w:tab/>
      </w:r>
      <w:r w:rsidR="00945E28" w:rsidRPr="00500A19">
        <w:rPr>
          <w:lang w:eastAsia="ko-KR"/>
        </w:rPr>
        <w:t>резолюции 70/125 ГА ООН, в которой принят итоговый документ совещания высокого уровня Генеральной Ассамблеи, посвященного общему обзору хода осуществления решений ВВУИО;</w:t>
      </w:r>
    </w:p>
    <w:p w14:paraId="75888F45" w14:textId="11A3F1CE" w:rsidR="00945E28" w:rsidRPr="00500A19" w:rsidRDefault="0005555F" w:rsidP="0005555F">
      <w:pPr>
        <w:pStyle w:val="enumlev1"/>
        <w:rPr>
          <w:lang w:eastAsia="ko-KR"/>
        </w:rPr>
      </w:pPr>
      <w:r w:rsidRPr="00500A19">
        <w:rPr>
          <w:lang w:eastAsia="ko-KR"/>
        </w:rPr>
        <w:t>m</w:t>
      </w:r>
      <w:r w:rsidRPr="00500A19">
        <w:rPr>
          <w:lang w:eastAsia="ko-KR"/>
        </w:rPr>
        <w:tab/>
        <w:t xml:space="preserve">заявления </w:t>
      </w:r>
      <w:r w:rsidR="00945E28" w:rsidRPr="00500A19">
        <w:rPr>
          <w:lang w:eastAsia="ko-KR"/>
        </w:rPr>
        <w:t xml:space="preserve">ВВУИО+10 о выполнении решений ВВУИО и разработанной ВВУИО+10 Концепции ВВУИО на период после 2015 года, принятых на координировавшемся МСЭ мероприятии высокого уровня ВВУИО+10 (Женева, 2014 г.) и одобренных Полномочной </w:t>
      </w:r>
      <w:r w:rsidR="00945E28" w:rsidRPr="00500A19">
        <w:rPr>
          <w:lang w:eastAsia="ko-KR"/>
        </w:rPr>
        <w:lastRenderedPageBreak/>
        <w:t>конференцией (Пусан, 2014 г.), которые были представлены в качестве вклада в проведенный ГА ООН Общий обзор выполнения решений ВВУИО;</w:t>
      </w:r>
    </w:p>
    <w:p w14:paraId="12ED458D" w14:textId="232FB262" w:rsidR="00945E28" w:rsidRPr="00500A19" w:rsidRDefault="0005555F" w:rsidP="0005555F">
      <w:pPr>
        <w:pStyle w:val="enumlev1"/>
        <w:rPr>
          <w:lang w:eastAsia="ko-KR"/>
        </w:rPr>
      </w:pPr>
      <w:r w:rsidRPr="00500A19">
        <w:rPr>
          <w:lang w:eastAsia="ko-KR"/>
        </w:rPr>
        <w:t>n</w:t>
      </w:r>
      <w:r w:rsidRPr="00500A19">
        <w:rPr>
          <w:lang w:eastAsia="ko-KR"/>
        </w:rPr>
        <w:tab/>
      </w:r>
      <w:r w:rsidR="00945E28" w:rsidRPr="00500A19">
        <w:rPr>
          <w:lang w:eastAsia="ko-KR"/>
        </w:rPr>
        <w:t>того, что в Резолюции 45 (Пересм. Кигали, 2022 г.) ВКРЭ высказывается поддержка повышению кибербезопасности в заинтересованных Государствах − Членах Союза;</w:t>
      </w:r>
    </w:p>
    <w:p w14:paraId="3391F2E3" w14:textId="7E5B4367" w:rsidR="00945E28" w:rsidRPr="00500A19" w:rsidRDefault="0005555F" w:rsidP="0005555F">
      <w:pPr>
        <w:pStyle w:val="enumlev1"/>
        <w:rPr>
          <w:lang w:eastAsia="ko-KR"/>
        </w:rPr>
      </w:pPr>
      <w:r w:rsidRPr="00500A19">
        <w:rPr>
          <w:lang w:eastAsia="ko-KR"/>
        </w:rPr>
        <w:t>o</w:t>
      </w:r>
      <w:r w:rsidRPr="00500A19">
        <w:rPr>
          <w:lang w:eastAsia="ko-KR"/>
        </w:rPr>
        <w:tab/>
      </w:r>
      <w:r w:rsidR="00945E28" w:rsidRPr="00500A19">
        <w:rPr>
          <w:lang w:eastAsia="ko-KR"/>
        </w:rPr>
        <w:t>того, что в Резолюции 130 (Пересм. Бухарест, 2022 г.) Полномочной конференции содержится решение продолжать содействие выработке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 региональном и международном</w:t>
      </w:r>
      <w:r w:rsidRPr="00500A19">
        <w:rPr>
          <w:lang w:eastAsia="ko-KR"/>
        </w:rPr>
        <w:t> </w:t>
      </w:r>
      <w:r w:rsidR="00945E28" w:rsidRPr="00500A19">
        <w:rPr>
          <w:lang w:eastAsia="ko-KR"/>
        </w:rPr>
        <w:t>уровнях;</w:t>
      </w:r>
    </w:p>
    <w:p w14:paraId="011FBEF1" w14:textId="1C16CD29" w:rsidR="00945E28" w:rsidRPr="00500A19" w:rsidRDefault="0005555F" w:rsidP="0005555F">
      <w:pPr>
        <w:pStyle w:val="enumlev1"/>
        <w:rPr>
          <w:lang w:eastAsia="ko-KR"/>
        </w:rPr>
      </w:pPr>
      <w:r w:rsidRPr="00500A19">
        <w:rPr>
          <w:lang w:eastAsia="ko-KR"/>
        </w:rPr>
        <w:t>p</w:t>
      </w:r>
      <w:r w:rsidRPr="00500A19">
        <w:rPr>
          <w:lang w:eastAsia="ko-KR"/>
        </w:rPr>
        <w:tab/>
      </w:r>
      <w:r w:rsidR="00945E28" w:rsidRPr="00500A19">
        <w:rPr>
          <w:lang w:eastAsia="ko-KR"/>
        </w:rPr>
        <w:t>того, что в Резолюции 50 (Пересм. Нью-Дели, 2024 г.) ВАСЭ подчеркивается необходимость укреплять и защищать информационные системы и системы электросвязи от киберугроз и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w:t>
      </w:r>
      <w:r w:rsidRPr="00500A19">
        <w:rPr>
          <w:lang w:eastAsia="ko-KR"/>
        </w:rPr>
        <w:t> </w:t>
      </w:r>
      <w:r w:rsidR="00945E28" w:rsidRPr="00500A19">
        <w:rPr>
          <w:lang w:eastAsia="ko-KR"/>
        </w:rPr>
        <w:t>электросвязи;</w:t>
      </w:r>
    </w:p>
    <w:p w14:paraId="39ECDA2D" w14:textId="2A41826C" w:rsidR="00945E28" w:rsidRPr="00500A19" w:rsidRDefault="0005555F" w:rsidP="0005555F">
      <w:pPr>
        <w:pStyle w:val="enumlev1"/>
        <w:rPr>
          <w:lang w:eastAsia="ko-KR"/>
        </w:rPr>
      </w:pPr>
      <w:r w:rsidRPr="00500A19">
        <w:rPr>
          <w:lang w:eastAsia="ko-KR"/>
        </w:rPr>
        <w:t>q</w:t>
      </w:r>
      <w:r w:rsidRPr="00500A19">
        <w:rPr>
          <w:lang w:eastAsia="ko-KR"/>
        </w:rPr>
        <w:tab/>
      </w:r>
      <w:r w:rsidR="00945E28" w:rsidRPr="00500A19">
        <w:rPr>
          <w:lang w:eastAsia="ko-KR"/>
        </w:rPr>
        <w:t>того, что предпринимаются различные усилия, направленные на повышение безопасности сетей, включающие работу Государств-Членов и Членов Сектора в рамках деятельности Сектора стандартизации электросвязи МСЭ (МСЭ-Т) по разработке стандартов и работу по подготовке отчетов о передовом опыте в рамках МСЭ-D; работу, проводимую Секретариатом МСЭ в рамках Глобальной программы кибербезопасности (ГПК), а также Сектором развития электросвязи МСЭ в рамках его деятельности по созданию потенциала в соответствующей пересмотренной программе и в некоторых случаях экспертами со всего</w:t>
      </w:r>
      <w:r w:rsidRPr="00500A19">
        <w:rPr>
          <w:lang w:eastAsia="ko-KR"/>
        </w:rPr>
        <w:t> </w:t>
      </w:r>
      <w:r w:rsidR="00945E28" w:rsidRPr="00500A19">
        <w:rPr>
          <w:lang w:eastAsia="ko-KR"/>
        </w:rPr>
        <w:t>мира;</w:t>
      </w:r>
    </w:p>
    <w:p w14:paraId="4E7AB3C9" w14:textId="21679669" w:rsidR="00945E28" w:rsidRPr="00500A19" w:rsidRDefault="0005555F" w:rsidP="0005555F">
      <w:pPr>
        <w:pStyle w:val="enumlev1"/>
        <w:rPr>
          <w:lang w:eastAsia="ko-KR"/>
        </w:rPr>
      </w:pPr>
      <w:r w:rsidRPr="00500A19">
        <w:rPr>
          <w:lang w:eastAsia="ko-KR"/>
        </w:rPr>
        <w:t>r</w:t>
      </w:r>
      <w:r w:rsidRPr="00500A19">
        <w:rPr>
          <w:lang w:eastAsia="ko-KR"/>
        </w:rPr>
        <w:tab/>
      </w:r>
      <w:r w:rsidR="00945E28" w:rsidRPr="00500A19">
        <w:rPr>
          <w:lang w:eastAsia="ko-KR"/>
        </w:rPr>
        <w:t>того, что перед правительствами стран, поставщиками услуг и конечными пользователями, особенно в наименее развитых странах (НРС), стоят специфические проблемы выработки политики безопасности и подходов, соответствующих условиям, сложившимся в этих</w:t>
      </w:r>
      <w:r w:rsidRPr="00500A19">
        <w:rPr>
          <w:lang w:eastAsia="ko-KR"/>
        </w:rPr>
        <w:t> </w:t>
      </w:r>
      <w:r w:rsidR="00945E28" w:rsidRPr="00500A19">
        <w:rPr>
          <w:lang w:eastAsia="ko-KR"/>
        </w:rPr>
        <w:t>странах;</w:t>
      </w:r>
    </w:p>
    <w:p w14:paraId="544FF73E" w14:textId="4EEB318F" w:rsidR="00945E28" w:rsidRPr="00500A19" w:rsidRDefault="0005555F" w:rsidP="0005555F">
      <w:pPr>
        <w:pStyle w:val="enumlev1"/>
        <w:rPr>
          <w:lang w:eastAsia="ko-KR"/>
        </w:rPr>
      </w:pPr>
      <w:r w:rsidRPr="00500A19">
        <w:rPr>
          <w:lang w:eastAsia="ko-KR"/>
        </w:rPr>
        <w:t>s</w:t>
      </w:r>
      <w:r w:rsidRPr="00500A19">
        <w:rPr>
          <w:lang w:eastAsia="ko-KR"/>
        </w:rPr>
        <w:tab/>
      </w:r>
      <w:r w:rsidR="00945E28" w:rsidRPr="00500A19">
        <w:rPr>
          <w:lang w:eastAsia="ko-KR"/>
        </w:rPr>
        <w:t>того, что отчеты, в которых подробно описывались бы различные ресурсы, стратегии и инструментарий, которые можно было бы использовать для формирования доверия при использовании сетей на базе ИКТ, а также роль международного сотрудничества в этом отношении, были бы полезны для всех заинтересованных сторон;</w:t>
      </w:r>
    </w:p>
    <w:p w14:paraId="1ACCDB78" w14:textId="3458CE11" w:rsidR="00945E28" w:rsidRPr="00500A19" w:rsidRDefault="0005555F" w:rsidP="0005555F">
      <w:pPr>
        <w:pStyle w:val="enumlev1"/>
        <w:rPr>
          <w:lang w:eastAsia="ko-KR"/>
        </w:rPr>
      </w:pPr>
      <w:r w:rsidRPr="00500A19">
        <w:rPr>
          <w:lang w:eastAsia="ko-KR"/>
        </w:rPr>
        <w:t>t</w:t>
      </w:r>
      <w:r w:rsidRPr="00500A19">
        <w:rPr>
          <w:lang w:eastAsia="ko-KR"/>
        </w:rPr>
        <w:tab/>
      </w:r>
      <w:r w:rsidR="00945E28" w:rsidRPr="00500A19">
        <w:rPr>
          <w:lang w:eastAsia="ko-KR"/>
        </w:rPr>
        <w:t>того, что спам и вредоносное программное остаются предметом обеспокоенности, хотя необходимо также исследовать меняющиеся и возникающие угрозы;</w:t>
      </w:r>
    </w:p>
    <w:p w14:paraId="400C4B2F" w14:textId="135465BE" w:rsidR="00945E28" w:rsidRPr="00500A19" w:rsidRDefault="0005555F" w:rsidP="0005555F">
      <w:pPr>
        <w:pStyle w:val="enumlev1"/>
        <w:rPr>
          <w:lang w:eastAsia="ko-KR"/>
        </w:rPr>
      </w:pPr>
      <w:r w:rsidRPr="00500A19">
        <w:rPr>
          <w:lang w:eastAsia="ko-KR"/>
        </w:rPr>
        <w:t>u</w:t>
      </w:r>
      <w:r w:rsidRPr="00500A19">
        <w:rPr>
          <w:lang w:eastAsia="ko-KR"/>
        </w:rPr>
        <w:tab/>
      </w:r>
      <w:r w:rsidR="00945E28" w:rsidRPr="00500A19">
        <w:rPr>
          <w:lang w:eastAsia="ko-KR"/>
        </w:rPr>
        <w:t>необходимости в упрощенных процедурах проверки на базовом уровне для тестирования безопасности сетей электросвязи в целях содействия культуре безопасности.</w:t>
      </w:r>
    </w:p>
    <w:p w14:paraId="32AD1394" w14:textId="0EEA469B" w:rsidR="00945E28" w:rsidRPr="00500A19" w:rsidRDefault="0005555F" w:rsidP="0005555F">
      <w:pPr>
        <w:pStyle w:val="Headingb"/>
        <w:rPr>
          <w:lang w:val="ru-RU" w:eastAsia="ko-KR"/>
        </w:rPr>
      </w:pPr>
      <w:r w:rsidRPr="00500A19">
        <w:rPr>
          <w:lang w:val="ru-RU" w:eastAsia="ko-KR"/>
        </w:rPr>
        <w:t>2</w:t>
      </w:r>
      <w:r w:rsidRPr="00500A19">
        <w:rPr>
          <w:lang w:val="ru-RU" w:eastAsia="ko-KR"/>
        </w:rPr>
        <w:tab/>
      </w:r>
      <w:r w:rsidR="00945E28" w:rsidRPr="00500A19">
        <w:rPr>
          <w:lang w:val="ru-RU" w:eastAsia="ko-KR"/>
        </w:rPr>
        <w:t>Вопрос или предмет для изучения</w:t>
      </w:r>
    </w:p>
    <w:p w14:paraId="34D4F5E0" w14:textId="77777777" w:rsidR="00945E28" w:rsidRPr="00500A19" w:rsidRDefault="00945E28" w:rsidP="0005555F">
      <w:r w:rsidRPr="00500A19">
        <w:t>Обсуждение подходов и обмен опытом в отношении способов содействия кибербезопасности и киберустойчивости в секторе электросвязи/ИКТ, в том числе:</w:t>
      </w:r>
    </w:p>
    <w:p w14:paraId="68E9556F" w14:textId="33AF5B18" w:rsidR="00945E28" w:rsidRPr="00500A19" w:rsidRDefault="0005555F" w:rsidP="0005555F">
      <w:pPr>
        <w:pStyle w:val="enumlev1"/>
      </w:pPr>
      <w:r w:rsidRPr="00500A19">
        <w:t>1</w:t>
      </w:r>
      <w:r w:rsidRPr="00500A19">
        <w:tab/>
      </w:r>
      <w:r w:rsidR="00945E28" w:rsidRPr="00500A19">
        <w:t>государственной политики и регулирования в области кибербезопасности, применяемых в секторе электросвязи/ИКТ, включая обязательства и практические методы обеспечения;</w:t>
      </w:r>
    </w:p>
    <w:p w14:paraId="5A7F72F7" w14:textId="512A1984" w:rsidR="00945E28" w:rsidRPr="00500A19" w:rsidRDefault="0005555F" w:rsidP="0005555F">
      <w:pPr>
        <w:pStyle w:val="enumlev1"/>
      </w:pPr>
      <w:r w:rsidRPr="00500A19">
        <w:t>2</w:t>
      </w:r>
      <w:r w:rsidRPr="00500A19">
        <w:tab/>
      </w:r>
      <w:r w:rsidR="00945E28" w:rsidRPr="00500A19">
        <w:t>конкретных мер, инициатив и проектов по повышению кибербезопасности и киберустойчивости малых и средних поставщиков услуг электросвязи;</w:t>
      </w:r>
    </w:p>
    <w:p w14:paraId="666A604B" w14:textId="45CA0042" w:rsidR="00945E28" w:rsidRPr="00500A19" w:rsidRDefault="0005555F" w:rsidP="0005555F">
      <w:pPr>
        <w:pStyle w:val="enumlev1"/>
      </w:pPr>
      <w:r w:rsidRPr="00500A19">
        <w:t>3</w:t>
      </w:r>
      <w:r w:rsidRPr="00500A19">
        <w:tab/>
      </w:r>
      <w:r w:rsidR="00945E28" w:rsidRPr="00500A19">
        <w:t>способов, используемых членами МСЭ для решения проблем кибербезопасности, и возможностей новых и появляющихся технологий и услуг электросвязи/ИКТ в этой области.</w:t>
      </w:r>
    </w:p>
    <w:p w14:paraId="19FD1309" w14:textId="77777777" w:rsidR="00945E28" w:rsidRPr="00500A19" w:rsidRDefault="00945E28" w:rsidP="0005555F">
      <w:pPr>
        <w:rPr>
          <w:rFonts w:eastAsia="Malgun Gothic" w:cstheme="minorBidi"/>
          <w:kern w:val="2"/>
          <w14:ligatures w14:val="standardContextual"/>
        </w:rPr>
      </w:pPr>
      <w:r w:rsidRPr="00500A19">
        <w:t>Новые темы:</w:t>
      </w:r>
    </w:p>
    <w:p w14:paraId="1CD0086E" w14:textId="3D316BB1" w:rsidR="00945E28" w:rsidRPr="00500A19" w:rsidRDefault="0005555F" w:rsidP="0005555F">
      <w:pPr>
        <w:pStyle w:val="enumlev1"/>
        <w:rPr>
          <w:rFonts w:eastAsia="Malgun Gothic" w:cstheme="minorBidi"/>
          <w:kern w:val="2"/>
          <w14:ligatures w14:val="standardContextual"/>
        </w:rPr>
      </w:pPr>
      <w:r w:rsidRPr="00500A19">
        <w:t>1</w:t>
      </w:r>
      <w:r w:rsidRPr="00500A19">
        <w:tab/>
      </w:r>
      <w:r w:rsidR="00945E28" w:rsidRPr="00500A19">
        <w:t>Передовой опыт в оценке мер и показателей кибербезопасности</w:t>
      </w:r>
    </w:p>
    <w:p w14:paraId="73E0145D" w14:textId="2BFC2A4E" w:rsidR="00945E28" w:rsidRPr="00500A19" w:rsidRDefault="0005555F" w:rsidP="0005555F">
      <w:pPr>
        <w:pStyle w:val="enumlev1"/>
        <w:rPr>
          <w:rFonts w:eastAsia="Malgun Gothic" w:cstheme="minorBidi"/>
          <w:kern w:val="2"/>
          <w14:ligatures w14:val="standardContextual"/>
        </w:rPr>
      </w:pPr>
      <w:r w:rsidRPr="00500A19">
        <w:lastRenderedPageBreak/>
        <w:t>2</w:t>
      </w:r>
      <w:r w:rsidRPr="00500A19">
        <w:tab/>
      </w:r>
      <w:r w:rsidR="00945E28" w:rsidRPr="00500A19">
        <w:t xml:space="preserve">Тестирование и меры кибербезопасности для обеспечения защищенного и разрешенного доступа терминалов (особенно уязвимых устройств IoT) к интеллектуальным услугам при уделении особого внимания критическим услугам </w:t>
      </w:r>
    </w:p>
    <w:p w14:paraId="767A1AA9" w14:textId="2E2F5F24" w:rsidR="00945E28" w:rsidRPr="00500A19" w:rsidRDefault="0005555F" w:rsidP="0005555F">
      <w:pPr>
        <w:pStyle w:val="enumlev1"/>
        <w:rPr>
          <w:rFonts w:eastAsia="Malgun Gothic" w:cstheme="minorBidi"/>
          <w:kern w:val="2"/>
          <w:lang w:eastAsia="ko-KR"/>
          <w14:ligatures w14:val="standardContextual"/>
        </w:rPr>
      </w:pPr>
      <w:r w:rsidRPr="00500A19">
        <w:t>3</w:t>
      </w:r>
      <w:r w:rsidRPr="00500A19">
        <w:tab/>
      </w:r>
      <w:r w:rsidR="00945E28" w:rsidRPr="00500A19">
        <w:t>Институциональные/правовые и регуляторные механизмы для решения новых проблем кибербезопасности, возникающих в результате широкого применения ИИ (в</w:t>
      </w:r>
      <w:r w:rsidRPr="00500A19">
        <w:t> </w:t>
      </w:r>
      <w:r w:rsidR="00945E28" w:rsidRPr="00500A19">
        <w:t>сотрудничестве с Группой Докладчика по Вопросу D/2)</w:t>
      </w:r>
      <w:r w:rsidRPr="00500A19">
        <w:t>.</w:t>
      </w:r>
    </w:p>
    <w:p w14:paraId="455DAE5E" w14:textId="2A611B47" w:rsidR="00945E28" w:rsidRPr="00500A19" w:rsidRDefault="00945E28" w:rsidP="0005555F">
      <w:pPr>
        <w:pStyle w:val="Headingb"/>
        <w:tabs>
          <w:tab w:val="clear" w:pos="907"/>
        </w:tabs>
        <w:ind w:left="0" w:firstLine="0"/>
        <w:rPr>
          <w:rFonts w:eastAsia="Malgun Gothic" w:cstheme="minorBidi"/>
          <w:lang w:val="ru-RU" w:eastAsia="ko-KR"/>
        </w:rPr>
      </w:pPr>
      <w:r w:rsidRPr="00500A19">
        <w:rPr>
          <w:rFonts w:eastAsia="Malgun Gothic" w:cstheme="minorBidi"/>
          <w:lang w:val="ru-RU" w:eastAsia="ko-KR"/>
        </w:rPr>
        <w:t xml:space="preserve">ВОПРОС C/2: </w:t>
      </w:r>
      <w:r w:rsidR="003E6913" w:rsidRPr="00500A19">
        <w:rPr>
          <w:lang w:val="ru-RU"/>
        </w:rPr>
        <w:t>Наличие и приемлемость в ценовом отношении терминалов/устройств пользователей, соответствие и функциональная совместимость оборудования</w:t>
      </w:r>
    </w:p>
    <w:p w14:paraId="35F7386C" w14:textId="324A76BC" w:rsidR="00945E28" w:rsidRPr="00500A19" w:rsidRDefault="0005555F" w:rsidP="0005555F">
      <w:pPr>
        <w:pStyle w:val="Headingb"/>
        <w:rPr>
          <w:lang w:val="ru-RU" w:eastAsia="ko-KR"/>
        </w:rPr>
      </w:pPr>
      <w:r w:rsidRPr="00500A19">
        <w:rPr>
          <w:lang w:val="ru-RU" w:eastAsia="ko-KR"/>
        </w:rPr>
        <w:t>1</w:t>
      </w:r>
      <w:r w:rsidRPr="00500A19">
        <w:rPr>
          <w:lang w:val="ru-RU" w:eastAsia="ko-KR"/>
        </w:rPr>
        <w:tab/>
      </w:r>
      <w:r w:rsidR="00945E28" w:rsidRPr="00500A19">
        <w:rPr>
          <w:lang w:val="ru-RU" w:eastAsia="ko-KR"/>
        </w:rPr>
        <w:t>Изложение ситуации или проблемы</w:t>
      </w:r>
    </w:p>
    <w:p w14:paraId="683C4CC4" w14:textId="77777777" w:rsidR="00945E28" w:rsidRPr="00500A19" w:rsidRDefault="00945E28" w:rsidP="0005555F">
      <w:pPr>
        <w:rPr>
          <w:rFonts w:eastAsia="Malgun Gothic" w:cstheme="minorBidi"/>
          <w:kern w:val="2"/>
          <w14:ligatures w14:val="standardContextual"/>
        </w:rPr>
      </w:pPr>
      <w:r w:rsidRPr="00500A19">
        <w:t>Показатель 5.b.1 – процентная доля отдельных лиц, имеющих мобильный телефон, в разбивке по полу – является одним из семи показателей ИКТ, согласованных Генеральной Ассамблеей ООН для измерения глобального прогресса в достижении Целей в области устойчивого развития (A/RES/71/313), а также показателем в рамках Индекса развития ИКТ. По последним данным МСЭ, значение этого показателя составляет 81% для мужчин и 75% для женщин в мире, при этом наблюдаются заметные различия по географическому региону и полу (МСЭ, 2023 г.).</w:t>
      </w:r>
    </w:p>
    <w:p w14:paraId="6C59EA9E" w14:textId="588C4369" w:rsidR="00945E28" w:rsidRPr="00500A19" w:rsidRDefault="00945E28" w:rsidP="0005555F">
      <w:pPr>
        <w:rPr>
          <w:rFonts w:eastAsia="Malgun Gothic" w:cstheme="minorBidi"/>
          <w:kern w:val="2"/>
          <w14:ligatures w14:val="standardContextual"/>
        </w:rPr>
      </w:pPr>
      <w:r w:rsidRPr="00500A19">
        <w:t xml:space="preserve">Имеется ряд факторов, влияющих на </w:t>
      </w:r>
      <w:r w:rsidR="003E6913" w:rsidRPr="00500A19">
        <w:t>наличие</w:t>
      </w:r>
      <w:r w:rsidRPr="00500A19">
        <w:t xml:space="preserve"> и приемлемость в ценовом отношении терминалов/устройств </w:t>
      </w:r>
      <w:r w:rsidR="003E6913" w:rsidRPr="00500A19">
        <w:t xml:space="preserve">пользователей </w:t>
      </w:r>
      <w:r w:rsidRPr="00500A19">
        <w:t xml:space="preserve">во всем мире. Принятые Государствами – Членами МСЭ политика и нормативные положения, касающиеся приемлемости терминалов/устройств </w:t>
      </w:r>
      <w:r w:rsidR="00A02EB6" w:rsidRPr="00500A19">
        <w:t xml:space="preserve">пользователей </w:t>
      </w:r>
      <w:r w:rsidRPr="00500A19">
        <w:t xml:space="preserve">в ценовом отношении, их соответствие техническим требованиям и функциональная совместимость, наличие контрафактной продукции и хищение устройств – все это влияет на цену, которую потребители в итоге платят за используемые ими устройства. Кроме того, такие факторы, как гендерные нормы, могут также </w:t>
      </w:r>
      <w:r w:rsidR="00A02EB6" w:rsidRPr="00500A19">
        <w:t>ограничивать</w:t>
      </w:r>
      <w:r w:rsidRPr="00500A19">
        <w:t xml:space="preserve"> </w:t>
      </w:r>
      <w:r w:rsidR="00A02EB6" w:rsidRPr="00500A19">
        <w:t xml:space="preserve">наличие </w:t>
      </w:r>
      <w:r w:rsidRPr="00500A19">
        <w:t xml:space="preserve">пользовательских терминалов/устройств и, в конечном счете, </w:t>
      </w:r>
      <w:r w:rsidR="00A02EB6" w:rsidRPr="00500A19">
        <w:t xml:space="preserve">препятствовать </w:t>
      </w:r>
      <w:r w:rsidRPr="00500A19">
        <w:t>наш</w:t>
      </w:r>
      <w:r w:rsidR="00A02EB6" w:rsidRPr="00500A19">
        <w:t>им</w:t>
      </w:r>
      <w:r w:rsidRPr="00500A19">
        <w:t xml:space="preserve"> коллективн</w:t>
      </w:r>
      <w:r w:rsidR="00A02EB6" w:rsidRPr="00500A19">
        <w:t>ым усилиям по</w:t>
      </w:r>
      <w:r w:rsidRPr="00500A19">
        <w:t xml:space="preserve"> достижени</w:t>
      </w:r>
      <w:r w:rsidR="00A02EB6" w:rsidRPr="00500A19">
        <w:t>ю</w:t>
      </w:r>
      <w:r w:rsidRPr="00500A19">
        <w:t xml:space="preserve"> связанных с ИКТ Целей в области устойчивого развития.</w:t>
      </w:r>
    </w:p>
    <w:p w14:paraId="508AB36C" w14:textId="77777777" w:rsidR="00945E28" w:rsidRPr="00500A19" w:rsidRDefault="00945E28" w:rsidP="0005555F">
      <w:pPr>
        <w:rPr>
          <w:rFonts w:eastAsia="Malgun Gothic" w:cstheme="minorBidi"/>
          <w:kern w:val="2"/>
          <w:lang w:eastAsia="ko-KR"/>
          <w14:ligatures w14:val="standardContextual"/>
        </w:rPr>
      </w:pPr>
      <w:r w:rsidRPr="00500A19">
        <w:t>Эта проблема и связанные с ней политические и регуляторные рычаги заслуживают рассмотрения Членами МСЭ-D и предоставления руководящих указаний сообществу ИКТ</w:t>
      </w:r>
      <w:r w:rsidRPr="00500A19">
        <w:rPr>
          <w:rFonts w:eastAsia="Malgun Gothic" w:cstheme="minorBidi"/>
          <w:kern w:val="2"/>
          <w:lang w:eastAsia="ko-KR"/>
          <w14:ligatures w14:val="standardContextual"/>
        </w:rPr>
        <w:t>.</w:t>
      </w:r>
    </w:p>
    <w:p w14:paraId="7412122B" w14:textId="6431D270" w:rsidR="00945E28" w:rsidRPr="00500A19" w:rsidRDefault="0005555F" w:rsidP="0005555F">
      <w:pPr>
        <w:pStyle w:val="Headingb"/>
        <w:rPr>
          <w:lang w:val="ru-RU" w:eastAsia="ko-KR"/>
        </w:rPr>
      </w:pPr>
      <w:r w:rsidRPr="00500A19">
        <w:rPr>
          <w:lang w:val="ru-RU" w:eastAsia="ko-KR"/>
        </w:rPr>
        <w:t>1</w:t>
      </w:r>
      <w:r w:rsidRPr="00500A19">
        <w:rPr>
          <w:lang w:val="ru-RU" w:eastAsia="ko-KR"/>
        </w:rPr>
        <w:tab/>
      </w:r>
      <w:r w:rsidR="00945E28" w:rsidRPr="00500A19">
        <w:rPr>
          <w:lang w:val="ru-RU" w:eastAsia="ko-KR"/>
        </w:rPr>
        <w:t>Вопрос или предмет для изучения</w:t>
      </w:r>
    </w:p>
    <w:p w14:paraId="744FF6F3" w14:textId="3C65660D" w:rsidR="00945E28" w:rsidRPr="00500A19" w:rsidRDefault="00945E28" w:rsidP="0005555F">
      <w:pPr>
        <w:rPr>
          <w:rFonts w:eastAsia="Malgun Gothic" w:cstheme="minorBidi"/>
          <w:kern w:val="2"/>
          <w:lang w:eastAsia="ko-KR"/>
          <w14:ligatures w14:val="standardContextual"/>
        </w:rPr>
      </w:pPr>
      <w:r w:rsidRPr="00500A19">
        <w:t xml:space="preserve">Ожидается, что в рамках исследуемого Вопроса 4/2 будут рассматриваться аспекты, связанные с </w:t>
      </w:r>
      <w:r w:rsidR="00A02EB6" w:rsidRPr="00500A19">
        <w:t>наличием</w:t>
      </w:r>
      <w:r w:rsidRPr="00500A19">
        <w:t xml:space="preserve"> и приемлемостью в ценовом отношении терминалов/устройств</w:t>
      </w:r>
      <w:r w:rsidR="003E6913" w:rsidRPr="00500A19">
        <w:t xml:space="preserve"> пользователей</w:t>
      </w:r>
      <w:r w:rsidRPr="00500A19">
        <w:t>. Работа охватывает следующие перечисленные ниже задачи</w:t>
      </w:r>
      <w:r w:rsidRPr="00500A19">
        <w:rPr>
          <w:rFonts w:eastAsia="Malgun Gothic" w:cstheme="minorBidi"/>
          <w:kern w:val="2"/>
          <w:lang w:eastAsia="ko-KR"/>
          <w14:ligatures w14:val="standardContextual"/>
        </w:rPr>
        <w:t>:</w:t>
      </w:r>
    </w:p>
    <w:p w14:paraId="3AC1C7E2" w14:textId="05CA4A00" w:rsidR="00945E28" w:rsidRPr="00500A19" w:rsidRDefault="0005555F" w:rsidP="0005555F">
      <w:pPr>
        <w:pStyle w:val="enumlev1"/>
        <w:rPr>
          <w:rFonts w:eastAsia="Malgun Gothic" w:cstheme="minorBidi"/>
          <w:kern w:val="2"/>
          <w14:ligatures w14:val="standardContextual"/>
        </w:rPr>
      </w:pPr>
      <w:r w:rsidRPr="00500A19">
        <w:t>1</w:t>
      </w:r>
      <w:r w:rsidRPr="00500A19">
        <w:tab/>
      </w:r>
      <w:r w:rsidR="00945E28" w:rsidRPr="00500A19">
        <w:t>каталогизацию/совместное использование национального опыта и передовой практики в отношении пользовательских терминалов/устройств в рамках политики и регулирования в области широкополосной связи, например в национальных планах развития широкополосной связи, стратегиях в области ИКТ и мандатах фондов универсального обслуживания (ФУО) (в сотрудничестве с Группой Докладчика по Вопросу A/1);</w:t>
      </w:r>
    </w:p>
    <w:p w14:paraId="371DE977" w14:textId="39358856" w:rsidR="00945E28" w:rsidRPr="00500A19" w:rsidRDefault="0005555F" w:rsidP="0005555F">
      <w:pPr>
        <w:pStyle w:val="enumlev1"/>
        <w:rPr>
          <w:rFonts w:eastAsia="Malgun Gothic" w:cstheme="minorBidi"/>
          <w:kern w:val="2"/>
          <w14:ligatures w14:val="standardContextual"/>
        </w:rPr>
      </w:pPr>
      <w:r w:rsidRPr="00500A19">
        <w:t>2</w:t>
      </w:r>
      <w:r w:rsidRPr="00500A19">
        <w:tab/>
      </w:r>
      <w:r w:rsidR="00945E28" w:rsidRPr="00500A19">
        <w:t xml:space="preserve">каталогизацию/совместное использование национального опыта и передовой практики в отношении сбора данных и измерения </w:t>
      </w:r>
      <w:r w:rsidR="00A02EB6" w:rsidRPr="00500A19">
        <w:t>наличия</w:t>
      </w:r>
      <w:r w:rsidR="00945E28" w:rsidRPr="00500A19">
        <w:t xml:space="preserve"> и приемлемости в ценовом отношении терминалов/устройств пользователей (в сотрудничестве с Группой Докладчика по Вопросу 4/1) при уделении особого внимания разбивке по полу и географическому району;</w:t>
      </w:r>
    </w:p>
    <w:p w14:paraId="11925532" w14:textId="01B841A5" w:rsidR="00945E28" w:rsidRPr="00500A19" w:rsidRDefault="0005555F" w:rsidP="0005555F">
      <w:pPr>
        <w:pStyle w:val="enumlev1"/>
        <w:rPr>
          <w:rFonts w:eastAsia="Malgun Gothic" w:cstheme="minorBidi"/>
          <w:kern w:val="2"/>
          <w14:ligatures w14:val="standardContextual"/>
        </w:rPr>
      </w:pPr>
      <w:r w:rsidRPr="00500A19">
        <w:t>3</w:t>
      </w:r>
      <w:r w:rsidRPr="00500A19">
        <w:tab/>
      </w:r>
      <w:r w:rsidR="00945E28" w:rsidRPr="00500A19">
        <w:t>каталогизацию/совместное использование национального опыта и передовой практики в отношении предоставления публичного доступа к терминалам/устройствам пользователей, например в школах, библиотеках и других общественных пунктах доступа;</w:t>
      </w:r>
    </w:p>
    <w:p w14:paraId="35DB2646" w14:textId="3BDFABFB" w:rsidR="00945E28" w:rsidRPr="00500A19" w:rsidRDefault="0005555F" w:rsidP="0005555F">
      <w:pPr>
        <w:pStyle w:val="enumlev1"/>
        <w:rPr>
          <w:rFonts w:eastAsia="Malgun Gothic" w:cstheme="minorBidi"/>
          <w:kern w:val="2"/>
          <w14:ligatures w14:val="standardContextual"/>
        </w:rPr>
      </w:pPr>
      <w:r w:rsidRPr="00500A19">
        <w:t>4</w:t>
      </w:r>
      <w:r w:rsidRPr="00500A19">
        <w:tab/>
      </w:r>
      <w:r w:rsidR="00945E28" w:rsidRPr="00500A19">
        <w:t xml:space="preserve">анализ влияния </w:t>
      </w:r>
      <w:r w:rsidR="00A02EB6" w:rsidRPr="00500A19">
        <w:t>наличия</w:t>
      </w:r>
      <w:r w:rsidR="00945E28" w:rsidRPr="00500A19">
        <w:t xml:space="preserve"> и приемлемости в ценовом отношении пользовательских терминалов/устройств (в сотрудничестве с Группой Докладчика по Вопросу 4/1) на достижение Целей в области устойчивого развития;</w:t>
      </w:r>
    </w:p>
    <w:p w14:paraId="33580D5E" w14:textId="3374441C" w:rsidR="00945E28" w:rsidRPr="00500A19" w:rsidRDefault="0005555F" w:rsidP="0005555F">
      <w:pPr>
        <w:pStyle w:val="enumlev1"/>
        <w:rPr>
          <w:rFonts w:eastAsia="Malgun Gothic" w:cstheme="minorBidi"/>
          <w:kern w:val="2"/>
          <w14:ligatures w14:val="standardContextual"/>
        </w:rPr>
      </w:pPr>
      <w:r w:rsidRPr="00500A19">
        <w:lastRenderedPageBreak/>
        <w:t>5</w:t>
      </w:r>
      <w:r w:rsidRPr="00500A19">
        <w:tab/>
      </w:r>
      <w:r w:rsidR="00945E28" w:rsidRPr="00500A19">
        <w:t>каталогизацию/совместное использование национального опыта и передовой практики в отношении развития цифровых навыков с использованием имеющихся терминалов/устройств пользователей (в сотрудничестве с Группой Докладчика по Вопросу</w:t>
      </w:r>
      <w:r w:rsidR="006C2BF9" w:rsidRPr="00500A19">
        <w:t> </w:t>
      </w:r>
      <w:r w:rsidR="00945E28" w:rsidRPr="00500A19">
        <w:t>D/2);</w:t>
      </w:r>
    </w:p>
    <w:p w14:paraId="5405A2FE" w14:textId="17C32B4E" w:rsidR="00945E28" w:rsidRPr="00500A19" w:rsidRDefault="0005555F" w:rsidP="0005555F">
      <w:pPr>
        <w:pStyle w:val="enumlev1"/>
        <w:rPr>
          <w:rFonts w:eastAsia="Malgun Gothic" w:cstheme="minorBidi"/>
          <w:kern w:val="2"/>
          <w14:ligatures w14:val="standardContextual"/>
        </w:rPr>
      </w:pPr>
      <w:r w:rsidRPr="00500A19">
        <w:t>6</w:t>
      </w:r>
      <w:r w:rsidRPr="00500A19">
        <w:tab/>
      </w:r>
      <w:r w:rsidR="00945E28" w:rsidRPr="00500A19">
        <w:t>каталогизацию/совместное использование национального опыта и передовой практики в области информированности потребителей о проблемах, связанных с их терминалами/устройствами, включая хищение устройств, а также готовность потребителей платить и их платежеспособность (</w:t>
      </w:r>
      <w:r w:rsidR="00945E28" w:rsidRPr="00500A19">
        <w:rPr>
          <w:rFonts w:eastAsia="Malgun Gothic" w:cstheme="minorBidi"/>
          <w:kern w:val="2"/>
          <w:lang w:eastAsia="ko-KR"/>
          <w14:ligatures w14:val="standardContextual"/>
        </w:rPr>
        <w:t xml:space="preserve">возможно, в сотрудничестве с </w:t>
      </w:r>
      <w:r w:rsidR="00945E28" w:rsidRPr="00500A19">
        <w:t>Группой Докладчика по Вопросу B/1);</w:t>
      </w:r>
    </w:p>
    <w:p w14:paraId="774ACDED" w14:textId="68001CDA" w:rsidR="00945E28" w:rsidRPr="00500A19" w:rsidRDefault="0005555F" w:rsidP="0005555F">
      <w:pPr>
        <w:pStyle w:val="enumlev1"/>
        <w:rPr>
          <w:rFonts w:eastAsia="Malgun Gothic" w:cstheme="minorBidi"/>
          <w:kern w:val="2"/>
          <w14:ligatures w14:val="standardContextual"/>
        </w:rPr>
      </w:pPr>
      <w:r w:rsidRPr="00500A19">
        <w:t>7</w:t>
      </w:r>
      <w:r w:rsidRPr="00500A19">
        <w:tab/>
      </w:r>
      <w:r w:rsidR="00945E28" w:rsidRPr="00500A19">
        <w:t>выявление/совместное использование инноваций, достижений и передового опыта в области соответствия техническим требованиям и функциональной совместимости (C&amp;I), в том числе в связи с деятельностью МСЭ-Т в области стандартизации, программам БРЭ и национальной практикой;</w:t>
      </w:r>
    </w:p>
    <w:p w14:paraId="0BCAED45" w14:textId="5D84B307" w:rsidR="00945E28" w:rsidRPr="00500A19" w:rsidRDefault="0005555F" w:rsidP="0005555F">
      <w:pPr>
        <w:pStyle w:val="enumlev1"/>
        <w:rPr>
          <w:rFonts w:eastAsia="Malgun Gothic" w:cstheme="minorBidi"/>
          <w:kern w:val="2"/>
          <w:lang w:eastAsia="ko-KR"/>
          <w14:ligatures w14:val="standardContextual"/>
        </w:rPr>
      </w:pPr>
      <w:r w:rsidRPr="00500A19">
        <w:rPr>
          <w:rFonts w:eastAsia="Malgun Gothic" w:cstheme="minorBidi"/>
          <w:kern w:val="2"/>
          <w:lang w:eastAsia="ko-KR"/>
          <w14:ligatures w14:val="standardContextual"/>
        </w:rPr>
        <w:t>8</w:t>
      </w:r>
      <w:r w:rsidRPr="00500A19">
        <w:rPr>
          <w:rFonts w:eastAsia="Malgun Gothic" w:cstheme="minorBidi"/>
          <w:kern w:val="2"/>
          <w:lang w:eastAsia="ko-KR"/>
          <w14:ligatures w14:val="standardContextual"/>
        </w:rPr>
        <w:tab/>
      </w:r>
      <w:r w:rsidR="00945E28" w:rsidRPr="00500A19">
        <w:rPr>
          <w:rFonts w:eastAsia="Malgun Gothic" w:cstheme="minorBidi"/>
          <w:kern w:val="2"/>
          <w:lang w:eastAsia="ko-KR"/>
          <w14:ligatures w14:val="standardContextual"/>
        </w:rPr>
        <w:t>изучение вопрос о том, как развитие потенциала может усилить возможности развивающихся стран по снижению рисков, связанных с использованием оборудования низкого качества, а также вопросами функциональной совместимости оборудования;</w:t>
      </w:r>
    </w:p>
    <w:p w14:paraId="02FD2066" w14:textId="7119A07A" w:rsidR="00945E28" w:rsidRPr="00500A19" w:rsidRDefault="0005555F" w:rsidP="0005555F">
      <w:pPr>
        <w:pStyle w:val="enumlev1"/>
        <w:rPr>
          <w:rFonts w:eastAsia="Malgun Gothic" w:cstheme="minorBidi"/>
          <w:kern w:val="2"/>
          <w:lang w:eastAsia="ko-KR"/>
          <w14:ligatures w14:val="standardContextual"/>
        </w:rPr>
      </w:pPr>
      <w:r w:rsidRPr="00500A19">
        <w:rPr>
          <w:rFonts w:eastAsia="Malgun Gothic" w:cstheme="minorBidi"/>
          <w:kern w:val="2"/>
          <w:lang w:eastAsia="ko-KR"/>
          <w14:ligatures w14:val="standardContextual"/>
        </w:rPr>
        <w:t>9</w:t>
      </w:r>
      <w:r w:rsidRPr="00500A19">
        <w:rPr>
          <w:rFonts w:eastAsia="Malgun Gothic" w:cstheme="minorBidi"/>
          <w:kern w:val="2"/>
          <w:lang w:eastAsia="ko-KR"/>
          <w14:ligatures w14:val="standardContextual"/>
        </w:rPr>
        <w:tab/>
      </w:r>
      <w:r w:rsidR="00945E28" w:rsidRPr="00500A19">
        <w:rPr>
          <w:rFonts w:eastAsia="Malgun Gothic" w:cstheme="minorBidi"/>
          <w:kern w:val="2"/>
          <w:lang w:eastAsia="ko-KR"/>
          <w14:ligatures w14:val="standardContextual"/>
        </w:rPr>
        <w:t>обмен информацией о заключении соглашений о взаимном признании между странами;</w:t>
      </w:r>
    </w:p>
    <w:p w14:paraId="43D0A29A" w14:textId="6EC707F0" w:rsidR="00945E28" w:rsidRPr="00500A19" w:rsidRDefault="0005555F" w:rsidP="0005555F">
      <w:pPr>
        <w:pStyle w:val="enumlev1"/>
        <w:rPr>
          <w:rFonts w:eastAsia="Malgun Gothic" w:cstheme="minorBidi"/>
          <w:kern w:val="2"/>
          <w:lang w:eastAsia="ko-KR"/>
          <w14:ligatures w14:val="standardContextual"/>
        </w:rPr>
      </w:pPr>
      <w:r w:rsidRPr="00500A19">
        <w:rPr>
          <w:rFonts w:eastAsia="Malgun Gothic" w:cstheme="minorBidi"/>
          <w:kern w:val="2"/>
          <w:lang w:eastAsia="ko-KR"/>
          <w14:ligatures w14:val="standardContextual"/>
        </w:rPr>
        <w:t>10</w:t>
      </w:r>
      <w:r w:rsidRPr="00500A19">
        <w:rPr>
          <w:rFonts w:eastAsia="Malgun Gothic" w:cstheme="minorBidi"/>
          <w:kern w:val="2"/>
          <w:lang w:eastAsia="ko-KR"/>
          <w14:ligatures w14:val="standardContextual"/>
        </w:rPr>
        <w:tab/>
      </w:r>
      <w:r w:rsidR="00945E28" w:rsidRPr="00500A19">
        <w:rPr>
          <w:rFonts w:eastAsia="Malgun Gothic" w:cstheme="minorBidi"/>
          <w:kern w:val="2"/>
          <w:lang w:eastAsia="ko-KR"/>
          <w14:ligatures w14:val="standardContextual"/>
        </w:rPr>
        <w:t>оценку последствий распространения устройств ИКТ в среде радиосвязи, включая интернет вещей (IoT), и предоставление руководящих указаний для членов МСЭ-D в целях обеспечения готовности ИКТ, связанной с C&amp;I (возможно, в сотрудничестве с Группой Докладчика по Вопросу B/2); и</w:t>
      </w:r>
    </w:p>
    <w:p w14:paraId="35FAB49B" w14:textId="38A59FB5" w:rsidR="00945E28" w:rsidRPr="00500A19" w:rsidRDefault="0005555F" w:rsidP="0005555F">
      <w:pPr>
        <w:pStyle w:val="enumlev1"/>
        <w:rPr>
          <w:rFonts w:eastAsia="Malgun Gothic" w:cstheme="minorBidi"/>
          <w:kern w:val="2"/>
          <w:lang w:eastAsia="ko-KR"/>
          <w14:ligatures w14:val="standardContextual"/>
        </w:rPr>
      </w:pPr>
      <w:r w:rsidRPr="00500A19">
        <w:rPr>
          <w:rFonts w:eastAsia="Malgun Gothic" w:cstheme="minorBidi"/>
          <w:kern w:val="2"/>
          <w:lang w:eastAsia="ko-KR"/>
          <w14:ligatures w14:val="standardContextual"/>
        </w:rPr>
        <w:t>11</w:t>
      </w:r>
      <w:r w:rsidRPr="00500A19">
        <w:rPr>
          <w:rFonts w:eastAsia="Malgun Gothic" w:cstheme="minorBidi"/>
          <w:kern w:val="2"/>
          <w:lang w:eastAsia="ko-KR"/>
          <w14:ligatures w14:val="standardContextual"/>
        </w:rPr>
        <w:tab/>
      </w:r>
      <w:r w:rsidR="00945E28" w:rsidRPr="00500A19">
        <w:rPr>
          <w:rFonts w:eastAsia="Malgun Gothic" w:cstheme="minorBidi"/>
          <w:kern w:val="2"/>
          <w:lang w:eastAsia="ko-KR"/>
          <w14:ligatures w14:val="standardContextual"/>
        </w:rPr>
        <w:t>каталогизацию/совместное использование национального опыта и передовой практики в области методов борьбы с распространением контрафактных, несоответствующих стандартам и поддельных устройств.</w:t>
      </w:r>
    </w:p>
    <w:p w14:paraId="6DEF73CD" w14:textId="43F55B66" w:rsidR="00945E28" w:rsidRPr="00500A19" w:rsidRDefault="00945E28" w:rsidP="0005555F">
      <w:pPr>
        <w:rPr>
          <w:rFonts w:eastAsia="Malgun Gothic" w:cstheme="minorBidi"/>
          <w:kern w:val="2"/>
          <w:lang w:eastAsia="ko-KR"/>
          <w14:ligatures w14:val="standardContextual"/>
        </w:rPr>
      </w:pPr>
      <w:r w:rsidRPr="00500A19">
        <w:t xml:space="preserve">Ввиду глобального распространения мобильных телефонов (в частности, смартфонов) и их связи с Целями в области устойчивого развития в рамках данного Вопроса следует уделять первоочередное внимание </w:t>
      </w:r>
      <w:r w:rsidR="00A02EB6" w:rsidRPr="00500A19">
        <w:t>наличию</w:t>
      </w:r>
      <w:r w:rsidRPr="00500A19">
        <w:t xml:space="preserve"> и приемлемости в ценовом отношении этих устройств, в том числе готовности платить и платежеспособности; в то же время может также учитываться </w:t>
      </w:r>
      <w:r w:rsidR="00A02EB6" w:rsidRPr="00500A19">
        <w:t>наличие</w:t>
      </w:r>
      <w:r w:rsidRPr="00500A19">
        <w:t xml:space="preserve"> и приемлемость в ценовом отношении других пользовательских терминалов/устройств, таких как персональные компьютеры</w:t>
      </w:r>
      <w:r w:rsidRPr="00500A19">
        <w:rPr>
          <w:rFonts w:cstheme="minorBidi"/>
        </w:rPr>
        <w:t>.</w:t>
      </w:r>
    </w:p>
    <w:p w14:paraId="163A62FB" w14:textId="77777777" w:rsidR="00945E28" w:rsidRPr="00500A19" w:rsidRDefault="00945E28" w:rsidP="0005555F">
      <w:pPr>
        <w:pStyle w:val="Headingb"/>
        <w:tabs>
          <w:tab w:val="clear" w:pos="907"/>
        </w:tabs>
        <w:ind w:left="0" w:firstLine="0"/>
        <w:rPr>
          <w:rFonts w:eastAsia="Malgun Gothic" w:cstheme="minorBidi"/>
          <w:kern w:val="2"/>
          <w:lang w:val="ru-RU" w:eastAsia="ko-KR"/>
          <w14:ligatures w14:val="standardContextual"/>
        </w:rPr>
      </w:pPr>
      <w:r w:rsidRPr="00500A19">
        <w:rPr>
          <w:rFonts w:eastAsia="Malgun Gothic" w:cstheme="minorBidi"/>
          <w:kern w:val="2"/>
          <w:lang w:val="ru-RU" w:eastAsia="ko-KR"/>
          <w14:ligatures w14:val="standardContextual"/>
        </w:rPr>
        <w:t xml:space="preserve">ВОПРОС D/2: </w:t>
      </w:r>
      <w:r w:rsidRPr="00500A19">
        <w:rPr>
          <w:lang w:val="ru-RU"/>
        </w:rPr>
        <w:t>Использование новых и появляющихся технологий электросвязи/ИКТ и развитие цифровых навыков</w:t>
      </w:r>
    </w:p>
    <w:p w14:paraId="58F3F30D" w14:textId="551BDDA8" w:rsidR="00945E28" w:rsidRPr="00500A19" w:rsidRDefault="0005555F" w:rsidP="0005555F">
      <w:pPr>
        <w:pStyle w:val="Headingb"/>
        <w:rPr>
          <w:lang w:val="ru-RU" w:eastAsia="ko-KR"/>
        </w:rPr>
      </w:pPr>
      <w:r w:rsidRPr="00500A19">
        <w:rPr>
          <w:lang w:val="ru-RU" w:eastAsia="ko-KR"/>
        </w:rPr>
        <w:t>1</w:t>
      </w:r>
      <w:r w:rsidRPr="00500A19">
        <w:rPr>
          <w:lang w:val="ru-RU" w:eastAsia="ko-KR"/>
        </w:rPr>
        <w:tab/>
      </w:r>
      <w:r w:rsidR="00945E28" w:rsidRPr="00500A19">
        <w:rPr>
          <w:lang w:val="ru-RU" w:eastAsia="ko-KR"/>
        </w:rPr>
        <w:t>Изложение ситуации или проблемы</w:t>
      </w:r>
    </w:p>
    <w:p w14:paraId="21C01896" w14:textId="515DBAF6" w:rsidR="00945E28" w:rsidRPr="00500A19" w:rsidRDefault="0005555F" w:rsidP="0005555F">
      <w:pPr>
        <w:pStyle w:val="Headingb"/>
        <w:rPr>
          <w:rFonts w:eastAsia="Malgun Gothic" w:cstheme="minorBidi"/>
          <w:kern w:val="2"/>
          <w:lang w:val="ru-RU" w:eastAsia="ko-KR"/>
          <w14:ligatures w14:val="standardContextual"/>
        </w:rPr>
      </w:pPr>
      <w:r w:rsidRPr="00500A19">
        <w:rPr>
          <w:lang w:val="ru-RU"/>
        </w:rPr>
        <w:t>1.1</w:t>
      </w:r>
      <w:r w:rsidRPr="00500A19">
        <w:rPr>
          <w:lang w:val="ru-RU"/>
        </w:rPr>
        <w:tab/>
      </w:r>
      <w:r w:rsidR="00945E28" w:rsidRPr="00500A19">
        <w:rPr>
          <w:lang w:val="ru-RU"/>
        </w:rPr>
        <w:t>Использование новых появляющихся технологий ИКТ</w:t>
      </w:r>
    </w:p>
    <w:p w14:paraId="617BE451" w14:textId="77777777" w:rsidR="00945E28" w:rsidRPr="00500A19" w:rsidRDefault="00945E28" w:rsidP="00672215">
      <w:pPr>
        <w:rPr>
          <w:rFonts w:eastAsia="Malgun Gothic" w:cstheme="minorBidi"/>
          <w:kern w:val="2"/>
          <w14:ligatures w14:val="standardContextual"/>
        </w:rPr>
      </w:pPr>
      <w:r w:rsidRPr="00500A19">
        <w:t>В условиях стремительного развития и широкого применения новых появляющихся технологий ИКТ, таких как искусственный интеллект (ИИ), достижение Целей в области устойчивого развития (ЦУР) и преодоление цифрового разрыва остаются одной из насущных тем. Поскольку Государства-Члены сталкиваются с различными сопутствующими проблемами, содействие диалогу и сотрудничеству имеет решающее значение для получения эффективных решений.</w:t>
      </w:r>
    </w:p>
    <w:p w14:paraId="68F2EF9C" w14:textId="74A26437" w:rsidR="00945E28" w:rsidRPr="00500A19" w:rsidRDefault="00945E28" w:rsidP="00672215">
      <w:pPr>
        <w:rPr>
          <w:rFonts w:eastAsia="Malgun Gothic" w:cstheme="minorBidi"/>
          <w:kern w:val="2"/>
          <w14:ligatures w14:val="standardContextual"/>
        </w:rPr>
      </w:pPr>
      <w:r w:rsidRPr="00500A19">
        <w:t>Эти технологии как ключевая движущая сила цифровой трансформации и технологических инноваций доказали свой потенциал и способность выполнять важнейшие задачи в рамках разных сценариев использования.</w:t>
      </w:r>
    </w:p>
    <w:p w14:paraId="4ADF1AFF" w14:textId="65AAE6BA" w:rsidR="00945E28" w:rsidRPr="00500A19" w:rsidRDefault="00945E28" w:rsidP="00672215">
      <w:pPr>
        <w:rPr>
          <w:rFonts w:eastAsia="Malgun Gothic" w:cstheme="minorBidi"/>
          <w:kern w:val="2"/>
          <w14:ligatures w14:val="standardContextual"/>
        </w:rPr>
      </w:pPr>
      <w:r w:rsidRPr="00500A19">
        <w:t>Они обеспечивают преодоление цифрового разрыва, содействуя доступности и инклюзивности благодаря инновационным инструментам и платформам. Приложения, цифровая инфраструктура и справедливый доступ к технологиям имеют решающее значение для обеспечения выгоды для всех социальных групп.</w:t>
      </w:r>
    </w:p>
    <w:p w14:paraId="6C1B94FB" w14:textId="77777777" w:rsidR="00945E28" w:rsidRPr="00500A19" w:rsidRDefault="00945E28" w:rsidP="00672215">
      <w:pPr>
        <w:rPr>
          <w:rFonts w:eastAsia="Malgun Gothic" w:cstheme="minorBidi"/>
          <w:kern w:val="2"/>
          <w:lang w:eastAsia="ko-KR"/>
          <w14:ligatures w14:val="standardContextual"/>
        </w:rPr>
      </w:pPr>
      <w:r w:rsidRPr="00500A19">
        <w:lastRenderedPageBreak/>
        <w:t>Государства-Члены могут активно участвовать в диалоге и изучать передовой опыт, с тем чтобы максимизировать социальную выгоду от этих технологий и построить более инклюзивное и устойчивое будущее.</w:t>
      </w:r>
    </w:p>
    <w:p w14:paraId="792F540C" w14:textId="49B50E0A" w:rsidR="00945E28" w:rsidRPr="00500A19" w:rsidRDefault="00871407" w:rsidP="00871407">
      <w:pPr>
        <w:pStyle w:val="Headingb"/>
        <w:rPr>
          <w:lang w:val="ru-RU" w:eastAsia="ko-KR"/>
        </w:rPr>
      </w:pPr>
      <w:r w:rsidRPr="00500A19">
        <w:rPr>
          <w:lang w:val="ru-RU" w:eastAsia="ko-KR"/>
        </w:rPr>
        <w:t>1.2</w:t>
      </w:r>
      <w:r w:rsidRPr="00500A19">
        <w:rPr>
          <w:lang w:val="ru-RU" w:eastAsia="ko-KR"/>
        </w:rPr>
        <w:tab/>
      </w:r>
      <w:r w:rsidR="00945E28" w:rsidRPr="00500A19">
        <w:rPr>
          <w:lang w:val="ru-RU" w:eastAsia="ko-KR"/>
        </w:rPr>
        <w:t>Развитие цифровых навыков</w:t>
      </w:r>
    </w:p>
    <w:p w14:paraId="27B83BBC" w14:textId="41EA1284" w:rsidR="00945E28" w:rsidRPr="00500A19" w:rsidRDefault="00945E28" w:rsidP="00871407">
      <w:r w:rsidRPr="00500A19">
        <w:t>Технологии широкополосной связи коренным образом меняют наш образ жизни. Инфраструктура, приложения и услуги широкополосной связи открывают важные возможности для ускорения экономического роста, совершенствования связи, повышения энергоэффективности, защиты планеты, а также повышения качества жизни людей. Широкополосный доступ и его внедрение оказывают значительное влияние на мировую экономику и важны для преодоления цифрового</w:t>
      </w:r>
      <w:r w:rsidR="00871407" w:rsidRPr="00500A19">
        <w:t> </w:t>
      </w:r>
      <w:r w:rsidRPr="00500A19">
        <w:t>разрыва.</w:t>
      </w:r>
    </w:p>
    <w:p w14:paraId="61D85A03" w14:textId="60C87D25" w:rsidR="00945E28" w:rsidRPr="00500A19" w:rsidRDefault="00945E28" w:rsidP="00871407">
      <w:pPr>
        <w:rPr>
          <w:szCs w:val="24"/>
        </w:rPr>
      </w:pPr>
      <w:r w:rsidRPr="00500A19">
        <w:rPr>
          <w:szCs w:val="24"/>
        </w:rPr>
        <w:t>Согласно оценкам, приведенным в отчете МСЭ "Факты и цифры" за 2021 год, около 2,9 млрд. человек</w:t>
      </w:r>
      <w:r w:rsidR="00871407" w:rsidRPr="00500A19">
        <w:rPr>
          <w:szCs w:val="24"/>
        </w:rPr>
        <w:t> </w:t>
      </w:r>
      <w:r w:rsidRPr="00500A19">
        <w:rPr>
          <w:szCs w:val="24"/>
        </w:rPr>
        <w:t>– или 37% населения мира – по-прежнему лишены доступа к интернету. В развитых странах 90% населения подключено к интернету, в то время как в развивающихся странах</w:t>
      </w:r>
      <w:r w:rsidRPr="00500A19">
        <w:rPr>
          <w:rStyle w:val="FootnoteReference"/>
          <w:szCs w:val="24"/>
        </w:rPr>
        <w:footnoteReference w:id="22"/>
      </w:r>
      <w:r w:rsidRPr="00500A19">
        <w:rPr>
          <w:szCs w:val="24"/>
        </w:rPr>
        <w:t xml:space="preserve"> этот показатель составляет 57%, а в наименее развитых странах (НРС) – 27%. Из 37% людей, которые не имеют доступа к интернету, 5% не могут подключиться даже при желании из-за отсутствия покрытия сети ("разрыв в покрытии"), а 32% остаются неподключенными по другим причинам ("разрыв в</w:t>
      </w:r>
      <w:r w:rsidR="00871407" w:rsidRPr="00500A19">
        <w:rPr>
          <w:szCs w:val="24"/>
        </w:rPr>
        <w:t> </w:t>
      </w:r>
      <w:r w:rsidRPr="00500A19">
        <w:rPr>
          <w:szCs w:val="24"/>
        </w:rPr>
        <w:t>использовании").</w:t>
      </w:r>
    </w:p>
    <w:p w14:paraId="44020034" w14:textId="3602AFBF" w:rsidR="00945E28" w:rsidRPr="00500A19" w:rsidRDefault="00945E28" w:rsidP="00871407">
      <w:pPr>
        <w:rPr>
          <w:szCs w:val="24"/>
        </w:rPr>
      </w:pPr>
      <w:r w:rsidRPr="00500A19">
        <w:rPr>
          <w:szCs w:val="24"/>
        </w:rPr>
        <w:t>С начала пандемии коронавирусной болезни (COVID-19) наличие соединений сыграло важнейшую роль, позволив людям продолжать участвовать в повседневной социальной, политической и экономической деятельности, поскольку миллионы людей перешли на телеработу, дистанционное обучение, электронную коммерцию и телемедицинские услуги с использованием интернета. Почти</w:t>
      </w:r>
      <w:r w:rsidR="00871407" w:rsidRPr="00500A19">
        <w:rPr>
          <w:szCs w:val="24"/>
        </w:rPr>
        <w:t> </w:t>
      </w:r>
      <w:r w:rsidRPr="00500A19">
        <w:rPr>
          <w:szCs w:val="24"/>
        </w:rPr>
        <w:t>70% рабочей силы в некоторых странах перешли на телеработу, а 94% учащихся в мире пострадали от закрытия школ. К сожалению, по меньшей мере 31% детей школьного возраста из затронутого населения Земли до сих пор не имеют доступа к онлайновому образовательному</w:t>
      </w:r>
      <w:r w:rsidR="00871407" w:rsidRPr="00500A19">
        <w:rPr>
          <w:szCs w:val="24"/>
        </w:rPr>
        <w:t> </w:t>
      </w:r>
      <w:r w:rsidRPr="00500A19">
        <w:rPr>
          <w:szCs w:val="24"/>
        </w:rPr>
        <w:t>контенту.</w:t>
      </w:r>
    </w:p>
    <w:p w14:paraId="1BCE9FF0" w14:textId="77777777" w:rsidR="00945E28" w:rsidRPr="00500A19" w:rsidRDefault="00945E28" w:rsidP="00871407">
      <w:pPr>
        <w:rPr>
          <w:szCs w:val="24"/>
        </w:rPr>
      </w:pPr>
      <w:r w:rsidRPr="00500A19">
        <w:rPr>
          <w:szCs w:val="24"/>
        </w:rPr>
        <w:t>Диспропорции наблюдаются по странам. На глобальном уровне интернетом пользуются 48% женщин, в то время как для мужчин этот показатель составляет 55%. В развивающихся странах женщины пользуются интернетом почти на 10% реже, чем мужчины, в то время как в развитых странах – всего на 2% реже, чем мужчины. Гендерный разрыв еще больше увеличивается в НРС (15% женщин и 28% мужчин) и в ЛЛДС (21% женщин и 33% мужчин). Внедрение широкополосной связи напрямую влияет на вероятность того, что сообщество будет участвовать в цифровой экономике и извлекать выгоду из такого участия.</w:t>
      </w:r>
    </w:p>
    <w:p w14:paraId="60DA73E1" w14:textId="77777777" w:rsidR="00945E28" w:rsidRPr="00500A19" w:rsidRDefault="00945E28" w:rsidP="00871407">
      <w:pPr>
        <w:rPr>
          <w:szCs w:val="24"/>
        </w:rPr>
      </w:pPr>
      <w:r w:rsidRPr="00500A19">
        <w:rPr>
          <w:szCs w:val="24"/>
        </w:rPr>
        <w:t>В сообществах коренных народов цифровой разрыв имеет еще большее значение в увеличении экономического, образовательного и социального разрыва. Из-за малочисленности населения в сельских и отдаленных районах, которые характеризуются высокой численностью коренных народов, а также из-за проблем картирования широкополосной связи и сбора данных о широкополосной связи, имеющиеся источники информации часто предоставляют неполные данные о доступе к интернету и его внедрении. Методы повышения уровня подключения в этих районах оптимально сосредоточены на факторах на уровне домохозяйств и отдельных лиц и включают цену, наличие компьютеров или других устройств, наличие контента на местных языках и цифровых навыков.</w:t>
      </w:r>
    </w:p>
    <w:p w14:paraId="379C79B2" w14:textId="50728E69" w:rsidR="00945E28" w:rsidRPr="00500A19" w:rsidRDefault="00945E28" w:rsidP="00871407">
      <w:pPr>
        <w:rPr>
          <w:szCs w:val="24"/>
        </w:rPr>
      </w:pPr>
      <w:r w:rsidRPr="00500A19">
        <w:rPr>
          <w:szCs w:val="24"/>
        </w:rPr>
        <w:t xml:space="preserve">Заинтересованные стороны во всем мире все больше внимания уделяют устранению неравенства во внедрении широкополосной связи, инвестируя в подходы, которые решают задачу ценовой приемлемости устройств и услуг и подчеркивают важность цифровых навыков и цифровой грамотности для эффективного участия в глобальной экономике. По результатам исследования, проведенного МСЭ, менее 40% населения в 40% стран, охваченных исследованием, владеют </w:t>
      </w:r>
      <w:r w:rsidRPr="00500A19">
        <w:rPr>
          <w:szCs w:val="24"/>
        </w:rPr>
        <w:lastRenderedPageBreak/>
        <w:t>базовыми навыками ИКТ, в то время как в более чем 70% стран менее 40% населения владеют стандартными навыками ИКТ, и в более чем 95% стран менее 15% населения владеют продвинутыми</w:t>
      </w:r>
      <w:r w:rsidR="00871407" w:rsidRPr="00500A19">
        <w:rPr>
          <w:szCs w:val="24"/>
        </w:rPr>
        <w:t> </w:t>
      </w:r>
      <w:r w:rsidRPr="00500A19">
        <w:rPr>
          <w:szCs w:val="24"/>
        </w:rPr>
        <w:t>навыками ИКТ.</w:t>
      </w:r>
    </w:p>
    <w:p w14:paraId="08F57E47" w14:textId="77777777" w:rsidR="00945E28" w:rsidRPr="00500A19" w:rsidRDefault="00945E28" w:rsidP="00871407">
      <w:pPr>
        <w:rPr>
          <w:rFonts w:eastAsia="Malgun Gothic" w:cstheme="minorBidi"/>
          <w:kern w:val="2"/>
          <w:lang w:eastAsia="ko-KR"/>
          <w14:ligatures w14:val="standardContextual"/>
        </w:rPr>
      </w:pPr>
      <w:r w:rsidRPr="00500A19">
        <w:rPr>
          <w:szCs w:val="24"/>
        </w:rPr>
        <w:t>Для того чтобы сообщество могло полноценно участвовать в цифровой экономике, необходимо обеспечить широкое внедрение услуг и технологий широкополосной связи. Поскольку заинтересованные стороны во всем мире работают над развертыванием сетей широкополосной связи, важно также разработать и реализовать стратегии, позволяющие гражданам внедрять и эффективно использовать технологии, услуги и устройства широкополосной связи при наличии соответствующих цифровых навыков. Все чаще заинтересованные стороны используют местные языки и иконографию для повышения компьютерной и общей грамотности. В идеале все стратегии внедрения будут изучаться в контексте социальных, экономических и культурных факторов, с которыми сталкиваются люди в городских, сельских и отдаленных районах как развитых, так и развивающихся стран.</w:t>
      </w:r>
    </w:p>
    <w:p w14:paraId="4CFA30C0" w14:textId="50BEAF4F" w:rsidR="00945E28" w:rsidRPr="00500A19" w:rsidRDefault="00871407" w:rsidP="00871407">
      <w:pPr>
        <w:pStyle w:val="Headingb"/>
        <w:rPr>
          <w:lang w:val="ru-RU" w:eastAsia="ko-KR"/>
        </w:rPr>
      </w:pPr>
      <w:r w:rsidRPr="00500A19">
        <w:rPr>
          <w:lang w:val="ru-RU" w:eastAsia="ko-KR"/>
        </w:rPr>
        <w:t>2</w:t>
      </w:r>
      <w:r w:rsidRPr="00500A19">
        <w:rPr>
          <w:lang w:val="ru-RU" w:eastAsia="ko-KR"/>
        </w:rPr>
        <w:tab/>
      </w:r>
      <w:r w:rsidR="00945E28" w:rsidRPr="00500A19">
        <w:rPr>
          <w:lang w:val="ru-RU" w:eastAsia="ko-KR"/>
        </w:rPr>
        <w:t>Вопрос или предмет для изучения</w:t>
      </w:r>
    </w:p>
    <w:p w14:paraId="352D101D" w14:textId="0AB37AF4" w:rsidR="00945E28" w:rsidRPr="00500A19" w:rsidRDefault="00871407" w:rsidP="00871407">
      <w:pPr>
        <w:pStyle w:val="enumlev1"/>
        <w:rPr>
          <w:rFonts w:eastAsia="Malgun Gothic" w:cstheme="minorBidi"/>
          <w:kern w:val="2"/>
          <w14:ligatures w14:val="standardContextual"/>
        </w:rPr>
      </w:pPr>
      <w:r w:rsidRPr="00500A19">
        <w:t>1</w:t>
      </w:r>
      <w:r w:rsidRPr="00500A19">
        <w:tab/>
      </w:r>
      <w:r w:rsidR="00945E28" w:rsidRPr="00500A19">
        <w:t>Политика, регулирование и инициативы, направленные на разработку новых появляющихся технологий ИКТ, таких как ИИ, национальными регуляторными органами и другими национальными, региональными и международными организациями в целях создания условий для развития этих технологий и цифровой трансформации:</w:t>
      </w:r>
    </w:p>
    <w:p w14:paraId="1CD004A0" w14:textId="35C7432B" w:rsidR="00945E28" w:rsidRPr="00500A19" w:rsidRDefault="00871407" w:rsidP="00871407">
      <w:pPr>
        <w:pStyle w:val="enumlev2"/>
        <w:rPr>
          <w:rFonts w:eastAsia="Malgun Gothic" w:cstheme="minorBidi"/>
          <w:kern w:val="2"/>
          <w14:ligatures w14:val="standardContextual"/>
        </w:rPr>
      </w:pPr>
      <w:r w:rsidRPr="00500A19">
        <w:t>i</w:t>
      </w:r>
      <w:r w:rsidRPr="00500A19">
        <w:tab/>
      </w:r>
      <w:r w:rsidR="00945E28" w:rsidRPr="00500A19">
        <w:t>применение этих технологий, способы расширения возможностей традиционной отрасли ИКТ, а также предоставление информации о передовом опыте членам</w:t>
      </w:r>
      <w:r w:rsidRPr="00500A19">
        <w:t> </w:t>
      </w:r>
      <w:r w:rsidR="00945E28" w:rsidRPr="00500A19">
        <w:t>МСЭ;</w:t>
      </w:r>
    </w:p>
    <w:p w14:paraId="734E2AAA" w14:textId="215598BB" w:rsidR="00945E28" w:rsidRPr="00500A19" w:rsidRDefault="00871407" w:rsidP="00871407">
      <w:pPr>
        <w:pStyle w:val="enumlev2"/>
        <w:rPr>
          <w:rFonts w:eastAsia="Malgun Gothic" w:cstheme="minorBidi"/>
          <w:kern w:val="2"/>
          <w14:ligatures w14:val="standardContextual"/>
        </w:rPr>
      </w:pPr>
      <w:r w:rsidRPr="00500A19">
        <w:t>ii</w:t>
      </w:r>
      <w:r w:rsidRPr="00500A19">
        <w:tab/>
      </w:r>
      <w:r w:rsidR="00945E28" w:rsidRPr="00500A19">
        <w:t>использование этих технологий для достижения ЦУР и преодоления цифрового</w:t>
      </w:r>
      <w:r w:rsidRPr="00500A19">
        <w:t> </w:t>
      </w:r>
      <w:r w:rsidR="00945E28" w:rsidRPr="00500A19">
        <w:t>разрыва;</w:t>
      </w:r>
    </w:p>
    <w:p w14:paraId="18C7B2F9" w14:textId="041BB082" w:rsidR="00945E28" w:rsidRPr="00500A19" w:rsidRDefault="00871407" w:rsidP="00871407">
      <w:pPr>
        <w:pStyle w:val="enumlev2"/>
        <w:rPr>
          <w:rFonts w:eastAsia="Malgun Gothic" w:cstheme="minorBidi"/>
          <w:kern w:val="2"/>
          <w14:ligatures w14:val="standardContextual"/>
        </w:rPr>
      </w:pPr>
      <w:r w:rsidRPr="00500A19">
        <w:t>iii</w:t>
      </w:r>
      <w:r w:rsidRPr="00500A19">
        <w:tab/>
      </w:r>
      <w:r w:rsidR="00945E28" w:rsidRPr="00500A19">
        <w:t>подход к работе по созданию потенциала в сфере этих технологий;</w:t>
      </w:r>
    </w:p>
    <w:p w14:paraId="4029ADA2" w14:textId="0714A5CA" w:rsidR="00945E28" w:rsidRPr="00500A19" w:rsidRDefault="00871407" w:rsidP="00871407">
      <w:pPr>
        <w:pStyle w:val="enumlev1"/>
        <w:rPr>
          <w:lang w:eastAsia="ko-KR"/>
        </w:rPr>
      </w:pPr>
      <w:r w:rsidRPr="00500A19">
        <w:rPr>
          <w:lang w:eastAsia="ko-KR"/>
        </w:rPr>
        <w:t>2</w:t>
      </w:r>
      <w:r w:rsidRPr="00500A19">
        <w:rPr>
          <w:lang w:eastAsia="ko-KR"/>
        </w:rPr>
        <w:tab/>
      </w:r>
      <w:r w:rsidR="00945E28" w:rsidRPr="00500A19">
        <w:rPr>
          <w:lang w:eastAsia="ko-KR"/>
        </w:rPr>
        <w:t>средства, которые могут быть приняты для содействия эффективному сотрудничеству и обмену информацией между директивными и регуляторными органами;</w:t>
      </w:r>
    </w:p>
    <w:p w14:paraId="19F6FC04" w14:textId="41DCF763" w:rsidR="00945E28" w:rsidRPr="00500A19" w:rsidRDefault="00871407" w:rsidP="00871407">
      <w:pPr>
        <w:pStyle w:val="enumlev1"/>
      </w:pPr>
      <w:r w:rsidRPr="00500A19">
        <w:t>3</w:t>
      </w:r>
      <w:r w:rsidRPr="00500A19">
        <w:tab/>
      </w:r>
      <w:r w:rsidR="00945E28" w:rsidRPr="00500A19">
        <w:t>сотрудничество, касающееся новых появляющихся технологий ИКТ, с соответствующими исследовательскими Группами Докладчиков по Вопросам МСЭ-D;</w:t>
      </w:r>
    </w:p>
    <w:p w14:paraId="332EE8F7" w14:textId="30B31B79" w:rsidR="00945E28" w:rsidRPr="00500A19" w:rsidRDefault="00871407" w:rsidP="00871407">
      <w:pPr>
        <w:pStyle w:val="enumlev1"/>
      </w:pPr>
      <w:r w:rsidRPr="00500A19">
        <w:t>4</w:t>
      </w:r>
      <w:r w:rsidRPr="00500A19">
        <w:tab/>
      </w:r>
      <w:r w:rsidR="00945E28" w:rsidRPr="00500A19">
        <w:t>обеспечение надлежащего дизайна инфраструктуры, гарантирующего устойчивость к любому потенциальному прерыванию соединений (упреждающий подход на этапе</w:t>
      </w:r>
      <w:r w:rsidRPr="00500A19">
        <w:t> </w:t>
      </w:r>
      <w:r w:rsidR="00945E28" w:rsidRPr="00500A19">
        <w:t>проектирования);</w:t>
      </w:r>
    </w:p>
    <w:p w14:paraId="29AC1875" w14:textId="0958400B" w:rsidR="00945E28" w:rsidRPr="00500A19" w:rsidRDefault="00871407" w:rsidP="00871407">
      <w:pPr>
        <w:pStyle w:val="enumlev1"/>
      </w:pPr>
      <w:r w:rsidRPr="00500A19">
        <w:t>5</w:t>
      </w:r>
      <w:r w:rsidRPr="00500A19">
        <w:tab/>
      </w:r>
      <w:r w:rsidR="00945E28" w:rsidRPr="00500A19">
        <w:t>подходы к управлению восстановлением подключения в случае неисправности или сбоя сети (оперативный аспект реагирования);</w:t>
      </w:r>
    </w:p>
    <w:p w14:paraId="4A331A58" w14:textId="154CEBB3" w:rsidR="00945E28" w:rsidRPr="00500A19" w:rsidRDefault="00871407" w:rsidP="00871407">
      <w:pPr>
        <w:pStyle w:val="enumlev1"/>
        <w:rPr>
          <w:lang w:eastAsia="ko-KR"/>
        </w:rPr>
      </w:pPr>
      <w:r w:rsidRPr="00500A19">
        <w:rPr>
          <w:lang w:eastAsia="ko-KR"/>
        </w:rPr>
        <w:t>6</w:t>
      </w:r>
      <w:r w:rsidRPr="00500A19">
        <w:rPr>
          <w:lang w:eastAsia="ko-KR"/>
        </w:rPr>
        <w:tab/>
      </w:r>
      <w:r w:rsidR="00945E28" w:rsidRPr="00500A19">
        <w:rPr>
          <w:lang w:eastAsia="ko-KR"/>
        </w:rPr>
        <w:t>анализ возможностей, проблем и неравенства при внедрении электросвязи/ИКТ, в том числе широкополосной связи;</w:t>
      </w:r>
    </w:p>
    <w:p w14:paraId="258673A4" w14:textId="3A04D4C5" w:rsidR="00945E28" w:rsidRPr="00500A19" w:rsidRDefault="00871407" w:rsidP="00871407">
      <w:pPr>
        <w:pStyle w:val="enumlev1"/>
        <w:rPr>
          <w:lang w:eastAsia="ko-KR"/>
        </w:rPr>
      </w:pPr>
      <w:r w:rsidRPr="00500A19">
        <w:rPr>
          <w:lang w:eastAsia="ko-KR"/>
        </w:rPr>
        <w:t>7</w:t>
      </w:r>
      <w:r w:rsidRPr="00500A19">
        <w:rPr>
          <w:lang w:eastAsia="ko-KR"/>
        </w:rPr>
        <w:tab/>
      </w:r>
      <w:r w:rsidR="00945E28" w:rsidRPr="00500A19">
        <w:rPr>
          <w:lang w:eastAsia="ko-KR"/>
        </w:rPr>
        <w:t>тенденции внедрения электросвязи/ИКТ, в том числе широкополосной связи во всем мире, в том числе в городских, сельских, отдаленных и других районах;</w:t>
      </w:r>
    </w:p>
    <w:p w14:paraId="320F33F8" w14:textId="0E3F9A94" w:rsidR="00945E28" w:rsidRPr="00500A19" w:rsidRDefault="00871407" w:rsidP="00871407">
      <w:pPr>
        <w:pStyle w:val="enumlev1"/>
        <w:rPr>
          <w:lang w:eastAsia="ko-KR"/>
        </w:rPr>
      </w:pPr>
      <w:r w:rsidRPr="00500A19">
        <w:rPr>
          <w:lang w:eastAsia="ko-KR"/>
        </w:rPr>
        <w:t>8</w:t>
      </w:r>
      <w:r w:rsidRPr="00500A19">
        <w:rPr>
          <w:lang w:eastAsia="ko-KR"/>
        </w:rPr>
        <w:tab/>
      </w:r>
      <w:r w:rsidR="00945E28" w:rsidRPr="00500A19">
        <w:rPr>
          <w:lang w:eastAsia="ko-KR"/>
        </w:rPr>
        <w:t>тенденции в интернет-трафике и влияние на спрос на высокоскоростную широкополосную связь, в том числе в условиях пандемий и стихийных бедствий;</w:t>
      </w:r>
    </w:p>
    <w:p w14:paraId="0C497F53" w14:textId="2D70D2B7" w:rsidR="00945E28" w:rsidRPr="00500A19" w:rsidRDefault="00871407" w:rsidP="00871407">
      <w:pPr>
        <w:pStyle w:val="enumlev1"/>
        <w:rPr>
          <w:lang w:eastAsia="ko-KR"/>
        </w:rPr>
      </w:pPr>
      <w:r w:rsidRPr="00500A19">
        <w:rPr>
          <w:lang w:eastAsia="ko-KR"/>
        </w:rPr>
        <w:t>9</w:t>
      </w:r>
      <w:r w:rsidRPr="00500A19">
        <w:rPr>
          <w:lang w:eastAsia="ko-KR"/>
        </w:rPr>
        <w:tab/>
      </w:r>
      <w:r w:rsidR="00945E28" w:rsidRPr="00500A19">
        <w:rPr>
          <w:lang w:eastAsia="ko-KR"/>
        </w:rPr>
        <w:t>тенденции в развитии цифровых навыков и программах подготовки;</w:t>
      </w:r>
    </w:p>
    <w:p w14:paraId="7AA6388A" w14:textId="5DC2C209" w:rsidR="00945E28" w:rsidRPr="00500A19" w:rsidRDefault="00871407" w:rsidP="00871407">
      <w:pPr>
        <w:pStyle w:val="enumlev1"/>
        <w:rPr>
          <w:lang w:eastAsia="ko-KR"/>
        </w:rPr>
      </w:pPr>
      <w:r w:rsidRPr="00500A19">
        <w:rPr>
          <w:lang w:eastAsia="ko-KR"/>
        </w:rPr>
        <w:t>10</w:t>
      </w:r>
      <w:r w:rsidRPr="00500A19">
        <w:rPr>
          <w:lang w:eastAsia="ko-KR"/>
        </w:rPr>
        <w:tab/>
      </w:r>
      <w:r w:rsidR="00945E28" w:rsidRPr="00500A19">
        <w:rPr>
          <w:lang w:eastAsia="ko-KR"/>
        </w:rPr>
        <w:t>методы продвижения и поощрения цифровой грамотности, обучения и развития навыков на всех уровнях глобальной социально-экономической системы для устранения разрыва в цифровых навыках;</w:t>
      </w:r>
    </w:p>
    <w:p w14:paraId="55D3F879" w14:textId="5EE594B8" w:rsidR="00945E28" w:rsidRPr="00500A19" w:rsidRDefault="00871407" w:rsidP="00871407">
      <w:pPr>
        <w:pStyle w:val="enumlev1"/>
        <w:rPr>
          <w:lang w:eastAsia="ko-KR"/>
        </w:rPr>
      </w:pPr>
      <w:r w:rsidRPr="00500A19">
        <w:rPr>
          <w:lang w:eastAsia="ko-KR"/>
        </w:rPr>
        <w:t>11</w:t>
      </w:r>
      <w:r w:rsidRPr="00500A19">
        <w:rPr>
          <w:lang w:eastAsia="ko-KR"/>
        </w:rPr>
        <w:tab/>
      </w:r>
      <w:r w:rsidR="00945E28" w:rsidRPr="00500A19">
        <w:rPr>
          <w:lang w:eastAsia="ko-KR"/>
        </w:rPr>
        <w:t>подходы к укреплению обучения цифровым навыкам для внедрения электронных услуг, включая электронное сельское хозяйство, электронную торговлю, электронное образование и электронное здравоохранение;</w:t>
      </w:r>
    </w:p>
    <w:p w14:paraId="3FF01AFD" w14:textId="2A7D1088" w:rsidR="00945E28" w:rsidRPr="00500A19" w:rsidRDefault="00871407" w:rsidP="00871407">
      <w:pPr>
        <w:pStyle w:val="enumlev1"/>
        <w:rPr>
          <w:lang w:eastAsia="ko-KR"/>
        </w:rPr>
      </w:pPr>
      <w:r w:rsidRPr="00500A19">
        <w:rPr>
          <w:lang w:eastAsia="ko-KR"/>
        </w:rPr>
        <w:lastRenderedPageBreak/>
        <w:t>12</w:t>
      </w:r>
      <w:r w:rsidRPr="00500A19">
        <w:rPr>
          <w:lang w:eastAsia="ko-KR"/>
        </w:rPr>
        <w:tab/>
      </w:r>
      <w:r w:rsidR="00945E28" w:rsidRPr="00500A19">
        <w:rPr>
          <w:lang w:eastAsia="ko-KR"/>
        </w:rPr>
        <w:t>способы поощрения внедрения услуг и устройств электросвязи/ИКТ среди детей школьного возраста и молодежи и обучения их базовым, стандартным и продвинутым цифровым навыкам, с тем чтобы они могли полноценно участвовать в жизни цифрового общества;</w:t>
      </w:r>
    </w:p>
    <w:p w14:paraId="79483E5D" w14:textId="502B7388" w:rsidR="00945E28" w:rsidRPr="00500A19" w:rsidRDefault="00871407" w:rsidP="00871407">
      <w:pPr>
        <w:pStyle w:val="enumlev1"/>
        <w:rPr>
          <w:lang w:eastAsia="ko-KR"/>
        </w:rPr>
      </w:pPr>
      <w:r w:rsidRPr="00500A19">
        <w:rPr>
          <w:lang w:eastAsia="ko-KR"/>
        </w:rPr>
        <w:t>13</w:t>
      </w:r>
      <w:r w:rsidRPr="00500A19">
        <w:rPr>
          <w:lang w:eastAsia="ko-KR"/>
        </w:rPr>
        <w:tab/>
      </w:r>
      <w:r w:rsidR="00945E28" w:rsidRPr="00500A19">
        <w:rPr>
          <w:lang w:eastAsia="ko-KR"/>
        </w:rPr>
        <w:t>пути поощрения широкого внедрения новых и появляющихся услуг и технологий электросвязи/ИКТ для расширения возможности установления быстрых и надежных соединений для всех, включая женщин и отдельных лиц в развивающихся и наименее развитых странах (НРС), развивающихся странах, не имеющих выхода к морю (ЛЛДС), и малых островных развивающихся государствах (СИДС);</w:t>
      </w:r>
    </w:p>
    <w:p w14:paraId="638D698C" w14:textId="489EF5EA" w:rsidR="00945E28" w:rsidRPr="00500A19" w:rsidRDefault="00871407" w:rsidP="00871407">
      <w:pPr>
        <w:pStyle w:val="enumlev1"/>
        <w:rPr>
          <w:lang w:eastAsia="ko-KR"/>
        </w:rPr>
      </w:pPr>
      <w:r w:rsidRPr="00500A19">
        <w:rPr>
          <w:lang w:eastAsia="ko-KR"/>
        </w:rPr>
        <w:t>14</w:t>
      </w:r>
      <w:r w:rsidRPr="00500A19">
        <w:rPr>
          <w:lang w:eastAsia="ko-KR"/>
        </w:rPr>
        <w:tab/>
      </w:r>
      <w:r w:rsidR="00945E28" w:rsidRPr="00500A19">
        <w:rPr>
          <w:lang w:eastAsia="ko-KR"/>
        </w:rPr>
        <w:t>стратегии и политика, направленные на удешевление устройств с поддержкой доступа в интернет, включая мобильные телефоны и услуги передачи данных, для удовлетворения растущего спроса на приемлемые в ценовом отношении интернет-услуги и устройства (в</w:t>
      </w:r>
      <w:r w:rsidRPr="00500A19">
        <w:rPr>
          <w:lang w:eastAsia="ko-KR"/>
        </w:rPr>
        <w:t> </w:t>
      </w:r>
      <w:r w:rsidR="00945E28" w:rsidRPr="00500A19">
        <w:rPr>
          <w:lang w:eastAsia="ko-KR"/>
        </w:rPr>
        <w:t>сотрудничестве с Группой Докладчика по Вопросу 4/1);</w:t>
      </w:r>
    </w:p>
    <w:p w14:paraId="43171220" w14:textId="7C64994E" w:rsidR="00945E28" w:rsidRPr="00500A19" w:rsidRDefault="00871407" w:rsidP="00871407">
      <w:pPr>
        <w:pStyle w:val="enumlev1"/>
        <w:rPr>
          <w:lang w:eastAsia="ko-KR"/>
        </w:rPr>
      </w:pPr>
      <w:r w:rsidRPr="00500A19">
        <w:rPr>
          <w:lang w:eastAsia="ko-KR"/>
        </w:rPr>
        <w:t>15</w:t>
      </w:r>
      <w:r w:rsidRPr="00500A19">
        <w:rPr>
          <w:lang w:eastAsia="ko-KR"/>
        </w:rPr>
        <w:tab/>
      </w:r>
      <w:r w:rsidR="00945E28" w:rsidRPr="00500A19">
        <w:rPr>
          <w:lang w:eastAsia="ko-KR"/>
        </w:rPr>
        <w:t>влияние культурных, социальных и других факторов на создание уникальных и зачастую творческих методов стимулирования внедрения электронных услуг среди жителей развивающихся стран, включая актуальный контент на местных языках.</w:t>
      </w:r>
    </w:p>
    <w:p w14:paraId="5F046964" w14:textId="77777777" w:rsidR="00871407" w:rsidRPr="00500A19" w:rsidRDefault="00871407" w:rsidP="00871407">
      <w:pPr>
        <w:pStyle w:val="enumlev1"/>
        <w:rPr>
          <w:lang w:eastAsia="ko-KR"/>
        </w:rPr>
      </w:pPr>
    </w:p>
    <w:p w14:paraId="326F99C6" w14:textId="77777777" w:rsidR="00945E28" w:rsidRPr="00500A19" w:rsidRDefault="00945E28" w:rsidP="45F85149">
      <w:pPr>
        <w:overflowPunct/>
        <w:autoSpaceDE/>
        <w:autoSpaceDN/>
        <w:adjustRightInd/>
        <w:spacing w:after="120"/>
        <w:jc w:val="center"/>
        <w:textAlignment w:val="auto"/>
        <w:rPr>
          <w:rFonts w:eastAsia="Calibri" w:cs="Calibri"/>
          <w:b/>
          <w:bCs/>
          <w:color w:val="000000" w:themeColor="text1"/>
        </w:rPr>
      </w:pPr>
      <w:r w:rsidRPr="00500A19">
        <w:rPr>
          <w:rFonts w:eastAsia="Calibri" w:cs="Calibri"/>
          <w:b/>
          <w:bCs/>
          <w:color w:val="000000" w:themeColor="text1"/>
        </w:rPr>
        <w:br w:type="page"/>
      </w:r>
    </w:p>
    <w:p w14:paraId="7E6B1632" w14:textId="77777777" w:rsidR="00945E28" w:rsidRPr="00500A19" w:rsidRDefault="00945E28" w:rsidP="0007071B">
      <w:pPr>
        <w:pStyle w:val="AnnexNo"/>
      </w:pPr>
      <w:r w:rsidRPr="00500A19">
        <w:lastRenderedPageBreak/>
        <w:t>Приложение F</w:t>
      </w:r>
    </w:p>
    <w:p w14:paraId="6D3F7120" w14:textId="1400214C" w:rsidR="00945E28" w:rsidRPr="00500A19" w:rsidRDefault="0007071B" w:rsidP="0007071B">
      <w:pPr>
        <w:pStyle w:val="Annextitle"/>
      </w:pPr>
      <w:r w:rsidRPr="00500A19">
        <w:t>Предложения по упорядочению резолюций</w:t>
      </w:r>
    </w:p>
    <w:p w14:paraId="35E3C74C" w14:textId="77777777" w:rsidR="00945E28" w:rsidRPr="00500A19" w:rsidRDefault="00945E28" w:rsidP="0007071B">
      <w:pPr>
        <w:pStyle w:val="Heading1"/>
        <w:jc w:val="center"/>
      </w:pPr>
      <w:r w:rsidRPr="00500A19">
        <w:t>Председатель КГРЭ-РГ-SR</w:t>
      </w:r>
    </w:p>
    <w:p w14:paraId="7E616D05" w14:textId="77777777" w:rsidR="00945E28" w:rsidRPr="00500A19" w:rsidRDefault="00945E28" w:rsidP="0007071B">
      <w:pPr>
        <w:pStyle w:val="Title1"/>
        <w:spacing w:after="120"/>
        <w:rPr>
          <w:caps/>
        </w:rPr>
      </w:pPr>
      <w:r w:rsidRPr="00500A19">
        <w:t>Отчет о деятельности Рабочей группы КГРЭ по упорядочению Резолюций (КГРЭ-РГ-SR)</w:t>
      </w:r>
    </w:p>
    <w:tbl>
      <w:tblPr>
        <w:tblStyle w:val="TableGrid"/>
        <w:tblW w:w="0" w:type="auto"/>
        <w:tblLook w:val="04A0" w:firstRow="1" w:lastRow="0" w:firstColumn="1" w:lastColumn="0" w:noHBand="0" w:noVBand="1"/>
      </w:tblPr>
      <w:tblGrid>
        <w:gridCol w:w="9629"/>
      </w:tblGrid>
      <w:tr w:rsidR="00945E28" w:rsidRPr="00500A19" w14:paraId="0BB42D06" w14:textId="77777777">
        <w:tc>
          <w:tcPr>
            <w:tcW w:w="9629" w:type="dxa"/>
          </w:tcPr>
          <w:p w14:paraId="7AA064C7" w14:textId="77777777" w:rsidR="00945E28" w:rsidRPr="00500A19" w:rsidRDefault="00945E28" w:rsidP="008B6441">
            <w:pPr>
              <w:rPr>
                <w:b/>
                <w:bCs/>
                <w:sz w:val="24"/>
                <w:szCs w:val="24"/>
              </w:rPr>
            </w:pPr>
            <w:r w:rsidRPr="00500A19">
              <w:rPr>
                <w:b/>
                <w:bCs/>
                <w:sz w:val="24"/>
                <w:szCs w:val="24"/>
              </w:rPr>
              <w:t>Резюме</w:t>
            </w:r>
          </w:p>
          <w:p w14:paraId="7647322E" w14:textId="77777777" w:rsidR="00945E28" w:rsidRPr="00500A19" w:rsidRDefault="00945E28" w:rsidP="004D4614">
            <w:pPr>
              <w:tabs>
                <w:tab w:val="left" w:pos="1134"/>
                <w:tab w:val="left" w:pos="1871"/>
                <w:tab w:val="left" w:pos="2268"/>
              </w:tabs>
              <w:rPr>
                <w:szCs w:val="22"/>
              </w:rPr>
            </w:pPr>
            <w:r w:rsidRPr="00500A19">
              <w:rPr>
                <w:szCs w:val="22"/>
              </w:rPr>
              <w:t>В настоящем документе представлен отчет о деятельности Рабочей группы КГРЭ по упорядочению Резолюций (КГРЭ-РГ-SR).</w:t>
            </w:r>
          </w:p>
          <w:p w14:paraId="245D13B6" w14:textId="77777777" w:rsidR="00945E28" w:rsidRPr="00500A19" w:rsidRDefault="00945E28" w:rsidP="008B6441">
            <w:pPr>
              <w:rPr>
                <w:b/>
              </w:rPr>
            </w:pPr>
            <w:r w:rsidRPr="00500A19">
              <w:rPr>
                <w:b/>
                <w:bCs/>
                <w:sz w:val="24"/>
                <w:szCs w:val="24"/>
              </w:rPr>
              <w:t>Необходимые действия</w:t>
            </w:r>
          </w:p>
          <w:p w14:paraId="21C9F07B" w14:textId="77777777" w:rsidR="00945E28" w:rsidRPr="00500A19" w:rsidRDefault="00945E28" w:rsidP="004D4614">
            <w:pPr>
              <w:tabs>
                <w:tab w:val="left" w:pos="1134"/>
                <w:tab w:val="left" w:pos="1871"/>
                <w:tab w:val="left" w:pos="2268"/>
              </w:tabs>
              <w:rPr>
                <w:szCs w:val="22"/>
              </w:rPr>
            </w:pPr>
            <w:r w:rsidRPr="00500A19">
              <w:rPr>
                <w:szCs w:val="22"/>
              </w:rPr>
              <w:t>КГРЭ предлагается принять настоящий документ к сведению и предоставить руководящие указания, которые она сочтет необходимыми.</w:t>
            </w:r>
          </w:p>
          <w:p w14:paraId="5B1B5D79" w14:textId="77777777" w:rsidR="00945E28" w:rsidRPr="00500A19" w:rsidRDefault="00945E28" w:rsidP="008B6441">
            <w:pPr>
              <w:rPr>
                <w:b/>
              </w:rPr>
            </w:pPr>
            <w:r w:rsidRPr="00500A19">
              <w:rPr>
                <w:b/>
                <w:bCs/>
                <w:sz w:val="24"/>
                <w:szCs w:val="24"/>
              </w:rPr>
              <w:t>Справочные материалы</w:t>
            </w:r>
          </w:p>
          <w:p w14:paraId="2F0FC98F" w14:textId="0049EE0C" w:rsidR="00945E28" w:rsidRPr="00500A19" w:rsidRDefault="00945E28" w:rsidP="0007071B">
            <w:pPr>
              <w:tabs>
                <w:tab w:val="left" w:pos="1134"/>
                <w:tab w:val="left" w:pos="1871"/>
                <w:tab w:val="left" w:pos="2268"/>
              </w:tabs>
              <w:spacing w:after="120"/>
              <w:rPr>
                <w:rFonts w:cs="Times New Roman Bold"/>
                <w:b/>
                <w:szCs w:val="22"/>
              </w:rPr>
            </w:pPr>
            <w:r w:rsidRPr="00500A19">
              <w:rPr>
                <w:szCs w:val="22"/>
              </w:rPr>
              <w:t>Заключительный отчет ВКРЭ-17</w:t>
            </w:r>
            <w:r w:rsidR="0007071B" w:rsidRPr="00500A19">
              <w:rPr>
                <w:szCs w:val="22"/>
              </w:rPr>
              <w:br/>
            </w:r>
            <w:r w:rsidRPr="00500A19">
              <w:rPr>
                <w:szCs w:val="22"/>
              </w:rPr>
              <w:t>Заключительный отчет ВКРЭ-22</w:t>
            </w:r>
          </w:p>
        </w:tc>
      </w:tr>
    </w:tbl>
    <w:p w14:paraId="1A2FE9E4" w14:textId="77777777" w:rsidR="00945E28" w:rsidRPr="00500A19" w:rsidRDefault="00945E28" w:rsidP="0007071B">
      <w:pPr>
        <w:pStyle w:val="Heading1"/>
        <w:spacing w:after="120"/>
        <w:rPr>
          <w:rFonts w:cs="Calibri"/>
          <w:bCs/>
          <w:szCs w:val="24"/>
        </w:rPr>
      </w:pPr>
      <w:r w:rsidRPr="00500A19">
        <w:t>A</w:t>
      </w:r>
      <w:r w:rsidRPr="00500A19">
        <w:tab/>
        <w:t>Рабочая группа КГРЭ по упорядочению Резолюций (КГРЭ-РГ-SR) провела шесть (6) собраний, которые перечислены ниже</w:t>
      </w:r>
      <w:r w:rsidRPr="00500A19">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4"/>
        <w:gridCol w:w="2193"/>
        <w:gridCol w:w="4672"/>
      </w:tblGrid>
      <w:tr w:rsidR="00945E28" w:rsidRPr="00500A19" w14:paraId="2D9893AF" w14:textId="77777777" w:rsidTr="0007071B">
        <w:trPr>
          <w:trHeight w:val="239"/>
        </w:trPr>
        <w:tc>
          <w:tcPr>
            <w:tcW w:w="1435" w:type="pct"/>
            <w:shd w:val="clear" w:color="auto" w:fill="C6D9F1"/>
          </w:tcPr>
          <w:p w14:paraId="3B2C97D6" w14:textId="77777777" w:rsidR="00945E28" w:rsidRPr="00500A19" w:rsidRDefault="00945E28" w:rsidP="0007071B">
            <w:pPr>
              <w:pStyle w:val="Tablehead"/>
              <w:rPr>
                <w:sz w:val="22"/>
                <w:szCs w:val="22"/>
                <w14:ligatures w14:val="standardContextual"/>
              </w:rPr>
            </w:pPr>
            <w:r w:rsidRPr="00500A19">
              <w:t>Название собрания</w:t>
            </w:r>
          </w:p>
        </w:tc>
        <w:tc>
          <w:tcPr>
            <w:tcW w:w="1139" w:type="pct"/>
            <w:shd w:val="clear" w:color="auto" w:fill="C6D9F1"/>
            <w:tcMar>
              <w:top w:w="0" w:type="dxa"/>
              <w:left w:w="108" w:type="dxa"/>
              <w:bottom w:w="0" w:type="dxa"/>
              <w:right w:w="108" w:type="dxa"/>
            </w:tcMar>
            <w:hideMark/>
          </w:tcPr>
          <w:p w14:paraId="38C9B593" w14:textId="77777777" w:rsidR="00945E28" w:rsidRPr="00500A19" w:rsidRDefault="00945E28" w:rsidP="0007071B">
            <w:pPr>
              <w:pStyle w:val="Tablehead"/>
              <w:rPr>
                <w:sz w:val="22"/>
                <w:szCs w:val="22"/>
                <w14:ligatures w14:val="standardContextual"/>
              </w:rPr>
            </w:pPr>
            <w:r w:rsidRPr="00500A19">
              <w:t>Даты</w:t>
            </w:r>
          </w:p>
        </w:tc>
        <w:tc>
          <w:tcPr>
            <w:tcW w:w="2426" w:type="pct"/>
            <w:shd w:val="clear" w:color="auto" w:fill="C6D9F1"/>
            <w:tcMar>
              <w:top w:w="0" w:type="dxa"/>
              <w:left w:w="108" w:type="dxa"/>
              <w:bottom w:w="0" w:type="dxa"/>
              <w:right w:w="108" w:type="dxa"/>
            </w:tcMar>
            <w:hideMark/>
          </w:tcPr>
          <w:p w14:paraId="2D479129" w14:textId="77777777" w:rsidR="00945E28" w:rsidRPr="00500A19" w:rsidRDefault="00945E28" w:rsidP="0007071B">
            <w:pPr>
              <w:pStyle w:val="Tablehead"/>
              <w:rPr>
                <w:sz w:val="22"/>
                <w:szCs w:val="22"/>
              </w:rPr>
            </w:pPr>
            <w:r w:rsidRPr="00500A19">
              <w:t>Цель</w:t>
            </w:r>
          </w:p>
        </w:tc>
      </w:tr>
      <w:tr w:rsidR="00945E28" w:rsidRPr="00500A19" w14:paraId="6CE319BB" w14:textId="77777777" w:rsidTr="0007071B">
        <w:trPr>
          <w:trHeight w:val="300"/>
        </w:trPr>
        <w:tc>
          <w:tcPr>
            <w:tcW w:w="1435" w:type="pct"/>
            <w:vAlign w:val="center"/>
          </w:tcPr>
          <w:p w14:paraId="5166667B" w14:textId="77777777" w:rsidR="00945E28" w:rsidRPr="00500A19" w:rsidRDefault="00945E28" w:rsidP="0007071B">
            <w:pPr>
              <w:pStyle w:val="Tabletext"/>
              <w:jc w:val="center"/>
              <w:rPr>
                <w:sz w:val="22"/>
                <w:szCs w:val="22"/>
                <w14:ligatures w14:val="standardContextual"/>
              </w:rPr>
            </w:pPr>
            <w:r w:rsidRPr="00500A19">
              <w:t>1-е собрание КГРЭ-РГ-SR</w:t>
            </w:r>
          </w:p>
        </w:tc>
        <w:tc>
          <w:tcPr>
            <w:tcW w:w="1139" w:type="pct"/>
            <w:tcMar>
              <w:top w:w="0" w:type="dxa"/>
              <w:left w:w="108" w:type="dxa"/>
              <w:bottom w:w="0" w:type="dxa"/>
              <w:right w:w="108" w:type="dxa"/>
            </w:tcMar>
            <w:vAlign w:val="center"/>
            <w:hideMark/>
          </w:tcPr>
          <w:p w14:paraId="60766894" w14:textId="77777777" w:rsidR="00945E28" w:rsidRPr="00500A19" w:rsidRDefault="00945E28" w:rsidP="0007071B">
            <w:pPr>
              <w:pStyle w:val="Tabletext"/>
              <w:jc w:val="center"/>
              <w:rPr>
                <w:sz w:val="22"/>
                <w:szCs w:val="22"/>
                <w14:ligatures w14:val="standardContextual"/>
              </w:rPr>
            </w:pPr>
            <w:r w:rsidRPr="00500A19">
              <w:t>18 апреля 2024 г.</w:t>
            </w:r>
          </w:p>
        </w:tc>
        <w:tc>
          <w:tcPr>
            <w:tcW w:w="2426" w:type="pct"/>
            <w:tcMar>
              <w:top w:w="0" w:type="dxa"/>
              <w:left w:w="108" w:type="dxa"/>
              <w:bottom w:w="0" w:type="dxa"/>
              <w:right w:w="108" w:type="dxa"/>
            </w:tcMar>
            <w:hideMark/>
          </w:tcPr>
          <w:p w14:paraId="3996E52F" w14:textId="77777777" w:rsidR="00945E28" w:rsidRPr="00500A19" w:rsidRDefault="00945E28" w:rsidP="0007071B">
            <w:pPr>
              <w:pStyle w:val="Tabletext"/>
              <w:rPr>
                <w:sz w:val="22"/>
                <w:szCs w:val="22"/>
              </w:rPr>
            </w:pPr>
            <w:r w:rsidRPr="00500A19">
              <w:t xml:space="preserve">Доработка круга ведения </w:t>
            </w:r>
            <w:r w:rsidRPr="00500A19">
              <w:br/>
              <w:t>Предложение о представлении вкладов</w:t>
            </w:r>
          </w:p>
        </w:tc>
      </w:tr>
      <w:tr w:rsidR="00945E28" w:rsidRPr="00500A19" w14:paraId="461BAA72" w14:textId="77777777" w:rsidTr="0007071B">
        <w:trPr>
          <w:trHeight w:val="300"/>
        </w:trPr>
        <w:tc>
          <w:tcPr>
            <w:tcW w:w="1435" w:type="pct"/>
            <w:vAlign w:val="center"/>
          </w:tcPr>
          <w:p w14:paraId="5F5F1D15" w14:textId="77777777" w:rsidR="00945E28" w:rsidRPr="00500A19" w:rsidRDefault="00945E28" w:rsidP="0007071B">
            <w:pPr>
              <w:pStyle w:val="Tabletext"/>
              <w:jc w:val="center"/>
              <w:rPr>
                <w:sz w:val="22"/>
                <w:szCs w:val="22"/>
                <w14:ligatures w14:val="standardContextual"/>
              </w:rPr>
            </w:pPr>
            <w:r w:rsidRPr="00500A19">
              <w:t>2-е собрание КГРЭ-РГ-SR</w:t>
            </w:r>
          </w:p>
        </w:tc>
        <w:tc>
          <w:tcPr>
            <w:tcW w:w="1139" w:type="pct"/>
            <w:tcMar>
              <w:top w:w="0" w:type="dxa"/>
              <w:left w:w="108" w:type="dxa"/>
              <w:bottom w:w="0" w:type="dxa"/>
              <w:right w:w="108" w:type="dxa"/>
            </w:tcMar>
            <w:vAlign w:val="center"/>
            <w:hideMark/>
          </w:tcPr>
          <w:p w14:paraId="5EEB9C19" w14:textId="77777777" w:rsidR="00945E28" w:rsidRPr="00500A19" w:rsidRDefault="00945E28" w:rsidP="0007071B">
            <w:pPr>
              <w:pStyle w:val="Tabletext"/>
              <w:jc w:val="center"/>
              <w:rPr>
                <w:sz w:val="22"/>
                <w:szCs w:val="22"/>
                <w14:ligatures w14:val="standardContextual"/>
              </w:rPr>
            </w:pPr>
            <w:r w:rsidRPr="00500A19">
              <w:t>21 мая 2024 г.</w:t>
            </w:r>
          </w:p>
        </w:tc>
        <w:tc>
          <w:tcPr>
            <w:tcW w:w="2426" w:type="pct"/>
            <w:tcMar>
              <w:top w:w="0" w:type="dxa"/>
              <w:left w:w="108" w:type="dxa"/>
              <w:bottom w:w="0" w:type="dxa"/>
              <w:right w:w="108" w:type="dxa"/>
            </w:tcMar>
            <w:hideMark/>
          </w:tcPr>
          <w:p w14:paraId="0FD05363" w14:textId="77777777" w:rsidR="00945E28" w:rsidRPr="00500A19" w:rsidRDefault="00945E28" w:rsidP="0007071B">
            <w:pPr>
              <w:pStyle w:val="Tabletext"/>
              <w:rPr>
                <w:sz w:val="22"/>
                <w:szCs w:val="22"/>
              </w:rPr>
            </w:pPr>
            <w:r w:rsidRPr="00500A19">
              <w:t>Завершение работы над кругом ведения</w:t>
            </w:r>
            <w:r w:rsidRPr="00500A19">
              <w:br/>
              <w:t>Предложение о представлении вкладов</w:t>
            </w:r>
          </w:p>
        </w:tc>
      </w:tr>
      <w:tr w:rsidR="00945E28" w:rsidRPr="00500A19" w14:paraId="4D49846E" w14:textId="77777777" w:rsidTr="0007071B">
        <w:trPr>
          <w:trHeight w:val="300"/>
        </w:trPr>
        <w:tc>
          <w:tcPr>
            <w:tcW w:w="1435" w:type="pct"/>
            <w:vAlign w:val="center"/>
          </w:tcPr>
          <w:p w14:paraId="2E66BB12" w14:textId="77777777" w:rsidR="00945E28" w:rsidRPr="00500A19" w:rsidRDefault="00945E28" w:rsidP="0007071B">
            <w:pPr>
              <w:pStyle w:val="Tabletext"/>
              <w:jc w:val="center"/>
              <w:rPr>
                <w:sz w:val="22"/>
                <w:szCs w:val="22"/>
                <w14:ligatures w14:val="standardContextual"/>
              </w:rPr>
            </w:pPr>
            <w:r w:rsidRPr="00500A19">
              <w:t>3-е собрание КГРЭ-РГ-SR</w:t>
            </w:r>
          </w:p>
        </w:tc>
        <w:tc>
          <w:tcPr>
            <w:tcW w:w="1139" w:type="pct"/>
            <w:tcMar>
              <w:top w:w="0" w:type="dxa"/>
              <w:left w:w="108" w:type="dxa"/>
              <w:bottom w:w="0" w:type="dxa"/>
              <w:right w:w="108" w:type="dxa"/>
            </w:tcMar>
            <w:vAlign w:val="center"/>
            <w:hideMark/>
          </w:tcPr>
          <w:p w14:paraId="36236B58" w14:textId="77777777" w:rsidR="00945E28" w:rsidRPr="00500A19" w:rsidRDefault="00945E28" w:rsidP="0007071B">
            <w:pPr>
              <w:pStyle w:val="Tabletext"/>
              <w:jc w:val="center"/>
              <w:rPr>
                <w:sz w:val="22"/>
                <w:szCs w:val="22"/>
                <w14:ligatures w14:val="standardContextual"/>
              </w:rPr>
            </w:pPr>
            <w:r w:rsidRPr="00500A19">
              <w:t>5 сентября 2024 г.</w:t>
            </w:r>
          </w:p>
        </w:tc>
        <w:tc>
          <w:tcPr>
            <w:tcW w:w="2426" w:type="pct"/>
            <w:tcMar>
              <w:top w:w="0" w:type="dxa"/>
              <w:left w:w="108" w:type="dxa"/>
              <w:bottom w:w="0" w:type="dxa"/>
              <w:right w:w="108" w:type="dxa"/>
            </w:tcMar>
            <w:hideMark/>
          </w:tcPr>
          <w:p w14:paraId="07D9E597" w14:textId="77777777" w:rsidR="00945E28" w:rsidRPr="00500A19" w:rsidRDefault="00945E28" w:rsidP="0007071B">
            <w:pPr>
              <w:pStyle w:val="Tabletext"/>
              <w:rPr>
                <w:sz w:val="22"/>
                <w:szCs w:val="22"/>
              </w:rPr>
            </w:pPr>
            <w:r w:rsidRPr="00500A19">
              <w:t xml:space="preserve">Предложение о представлении вкладов </w:t>
            </w:r>
            <w:r w:rsidRPr="00500A19">
              <w:br/>
              <w:t>Обсуждение вкладов</w:t>
            </w:r>
          </w:p>
        </w:tc>
      </w:tr>
      <w:tr w:rsidR="00945E28" w:rsidRPr="00500A19" w14:paraId="4B9543AA" w14:textId="77777777" w:rsidTr="0007071B">
        <w:trPr>
          <w:trHeight w:val="300"/>
        </w:trPr>
        <w:tc>
          <w:tcPr>
            <w:tcW w:w="1435" w:type="pct"/>
            <w:vAlign w:val="center"/>
          </w:tcPr>
          <w:p w14:paraId="186A611B" w14:textId="77777777" w:rsidR="00945E28" w:rsidRPr="00500A19" w:rsidRDefault="00945E28" w:rsidP="0007071B">
            <w:pPr>
              <w:pStyle w:val="Tabletext"/>
              <w:jc w:val="center"/>
              <w:rPr>
                <w:sz w:val="22"/>
                <w:szCs w:val="22"/>
                <w14:ligatures w14:val="standardContextual"/>
              </w:rPr>
            </w:pPr>
            <w:r w:rsidRPr="00500A19">
              <w:t>4-е собрание КГРЭ-РГ-SR</w:t>
            </w:r>
          </w:p>
        </w:tc>
        <w:tc>
          <w:tcPr>
            <w:tcW w:w="1139" w:type="pct"/>
            <w:tcMar>
              <w:top w:w="0" w:type="dxa"/>
              <w:left w:w="108" w:type="dxa"/>
              <w:bottom w:w="0" w:type="dxa"/>
              <w:right w:w="108" w:type="dxa"/>
            </w:tcMar>
            <w:vAlign w:val="center"/>
            <w:hideMark/>
          </w:tcPr>
          <w:p w14:paraId="441C06ED" w14:textId="77777777" w:rsidR="00945E28" w:rsidRPr="00500A19" w:rsidRDefault="00945E28" w:rsidP="0007071B">
            <w:pPr>
              <w:pStyle w:val="Tabletext"/>
              <w:jc w:val="center"/>
              <w:rPr>
                <w:sz w:val="22"/>
                <w:szCs w:val="22"/>
                <w14:ligatures w14:val="standardContextual"/>
              </w:rPr>
            </w:pPr>
            <w:r w:rsidRPr="00500A19">
              <w:t>5 декабря 2024 г.</w:t>
            </w:r>
          </w:p>
        </w:tc>
        <w:tc>
          <w:tcPr>
            <w:tcW w:w="2426" w:type="pct"/>
            <w:tcMar>
              <w:top w:w="0" w:type="dxa"/>
              <w:left w:w="108" w:type="dxa"/>
              <w:bottom w:w="0" w:type="dxa"/>
              <w:right w:w="108" w:type="dxa"/>
            </w:tcMar>
            <w:hideMark/>
          </w:tcPr>
          <w:p w14:paraId="02427BD5" w14:textId="77777777" w:rsidR="00945E28" w:rsidRPr="00500A19" w:rsidRDefault="00945E28" w:rsidP="0007071B">
            <w:pPr>
              <w:pStyle w:val="Tabletext"/>
              <w:rPr>
                <w:sz w:val="22"/>
                <w:szCs w:val="22"/>
              </w:rPr>
            </w:pPr>
            <w:r w:rsidRPr="00500A19">
              <w:t xml:space="preserve">Предложение о представлении вкладов </w:t>
            </w:r>
            <w:r w:rsidRPr="00500A19">
              <w:br/>
              <w:t>Обсуждение вкладов</w:t>
            </w:r>
          </w:p>
        </w:tc>
      </w:tr>
      <w:tr w:rsidR="00945E28" w:rsidRPr="00500A19" w14:paraId="516A8DBD" w14:textId="77777777" w:rsidTr="0007071B">
        <w:trPr>
          <w:trHeight w:val="300"/>
        </w:trPr>
        <w:tc>
          <w:tcPr>
            <w:tcW w:w="1435" w:type="pct"/>
            <w:vAlign w:val="center"/>
          </w:tcPr>
          <w:p w14:paraId="3851ADD2" w14:textId="77777777" w:rsidR="00945E28" w:rsidRPr="00500A19" w:rsidRDefault="00945E28" w:rsidP="0007071B">
            <w:pPr>
              <w:pStyle w:val="Tabletext"/>
              <w:jc w:val="center"/>
            </w:pPr>
            <w:r w:rsidRPr="00500A19">
              <w:t>5-е собрание КГРЭ-РГ-SR</w:t>
            </w:r>
          </w:p>
        </w:tc>
        <w:tc>
          <w:tcPr>
            <w:tcW w:w="1139" w:type="pct"/>
            <w:tcMar>
              <w:top w:w="0" w:type="dxa"/>
              <w:left w:w="108" w:type="dxa"/>
              <w:bottom w:w="0" w:type="dxa"/>
              <w:right w:w="108" w:type="dxa"/>
            </w:tcMar>
            <w:vAlign w:val="center"/>
          </w:tcPr>
          <w:p w14:paraId="308632B2" w14:textId="77777777" w:rsidR="00945E28" w:rsidRPr="00500A19" w:rsidRDefault="00945E28" w:rsidP="0007071B">
            <w:pPr>
              <w:pStyle w:val="Tabletext"/>
              <w:jc w:val="center"/>
            </w:pPr>
            <w:r w:rsidRPr="00500A19">
              <w:t>26 марта 2025 г.</w:t>
            </w:r>
          </w:p>
        </w:tc>
        <w:tc>
          <w:tcPr>
            <w:tcW w:w="2426" w:type="pct"/>
            <w:tcMar>
              <w:top w:w="0" w:type="dxa"/>
              <w:left w:w="108" w:type="dxa"/>
              <w:bottom w:w="0" w:type="dxa"/>
              <w:right w:w="108" w:type="dxa"/>
            </w:tcMar>
          </w:tcPr>
          <w:p w14:paraId="2753B59A" w14:textId="77777777" w:rsidR="00945E28" w:rsidRPr="00500A19" w:rsidRDefault="00945E28" w:rsidP="0007071B">
            <w:pPr>
              <w:pStyle w:val="Tabletext"/>
            </w:pPr>
            <w:r w:rsidRPr="00500A19">
              <w:t>Подведение итогов по вкладам и подготовка сводки предложений КГРЭ-РГ-SR для КГРЭ</w:t>
            </w:r>
          </w:p>
        </w:tc>
      </w:tr>
      <w:tr w:rsidR="00945E28" w:rsidRPr="00500A19" w14:paraId="2F4CDE12" w14:textId="77777777" w:rsidTr="0007071B">
        <w:trPr>
          <w:trHeight w:val="300"/>
        </w:trPr>
        <w:tc>
          <w:tcPr>
            <w:tcW w:w="1435" w:type="pct"/>
            <w:vAlign w:val="center"/>
          </w:tcPr>
          <w:p w14:paraId="7FCC7FB8" w14:textId="77777777" w:rsidR="00945E28" w:rsidRPr="00500A19" w:rsidRDefault="00945E28" w:rsidP="0007071B">
            <w:pPr>
              <w:pStyle w:val="Tabletext"/>
              <w:jc w:val="center"/>
            </w:pPr>
            <w:r w:rsidRPr="00500A19">
              <w:t>6-е собрание КГРЭ-РГ-SR</w:t>
            </w:r>
          </w:p>
        </w:tc>
        <w:tc>
          <w:tcPr>
            <w:tcW w:w="1139" w:type="pct"/>
            <w:tcMar>
              <w:top w:w="0" w:type="dxa"/>
              <w:left w:w="108" w:type="dxa"/>
              <w:bottom w:w="0" w:type="dxa"/>
              <w:right w:w="108" w:type="dxa"/>
            </w:tcMar>
            <w:vAlign w:val="center"/>
          </w:tcPr>
          <w:p w14:paraId="634CC3E8" w14:textId="77777777" w:rsidR="00945E28" w:rsidRPr="00500A19" w:rsidRDefault="00945E28" w:rsidP="0007071B">
            <w:pPr>
              <w:pStyle w:val="Tabletext"/>
              <w:jc w:val="center"/>
            </w:pPr>
            <w:r w:rsidRPr="00500A19">
              <w:t>2 мая 2025 г.</w:t>
            </w:r>
          </w:p>
        </w:tc>
        <w:tc>
          <w:tcPr>
            <w:tcW w:w="2426" w:type="pct"/>
            <w:tcMar>
              <w:top w:w="0" w:type="dxa"/>
              <w:left w:w="108" w:type="dxa"/>
              <w:bottom w:w="0" w:type="dxa"/>
              <w:right w:w="108" w:type="dxa"/>
            </w:tcMar>
          </w:tcPr>
          <w:p w14:paraId="1304841C" w14:textId="77777777" w:rsidR="00945E28" w:rsidRPr="00500A19" w:rsidRDefault="00945E28" w:rsidP="0007071B">
            <w:pPr>
              <w:pStyle w:val="Tabletext"/>
            </w:pPr>
            <w:r w:rsidRPr="00500A19">
              <w:t>Подведение итогов по вкладам и подготовка сводки предложений КГРЭ-РГ-SR для КГРЭ</w:t>
            </w:r>
          </w:p>
        </w:tc>
      </w:tr>
    </w:tbl>
    <w:p w14:paraId="32F01F59" w14:textId="582E2F18" w:rsidR="00945E28" w:rsidRPr="00500A19" w:rsidRDefault="00945E28" w:rsidP="00106E2D">
      <w:pPr>
        <w:tabs>
          <w:tab w:val="left" w:pos="1134"/>
          <w:tab w:val="left" w:pos="1871"/>
          <w:tab w:val="left" w:pos="2268"/>
        </w:tabs>
        <w:rPr>
          <w:rFonts w:cs="Calibri"/>
          <w:szCs w:val="24"/>
        </w:rPr>
      </w:pPr>
      <w:r w:rsidRPr="00500A19">
        <w:rPr>
          <w:b/>
          <w:bCs/>
        </w:rPr>
        <w:t>1</w:t>
      </w:r>
      <w:r w:rsidRPr="00500A19">
        <w:rPr>
          <w:b/>
          <w:bCs/>
        </w:rPr>
        <w:tab/>
      </w:r>
      <w:r w:rsidRPr="00500A19">
        <w:rPr>
          <w:rStyle w:val="HeadingbChar"/>
          <w:lang w:val="ru-RU"/>
        </w:rPr>
        <w:t>Первое собрание КГРЭ-РГ-SR состоялось 18 апреля 2024 года в онлайновом формате</w:t>
      </w:r>
    </w:p>
    <w:p w14:paraId="40EF65C2" w14:textId="77777777" w:rsidR="00945E28" w:rsidRPr="00500A19" w:rsidRDefault="00945E28" w:rsidP="0007071B">
      <w:pPr>
        <w:rPr>
          <w:rFonts w:cs="Arial"/>
        </w:rPr>
      </w:pPr>
      <w:r w:rsidRPr="00500A19">
        <w:t>1.1</w:t>
      </w:r>
      <w:r w:rsidRPr="00500A19">
        <w:tab/>
        <w:t xml:space="preserve">К первому собранию КГРЭ-РГ-SR Председатель представила </w:t>
      </w:r>
      <w:hyperlink r:id="rId207" w:history="1">
        <w:r w:rsidRPr="00500A19">
          <w:rPr>
            <w:color w:val="0000FF"/>
            <w:u w:val="single"/>
          </w:rPr>
          <w:t>справочный документ</w:t>
        </w:r>
      </w:hyperlink>
      <w:r w:rsidRPr="00500A19">
        <w:t xml:space="preserve">, </w:t>
      </w:r>
      <w:hyperlink r:id="rId208" w:history="1">
        <w:r w:rsidRPr="00500A19">
          <w:rPr>
            <w:color w:val="0000FF"/>
            <w:u w:val="single"/>
          </w:rPr>
          <w:t>предлагаемые даты будущих собраний</w:t>
        </w:r>
      </w:hyperlink>
      <w:r w:rsidRPr="00500A19">
        <w:t xml:space="preserve"> и </w:t>
      </w:r>
      <w:hyperlink r:id="rId209" w:history="1">
        <w:r w:rsidRPr="00500A19">
          <w:rPr>
            <w:color w:val="0000FF"/>
            <w:u w:val="single"/>
          </w:rPr>
          <w:t>проект круга ведения</w:t>
        </w:r>
      </w:hyperlink>
      <w:r w:rsidRPr="00500A19">
        <w:t>.</w:t>
      </w:r>
    </w:p>
    <w:p w14:paraId="3B1FA7CE" w14:textId="77777777" w:rsidR="00945E28" w:rsidRPr="00500A19" w:rsidRDefault="00945E28" w:rsidP="0007071B">
      <w:pPr>
        <w:rPr>
          <w:rFonts w:cs="Calibri"/>
          <w:szCs w:val="24"/>
        </w:rPr>
      </w:pPr>
      <w:r w:rsidRPr="00500A19">
        <w:t>1.2</w:t>
      </w:r>
      <w:r w:rsidRPr="00500A19">
        <w:tab/>
      </w:r>
      <w:hyperlink r:id="rId210" w:history="1">
        <w:r w:rsidRPr="00500A19">
          <w:rPr>
            <w:color w:val="0000FF"/>
            <w:u w:val="single"/>
          </w:rPr>
          <w:t>Отчет о первом собрании КГРЭ-РГ-SR</w:t>
        </w:r>
      </w:hyperlink>
      <w:r w:rsidRPr="00500A19">
        <w:t xml:space="preserve"> содержит краткий обзор состоявшихся обсуждений.</w:t>
      </w:r>
    </w:p>
    <w:p w14:paraId="48756BFE" w14:textId="711F4886" w:rsidR="00945E28" w:rsidRPr="00500A19" w:rsidRDefault="00945E28" w:rsidP="0007071B">
      <w:pPr>
        <w:pStyle w:val="Headingb"/>
        <w:rPr>
          <w:rFonts w:cs="Calibri"/>
          <w:szCs w:val="24"/>
          <w:lang w:val="ru-RU"/>
        </w:rPr>
      </w:pPr>
      <w:r w:rsidRPr="00500A19">
        <w:rPr>
          <w:lang w:val="ru-RU"/>
        </w:rPr>
        <w:t>2</w:t>
      </w:r>
      <w:r w:rsidRPr="00500A19">
        <w:rPr>
          <w:lang w:val="ru-RU"/>
        </w:rPr>
        <w:tab/>
        <w:t>Второе собрание КГРЭ-РГ-SR состоялось 21 мая 2024 года в очном и онлайновом режимах и совпало с собранием КГРЭ-24</w:t>
      </w:r>
    </w:p>
    <w:p w14:paraId="5BBCC72A" w14:textId="77777777" w:rsidR="00945E28" w:rsidRPr="00500A19" w:rsidRDefault="00945E28" w:rsidP="00106E2D">
      <w:pPr>
        <w:tabs>
          <w:tab w:val="left" w:pos="1134"/>
          <w:tab w:val="left" w:pos="1871"/>
          <w:tab w:val="left" w:pos="2268"/>
        </w:tabs>
        <w:rPr>
          <w:rFonts w:cs="Calibri"/>
          <w:szCs w:val="24"/>
        </w:rPr>
      </w:pPr>
      <w:r w:rsidRPr="00500A19">
        <w:t>2.1</w:t>
      </w:r>
      <w:r w:rsidRPr="00500A19">
        <w:tab/>
        <w:t xml:space="preserve">На втором собрании КГРЭ-РГ-SR обсуждался проект круга ведения: компания ATDI (Франция) представила вклад </w:t>
      </w:r>
      <w:hyperlink r:id="rId211" w:history="1">
        <w:r w:rsidRPr="00500A19">
          <w:rPr>
            <w:color w:val="0000FF"/>
            <w:u w:val="single"/>
          </w:rPr>
          <w:t>"Пересмотр круга ведения"</w:t>
        </w:r>
      </w:hyperlink>
      <w:r w:rsidRPr="00500A19">
        <w:t xml:space="preserve">, а Председатель КГРЭ-РГ-SR представила вклад </w:t>
      </w:r>
      <w:hyperlink r:id="rId212" w:history="1">
        <w:r w:rsidRPr="00500A19">
          <w:rPr>
            <w:color w:val="0000FF"/>
            <w:u w:val="single"/>
          </w:rPr>
          <w:t>"Проект круга ведения"</w:t>
        </w:r>
      </w:hyperlink>
      <w:r w:rsidRPr="00500A19">
        <w:t>.</w:t>
      </w:r>
    </w:p>
    <w:p w14:paraId="74317291" w14:textId="77777777" w:rsidR="00945E28" w:rsidRPr="00500A19" w:rsidRDefault="00945E28" w:rsidP="0007071B">
      <w:pPr>
        <w:rPr>
          <w:rFonts w:cs="Calibri"/>
          <w:szCs w:val="24"/>
        </w:rPr>
      </w:pPr>
      <w:r w:rsidRPr="00500A19">
        <w:lastRenderedPageBreak/>
        <w:t>2.2</w:t>
      </w:r>
      <w:r w:rsidRPr="00500A19">
        <w:tab/>
        <w:t xml:space="preserve">На КГРЭ-24 был представлен </w:t>
      </w:r>
      <w:hyperlink r:id="rId213" w:history="1">
        <w:r w:rsidRPr="00500A19">
          <w:rPr>
            <w:color w:val="0000FF"/>
            <w:u w:val="single"/>
          </w:rPr>
          <w:t>отчет о ходе работы КГРЭ-РГ-SR</w:t>
        </w:r>
      </w:hyperlink>
      <w:r w:rsidRPr="00500A19">
        <w:t xml:space="preserve">, был утвержден </w:t>
      </w:r>
      <w:hyperlink r:id="rId214" w:history="1">
        <w:r w:rsidRPr="00500A19">
          <w:rPr>
            <w:color w:val="0000FF"/>
            <w:u w:val="single"/>
          </w:rPr>
          <w:t>круг ведения КГРЭ-РГ-SR</w:t>
        </w:r>
      </w:hyperlink>
      <w:r w:rsidRPr="00500A19">
        <w:t>, а также были назначены два заместителя Председателя, а именно:</w:t>
      </w:r>
    </w:p>
    <w:p w14:paraId="28051C7D" w14:textId="77777777" w:rsidR="00945E28" w:rsidRPr="00500A19" w:rsidRDefault="00945E28" w:rsidP="0007071B">
      <w:pPr>
        <w:pStyle w:val="enumlev1"/>
      </w:pPr>
      <w:r w:rsidRPr="00500A19">
        <w:t>a)</w:t>
      </w:r>
      <w:r w:rsidRPr="00500A19">
        <w:tab/>
        <w:t>г-жа Бланка Гонсалес (Испания);</w:t>
      </w:r>
    </w:p>
    <w:p w14:paraId="6722ABF8" w14:textId="77777777" w:rsidR="00945E28" w:rsidRPr="00500A19" w:rsidRDefault="00945E28" w:rsidP="0007071B">
      <w:pPr>
        <w:pStyle w:val="enumlev1"/>
        <w:rPr>
          <w:rFonts w:cs="Calibri"/>
          <w:szCs w:val="24"/>
        </w:rPr>
      </w:pPr>
      <w:r w:rsidRPr="00500A19">
        <w:t>b)</w:t>
      </w:r>
      <w:r w:rsidRPr="00500A19">
        <w:tab/>
        <w:t>г-жа Агустина Брисо (Аргентина).</w:t>
      </w:r>
    </w:p>
    <w:p w14:paraId="382C2AA7" w14:textId="1236B369" w:rsidR="00945E28" w:rsidRPr="00500A19" w:rsidRDefault="00945E28" w:rsidP="0007071B">
      <w:pPr>
        <w:pStyle w:val="Headingb"/>
        <w:rPr>
          <w:rFonts w:cs="Calibri"/>
          <w:szCs w:val="24"/>
          <w:lang w:val="ru-RU"/>
        </w:rPr>
      </w:pPr>
      <w:r w:rsidRPr="00500A19">
        <w:rPr>
          <w:lang w:val="ru-RU"/>
        </w:rPr>
        <w:t>3</w:t>
      </w:r>
      <w:r w:rsidRPr="00500A19">
        <w:rPr>
          <w:lang w:val="ru-RU"/>
        </w:rPr>
        <w:tab/>
        <w:t>Третье собрание КГРЭ-РГ-SR состоялось 5 сентября 2024 года в онлайновом формате и продолжилось по переписке до 23 ноября 2024 года</w:t>
      </w:r>
    </w:p>
    <w:p w14:paraId="116D0F2E" w14:textId="61565FA0" w:rsidR="00945E28" w:rsidRPr="00500A19" w:rsidRDefault="00945E28" w:rsidP="0007071B">
      <w:pPr>
        <w:rPr>
          <w:rFonts w:cs="Calibri"/>
          <w:szCs w:val="24"/>
        </w:rPr>
      </w:pPr>
      <w:r w:rsidRPr="00500A19">
        <w:t>3.1</w:t>
      </w:r>
      <w:r w:rsidRPr="00500A19">
        <w:tab/>
        <w:t xml:space="preserve">К третьему собранию КГРЭ-РГ-SR Соединенное Королевство представило вклад </w:t>
      </w:r>
      <w:hyperlink r:id="rId215" w:history="1">
        <w:r w:rsidRPr="00500A19">
          <w:rPr>
            <w:color w:val="0000FF"/>
            <w:u w:val="single"/>
          </w:rPr>
          <w:t>"Таблицы</w:t>
        </w:r>
        <w:r w:rsidR="006C2BF9" w:rsidRPr="00500A19">
          <w:rPr>
            <w:color w:val="0000FF"/>
            <w:u w:val="single"/>
          </w:rPr>
          <w:t> </w:t>
        </w:r>
        <w:r w:rsidRPr="00500A19">
          <w:rPr>
            <w:color w:val="0000FF"/>
            <w:u w:val="single"/>
          </w:rPr>
          <w:t>сопоставления для заключительного отчета"</w:t>
        </w:r>
      </w:hyperlink>
      <w:r w:rsidRPr="00500A19">
        <w:t xml:space="preserve"> со ссылкой на вклад от Российской Федерации, поступивший ранее к собранию КГРЭ-23 (</w:t>
      </w:r>
      <w:hyperlink r:id="rId216" w:history="1">
        <w:r w:rsidRPr="00500A19">
          <w:rPr>
            <w:rFonts w:cs="Calibri"/>
            <w:color w:val="0000FF"/>
            <w:szCs w:val="24"/>
            <w:u w:val="single"/>
          </w:rPr>
          <w:t>TDAG-23/31</w:t>
        </w:r>
      </w:hyperlink>
      <w:r w:rsidRPr="00500A19">
        <w:t>). Этот вклад, направленный на структурирование и содействие обеспечению соответствия мандата КГРЭ-РГ-SR перечню Резолюций</w:t>
      </w:r>
      <w:r w:rsidR="0007071B" w:rsidRPr="00500A19">
        <w:t> </w:t>
      </w:r>
      <w:r w:rsidRPr="00500A19">
        <w:t>ВКРЭ, которые могут быть рассмотрены на предмет упорядочения, получил высокую</w:t>
      </w:r>
      <w:r w:rsidR="0007071B" w:rsidRPr="00500A19">
        <w:t> </w:t>
      </w:r>
      <w:r w:rsidRPr="00500A19">
        <w:t>оценку.</w:t>
      </w:r>
    </w:p>
    <w:p w14:paraId="1FEC0844" w14:textId="4A7ACF9E" w:rsidR="00945E28" w:rsidRPr="00500A19" w:rsidRDefault="00945E28" w:rsidP="0007071B">
      <w:r w:rsidRPr="00500A19">
        <w:t>3.2</w:t>
      </w:r>
      <w:r w:rsidRPr="00500A19">
        <w:tab/>
        <w:t xml:space="preserve">Указанный вклад от Соединенного Королевства также стал ценным добавлением ко вкладу </w:t>
      </w:r>
      <w:hyperlink r:id="rId217" w:history="1">
        <w:r w:rsidRPr="00500A19">
          <w:rPr>
            <w:color w:val="0000FF"/>
            <w:u w:val="single"/>
          </w:rPr>
          <w:t>"Предложение о разделении Резолюций на блоки"</w:t>
        </w:r>
      </w:hyperlink>
      <w:r w:rsidRPr="00500A19">
        <w:t>, поступившему от Председателя, который был использован для поиска тех, кто готов добровольно помочь в проведении анализа Резолюций ВКРЭ</w:t>
      </w:r>
      <w:r w:rsidR="0007071B" w:rsidRPr="00500A19">
        <w:t> </w:t>
      </w:r>
      <w:r w:rsidRPr="00500A19">
        <w:t>по блокам.</w:t>
      </w:r>
    </w:p>
    <w:p w14:paraId="3D05E727" w14:textId="77777777" w:rsidR="00945E28" w:rsidRPr="00500A19" w:rsidRDefault="00945E28" w:rsidP="0007071B">
      <w:r w:rsidRPr="00500A19">
        <w:t>3.3</w:t>
      </w:r>
      <w:r w:rsidRPr="00500A19">
        <w:tab/>
        <w:t>Проект документа для использования в качестве базового при дальнейшей подготовке вкладов по упорядочению Резолюций и ссылки на примеры были разосланы КГРЭ-РГ-SR по электронной почте (</w:t>
      </w:r>
      <w:hyperlink r:id="rId218" w:history="1">
        <w:r w:rsidRPr="00500A19">
          <w:rPr>
            <w:rFonts w:cs="Calibri"/>
            <w:color w:val="0000FF"/>
            <w:szCs w:val="24"/>
            <w:u w:val="single"/>
          </w:rPr>
          <w:t>tdag-wg-streamres@lists.itu.int</w:t>
        </w:r>
      </w:hyperlink>
      <w:r w:rsidRPr="00500A19">
        <w:t xml:space="preserve">), а также размещены в </w:t>
      </w:r>
      <w:hyperlink r:id="rId219" w:history="1">
        <w:r w:rsidRPr="00500A19">
          <w:rPr>
            <w:color w:val="0000FF"/>
            <w:u w:val="single"/>
          </w:rPr>
          <w:t>пространстве для совместной работы КГРЭ-РГ-SR в Teams</w:t>
        </w:r>
      </w:hyperlink>
      <w:r w:rsidRPr="00500A19">
        <w:t xml:space="preserve"> для работы по переписке. В качестве справочной информации также была представлена таблица сопоставления Резолюций ПК и Резолюций Секторов, подготовленная </w:t>
      </w:r>
      <w:hyperlink r:id="rId220" w:history="1">
        <w:r w:rsidRPr="00500A19">
          <w:rPr>
            <w:color w:val="0000FF"/>
            <w:u w:val="single"/>
          </w:rPr>
          <w:t>Межсекторальной координационной группой</w:t>
        </w:r>
      </w:hyperlink>
      <w:r w:rsidRPr="00500A19">
        <w:t xml:space="preserve"> МСЭ.</w:t>
      </w:r>
    </w:p>
    <w:p w14:paraId="2681A3D4" w14:textId="77777777" w:rsidR="00945E28" w:rsidRPr="00500A19" w:rsidRDefault="00945E28" w:rsidP="0007071B">
      <w:r w:rsidRPr="00500A19">
        <w:t>3.4</w:t>
      </w:r>
      <w:r w:rsidRPr="00500A19">
        <w:tab/>
      </w:r>
      <w:hyperlink r:id="rId221" w:history="1">
        <w:r w:rsidRPr="00500A19">
          <w:rPr>
            <w:color w:val="0000FF"/>
            <w:u w:val="single"/>
          </w:rPr>
          <w:t>Отчет о третьем собрании КГРЭ-РГ-SR</w:t>
        </w:r>
      </w:hyperlink>
      <w:r w:rsidRPr="00500A19">
        <w:t xml:space="preserve"> содержит краткий обзор проходивших обсуждений.</w:t>
      </w:r>
    </w:p>
    <w:p w14:paraId="5676BBA1" w14:textId="647BCBEB" w:rsidR="00945E28" w:rsidRPr="00500A19" w:rsidRDefault="00945E28" w:rsidP="0007071B">
      <w:pPr>
        <w:pStyle w:val="Headingb"/>
        <w:rPr>
          <w:rFonts w:cs="Calibri"/>
          <w:szCs w:val="24"/>
          <w:lang w:val="ru-RU"/>
        </w:rPr>
      </w:pPr>
      <w:r w:rsidRPr="00500A19">
        <w:rPr>
          <w:lang w:val="ru-RU"/>
        </w:rPr>
        <w:t>4</w:t>
      </w:r>
      <w:r w:rsidRPr="00500A19">
        <w:rPr>
          <w:lang w:val="ru-RU"/>
        </w:rPr>
        <w:tab/>
        <w:t>Четвертое собрание КГРЭ-РГ-SR состоялось 5 декабря 2024 года в онлайновом формате</w:t>
      </w:r>
    </w:p>
    <w:p w14:paraId="2408F17F" w14:textId="77777777" w:rsidR="00945E28" w:rsidRPr="00500A19" w:rsidRDefault="00945E28" w:rsidP="0007071B">
      <w:r w:rsidRPr="00500A19">
        <w:t>4.1</w:t>
      </w:r>
      <w:r w:rsidRPr="00500A19">
        <w:tab/>
        <w:t xml:space="preserve">К четвертому собранию КГРЭ-РГ-SR Австралия представила вклад на тему </w:t>
      </w:r>
      <w:hyperlink r:id="rId222" w:history="1">
        <w:r w:rsidRPr="00500A19">
          <w:rPr>
            <w:color w:val="0000FF"/>
            <w:u w:val="single"/>
          </w:rPr>
          <w:t>"Проект обзора Резолюции 17 (Пересм. Кигали, 2022 г.) ВКРЭ об осуществлении утвержденных региональных инициатив и сотрудничестве по ним на национальном, региональном, межрегиональном и глобальном уровнях"</w:t>
        </w:r>
      </w:hyperlink>
      <w:r w:rsidRPr="00500A19">
        <w:t xml:space="preserve">, а Гана представила вклад </w:t>
      </w:r>
      <w:hyperlink r:id="rId223" w:history="1">
        <w:r w:rsidRPr="00500A19">
          <w:rPr>
            <w:color w:val="0000FF"/>
            <w:u w:val="single"/>
          </w:rPr>
          <w:t>"Предложение о внесении поправок в Резолюцию 22 ВКРЭ"</w:t>
        </w:r>
      </w:hyperlink>
      <w:r w:rsidRPr="00500A19">
        <w:t>. Вклады Австралии и Ганы получили высокую оценку.</w:t>
      </w:r>
    </w:p>
    <w:p w14:paraId="06255F18" w14:textId="77777777" w:rsidR="00945E28" w:rsidRPr="00500A19" w:rsidRDefault="00945E28" w:rsidP="0007071B">
      <w:r w:rsidRPr="00500A19">
        <w:t>4.2</w:t>
      </w:r>
      <w:r w:rsidRPr="00500A19">
        <w:tab/>
      </w:r>
      <w:hyperlink r:id="rId224" w:history="1">
        <w:r w:rsidRPr="00500A19">
          <w:rPr>
            <w:color w:val="0000FF"/>
            <w:u w:val="single"/>
          </w:rPr>
          <w:t>Отчет о четвертом собрании КГРЭ-РГ-SR</w:t>
        </w:r>
      </w:hyperlink>
      <w:r w:rsidRPr="00500A19">
        <w:t xml:space="preserve"> содержит краткий обзор проходивших обсуждений.</w:t>
      </w:r>
    </w:p>
    <w:p w14:paraId="62BDD9E8" w14:textId="512B4269" w:rsidR="00945E28" w:rsidRPr="00500A19" w:rsidRDefault="00945E28" w:rsidP="0007071B">
      <w:pPr>
        <w:pStyle w:val="Headingb"/>
        <w:rPr>
          <w:rFonts w:cs="Calibri"/>
          <w:szCs w:val="24"/>
          <w:lang w:val="ru-RU"/>
        </w:rPr>
      </w:pPr>
      <w:r w:rsidRPr="00500A19">
        <w:rPr>
          <w:lang w:val="ru-RU"/>
        </w:rPr>
        <w:t>5</w:t>
      </w:r>
      <w:r w:rsidRPr="00500A19">
        <w:rPr>
          <w:lang w:val="ru-RU"/>
        </w:rPr>
        <w:tab/>
        <w:t>Пятое собрание КГРЭ-РГ-SR состоялось 26 марта 2025 года в онлайновом формате</w:t>
      </w:r>
    </w:p>
    <w:p w14:paraId="285D9058" w14:textId="77777777" w:rsidR="00945E28" w:rsidRPr="00500A19" w:rsidRDefault="00945E28" w:rsidP="0007071B">
      <w:r w:rsidRPr="00500A19">
        <w:t>5.1</w:t>
      </w:r>
      <w:r w:rsidRPr="00500A19">
        <w:tab/>
        <w:t xml:space="preserve">К пятому собранию КГРЭ-РГ-SR Гана представила вклад на тему </w:t>
      </w:r>
      <w:hyperlink r:id="rId225" w:history="1">
        <w:r w:rsidRPr="00500A19">
          <w:rPr>
            <w:color w:val="0000FF"/>
            <w:u w:val="single"/>
          </w:rPr>
          <w:t>"Предлагаемые поправки к Резолюции 20 ВКРЭ"</w:t>
        </w:r>
      </w:hyperlink>
      <w:r w:rsidRPr="00500A19">
        <w:t>.</w:t>
      </w:r>
    </w:p>
    <w:p w14:paraId="28774B80" w14:textId="4545C08D" w:rsidR="00945E28" w:rsidRPr="00500A19" w:rsidRDefault="00945E28" w:rsidP="0007071B">
      <w:r w:rsidRPr="00500A19">
        <w:t>5.2</w:t>
      </w:r>
      <w:r w:rsidRPr="00500A19">
        <w:tab/>
        <w:t>Российская Федерация представила семь (7) вкладов по следующим темам: a</w:t>
      </w:r>
      <w:r w:rsidR="0007071B" w:rsidRPr="00500A19">
        <w:t>)</w:t>
      </w:r>
      <w:r w:rsidRPr="00500A19">
        <w:t xml:space="preserve"> </w:t>
      </w:r>
      <w:hyperlink r:id="rId226" w:history="1">
        <w:r w:rsidRPr="00500A19">
          <w:rPr>
            <w:color w:val="0000FF"/>
            <w:u w:val="single"/>
          </w:rPr>
          <w:t>"Проект новой Резолюции о содействии развитию и внедрению метавселенной"</w:t>
        </w:r>
      </w:hyperlink>
      <w:r w:rsidRPr="00500A19">
        <w:t>; b) "</w:t>
      </w:r>
      <w:hyperlink r:id="rId227" w:history="1">
        <w:r w:rsidRPr="00500A19">
          <w:rPr>
            <w:color w:val="0000FF"/>
            <w:u w:val="single"/>
          </w:rPr>
          <w:t>Проект Резолюции 11 (Пересм. Кигали, 2022 г.)</w:t>
        </w:r>
      </w:hyperlink>
      <w:r w:rsidRPr="00500A19">
        <w:t xml:space="preserve"> − Услуги электросвязи/информационно-коммуникационных технологий в сельских, изолированных и недостаточно обслуживаемых районах"; c) "</w:t>
      </w:r>
      <w:hyperlink r:id="rId228" w:history="1">
        <w:r w:rsidRPr="00500A19">
          <w:rPr>
            <w:color w:val="0000FF"/>
            <w:u w:val="single"/>
          </w:rPr>
          <w:t>Проект Резолюции 24 (Пересм. Кигали, 2022 г.)</w:t>
        </w:r>
      </w:hyperlink>
      <w:r w:rsidRPr="00500A19">
        <w:t xml:space="preserve"> – 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d) "</w:t>
      </w:r>
      <w:hyperlink r:id="rId229" w:history="1">
        <w:r w:rsidRPr="00500A19">
          <w:rPr>
            <w:color w:val="0000FF"/>
            <w:u w:val="single"/>
          </w:rPr>
          <w:t>Проект Резолюции 58 (Пересм. Кигали, 2022 г.)</w:t>
        </w:r>
      </w:hyperlink>
      <w:r w:rsidRPr="00500A19">
        <w:t xml:space="preserve"> – Доступность средств электросвязи/информационно-коммуникационных технологий для лиц с ограниченными возможностями и лиц с особыми потребностями"; e) "</w:t>
      </w:r>
      <w:hyperlink r:id="rId230" w:history="1">
        <w:r w:rsidRPr="00500A19">
          <w:rPr>
            <w:color w:val="0000FF"/>
            <w:u w:val="single"/>
          </w:rPr>
          <w:t>Проект Резолюции 1 (Пересм. Кигали, 2022 г.)</w:t>
        </w:r>
      </w:hyperlink>
      <w:r w:rsidRPr="00500A19">
        <w:t xml:space="preserve"> – Правила процедуры Сектора развития электросвязи МСЭ"; f) "</w:t>
      </w:r>
      <w:hyperlink r:id="rId231" w:history="1">
        <w:r w:rsidRPr="00500A19">
          <w:rPr>
            <w:color w:val="0000FF"/>
            <w:u w:val="single"/>
          </w:rPr>
          <w:t>Проект Резолюции 31 (Пересм. Кигали, 2022 г.)</w:t>
        </w:r>
      </w:hyperlink>
      <w:r w:rsidRPr="00500A19">
        <w:t xml:space="preserve"> – Региональные подготовительные мероприятия к всемирным конференциям по развитию электросвязи"; g) "</w:t>
      </w:r>
      <w:hyperlink r:id="rId232" w:history="1">
        <w:r w:rsidRPr="00500A19">
          <w:rPr>
            <w:color w:val="0000FF"/>
            <w:u w:val="single"/>
          </w:rPr>
          <w:t>Проект Резолюции 59 (Пересм. Кигали, 2022 г.)</w:t>
        </w:r>
      </w:hyperlink>
      <w:r w:rsidRPr="00500A19">
        <w:t xml:space="preserve"> – Усиление координации и сотрудничества между тремя Секторами МСЭ по вопросам, представляющим взаимный интерес".</w:t>
      </w:r>
    </w:p>
    <w:p w14:paraId="03982494" w14:textId="77777777" w:rsidR="00945E28" w:rsidRPr="00500A19" w:rsidRDefault="00945E28" w:rsidP="0007071B">
      <w:pPr>
        <w:rPr>
          <w:szCs w:val="18"/>
        </w:rPr>
      </w:pPr>
      <w:r w:rsidRPr="00500A19">
        <w:rPr>
          <w:szCs w:val="18"/>
        </w:rPr>
        <w:lastRenderedPageBreak/>
        <w:t>5.3</w:t>
      </w:r>
      <w:r w:rsidRPr="00500A19">
        <w:rPr>
          <w:szCs w:val="18"/>
        </w:rPr>
        <w:tab/>
      </w:r>
      <w:hyperlink r:id="rId233" w:history="1">
        <w:r w:rsidRPr="00500A19">
          <w:rPr>
            <w:color w:val="0000FF"/>
            <w:szCs w:val="18"/>
            <w:u w:val="single"/>
          </w:rPr>
          <w:t>Отчет о пятом собрании КГРЭ-РГ-SR</w:t>
        </w:r>
      </w:hyperlink>
      <w:r w:rsidRPr="00500A19">
        <w:rPr>
          <w:szCs w:val="18"/>
        </w:rPr>
        <w:t xml:space="preserve"> содержит краткий обзор собрания.</w:t>
      </w:r>
    </w:p>
    <w:p w14:paraId="7EBFE248" w14:textId="499F5DDB" w:rsidR="00945E28" w:rsidRPr="00500A19" w:rsidRDefault="00945E28" w:rsidP="0007071B">
      <w:pPr>
        <w:pStyle w:val="Headingb"/>
        <w:rPr>
          <w:lang w:val="ru-RU"/>
        </w:rPr>
      </w:pPr>
      <w:r w:rsidRPr="00500A19">
        <w:rPr>
          <w:lang w:val="ru-RU"/>
        </w:rPr>
        <w:t>6</w:t>
      </w:r>
      <w:r w:rsidRPr="00500A19">
        <w:rPr>
          <w:lang w:val="ru-RU"/>
        </w:rPr>
        <w:tab/>
        <w:t>Шестое заключительное собрание КГРЭ-РГ-SR состоялось 2 мая 2025 года в онлайновом</w:t>
      </w:r>
      <w:r w:rsidR="0007071B" w:rsidRPr="00500A19">
        <w:rPr>
          <w:lang w:val="ru-RU"/>
        </w:rPr>
        <w:t> </w:t>
      </w:r>
      <w:r w:rsidRPr="00500A19">
        <w:rPr>
          <w:lang w:val="ru-RU"/>
        </w:rPr>
        <w:t>формате</w:t>
      </w:r>
    </w:p>
    <w:p w14:paraId="2258DDEB" w14:textId="1DBB3DC0" w:rsidR="00945E28" w:rsidRPr="00500A19" w:rsidRDefault="00945E28" w:rsidP="0007071B">
      <w:r w:rsidRPr="00500A19">
        <w:t>6.1</w:t>
      </w:r>
      <w:r w:rsidRPr="00500A19">
        <w:tab/>
        <w:t xml:space="preserve">Для шестого собрания КГРЭ-РГ-SR Бразилия представила вклад по теме </w:t>
      </w:r>
      <w:hyperlink r:id="rId234" w:history="1">
        <w:r w:rsidRPr="00500A19">
          <w:rPr>
            <w:color w:val="0000FF"/>
            <w:u w:val="single"/>
          </w:rPr>
          <w:t>"Проект</w:t>
        </w:r>
        <w:r w:rsidR="006C2BF9" w:rsidRPr="00500A19">
          <w:rPr>
            <w:color w:val="0000FF"/>
            <w:u w:val="single"/>
          </w:rPr>
          <w:t> </w:t>
        </w:r>
        <w:r w:rsidRPr="00500A19">
          <w:rPr>
            <w:color w:val="0000FF"/>
            <w:u w:val="single"/>
          </w:rPr>
          <w:t>Резолюции</w:t>
        </w:r>
        <w:r w:rsidR="0007071B" w:rsidRPr="00500A19">
          <w:rPr>
            <w:color w:val="0000FF"/>
            <w:u w:val="single"/>
          </w:rPr>
          <w:t> </w:t>
        </w:r>
        <w:r w:rsidRPr="00500A19">
          <w:rPr>
            <w:color w:val="0000FF"/>
            <w:u w:val="single"/>
          </w:rPr>
          <w:t>64 (Пересм. Кигали, 2022 г.) – Защита и поддержка пользователей/потребителей услуг электросвязи/информационно-коммуникационных технологий"</w:t>
        </w:r>
      </w:hyperlink>
      <w:r w:rsidRPr="00500A19">
        <w:t>.</w:t>
      </w:r>
    </w:p>
    <w:p w14:paraId="46463A4A" w14:textId="77777777" w:rsidR="00945E28" w:rsidRPr="00500A19" w:rsidRDefault="00945E28" w:rsidP="0007071B">
      <w:r w:rsidRPr="00500A19">
        <w:t>6.2</w:t>
      </w:r>
      <w:r w:rsidRPr="00500A19">
        <w:tab/>
        <w:t xml:space="preserve">Председатель представила </w:t>
      </w:r>
      <w:hyperlink r:id="rId235" w:history="1">
        <w:r w:rsidRPr="00500A19">
          <w:rPr>
            <w:color w:val="0000FF"/>
            <w:u w:val="single"/>
          </w:rPr>
          <w:t>Отчет о пятом собрании КГРЭ-РГ-SR</w:t>
        </w:r>
      </w:hyperlink>
      <w:r w:rsidRPr="00500A19">
        <w:t xml:space="preserve">, а также два информационных документа: </w:t>
      </w:r>
      <w:hyperlink r:id="rId236" w:history="1">
        <w:r w:rsidRPr="00500A19">
          <w:rPr>
            <w:color w:val="0000FF"/>
            <w:u w:val="single"/>
          </w:rPr>
          <w:t>"Презентация Председателя о ходе работы КГРЭ-РГ-SR"</w:t>
        </w:r>
      </w:hyperlink>
      <w:r w:rsidRPr="00500A19">
        <w:t xml:space="preserve"> и </w:t>
      </w:r>
      <w:hyperlink r:id="rId237" w:history="1">
        <w:r w:rsidRPr="00500A19">
          <w:rPr>
            <w:color w:val="0000FF"/>
            <w:u w:val="single"/>
          </w:rPr>
          <w:t>"Презентация Председателя об итогах работы КГРЭ-РГ-SR"</w:t>
        </w:r>
      </w:hyperlink>
      <w:r w:rsidRPr="00500A19">
        <w:t>.</w:t>
      </w:r>
    </w:p>
    <w:p w14:paraId="0F371263" w14:textId="77777777" w:rsidR="00945E28" w:rsidRPr="00500A19" w:rsidRDefault="00945E28" w:rsidP="0007071B">
      <w:pPr>
        <w:rPr>
          <w:sz w:val="20"/>
        </w:rPr>
      </w:pPr>
      <w:r w:rsidRPr="00500A19">
        <w:t>6.3</w:t>
      </w:r>
      <w:r w:rsidRPr="00500A19">
        <w:tab/>
      </w:r>
      <w:hyperlink r:id="rId238" w:history="1">
        <w:r w:rsidRPr="00500A19">
          <w:rPr>
            <w:color w:val="0000FF"/>
            <w:u w:val="single"/>
          </w:rPr>
          <w:t>Отчет о шестом собрании КГРЭ-РГ-SR</w:t>
        </w:r>
      </w:hyperlink>
      <w:r w:rsidRPr="00500A19">
        <w:t xml:space="preserve"> содержит краткий обзор собрания.</w:t>
      </w:r>
    </w:p>
    <w:p w14:paraId="4EC909D9" w14:textId="76A2BD15" w:rsidR="00945E28" w:rsidRPr="00500A19" w:rsidRDefault="00945E28" w:rsidP="0007071B">
      <w:pPr>
        <w:pStyle w:val="Heading1"/>
        <w:rPr>
          <w:rFonts w:cs="Calibri"/>
          <w:bCs/>
          <w:szCs w:val="24"/>
        </w:rPr>
      </w:pPr>
      <w:r w:rsidRPr="00500A19">
        <w:t>B</w:t>
      </w:r>
      <w:r w:rsidRPr="00500A19">
        <w:tab/>
        <w:t xml:space="preserve">Чтобы содействовать ходу работы по упорядочению Резолюций, Резолюции ВКРЭ были сгруппированы (см. вклад Председателя </w:t>
      </w:r>
      <w:hyperlink r:id="rId239" w:history="1">
        <w:r w:rsidRPr="00500A19">
          <w:rPr>
            <w:color w:val="0000FF"/>
            <w:u w:val="single"/>
          </w:rPr>
          <w:t>"</w:t>
        </w:r>
        <w:r w:rsidRPr="00500A19">
          <w:rPr>
            <w:bCs/>
            <w:color w:val="0000FF"/>
            <w:u w:val="single"/>
          </w:rPr>
          <w:t>Предложение о разделении Резолюций на блоки</w:t>
        </w:r>
        <w:r w:rsidRPr="00500A19">
          <w:rPr>
            <w:color w:val="0000FF"/>
            <w:u w:val="single"/>
          </w:rPr>
          <w:t>"</w:t>
        </w:r>
      </w:hyperlink>
      <w:r w:rsidRPr="00500A19">
        <w:t>), а затем участникам собрания было предложено добровольно помочь в анализе этих Резолюций с точки зрения возможности упорядочения</w:t>
      </w:r>
    </w:p>
    <w:p w14:paraId="118BB848" w14:textId="77777777" w:rsidR="00945E28" w:rsidRPr="00500A19" w:rsidRDefault="00945E28" w:rsidP="007F32B8">
      <w:pPr>
        <w:spacing w:after="120"/>
      </w:pPr>
      <w:r w:rsidRPr="00500A19">
        <w:t>1</w:t>
      </w:r>
      <w:r w:rsidRPr="00500A19">
        <w:tab/>
        <w:t>Ниже приведены предложенная разбивка Резолюций на блоки и добровольные помощники по состоянию на дату настоящего отчета: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1"/>
        <w:gridCol w:w="2118"/>
        <w:gridCol w:w="2120"/>
        <w:gridCol w:w="1830"/>
      </w:tblGrid>
      <w:tr w:rsidR="00945E28" w:rsidRPr="00500A19" w14:paraId="5896AA82" w14:textId="77777777" w:rsidTr="007F32B8">
        <w:trPr>
          <w:trHeight w:val="300"/>
        </w:trPr>
        <w:tc>
          <w:tcPr>
            <w:tcW w:w="1849" w:type="pct"/>
            <w:shd w:val="clear" w:color="auto" w:fill="C6D9F1"/>
            <w:tcMar>
              <w:top w:w="0" w:type="dxa"/>
              <w:left w:w="108" w:type="dxa"/>
              <w:bottom w:w="0" w:type="dxa"/>
              <w:right w:w="108" w:type="dxa"/>
            </w:tcMar>
            <w:vAlign w:val="center"/>
          </w:tcPr>
          <w:p w14:paraId="38294B98" w14:textId="77777777" w:rsidR="00945E28" w:rsidRPr="00500A19" w:rsidRDefault="00945E28" w:rsidP="007F32B8">
            <w:pPr>
              <w:pStyle w:val="Tablehead"/>
              <w:rPr>
                <w:color w:val="000000"/>
                <w:sz w:val="22"/>
                <w:szCs w:val="22"/>
                <w14:ligatures w14:val="standardContextual"/>
              </w:rPr>
            </w:pPr>
            <w:r w:rsidRPr="00500A19">
              <w:t>Блоки</w:t>
            </w:r>
          </w:p>
        </w:tc>
        <w:tc>
          <w:tcPr>
            <w:tcW w:w="1100" w:type="pct"/>
            <w:shd w:val="clear" w:color="auto" w:fill="C6D9F1"/>
            <w:tcMar>
              <w:top w:w="0" w:type="dxa"/>
              <w:left w:w="108" w:type="dxa"/>
              <w:bottom w:w="0" w:type="dxa"/>
              <w:right w:w="108" w:type="dxa"/>
            </w:tcMar>
            <w:vAlign w:val="center"/>
          </w:tcPr>
          <w:p w14:paraId="2345CADB" w14:textId="77777777" w:rsidR="00945E28" w:rsidRPr="00500A19" w:rsidRDefault="00945E28" w:rsidP="007F32B8">
            <w:pPr>
              <w:pStyle w:val="Tablehead"/>
              <w:rPr>
                <w:color w:val="000000"/>
                <w:sz w:val="22"/>
                <w:szCs w:val="22"/>
                <w14:ligatures w14:val="standardContextual"/>
              </w:rPr>
            </w:pPr>
            <w:r w:rsidRPr="00500A19">
              <w:t>Резолюция ВКРЭ</w:t>
            </w:r>
          </w:p>
        </w:tc>
        <w:tc>
          <w:tcPr>
            <w:tcW w:w="1101" w:type="pct"/>
            <w:shd w:val="clear" w:color="auto" w:fill="C6D9F1"/>
            <w:vAlign w:val="center"/>
          </w:tcPr>
          <w:p w14:paraId="4783F5B8" w14:textId="77777777" w:rsidR="00945E28" w:rsidRPr="00500A19" w:rsidRDefault="00945E28" w:rsidP="007F32B8">
            <w:pPr>
              <w:pStyle w:val="Tablehead"/>
            </w:pPr>
            <w:r w:rsidRPr="00500A19">
              <w:t>Резолюция ПК</w:t>
            </w:r>
          </w:p>
        </w:tc>
        <w:tc>
          <w:tcPr>
            <w:tcW w:w="950" w:type="pct"/>
            <w:shd w:val="clear" w:color="auto" w:fill="C6D9F1"/>
            <w:tcMar>
              <w:top w:w="0" w:type="dxa"/>
              <w:left w:w="108" w:type="dxa"/>
              <w:bottom w:w="0" w:type="dxa"/>
              <w:right w:w="108" w:type="dxa"/>
            </w:tcMar>
            <w:vAlign w:val="center"/>
          </w:tcPr>
          <w:p w14:paraId="2C767C98" w14:textId="77777777" w:rsidR="00945E28" w:rsidRPr="00500A19" w:rsidRDefault="00945E28" w:rsidP="007F32B8">
            <w:pPr>
              <w:pStyle w:val="Tablehead"/>
              <w:rPr>
                <w:color w:val="000000"/>
                <w:sz w:val="22"/>
                <w:szCs w:val="22"/>
              </w:rPr>
            </w:pPr>
            <w:r w:rsidRPr="00500A19">
              <w:t>Добровольные помощники</w:t>
            </w:r>
          </w:p>
        </w:tc>
      </w:tr>
      <w:tr w:rsidR="00945E28" w:rsidRPr="00500A19" w14:paraId="598E4D12" w14:textId="77777777" w:rsidTr="007F32B8">
        <w:trPr>
          <w:trHeight w:val="263"/>
        </w:trPr>
        <w:tc>
          <w:tcPr>
            <w:tcW w:w="1849" w:type="pct"/>
            <w:shd w:val="clear" w:color="auto" w:fill="auto"/>
            <w:tcMar>
              <w:top w:w="0" w:type="dxa"/>
              <w:left w:w="108" w:type="dxa"/>
              <w:bottom w:w="0" w:type="dxa"/>
              <w:right w:w="108" w:type="dxa"/>
            </w:tcMar>
          </w:tcPr>
          <w:p w14:paraId="27182E85" w14:textId="725D877B"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1</w:t>
            </w:r>
            <w:r w:rsidRPr="00500A19">
              <w:tab/>
              <w:t>Информация и статистические</w:t>
            </w:r>
            <w:r w:rsidR="001236C1" w:rsidRPr="00500A19">
              <w:t> </w:t>
            </w:r>
            <w:r w:rsidRPr="00500A19">
              <w:t>данные</w:t>
            </w:r>
          </w:p>
        </w:tc>
        <w:tc>
          <w:tcPr>
            <w:tcW w:w="1100" w:type="pct"/>
            <w:shd w:val="clear" w:color="auto" w:fill="auto"/>
            <w:tcMar>
              <w:top w:w="0" w:type="dxa"/>
              <w:left w:w="108" w:type="dxa"/>
              <w:bottom w:w="0" w:type="dxa"/>
              <w:right w:w="108" w:type="dxa"/>
            </w:tcMar>
          </w:tcPr>
          <w:p w14:paraId="65BD705E" w14:textId="77777777" w:rsidR="00945E28" w:rsidRPr="00500A19" w:rsidRDefault="00945E28" w:rsidP="007F32B8">
            <w:pPr>
              <w:pStyle w:val="Tabletext"/>
              <w:rPr>
                <w:color w:val="000000"/>
                <w:szCs w:val="24"/>
                <w14:ligatures w14:val="standardContextual"/>
              </w:rPr>
            </w:pPr>
            <w:r w:rsidRPr="00500A19">
              <w:rPr>
                <w:color w:val="000000"/>
                <w:szCs w:val="24"/>
                <w14:ligatures w14:val="standardContextual"/>
              </w:rPr>
              <w:t>Рез. 8</w:t>
            </w:r>
          </w:p>
        </w:tc>
        <w:tc>
          <w:tcPr>
            <w:tcW w:w="1101" w:type="pct"/>
          </w:tcPr>
          <w:p w14:paraId="2F8CAE00"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131</w:t>
            </w:r>
          </w:p>
        </w:tc>
        <w:tc>
          <w:tcPr>
            <w:tcW w:w="950" w:type="pct"/>
            <w:shd w:val="clear" w:color="auto" w:fill="auto"/>
            <w:tcMar>
              <w:top w:w="0" w:type="dxa"/>
              <w:left w:w="108" w:type="dxa"/>
              <w:bottom w:w="0" w:type="dxa"/>
              <w:right w:w="108" w:type="dxa"/>
            </w:tcMar>
          </w:tcPr>
          <w:p w14:paraId="42FC0666" w14:textId="77777777" w:rsidR="00945E28" w:rsidRPr="00500A19" w:rsidRDefault="00945E28" w:rsidP="007F32B8">
            <w:pPr>
              <w:pStyle w:val="Tabletext"/>
              <w:rPr>
                <w:rFonts w:ascii="Aptos" w:eastAsia="Aptos" w:hAnsi="Aptos" w:cs="Aptos"/>
                <w:sz w:val="22"/>
                <w:szCs w:val="22"/>
              </w:rPr>
            </w:pPr>
            <w:r w:rsidRPr="00500A19">
              <w:t>Российская Федерация</w:t>
            </w:r>
          </w:p>
        </w:tc>
      </w:tr>
      <w:tr w:rsidR="00945E28" w:rsidRPr="00500A19" w14:paraId="7DCBB0C7" w14:textId="77777777" w:rsidTr="007F32B8">
        <w:trPr>
          <w:trHeight w:val="300"/>
        </w:trPr>
        <w:tc>
          <w:tcPr>
            <w:tcW w:w="1849" w:type="pct"/>
            <w:shd w:val="clear" w:color="auto" w:fill="auto"/>
            <w:tcMar>
              <w:top w:w="0" w:type="dxa"/>
              <w:left w:w="108" w:type="dxa"/>
              <w:bottom w:w="0" w:type="dxa"/>
              <w:right w:w="108" w:type="dxa"/>
            </w:tcMar>
          </w:tcPr>
          <w:p w14:paraId="432F9976" w14:textId="2D16D888"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2</w:t>
            </w:r>
            <w:r w:rsidRPr="00500A19">
              <w:tab/>
              <w:t>Региональное сотрудничество и</w:t>
            </w:r>
            <w:r w:rsidR="001236C1" w:rsidRPr="00500A19">
              <w:t> </w:t>
            </w:r>
            <w:r w:rsidRPr="00500A19">
              <w:t>проекты</w:t>
            </w:r>
          </w:p>
        </w:tc>
        <w:tc>
          <w:tcPr>
            <w:tcW w:w="1100" w:type="pct"/>
            <w:shd w:val="clear" w:color="auto" w:fill="auto"/>
            <w:tcMar>
              <w:top w:w="0" w:type="dxa"/>
              <w:left w:w="108" w:type="dxa"/>
              <w:bottom w:w="0" w:type="dxa"/>
              <w:right w:w="108" w:type="dxa"/>
            </w:tcMar>
          </w:tcPr>
          <w:p w14:paraId="141F0941" w14:textId="77777777" w:rsidR="00945E28" w:rsidRPr="00500A19" w:rsidRDefault="00945E28" w:rsidP="007F32B8">
            <w:pPr>
              <w:pStyle w:val="Tabletext"/>
              <w:rPr>
                <w:color w:val="000000"/>
                <w:szCs w:val="24"/>
                <w14:ligatures w14:val="standardContextual"/>
              </w:rPr>
            </w:pPr>
            <w:r w:rsidRPr="00500A19">
              <w:rPr>
                <w:color w:val="000000"/>
                <w:szCs w:val="24"/>
                <w14:ligatures w14:val="standardContextual"/>
              </w:rPr>
              <w:t>Рез. 17</w:t>
            </w:r>
          </w:p>
        </w:tc>
        <w:tc>
          <w:tcPr>
            <w:tcW w:w="1101" w:type="pct"/>
          </w:tcPr>
          <w:p w14:paraId="05B2BDBC"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25, Рез. 135, Рез. 157</w:t>
            </w:r>
          </w:p>
        </w:tc>
        <w:tc>
          <w:tcPr>
            <w:tcW w:w="950" w:type="pct"/>
            <w:shd w:val="clear" w:color="auto" w:fill="auto"/>
            <w:tcMar>
              <w:top w:w="0" w:type="dxa"/>
              <w:left w:w="108" w:type="dxa"/>
              <w:bottom w:w="0" w:type="dxa"/>
              <w:right w:w="108" w:type="dxa"/>
            </w:tcMar>
          </w:tcPr>
          <w:p w14:paraId="352594D6" w14:textId="77777777" w:rsidR="00945E28" w:rsidRPr="00500A19" w:rsidRDefault="00945E28" w:rsidP="007F32B8">
            <w:pPr>
              <w:pStyle w:val="Tabletext"/>
              <w:rPr>
                <w:color w:val="000000"/>
                <w:sz w:val="22"/>
                <w:szCs w:val="22"/>
              </w:rPr>
            </w:pPr>
            <w:r w:rsidRPr="00500A19">
              <w:t>Австралия</w:t>
            </w:r>
          </w:p>
        </w:tc>
      </w:tr>
      <w:tr w:rsidR="00945E28" w:rsidRPr="00500A19" w14:paraId="2121BCDB" w14:textId="77777777" w:rsidTr="007F32B8">
        <w:trPr>
          <w:trHeight w:val="300"/>
        </w:trPr>
        <w:tc>
          <w:tcPr>
            <w:tcW w:w="1849" w:type="pct"/>
            <w:shd w:val="clear" w:color="auto" w:fill="auto"/>
            <w:tcMar>
              <w:top w:w="0" w:type="dxa"/>
              <w:left w:w="108" w:type="dxa"/>
              <w:bottom w:w="0" w:type="dxa"/>
              <w:right w:w="108" w:type="dxa"/>
            </w:tcMar>
          </w:tcPr>
          <w:p w14:paraId="0A49B6BC" w14:textId="77777777"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3</w:t>
            </w:r>
            <w:r w:rsidRPr="00500A19">
              <w:tab/>
              <w:t>Инфраструктура и сети доступа</w:t>
            </w:r>
          </w:p>
        </w:tc>
        <w:tc>
          <w:tcPr>
            <w:tcW w:w="1100" w:type="pct"/>
            <w:shd w:val="clear" w:color="auto" w:fill="auto"/>
            <w:tcMar>
              <w:top w:w="0" w:type="dxa"/>
              <w:left w:w="108" w:type="dxa"/>
              <w:bottom w:w="0" w:type="dxa"/>
              <w:right w:w="108" w:type="dxa"/>
            </w:tcMar>
          </w:tcPr>
          <w:p w14:paraId="48F40843" w14:textId="77777777" w:rsidR="00945E28" w:rsidRPr="00500A19" w:rsidRDefault="00945E28" w:rsidP="007F32B8">
            <w:pPr>
              <w:pStyle w:val="Tabletext"/>
              <w:rPr>
                <w:color w:val="000000"/>
                <w:szCs w:val="24"/>
                <w14:ligatures w14:val="standardContextual"/>
              </w:rPr>
            </w:pPr>
            <w:r w:rsidRPr="00500A19">
              <w:rPr>
                <w:color w:val="000000"/>
                <w:szCs w:val="24"/>
                <w14:ligatures w14:val="standardContextual"/>
              </w:rPr>
              <w:t>Рез. 20, Рез. 22, Рез. 23, Рез. 63</w:t>
            </w:r>
          </w:p>
        </w:tc>
        <w:tc>
          <w:tcPr>
            <w:tcW w:w="1101" w:type="pct"/>
          </w:tcPr>
          <w:p w14:paraId="54EDD47F"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64, Рез. 21, Рез. 101, Рез. 180</w:t>
            </w:r>
          </w:p>
        </w:tc>
        <w:tc>
          <w:tcPr>
            <w:tcW w:w="950" w:type="pct"/>
            <w:shd w:val="clear" w:color="auto" w:fill="auto"/>
            <w:tcMar>
              <w:top w:w="0" w:type="dxa"/>
              <w:left w:w="108" w:type="dxa"/>
              <w:bottom w:w="0" w:type="dxa"/>
              <w:right w:w="108" w:type="dxa"/>
            </w:tcMar>
          </w:tcPr>
          <w:p w14:paraId="42FDE407" w14:textId="77777777" w:rsidR="00945E28" w:rsidRPr="00500A19" w:rsidRDefault="00945E28" w:rsidP="007F32B8">
            <w:pPr>
              <w:pStyle w:val="Tabletext"/>
              <w:rPr>
                <w:color w:val="000000"/>
                <w:sz w:val="22"/>
                <w:szCs w:val="22"/>
              </w:rPr>
            </w:pPr>
            <w:r w:rsidRPr="00500A19">
              <w:t>Гана</w:t>
            </w:r>
          </w:p>
        </w:tc>
      </w:tr>
      <w:tr w:rsidR="00945E28" w:rsidRPr="00500A19" w14:paraId="3442F997" w14:textId="77777777" w:rsidTr="007F32B8">
        <w:trPr>
          <w:trHeight w:val="300"/>
        </w:trPr>
        <w:tc>
          <w:tcPr>
            <w:tcW w:w="1849" w:type="pct"/>
            <w:shd w:val="clear" w:color="auto" w:fill="auto"/>
            <w:tcMar>
              <w:top w:w="0" w:type="dxa"/>
              <w:left w:w="108" w:type="dxa"/>
              <w:bottom w:w="0" w:type="dxa"/>
              <w:right w:w="108" w:type="dxa"/>
            </w:tcMar>
            <w:hideMark/>
          </w:tcPr>
          <w:p w14:paraId="2656EF02" w14:textId="77777777"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4</w:t>
            </w:r>
            <w:r w:rsidRPr="00500A19">
              <w:tab/>
              <w:t>Роль МСЭ в стратегических форумах и координации деятельности Секторов</w:t>
            </w:r>
          </w:p>
        </w:tc>
        <w:tc>
          <w:tcPr>
            <w:tcW w:w="1100" w:type="pct"/>
            <w:shd w:val="clear" w:color="auto" w:fill="auto"/>
            <w:tcMar>
              <w:top w:w="0" w:type="dxa"/>
              <w:left w:w="108" w:type="dxa"/>
              <w:bottom w:w="0" w:type="dxa"/>
              <w:right w:w="108" w:type="dxa"/>
            </w:tcMar>
            <w:hideMark/>
          </w:tcPr>
          <w:p w14:paraId="701BE435" w14:textId="77777777" w:rsidR="00945E28" w:rsidRPr="00500A19" w:rsidRDefault="00945E28" w:rsidP="007F32B8">
            <w:pPr>
              <w:pStyle w:val="Tabletext"/>
              <w:rPr>
                <w:color w:val="000000"/>
                <w:szCs w:val="24"/>
                <w14:ligatures w14:val="standardContextual"/>
              </w:rPr>
            </w:pPr>
            <w:r w:rsidRPr="00500A19">
              <w:rPr>
                <w:color w:val="000000"/>
                <w:szCs w:val="24"/>
                <w14:ligatures w14:val="standardContextual"/>
              </w:rPr>
              <w:t>Рез. 30, Рез. 48, Рез. 59</w:t>
            </w:r>
          </w:p>
        </w:tc>
        <w:tc>
          <w:tcPr>
            <w:tcW w:w="1101" w:type="pct"/>
          </w:tcPr>
          <w:p w14:paraId="790EC634"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140, Рез. 138, Рез.  191</w:t>
            </w:r>
          </w:p>
        </w:tc>
        <w:tc>
          <w:tcPr>
            <w:tcW w:w="950" w:type="pct"/>
            <w:shd w:val="clear" w:color="auto" w:fill="auto"/>
            <w:tcMar>
              <w:top w:w="0" w:type="dxa"/>
              <w:left w:w="108" w:type="dxa"/>
              <w:bottom w:w="0" w:type="dxa"/>
              <w:right w:w="108" w:type="dxa"/>
            </w:tcMar>
          </w:tcPr>
          <w:p w14:paraId="46D6A9F5" w14:textId="77777777" w:rsidR="00945E28" w:rsidRPr="00500A19" w:rsidRDefault="00945E28" w:rsidP="007F32B8">
            <w:pPr>
              <w:pStyle w:val="Tabletext"/>
              <w:rPr>
                <w:color w:val="000000"/>
              </w:rPr>
            </w:pPr>
          </w:p>
        </w:tc>
      </w:tr>
      <w:tr w:rsidR="00945E28" w:rsidRPr="00500A19" w14:paraId="00B2FF0A" w14:textId="77777777" w:rsidTr="007F32B8">
        <w:trPr>
          <w:trHeight w:val="300"/>
        </w:trPr>
        <w:tc>
          <w:tcPr>
            <w:tcW w:w="1849" w:type="pct"/>
            <w:shd w:val="clear" w:color="auto" w:fill="auto"/>
            <w:tcMar>
              <w:top w:w="0" w:type="dxa"/>
              <w:left w:w="108" w:type="dxa"/>
              <w:bottom w:w="0" w:type="dxa"/>
              <w:right w:w="108" w:type="dxa"/>
            </w:tcMar>
            <w:hideMark/>
          </w:tcPr>
          <w:p w14:paraId="086DEAAE" w14:textId="77777777"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5</w:t>
            </w:r>
            <w:r w:rsidRPr="00500A19">
              <w:tab/>
              <w:t>Окружающая среда</w:t>
            </w:r>
          </w:p>
        </w:tc>
        <w:tc>
          <w:tcPr>
            <w:tcW w:w="1100" w:type="pct"/>
            <w:shd w:val="clear" w:color="auto" w:fill="auto"/>
            <w:tcMar>
              <w:top w:w="0" w:type="dxa"/>
              <w:left w:w="108" w:type="dxa"/>
              <w:bottom w:w="0" w:type="dxa"/>
              <w:right w:w="108" w:type="dxa"/>
            </w:tcMar>
            <w:hideMark/>
          </w:tcPr>
          <w:p w14:paraId="7BD0B9FF" w14:textId="77777777" w:rsidR="00945E28" w:rsidRPr="00500A19" w:rsidRDefault="00945E28" w:rsidP="007F32B8">
            <w:pPr>
              <w:pStyle w:val="Tabletext"/>
              <w:rPr>
                <w:color w:val="000000"/>
                <w14:ligatures w14:val="standardContextual"/>
              </w:rPr>
            </w:pPr>
            <w:r w:rsidRPr="00500A19">
              <w:rPr>
                <w:color w:val="000000"/>
                <w14:ligatures w14:val="standardContextual"/>
              </w:rPr>
              <w:t>Рез. 34, Рез. 66, Рез. 62</w:t>
            </w:r>
          </w:p>
        </w:tc>
        <w:tc>
          <w:tcPr>
            <w:tcW w:w="1101" w:type="pct"/>
          </w:tcPr>
          <w:p w14:paraId="117C72F6"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136, Рез. 182, Рез. 176</w:t>
            </w:r>
          </w:p>
        </w:tc>
        <w:tc>
          <w:tcPr>
            <w:tcW w:w="950" w:type="pct"/>
            <w:shd w:val="clear" w:color="auto" w:fill="auto"/>
            <w:tcMar>
              <w:top w:w="0" w:type="dxa"/>
              <w:left w:w="108" w:type="dxa"/>
              <w:bottom w:w="0" w:type="dxa"/>
              <w:right w:w="108" w:type="dxa"/>
            </w:tcMar>
          </w:tcPr>
          <w:p w14:paraId="6E52FCA4" w14:textId="77777777" w:rsidR="00945E28" w:rsidRPr="00500A19" w:rsidRDefault="00945E28" w:rsidP="007F32B8">
            <w:pPr>
              <w:pStyle w:val="Tabletext"/>
              <w:rPr>
                <w:color w:val="000000"/>
              </w:rPr>
            </w:pPr>
          </w:p>
        </w:tc>
      </w:tr>
      <w:tr w:rsidR="00945E28" w:rsidRPr="00500A19" w14:paraId="3D847873" w14:textId="77777777" w:rsidTr="007F32B8">
        <w:trPr>
          <w:trHeight w:val="300"/>
        </w:trPr>
        <w:tc>
          <w:tcPr>
            <w:tcW w:w="1849" w:type="pct"/>
            <w:shd w:val="clear" w:color="auto" w:fill="auto"/>
            <w:tcMar>
              <w:top w:w="0" w:type="dxa"/>
              <w:left w:w="108" w:type="dxa"/>
              <w:bottom w:w="0" w:type="dxa"/>
              <w:right w:w="108" w:type="dxa"/>
            </w:tcMar>
            <w:hideMark/>
          </w:tcPr>
          <w:p w14:paraId="6DEEE5FE" w14:textId="4F65F535"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6</w:t>
            </w:r>
            <w:r w:rsidRPr="00500A19">
              <w:tab/>
              <w:t>Гендерные вопросы и молодежная</w:t>
            </w:r>
            <w:r w:rsidR="001236C1" w:rsidRPr="00500A19">
              <w:t> </w:t>
            </w:r>
            <w:r w:rsidRPr="00500A19">
              <w:t>политика</w:t>
            </w:r>
          </w:p>
        </w:tc>
        <w:tc>
          <w:tcPr>
            <w:tcW w:w="1100" w:type="pct"/>
            <w:shd w:val="clear" w:color="auto" w:fill="auto"/>
            <w:tcMar>
              <w:top w:w="0" w:type="dxa"/>
              <w:left w:w="108" w:type="dxa"/>
              <w:bottom w:w="0" w:type="dxa"/>
              <w:right w:w="108" w:type="dxa"/>
            </w:tcMar>
            <w:hideMark/>
          </w:tcPr>
          <w:p w14:paraId="00FA266F" w14:textId="77777777" w:rsidR="00945E28" w:rsidRPr="00500A19" w:rsidRDefault="00945E28" w:rsidP="007F32B8">
            <w:pPr>
              <w:pStyle w:val="Tabletext"/>
              <w:rPr>
                <w:color w:val="000000"/>
                <w14:ligatures w14:val="standardContextual"/>
              </w:rPr>
            </w:pPr>
            <w:r w:rsidRPr="00500A19">
              <w:rPr>
                <w:color w:val="000000"/>
                <w14:ligatures w14:val="standardContextual"/>
              </w:rPr>
              <w:t>Рез. 55, Рез. 76</w:t>
            </w:r>
          </w:p>
        </w:tc>
        <w:tc>
          <w:tcPr>
            <w:tcW w:w="1101" w:type="pct"/>
          </w:tcPr>
          <w:p w14:paraId="17A11138"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70, Рез. 198</w:t>
            </w:r>
          </w:p>
        </w:tc>
        <w:tc>
          <w:tcPr>
            <w:tcW w:w="950" w:type="pct"/>
            <w:shd w:val="clear" w:color="auto" w:fill="auto"/>
            <w:tcMar>
              <w:top w:w="0" w:type="dxa"/>
              <w:left w:w="108" w:type="dxa"/>
              <w:bottom w:w="0" w:type="dxa"/>
              <w:right w:w="108" w:type="dxa"/>
            </w:tcMar>
          </w:tcPr>
          <w:p w14:paraId="191E6139" w14:textId="77777777" w:rsidR="00945E28" w:rsidRPr="00500A19" w:rsidRDefault="00945E28" w:rsidP="007F32B8">
            <w:pPr>
              <w:pStyle w:val="Tabletext"/>
              <w:rPr>
                <w:color w:val="000000"/>
              </w:rPr>
            </w:pPr>
            <w:r w:rsidRPr="00500A19">
              <w:t>Канада, Доминиканская Республика</w:t>
            </w:r>
          </w:p>
        </w:tc>
      </w:tr>
      <w:tr w:rsidR="00945E28" w:rsidRPr="00500A19" w14:paraId="302FD155" w14:textId="77777777" w:rsidTr="007F32B8">
        <w:trPr>
          <w:trHeight w:val="300"/>
        </w:trPr>
        <w:tc>
          <w:tcPr>
            <w:tcW w:w="1849" w:type="pct"/>
            <w:shd w:val="clear" w:color="auto" w:fill="auto"/>
            <w:tcMar>
              <w:top w:w="0" w:type="dxa"/>
              <w:left w:w="108" w:type="dxa"/>
              <w:bottom w:w="0" w:type="dxa"/>
              <w:right w:w="108" w:type="dxa"/>
            </w:tcMar>
          </w:tcPr>
          <w:p w14:paraId="1E0DA078" w14:textId="77777777"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7</w:t>
            </w:r>
            <w:r w:rsidRPr="00500A19">
              <w:tab/>
              <w:t>Возможность подключения</w:t>
            </w:r>
          </w:p>
        </w:tc>
        <w:tc>
          <w:tcPr>
            <w:tcW w:w="1100" w:type="pct"/>
            <w:shd w:val="clear" w:color="auto" w:fill="auto"/>
            <w:tcMar>
              <w:top w:w="0" w:type="dxa"/>
              <w:left w:w="108" w:type="dxa"/>
              <w:bottom w:w="0" w:type="dxa"/>
              <w:right w:w="108" w:type="dxa"/>
            </w:tcMar>
          </w:tcPr>
          <w:p w14:paraId="0BD1DEBC" w14:textId="77777777" w:rsidR="00945E28" w:rsidRPr="00500A19" w:rsidRDefault="00945E28" w:rsidP="007F32B8">
            <w:pPr>
              <w:pStyle w:val="Tabletext"/>
              <w:rPr>
                <w:color w:val="000000"/>
                <w14:ligatures w14:val="standardContextual"/>
              </w:rPr>
            </w:pPr>
            <w:r w:rsidRPr="00500A19">
              <w:rPr>
                <w:color w:val="000000"/>
                <w14:ligatures w14:val="standardContextual"/>
              </w:rPr>
              <w:t>Рез. 16, Рез. 37</w:t>
            </w:r>
          </w:p>
        </w:tc>
        <w:tc>
          <w:tcPr>
            <w:tcW w:w="1101" w:type="pct"/>
          </w:tcPr>
          <w:p w14:paraId="0D5A7C2F"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30, Рез. 123, Рез. 203</w:t>
            </w:r>
          </w:p>
        </w:tc>
        <w:tc>
          <w:tcPr>
            <w:tcW w:w="950" w:type="pct"/>
            <w:shd w:val="clear" w:color="auto" w:fill="auto"/>
            <w:tcMar>
              <w:top w:w="0" w:type="dxa"/>
              <w:left w:w="108" w:type="dxa"/>
              <w:bottom w:w="0" w:type="dxa"/>
              <w:right w:w="108" w:type="dxa"/>
            </w:tcMar>
          </w:tcPr>
          <w:p w14:paraId="635ADF27" w14:textId="77777777" w:rsidR="00945E28" w:rsidRPr="00500A19" w:rsidRDefault="00945E28" w:rsidP="007F32B8">
            <w:pPr>
              <w:pStyle w:val="Tabletext"/>
              <w:rPr>
                <w:color w:val="000000"/>
              </w:rPr>
            </w:pPr>
            <w:r w:rsidRPr="00500A19">
              <w:t>Судан, Малайзия</w:t>
            </w:r>
          </w:p>
        </w:tc>
      </w:tr>
      <w:tr w:rsidR="00945E28" w:rsidRPr="00500A19" w14:paraId="72CECA7D" w14:textId="77777777" w:rsidTr="007F32B8">
        <w:trPr>
          <w:trHeight w:val="300"/>
        </w:trPr>
        <w:tc>
          <w:tcPr>
            <w:tcW w:w="1849" w:type="pct"/>
            <w:shd w:val="clear" w:color="auto" w:fill="auto"/>
            <w:tcMar>
              <w:top w:w="0" w:type="dxa"/>
              <w:left w:w="108" w:type="dxa"/>
              <w:bottom w:w="0" w:type="dxa"/>
              <w:right w:w="108" w:type="dxa"/>
            </w:tcMar>
          </w:tcPr>
          <w:p w14:paraId="357E6E84" w14:textId="77777777"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8</w:t>
            </w:r>
            <w:r w:rsidRPr="00500A19">
              <w:tab/>
              <w:t>Безопасность и соответствие требованиям</w:t>
            </w:r>
          </w:p>
        </w:tc>
        <w:tc>
          <w:tcPr>
            <w:tcW w:w="1100" w:type="pct"/>
            <w:shd w:val="clear" w:color="auto" w:fill="auto"/>
            <w:tcMar>
              <w:top w:w="0" w:type="dxa"/>
              <w:left w:w="108" w:type="dxa"/>
              <w:bottom w:w="0" w:type="dxa"/>
              <w:right w:w="108" w:type="dxa"/>
            </w:tcMar>
          </w:tcPr>
          <w:p w14:paraId="4E62801D" w14:textId="77777777" w:rsidR="00945E28" w:rsidRPr="00500A19" w:rsidRDefault="00945E28" w:rsidP="007F32B8">
            <w:pPr>
              <w:pStyle w:val="Tabletext"/>
              <w:rPr>
                <w:color w:val="000000"/>
                <w14:ligatures w14:val="standardContextual"/>
              </w:rPr>
            </w:pPr>
            <w:r w:rsidRPr="00500A19">
              <w:rPr>
                <w:color w:val="000000"/>
                <w14:ligatures w14:val="standardContextual"/>
              </w:rPr>
              <w:t>Рез. 45, Рез. 47, Рез. 79, Рез. 84</w:t>
            </w:r>
          </w:p>
        </w:tc>
        <w:tc>
          <w:tcPr>
            <w:tcW w:w="1101" w:type="pct"/>
          </w:tcPr>
          <w:p w14:paraId="33D9C149"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139, Рез. 177, Рез. 188, Рез. 189</w:t>
            </w:r>
          </w:p>
        </w:tc>
        <w:tc>
          <w:tcPr>
            <w:tcW w:w="950" w:type="pct"/>
            <w:shd w:val="clear" w:color="auto" w:fill="auto"/>
            <w:tcMar>
              <w:top w:w="0" w:type="dxa"/>
              <w:left w:w="108" w:type="dxa"/>
              <w:bottom w:w="0" w:type="dxa"/>
              <w:right w:w="108" w:type="dxa"/>
            </w:tcMar>
          </w:tcPr>
          <w:p w14:paraId="43D8E4D0" w14:textId="77777777" w:rsidR="00945E28" w:rsidRPr="00500A19" w:rsidRDefault="00945E28" w:rsidP="007F32B8">
            <w:pPr>
              <w:pStyle w:val="Tabletext"/>
              <w:rPr>
                <w:color w:val="000000"/>
              </w:rPr>
            </w:pPr>
          </w:p>
        </w:tc>
      </w:tr>
      <w:tr w:rsidR="00945E28" w:rsidRPr="00500A19" w14:paraId="38C5A37B" w14:textId="77777777" w:rsidTr="007F32B8">
        <w:trPr>
          <w:trHeight w:val="300"/>
        </w:trPr>
        <w:tc>
          <w:tcPr>
            <w:tcW w:w="1849" w:type="pct"/>
            <w:shd w:val="clear" w:color="auto" w:fill="auto"/>
            <w:tcMar>
              <w:top w:w="0" w:type="dxa"/>
              <w:left w:w="108" w:type="dxa"/>
              <w:bottom w:w="0" w:type="dxa"/>
              <w:right w:w="108" w:type="dxa"/>
            </w:tcMar>
          </w:tcPr>
          <w:p w14:paraId="023B0FD4" w14:textId="77777777"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9</w:t>
            </w:r>
            <w:r w:rsidRPr="00500A19">
              <w:tab/>
              <w:t>Доступность, потребители и защита ребенка в онлайновой среде (уязвимые пользователи)</w:t>
            </w:r>
          </w:p>
        </w:tc>
        <w:tc>
          <w:tcPr>
            <w:tcW w:w="1100" w:type="pct"/>
            <w:shd w:val="clear" w:color="auto" w:fill="auto"/>
            <w:tcMar>
              <w:top w:w="0" w:type="dxa"/>
              <w:left w:w="108" w:type="dxa"/>
              <w:bottom w:w="0" w:type="dxa"/>
              <w:right w:w="108" w:type="dxa"/>
            </w:tcMar>
          </w:tcPr>
          <w:p w14:paraId="2EDAF994" w14:textId="77777777" w:rsidR="00945E28" w:rsidRPr="00500A19" w:rsidRDefault="00945E28" w:rsidP="007F32B8">
            <w:pPr>
              <w:pStyle w:val="Tabletext"/>
              <w:rPr>
                <w:color w:val="000000"/>
                <w14:ligatures w14:val="standardContextual"/>
              </w:rPr>
            </w:pPr>
            <w:r w:rsidRPr="00500A19">
              <w:rPr>
                <w:color w:val="000000"/>
                <w14:ligatures w14:val="standardContextual"/>
              </w:rPr>
              <w:t>Рез. 58, Рез. 64, Рез. 67, Рез. 82</w:t>
            </w:r>
          </w:p>
        </w:tc>
        <w:tc>
          <w:tcPr>
            <w:tcW w:w="1101" w:type="pct"/>
          </w:tcPr>
          <w:p w14:paraId="21A57A23"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175, Рез. 196, Рез. 179, Рез. 133</w:t>
            </w:r>
          </w:p>
        </w:tc>
        <w:tc>
          <w:tcPr>
            <w:tcW w:w="950" w:type="pct"/>
            <w:shd w:val="clear" w:color="auto" w:fill="auto"/>
            <w:tcMar>
              <w:top w:w="0" w:type="dxa"/>
              <w:left w:w="108" w:type="dxa"/>
              <w:bottom w:w="0" w:type="dxa"/>
              <w:right w:w="108" w:type="dxa"/>
            </w:tcMar>
          </w:tcPr>
          <w:p w14:paraId="644B5340" w14:textId="77777777" w:rsidR="00945E28" w:rsidRPr="00500A19" w:rsidRDefault="00945E28" w:rsidP="007F32B8">
            <w:pPr>
              <w:pStyle w:val="Tabletext"/>
              <w:rPr>
                <w:color w:val="000000"/>
              </w:rPr>
            </w:pPr>
            <w:r w:rsidRPr="00500A19">
              <w:t>Бразилия</w:t>
            </w:r>
          </w:p>
        </w:tc>
      </w:tr>
      <w:tr w:rsidR="00945E28" w:rsidRPr="00500A19" w14:paraId="3B546014" w14:textId="77777777" w:rsidTr="007F32B8">
        <w:trPr>
          <w:trHeight w:val="300"/>
        </w:trPr>
        <w:tc>
          <w:tcPr>
            <w:tcW w:w="1849" w:type="pct"/>
            <w:shd w:val="clear" w:color="auto" w:fill="auto"/>
            <w:tcMar>
              <w:top w:w="0" w:type="dxa"/>
              <w:left w:w="108" w:type="dxa"/>
              <w:bottom w:w="0" w:type="dxa"/>
              <w:right w:w="108" w:type="dxa"/>
            </w:tcMar>
          </w:tcPr>
          <w:p w14:paraId="111D685F" w14:textId="77777777" w:rsidR="00945E28" w:rsidRPr="00500A19" w:rsidRDefault="00945E28" w:rsidP="007F32B8">
            <w:pPr>
              <w:pStyle w:val="Tabletext"/>
              <w:tabs>
                <w:tab w:val="clear" w:pos="284"/>
                <w:tab w:val="left" w:pos="317"/>
              </w:tabs>
              <w:ind w:left="317" w:hanging="317"/>
              <w:rPr>
                <w:color w:val="000000"/>
                <w:sz w:val="22"/>
                <w:szCs w:val="22"/>
                <w14:ligatures w14:val="standardContextual"/>
              </w:rPr>
            </w:pPr>
            <w:r w:rsidRPr="00500A19">
              <w:t>10</w:t>
            </w:r>
            <w:r w:rsidRPr="00500A19">
              <w:tab/>
              <w:t>Инновации</w:t>
            </w:r>
          </w:p>
        </w:tc>
        <w:tc>
          <w:tcPr>
            <w:tcW w:w="1100" w:type="pct"/>
            <w:shd w:val="clear" w:color="auto" w:fill="auto"/>
            <w:tcMar>
              <w:top w:w="0" w:type="dxa"/>
              <w:left w:w="108" w:type="dxa"/>
              <w:bottom w:w="0" w:type="dxa"/>
              <w:right w:w="108" w:type="dxa"/>
            </w:tcMar>
          </w:tcPr>
          <w:p w14:paraId="3039D151" w14:textId="77777777" w:rsidR="00945E28" w:rsidRPr="00500A19" w:rsidRDefault="00945E28" w:rsidP="007F32B8">
            <w:pPr>
              <w:pStyle w:val="Tabletext"/>
              <w:rPr>
                <w:color w:val="000000"/>
                <w:szCs w:val="24"/>
                <w14:ligatures w14:val="standardContextual"/>
              </w:rPr>
            </w:pPr>
            <w:r w:rsidRPr="00500A19">
              <w:rPr>
                <w:color w:val="000000"/>
                <w:szCs w:val="24"/>
                <w14:ligatures w14:val="standardContextual"/>
              </w:rPr>
              <w:t>Рез. 85, Рез. 90</w:t>
            </w:r>
          </w:p>
        </w:tc>
        <w:tc>
          <w:tcPr>
            <w:tcW w:w="1101" w:type="pct"/>
          </w:tcPr>
          <w:p w14:paraId="351FCADF" w14:textId="77777777" w:rsidR="00945E28" w:rsidRPr="00500A19" w:rsidRDefault="00945E28" w:rsidP="00812C9F">
            <w:pPr>
              <w:pStyle w:val="Tabletext"/>
              <w:ind w:left="128"/>
              <w:rPr>
                <w:color w:val="000000"/>
                <w:szCs w:val="24"/>
                <w14:ligatures w14:val="standardContextual"/>
              </w:rPr>
            </w:pPr>
            <w:r w:rsidRPr="00500A19">
              <w:rPr>
                <w:color w:val="000000"/>
                <w:szCs w:val="24"/>
                <w14:ligatures w14:val="standardContextual"/>
              </w:rPr>
              <w:t>Рез. 197, Рез. 205</w:t>
            </w:r>
          </w:p>
        </w:tc>
        <w:tc>
          <w:tcPr>
            <w:tcW w:w="950" w:type="pct"/>
            <w:shd w:val="clear" w:color="auto" w:fill="auto"/>
            <w:tcMar>
              <w:top w:w="0" w:type="dxa"/>
              <w:left w:w="108" w:type="dxa"/>
              <w:bottom w:w="0" w:type="dxa"/>
              <w:right w:w="108" w:type="dxa"/>
            </w:tcMar>
          </w:tcPr>
          <w:p w14:paraId="1FB69A91" w14:textId="77777777" w:rsidR="00945E28" w:rsidRPr="00500A19" w:rsidRDefault="00945E28" w:rsidP="007F32B8">
            <w:pPr>
              <w:pStyle w:val="Tabletext"/>
              <w:rPr>
                <w:color w:val="000000"/>
                <w:sz w:val="22"/>
                <w:szCs w:val="22"/>
              </w:rPr>
            </w:pPr>
          </w:p>
        </w:tc>
      </w:tr>
    </w:tbl>
    <w:p w14:paraId="2EF6A9F8" w14:textId="77777777" w:rsidR="00945E28" w:rsidRPr="00500A19" w:rsidRDefault="00945E28" w:rsidP="007F32B8">
      <w:pPr>
        <w:rPr>
          <w:rFonts w:cs="Calibri"/>
          <w:szCs w:val="24"/>
        </w:rPr>
      </w:pPr>
      <w:r w:rsidRPr="00500A19">
        <w:t>2</w:t>
      </w:r>
      <w:r w:rsidRPr="00500A19">
        <w:tab/>
        <w:t>Отчет о ходе работы КГРЭ-РГ-SR представляется на каждом региональном подготовительном собрании.</w:t>
      </w:r>
    </w:p>
    <w:p w14:paraId="47E36C9B" w14:textId="77777777" w:rsidR="00945E28" w:rsidRPr="00500A19" w:rsidRDefault="00945E28" w:rsidP="007F32B8">
      <w:pPr>
        <w:rPr>
          <w:rFonts w:cs="Calibri"/>
          <w:szCs w:val="24"/>
        </w:rPr>
      </w:pPr>
      <w:r w:rsidRPr="00500A19">
        <w:lastRenderedPageBreak/>
        <w:t>3</w:t>
      </w:r>
      <w:r w:rsidRPr="00500A19">
        <w:tab/>
        <w:t>Кроме того, Председатель КГРЭ-РГ-SR информировала региональные организации электросвязи о предстоящих собраниях КГРЭ-РГ-SR, обратив внимание на ведущуюся работу в целях содействия координации.</w:t>
      </w:r>
    </w:p>
    <w:p w14:paraId="7ACA4428" w14:textId="77777777" w:rsidR="00945E28" w:rsidRPr="00500A19" w:rsidRDefault="00945E28" w:rsidP="007F32B8">
      <w:r w:rsidRPr="00500A19">
        <w:t>4</w:t>
      </w:r>
      <w:r w:rsidRPr="00500A19">
        <w:tab/>
        <w:t>Шестое собрание КГРЭ-РГ-SR, состоявшееся 2 мая 2025 года, стало заключительным собранием этой рабочей группы. От имени Директора БРЭ была выражена признательность Председателю, заместителям Председателя и всем участникам за упорную работу, приверженность делу и вклад в упорядочение Резолюций, который они внесли за более чем год работы КГРЭ-РГ-SR.</w:t>
      </w:r>
    </w:p>
    <w:p w14:paraId="3CA5A82B" w14:textId="269CCE31" w:rsidR="00945E28" w:rsidRPr="00500A19" w:rsidRDefault="00945E28" w:rsidP="007F32B8">
      <w:pPr>
        <w:rPr>
          <w:rFonts w:cstheme="minorBidi"/>
        </w:rPr>
      </w:pPr>
      <w:r w:rsidRPr="00500A19">
        <w:rPr>
          <w:szCs w:val="24"/>
        </w:rPr>
        <w:t>5</w:t>
      </w:r>
      <w:r w:rsidRPr="00500A19">
        <w:rPr>
          <w:szCs w:val="24"/>
        </w:rPr>
        <w:tab/>
      </w:r>
      <w:r w:rsidRPr="00500A19">
        <w:t>Новые вклады могут быть представлены на предстоящих виртуальных межрегиональных собраниях, которые будут проходить в июле и в сентябре 2025 года.</w:t>
      </w:r>
    </w:p>
    <w:p w14:paraId="12641BA5" w14:textId="29644170" w:rsidR="00945E28" w:rsidRPr="00500A19" w:rsidRDefault="00945E28" w:rsidP="007F32B8">
      <w:pPr>
        <w:overflowPunct/>
        <w:autoSpaceDE/>
        <w:autoSpaceDN/>
        <w:adjustRightInd/>
        <w:spacing w:before="1440" w:after="120"/>
        <w:textAlignment w:val="auto"/>
      </w:pPr>
      <w:r w:rsidRPr="00500A19">
        <w:t xml:space="preserve">Приложение 1 к настоящему отчету доступно по </w:t>
      </w:r>
      <w:hyperlink r:id="rId240">
        <w:r w:rsidRPr="00500A19">
          <w:rPr>
            <w:rStyle w:val="Hyperlink"/>
          </w:rPr>
          <w:t>ссылке</w:t>
        </w:r>
      </w:hyperlink>
      <w:r w:rsidRPr="00500A19">
        <w:t>.</w:t>
      </w:r>
    </w:p>
    <w:p w14:paraId="25854077" w14:textId="77777777" w:rsidR="00945E28" w:rsidRPr="00500A19" w:rsidRDefault="00945E28" w:rsidP="00FC193B">
      <w:pPr>
        <w:overflowPunct/>
        <w:autoSpaceDE/>
        <w:autoSpaceDN/>
        <w:adjustRightInd/>
        <w:spacing w:after="120"/>
        <w:textAlignment w:val="auto"/>
      </w:pPr>
      <w:r w:rsidRPr="00500A19">
        <w:t xml:space="preserve">Приложение 2 к настоящему отчету доступно по </w:t>
      </w:r>
      <w:hyperlink r:id="rId241">
        <w:r w:rsidRPr="00500A19">
          <w:rPr>
            <w:rStyle w:val="Hyperlink"/>
          </w:rPr>
          <w:t>ссылке</w:t>
        </w:r>
      </w:hyperlink>
      <w:r w:rsidRPr="00500A19">
        <w:t>.</w:t>
      </w:r>
    </w:p>
    <w:p w14:paraId="473C2E69" w14:textId="77777777" w:rsidR="00CE66E4" w:rsidRPr="00500A19" w:rsidRDefault="00CE66E4" w:rsidP="007F32B8">
      <w:pPr>
        <w:spacing w:before="720"/>
        <w:jc w:val="center"/>
      </w:pPr>
      <w:r w:rsidRPr="00500A19">
        <w:t>______________</w:t>
      </w:r>
    </w:p>
    <w:sectPr w:rsidR="00CE66E4" w:rsidRPr="00500A19" w:rsidSect="00B0450E">
      <w:headerReference w:type="default" r:id="rId242"/>
      <w:headerReference w:type="first" r:id="rId243"/>
      <w:footerReference w:type="first" r:id="rId244"/>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829B6" w14:textId="77777777" w:rsidR="000C5016" w:rsidRDefault="000C5016">
      <w:r>
        <w:separator/>
      </w:r>
    </w:p>
    <w:p w14:paraId="5825173D" w14:textId="77777777" w:rsidR="000C5016" w:rsidRDefault="000C5016"/>
  </w:endnote>
  <w:endnote w:type="continuationSeparator" w:id="0">
    <w:p w14:paraId="76791F6D" w14:textId="77777777" w:rsidR="000C5016" w:rsidRDefault="000C5016">
      <w:r>
        <w:continuationSeparator/>
      </w:r>
    </w:p>
    <w:p w14:paraId="1FB797C1" w14:textId="77777777" w:rsidR="000C5016" w:rsidRDefault="000C5016"/>
  </w:endnote>
  <w:endnote w:type="continuationNotice" w:id="1">
    <w:p w14:paraId="42E6F43B" w14:textId="77777777" w:rsidR="000C5016" w:rsidRDefault="000C5016">
      <w:pPr>
        <w:spacing w:before="0"/>
      </w:pPr>
    </w:p>
    <w:p w14:paraId="313466A8" w14:textId="77777777" w:rsidR="000C5016" w:rsidRDefault="000C5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B0450E" w:rsidRPr="00500A19" w14:paraId="236A7CE1" w14:textId="77777777" w:rsidTr="00A21606">
      <w:tc>
        <w:tcPr>
          <w:tcW w:w="1526" w:type="dxa"/>
          <w:tcBorders>
            <w:top w:val="single" w:sz="4" w:space="0" w:color="000000" w:themeColor="text1"/>
          </w:tcBorders>
        </w:tcPr>
        <w:p w14:paraId="306324FF" w14:textId="77777777" w:rsidR="00B0450E" w:rsidRPr="00365AB0" w:rsidRDefault="00B0450E" w:rsidP="00B0450E">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668F1ABC" w14:textId="77777777" w:rsidR="00B0450E" w:rsidRPr="00365AB0" w:rsidRDefault="00B0450E" w:rsidP="00B0450E">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1B017ECF" w14:textId="77777777" w:rsidR="00B0450E" w:rsidRPr="00365AB0" w:rsidRDefault="00B0450E" w:rsidP="00B0450E">
          <w:pPr>
            <w:pStyle w:val="FirstFooter"/>
            <w:rPr>
              <w:sz w:val="18"/>
              <w:szCs w:val="18"/>
              <w:lang w:val="en-US"/>
            </w:rPr>
          </w:pPr>
          <w:r>
            <w:rPr>
              <w:sz w:val="18"/>
              <w:szCs w:val="18"/>
            </w:rPr>
            <w:t>г</w:t>
          </w:r>
          <w:r w:rsidRPr="00074B07">
            <w:rPr>
              <w:sz w:val="18"/>
              <w:szCs w:val="18"/>
              <w:lang w:val="en-US"/>
            </w:rPr>
            <w:t>-</w:t>
          </w:r>
          <w:r>
            <w:rPr>
              <w:sz w:val="18"/>
              <w:szCs w:val="18"/>
            </w:rPr>
            <w:t>жа</w:t>
          </w:r>
          <w:r w:rsidRPr="00074B07">
            <w:rPr>
              <w:sz w:val="18"/>
              <w:szCs w:val="18"/>
              <w:lang w:val="en-US"/>
            </w:rPr>
            <w:t xml:space="preserve"> </w:t>
          </w:r>
          <w:r w:rsidRPr="00074B07">
            <w:rPr>
              <w:sz w:val="18"/>
              <w:szCs w:val="18"/>
            </w:rPr>
            <w:t>Роксана</w:t>
          </w:r>
          <w:r w:rsidRPr="00074B07">
            <w:rPr>
              <w:sz w:val="18"/>
              <w:szCs w:val="18"/>
              <w:lang w:val="en-US"/>
            </w:rPr>
            <w:t xml:space="preserve"> </w:t>
          </w:r>
          <w:r w:rsidRPr="00074B07">
            <w:rPr>
              <w:sz w:val="18"/>
              <w:szCs w:val="18"/>
            </w:rPr>
            <w:t>Макэлвейн</w:t>
          </w:r>
          <w:r w:rsidRPr="00074B07">
            <w:rPr>
              <w:sz w:val="18"/>
              <w:szCs w:val="18"/>
              <w:lang w:val="en-US"/>
            </w:rPr>
            <w:t xml:space="preserve"> </w:t>
          </w:r>
          <w:r w:rsidRPr="00074B07">
            <w:rPr>
              <w:sz w:val="18"/>
              <w:szCs w:val="18"/>
            </w:rPr>
            <w:t>Веббер</w:t>
          </w:r>
          <w:r w:rsidRPr="00074B07">
            <w:rPr>
              <w:sz w:val="18"/>
              <w:szCs w:val="18"/>
              <w:lang w:val="en-US"/>
            </w:rPr>
            <w:t xml:space="preserve"> </w:t>
          </w:r>
          <w:r w:rsidRPr="00D345DB">
            <w:rPr>
              <w:sz w:val="18"/>
              <w:szCs w:val="18"/>
              <w:lang w:val="en-US"/>
            </w:rPr>
            <w:br/>
          </w:r>
          <w:r w:rsidRPr="00074B07">
            <w:rPr>
              <w:sz w:val="18"/>
              <w:szCs w:val="18"/>
              <w:lang w:val="en-US"/>
            </w:rPr>
            <w:t>(</w:t>
          </w:r>
          <w:r w:rsidRPr="0068563C">
            <w:rPr>
              <w:sz w:val="18"/>
              <w:szCs w:val="18"/>
              <w:lang w:val="en-US"/>
            </w:rPr>
            <w:t>Ms Roxanne McElvane Webber</w:t>
          </w:r>
          <w:r w:rsidRPr="00074B07">
            <w:rPr>
              <w:sz w:val="18"/>
              <w:szCs w:val="18"/>
              <w:lang w:val="en-US"/>
            </w:rPr>
            <w:t xml:space="preserve">), </w:t>
          </w:r>
          <w:r>
            <w:rPr>
              <w:sz w:val="18"/>
              <w:szCs w:val="18"/>
            </w:rPr>
            <w:t>Председатель</w:t>
          </w:r>
          <w:r w:rsidRPr="00074B07">
            <w:rPr>
              <w:sz w:val="18"/>
              <w:szCs w:val="18"/>
              <w:lang w:val="en-US"/>
            </w:rPr>
            <w:t xml:space="preserve"> </w:t>
          </w:r>
          <w:r>
            <w:rPr>
              <w:sz w:val="18"/>
              <w:szCs w:val="18"/>
            </w:rPr>
            <w:t>КГРЭ</w:t>
          </w:r>
        </w:p>
      </w:tc>
    </w:tr>
    <w:tr w:rsidR="00B0450E" w:rsidRPr="00365AB0" w14:paraId="28492415" w14:textId="77777777" w:rsidTr="00A21606">
      <w:trPr>
        <w:trHeight w:val="165"/>
      </w:trPr>
      <w:tc>
        <w:tcPr>
          <w:tcW w:w="1526" w:type="dxa"/>
        </w:tcPr>
        <w:p w14:paraId="474587A0" w14:textId="77777777" w:rsidR="00B0450E" w:rsidRPr="00365AB0" w:rsidRDefault="00B0450E" w:rsidP="00B0450E">
          <w:pPr>
            <w:pStyle w:val="FirstFooter"/>
            <w:rPr>
              <w:sz w:val="18"/>
              <w:szCs w:val="18"/>
              <w:lang w:val="en-US"/>
            </w:rPr>
          </w:pPr>
        </w:p>
      </w:tc>
      <w:tc>
        <w:tcPr>
          <w:tcW w:w="3260" w:type="dxa"/>
        </w:tcPr>
        <w:p w14:paraId="5170CE54" w14:textId="77777777" w:rsidR="00B0450E" w:rsidRPr="00365AB0" w:rsidRDefault="00B0450E" w:rsidP="00B0450E">
          <w:pPr>
            <w:pStyle w:val="FirstFooter"/>
            <w:ind w:left="3010" w:hanging="3010"/>
            <w:rPr>
              <w:sz w:val="18"/>
              <w:szCs w:val="18"/>
              <w:lang w:val="en-US"/>
            </w:rPr>
          </w:pPr>
          <w:r w:rsidRPr="00365AB0">
            <w:rPr>
              <w:sz w:val="18"/>
              <w:szCs w:val="18"/>
            </w:rPr>
            <w:t>Тел.:</w:t>
          </w:r>
        </w:p>
      </w:tc>
      <w:tc>
        <w:tcPr>
          <w:tcW w:w="4853" w:type="dxa"/>
        </w:tcPr>
        <w:p w14:paraId="6FA8581C" w14:textId="77777777" w:rsidR="00B0450E" w:rsidRPr="00365AB0" w:rsidRDefault="00B0450E" w:rsidP="00B0450E">
          <w:pPr>
            <w:pStyle w:val="FirstFooter"/>
            <w:rPr>
              <w:sz w:val="18"/>
              <w:szCs w:val="18"/>
            </w:rPr>
          </w:pPr>
          <w:hyperlink r:id="rId1" w:history="1">
            <w:r w:rsidRPr="0068563C">
              <w:rPr>
                <w:rStyle w:val="Hyperlink"/>
                <w:sz w:val="18"/>
                <w:szCs w:val="18"/>
                <w:lang w:val="en-US"/>
              </w:rPr>
              <w:t>Roxanne.Webber@fcc.gov</w:t>
            </w:r>
          </w:hyperlink>
        </w:p>
      </w:tc>
    </w:tr>
    <w:tr w:rsidR="00B0450E" w:rsidRPr="00365AB0" w14:paraId="46A22C48" w14:textId="77777777" w:rsidTr="00A21606">
      <w:tc>
        <w:tcPr>
          <w:tcW w:w="1526" w:type="dxa"/>
        </w:tcPr>
        <w:p w14:paraId="18FA017D" w14:textId="77777777" w:rsidR="00B0450E" w:rsidRPr="00365AB0" w:rsidRDefault="00B0450E" w:rsidP="00B0450E">
          <w:pPr>
            <w:pStyle w:val="FirstFooter"/>
            <w:rPr>
              <w:sz w:val="18"/>
              <w:szCs w:val="18"/>
            </w:rPr>
          </w:pPr>
        </w:p>
      </w:tc>
      <w:tc>
        <w:tcPr>
          <w:tcW w:w="3260" w:type="dxa"/>
        </w:tcPr>
        <w:p w14:paraId="4A17D34E" w14:textId="77777777" w:rsidR="00B0450E" w:rsidRPr="00365AB0" w:rsidRDefault="00B0450E" w:rsidP="00B0450E">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0F122856" w14:textId="77777777" w:rsidR="00B0450E" w:rsidRPr="00365AB0" w:rsidRDefault="00B0450E" w:rsidP="00B0450E">
          <w:pPr>
            <w:pStyle w:val="FirstFooter"/>
            <w:rPr>
              <w:sz w:val="18"/>
              <w:szCs w:val="18"/>
            </w:rPr>
          </w:pPr>
        </w:p>
      </w:tc>
    </w:tr>
  </w:tbl>
  <w:p w14:paraId="5689931B" w14:textId="77777777" w:rsidR="00B0450E" w:rsidRPr="00F723AC" w:rsidRDefault="00B0450E" w:rsidP="00B0450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F723AC" w:rsidRPr="00500A19" w14:paraId="692733CA" w14:textId="77777777" w:rsidTr="005539C3">
      <w:tc>
        <w:tcPr>
          <w:tcW w:w="1526" w:type="dxa"/>
          <w:tcBorders>
            <w:top w:val="single" w:sz="4" w:space="0" w:color="000000" w:themeColor="text1"/>
          </w:tcBorders>
        </w:tcPr>
        <w:p w14:paraId="0CA6A1B5" w14:textId="77777777" w:rsidR="00F723AC" w:rsidRPr="00365AB0" w:rsidRDefault="00F723AC" w:rsidP="00F723AC">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6F9651E0" w14:textId="77777777" w:rsidR="00F723AC" w:rsidRPr="00365AB0" w:rsidRDefault="00F723AC" w:rsidP="00F723AC">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74CFF642" w14:textId="71BD321C" w:rsidR="00F723AC" w:rsidRPr="00365AB0" w:rsidRDefault="00D345DB" w:rsidP="00F723AC">
          <w:pPr>
            <w:pStyle w:val="FirstFooter"/>
            <w:rPr>
              <w:sz w:val="18"/>
              <w:szCs w:val="18"/>
              <w:lang w:val="en-US"/>
            </w:rPr>
          </w:pPr>
          <w:r>
            <w:rPr>
              <w:sz w:val="18"/>
              <w:szCs w:val="18"/>
            </w:rPr>
            <w:t>г</w:t>
          </w:r>
          <w:r w:rsidRPr="00074B07">
            <w:rPr>
              <w:sz w:val="18"/>
              <w:szCs w:val="18"/>
              <w:lang w:val="en-US"/>
            </w:rPr>
            <w:t>-</w:t>
          </w:r>
          <w:r>
            <w:rPr>
              <w:sz w:val="18"/>
              <w:szCs w:val="18"/>
            </w:rPr>
            <w:t>жа</w:t>
          </w:r>
          <w:r w:rsidRPr="00074B07">
            <w:rPr>
              <w:sz w:val="18"/>
              <w:szCs w:val="18"/>
              <w:lang w:val="en-US"/>
            </w:rPr>
            <w:t xml:space="preserve"> </w:t>
          </w:r>
          <w:r w:rsidRPr="00074B07">
            <w:rPr>
              <w:sz w:val="18"/>
              <w:szCs w:val="18"/>
            </w:rPr>
            <w:t>Роксана</w:t>
          </w:r>
          <w:r w:rsidRPr="00074B07">
            <w:rPr>
              <w:sz w:val="18"/>
              <w:szCs w:val="18"/>
              <w:lang w:val="en-US"/>
            </w:rPr>
            <w:t xml:space="preserve"> </w:t>
          </w:r>
          <w:r w:rsidRPr="00074B07">
            <w:rPr>
              <w:sz w:val="18"/>
              <w:szCs w:val="18"/>
            </w:rPr>
            <w:t>Макэлвейн</w:t>
          </w:r>
          <w:r w:rsidRPr="00074B07">
            <w:rPr>
              <w:sz w:val="18"/>
              <w:szCs w:val="18"/>
              <w:lang w:val="en-US"/>
            </w:rPr>
            <w:t xml:space="preserve"> </w:t>
          </w:r>
          <w:r w:rsidRPr="00074B07">
            <w:rPr>
              <w:sz w:val="18"/>
              <w:szCs w:val="18"/>
            </w:rPr>
            <w:t>Веббер</w:t>
          </w:r>
          <w:r w:rsidRPr="00074B07">
            <w:rPr>
              <w:sz w:val="18"/>
              <w:szCs w:val="18"/>
              <w:lang w:val="en-US"/>
            </w:rPr>
            <w:t xml:space="preserve"> </w:t>
          </w:r>
          <w:r w:rsidRPr="00D345DB">
            <w:rPr>
              <w:sz w:val="18"/>
              <w:szCs w:val="18"/>
              <w:lang w:val="en-US"/>
            </w:rPr>
            <w:br/>
          </w:r>
          <w:r w:rsidRPr="00074B07">
            <w:rPr>
              <w:sz w:val="18"/>
              <w:szCs w:val="18"/>
              <w:lang w:val="en-US"/>
            </w:rPr>
            <w:t>(</w:t>
          </w:r>
          <w:r w:rsidRPr="0068563C">
            <w:rPr>
              <w:sz w:val="18"/>
              <w:szCs w:val="18"/>
              <w:lang w:val="en-US"/>
            </w:rPr>
            <w:t>Ms Roxanne McElvane Webber</w:t>
          </w:r>
          <w:r w:rsidRPr="00074B07">
            <w:rPr>
              <w:sz w:val="18"/>
              <w:szCs w:val="18"/>
              <w:lang w:val="en-US"/>
            </w:rPr>
            <w:t xml:space="preserve">), </w:t>
          </w:r>
          <w:r>
            <w:rPr>
              <w:sz w:val="18"/>
              <w:szCs w:val="18"/>
            </w:rPr>
            <w:t>Председатель</w:t>
          </w:r>
          <w:r w:rsidRPr="00074B07">
            <w:rPr>
              <w:sz w:val="18"/>
              <w:szCs w:val="18"/>
              <w:lang w:val="en-US"/>
            </w:rPr>
            <w:t xml:space="preserve"> </w:t>
          </w:r>
          <w:r>
            <w:rPr>
              <w:sz w:val="18"/>
              <w:szCs w:val="18"/>
            </w:rPr>
            <w:t>КГРЭ</w:t>
          </w:r>
        </w:p>
      </w:tc>
      <w:bookmarkStart w:id="44" w:name="OrgName"/>
      <w:bookmarkEnd w:id="44"/>
    </w:tr>
    <w:tr w:rsidR="00F723AC" w:rsidRPr="00365AB0" w14:paraId="7C6CA1AE" w14:textId="77777777" w:rsidTr="005539C3">
      <w:trPr>
        <w:trHeight w:val="165"/>
      </w:trPr>
      <w:tc>
        <w:tcPr>
          <w:tcW w:w="1526" w:type="dxa"/>
        </w:tcPr>
        <w:p w14:paraId="1FFAC94A" w14:textId="77777777" w:rsidR="00F723AC" w:rsidRPr="00365AB0" w:rsidRDefault="00F723AC" w:rsidP="00F723AC">
          <w:pPr>
            <w:pStyle w:val="FirstFooter"/>
            <w:rPr>
              <w:sz w:val="18"/>
              <w:szCs w:val="18"/>
              <w:lang w:val="en-US"/>
            </w:rPr>
          </w:pPr>
        </w:p>
      </w:tc>
      <w:tc>
        <w:tcPr>
          <w:tcW w:w="3260" w:type="dxa"/>
        </w:tcPr>
        <w:p w14:paraId="7308EDDA" w14:textId="77777777" w:rsidR="00F723AC" w:rsidRPr="00365AB0" w:rsidRDefault="00F723AC" w:rsidP="00F723AC">
          <w:pPr>
            <w:pStyle w:val="FirstFooter"/>
            <w:ind w:left="3010" w:hanging="3010"/>
            <w:rPr>
              <w:sz w:val="18"/>
              <w:szCs w:val="18"/>
              <w:lang w:val="en-US"/>
            </w:rPr>
          </w:pPr>
          <w:r w:rsidRPr="00365AB0">
            <w:rPr>
              <w:sz w:val="18"/>
              <w:szCs w:val="18"/>
            </w:rPr>
            <w:t>Тел.:</w:t>
          </w:r>
        </w:p>
      </w:tc>
      <w:tc>
        <w:tcPr>
          <w:tcW w:w="4853" w:type="dxa"/>
        </w:tcPr>
        <w:p w14:paraId="3899B975" w14:textId="6B51A296" w:rsidR="00F723AC" w:rsidRPr="00365AB0" w:rsidRDefault="00D345DB" w:rsidP="00F723AC">
          <w:pPr>
            <w:pStyle w:val="FirstFooter"/>
            <w:rPr>
              <w:sz w:val="18"/>
              <w:szCs w:val="18"/>
            </w:rPr>
          </w:pPr>
          <w:hyperlink r:id="rId1" w:history="1">
            <w:r w:rsidRPr="0068563C">
              <w:rPr>
                <w:rStyle w:val="Hyperlink"/>
                <w:sz w:val="18"/>
                <w:szCs w:val="18"/>
                <w:lang w:val="en-US"/>
              </w:rPr>
              <w:t>Roxanne.Webber@fcc.gov</w:t>
            </w:r>
          </w:hyperlink>
        </w:p>
      </w:tc>
      <w:bookmarkStart w:id="45" w:name="PhoneNo"/>
      <w:bookmarkEnd w:id="45"/>
    </w:tr>
    <w:tr w:rsidR="00F723AC" w:rsidRPr="00365AB0" w14:paraId="4F973E55" w14:textId="77777777" w:rsidTr="005539C3">
      <w:tc>
        <w:tcPr>
          <w:tcW w:w="1526" w:type="dxa"/>
        </w:tcPr>
        <w:p w14:paraId="6E838ACB" w14:textId="77777777" w:rsidR="00F723AC" w:rsidRPr="00365AB0" w:rsidRDefault="00F723AC" w:rsidP="00F723AC">
          <w:pPr>
            <w:pStyle w:val="FirstFooter"/>
            <w:rPr>
              <w:sz w:val="18"/>
              <w:szCs w:val="18"/>
            </w:rPr>
          </w:pPr>
        </w:p>
      </w:tc>
      <w:tc>
        <w:tcPr>
          <w:tcW w:w="3260" w:type="dxa"/>
        </w:tcPr>
        <w:p w14:paraId="47706DE1" w14:textId="77777777" w:rsidR="00F723AC" w:rsidRPr="00365AB0" w:rsidRDefault="00F723AC" w:rsidP="00F723AC">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3F342C60" w14:textId="425762A1" w:rsidR="00F723AC" w:rsidRPr="00365AB0" w:rsidRDefault="00F723AC" w:rsidP="00F723AC">
          <w:pPr>
            <w:pStyle w:val="FirstFooter"/>
            <w:rPr>
              <w:sz w:val="18"/>
              <w:szCs w:val="18"/>
            </w:rPr>
          </w:pPr>
        </w:p>
      </w:tc>
      <w:bookmarkStart w:id="46" w:name="Email"/>
      <w:bookmarkEnd w:id="46"/>
    </w:tr>
  </w:tbl>
  <w:p w14:paraId="783F2C73"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F1B00" w14:textId="77777777" w:rsidR="000C5016" w:rsidRPr="004848AD" w:rsidRDefault="000C5016" w:rsidP="0054377E">
      <w:pPr>
        <w:spacing w:before="0"/>
        <w:rPr>
          <w:bCs/>
        </w:rPr>
      </w:pPr>
      <w:r w:rsidRPr="004848AD">
        <w:rPr>
          <w:bCs/>
        </w:rPr>
        <w:t>_______________</w:t>
      </w:r>
    </w:p>
  </w:footnote>
  <w:footnote w:type="continuationSeparator" w:id="0">
    <w:p w14:paraId="486BCC4A" w14:textId="77777777" w:rsidR="000C5016" w:rsidRDefault="000C5016" w:rsidP="0054377E">
      <w:pPr>
        <w:spacing w:before="0"/>
      </w:pPr>
      <w:r>
        <w:continuationSeparator/>
      </w:r>
    </w:p>
    <w:p w14:paraId="6A890D2B" w14:textId="77777777" w:rsidR="000C5016" w:rsidRDefault="000C5016"/>
  </w:footnote>
  <w:footnote w:type="continuationNotice" w:id="1">
    <w:p w14:paraId="5A819A78" w14:textId="77777777" w:rsidR="000C5016" w:rsidRDefault="000C5016">
      <w:pPr>
        <w:spacing w:before="0"/>
      </w:pPr>
    </w:p>
    <w:p w14:paraId="390FE46E" w14:textId="77777777" w:rsidR="000C5016" w:rsidRDefault="000C5016"/>
  </w:footnote>
  <w:footnote w:id="2">
    <w:p w14:paraId="43BF5212" w14:textId="27C96FA1" w:rsidR="00D345DB" w:rsidRPr="00C5418D" w:rsidRDefault="00D345DB" w:rsidP="00E104CD">
      <w:pPr>
        <w:pStyle w:val="FootnoteText"/>
        <w:spacing w:before="0"/>
        <w:rPr>
          <w:rFonts w:cstheme="minorHAnsi"/>
        </w:rPr>
      </w:pPr>
      <w:r w:rsidRPr="008F4B6B">
        <w:rPr>
          <w:rStyle w:val="FootnoteReference"/>
          <w:rFonts w:cstheme="minorHAnsi"/>
        </w:rPr>
        <w:footnoteRef/>
      </w:r>
      <w:r w:rsidR="00E104CD" w:rsidRPr="00E104CD">
        <w:tab/>
      </w:r>
      <w:r w:rsidRPr="00C5418D">
        <w:t>До отставки в 2024 году Кристофер Кипкоеч Кемей достойно представлял Африку в течение этого цикла с 2022 по 2024 год и был председателем Рабочей группы КГРЭ по приоритетам МСЭ-D в 2023–2024 годах.</w:t>
      </w:r>
    </w:p>
  </w:footnote>
  <w:footnote w:id="3">
    <w:p w14:paraId="1DBC5B7A" w14:textId="18D2F8C3" w:rsidR="00D345DB" w:rsidRPr="00C5418D" w:rsidRDefault="00D345DB" w:rsidP="00E104CD">
      <w:pPr>
        <w:pStyle w:val="FootnoteText"/>
        <w:spacing w:before="0"/>
        <w:rPr>
          <w:rFonts w:cstheme="minorHAnsi"/>
        </w:rPr>
      </w:pPr>
      <w:r w:rsidRPr="00C5418D">
        <w:rPr>
          <w:rStyle w:val="FootnoteReference"/>
          <w:rFonts w:cstheme="minorHAnsi"/>
          <w:sz w:val="20"/>
        </w:rPr>
        <w:footnoteRef/>
      </w:r>
      <w:r w:rsidR="00E104CD" w:rsidRPr="00E104CD">
        <w:tab/>
      </w:r>
      <w:r w:rsidRPr="00C5418D">
        <w:t xml:space="preserve">Г-жа Бланка Гонсалес, </w:t>
      </w:r>
      <w:r>
        <w:t xml:space="preserve">которая также представляет Европу и выполняет функции </w:t>
      </w:r>
      <w:r w:rsidRPr="00C5418D">
        <w:t>представител</w:t>
      </w:r>
      <w:r>
        <w:t>я</w:t>
      </w:r>
      <w:r w:rsidRPr="00C5418D">
        <w:t xml:space="preserve"> КГРЭ в МСЭГ по цифровой трансформации, заместител</w:t>
      </w:r>
      <w:r>
        <w:t>я</w:t>
      </w:r>
      <w:r w:rsidRPr="00C5418D">
        <w:t xml:space="preserve"> </w:t>
      </w:r>
      <w:r>
        <w:t>П</w:t>
      </w:r>
      <w:r w:rsidRPr="00C5418D">
        <w:t>редседателя Рабочей группы КГРЭ по приоритетам МСЭ-D и Рабочей группы КГРЭ по упорядочению Резолюций, не смогла присутствовать на этом собрании.</w:t>
      </w:r>
    </w:p>
  </w:footnote>
  <w:footnote w:id="4">
    <w:p w14:paraId="5E0E101D" w14:textId="5577167D" w:rsidR="00D345DB" w:rsidRPr="00C5418D" w:rsidRDefault="00D345DB" w:rsidP="00D345DB">
      <w:pPr>
        <w:pStyle w:val="FootnoteText"/>
        <w:spacing w:before="0"/>
        <w:rPr>
          <w:rFonts w:cstheme="minorHAnsi"/>
        </w:rPr>
      </w:pPr>
      <w:r w:rsidRPr="00C5418D">
        <w:rPr>
          <w:rStyle w:val="FootnoteReference"/>
          <w:rFonts w:cstheme="minorHAnsi"/>
          <w:sz w:val="20"/>
        </w:rPr>
        <w:footnoteRef/>
      </w:r>
      <w:r w:rsidR="00E104CD" w:rsidRPr="00E104CD">
        <w:tab/>
      </w:r>
      <w:r w:rsidRPr="00C5418D">
        <w:t xml:space="preserve">Заместители </w:t>
      </w:r>
      <w:r>
        <w:t>П</w:t>
      </w:r>
      <w:r w:rsidRPr="00C5418D">
        <w:t xml:space="preserve">редседателя, представляющие Содружество Независимых Государств, </w:t>
      </w:r>
      <w:r>
        <w:t>на собрании</w:t>
      </w:r>
      <w:r w:rsidR="00E104CD">
        <w:rPr>
          <w:lang w:val="en-US"/>
        </w:rPr>
        <w:t> </w:t>
      </w:r>
      <w:r w:rsidRPr="00C5418D">
        <w:t>отсутствовали.</w:t>
      </w:r>
    </w:p>
  </w:footnote>
  <w:footnote w:id="5">
    <w:p w14:paraId="5C8D1C99" w14:textId="19BD4A3C" w:rsidR="00D345DB" w:rsidRPr="00E104CD" w:rsidRDefault="00D345DB" w:rsidP="00E104CD">
      <w:pPr>
        <w:pStyle w:val="FootnoteText"/>
        <w:spacing w:before="0"/>
        <w:rPr>
          <w:rFonts w:cstheme="minorHAnsi"/>
        </w:rPr>
      </w:pPr>
      <w:r w:rsidRPr="00C5418D">
        <w:rPr>
          <w:rStyle w:val="FootnoteReference"/>
          <w:rFonts w:cstheme="minorHAnsi"/>
          <w:sz w:val="20"/>
        </w:rPr>
        <w:footnoteRef/>
      </w:r>
      <w:r w:rsidR="00E104CD" w:rsidRPr="00E104CD">
        <w:tab/>
      </w:r>
      <w:r w:rsidRPr="00C5418D">
        <w:t>Итоговые документы отражают вклад членов, так как их разработка велась на протяжении последних одного или двух лет, в течение которых каждая рабочая группа провела от четырех до семи совещаний. В</w:t>
      </w:r>
      <w:r w:rsidR="00E104CD">
        <w:rPr>
          <w:lang w:val="en-US"/>
        </w:rPr>
        <w:t> </w:t>
      </w:r>
      <w:r w:rsidRPr="00C5418D">
        <w:t>соответствии с прошлой практикой БРЭ передаст эти итоговые документы межрегиональным собраниям для содействия дальнейшему прогрессу в переговорах.</w:t>
      </w:r>
    </w:p>
  </w:footnote>
  <w:footnote w:id="6">
    <w:p w14:paraId="19AECA86" w14:textId="77777777" w:rsidR="005924F6" w:rsidRPr="008F4B6B" w:rsidRDefault="005924F6" w:rsidP="005924F6">
      <w:pPr>
        <w:pStyle w:val="FootnoteText"/>
        <w:spacing w:before="0"/>
        <w:rPr>
          <w:rFonts w:cstheme="minorHAnsi"/>
        </w:rPr>
      </w:pPr>
      <w:r w:rsidRPr="008F4B6B">
        <w:rPr>
          <w:rStyle w:val="FootnoteReference"/>
          <w:rFonts w:cstheme="minorHAnsi"/>
        </w:rPr>
        <w:footnoteRef/>
      </w:r>
      <w:r w:rsidRPr="00667812">
        <w:tab/>
      </w:r>
      <w:r>
        <w:t>См.</w:t>
      </w:r>
      <w:r w:rsidRPr="00E104CD">
        <w:t xml:space="preserve"> </w:t>
      </w:r>
      <w:hyperlink r:id="rId1" w:history="1">
        <w:r w:rsidRPr="00436DA7">
          <w:rPr>
            <w:rStyle w:val="Hyperlink"/>
          </w:rPr>
          <w:t>https://www.itu.int/itu-d/meetings/global-youth-summit-25/</w:t>
        </w:r>
      </w:hyperlink>
      <w:r>
        <w:t xml:space="preserve">; и </w:t>
      </w:r>
      <w:hyperlink r:id="rId2" w:history="1">
        <w:r w:rsidRPr="00436DA7">
          <w:rPr>
            <w:rStyle w:val="Hyperlink"/>
          </w:rPr>
          <w:t>https://www.youtube.com/watch?v=QvCYhjH9gKs</w:t>
        </w:r>
        <w:r w:rsidRPr="00820C4C">
          <w:rPr>
            <w:rStyle w:val="Hyperlink"/>
            <w:color w:val="auto"/>
            <w:u w:val="none"/>
          </w:rPr>
          <w:t>.</w:t>
        </w:r>
      </w:hyperlink>
    </w:p>
  </w:footnote>
  <w:footnote w:id="7">
    <w:p w14:paraId="44AFCD7B" w14:textId="45720C88" w:rsidR="005B0FCB" w:rsidRPr="005B0FCB" w:rsidRDefault="005B0FCB">
      <w:pPr>
        <w:pStyle w:val="FootnoteText"/>
      </w:pPr>
      <w:r>
        <w:rPr>
          <w:rStyle w:val="FootnoteReference"/>
        </w:rPr>
        <w:footnoteRef/>
      </w:r>
      <w:r w:rsidRPr="005B0FCB">
        <w:tab/>
      </w:r>
      <w:r w:rsidRPr="001A33DF">
        <w:t xml:space="preserve">С полным текстом отчета и всеми приложениями можно ознакомиться по </w:t>
      </w:r>
      <w:hyperlink r:id="rId3" w:history="1">
        <w:r w:rsidRPr="001A33DF">
          <w:rPr>
            <w:rStyle w:val="Hyperlink"/>
            <w:rFonts w:cstheme="minorHAnsi"/>
          </w:rPr>
          <w:t>ссылке</w:t>
        </w:r>
      </w:hyperlink>
      <w:r w:rsidRPr="00CC1CA9">
        <w:rPr>
          <w:szCs w:val="24"/>
        </w:rPr>
        <w:t>.</w:t>
      </w:r>
    </w:p>
  </w:footnote>
  <w:footnote w:id="8">
    <w:p w14:paraId="607AFB36" w14:textId="29A3E578" w:rsidR="00B0450E" w:rsidRPr="0090145D" w:rsidRDefault="00B0450E" w:rsidP="00046F0E">
      <w:pPr>
        <w:pStyle w:val="FootnoteText"/>
        <w:spacing w:before="0"/>
        <w:rPr>
          <w:rFonts w:cstheme="minorHAnsi"/>
        </w:rPr>
      </w:pPr>
      <w:r w:rsidRPr="008F4B6B">
        <w:rPr>
          <w:rStyle w:val="FootnoteReference"/>
          <w:rFonts w:eastAsiaTheme="majorEastAsia" w:cstheme="minorHAnsi"/>
        </w:rPr>
        <w:footnoteRef/>
      </w:r>
      <w:r>
        <w:tab/>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9">
    <w:p w14:paraId="6904222D" w14:textId="1757594E" w:rsidR="00B0450E" w:rsidRPr="0090145D" w:rsidRDefault="00B0450E" w:rsidP="00046F0E">
      <w:pPr>
        <w:pStyle w:val="FootnoteText"/>
        <w:spacing w:before="0"/>
        <w:rPr>
          <w:rFonts w:cstheme="minorHAnsi"/>
        </w:rPr>
      </w:pPr>
      <w:r w:rsidRPr="008F4B6B">
        <w:rPr>
          <w:rStyle w:val="FootnoteReference"/>
          <w:rFonts w:cstheme="minorHAnsi"/>
        </w:rPr>
        <w:footnoteRef/>
      </w:r>
      <w:r w:rsidR="009467F5" w:rsidRPr="009467F5">
        <w:tab/>
      </w:r>
      <w:hyperlink r:id="rId4" w:history="1">
        <w:r w:rsidRPr="0090145D">
          <w:rPr>
            <w:rStyle w:val="Hyperlink"/>
          </w:rPr>
          <w:t>Реальная возможность установления соединений</w:t>
        </w:r>
      </w:hyperlink>
      <w:r>
        <w:t xml:space="preserve"> – это уровень подключения, который обеспечивает для каждого пользователя возможность получить безопасную, отвечающую запросам, обогащающую, продуктивную и доступную по цене сетевую среду.</w:t>
      </w:r>
    </w:p>
  </w:footnote>
  <w:footnote w:id="10">
    <w:p w14:paraId="5EA01733" w14:textId="779305EF" w:rsidR="00B0450E" w:rsidRPr="009467F5" w:rsidRDefault="00B0450E" w:rsidP="00046F0E">
      <w:pPr>
        <w:pStyle w:val="FootnoteText"/>
        <w:spacing w:before="0"/>
        <w:rPr>
          <w:rFonts w:cstheme="minorHAnsi"/>
        </w:rPr>
      </w:pPr>
      <w:r w:rsidRPr="008F4B6B">
        <w:rPr>
          <w:rStyle w:val="FootnoteReference"/>
          <w:rFonts w:cstheme="minorHAnsi"/>
        </w:rPr>
        <w:footnoteRef/>
      </w:r>
      <w:r w:rsidR="009467F5" w:rsidRPr="009467F5">
        <w:tab/>
      </w:r>
      <w:hyperlink r:id="rId5" w:history="1">
        <w:r w:rsidR="009467F5" w:rsidRPr="004C002A">
          <w:rPr>
            <w:rStyle w:val="Hyperlink"/>
          </w:rPr>
          <w:t>https://www.itu.int/dms_pub/itu-d/opb/tdc/D-TDC-WTDC-2022-PDF-E.pdf</w:t>
        </w:r>
      </w:hyperlink>
      <w:r w:rsidR="009467F5" w:rsidRPr="009467F5">
        <w:t>.</w:t>
      </w:r>
    </w:p>
  </w:footnote>
  <w:footnote w:id="11">
    <w:p w14:paraId="3EA6ED39" w14:textId="10B10E49" w:rsidR="00B0450E" w:rsidRPr="006A3525" w:rsidRDefault="00B0450E" w:rsidP="009467F5">
      <w:pPr>
        <w:pStyle w:val="BodyText"/>
        <w:tabs>
          <w:tab w:val="left" w:pos="284"/>
        </w:tabs>
        <w:ind w:left="284" w:hanging="284"/>
        <w:rPr>
          <w:rFonts w:asciiTheme="minorHAnsi" w:hAnsiTheme="minorHAnsi" w:cstheme="minorHAnsi"/>
          <w:color w:val="000000" w:themeColor="text1"/>
          <w:sz w:val="20"/>
          <w:szCs w:val="20"/>
          <w:lang w:val="ru-RU"/>
        </w:rPr>
      </w:pPr>
      <w:r w:rsidRPr="006A3525">
        <w:rPr>
          <w:rStyle w:val="FootnoteReference"/>
          <w:rFonts w:cstheme="minorHAnsi"/>
          <w:color w:val="000000" w:themeColor="text1"/>
          <w:szCs w:val="16"/>
          <w:lang w:val="ru-RU"/>
        </w:rPr>
        <w:footnoteRef/>
      </w:r>
      <w:r w:rsidR="009467F5" w:rsidRPr="009467F5">
        <w:rPr>
          <w:rFonts w:asciiTheme="minorHAnsi" w:hAnsiTheme="minorHAnsi" w:cstheme="minorHAnsi"/>
          <w:sz w:val="16"/>
          <w:szCs w:val="16"/>
          <w:lang w:val="ru-RU"/>
        </w:rPr>
        <w:tab/>
      </w:r>
      <w:r w:rsidRPr="006A3525">
        <w:rPr>
          <w:rFonts w:asciiTheme="minorHAnsi" w:hAnsiTheme="minorHAnsi" w:cstheme="minorHAnsi"/>
          <w:sz w:val="20"/>
          <w:szCs w:val="20"/>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12">
    <w:p w14:paraId="5F553AB4" w14:textId="278EA9DD" w:rsidR="00B0450E" w:rsidRPr="00A3524C" w:rsidRDefault="00B0450E" w:rsidP="005B0FCB">
      <w:pPr>
        <w:pStyle w:val="BodyText"/>
        <w:tabs>
          <w:tab w:val="left" w:pos="284"/>
        </w:tabs>
        <w:ind w:left="284" w:hanging="284"/>
        <w:rPr>
          <w:rFonts w:cstheme="minorHAnsi"/>
          <w:lang w:val="ru-RU"/>
        </w:rPr>
      </w:pPr>
      <w:r w:rsidRPr="00650F68">
        <w:rPr>
          <w:rStyle w:val="FootnoteReference"/>
          <w:rFonts w:cstheme="minorHAnsi"/>
          <w:szCs w:val="16"/>
          <w:lang w:val="ru-RU"/>
        </w:rPr>
        <w:footnoteRef/>
      </w:r>
      <w:r w:rsidR="005B0FCB" w:rsidRPr="005B0FCB">
        <w:rPr>
          <w:rFonts w:asciiTheme="minorHAnsi" w:hAnsiTheme="minorHAnsi" w:cstheme="minorHAnsi"/>
          <w:lang w:val="ru-RU"/>
        </w:rPr>
        <w:tab/>
      </w:r>
      <w:r w:rsidRPr="00650F68">
        <w:rPr>
          <w:rFonts w:asciiTheme="minorHAnsi" w:hAnsiTheme="minorHAnsi" w:cstheme="minorHAnsi"/>
          <w:sz w:val="20"/>
          <w:szCs w:val="20"/>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13">
    <w:p w14:paraId="63B9F02B" w14:textId="24B04110" w:rsidR="00B0450E" w:rsidRPr="0090145D" w:rsidRDefault="00B0450E" w:rsidP="00046F0E">
      <w:pPr>
        <w:pStyle w:val="FootnoteText"/>
        <w:spacing w:before="0"/>
        <w:rPr>
          <w:rFonts w:eastAsia="Malgun Gothic" w:cstheme="minorHAnsi"/>
        </w:rPr>
      </w:pPr>
      <w:r w:rsidRPr="008F4B6B">
        <w:rPr>
          <w:rStyle w:val="FootnoteReference"/>
          <w:rFonts w:cstheme="minorHAnsi"/>
        </w:rPr>
        <w:footnoteRef/>
      </w:r>
      <w:r w:rsidR="005B0FCB" w:rsidRPr="005B0FCB">
        <w:tab/>
      </w:r>
      <w: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14">
    <w:p w14:paraId="1A21DF29" w14:textId="16EBA8BC" w:rsidR="00A3524C" w:rsidRPr="009A6878" w:rsidRDefault="00A3524C" w:rsidP="00E95EAD">
      <w:pPr>
        <w:pStyle w:val="FootnoteText"/>
        <w:spacing w:before="0"/>
        <w:rPr>
          <w:rFonts w:cstheme="minorHAnsi"/>
          <w:kern w:val="2"/>
          <w:sz w:val="18"/>
          <w:szCs w:val="18"/>
          <w14:ligatures w14:val="standardContextual"/>
        </w:rPr>
      </w:pPr>
      <w:r w:rsidRPr="00E21715">
        <w:rPr>
          <w:rStyle w:val="FootnoteReference"/>
          <w:rFonts w:cstheme="minorHAnsi"/>
          <w:szCs w:val="16"/>
        </w:rPr>
        <w:footnoteRef/>
      </w:r>
      <w:r w:rsidRPr="00A3524C">
        <w:tab/>
      </w:r>
      <w:hyperlink r:id="rId6" w:anchor=":~:text=In%20just%2010%20years%2C%20the%20number,200%20million%20people%20over%20the%20decade.&amp;text=In%20just%2010%20years%2C,people%20over%20the%20decade.&amp;text=10%20" w:history="1">
        <w:r w:rsidRPr="009A6878">
          <w:rPr>
            <w:rStyle w:val="Hyperlink"/>
            <w:sz w:val="18"/>
            <w:szCs w:val="18"/>
          </w:rPr>
          <w:t>В течение десятилетия численность населения старше 60 лет достигнет одного миллиарда (unfpa.org)</w:t>
        </w:r>
      </w:hyperlink>
      <w:r w:rsidRPr="009A6878">
        <w:rPr>
          <w:sz w:val="18"/>
          <w:szCs w:val="18"/>
          <w:u w:val="single"/>
        </w:rPr>
        <w:t>.</w:t>
      </w:r>
    </w:p>
  </w:footnote>
  <w:footnote w:id="15">
    <w:p w14:paraId="207AEF61" w14:textId="6BBD0360" w:rsidR="00A3524C" w:rsidRPr="009A6878" w:rsidRDefault="00A3524C" w:rsidP="00E95EAD">
      <w:pPr>
        <w:pStyle w:val="FootnoteText"/>
        <w:spacing w:before="0"/>
        <w:rPr>
          <w:rFonts w:cstheme="minorHAnsi"/>
          <w:sz w:val="18"/>
          <w:szCs w:val="18"/>
        </w:rPr>
      </w:pPr>
      <w:r w:rsidRPr="00E21715">
        <w:rPr>
          <w:rStyle w:val="FootnoteReference"/>
          <w:rFonts w:cstheme="minorHAnsi"/>
          <w:szCs w:val="16"/>
        </w:rPr>
        <w:footnoteRef/>
      </w:r>
      <w:r w:rsidRPr="00A3524C">
        <w:rPr>
          <w:sz w:val="18"/>
          <w:szCs w:val="18"/>
        </w:rPr>
        <w:tab/>
      </w:r>
      <w:hyperlink r:id="rId7" w:anchor=":~:text=Whereas%20people%20over%2060%20years%20made%20up%20less,is%20estimated%20to%20reach%2028%20percent%20in%202100." w:history="1">
        <w:r w:rsidRPr="009A6878">
          <w:rPr>
            <w:rStyle w:val="Hyperlink"/>
            <w:sz w:val="18"/>
            <w:szCs w:val="18"/>
          </w:rPr>
          <w:t>Прогнозируемое распределение населения в мире в разбивке по возрастным группам на период до 2100 года|Statista</w:t>
        </w:r>
      </w:hyperlink>
    </w:p>
  </w:footnote>
  <w:footnote w:id="16">
    <w:p w14:paraId="273E1AA8" w14:textId="63396FAF" w:rsidR="00A3524C" w:rsidRPr="00FB5710" w:rsidRDefault="00A3524C" w:rsidP="00E95EAD">
      <w:pPr>
        <w:pStyle w:val="FootnoteText"/>
        <w:spacing w:before="0"/>
        <w:rPr>
          <w:rFonts w:cstheme="minorHAnsi"/>
        </w:rPr>
      </w:pPr>
      <w:r w:rsidRPr="00E21715">
        <w:rPr>
          <w:rStyle w:val="FootnoteReference"/>
          <w:rFonts w:cstheme="minorHAnsi"/>
          <w:szCs w:val="16"/>
        </w:rPr>
        <w:footnoteRef/>
      </w:r>
      <w:r w:rsidRPr="00EB5C55">
        <w:tab/>
      </w:r>
      <w:hyperlink r:id="rId8" w:history="1">
        <w:r w:rsidRPr="009A6878">
          <w:rPr>
            <w:rStyle w:val="Hyperlink"/>
            <w:sz w:val="18"/>
            <w:szCs w:val="18"/>
          </w:rPr>
          <w:t xml:space="preserve">"Мировые демографические перспективы, 2024 год", Отдел народонаселения </w:t>
        </w:r>
        <w:r w:rsidR="00EB5C55">
          <w:rPr>
            <w:rStyle w:val="Hyperlink"/>
            <w:sz w:val="18"/>
            <w:szCs w:val="18"/>
          </w:rPr>
          <w:sym w:font="Symbol" w:char="F02D"/>
        </w:r>
        <w:r w:rsidRPr="009A6878">
          <w:rPr>
            <w:rStyle w:val="Hyperlink"/>
            <w:sz w:val="18"/>
            <w:szCs w:val="18"/>
          </w:rPr>
          <w:t xml:space="preserve"> Nations/wpp2022_summary_of_results.pdf (un.org)</w:t>
        </w:r>
      </w:hyperlink>
      <w:r w:rsidRPr="009A6878">
        <w:rPr>
          <w:sz w:val="18"/>
          <w:szCs w:val="18"/>
        </w:rPr>
        <w:t>.</w:t>
      </w:r>
    </w:p>
  </w:footnote>
  <w:footnote w:id="17">
    <w:p w14:paraId="14915E46" w14:textId="70527698" w:rsidR="00A3524C" w:rsidRPr="00387EC4" w:rsidRDefault="00A3524C" w:rsidP="00E95EAD">
      <w:pPr>
        <w:pStyle w:val="FootnoteText"/>
        <w:spacing w:before="0"/>
        <w:rPr>
          <w:rFonts w:cstheme="minorHAnsi"/>
          <w:lang w:val="en-US"/>
        </w:rPr>
      </w:pPr>
      <w:r w:rsidRPr="00E21715">
        <w:rPr>
          <w:rStyle w:val="FootnoteReference"/>
          <w:rFonts w:cstheme="minorHAnsi"/>
          <w:szCs w:val="16"/>
        </w:rPr>
        <w:footnoteRef/>
      </w:r>
      <w:r>
        <w:rPr>
          <w:lang w:val="en-US"/>
        </w:rPr>
        <w:tab/>
      </w:r>
      <w:r>
        <w:fldChar w:fldCharType="begin"/>
      </w:r>
      <w:r w:rsidRPr="00500A19">
        <w:rPr>
          <w:lang w:val="en-GB"/>
        </w:rPr>
        <w:instrText>HYPERLINK "mailto:https://www.unjiu.org/sites/www.unjiu.org/files/jiu_rep_2018_6_english_0.pdf"</w:instrText>
      </w:r>
      <w:r>
        <w:fldChar w:fldCharType="separate"/>
      </w:r>
      <w:r w:rsidRPr="00664E64">
        <w:rPr>
          <w:rStyle w:val="Hyperlink"/>
          <w:sz w:val="18"/>
          <w:szCs w:val="18"/>
          <w:lang w:val="en-US"/>
        </w:rPr>
        <w:t xml:space="preserve">jiu_rep_2018_6_english_0.pdf, </w:t>
      </w:r>
      <w:r w:rsidRPr="00664E64">
        <w:rPr>
          <w:rStyle w:val="Hyperlink"/>
          <w:sz w:val="18"/>
          <w:szCs w:val="18"/>
        </w:rPr>
        <w:t>стр</w:t>
      </w:r>
      <w:r w:rsidRPr="00664E64">
        <w:rPr>
          <w:rStyle w:val="Hyperlink"/>
          <w:sz w:val="18"/>
          <w:szCs w:val="18"/>
          <w:lang w:val="en-US"/>
        </w:rPr>
        <w:t>. 11</w:t>
      </w:r>
      <w:r>
        <w:fldChar w:fldCharType="end"/>
      </w:r>
      <w:r w:rsidRPr="00A3524C">
        <w:rPr>
          <w:sz w:val="18"/>
          <w:szCs w:val="18"/>
          <w:lang w:val="en-US"/>
        </w:rPr>
        <w:t>.</w:t>
      </w:r>
    </w:p>
  </w:footnote>
  <w:footnote w:id="18">
    <w:p w14:paraId="27DA6299" w14:textId="5A448676" w:rsidR="00A3524C" w:rsidRPr="00664E64" w:rsidRDefault="00A3524C" w:rsidP="00E95EAD">
      <w:pPr>
        <w:pStyle w:val="FootnoteText"/>
        <w:spacing w:before="0"/>
        <w:rPr>
          <w:rFonts w:cstheme="minorHAnsi"/>
          <w:sz w:val="18"/>
          <w:szCs w:val="18"/>
        </w:rPr>
      </w:pPr>
      <w:r w:rsidRPr="00E21715">
        <w:rPr>
          <w:rStyle w:val="FootnoteReference"/>
          <w:rFonts w:cstheme="minorHAnsi"/>
          <w:szCs w:val="16"/>
        </w:rPr>
        <w:footnoteRef/>
      </w:r>
      <w:r w:rsidRPr="00A3524C">
        <w:tab/>
      </w:r>
      <w:r w:rsidRPr="00664E64">
        <w:rPr>
          <w:sz w:val="18"/>
          <w:szCs w:val="18"/>
        </w:rPr>
        <w:t xml:space="preserve">Учебный курс МСЭ </w:t>
      </w:r>
      <w:r w:rsidRPr="00510F0F">
        <w:rPr>
          <w:sz w:val="18"/>
          <w:szCs w:val="18"/>
        </w:rPr>
        <w:t>"</w:t>
      </w:r>
      <w:r w:rsidRPr="00664E64">
        <w:rPr>
          <w:b/>
          <w:bCs/>
          <w:sz w:val="18"/>
          <w:szCs w:val="18"/>
        </w:rPr>
        <w:t>«Умные» для всех – за рамками «умных» городов: на пути к созданию открытых для всех и доступных в цифровом формате сред и сообществ</w:t>
      </w:r>
      <w:r w:rsidRPr="00510F0F">
        <w:rPr>
          <w:sz w:val="18"/>
          <w:szCs w:val="18"/>
        </w:rPr>
        <w:t>"</w:t>
      </w:r>
      <w:r w:rsidRPr="00664E64">
        <w:rPr>
          <w:sz w:val="18"/>
          <w:szCs w:val="18"/>
        </w:rPr>
        <w:t xml:space="preserve"> (</w:t>
      </w:r>
      <w:r w:rsidRPr="00664E64">
        <w:rPr>
          <w:i/>
          <w:iCs/>
          <w:sz w:val="18"/>
          <w:szCs w:val="18"/>
        </w:rPr>
        <w:t>доступен на арабском, английском, французском, русском и испанском языках</w:t>
      </w:r>
      <w:r w:rsidRPr="00664E64">
        <w:rPr>
          <w:sz w:val="18"/>
          <w:szCs w:val="18"/>
        </w:rPr>
        <w:t>).</w:t>
      </w:r>
    </w:p>
  </w:footnote>
  <w:footnote w:id="19">
    <w:p w14:paraId="00053FC8" w14:textId="552FFF2A" w:rsidR="00A3524C" w:rsidRPr="00CC7110" w:rsidRDefault="00A3524C" w:rsidP="00E95EAD">
      <w:pPr>
        <w:pStyle w:val="FootnoteText"/>
        <w:spacing w:before="0"/>
        <w:rPr>
          <w:rFonts w:cstheme="minorHAnsi"/>
          <w:sz w:val="18"/>
          <w:szCs w:val="18"/>
        </w:rPr>
      </w:pPr>
      <w:r w:rsidRPr="00E21715">
        <w:rPr>
          <w:rStyle w:val="FootnoteReference"/>
          <w:rFonts w:cstheme="minorHAnsi"/>
          <w:szCs w:val="16"/>
        </w:rPr>
        <w:footnoteRef/>
      </w:r>
      <w:r w:rsidRPr="00A3524C">
        <w:tab/>
      </w:r>
      <w:r w:rsidRPr="00CC7110">
        <w:rPr>
          <w:sz w:val="18"/>
          <w:szCs w:val="18"/>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20">
    <w:p w14:paraId="646C97F9" w14:textId="4C27509B" w:rsidR="00A3524C" w:rsidRPr="00491D5B" w:rsidRDefault="00A3524C" w:rsidP="00491D5B">
      <w:pPr>
        <w:pStyle w:val="FootnoteText"/>
        <w:spacing w:before="0"/>
        <w:rPr>
          <w:rFonts w:eastAsia="Malgun Gothic" w:cstheme="minorHAnsi"/>
          <w:sz w:val="18"/>
          <w:szCs w:val="18"/>
        </w:rPr>
      </w:pPr>
      <w:r w:rsidRPr="00E21715">
        <w:rPr>
          <w:rStyle w:val="FootnoteReference"/>
          <w:rFonts w:cstheme="minorHAnsi"/>
          <w:szCs w:val="16"/>
        </w:rPr>
        <w:footnoteRef/>
      </w:r>
      <w:r w:rsidRPr="00A3524C">
        <w:tab/>
      </w:r>
      <w:r w:rsidRPr="00491D5B">
        <w:rPr>
          <w:sz w:val="18"/>
          <w:szCs w:val="18"/>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21">
    <w:p w14:paraId="16BB51FC" w14:textId="1A01AE6C" w:rsidR="00945E28" w:rsidRPr="00305EB2" w:rsidRDefault="00945E28">
      <w:pPr>
        <w:pStyle w:val="FootnoteText"/>
      </w:pPr>
      <w:r w:rsidRPr="00DD20C0">
        <w:rPr>
          <w:rStyle w:val="FootnoteReference"/>
        </w:rPr>
        <w:footnoteRef/>
      </w:r>
      <w:r w:rsidR="0005555F">
        <w:tab/>
      </w:r>
      <w:r w:rsidRPr="00DD20C0">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22">
    <w:p w14:paraId="2B44ECA4" w14:textId="15BB5B20" w:rsidR="00945E28" w:rsidRPr="00A0572B" w:rsidRDefault="00945E28" w:rsidP="00F122A0">
      <w:pPr>
        <w:pStyle w:val="FootnoteText"/>
      </w:pPr>
      <w:r>
        <w:rPr>
          <w:rStyle w:val="FootnoteReference"/>
        </w:rPr>
        <w:footnoteRef/>
      </w:r>
      <w:r w:rsidR="00871407" w:rsidRPr="00871407">
        <w:tab/>
      </w:r>
      <w:r w:rsidRPr="00DD20C0">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890C" w14:textId="77777777" w:rsidR="007D7FAD" w:rsidRDefault="007D7FAD" w:rsidP="00010F6B">
    <w:pPr>
      <w:tabs>
        <w:tab w:val="center" w:pos="4820"/>
        <w:tab w:val="right" w:pos="9639"/>
      </w:tabs>
      <w:spacing w:before="0"/>
    </w:pPr>
    <w:r w:rsidRPr="00972BCD">
      <w:rPr>
        <w:szCs w:val="22"/>
      </w:rPr>
      <w:tab/>
    </w:r>
    <w:r>
      <w:rPr>
        <w:szCs w:val="22"/>
        <w:lang w:val="en-US"/>
      </w:rPr>
      <w:tab/>
    </w:r>
    <w:r w:rsidRPr="00CE66E4">
      <w:rPr>
        <w:sz w:val="20"/>
        <w:lang w:val="es-ES_tradnl"/>
      </w:rPr>
      <w:t>TDAG-25/</w:t>
    </w:r>
    <w:r w:rsidRPr="00D345DB">
      <w:rPr>
        <w:sz w:val="20"/>
        <w:lang w:val="es-ES_tradnl"/>
      </w:rPr>
      <w:t>62-R</w:t>
    </w:r>
    <w:r w:rsidRPr="00CE66E4">
      <w:rPr>
        <w:sz w:val="20"/>
        <w:lang w:val="es-ES_tradnl"/>
      </w:rPr>
      <w:tab/>
    </w:r>
    <w:r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Pr>
        <w:sz w:val="20"/>
      </w:rPr>
      <w:t>49</w:t>
    </w:r>
    <w:r w:rsidRPr="00CE66E4">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68DB" w14:textId="14AE4CAB" w:rsidR="007D7FAD" w:rsidRDefault="007D7FAD" w:rsidP="00332178">
    <w:pPr>
      <w:tabs>
        <w:tab w:val="center" w:pos="7088"/>
        <w:tab w:val="right" w:pos="13998"/>
      </w:tabs>
      <w:spacing w:before="0"/>
    </w:pPr>
    <w:r w:rsidRPr="00972BCD">
      <w:rPr>
        <w:szCs w:val="22"/>
      </w:rPr>
      <w:tab/>
    </w:r>
    <w:r w:rsidR="00010F6B">
      <w:rPr>
        <w:szCs w:val="22"/>
      </w:rPr>
      <w:tab/>
    </w:r>
    <w:r w:rsidRPr="00CE66E4">
      <w:rPr>
        <w:sz w:val="20"/>
        <w:lang w:val="es-ES_tradnl"/>
      </w:rPr>
      <w:t>TDAG-25/</w:t>
    </w:r>
    <w:r w:rsidRPr="00D345DB">
      <w:rPr>
        <w:sz w:val="20"/>
        <w:lang w:val="es-ES_tradnl"/>
      </w:rPr>
      <w:t>62-R</w:t>
    </w:r>
    <w:r w:rsidRPr="00CE66E4">
      <w:rPr>
        <w:sz w:val="20"/>
        <w:lang w:val="es-ES_tradnl"/>
      </w:rPr>
      <w:tab/>
    </w:r>
    <w:r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Pr>
        <w:sz w:val="20"/>
      </w:rPr>
      <w:t>50</w:t>
    </w:r>
    <w:r w:rsidRPr="00CE66E4">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874D" w14:textId="7E7FE9DC" w:rsidR="00636181" w:rsidRPr="00CE66E4" w:rsidRDefault="00636181" w:rsidP="00A03861">
    <w:pPr>
      <w:tabs>
        <w:tab w:val="clear" w:pos="907"/>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D345DB" w:rsidRPr="00D345DB">
      <w:rPr>
        <w:sz w:val="20"/>
        <w:lang w:val="es-ES_tradnl"/>
      </w:rPr>
      <w:t>62-R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F352" w14:textId="77777777" w:rsidR="00A8622E" w:rsidRDefault="00A8622E" w:rsidP="00A8622E">
    <w:pPr>
      <w:tabs>
        <w:tab w:val="left" w:pos="2127"/>
        <w:tab w:val="center" w:pos="4820"/>
        <w:tab w:val="right" w:pos="9639"/>
      </w:tabs>
      <w:spacing w:before="0"/>
    </w:pPr>
    <w:r w:rsidRPr="00972BCD">
      <w:rPr>
        <w:szCs w:val="22"/>
      </w:rPr>
      <w:tab/>
    </w:r>
    <w:r>
      <w:rPr>
        <w:szCs w:val="22"/>
        <w:lang w:val="en-US"/>
      </w:rPr>
      <w:tab/>
    </w:r>
    <w:r w:rsidRPr="00CE66E4">
      <w:rPr>
        <w:sz w:val="20"/>
        <w:lang w:val="es-ES_tradnl"/>
      </w:rPr>
      <w:t>TDAG-25/</w:t>
    </w:r>
    <w:r w:rsidRPr="00D345DB">
      <w:rPr>
        <w:sz w:val="20"/>
        <w:lang w:val="es-ES_tradnl"/>
      </w:rPr>
      <w:t>62-R</w:t>
    </w:r>
    <w:r w:rsidRPr="00CE66E4">
      <w:rPr>
        <w:sz w:val="20"/>
        <w:lang w:val="es-ES_tradnl"/>
      </w:rPr>
      <w:tab/>
    </w:r>
    <w:r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Pr>
        <w:sz w:val="20"/>
      </w:rPr>
      <w:t>81</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837E5E"/>
    <w:multiLevelType w:val="hybridMultilevel"/>
    <w:tmpl w:val="665415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6"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13"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3F6735"/>
    <w:multiLevelType w:val="hybridMultilevel"/>
    <w:tmpl w:val="3DD8135A"/>
    <w:lvl w:ilvl="0" w:tplc="93E6492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9320406">
    <w:abstractNumId w:val="22"/>
  </w:num>
  <w:num w:numId="2" w16cid:durableId="993266415">
    <w:abstractNumId w:val="8"/>
  </w:num>
  <w:num w:numId="3" w16cid:durableId="1601259059">
    <w:abstractNumId w:val="20"/>
  </w:num>
  <w:num w:numId="4" w16cid:durableId="1237131079">
    <w:abstractNumId w:val="1"/>
  </w:num>
  <w:num w:numId="5" w16cid:durableId="1688678443">
    <w:abstractNumId w:val="17"/>
  </w:num>
  <w:num w:numId="6" w16cid:durableId="599601726">
    <w:abstractNumId w:val="10"/>
  </w:num>
  <w:num w:numId="7" w16cid:durableId="1684673580">
    <w:abstractNumId w:val="4"/>
  </w:num>
  <w:num w:numId="8" w16cid:durableId="1206529930">
    <w:abstractNumId w:val="9"/>
  </w:num>
  <w:num w:numId="9" w16cid:durableId="1092775869">
    <w:abstractNumId w:val="13"/>
  </w:num>
  <w:num w:numId="10" w16cid:durableId="595554195">
    <w:abstractNumId w:val="2"/>
  </w:num>
  <w:num w:numId="11" w16cid:durableId="1186477045">
    <w:abstractNumId w:val="14"/>
  </w:num>
  <w:num w:numId="12" w16cid:durableId="582253114">
    <w:abstractNumId w:val="11"/>
  </w:num>
  <w:num w:numId="13" w16cid:durableId="2129665839">
    <w:abstractNumId w:val="6"/>
  </w:num>
  <w:num w:numId="14" w16cid:durableId="1018896182">
    <w:abstractNumId w:val="19"/>
  </w:num>
  <w:num w:numId="15" w16cid:durableId="1630630561">
    <w:abstractNumId w:val="21"/>
  </w:num>
  <w:num w:numId="16" w16cid:durableId="1446853307">
    <w:abstractNumId w:val="16"/>
  </w:num>
  <w:num w:numId="17" w16cid:durableId="425158180">
    <w:abstractNumId w:val="18"/>
  </w:num>
  <w:num w:numId="18" w16cid:durableId="709645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5862943">
    <w:abstractNumId w:val="3"/>
  </w:num>
  <w:num w:numId="20" w16cid:durableId="1617984232">
    <w:abstractNumId w:val="0"/>
  </w:num>
  <w:num w:numId="21" w16cid:durableId="120224791">
    <w:abstractNumId w:val="7"/>
  </w:num>
  <w:num w:numId="22" w16cid:durableId="1978993339">
    <w:abstractNumId w:val="15"/>
  </w:num>
  <w:num w:numId="23" w16cid:durableId="9439989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0F6B"/>
    <w:rsid w:val="00011ECB"/>
    <w:rsid w:val="000139F4"/>
    <w:rsid w:val="000150B0"/>
    <w:rsid w:val="00015E52"/>
    <w:rsid w:val="00021004"/>
    <w:rsid w:val="00022A29"/>
    <w:rsid w:val="00025926"/>
    <w:rsid w:val="00025965"/>
    <w:rsid w:val="000355FD"/>
    <w:rsid w:val="0003589F"/>
    <w:rsid w:val="00036AC5"/>
    <w:rsid w:val="0005184F"/>
    <w:rsid w:val="00051E39"/>
    <w:rsid w:val="00053725"/>
    <w:rsid w:val="00054B72"/>
    <w:rsid w:val="0005555F"/>
    <w:rsid w:val="0005581A"/>
    <w:rsid w:val="0005619C"/>
    <w:rsid w:val="0005747E"/>
    <w:rsid w:val="000604E5"/>
    <w:rsid w:val="000617DF"/>
    <w:rsid w:val="0006550B"/>
    <w:rsid w:val="0007000B"/>
    <w:rsid w:val="0007071B"/>
    <w:rsid w:val="000735FD"/>
    <w:rsid w:val="00074109"/>
    <w:rsid w:val="00074C4D"/>
    <w:rsid w:val="00075C63"/>
    <w:rsid w:val="0007624B"/>
    <w:rsid w:val="00076288"/>
    <w:rsid w:val="00077239"/>
    <w:rsid w:val="000776BB"/>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277C"/>
    <w:rsid w:val="000B43E0"/>
    <w:rsid w:val="000B738A"/>
    <w:rsid w:val="000C03F4"/>
    <w:rsid w:val="000C17EA"/>
    <w:rsid w:val="000C2108"/>
    <w:rsid w:val="000C2592"/>
    <w:rsid w:val="000C42BA"/>
    <w:rsid w:val="000C4FD1"/>
    <w:rsid w:val="000C5016"/>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6C1"/>
    <w:rsid w:val="00123B68"/>
    <w:rsid w:val="00124AF4"/>
    <w:rsid w:val="00124CAA"/>
    <w:rsid w:val="00125E69"/>
    <w:rsid w:val="00126F2E"/>
    <w:rsid w:val="00127FC6"/>
    <w:rsid w:val="00130DA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380F"/>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3C29"/>
    <w:rsid w:val="00246B32"/>
    <w:rsid w:val="00251A53"/>
    <w:rsid w:val="00253146"/>
    <w:rsid w:val="0025489C"/>
    <w:rsid w:val="0026406F"/>
    <w:rsid w:val="002653F2"/>
    <w:rsid w:val="00266589"/>
    <w:rsid w:val="00267792"/>
    <w:rsid w:val="002712A9"/>
    <w:rsid w:val="00271316"/>
    <w:rsid w:val="00272417"/>
    <w:rsid w:val="00272A1E"/>
    <w:rsid w:val="00274CC3"/>
    <w:rsid w:val="00276414"/>
    <w:rsid w:val="00283F74"/>
    <w:rsid w:val="00286C1D"/>
    <w:rsid w:val="00286C4C"/>
    <w:rsid w:val="00294BF6"/>
    <w:rsid w:val="00294D5A"/>
    <w:rsid w:val="002955DA"/>
    <w:rsid w:val="00295A71"/>
    <w:rsid w:val="00296313"/>
    <w:rsid w:val="00296DA0"/>
    <w:rsid w:val="00297006"/>
    <w:rsid w:val="002978E6"/>
    <w:rsid w:val="002A0A7A"/>
    <w:rsid w:val="002A0D8C"/>
    <w:rsid w:val="002A1334"/>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BCE"/>
    <w:rsid w:val="00311CD5"/>
    <w:rsid w:val="00315952"/>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56937"/>
    <w:rsid w:val="00361609"/>
    <w:rsid w:val="00364098"/>
    <w:rsid w:val="00366978"/>
    <w:rsid w:val="0037003F"/>
    <w:rsid w:val="00372BCF"/>
    <w:rsid w:val="00373365"/>
    <w:rsid w:val="00377BD3"/>
    <w:rsid w:val="003807EA"/>
    <w:rsid w:val="00380A46"/>
    <w:rsid w:val="003829D8"/>
    <w:rsid w:val="00382D5C"/>
    <w:rsid w:val="0038304D"/>
    <w:rsid w:val="00383618"/>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B14"/>
    <w:rsid w:val="003E6913"/>
    <w:rsid w:val="003F0A6C"/>
    <w:rsid w:val="003F0F49"/>
    <w:rsid w:val="003F1363"/>
    <w:rsid w:val="004032AA"/>
    <w:rsid w:val="00403C69"/>
    <w:rsid w:val="00405EC2"/>
    <w:rsid w:val="00406278"/>
    <w:rsid w:val="00406297"/>
    <w:rsid w:val="00412C81"/>
    <w:rsid w:val="004131D4"/>
    <w:rsid w:val="0041348E"/>
    <w:rsid w:val="004141BA"/>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5C13"/>
    <w:rsid w:val="004765FF"/>
    <w:rsid w:val="00481E58"/>
    <w:rsid w:val="004848AD"/>
    <w:rsid w:val="0048520E"/>
    <w:rsid w:val="00486163"/>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3355"/>
    <w:rsid w:val="004D04E2"/>
    <w:rsid w:val="004D3C01"/>
    <w:rsid w:val="004D4243"/>
    <w:rsid w:val="004D5D5C"/>
    <w:rsid w:val="004D752D"/>
    <w:rsid w:val="004D7763"/>
    <w:rsid w:val="004E27DE"/>
    <w:rsid w:val="004E2F10"/>
    <w:rsid w:val="004E3276"/>
    <w:rsid w:val="004E3E4A"/>
    <w:rsid w:val="004E4F74"/>
    <w:rsid w:val="004E5959"/>
    <w:rsid w:val="004E704A"/>
    <w:rsid w:val="004F051F"/>
    <w:rsid w:val="004F3D95"/>
    <w:rsid w:val="004F660E"/>
    <w:rsid w:val="004F7270"/>
    <w:rsid w:val="005004A4"/>
    <w:rsid w:val="00500A19"/>
    <w:rsid w:val="0050139F"/>
    <w:rsid w:val="005041EC"/>
    <w:rsid w:val="0050712D"/>
    <w:rsid w:val="00510692"/>
    <w:rsid w:val="00510F0F"/>
    <w:rsid w:val="00510F4D"/>
    <w:rsid w:val="00512279"/>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3744D"/>
    <w:rsid w:val="00541D24"/>
    <w:rsid w:val="00543159"/>
    <w:rsid w:val="0054377E"/>
    <w:rsid w:val="0054450F"/>
    <w:rsid w:val="0055140B"/>
    <w:rsid w:val="00552F9E"/>
    <w:rsid w:val="00554543"/>
    <w:rsid w:val="00554C4F"/>
    <w:rsid w:val="00561D72"/>
    <w:rsid w:val="00562A55"/>
    <w:rsid w:val="00564F36"/>
    <w:rsid w:val="00566EEB"/>
    <w:rsid w:val="00570FA3"/>
    <w:rsid w:val="00571767"/>
    <w:rsid w:val="00576FB4"/>
    <w:rsid w:val="00581664"/>
    <w:rsid w:val="005820DB"/>
    <w:rsid w:val="00585238"/>
    <w:rsid w:val="005855FC"/>
    <w:rsid w:val="00586EB9"/>
    <w:rsid w:val="00592160"/>
    <w:rsid w:val="00592321"/>
    <w:rsid w:val="005924F6"/>
    <w:rsid w:val="00592637"/>
    <w:rsid w:val="005933B2"/>
    <w:rsid w:val="00593B87"/>
    <w:rsid w:val="005964AB"/>
    <w:rsid w:val="005A2BEB"/>
    <w:rsid w:val="005A3485"/>
    <w:rsid w:val="005A5E0C"/>
    <w:rsid w:val="005A6739"/>
    <w:rsid w:val="005B0278"/>
    <w:rsid w:val="005B0FCB"/>
    <w:rsid w:val="005B25C3"/>
    <w:rsid w:val="005B2DD6"/>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5DD"/>
    <w:rsid w:val="00661FB8"/>
    <w:rsid w:val="00665B75"/>
    <w:rsid w:val="00667812"/>
    <w:rsid w:val="00667F38"/>
    <w:rsid w:val="0067199F"/>
    <w:rsid w:val="00672215"/>
    <w:rsid w:val="006747D8"/>
    <w:rsid w:val="00674AEF"/>
    <w:rsid w:val="00675DB5"/>
    <w:rsid w:val="00676ED7"/>
    <w:rsid w:val="00677048"/>
    <w:rsid w:val="006774C6"/>
    <w:rsid w:val="00680225"/>
    <w:rsid w:val="006852FA"/>
    <w:rsid w:val="00685313"/>
    <w:rsid w:val="00690B44"/>
    <w:rsid w:val="006912F3"/>
    <w:rsid w:val="00691351"/>
    <w:rsid w:val="00696E7A"/>
    <w:rsid w:val="006A0D14"/>
    <w:rsid w:val="006A3426"/>
    <w:rsid w:val="006A395E"/>
    <w:rsid w:val="006A47E5"/>
    <w:rsid w:val="006A6E9B"/>
    <w:rsid w:val="006A747C"/>
    <w:rsid w:val="006B1038"/>
    <w:rsid w:val="006B502E"/>
    <w:rsid w:val="006B5AA9"/>
    <w:rsid w:val="006B73C2"/>
    <w:rsid w:val="006B7C2A"/>
    <w:rsid w:val="006B7CC5"/>
    <w:rsid w:val="006C03CD"/>
    <w:rsid w:val="006C23DA"/>
    <w:rsid w:val="006C2BF9"/>
    <w:rsid w:val="006C7898"/>
    <w:rsid w:val="006C7CA9"/>
    <w:rsid w:val="006D2DD5"/>
    <w:rsid w:val="006D4642"/>
    <w:rsid w:val="006D4843"/>
    <w:rsid w:val="006D6130"/>
    <w:rsid w:val="006D6DDA"/>
    <w:rsid w:val="006E099C"/>
    <w:rsid w:val="006E3D45"/>
    <w:rsid w:val="006E560D"/>
    <w:rsid w:val="006E64F1"/>
    <w:rsid w:val="006E7629"/>
    <w:rsid w:val="006F0C99"/>
    <w:rsid w:val="006F1889"/>
    <w:rsid w:val="006F7874"/>
    <w:rsid w:val="006F7BD3"/>
    <w:rsid w:val="007034D9"/>
    <w:rsid w:val="00705932"/>
    <w:rsid w:val="007120B6"/>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06A7"/>
    <w:rsid w:val="00761CEF"/>
    <w:rsid w:val="007654FE"/>
    <w:rsid w:val="00765BA5"/>
    <w:rsid w:val="00765CDD"/>
    <w:rsid w:val="007664D4"/>
    <w:rsid w:val="00770D7E"/>
    <w:rsid w:val="007742CA"/>
    <w:rsid w:val="0077509B"/>
    <w:rsid w:val="00776DB1"/>
    <w:rsid w:val="0077768B"/>
    <w:rsid w:val="0077794B"/>
    <w:rsid w:val="00783A9D"/>
    <w:rsid w:val="00784E95"/>
    <w:rsid w:val="00792DB8"/>
    <w:rsid w:val="00793BB0"/>
    <w:rsid w:val="00794ABD"/>
    <w:rsid w:val="00795C00"/>
    <w:rsid w:val="0079605E"/>
    <w:rsid w:val="007A7FAF"/>
    <w:rsid w:val="007B12EB"/>
    <w:rsid w:val="007B2EB6"/>
    <w:rsid w:val="007B3BF6"/>
    <w:rsid w:val="007B4578"/>
    <w:rsid w:val="007C0A4D"/>
    <w:rsid w:val="007C2360"/>
    <w:rsid w:val="007C5A7B"/>
    <w:rsid w:val="007D06F0"/>
    <w:rsid w:val="007D35D0"/>
    <w:rsid w:val="007D3C25"/>
    <w:rsid w:val="007D45E3"/>
    <w:rsid w:val="007D5320"/>
    <w:rsid w:val="007D714B"/>
    <w:rsid w:val="007D7FAD"/>
    <w:rsid w:val="007E05C4"/>
    <w:rsid w:val="007E065B"/>
    <w:rsid w:val="007E0A1D"/>
    <w:rsid w:val="007E28A9"/>
    <w:rsid w:val="007E4F6C"/>
    <w:rsid w:val="007E713F"/>
    <w:rsid w:val="007E7819"/>
    <w:rsid w:val="007E799D"/>
    <w:rsid w:val="007F236E"/>
    <w:rsid w:val="007F2668"/>
    <w:rsid w:val="007F26E3"/>
    <w:rsid w:val="007F32B8"/>
    <w:rsid w:val="007F535C"/>
    <w:rsid w:val="007F54EB"/>
    <w:rsid w:val="007F735C"/>
    <w:rsid w:val="00800972"/>
    <w:rsid w:val="00804475"/>
    <w:rsid w:val="0081159E"/>
    <w:rsid w:val="00811633"/>
    <w:rsid w:val="00811790"/>
    <w:rsid w:val="00812C9F"/>
    <w:rsid w:val="00814C00"/>
    <w:rsid w:val="00820C4C"/>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1407"/>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54D9"/>
    <w:rsid w:val="008B61EA"/>
    <w:rsid w:val="008B63AA"/>
    <w:rsid w:val="008B6441"/>
    <w:rsid w:val="008B6CFF"/>
    <w:rsid w:val="008B7295"/>
    <w:rsid w:val="008C28A0"/>
    <w:rsid w:val="008C3D02"/>
    <w:rsid w:val="008C4ADD"/>
    <w:rsid w:val="008C6FDA"/>
    <w:rsid w:val="008D06CB"/>
    <w:rsid w:val="008D279B"/>
    <w:rsid w:val="008D2B46"/>
    <w:rsid w:val="008D678E"/>
    <w:rsid w:val="008E1A73"/>
    <w:rsid w:val="008E33DA"/>
    <w:rsid w:val="008E6B36"/>
    <w:rsid w:val="008E7DF8"/>
    <w:rsid w:val="008F04EE"/>
    <w:rsid w:val="008F238A"/>
    <w:rsid w:val="008F3284"/>
    <w:rsid w:val="008F36FB"/>
    <w:rsid w:val="009006A0"/>
    <w:rsid w:val="00900E22"/>
    <w:rsid w:val="009023DF"/>
    <w:rsid w:val="0090293E"/>
    <w:rsid w:val="0091016B"/>
    <w:rsid w:val="00910408"/>
    <w:rsid w:val="009109C7"/>
    <w:rsid w:val="00910B26"/>
    <w:rsid w:val="0091114C"/>
    <w:rsid w:val="00912004"/>
    <w:rsid w:val="009238B9"/>
    <w:rsid w:val="009274B4"/>
    <w:rsid w:val="00934743"/>
    <w:rsid w:val="00934EA2"/>
    <w:rsid w:val="009373C9"/>
    <w:rsid w:val="00941B98"/>
    <w:rsid w:val="00942FC1"/>
    <w:rsid w:val="00943545"/>
    <w:rsid w:val="00944A5C"/>
    <w:rsid w:val="00944A99"/>
    <w:rsid w:val="00945E28"/>
    <w:rsid w:val="009467F5"/>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A3C95"/>
    <w:rsid w:val="009B1774"/>
    <w:rsid w:val="009B28F2"/>
    <w:rsid w:val="009B5126"/>
    <w:rsid w:val="009B71C3"/>
    <w:rsid w:val="009B75FF"/>
    <w:rsid w:val="009C39A2"/>
    <w:rsid w:val="009C4A14"/>
    <w:rsid w:val="009C4D44"/>
    <w:rsid w:val="009C56E5"/>
    <w:rsid w:val="009C6F7B"/>
    <w:rsid w:val="009D3343"/>
    <w:rsid w:val="009D3429"/>
    <w:rsid w:val="009D35EB"/>
    <w:rsid w:val="009D4292"/>
    <w:rsid w:val="009D5414"/>
    <w:rsid w:val="009E3F7C"/>
    <w:rsid w:val="009E5FC8"/>
    <w:rsid w:val="009E687A"/>
    <w:rsid w:val="009E72E7"/>
    <w:rsid w:val="009F1203"/>
    <w:rsid w:val="009F1542"/>
    <w:rsid w:val="00A00AC6"/>
    <w:rsid w:val="00A02EB6"/>
    <w:rsid w:val="00A03861"/>
    <w:rsid w:val="00A03C5C"/>
    <w:rsid w:val="00A04FB0"/>
    <w:rsid w:val="00A066F1"/>
    <w:rsid w:val="00A1280A"/>
    <w:rsid w:val="00A141AF"/>
    <w:rsid w:val="00A15958"/>
    <w:rsid w:val="00A16D29"/>
    <w:rsid w:val="00A20E5E"/>
    <w:rsid w:val="00A2101B"/>
    <w:rsid w:val="00A21E18"/>
    <w:rsid w:val="00A235FD"/>
    <w:rsid w:val="00A259A2"/>
    <w:rsid w:val="00A2618D"/>
    <w:rsid w:val="00A27146"/>
    <w:rsid w:val="00A30305"/>
    <w:rsid w:val="00A31315"/>
    <w:rsid w:val="00A31D2D"/>
    <w:rsid w:val="00A32267"/>
    <w:rsid w:val="00A32291"/>
    <w:rsid w:val="00A33D45"/>
    <w:rsid w:val="00A34283"/>
    <w:rsid w:val="00A34772"/>
    <w:rsid w:val="00A3524C"/>
    <w:rsid w:val="00A35D6D"/>
    <w:rsid w:val="00A4049B"/>
    <w:rsid w:val="00A43642"/>
    <w:rsid w:val="00A44D51"/>
    <w:rsid w:val="00A4600A"/>
    <w:rsid w:val="00A524E6"/>
    <w:rsid w:val="00A53605"/>
    <w:rsid w:val="00A538A6"/>
    <w:rsid w:val="00A54C25"/>
    <w:rsid w:val="00A55A39"/>
    <w:rsid w:val="00A56C71"/>
    <w:rsid w:val="00A612BB"/>
    <w:rsid w:val="00A62F73"/>
    <w:rsid w:val="00A67FB8"/>
    <w:rsid w:val="00A710E7"/>
    <w:rsid w:val="00A7140C"/>
    <w:rsid w:val="00A7372E"/>
    <w:rsid w:val="00A74739"/>
    <w:rsid w:val="00A76372"/>
    <w:rsid w:val="00A76BD5"/>
    <w:rsid w:val="00A80D65"/>
    <w:rsid w:val="00A81918"/>
    <w:rsid w:val="00A81F59"/>
    <w:rsid w:val="00A820C7"/>
    <w:rsid w:val="00A83E00"/>
    <w:rsid w:val="00A853F5"/>
    <w:rsid w:val="00A8622E"/>
    <w:rsid w:val="00A9323C"/>
    <w:rsid w:val="00A93364"/>
    <w:rsid w:val="00A93B85"/>
    <w:rsid w:val="00A96F7D"/>
    <w:rsid w:val="00AA05FD"/>
    <w:rsid w:val="00AA0B18"/>
    <w:rsid w:val="00AA4774"/>
    <w:rsid w:val="00AA666F"/>
    <w:rsid w:val="00AA7A11"/>
    <w:rsid w:val="00AB15BE"/>
    <w:rsid w:val="00AB4006"/>
    <w:rsid w:val="00AB43FD"/>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450E"/>
    <w:rsid w:val="00B053F3"/>
    <w:rsid w:val="00B0657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4627B"/>
    <w:rsid w:val="00B50520"/>
    <w:rsid w:val="00B5544A"/>
    <w:rsid w:val="00B639E9"/>
    <w:rsid w:val="00B6598C"/>
    <w:rsid w:val="00B66F17"/>
    <w:rsid w:val="00B71863"/>
    <w:rsid w:val="00B7345F"/>
    <w:rsid w:val="00B817CD"/>
    <w:rsid w:val="00B81D00"/>
    <w:rsid w:val="00B825BC"/>
    <w:rsid w:val="00B830CC"/>
    <w:rsid w:val="00B84279"/>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4CE0"/>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0A04"/>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C"/>
    <w:rsid w:val="00C80652"/>
    <w:rsid w:val="00C80A64"/>
    <w:rsid w:val="00C87447"/>
    <w:rsid w:val="00C90579"/>
    <w:rsid w:val="00C9752A"/>
    <w:rsid w:val="00C976EE"/>
    <w:rsid w:val="00C97C68"/>
    <w:rsid w:val="00CA18A2"/>
    <w:rsid w:val="00CA1A47"/>
    <w:rsid w:val="00CA36C5"/>
    <w:rsid w:val="00CA48CF"/>
    <w:rsid w:val="00CB1404"/>
    <w:rsid w:val="00CB1D84"/>
    <w:rsid w:val="00CB3537"/>
    <w:rsid w:val="00CB40E5"/>
    <w:rsid w:val="00CB4A3D"/>
    <w:rsid w:val="00CB615D"/>
    <w:rsid w:val="00CB6664"/>
    <w:rsid w:val="00CB76A2"/>
    <w:rsid w:val="00CB774E"/>
    <w:rsid w:val="00CC247A"/>
    <w:rsid w:val="00CC41F6"/>
    <w:rsid w:val="00CD2733"/>
    <w:rsid w:val="00CD2A68"/>
    <w:rsid w:val="00CD2BC1"/>
    <w:rsid w:val="00CD3139"/>
    <w:rsid w:val="00CD4117"/>
    <w:rsid w:val="00CD6E77"/>
    <w:rsid w:val="00CD7BC2"/>
    <w:rsid w:val="00CD7EC4"/>
    <w:rsid w:val="00CE5ACA"/>
    <w:rsid w:val="00CE5E47"/>
    <w:rsid w:val="00CE66E4"/>
    <w:rsid w:val="00CE7A25"/>
    <w:rsid w:val="00CF020F"/>
    <w:rsid w:val="00CF269A"/>
    <w:rsid w:val="00CF2A29"/>
    <w:rsid w:val="00CF2B5B"/>
    <w:rsid w:val="00CF33C0"/>
    <w:rsid w:val="00CF4A84"/>
    <w:rsid w:val="00D00E2A"/>
    <w:rsid w:val="00D0174E"/>
    <w:rsid w:val="00D0723D"/>
    <w:rsid w:val="00D10D23"/>
    <w:rsid w:val="00D12A27"/>
    <w:rsid w:val="00D14CE0"/>
    <w:rsid w:val="00D217E0"/>
    <w:rsid w:val="00D233CB"/>
    <w:rsid w:val="00D233E1"/>
    <w:rsid w:val="00D27D0F"/>
    <w:rsid w:val="00D33DC1"/>
    <w:rsid w:val="00D345DB"/>
    <w:rsid w:val="00D36333"/>
    <w:rsid w:val="00D42CDE"/>
    <w:rsid w:val="00D42FEE"/>
    <w:rsid w:val="00D44DE2"/>
    <w:rsid w:val="00D45A9C"/>
    <w:rsid w:val="00D53EAE"/>
    <w:rsid w:val="00D541E4"/>
    <w:rsid w:val="00D5651D"/>
    <w:rsid w:val="00D56557"/>
    <w:rsid w:val="00D56836"/>
    <w:rsid w:val="00D61378"/>
    <w:rsid w:val="00D62D8E"/>
    <w:rsid w:val="00D634E2"/>
    <w:rsid w:val="00D67A2E"/>
    <w:rsid w:val="00D71278"/>
    <w:rsid w:val="00D716C9"/>
    <w:rsid w:val="00D724BE"/>
    <w:rsid w:val="00D73CFE"/>
    <w:rsid w:val="00D74898"/>
    <w:rsid w:val="00D75941"/>
    <w:rsid w:val="00D75EB3"/>
    <w:rsid w:val="00D801ED"/>
    <w:rsid w:val="00D8197B"/>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3F59"/>
    <w:rsid w:val="00DB4598"/>
    <w:rsid w:val="00DB4E0A"/>
    <w:rsid w:val="00DB71F7"/>
    <w:rsid w:val="00DB750F"/>
    <w:rsid w:val="00DC19DC"/>
    <w:rsid w:val="00DC2A65"/>
    <w:rsid w:val="00DC3758"/>
    <w:rsid w:val="00DC3FC1"/>
    <w:rsid w:val="00DC574F"/>
    <w:rsid w:val="00DC6EEA"/>
    <w:rsid w:val="00DC7457"/>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04CD"/>
    <w:rsid w:val="00E11115"/>
    <w:rsid w:val="00E12074"/>
    <w:rsid w:val="00E1307C"/>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4F30"/>
    <w:rsid w:val="00E45D05"/>
    <w:rsid w:val="00E528F8"/>
    <w:rsid w:val="00E5442B"/>
    <w:rsid w:val="00E55816"/>
    <w:rsid w:val="00E55AEF"/>
    <w:rsid w:val="00E61442"/>
    <w:rsid w:val="00E64B4B"/>
    <w:rsid w:val="00E66A93"/>
    <w:rsid w:val="00E71B64"/>
    <w:rsid w:val="00E81961"/>
    <w:rsid w:val="00E82877"/>
    <w:rsid w:val="00E83BBB"/>
    <w:rsid w:val="00E84088"/>
    <w:rsid w:val="00E8774C"/>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B5C55"/>
    <w:rsid w:val="00EC00DF"/>
    <w:rsid w:val="00EC0FC2"/>
    <w:rsid w:val="00EC3585"/>
    <w:rsid w:val="00EC6B65"/>
    <w:rsid w:val="00ED29AB"/>
    <w:rsid w:val="00ED335C"/>
    <w:rsid w:val="00ED44A8"/>
    <w:rsid w:val="00ED5AAF"/>
    <w:rsid w:val="00ED6B8F"/>
    <w:rsid w:val="00EE3198"/>
    <w:rsid w:val="00EE4646"/>
    <w:rsid w:val="00EE67EC"/>
    <w:rsid w:val="00EF33D5"/>
    <w:rsid w:val="00EF481F"/>
    <w:rsid w:val="00F000EA"/>
    <w:rsid w:val="00F016F2"/>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8EE"/>
    <w:rsid w:val="00F84DF8"/>
    <w:rsid w:val="00F91164"/>
    <w:rsid w:val="00F91898"/>
    <w:rsid w:val="00F9323D"/>
    <w:rsid w:val="00F94FEF"/>
    <w:rsid w:val="00F971FB"/>
    <w:rsid w:val="00FA4CD4"/>
    <w:rsid w:val="00FA579C"/>
    <w:rsid w:val="00FA668B"/>
    <w:rsid w:val="00FB20E0"/>
    <w:rsid w:val="00FB34B9"/>
    <w:rsid w:val="00FC0BEF"/>
    <w:rsid w:val="00FC24DA"/>
    <w:rsid w:val="00FC4678"/>
    <w:rsid w:val="00FC6545"/>
    <w:rsid w:val="00FC7742"/>
    <w:rsid w:val="00FD0183"/>
    <w:rsid w:val="00FD037B"/>
    <w:rsid w:val="00FD2546"/>
    <w:rsid w:val="00FD772E"/>
    <w:rsid w:val="00FE3346"/>
    <w:rsid w:val="00FE3926"/>
    <w:rsid w:val="00FE48BE"/>
    <w:rsid w:val="00FE4D2F"/>
    <w:rsid w:val="00FE528A"/>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97468"/>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24C"/>
    <w:pPr>
      <w:tabs>
        <w:tab w:val="left" w:pos="907"/>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383618"/>
    <w:pPr>
      <w:keepNext/>
      <w:keepLines/>
      <w:spacing w:before="280"/>
      <w:ind w:left="907" w:hanging="907"/>
      <w:outlineLvl w:val="0"/>
    </w:pPr>
    <w:rPr>
      <w:b/>
      <w:sz w:val="26"/>
    </w:rPr>
  </w:style>
  <w:style w:type="paragraph" w:styleId="Heading2">
    <w:name w:val="heading 2"/>
    <w:basedOn w:val="Heading1"/>
    <w:next w:val="Normal"/>
    <w:link w:val="Heading2Char"/>
    <w:qFormat/>
    <w:rsid w:val="00D8197B"/>
    <w:pPr>
      <w:spacing w:before="200"/>
      <w:outlineLvl w:val="1"/>
    </w:pPr>
    <w:rPr>
      <w:sz w:val="22"/>
    </w:rPr>
  </w:style>
  <w:style w:type="paragraph" w:styleId="Heading3">
    <w:name w:val="heading 3"/>
    <w:basedOn w:val="Heading1"/>
    <w:next w:val="Normal"/>
    <w:qFormat/>
    <w:rsid w:val="00EB4AE6"/>
    <w:pPr>
      <w:spacing w:before="200"/>
      <w:outlineLvl w:val="2"/>
    </w:pPr>
    <w:rPr>
      <w:sz w:val="22"/>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link w:val="AnnexNoChar"/>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9D5414"/>
    <w:pPr>
      <w:spacing w:before="80"/>
      <w:ind w:left="907" w:hanging="907"/>
    </w:pPr>
  </w:style>
  <w:style w:type="paragraph" w:customStyle="1" w:styleId="enumlev2">
    <w:name w:val="enumlev2"/>
    <w:basedOn w:val="enumlev1"/>
    <w:rsid w:val="00B84279"/>
    <w:pPr>
      <w:ind w:left="1814"/>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B4AE6"/>
    <w:rPr>
      <w:rFonts w:asciiTheme="minorHAnsi" w:hAnsiTheme="minorHAns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EB4AE6"/>
    <w:pPr>
      <w:keepLines/>
      <w:tabs>
        <w:tab w:val="left" w:pos="284"/>
      </w:tabs>
      <w:spacing w:before="60"/>
      <w:ind w:left="284" w:hanging="284"/>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qFormat/>
    <w:rsid w:val="00EB4AE6"/>
    <w:rPr>
      <w:rFonts w:ascii="Calibri" w:hAnsi="Calibri"/>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B3F59"/>
    <w:pPr>
      <w:spacing w:before="160"/>
      <w:ind w:left="907" w:hanging="907"/>
    </w:pPr>
    <w:rPr>
      <w:rFonts w:cs="Times New Roman Bold"/>
      <w:b/>
      <w:lang w:val="fr-CH"/>
    </w:rPr>
  </w:style>
  <w:style w:type="paragraph" w:customStyle="1" w:styleId="Note">
    <w:name w:val="Note"/>
    <w:basedOn w:val="Normal"/>
    <w:next w:val="Normal"/>
    <w:rsid w:val="007120B6"/>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超?级链?,Style?,S,ECC Hyperlink,超??级链Ú,fL????,fL?级,超??级链,超?级链ïÈ,õ±?级链,õ±链ïÈ1,õ±???"/>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aliases w:val="표준표"/>
    <w:basedOn w:val="TableNormal"/>
    <w:uiPriority w:val="59"/>
    <w:qFormat/>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9D5414"/>
    <w:rPr>
      <w:rFonts w:ascii="Calibri" w:hAnsi="Calibri"/>
      <w:sz w:val="22"/>
      <w:lang w:val="ru-RU"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DB3F59"/>
    <w:rPr>
      <w:rFonts w:ascii="Calibri" w:hAnsi="Calibri" w:cs="Times New Roman Bold"/>
      <w:b/>
      <w:sz w:val="22"/>
      <w:lang w:val="fr-CH"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345DB"/>
    <w:pPr>
      <w:ind w:left="720"/>
      <w:contextualSpacing/>
    </w:pPr>
    <w:rPr>
      <w:rFonts w:asciiTheme="minorHAnsi" w:eastAsia="Times New Roman" w:hAnsiTheme="minorHAnsi"/>
      <w:sz w:val="24"/>
      <w:lang w:val="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D345DB"/>
    <w:rPr>
      <w:rFonts w:asciiTheme="minorHAnsi" w:eastAsia="Times New Roman" w:hAnsiTheme="minorHAnsi"/>
      <w:sz w:val="24"/>
      <w:lang w:val="en-GB" w:eastAsia="en-US"/>
    </w:rPr>
  </w:style>
  <w:style w:type="paragraph" w:customStyle="1" w:styleId="CEONormal">
    <w:name w:val="CEO_Normal"/>
    <w:link w:val="CEONormalChar"/>
    <w:rsid w:val="00667812"/>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667812"/>
    <w:rPr>
      <w:rFonts w:ascii="Verdana" w:eastAsia="SimHei" w:hAnsi="Verdana" w:cs="Simplified Arabic"/>
      <w:sz w:val="19"/>
      <w:szCs w:val="28"/>
      <w:lang w:val="en-GB" w:eastAsia="en-US"/>
    </w:rPr>
  </w:style>
  <w:style w:type="paragraph" w:styleId="Index7">
    <w:name w:val="index 7"/>
    <w:basedOn w:val="Normal"/>
    <w:next w:val="Normal"/>
    <w:semiHidden/>
    <w:rsid w:val="006A3426"/>
    <w:pPr>
      <w:tabs>
        <w:tab w:val="left" w:pos="794"/>
        <w:tab w:val="left" w:pos="1191"/>
        <w:tab w:val="left" w:pos="1588"/>
        <w:tab w:val="left" w:pos="1985"/>
      </w:tabs>
      <w:ind w:left="1698"/>
    </w:pPr>
    <w:rPr>
      <w:rFonts w:asciiTheme="minorHAnsi" w:eastAsia="Times New Roman" w:hAnsiTheme="minorHAnsi"/>
      <w:sz w:val="24"/>
      <w:lang w:val="en-GB"/>
    </w:rPr>
  </w:style>
  <w:style w:type="paragraph" w:styleId="Index6">
    <w:name w:val="index 6"/>
    <w:basedOn w:val="Normal"/>
    <w:next w:val="Normal"/>
    <w:semiHidden/>
    <w:rsid w:val="006A3426"/>
    <w:pPr>
      <w:tabs>
        <w:tab w:val="left" w:pos="794"/>
        <w:tab w:val="left" w:pos="1191"/>
        <w:tab w:val="left" w:pos="1588"/>
        <w:tab w:val="left" w:pos="1985"/>
      </w:tabs>
      <w:ind w:left="1415"/>
    </w:pPr>
    <w:rPr>
      <w:rFonts w:asciiTheme="minorHAnsi" w:eastAsia="Times New Roman" w:hAnsiTheme="minorHAnsi"/>
      <w:sz w:val="24"/>
      <w:lang w:val="en-GB"/>
    </w:rPr>
  </w:style>
  <w:style w:type="paragraph" w:styleId="Index5">
    <w:name w:val="index 5"/>
    <w:basedOn w:val="Normal"/>
    <w:next w:val="Normal"/>
    <w:semiHidden/>
    <w:rsid w:val="006A3426"/>
    <w:pPr>
      <w:tabs>
        <w:tab w:val="left" w:pos="794"/>
        <w:tab w:val="left" w:pos="1191"/>
        <w:tab w:val="left" w:pos="1588"/>
        <w:tab w:val="left" w:pos="1985"/>
      </w:tabs>
      <w:ind w:left="1132"/>
    </w:pPr>
    <w:rPr>
      <w:rFonts w:asciiTheme="minorHAnsi" w:eastAsia="Times New Roman" w:hAnsiTheme="minorHAnsi"/>
      <w:sz w:val="24"/>
      <w:lang w:val="en-GB"/>
    </w:rPr>
  </w:style>
  <w:style w:type="paragraph" w:styleId="Index4">
    <w:name w:val="index 4"/>
    <w:basedOn w:val="Normal"/>
    <w:next w:val="Normal"/>
    <w:semiHidden/>
    <w:rsid w:val="006A3426"/>
    <w:pPr>
      <w:tabs>
        <w:tab w:val="left" w:pos="794"/>
        <w:tab w:val="left" w:pos="1191"/>
        <w:tab w:val="left" w:pos="1588"/>
        <w:tab w:val="left" w:pos="1985"/>
      </w:tabs>
      <w:ind w:left="849"/>
    </w:pPr>
    <w:rPr>
      <w:rFonts w:asciiTheme="minorHAnsi" w:eastAsia="Times New Roman" w:hAnsiTheme="minorHAnsi"/>
      <w:sz w:val="24"/>
      <w:lang w:val="en-GB"/>
    </w:rPr>
  </w:style>
  <w:style w:type="paragraph" w:styleId="Index3">
    <w:name w:val="index 3"/>
    <w:basedOn w:val="Normal"/>
    <w:next w:val="Normal"/>
    <w:semiHidden/>
    <w:rsid w:val="006A3426"/>
    <w:pPr>
      <w:tabs>
        <w:tab w:val="left" w:pos="794"/>
        <w:tab w:val="left" w:pos="1191"/>
        <w:tab w:val="left" w:pos="1588"/>
        <w:tab w:val="left" w:pos="1985"/>
      </w:tabs>
      <w:ind w:left="566"/>
    </w:pPr>
    <w:rPr>
      <w:rFonts w:asciiTheme="minorHAnsi" w:eastAsia="Times New Roman" w:hAnsiTheme="minorHAnsi"/>
      <w:sz w:val="24"/>
      <w:lang w:val="en-GB"/>
    </w:rPr>
  </w:style>
  <w:style w:type="paragraph" w:styleId="Index2">
    <w:name w:val="index 2"/>
    <w:basedOn w:val="Normal"/>
    <w:next w:val="Normal"/>
    <w:semiHidden/>
    <w:rsid w:val="006A3426"/>
    <w:pPr>
      <w:tabs>
        <w:tab w:val="left" w:pos="794"/>
        <w:tab w:val="left" w:pos="1191"/>
        <w:tab w:val="left" w:pos="1588"/>
        <w:tab w:val="left" w:pos="1985"/>
      </w:tabs>
      <w:ind w:left="283"/>
    </w:pPr>
    <w:rPr>
      <w:rFonts w:asciiTheme="minorHAnsi" w:eastAsia="Times New Roman" w:hAnsiTheme="minorHAnsi"/>
      <w:sz w:val="24"/>
      <w:lang w:val="en-GB"/>
    </w:rPr>
  </w:style>
  <w:style w:type="paragraph" w:styleId="Index1">
    <w:name w:val="index 1"/>
    <w:basedOn w:val="Normal"/>
    <w:next w:val="Normal"/>
    <w:semiHidden/>
    <w:rsid w:val="006A3426"/>
    <w:pPr>
      <w:tabs>
        <w:tab w:val="left" w:pos="794"/>
        <w:tab w:val="left" w:pos="1191"/>
        <w:tab w:val="left" w:pos="1588"/>
        <w:tab w:val="left" w:pos="1985"/>
      </w:tabs>
    </w:pPr>
    <w:rPr>
      <w:rFonts w:asciiTheme="minorHAnsi" w:eastAsia="Times New Roman" w:hAnsiTheme="minorHAnsi"/>
      <w:sz w:val="24"/>
      <w:lang w:val="en-GB"/>
    </w:rPr>
  </w:style>
  <w:style w:type="character" w:styleId="LineNumber">
    <w:name w:val="line number"/>
    <w:basedOn w:val="DefaultParagraphFont"/>
    <w:rsid w:val="006A3426"/>
  </w:style>
  <w:style w:type="paragraph" w:styleId="IndexHeading">
    <w:name w:val="index heading"/>
    <w:basedOn w:val="Normal"/>
    <w:next w:val="Index1"/>
    <w:semiHidden/>
    <w:rsid w:val="006A3426"/>
    <w:pPr>
      <w:tabs>
        <w:tab w:val="left" w:pos="794"/>
        <w:tab w:val="left" w:pos="1191"/>
        <w:tab w:val="left" w:pos="1588"/>
        <w:tab w:val="left" w:pos="1985"/>
      </w:tabs>
    </w:pPr>
    <w:rPr>
      <w:rFonts w:asciiTheme="minorHAnsi" w:eastAsia="Times New Roman" w:hAnsiTheme="minorHAnsi"/>
      <w:sz w:val="24"/>
      <w:lang w:val="en-GB"/>
    </w:rPr>
  </w:style>
  <w:style w:type="paragraph" w:customStyle="1" w:styleId="toc0">
    <w:name w:val="toc 0"/>
    <w:basedOn w:val="Normal"/>
    <w:next w:val="TOC1"/>
    <w:rsid w:val="006A3426"/>
    <w:pPr>
      <w:tabs>
        <w:tab w:val="right" w:pos="9781"/>
      </w:tabs>
    </w:pPr>
    <w:rPr>
      <w:rFonts w:asciiTheme="minorHAnsi" w:eastAsia="Times New Roman" w:hAnsiTheme="minorHAnsi"/>
      <w:b/>
      <w:sz w:val="24"/>
      <w:lang w:val="en-GB"/>
    </w:rPr>
  </w:style>
  <w:style w:type="paragraph" w:customStyle="1" w:styleId="ASN1">
    <w:name w:val="ASN.1"/>
    <w:basedOn w:val="Normal"/>
    <w:rsid w:val="006A3426"/>
    <w:pPr>
      <w:tabs>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rPr>
  </w:style>
  <w:style w:type="paragraph" w:styleId="TOC9">
    <w:name w:val="toc 9"/>
    <w:basedOn w:val="TOC3"/>
    <w:next w:val="Normal"/>
    <w:semiHidden/>
    <w:rsid w:val="006A3426"/>
    <w:pPr>
      <w:tabs>
        <w:tab w:val="clear" w:pos="7938"/>
        <w:tab w:val="left" w:pos="964"/>
        <w:tab w:val="left" w:leader="dot" w:pos="8647"/>
      </w:tabs>
      <w:ind w:left="964" w:hanging="964"/>
    </w:pPr>
    <w:rPr>
      <w:rFonts w:asciiTheme="minorHAnsi" w:eastAsia="Times New Roman" w:hAnsiTheme="minorHAnsi"/>
      <w:sz w:val="24"/>
      <w:lang w:val="en-GB"/>
    </w:rPr>
  </w:style>
  <w:style w:type="paragraph" w:customStyle="1" w:styleId="ddate">
    <w:name w:val="ddate"/>
    <w:basedOn w:val="Normal"/>
    <w:rsid w:val="006A3426"/>
    <w:pPr>
      <w:framePr w:hSpace="181" w:wrap="around" w:vAnchor="page" w:hAnchor="margin" w:y="852"/>
      <w:shd w:val="solid" w:color="FFFFFF" w:fill="FFFFFF"/>
      <w:spacing w:before="0"/>
    </w:pPr>
    <w:rPr>
      <w:rFonts w:asciiTheme="minorHAnsi" w:eastAsia="Times New Roman" w:hAnsiTheme="minorHAnsi"/>
      <w:b/>
      <w:bCs/>
      <w:sz w:val="24"/>
      <w:lang w:val="en-GB"/>
    </w:rPr>
  </w:style>
  <w:style w:type="paragraph" w:customStyle="1" w:styleId="dnum">
    <w:name w:val="dnum"/>
    <w:basedOn w:val="Normal"/>
    <w:rsid w:val="006A3426"/>
    <w:pPr>
      <w:framePr w:hSpace="181" w:wrap="around" w:vAnchor="page" w:hAnchor="margin" w:y="852"/>
      <w:shd w:val="solid" w:color="FFFFFF" w:fill="FFFFFF"/>
    </w:pPr>
    <w:rPr>
      <w:rFonts w:asciiTheme="minorHAnsi" w:eastAsia="Times New Roman" w:hAnsiTheme="minorHAnsi"/>
      <w:b/>
      <w:bCs/>
      <w:sz w:val="24"/>
      <w:lang w:val="en-GB"/>
    </w:rPr>
  </w:style>
  <w:style w:type="paragraph" w:customStyle="1" w:styleId="dorlang">
    <w:name w:val="dorlang"/>
    <w:basedOn w:val="Normal"/>
    <w:rsid w:val="006A3426"/>
    <w:pPr>
      <w:framePr w:hSpace="181" w:wrap="around" w:vAnchor="page" w:hAnchor="margin" w:y="852"/>
      <w:shd w:val="solid" w:color="FFFFFF" w:fill="FFFFFF"/>
      <w:spacing w:before="0"/>
    </w:pPr>
    <w:rPr>
      <w:rFonts w:asciiTheme="minorHAnsi" w:eastAsia="Times New Roman" w:hAnsiTheme="minorHAnsi"/>
      <w:b/>
      <w:bCs/>
      <w:sz w:val="24"/>
      <w:lang w:val="en-GB"/>
    </w:rPr>
  </w:style>
  <w:style w:type="character" w:styleId="EndnoteReference">
    <w:name w:val="endnote reference"/>
    <w:basedOn w:val="DefaultParagraphFont"/>
    <w:semiHidden/>
    <w:rsid w:val="006A3426"/>
    <w:rPr>
      <w:vertAlign w:val="superscript"/>
    </w:rPr>
  </w:style>
  <w:style w:type="paragraph" w:customStyle="1" w:styleId="Recref">
    <w:name w:val="Rec_ref"/>
    <w:basedOn w:val="Rectitle"/>
    <w:next w:val="Recdate"/>
    <w:rsid w:val="006A3426"/>
    <w:pPr>
      <w:spacing w:before="120"/>
    </w:pPr>
    <w:rPr>
      <w:rFonts w:asciiTheme="minorHAnsi" w:eastAsia="Times New Roman" w:hAnsiTheme="minorHAnsi"/>
      <w:b w:val="0"/>
      <w:i/>
      <w:sz w:val="24"/>
      <w:lang w:val="en-GB"/>
    </w:rPr>
  </w:style>
  <w:style w:type="paragraph" w:customStyle="1" w:styleId="Questionref">
    <w:name w:val="Question_ref"/>
    <w:basedOn w:val="Recref"/>
    <w:next w:val="Questiondate"/>
    <w:rsid w:val="006A3426"/>
  </w:style>
  <w:style w:type="character" w:customStyle="1" w:styleId="Recdef">
    <w:name w:val="Rec_def"/>
    <w:basedOn w:val="DefaultParagraphFont"/>
    <w:rsid w:val="006A3426"/>
    <w:rPr>
      <w:rFonts w:asciiTheme="minorHAnsi" w:hAnsiTheme="minorHAnsi"/>
      <w:b/>
    </w:rPr>
  </w:style>
  <w:style w:type="paragraph" w:customStyle="1" w:styleId="Reftext">
    <w:name w:val="Ref_text"/>
    <w:basedOn w:val="Normal"/>
    <w:rsid w:val="006A3426"/>
    <w:pPr>
      <w:tabs>
        <w:tab w:val="left" w:pos="794"/>
        <w:tab w:val="left" w:pos="1191"/>
        <w:tab w:val="left" w:pos="1588"/>
        <w:tab w:val="left" w:pos="1985"/>
      </w:tabs>
      <w:ind w:left="794" w:hanging="794"/>
    </w:pPr>
    <w:rPr>
      <w:rFonts w:asciiTheme="minorHAnsi" w:eastAsia="Times New Roman" w:hAnsiTheme="minorHAnsi"/>
      <w:sz w:val="24"/>
      <w:lang w:val="en-GB"/>
    </w:rPr>
  </w:style>
  <w:style w:type="paragraph" w:customStyle="1" w:styleId="Reftitle">
    <w:name w:val="Ref_title"/>
    <w:basedOn w:val="Normal"/>
    <w:next w:val="Reftext"/>
    <w:rsid w:val="006A3426"/>
    <w:pPr>
      <w:tabs>
        <w:tab w:val="left" w:pos="794"/>
        <w:tab w:val="left" w:pos="1191"/>
        <w:tab w:val="left" w:pos="1588"/>
        <w:tab w:val="left" w:pos="1985"/>
      </w:tabs>
      <w:spacing w:before="480"/>
      <w:jc w:val="center"/>
    </w:pPr>
    <w:rPr>
      <w:rFonts w:asciiTheme="minorHAnsi" w:eastAsia="Times New Roman" w:hAnsiTheme="minorHAnsi"/>
      <w:caps/>
      <w:sz w:val="24"/>
      <w:lang w:val="en-GB"/>
    </w:rPr>
  </w:style>
  <w:style w:type="paragraph" w:customStyle="1" w:styleId="Repdate">
    <w:name w:val="Rep_date"/>
    <w:basedOn w:val="Recdate"/>
    <w:next w:val="Normalaftertitle"/>
    <w:rsid w:val="006A3426"/>
    <w:rPr>
      <w:rFonts w:asciiTheme="minorHAnsi" w:eastAsia="Times New Roman" w:hAnsiTheme="minorHAnsi"/>
      <w:i/>
      <w:lang w:val="en-GB"/>
    </w:rPr>
  </w:style>
  <w:style w:type="paragraph" w:customStyle="1" w:styleId="RepNo">
    <w:name w:val="Rep_No"/>
    <w:basedOn w:val="RecNo"/>
    <w:next w:val="Reptitle"/>
    <w:rsid w:val="006A3426"/>
    <w:pPr>
      <w:tabs>
        <w:tab w:val="left" w:pos="794"/>
        <w:tab w:val="left" w:pos="1191"/>
        <w:tab w:val="left" w:pos="1588"/>
        <w:tab w:val="left" w:pos="1985"/>
      </w:tabs>
    </w:pPr>
    <w:rPr>
      <w:rFonts w:asciiTheme="minorHAnsi" w:eastAsia="Times New Roman" w:hAnsiTheme="minorHAnsi"/>
      <w:sz w:val="28"/>
      <w:lang w:val="en-GB"/>
    </w:rPr>
  </w:style>
  <w:style w:type="paragraph" w:customStyle="1" w:styleId="Reptitle">
    <w:name w:val="Rep_title"/>
    <w:basedOn w:val="Rectitle"/>
    <w:next w:val="Repref"/>
    <w:rsid w:val="006A3426"/>
    <w:pPr>
      <w:tabs>
        <w:tab w:val="left" w:pos="794"/>
        <w:tab w:val="left" w:pos="1191"/>
        <w:tab w:val="left" w:pos="1588"/>
        <w:tab w:val="left" w:pos="1985"/>
      </w:tabs>
    </w:pPr>
    <w:rPr>
      <w:rFonts w:asciiTheme="minorHAnsi" w:eastAsia="Times New Roman" w:hAnsiTheme="minorHAnsi"/>
      <w:sz w:val="28"/>
      <w:lang w:val="en-GB"/>
    </w:rPr>
  </w:style>
  <w:style w:type="paragraph" w:customStyle="1" w:styleId="Repref">
    <w:name w:val="Rep_ref"/>
    <w:basedOn w:val="Recref"/>
    <w:next w:val="Repdate"/>
    <w:rsid w:val="006A3426"/>
  </w:style>
  <w:style w:type="paragraph" w:customStyle="1" w:styleId="Resdate">
    <w:name w:val="Res_date"/>
    <w:basedOn w:val="Recdate"/>
    <w:next w:val="Normalaftertitle"/>
    <w:rsid w:val="006A3426"/>
    <w:rPr>
      <w:rFonts w:asciiTheme="minorHAnsi" w:eastAsia="Times New Roman" w:hAnsiTheme="minorHAnsi"/>
      <w:i/>
      <w:lang w:val="en-GB"/>
    </w:rPr>
  </w:style>
  <w:style w:type="character" w:customStyle="1" w:styleId="Resdef">
    <w:name w:val="Res_def"/>
    <w:basedOn w:val="DefaultParagraphFont"/>
    <w:rsid w:val="006A3426"/>
    <w:rPr>
      <w:rFonts w:asciiTheme="minorHAnsi" w:hAnsiTheme="minorHAnsi"/>
      <w:b/>
    </w:rPr>
  </w:style>
  <w:style w:type="paragraph" w:customStyle="1" w:styleId="Resref">
    <w:name w:val="Res_ref"/>
    <w:basedOn w:val="Recref"/>
    <w:next w:val="Resdate"/>
    <w:rsid w:val="006A3426"/>
  </w:style>
  <w:style w:type="character" w:styleId="PageNumber">
    <w:name w:val="page number"/>
    <w:basedOn w:val="DefaultParagraphFont"/>
    <w:rsid w:val="006A3426"/>
    <w:rPr>
      <w:rFonts w:asciiTheme="minorHAnsi" w:hAnsiTheme="minorHAnsi"/>
    </w:rPr>
  </w:style>
  <w:style w:type="paragraph" w:customStyle="1" w:styleId="BDTLogo">
    <w:name w:val="BDT_Logo"/>
    <w:uiPriority w:val="99"/>
    <w:rsid w:val="006A3426"/>
    <w:pPr>
      <w:jc w:val="center"/>
    </w:pPr>
    <w:rPr>
      <w:rFonts w:ascii="Calibri" w:eastAsia="SimHei" w:hAnsi="Calibri" w:cs="Simplified Arabic"/>
      <w:sz w:val="22"/>
      <w:szCs w:val="28"/>
      <w:lang w:val="en-GB" w:eastAsia="en-US"/>
    </w:rPr>
  </w:style>
  <w:style w:type="character" w:customStyle="1" w:styleId="RestitleChar">
    <w:name w:val="Res_title Char"/>
    <w:basedOn w:val="DefaultParagraphFont"/>
    <w:link w:val="Restitle"/>
    <w:qFormat/>
    <w:rsid w:val="006A3426"/>
    <w:rPr>
      <w:rFonts w:ascii="Calibri" w:hAnsi="Calibri"/>
      <w:b/>
      <w:sz w:val="26"/>
      <w:lang w:val="ru-RU" w:eastAsia="en-US"/>
    </w:rPr>
  </w:style>
  <w:style w:type="character" w:styleId="Strong">
    <w:name w:val="Strong"/>
    <w:basedOn w:val="DefaultParagraphFont"/>
    <w:uiPriority w:val="22"/>
    <w:qFormat/>
    <w:rsid w:val="006A3426"/>
    <w:rPr>
      <w:b/>
      <w:bCs/>
    </w:rPr>
  </w:style>
  <w:style w:type="paragraph" w:customStyle="1" w:styleId="western">
    <w:name w:val="western"/>
    <w:basedOn w:val="Normal"/>
    <w:qFormat/>
    <w:rsid w:val="006A3426"/>
    <w:pPr>
      <w:overflowPunct/>
      <w:autoSpaceDE/>
      <w:autoSpaceDN/>
      <w:adjustRightInd/>
      <w:spacing w:beforeAutospacing="1" w:after="144" w:line="276" w:lineRule="auto"/>
      <w:textAlignment w:val="auto"/>
    </w:pPr>
    <w:rPr>
      <w:rFonts w:eastAsia="Times New Roman" w:cs="Calibri"/>
      <w:sz w:val="24"/>
      <w:szCs w:val="24"/>
      <w:lang w:val="en-US"/>
    </w:rPr>
  </w:style>
  <w:style w:type="character" w:customStyle="1" w:styleId="normaltextrun">
    <w:name w:val="normaltextrun"/>
    <w:basedOn w:val="DefaultParagraphFont"/>
    <w:rsid w:val="006A3426"/>
  </w:style>
  <w:style w:type="paragraph" w:styleId="BodyText">
    <w:name w:val="Body Text"/>
    <w:basedOn w:val="Normal"/>
    <w:link w:val="BodyTextChar"/>
    <w:uiPriority w:val="1"/>
    <w:qFormat/>
    <w:rsid w:val="006A3426"/>
    <w:pPr>
      <w:widowControl w:val="0"/>
      <w:overflowPunct/>
      <w:adjustRightInd/>
      <w:spacing w:before="0"/>
      <w:textAlignment w:val="auto"/>
    </w:pPr>
    <w:rPr>
      <w:rFonts w:ascii="Arial" w:eastAsia="Arial" w:hAnsi="Arial" w:cs="Arial"/>
      <w:szCs w:val="22"/>
      <w:lang w:val="en-US"/>
    </w:rPr>
  </w:style>
  <w:style w:type="character" w:customStyle="1" w:styleId="BodyTextChar">
    <w:name w:val="Body Text Char"/>
    <w:basedOn w:val="DefaultParagraphFont"/>
    <w:link w:val="BodyText"/>
    <w:uiPriority w:val="1"/>
    <w:rsid w:val="006A3426"/>
    <w:rPr>
      <w:rFonts w:ascii="Arial" w:eastAsia="Arial" w:hAnsi="Arial" w:cs="Arial"/>
      <w:sz w:val="22"/>
      <w:szCs w:val="22"/>
      <w:lang w:eastAsia="en-US"/>
    </w:rPr>
  </w:style>
  <w:style w:type="paragraph" w:styleId="Title">
    <w:name w:val="Title"/>
    <w:basedOn w:val="Normal"/>
    <w:link w:val="TitleChar"/>
    <w:uiPriority w:val="10"/>
    <w:qFormat/>
    <w:rsid w:val="006A3426"/>
    <w:pPr>
      <w:widowControl w:val="0"/>
      <w:overflowPunct/>
      <w:adjustRightInd/>
      <w:spacing w:before="75"/>
      <w:ind w:left="1773" w:right="1773"/>
      <w:jc w:val="center"/>
      <w:textAlignment w:val="auto"/>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6A3426"/>
    <w:rPr>
      <w:rFonts w:ascii="Arial" w:eastAsia="Arial" w:hAnsi="Arial" w:cs="Arial"/>
      <w:b/>
      <w:bCs/>
      <w:sz w:val="24"/>
      <w:szCs w:val="24"/>
      <w:lang w:eastAsia="en-US"/>
    </w:rPr>
  </w:style>
  <w:style w:type="character" w:customStyle="1" w:styleId="Mention1">
    <w:name w:val="Mention1"/>
    <w:basedOn w:val="DefaultParagraphFont"/>
    <w:uiPriority w:val="99"/>
    <w:unhideWhenUsed/>
    <w:rsid w:val="006A3426"/>
    <w:rPr>
      <w:color w:val="2B579A"/>
      <w:shd w:val="clear" w:color="auto" w:fill="E1DFDD"/>
    </w:rPr>
  </w:style>
  <w:style w:type="paragraph" w:customStyle="1" w:styleId="s21">
    <w:name w:val="s21"/>
    <w:basedOn w:val="Normal"/>
    <w:rsid w:val="006A3426"/>
    <w:pPr>
      <w:overflowPunct/>
      <w:autoSpaceDE/>
      <w:autoSpaceDN/>
      <w:adjustRightInd/>
      <w:spacing w:before="100" w:beforeAutospacing="1" w:after="100" w:afterAutospacing="1"/>
      <w:textAlignment w:val="auto"/>
    </w:pPr>
    <w:rPr>
      <w:rFonts w:eastAsiaTheme="minorHAnsi" w:cs="Calibri"/>
      <w:szCs w:val="22"/>
      <w:lang w:val="en-GB" w:eastAsia="en-GB"/>
    </w:rPr>
  </w:style>
  <w:style w:type="paragraph" w:styleId="NormalWeb">
    <w:name w:val="Normal (Web)"/>
    <w:basedOn w:val="Normal"/>
    <w:uiPriority w:val="99"/>
    <w:semiHidden/>
    <w:unhideWhenUsed/>
    <w:rsid w:val="006A3426"/>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rPr>
  </w:style>
  <w:style w:type="character" w:customStyle="1" w:styleId="ui-provider">
    <w:name w:val="ui-provider"/>
    <w:basedOn w:val="DefaultParagraphFont"/>
    <w:rsid w:val="006A3426"/>
  </w:style>
  <w:style w:type="paragraph" w:customStyle="1" w:styleId="Normal0">
    <w:name w:val="Normal 0"/>
    <w:basedOn w:val="Normal"/>
    <w:uiPriority w:val="1"/>
    <w:rsid w:val="006A3426"/>
    <w:pPr>
      <w:widowControl w:val="0"/>
      <w:tabs>
        <w:tab w:val="left" w:pos="794"/>
        <w:tab w:val="left" w:pos="1191"/>
        <w:tab w:val="left" w:pos="1588"/>
        <w:tab w:val="left" w:pos="1985"/>
      </w:tabs>
      <w:ind w:hanging="719"/>
    </w:pPr>
    <w:rPr>
      <w:rFonts w:ascii="Courier New" w:eastAsiaTheme="minorEastAsia" w:hAnsi="Courier New" w:cs="Courier New"/>
      <w:sz w:val="24"/>
      <w:lang w:val="en-GB"/>
    </w:rPr>
  </w:style>
  <w:style w:type="character" w:customStyle="1" w:styleId="ms-rtethemeforecolor-2-0">
    <w:name w:val="ms-rtethemeforecolor-2-0"/>
    <w:basedOn w:val="DefaultParagraphFont"/>
    <w:rsid w:val="006A3426"/>
  </w:style>
  <w:style w:type="character" w:customStyle="1" w:styleId="ms-rtefontface-13">
    <w:name w:val="ms-rtefontface-13"/>
    <w:basedOn w:val="DefaultParagraphFont"/>
    <w:rsid w:val="006A3426"/>
  </w:style>
  <w:style w:type="character" w:customStyle="1" w:styleId="ms-rtethemeforecolor-5-0">
    <w:name w:val="ms-rtethemeforecolor-5-0"/>
    <w:basedOn w:val="DefaultParagraphFont"/>
    <w:rsid w:val="006A3426"/>
  </w:style>
  <w:style w:type="character" w:customStyle="1" w:styleId="ms-rteforecolor-9">
    <w:name w:val="ms-rteforecolor-9"/>
    <w:basedOn w:val="DefaultParagraphFont"/>
    <w:rsid w:val="006A3426"/>
  </w:style>
  <w:style w:type="character" w:customStyle="1" w:styleId="ms-rtethemeforecolor-6-4">
    <w:name w:val="ms-rtethemeforecolor-6-4"/>
    <w:basedOn w:val="DefaultParagraphFont"/>
    <w:rsid w:val="006A3426"/>
  </w:style>
  <w:style w:type="character" w:customStyle="1" w:styleId="cf01">
    <w:name w:val="cf01"/>
    <w:basedOn w:val="DefaultParagraphFont"/>
    <w:rsid w:val="006A3426"/>
    <w:rPr>
      <w:rFonts w:ascii="Segoe UI" w:hAnsi="Segoe UI" w:cs="Segoe UI" w:hint="default"/>
      <w:color w:val="262626"/>
      <w:sz w:val="21"/>
      <w:szCs w:val="21"/>
    </w:rPr>
  </w:style>
  <w:style w:type="paragraph" w:customStyle="1" w:styleId="Colloquy1">
    <w:name w:val="Colloquy 1"/>
    <w:basedOn w:val="Normal"/>
    <w:next w:val="Normal"/>
    <w:uiPriority w:val="99"/>
    <w:rsid w:val="006A3426"/>
    <w:pPr>
      <w:widowControl w:val="0"/>
      <w:tabs>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720"/>
      <w:textAlignment w:val="auto"/>
    </w:pPr>
    <w:rPr>
      <w:rFonts w:ascii="Courier New" w:eastAsiaTheme="minorEastAsia" w:hAnsi="Courier New" w:cs="Courier New"/>
      <w:sz w:val="24"/>
      <w:szCs w:val="24"/>
      <w:lang w:val="en-US"/>
      <w14:ligatures w14:val="standardContextual"/>
    </w:rPr>
  </w:style>
  <w:style w:type="character" w:customStyle="1" w:styleId="eop">
    <w:name w:val="eop"/>
    <w:basedOn w:val="DefaultParagraphFont"/>
    <w:rsid w:val="006A3426"/>
  </w:style>
  <w:style w:type="paragraph" w:customStyle="1" w:styleId="paragraph">
    <w:name w:val="paragraph"/>
    <w:basedOn w:val="Normal"/>
    <w:rsid w:val="006A3426"/>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eastAsia="en-GB"/>
    </w:rPr>
  </w:style>
  <w:style w:type="character" w:customStyle="1" w:styleId="scxw207633463">
    <w:name w:val="scxw207633463"/>
    <w:basedOn w:val="DefaultParagraphFont"/>
    <w:rsid w:val="006A3426"/>
  </w:style>
  <w:style w:type="paragraph" w:customStyle="1" w:styleId="p1">
    <w:name w:val="p1"/>
    <w:basedOn w:val="Normal"/>
    <w:rsid w:val="006A3426"/>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rPr>
  </w:style>
  <w:style w:type="paragraph" w:customStyle="1" w:styleId="p2">
    <w:name w:val="p2"/>
    <w:basedOn w:val="Normal"/>
    <w:rsid w:val="006A3426"/>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6A3426"/>
  </w:style>
  <w:style w:type="paragraph" w:customStyle="1" w:styleId="p3">
    <w:name w:val="p3"/>
    <w:basedOn w:val="Normal"/>
    <w:rsid w:val="006A3426"/>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rPr>
  </w:style>
  <w:style w:type="table" w:customStyle="1" w:styleId="GridTable4-Accent11">
    <w:name w:val="Grid Table 4 - Accent 11"/>
    <w:basedOn w:val="TableNormal"/>
    <w:uiPriority w:val="49"/>
    <w:rsid w:val="006A3426"/>
    <w:pPr>
      <w:widowControl w:val="0"/>
      <w:autoSpaceDE w:val="0"/>
      <w:autoSpaceDN w:val="0"/>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6A3426"/>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rPr>
  </w:style>
  <w:style w:type="character" w:customStyle="1" w:styleId="textrun">
    <w:name w:val="textrun"/>
    <w:basedOn w:val="DefaultParagraphFont"/>
    <w:rsid w:val="006A3426"/>
  </w:style>
  <w:style w:type="paragraph" w:customStyle="1" w:styleId="outlineelement">
    <w:name w:val="outlineelement"/>
    <w:basedOn w:val="Normal"/>
    <w:rsid w:val="006A3426"/>
    <w:pPr>
      <w:overflowPunct/>
      <w:autoSpaceDE/>
      <w:autoSpaceDN/>
      <w:adjustRightInd/>
      <w:spacing w:before="100" w:beforeAutospacing="1" w:after="100" w:afterAutospacing="1"/>
      <w:textAlignment w:val="auto"/>
    </w:pPr>
    <w:rPr>
      <w:rFonts w:ascii="Times New Roman" w:eastAsia="Times New Roman" w:hAnsi="Times New Roman"/>
      <w:sz w:val="24"/>
      <w:szCs w:val="24"/>
      <w:lang w:val="en-US"/>
    </w:rPr>
  </w:style>
  <w:style w:type="character" w:customStyle="1" w:styleId="pagebreakblob">
    <w:name w:val="pagebreakblob"/>
    <w:basedOn w:val="DefaultParagraphFont"/>
    <w:rsid w:val="006A3426"/>
  </w:style>
  <w:style w:type="character" w:customStyle="1" w:styleId="pagebreaktextspan">
    <w:name w:val="pagebreaktextspan"/>
    <w:basedOn w:val="DefaultParagraphFont"/>
    <w:rsid w:val="006A3426"/>
  </w:style>
  <w:style w:type="character" w:customStyle="1" w:styleId="pagebreakborderspan">
    <w:name w:val="pagebreakborderspan"/>
    <w:basedOn w:val="DefaultParagraphFont"/>
    <w:rsid w:val="006A3426"/>
  </w:style>
  <w:style w:type="character" w:customStyle="1" w:styleId="scxw216800342">
    <w:name w:val="scxw216800342"/>
    <w:basedOn w:val="DefaultParagraphFont"/>
    <w:rsid w:val="006A3426"/>
  </w:style>
  <w:style w:type="character" w:customStyle="1" w:styleId="wacimagecontainer">
    <w:name w:val="wacimagecontainer"/>
    <w:basedOn w:val="DefaultParagraphFont"/>
    <w:rsid w:val="006A3426"/>
  </w:style>
  <w:style w:type="character" w:customStyle="1" w:styleId="linebreakblob">
    <w:name w:val="linebreakblob"/>
    <w:basedOn w:val="DefaultParagraphFont"/>
    <w:rsid w:val="006A3426"/>
  </w:style>
  <w:style w:type="character" w:customStyle="1" w:styleId="AnnexNoChar">
    <w:name w:val="Annex_No Char"/>
    <w:basedOn w:val="DefaultParagraphFont"/>
    <w:link w:val="AnnexNo"/>
    <w:locked/>
    <w:rsid w:val="006A3426"/>
    <w:rPr>
      <w:rFonts w:ascii="Calibri" w:hAnsi="Calibri"/>
      <w:caps/>
      <w:sz w:val="26"/>
      <w:lang w:val="ru-RU" w:eastAsia="en-US"/>
    </w:rPr>
  </w:style>
  <w:style w:type="character" w:customStyle="1" w:styleId="CallChar">
    <w:name w:val="Call Char"/>
    <w:basedOn w:val="DefaultParagraphFont"/>
    <w:link w:val="Call"/>
    <w:locked/>
    <w:rsid w:val="006A3426"/>
    <w:rPr>
      <w:rFonts w:ascii="Calibri" w:hAnsi="Calibri"/>
      <w:i/>
      <w:sz w:val="22"/>
      <w:lang w:val="ru-RU" w:eastAsia="en-US"/>
    </w:rPr>
  </w:style>
  <w:style w:type="character" w:customStyle="1" w:styleId="ResNoChar">
    <w:name w:val="Res_No Char"/>
    <w:basedOn w:val="DefaultParagraphFont"/>
    <w:link w:val="ResNo"/>
    <w:locked/>
    <w:rsid w:val="006A3426"/>
    <w:rPr>
      <w:rFonts w:ascii="Calibri" w:hAnsi="Calibri"/>
      <w:caps/>
      <w:sz w:val="26"/>
      <w:lang w:val="ru-RU" w:eastAsia="en-US"/>
    </w:rPr>
  </w:style>
  <w:style w:type="character" w:customStyle="1" w:styleId="href">
    <w:name w:val="href"/>
    <w:basedOn w:val="DefaultParagraphFont"/>
    <w:rsid w:val="006A3426"/>
    <w:rPr>
      <w:color w:val="auto"/>
    </w:rPr>
  </w:style>
  <w:style w:type="character" w:customStyle="1" w:styleId="Heading1Char">
    <w:name w:val="Heading 1 Char"/>
    <w:basedOn w:val="DefaultParagraphFont"/>
    <w:link w:val="Heading1"/>
    <w:rsid w:val="006A3426"/>
    <w:rPr>
      <w:rFonts w:ascii="Calibri" w:hAnsi="Calibri"/>
      <w:b/>
      <w:sz w:val="26"/>
      <w:lang w:val="ru-RU" w:eastAsia="en-US"/>
    </w:rPr>
  </w:style>
  <w:style w:type="character" w:customStyle="1" w:styleId="Heading2Char">
    <w:name w:val="Heading 2 Char"/>
    <w:basedOn w:val="DefaultParagraphFont"/>
    <w:link w:val="Heading2"/>
    <w:rsid w:val="006A3426"/>
    <w:rPr>
      <w:rFonts w:ascii="Calibri" w:hAnsi="Calibri"/>
      <w:b/>
      <w:sz w:val="22"/>
      <w:lang w:val="ru-RU" w:eastAsia="en-US"/>
    </w:rPr>
  </w:style>
  <w:style w:type="table" w:styleId="GridTable4-Accent1">
    <w:name w:val="Grid Table 4 Accent 1"/>
    <w:basedOn w:val="TableNormal"/>
    <w:uiPriority w:val="49"/>
    <w:rsid w:val="007D7FAD"/>
    <w:pPr>
      <w:widowControl w:val="0"/>
      <w:autoSpaceDE w:val="0"/>
      <w:autoSpaceDN w:val="0"/>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unhideWhenUsed/>
    <w:rsid w:val="00945E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22-TDAG31-C-0002/en" TargetMode="External"/><Relationship Id="rId21" Type="http://schemas.openxmlformats.org/officeDocument/2006/relationships/hyperlink" Target="https://www.itu.int/md/D22-TDAG32-C-0004/" TargetMode="External"/><Relationship Id="rId42" Type="http://schemas.openxmlformats.org/officeDocument/2006/relationships/hyperlink" Target="https://youtu.be/AnALX0PEerA?si=uZ31pHoe8nKDbc9r" TargetMode="External"/><Relationship Id="rId63" Type="http://schemas.openxmlformats.org/officeDocument/2006/relationships/hyperlink" Target="https://youtu.be/QvCYhjH9gKs?si=9EJEAJTkXgXpYbgN" TargetMode="External"/><Relationship Id="rId84" Type="http://schemas.openxmlformats.org/officeDocument/2006/relationships/hyperlink" Target="https://www.itu.int/md/D22-TDAG32-C-0035/" TargetMode="External"/><Relationship Id="rId138" Type="http://schemas.openxmlformats.org/officeDocument/2006/relationships/hyperlink" Target="https://www.itu.int/md/D22-TDAG.WG.DEC-INF-0001/" TargetMode="External"/><Relationship Id="rId159" Type="http://schemas.openxmlformats.org/officeDocument/2006/relationships/hyperlink" Target="https://www.itu.int/md/D22-TDAG.WG.SGQ-C-0034/" TargetMode="External"/><Relationship Id="rId170" Type="http://schemas.openxmlformats.org/officeDocument/2006/relationships/hyperlink" Target="https://www.itu.int/md/D22-TDAG.WG.SGQ-C-0018/en" TargetMode="External"/><Relationship Id="rId191" Type="http://schemas.openxmlformats.org/officeDocument/2006/relationships/hyperlink" Target="https://www.itu.int/md/D22-TDAG.WG.SGQ-C-0025/" TargetMode="External"/><Relationship Id="rId205" Type="http://schemas.openxmlformats.org/officeDocument/2006/relationships/footer" Target="footer1.xml"/><Relationship Id="rId226" Type="http://schemas.openxmlformats.org/officeDocument/2006/relationships/hyperlink" Target="https://www.itu.int/md/D22-TDAG.WG.SR-C-0023/en" TargetMode="External"/><Relationship Id="rId107" Type="http://schemas.openxmlformats.org/officeDocument/2006/relationships/hyperlink" Target="https://www.itu.int/md/D22-TDAG.WG.ITUDP-C-0016/en" TargetMode="External"/><Relationship Id="rId11" Type="http://schemas.openxmlformats.org/officeDocument/2006/relationships/image" Target="media/image1.png"/><Relationship Id="rId32" Type="http://schemas.openxmlformats.org/officeDocument/2006/relationships/hyperlink" Target="https://www.itu.int/md/meetingdoc.asp?lang=en&amp;parent=D22-TDAG32-INF-0001" TargetMode="External"/><Relationship Id="rId53" Type="http://schemas.openxmlformats.org/officeDocument/2006/relationships/hyperlink" Target="https://www.itu.int/md/D22-TDAG32-C-0018/" TargetMode="External"/><Relationship Id="rId74" Type="http://schemas.openxmlformats.org/officeDocument/2006/relationships/hyperlink" Target="https://www.itu.int/md/D22-TDAG32-C-0031/" TargetMode="External"/><Relationship Id="rId128" Type="http://schemas.openxmlformats.org/officeDocument/2006/relationships/hyperlink" Target="https://www.itu.int/md/D22-TDAG.WG.DEC-C-0009/en" TargetMode="External"/><Relationship Id="rId149" Type="http://schemas.openxmlformats.org/officeDocument/2006/relationships/hyperlink" Target="https://translate.itu.int/documents" TargetMode="External"/><Relationship Id="rId5" Type="http://schemas.openxmlformats.org/officeDocument/2006/relationships/numbering" Target="numbering.xml"/><Relationship Id="rId95" Type="http://schemas.openxmlformats.org/officeDocument/2006/relationships/hyperlink" Target="https://www.itu.int/md/D22-TDAG32-C-0060/" TargetMode="External"/><Relationship Id="rId160" Type="http://schemas.openxmlformats.org/officeDocument/2006/relationships/hyperlink" Target="https://www.itu.int/md/D22-TDAG.WG.SGQ-C-0038" TargetMode="External"/><Relationship Id="rId181" Type="http://schemas.openxmlformats.org/officeDocument/2006/relationships/hyperlink" Target="https://www.itu.int/md/D22-TDAG.WG.SGQ-C-0048" TargetMode="External"/><Relationship Id="rId216" Type="http://schemas.openxmlformats.org/officeDocument/2006/relationships/hyperlink" Target="https://www.itu.int/md/D22-TDAG30-C-0031/" TargetMode="External"/><Relationship Id="rId237" Type="http://schemas.openxmlformats.org/officeDocument/2006/relationships/hyperlink" Target="https://www.itu.int/md/D22-TDAG.WG.SR-INF-0002/en" TargetMode="External"/><Relationship Id="rId22" Type="http://schemas.openxmlformats.org/officeDocument/2006/relationships/hyperlink" Target="https://www.itu.int/md/D22-TDAG32-C-0040/" TargetMode="External"/><Relationship Id="rId43" Type="http://schemas.openxmlformats.org/officeDocument/2006/relationships/hyperlink" Target="https://www.itu.int/md/D22-TDAG32-C-0013/" TargetMode="External"/><Relationship Id="rId64" Type="http://schemas.openxmlformats.org/officeDocument/2006/relationships/hyperlink" Target="https://www.itu.int/md/D22-TDAG32-C-0038/" TargetMode="External"/><Relationship Id="rId118" Type="http://schemas.openxmlformats.org/officeDocument/2006/relationships/image" Target="media/image3.png"/><Relationship Id="rId139" Type="http://schemas.openxmlformats.org/officeDocument/2006/relationships/hyperlink" Target="https://www.itu.int/md/D22-TDAG.WG.DEC-C-0009/en" TargetMode="External"/><Relationship Id="rId85" Type="http://schemas.openxmlformats.org/officeDocument/2006/relationships/hyperlink" Target="https://www.itu.int/md/meetingdoc.asp?lang=en&amp;parent=D22-TDAG32-250512-TD-0007" TargetMode="External"/><Relationship Id="rId150" Type="http://schemas.openxmlformats.org/officeDocument/2006/relationships/hyperlink" Target="https://www.itu.int/pub/D-RES-D.2-2022" TargetMode="External"/><Relationship Id="rId171" Type="http://schemas.openxmlformats.org/officeDocument/2006/relationships/hyperlink" Target="https://www.itu.int/md/D22-TDAG.WG.SGQ-C-0036" TargetMode="External"/><Relationship Id="rId192" Type="http://schemas.openxmlformats.org/officeDocument/2006/relationships/hyperlink" Target="https://www.itu.int/md/D22-TDAG.WG.SGQ-C-0018/en" TargetMode="External"/><Relationship Id="rId206" Type="http://schemas.openxmlformats.org/officeDocument/2006/relationships/header" Target="header2.xml"/><Relationship Id="rId227" Type="http://schemas.openxmlformats.org/officeDocument/2006/relationships/hyperlink" Target="https://www.itu.int/md/D22-TDAG.WG.SR-C-0024/" TargetMode="External"/><Relationship Id="rId12" Type="http://schemas.openxmlformats.org/officeDocument/2006/relationships/image" Target="media/image2.jpeg"/><Relationship Id="rId33" Type="http://schemas.openxmlformats.org/officeDocument/2006/relationships/hyperlink" Target="https://www.itu.int/md/meetingdoc.asp?lang=en&amp;parent=D22-TDAG32-INF-0002" TargetMode="External"/><Relationship Id="rId108" Type="http://schemas.openxmlformats.org/officeDocument/2006/relationships/hyperlink" Target="https://www.itu.int/en/ITU-D/Conferences/TDAG/Pages/2024/TDAG_WG_ITUDP.aspx" TargetMode="External"/><Relationship Id="rId129" Type="http://schemas.openxmlformats.org/officeDocument/2006/relationships/hyperlink" Target="https://www.itu.int/md/D22-TDAG.WG.DEC-C-0012/" TargetMode="External"/><Relationship Id="rId54" Type="http://schemas.openxmlformats.org/officeDocument/2006/relationships/hyperlink" Target="https://www.itu.int/md/D22-TDAG32-C-0044/" TargetMode="External"/><Relationship Id="rId75" Type="http://schemas.openxmlformats.org/officeDocument/2006/relationships/hyperlink" Target="https://www.itu.int/md/meetingdoc.asp?lang=en&amp;parent=D22-TDAG32-250512-TD-0004" TargetMode="External"/><Relationship Id="rId96" Type="http://schemas.openxmlformats.org/officeDocument/2006/relationships/hyperlink" Target="https://www.itu.int/md/meetingdoc.asp?lang=en&amp;parent=D22-TDAG32-250512-TD-0011" TargetMode="External"/><Relationship Id="rId140" Type="http://schemas.openxmlformats.org/officeDocument/2006/relationships/hyperlink" Target="https://www.itu.int/md/D22-TDAG.WG.DEC-C-0012/" TargetMode="External"/><Relationship Id="rId161" Type="http://schemas.openxmlformats.org/officeDocument/2006/relationships/hyperlink" Target="https://www.itu.int/md/D22-TDAG.WG.SGQ-C-0043" TargetMode="External"/><Relationship Id="rId182" Type="http://schemas.openxmlformats.org/officeDocument/2006/relationships/hyperlink" Target="https://www.itu.int/md/D22-TDAG.WG.SGQ-C-0031" TargetMode="External"/><Relationship Id="rId217" Type="http://schemas.openxmlformats.org/officeDocument/2006/relationships/hyperlink" Target="https://www.itu.int/md/D22-TDAG.WG.SR-C-0013/" TargetMode="External"/><Relationship Id="rId6" Type="http://schemas.openxmlformats.org/officeDocument/2006/relationships/styles" Target="styles.xml"/><Relationship Id="rId238" Type="http://schemas.openxmlformats.org/officeDocument/2006/relationships/hyperlink" Target="https://www.itu.int/md/D22-TDAG.WG.SR-C-0035/" TargetMode="External"/><Relationship Id="rId23" Type="http://schemas.openxmlformats.org/officeDocument/2006/relationships/hyperlink" Target="https://www.itu.int/md/D22-TDAG32-C-0040/" TargetMode="External"/><Relationship Id="rId119" Type="http://schemas.openxmlformats.org/officeDocument/2006/relationships/hyperlink" Target="https://www.itu.int/md/D22-TDAG.WG.DEC-250514-TD-0001/en" TargetMode="External"/><Relationship Id="rId44" Type="http://schemas.openxmlformats.org/officeDocument/2006/relationships/hyperlink" Target="https://www.itu.int/md/D22-TDAG32-C-0014/" TargetMode="External"/><Relationship Id="rId65" Type="http://schemas.openxmlformats.org/officeDocument/2006/relationships/hyperlink" Target="https://www.itu.int/md/D22-TDAG32-C-0039/" TargetMode="External"/><Relationship Id="rId86" Type="http://schemas.openxmlformats.org/officeDocument/2006/relationships/hyperlink" Target="https://www.itu.int/md/D22-TDAG32-C-0037/" TargetMode="External"/><Relationship Id="rId130" Type="http://schemas.openxmlformats.org/officeDocument/2006/relationships/hyperlink" Target="https://www.itu.int/md/D22-TDAG.WG.DEC-C-0014/" TargetMode="External"/><Relationship Id="rId151" Type="http://schemas.openxmlformats.org/officeDocument/2006/relationships/hyperlink" Target="https://www.itu.int/md/D22-TDAG31-C-0025/" TargetMode="External"/><Relationship Id="rId172" Type="http://schemas.openxmlformats.org/officeDocument/2006/relationships/hyperlink" Target="https://www.itu.int/md/D22-TDAG.WG.SGQ-C-0045" TargetMode="External"/><Relationship Id="rId193" Type="http://schemas.openxmlformats.org/officeDocument/2006/relationships/hyperlink" Target="https://www.itu.int/md/D22-TDAG.WG.SGQ-C-0023/en" TargetMode="External"/><Relationship Id="rId207" Type="http://schemas.openxmlformats.org/officeDocument/2006/relationships/hyperlink" Target="https://www.itu.int/md/D22-TDAG.WG.SR-C-0003/" TargetMode="External"/><Relationship Id="rId228" Type="http://schemas.openxmlformats.org/officeDocument/2006/relationships/hyperlink" Target="https://www.itu.int/md/D22-TDAG.WG.SR-C-0025/" TargetMode="External"/><Relationship Id="rId13" Type="http://schemas.openxmlformats.org/officeDocument/2006/relationships/hyperlink" Target="https://www.itu.int/dms_ties/itu-d/md/22/tdag32/c/D22-TDAG32-C-0061!!PDF-E.pdf" TargetMode="External"/><Relationship Id="rId109" Type="http://schemas.openxmlformats.org/officeDocument/2006/relationships/hyperlink" Target="https://www.itu.int/md/D22-TDAG.WG.ITUDP-C-0008/en" TargetMode="External"/><Relationship Id="rId34" Type="http://schemas.openxmlformats.org/officeDocument/2006/relationships/hyperlink" Target="https://www.itu.int/md/D22-TDAG32-C-0009/" TargetMode="External"/><Relationship Id="rId55" Type="http://schemas.openxmlformats.org/officeDocument/2006/relationships/hyperlink" Target="https://www.itu.int/md/D22-TDAG32-C-0053/" TargetMode="External"/><Relationship Id="rId76" Type="http://schemas.openxmlformats.org/officeDocument/2006/relationships/hyperlink" Target="https://www.itu.int/md/D22-TDAG32-C-0033/" TargetMode="External"/><Relationship Id="rId97" Type="http://schemas.openxmlformats.org/officeDocument/2006/relationships/hyperlink" Target="https://youtu.be/TQMlkFoVHQ4?feature=shared" TargetMode="External"/><Relationship Id="rId120" Type="http://schemas.openxmlformats.org/officeDocument/2006/relationships/hyperlink" Target="https://www.itu.int/md/D22-TDAG31-240520-TD-0004/en" TargetMode="External"/><Relationship Id="rId141" Type="http://schemas.openxmlformats.org/officeDocument/2006/relationships/hyperlink" Target="https://www.itu.int/md/D22-TDAG.WG.DEC-C-0014/" TargetMode="External"/><Relationship Id="rId7" Type="http://schemas.openxmlformats.org/officeDocument/2006/relationships/settings" Target="settings.xml"/><Relationship Id="rId162" Type="http://schemas.openxmlformats.org/officeDocument/2006/relationships/hyperlink" Target="https://www.itu.int/md/D22-TDAG.WG.SGQ-C-0041/" TargetMode="External"/><Relationship Id="rId183" Type="http://schemas.openxmlformats.org/officeDocument/2006/relationships/hyperlink" Target="https://www.itu.int/md/D22-TDAG.WG.SGQ-C-0032" TargetMode="External"/><Relationship Id="rId218" Type="http://schemas.openxmlformats.org/officeDocument/2006/relationships/hyperlink" Target="mailto:tdag-wg-streamres@lists.itu.int" TargetMode="External"/><Relationship Id="rId239" Type="http://schemas.openxmlformats.org/officeDocument/2006/relationships/hyperlink" Target="https://www.itu.int/md/D22-TDAG.WG.SR-C-0013/" TargetMode="External"/><Relationship Id="rId24" Type="http://schemas.openxmlformats.org/officeDocument/2006/relationships/hyperlink" Target="https://www.itu.int/md/D22-TDAG32-C-0041/en" TargetMode="External"/><Relationship Id="rId45" Type="http://schemas.openxmlformats.org/officeDocument/2006/relationships/hyperlink" Target="https://www.itu.int/md/D22-TDAG32-C-0015/" TargetMode="External"/><Relationship Id="rId66" Type="http://schemas.openxmlformats.org/officeDocument/2006/relationships/hyperlink" Target="https://www.itu.int/md/meetingdoc.asp?lang=en&amp;parent=D22-TDAG32-INF-0015" TargetMode="External"/><Relationship Id="rId87" Type="http://schemas.openxmlformats.org/officeDocument/2006/relationships/hyperlink" Target="https://www.itu.int/md/meetingdoc.asp?lang=en&amp;parent=D22-TDAG32-250512-TD-0008" TargetMode="External"/><Relationship Id="rId110" Type="http://schemas.openxmlformats.org/officeDocument/2006/relationships/hyperlink" Target="https://www.itu.int/md/D22-TDAG.WG.ITUDP-C-0013/en" TargetMode="External"/><Relationship Id="rId131" Type="http://schemas.openxmlformats.org/officeDocument/2006/relationships/hyperlink" Target="https://www.itu.int/md/D22-TDAG.WG.DEC-250514-TD-0001/en" TargetMode="External"/><Relationship Id="rId152" Type="http://schemas.openxmlformats.org/officeDocument/2006/relationships/hyperlink" Target="https://www.itu.int/md/D22-TDAG.EXTRA-C-0004/en" TargetMode="External"/><Relationship Id="rId173" Type="http://schemas.openxmlformats.org/officeDocument/2006/relationships/hyperlink" Target="https://www.itu.int/md/D22-TDAG.WG.SGQ-C-0019/en" TargetMode="External"/><Relationship Id="rId194" Type="http://schemas.openxmlformats.org/officeDocument/2006/relationships/hyperlink" Target="https://www.itu.int/md/D22-TDAG.WG.SGQ-C-0023/en" TargetMode="External"/><Relationship Id="rId208" Type="http://schemas.openxmlformats.org/officeDocument/2006/relationships/hyperlink" Target="https://www.itu.int/md/D22-TDAG.WG.SR-C-0002/" TargetMode="External"/><Relationship Id="rId229" Type="http://schemas.openxmlformats.org/officeDocument/2006/relationships/hyperlink" Target="https://www.itu.int/md/D22-TDAG.WG.SR-C-0026/" TargetMode="External"/><Relationship Id="rId240" Type="http://schemas.openxmlformats.org/officeDocument/2006/relationships/hyperlink" Target="https://www.itu.int/dms_pub/itu-d/md/22/tdag32/c/D22-TDAG32-C-0020!N1!PDF-E.pdf" TargetMode="External"/><Relationship Id="rId14" Type="http://schemas.openxmlformats.org/officeDocument/2006/relationships/hyperlink" Target="https://www.itu.int/en/ITU-D/bdt-director/Pages/Speeches.aspx?ItemID=579" TargetMode="External"/><Relationship Id="rId35" Type="http://schemas.openxmlformats.org/officeDocument/2006/relationships/hyperlink" Target="https://www.itu.int/md/D22-TDAG32-C-0010/" TargetMode="External"/><Relationship Id="rId56" Type="http://schemas.openxmlformats.org/officeDocument/2006/relationships/hyperlink" Target="https://www.itu.int/md/D22-TDAG32-C-0057/" TargetMode="External"/><Relationship Id="rId77" Type="http://schemas.openxmlformats.org/officeDocument/2006/relationships/hyperlink" Target="https://www.itu.int/md/meetingdoc.asp?lang=en&amp;parent=D22-TDAG32-250512-TD-0004" TargetMode="External"/><Relationship Id="rId100" Type="http://schemas.openxmlformats.org/officeDocument/2006/relationships/hyperlink" Target="https://youtu.be/n-9xwzs0i9I?feature=shared" TargetMode="External"/><Relationship Id="rId8" Type="http://schemas.openxmlformats.org/officeDocument/2006/relationships/webSettings" Target="webSettings.xml"/><Relationship Id="rId98" Type="http://schemas.openxmlformats.org/officeDocument/2006/relationships/hyperlink" Target="https://youtu.be/0Q1A-_uFb2U?feature=shared" TargetMode="External"/><Relationship Id="rId121" Type="http://schemas.openxmlformats.org/officeDocument/2006/relationships/hyperlink" Target="https://www.itu.int/md/D22-TDAG.WG.DEC-C-0002/" TargetMode="External"/><Relationship Id="rId142" Type="http://schemas.openxmlformats.org/officeDocument/2006/relationships/hyperlink" Target="https://www.itu.int/md/D22-TDAG.WG.DEC-C-0012/" TargetMode="External"/><Relationship Id="rId163" Type="http://schemas.openxmlformats.org/officeDocument/2006/relationships/hyperlink" Target="https://www.itu.int/md/D22-TDAG.WG.SGQ-C-0043" TargetMode="External"/><Relationship Id="rId184" Type="http://schemas.openxmlformats.org/officeDocument/2006/relationships/hyperlink" Target="https://www.itu.int/md/D22-TDAG.WG.SGQ-C-0037" TargetMode="External"/><Relationship Id="rId219" Type="http://schemas.openxmlformats.org/officeDocument/2006/relationships/hyperlink" Target="https://eur03.safelinks.protection.outlook.com/?url=https%3A%2F%2Fteams.microsoft.com%2Fl%2Fteam%2F19%253A3WrhCSCdZ2JTeqexFL4IHSY3A901wMByGTKgu1zzf241%2540thread.tacv2%2Fconversations%3FgroupId%3D0ae7b5ea-5684-4e49-9878-a2478c3bc049%26tenantId%3D23e464d7-04e6-4b87-913c-24bd89219fd3&amp;data=05%7C02%7Cramita.sharma%40itu.int%7Cd15f9ac962144c0e902908dccdadd7c4%7C23e464d704e64b87913c24bd89219fd3%7C0%7C0%7C638611394155041397%7CUnknown%7CTWFpbGZsb3d8eyJWIjoiMC4wLjAwMDAiLCJQIjoiV2luMzIiLCJBTiI6Ik1haWwiLCJXVCI6Mn0%3D%7C0%7C%7C%7C&amp;sdata=vJ77TRwobxW%2BEi0S4D%2BL17SOBs4HH7I108eCPhlMzzs%3D&amp;reserved=0" TargetMode="External"/><Relationship Id="rId230" Type="http://schemas.openxmlformats.org/officeDocument/2006/relationships/hyperlink" Target="https://www.itu.int/md/D22-TDAG.WG.SR-C-0027/" TargetMode="External"/><Relationship Id="rId25" Type="http://schemas.openxmlformats.org/officeDocument/2006/relationships/hyperlink" Target="https://www.itu.int/md/meetingdoc.asp?lang=en&amp;parent=D22-TDAG32-C-0005" TargetMode="External"/><Relationship Id="rId46" Type="http://schemas.openxmlformats.org/officeDocument/2006/relationships/hyperlink" Target="https://www.itu.int/md/D22-TDAG32-C-0048/" TargetMode="External"/><Relationship Id="rId67" Type="http://schemas.openxmlformats.org/officeDocument/2006/relationships/hyperlink" Target="https://www.itu.int/md/D22-TDAG32-C-0023/" TargetMode="External"/><Relationship Id="rId88" Type="http://schemas.openxmlformats.org/officeDocument/2006/relationships/hyperlink" Target="https://www.itu.int/md/D22-TDAG32-C-0045/" TargetMode="External"/><Relationship Id="rId111" Type="http://schemas.openxmlformats.org/officeDocument/2006/relationships/hyperlink" Target="https://www.itu.int/md/D22-TDAG.WG.ITUDP-C-0018/en" TargetMode="External"/><Relationship Id="rId132" Type="http://schemas.openxmlformats.org/officeDocument/2006/relationships/hyperlink" Target="https://www.itu.int/en/ITU-D/Conferences/TDAG/Pages/2024/TDAG_WG_DEC.aspx" TargetMode="External"/><Relationship Id="rId153" Type="http://schemas.openxmlformats.org/officeDocument/2006/relationships/hyperlink" Target="https://www.itu.int/md/D22-TDAG.WG.SGQ-C-0006/en" TargetMode="External"/><Relationship Id="rId174" Type="http://schemas.openxmlformats.org/officeDocument/2006/relationships/hyperlink" Target="https://www.itu.int/md/D22-TDAG.WG.SGQ-C-0020/en" TargetMode="External"/><Relationship Id="rId195" Type="http://schemas.openxmlformats.org/officeDocument/2006/relationships/hyperlink" Target="https://www.itu.int/md/D22-TDAG.WG.SGQ-C-0023/en" TargetMode="External"/><Relationship Id="rId209" Type="http://schemas.openxmlformats.org/officeDocument/2006/relationships/hyperlink" Target="https://www.itu.int/md/D22-TDAG.WG.SR-C-0004/" TargetMode="External"/><Relationship Id="rId220" Type="http://schemas.openxmlformats.org/officeDocument/2006/relationships/hyperlink" Target="https://www.itu.int/en/general-secretariat/Pages/ISCG/default.aspx" TargetMode="External"/><Relationship Id="rId241" Type="http://schemas.openxmlformats.org/officeDocument/2006/relationships/hyperlink" Target="https://www.itu.int/dms_pub/itu-d/md/22/tdag32/c/D22-TDAG32-C-0020!N2!PDF-E.pdf" TargetMode="External"/><Relationship Id="rId15" Type="http://schemas.openxmlformats.org/officeDocument/2006/relationships/hyperlink" Target="https://www.itu.int/md/D22-TDAG32-C-0001/" TargetMode="External"/><Relationship Id="rId36" Type="http://schemas.openxmlformats.org/officeDocument/2006/relationships/hyperlink" Target="https://www.itu.int/md/D22-TDAG32-C-0049/" TargetMode="External"/><Relationship Id="rId57" Type="http://schemas.openxmlformats.org/officeDocument/2006/relationships/hyperlink" Target="https://www.itu.int/md/D22-TDAG32-C-0019/" TargetMode="External"/><Relationship Id="rId10" Type="http://schemas.openxmlformats.org/officeDocument/2006/relationships/endnotes" Target="endnotes.xml"/><Relationship Id="rId31" Type="http://schemas.openxmlformats.org/officeDocument/2006/relationships/hyperlink" Target="https://www.itu.int/md/D22-TDAG32-C-0008/" TargetMode="External"/><Relationship Id="rId52" Type="http://schemas.openxmlformats.org/officeDocument/2006/relationships/hyperlink" Target="https://www.itu.int/md/D22-TDAG32-C-0017/" TargetMode="External"/><Relationship Id="rId73" Type="http://schemas.openxmlformats.org/officeDocument/2006/relationships/hyperlink" Target="https://www.itu.int/md/meetingdoc.asp?lang=en&amp;parent=D22-TDAG32-250512-TD-0003" TargetMode="External"/><Relationship Id="rId78" Type="http://schemas.openxmlformats.org/officeDocument/2006/relationships/hyperlink" Target="https://www.itu.int/md/D22-TDAG32-C-0032/" TargetMode="External"/><Relationship Id="rId94" Type="http://schemas.openxmlformats.org/officeDocument/2006/relationships/hyperlink" Target="https://www.itu.int/md/D22-TDAG32-C-0055/" TargetMode="External"/><Relationship Id="rId99" Type="http://schemas.openxmlformats.org/officeDocument/2006/relationships/hyperlink" Target="https://youtu.be/_TmRrANEy9Y?feature=shared" TargetMode="External"/><Relationship Id="rId101" Type="http://schemas.openxmlformats.org/officeDocument/2006/relationships/hyperlink" Target="https://youtu.be/lWymn4RNG0I?feature=shared" TargetMode="External"/><Relationship Id="rId122" Type="http://schemas.openxmlformats.org/officeDocument/2006/relationships/hyperlink" Target="https://www.itu.int/md/D22-TDAG.WG.DEC-C-0006/" TargetMode="External"/><Relationship Id="rId143" Type="http://schemas.openxmlformats.org/officeDocument/2006/relationships/hyperlink" Target="https://www.itu.int/md/D22-TDAG.WG.DEC-C-0014/en" TargetMode="External"/><Relationship Id="rId148" Type="http://schemas.openxmlformats.org/officeDocument/2006/relationships/hyperlink" Target="https://www.itu.int/md/D22-TDAG32-C-0048/en" TargetMode="External"/><Relationship Id="rId164" Type="http://schemas.openxmlformats.org/officeDocument/2006/relationships/hyperlink" Target="https://www.itu.int/md/D22-TDAG32-C-0019/en" TargetMode="External"/><Relationship Id="rId169" Type="http://schemas.openxmlformats.org/officeDocument/2006/relationships/hyperlink" Target="https://www.itu.int/md/D22-TDAG.WG.SGQ-C-0049" TargetMode="External"/><Relationship Id="rId185" Type="http://schemas.openxmlformats.org/officeDocument/2006/relationships/hyperlink" Target="https://www.itu.int/md/D22-TDAG.WG.SGQ-C-003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D22-TDAG.WG.SGQ-C-0022/en" TargetMode="External"/><Relationship Id="rId210" Type="http://schemas.openxmlformats.org/officeDocument/2006/relationships/hyperlink" Target="https://www.itu.int/md/D22-TDAG.WG.SR-C-0006/" TargetMode="External"/><Relationship Id="rId215" Type="http://schemas.openxmlformats.org/officeDocument/2006/relationships/hyperlink" Target="https://www.itu.int/md/D22-TDAG.WG.SR-C-0010/" TargetMode="External"/><Relationship Id="rId236" Type="http://schemas.openxmlformats.org/officeDocument/2006/relationships/hyperlink" Target="https://www.itu.int/md/D22-TDAG.WG.SR-INF-0001/en" TargetMode="External"/><Relationship Id="rId26" Type="http://schemas.openxmlformats.org/officeDocument/2006/relationships/hyperlink" Target="https://www.itu.int/md/D22-TDAG32-C-0006/" TargetMode="External"/><Relationship Id="rId231" Type="http://schemas.openxmlformats.org/officeDocument/2006/relationships/hyperlink" Target="https://www.itu.int/md/D22-TDAG.WG.SR-C-0028/" TargetMode="External"/><Relationship Id="rId47" Type="http://schemas.openxmlformats.org/officeDocument/2006/relationships/hyperlink" Target="https://www.itu.int/md/D22-TDAG32-C-0034/" TargetMode="External"/><Relationship Id="rId68" Type="http://schemas.openxmlformats.org/officeDocument/2006/relationships/hyperlink" Target="https://www.itu.int/md/D22-TDAG32-C-0024/" TargetMode="External"/><Relationship Id="rId89" Type="http://schemas.openxmlformats.org/officeDocument/2006/relationships/hyperlink" Target="https://www.itu.int/md/meetingdoc.asp?lang=en&amp;parent=D22-TDAG32-250512-TD-0010" TargetMode="External"/><Relationship Id="rId112" Type="http://schemas.openxmlformats.org/officeDocument/2006/relationships/hyperlink" Target="https://www.itu.int/md/D22-TDAG.WG.ITUDP-C-0018/en" TargetMode="External"/><Relationship Id="rId133" Type="http://schemas.openxmlformats.org/officeDocument/2006/relationships/hyperlink" Target="https://www.itu.int/en/ITU-D/Conferences/TDAG/Pages/2024/default.aspx" TargetMode="External"/><Relationship Id="rId154" Type="http://schemas.openxmlformats.org/officeDocument/2006/relationships/hyperlink" Target="https://www.itu.int/md/D22-TDAG.WG.SGQ-C-0010/en" TargetMode="External"/><Relationship Id="rId175" Type="http://schemas.openxmlformats.org/officeDocument/2006/relationships/hyperlink" Target="https://www.itu.int/md/D22-TDAG.WG.SGQ-C-0030" TargetMode="External"/><Relationship Id="rId196" Type="http://schemas.openxmlformats.org/officeDocument/2006/relationships/hyperlink" Target="https://www.itu.int/md/D22-TDAG.WG.SGQ-C-0034/" TargetMode="External"/><Relationship Id="rId200" Type="http://schemas.openxmlformats.org/officeDocument/2006/relationships/hyperlink" Target="https://www.itu.int/md/D22-TDAG.WG.SGQ-C-0038" TargetMode="External"/><Relationship Id="rId16" Type="http://schemas.openxmlformats.org/officeDocument/2006/relationships/hyperlink" Target="https://www.itu.int/md/D22-TDAG32-250512-TD-0001/" TargetMode="External"/><Relationship Id="rId221" Type="http://schemas.openxmlformats.org/officeDocument/2006/relationships/hyperlink" Target="https://www.itu.int/md/D22-TDAG.WG.SR-C-0014/" TargetMode="External"/><Relationship Id="rId242" Type="http://schemas.openxmlformats.org/officeDocument/2006/relationships/header" Target="header3.xml"/><Relationship Id="rId37" Type="http://schemas.openxmlformats.org/officeDocument/2006/relationships/hyperlink" Target="https://www.itu.int/md/D22-TDAG32-C-0050/" TargetMode="External"/><Relationship Id="rId58" Type="http://schemas.openxmlformats.org/officeDocument/2006/relationships/hyperlink" Target="https://www.itu.int/md/D22-TDAG32-C-0042/" TargetMode="External"/><Relationship Id="rId79" Type="http://schemas.openxmlformats.org/officeDocument/2006/relationships/hyperlink" Target="https://www.itu.int/md/meetingdoc.asp?lang=en&amp;parent=D22-TDAG32-250512-TD-0005" TargetMode="External"/><Relationship Id="rId102" Type="http://schemas.openxmlformats.org/officeDocument/2006/relationships/hyperlink" Target="https://youtu.be/KbGUKDoOwoU?feature=shared" TargetMode="External"/><Relationship Id="rId123" Type="http://schemas.openxmlformats.org/officeDocument/2006/relationships/hyperlink" Target="https://www.itu.int/md/meetingdoc.asp?lang=en&amp;parent=D22-TDAG.WG.DEC-C-0010" TargetMode="External"/><Relationship Id="rId144" Type="http://schemas.openxmlformats.org/officeDocument/2006/relationships/hyperlink" Target="https://www.itu.int/md/D22-TDAG.WG.DEC-250514-TD-0001/en" TargetMode="External"/><Relationship Id="rId90" Type="http://schemas.openxmlformats.org/officeDocument/2006/relationships/hyperlink" Target="https://www.itu.int/md/D22-TDAG32-C-0025/" TargetMode="External"/><Relationship Id="rId165" Type="http://schemas.openxmlformats.org/officeDocument/2006/relationships/hyperlink" Target="https://www.itu.int/md/D22-TDAG.WG.SGQ-C-0043/" TargetMode="External"/><Relationship Id="rId186" Type="http://schemas.openxmlformats.org/officeDocument/2006/relationships/hyperlink" Target="https://www.itu.int/md/D22-TDAG.WG.SGQ-C-0044" TargetMode="External"/><Relationship Id="rId211" Type="http://schemas.openxmlformats.org/officeDocument/2006/relationships/hyperlink" Target="https://www.itu.int/md/D22-TDAG31-C-0037/" TargetMode="External"/><Relationship Id="rId232" Type="http://schemas.openxmlformats.org/officeDocument/2006/relationships/hyperlink" Target="https://www.itu.int/md/D22-TDAG.WG.SR-C-0029/" TargetMode="External"/><Relationship Id="rId27" Type="http://schemas.openxmlformats.org/officeDocument/2006/relationships/hyperlink" Target="https://www.itu.int/dms_pub/itu-d/md/22/tdag32/c/D22-TDAG32-C-0006!N6A!PDF-E.pdf" TargetMode="External"/><Relationship Id="rId48" Type="http://schemas.openxmlformats.org/officeDocument/2006/relationships/hyperlink" Target="https://www.itu.int/md/D22-TDAG32-C-0054/" TargetMode="External"/><Relationship Id="rId69" Type="http://schemas.openxmlformats.org/officeDocument/2006/relationships/hyperlink" Target="https://www.itu.int/md/D22-TDAG32-C-0046/" TargetMode="External"/><Relationship Id="rId113" Type="http://schemas.openxmlformats.org/officeDocument/2006/relationships/hyperlink" Target="https://www.itu.int/md/D22-TDAG.WG.ITUDP-C-0019/en" TargetMode="External"/><Relationship Id="rId134" Type="http://schemas.openxmlformats.org/officeDocument/2006/relationships/hyperlink" Target="https://www.itu.int/md/D22-TDAG31-240520-TD-0004/en" TargetMode="External"/><Relationship Id="rId80" Type="http://schemas.openxmlformats.org/officeDocument/2006/relationships/hyperlink" Target="https://www.itu.int/md/D22-TDAG32-C-0058/" TargetMode="External"/><Relationship Id="rId155" Type="http://schemas.openxmlformats.org/officeDocument/2006/relationships/hyperlink" Target="https://www.itu.int/md/D22-TDAG.WG.SGQ-C-0016/en" TargetMode="External"/><Relationship Id="rId176" Type="http://schemas.openxmlformats.org/officeDocument/2006/relationships/hyperlink" Target="https://www.itu.int/md/D22-TDAG.WG.SGQ-C-0012/" TargetMode="External"/><Relationship Id="rId197" Type="http://schemas.openxmlformats.org/officeDocument/2006/relationships/hyperlink" Target="https://www.itu.int/md/D22-TDAG.WG.SGQ-C-0029" TargetMode="External"/><Relationship Id="rId201" Type="http://schemas.openxmlformats.org/officeDocument/2006/relationships/hyperlink" Target="https://www.itu.int/md/D22-TDAG.WG.SGQ-C-0043" TargetMode="External"/><Relationship Id="rId222" Type="http://schemas.openxmlformats.org/officeDocument/2006/relationships/hyperlink" Target="https://www.itu.int/md/D22-TDAG.WG.SR-C-0016/" TargetMode="External"/><Relationship Id="rId243" Type="http://schemas.openxmlformats.org/officeDocument/2006/relationships/header" Target="header4.xml"/><Relationship Id="rId17" Type="http://schemas.openxmlformats.org/officeDocument/2006/relationships/hyperlink" Target="https://www.itu.int/md/D22-TDAG32-C-0002/" TargetMode="External"/><Relationship Id="rId38" Type="http://schemas.openxmlformats.org/officeDocument/2006/relationships/hyperlink" Target="https://www.itu.int/md/D22-TDAG32-C-0051/" TargetMode="External"/><Relationship Id="rId59" Type="http://schemas.openxmlformats.org/officeDocument/2006/relationships/hyperlink" Target="https://www.itu.int/md/D22-TDAG32-C-0047/" TargetMode="External"/><Relationship Id="rId103" Type="http://schemas.openxmlformats.org/officeDocument/2006/relationships/hyperlink" Target="https://www.itu.int/md/D22-TDAG31-240520-TD-0005/en" TargetMode="External"/><Relationship Id="rId124" Type="http://schemas.openxmlformats.org/officeDocument/2006/relationships/hyperlink" Target="https://www.itu.int/md/D22-TDAG.WG.DEC-C-0016/" TargetMode="External"/><Relationship Id="rId70" Type="http://schemas.openxmlformats.org/officeDocument/2006/relationships/hyperlink" Target="https://www.itu.int/md/D22-TDAG32-C-0029/" TargetMode="External"/><Relationship Id="rId91" Type="http://schemas.openxmlformats.org/officeDocument/2006/relationships/hyperlink" Target="https://www.itu.int/md/D22-TDAG32-C-0026/" TargetMode="External"/><Relationship Id="rId145" Type="http://schemas.openxmlformats.org/officeDocument/2006/relationships/hyperlink" Target="https://www.itu.int/md/D22-TDAG32-C-0056/en" TargetMode="External"/><Relationship Id="rId166" Type="http://schemas.openxmlformats.org/officeDocument/2006/relationships/hyperlink" Target="https://www.itu.int/md/D22-TDAG.WG.SGQ-C-0050/" TargetMode="External"/><Relationship Id="rId187" Type="http://schemas.openxmlformats.org/officeDocument/2006/relationships/hyperlink" Target="https://www.itu.int/md/D22-TDAG.WG.SGQ-C-0046" TargetMode="External"/><Relationship Id="rId1" Type="http://schemas.openxmlformats.org/officeDocument/2006/relationships/customXml" Target="../customXml/item1.xml"/><Relationship Id="rId212" Type="http://schemas.openxmlformats.org/officeDocument/2006/relationships/hyperlink" Target="https://www.itu.int/md/D22-TDAG.WG.SR-C-0009/" TargetMode="External"/><Relationship Id="rId233" Type="http://schemas.openxmlformats.org/officeDocument/2006/relationships/hyperlink" Target="https://www.itu.int/md/D22-TDAG.WG.SR-C-0031/" TargetMode="External"/><Relationship Id="rId28" Type="http://schemas.openxmlformats.org/officeDocument/2006/relationships/hyperlink" Target="https://www.itu.int/dms_pub/itu-d/md/22/tdag32/c/D22-TDAG32-C-0006!N6B!PDF-E.pdf" TargetMode="External"/><Relationship Id="rId49" Type="http://schemas.openxmlformats.org/officeDocument/2006/relationships/hyperlink" Target="https://view.officeapps.live.com/op/view.aspx?src=https%3A%2F%2Fwww.itu.int%2Fdms_pub%2Fitu-s%2Fmd%2F25%2Fcwgfhr20%2Fc%2FS25-CWGFHR20-C-0003!R2!MSW-E.docx&amp;wdOrigin=BROWSELINK" TargetMode="External"/><Relationship Id="rId114" Type="http://schemas.openxmlformats.org/officeDocument/2006/relationships/hyperlink" Target="https://www.itu.int/md/D22-TDAG.WG.ITUDP-C-0021/en" TargetMode="External"/><Relationship Id="rId60" Type="http://schemas.openxmlformats.org/officeDocument/2006/relationships/hyperlink" Target="https://www.itu.int/md/D22-TDAG32-C-0020/" TargetMode="External"/><Relationship Id="rId81" Type="http://schemas.openxmlformats.org/officeDocument/2006/relationships/hyperlink" Target="https://www.itu.int/md/meetingdoc.asp?lang=en&amp;parent=D22-TDAG32-250512-TD-0005" TargetMode="External"/><Relationship Id="rId135" Type="http://schemas.openxmlformats.org/officeDocument/2006/relationships/hyperlink" Target="https://www.itu.int/en/ITU-D/Conferences/TDAG/Pages/2024/TDAG_WG_DEC.aspx" TargetMode="External"/><Relationship Id="rId156" Type="http://schemas.openxmlformats.org/officeDocument/2006/relationships/hyperlink" Target="https://www.itu.int/md/D22-TDAG.WG.SGQ-C-0023/en" TargetMode="External"/><Relationship Id="rId177" Type="http://schemas.openxmlformats.org/officeDocument/2006/relationships/hyperlink" Target="https://www.itu.int/md/D22-TDAG.WG.SGQ-C-0021/en" TargetMode="External"/><Relationship Id="rId198" Type="http://schemas.openxmlformats.org/officeDocument/2006/relationships/hyperlink" Target="https://www.itu.int/md/D22-TDAG.WG.SGQ-C-0041/" TargetMode="External"/><Relationship Id="rId202" Type="http://schemas.openxmlformats.org/officeDocument/2006/relationships/hyperlink" Target="https://www.itu.int/md/D22-TDAG.WG.SGQ-C-0050/" TargetMode="External"/><Relationship Id="rId223" Type="http://schemas.openxmlformats.org/officeDocument/2006/relationships/hyperlink" Target="https://www.itu.int/md/D22-TDAG.WG.SR-C-0015/" TargetMode="External"/><Relationship Id="rId244" Type="http://schemas.openxmlformats.org/officeDocument/2006/relationships/footer" Target="footer2.xml"/><Relationship Id="rId18" Type="http://schemas.openxmlformats.org/officeDocument/2006/relationships/hyperlink" Target="https://www.youtube.com/watch?v=TbcJt2Zgfxo" TargetMode="External"/><Relationship Id="rId39" Type="http://schemas.openxmlformats.org/officeDocument/2006/relationships/hyperlink" Target="https://www.itu.int/md/D22-TDAG32-C-0052/" TargetMode="External"/><Relationship Id="rId50" Type="http://schemas.openxmlformats.org/officeDocument/2006/relationships/hyperlink" Target="https://www.itu.int/md/D22-TDAG32-C-0056" TargetMode="External"/><Relationship Id="rId104" Type="http://schemas.openxmlformats.org/officeDocument/2006/relationships/hyperlink" Target="https://www.itu.int/md/D22-TDAG.WG.ITUDP-C-0003/en" TargetMode="External"/><Relationship Id="rId125" Type="http://schemas.openxmlformats.org/officeDocument/2006/relationships/hyperlink" Target="https://www.itu.int/md/D22-TDAG.WG.DEC-C-0023/" TargetMode="External"/><Relationship Id="rId146" Type="http://schemas.openxmlformats.org/officeDocument/2006/relationships/hyperlink" Target="https://www.itu.int/md/D22-TDAG32-C-0056/en" TargetMode="External"/><Relationship Id="rId167" Type="http://schemas.openxmlformats.org/officeDocument/2006/relationships/hyperlink" Target="https://www.itu.int/md/D22-TDAG.WG.SGQ-C-0014" TargetMode="External"/><Relationship Id="rId188" Type="http://schemas.openxmlformats.org/officeDocument/2006/relationships/hyperlink" Target="https://www.itu.int/md/D22-TDAG.WG.SGQ-C-0010/" TargetMode="External"/><Relationship Id="rId71" Type="http://schemas.openxmlformats.org/officeDocument/2006/relationships/hyperlink" Target="https://www.itu.int/md/meetingdoc.asp?lang=en&amp;parent=D22-TDAG32-250512-TD-0002" TargetMode="External"/><Relationship Id="rId92" Type="http://schemas.openxmlformats.org/officeDocument/2006/relationships/hyperlink" Target="https://www.itu.int/md/D22-TDAG32-C-0027/" TargetMode="External"/><Relationship Id="rId213" Type="http://schemas.openxmlformats.org/officeDocument/2006/relationships/hyperlink" Target="https://www.itu.int/md/D22-TDAG31-C-0019/" TargetMode="External"/><Relationship Id="rId234" Type="http://schemas.openxmlformats.org/officeDocument/2006/relationships/hyperlink" Target="https://www.itu.int/md/D22-TDAG.WG.SR-C-0033/en" TargetMode="External"/><Relationship Id="rId2" Type="http://schemas.openxmlformats.org/officeDocument/2006/relationships/customXml" Target="../customXml/item2.xml"/><Relationship Id="rId29" Type="http://schemas.openxmlformats.org/officeDocument/2006/relationships/hyperlink" Target="https://www.itu.int/md/D22-TDAG32-C-0007/" TargetMode="External"/><Relationship Id="rId40" Type="http://schemas.openxmlformats.org/officeDocument/2006/relationships/hyperlink" Target="https://www.itu.int/md/D22-TDAG32-C-0011/" TargetMode="External"/><Relationship Id="rId115" Type="http://schemas.openxmlformats.org/officeDocument/2006/relationships/hyperlink" Target="https://www.itu.int/md/D22-TDAG.WG.ITUDP-C-0020/en" TargetMode="External"/><Relationship Id="rId136" Type="http://schemas.openxmlformats.org/officeDocument/2006/relationships/hyperlink" Target="https://www.itu.int/md/D22-TDAG.WG.DEC-C-0004/" TargetMode="External"/><Relationship Id="rId157" Type="http://schemas.openxmlformats.org/officeDocument/2006/relationships/hyperlink" Target="https://www.itu.int/md/D22-TDAG.WG.SGQ-C-0025/en" TargetMode="External"/><Relationship Id="rId178" Type="http://schemas.openxmlformats.org/officeDocument/2006/relationships/hyperlink" Target="https://www.itu.int/md/D22-TDAG.WG.SGQ-C-0028" TargetMode="External"/><Relationship Id="rId61" Type="http://schemas.openxmlformats.org/officeDocument/2006/relationships/hyperlink" Target="https://www.itu.int/md/D22-TDAG32-C-0021/" TargetMode="External"/><Relationship Id="rId82" Type="http://schemas.openxmlformats.org/officeDocument/2006/relationships/hyperlink" Target="https://www.itu.int/md/D22-TDAG32-C-0059/" TargetMode="External"/><Relationship Id="rId199" Type="http://schemas.openxmlformats.org/officeDocument/2006/relationships/hyperlink" Target="https://www.itu.int/md/D22-TDAG.WG.SGQ-C-0038" TargetMode="External"/><Relationship Id="rId203" Type="http://schemas.openxmlformats.org/officeDocument/2006/relationships/hyperlink" Target="https://www.itu.int/md/D22-TDAG.WG.SGQ-C-0043" TargetMode="External"/><Relationship Id="rId19" Type="http://schemas.openxmlformats.org/officeDocument/2006/relationships/hyperlink" Target="https://www.youtube.com/watch?v=TbcJt2Zgfxo" TargetMode="External"/><Relationship Id="rId224" Type="http://schemas.openxmlformats.org/officeDocument/2006/relationships/hyperlink" Target="https://www.itu.int/md/D22-TDAG.WG.SR-C-0019/" TargetMode="External"/><Relationship Id="rId245" Type="http://schemas.openxmlformats.org/officeDocument/2006/relationships/fontTable" Target="fontTable.xml"/><Relationship Id="rId30" Type="http://schemas.openxmlformats.org/officeDocument/2006/relationships/hyperlink" Target="https://www.itu.int/md/D22-TDAG32-C-0036/" TargetMode="External"/><Relationship Id="rId105" Type="http://schemas.openxmlformats.org/officeDocument/2006/relationships/hyperlink" Target="https://www.itu.int/md/D22-TDAG.WG.ITUDP-C-0006/" TargetMode="External"/><Relationship Id="rId126" Type="http://schemas.openxmlformats.org/officeDocument/2006/relationships/hyperlink" Target="https://www.itu.int/md/D22-TDAG.WG.DEC-INF-0001/" TargetMode="External"/><Relationship Id="rId147" Type="http://schemas.openxmlformats.org/officeDocument/2006/relationships/hyperlink" Target="https://www.itu.int/md/D22-TDAG32-C-0048/en" TargetMode="External"/><Relationship Id="rId168" Type="http://schemas.openxmlformats.org/officeDocument/2006/relationships/hyperlink" Target="https://www.itu.int/md/D22-TDAG.WG.SGQ-C-0027" TargetMode="External"/><Relationship Id="rId51" Type="http://schemas.openxmlformats.org/officeDocument/2006/relationships/hyperlink" Target="https://www.itu.int/md/D22-TDAG32-C-0016/" TargetMode="External"/><Relationship Id="rId72" Type="http://schemas.openxmlformats.org/officeDocument/2006/relationships/hyperlink" Target="https://www.itu.int/md/meetingdoc.asp?lang=en&amp;parent=D22-TDAG32-C-0030" TargetMode="External"/><Relationship Id="rId93" Type="http://schemas.openxmlformats.org/officeDocument/2006/relationships/hyperlink" Target="https://www.itu.int/md/D22-TDAG32-C-0028/" TargetMode="External"/><Relationship Id="rId189" Type="http://schemas.openxmlformats.org/officeDocument/2006/relationships/hyperlink" Target="https://www.itu.int/md/D22-TDAG.WG.SGQ-C-0016/" TargetMode="External"/><Relationship Id="rId3" Type="http://schemas.openxmlformats.org/officeDocument/2006/relationships/customXml" Target="../customXml/item3.xml"/><Relationship Id="rId214" Type="http://schemas.openxmlformats.org/officeDocument/2006/relationships/hyperlink" Target="https://www.itu.int/md/D22-TDAG31-240520-TD-0003/" TargetMode="External"/><Relationship Id="rId235" Type="http://schemas.openxmlformats.org/officeDocument/2006/relationships/hyperlink" Target="https://www.itu.int/md/D22-TDAG.WG.SR-C-0031/" TargetMode="External"/><Relationship Id="rId116" Type="http://schemas.openxmlformats.org/officeDocument/2006/relationships/hyperlink" Target="https://www.itu.int/md/D22-TDAG32-C-0056/en" TargetMode="External"/><Relationship Id="rId137" Type="http://schemas.openxmlformats.org/officeDocument/2006/relationships/hyperlink" Target="https://www.itu.int/md/D22-TDAG.WG.DEC-C-0004/" TargetMode="External"/><Relationship Id="rId158" Type="http://schemas.openxmlformats.org/officeDocument/2006/relationships/hyperlink" Target="https://www.itu.int/md/D22-TDAG.WG.SGQ-C-0029" TargetMode="External"/><Relationship Id="rId20" Type="http://schemas.openxmlformats.org/officeDocument/2006/relationships/hyperlink" Target="https://www.itu.int/md/D22-TDAG32-C-0003/en" TargetMode="External"/><Relationship Id="rId41" Type="http://schemas.openxmlformats.org/officeDocument/2006/relationships/hyperlink" Target="https://www.itu.int/md/D22-TDAG32-C-0012/" TargetMode="External"/><Relationship Id="rId62" Type="http://schemas.openxmlformats.org/officeDocument/2006/relationships/hyperlink" Target="https://www.itu.int/md/D22-TDAG32-C-0022/" TargetMode="External"/><Relationship Id="rId83" Type="http://schemas.openxmlformats.org/officeDocument/2006/relationships/hyperlink" Target="https://www.itu.int/md/meetingdoc.asp?lang=en&amp;parent=D22-TDAG32-250512-TD-0005" TargetMode="External"/><Relationship Id="rId179" Type="http://schemas.openxmlformats.org/officeDocument/2006/relationships/hyperlink" Target="https://www.itu.int/md/D22-TDAG.WG.SGQ-C-0047/en" TargetMode="External"/><Relationship Id="rId190" Type="http://schemas.openxmlformats.org/officeDocument/2006/relationships/image" Target="media/image4.png"/><Relationship Id="rId204" Type="http://schemas.openxmlformats.org/officeDocument/2006/relationships/header" Target="header1.xml"/><Relationship Id="rId225" Type="http://schemas.openxmlformats.org/officeDocument/2006/relationships/hyperlink" Target="https://www.itu.int/md/D22-TDAG.WG.SR-C-0021/en" TargetMode="External"/><Relationship Id="rId246" Type="http://schemas.openxmlformats.org/officeDocument/2006/relationships/theme" Target="theme/theme1.xml"/><Relationship Id="rId106" Type="http://schemas.openxmlformats.org/officeDocument/2006/relationships/hyperlink" Target="https://www.itu.int/md/D22-TDAG.WG.ITUDP-C-0008/" TargetMode="External"/><Relationship Id="rId127" Type="http://schemas.openxmlformats.org/officeDocument/2006/relationships/hyperlink" Target="https://www.itu.int/md/D22-TDAG.WG.DEC-C-000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https://population.un.org/wpp/" TargetMode="External"/><Relationship Id="rId3" Type="http://schemas.openxmlformats.org/officeDocument/2006/relationships/hyperlink" Target="https://www.itu.int/md/D22-TDAG32-C-0019/en" TargetMode="External"/><Relationship Id="rId7" Type="http://schemas.openxmlformats.org/officeDocument/2006/relationships/hyperlink" Target="mailto:https://www.statista.com/statistics/672546/projected-world-population-distribution-by-age-group/" TargetMode="External"/><Relationship Id="rId2" Type="http://schemas.openxmlformats.org/officeDocument/2006/relationships/hyperlink" Target="https://www.youtube.com/watch?v=QvCYhjH9gKs." TargetMode="External"/><Relationship Id="rId1" Type="http://schemas.openxmlformats.org/officeDocument/2006/relationships/hyperlink" Target="https://www.itu.int/itu-d/meetings/global-youth-summit-25/" TargetMode="External"/><Relationship Id="rId6" Type="http://schemas.openxmlformats.org/officeDocument/2006/relationships/hyperlink" Target="mailto:https://www.unfpa.org/press/population-over-60-year-olds-reach-one-billion-within-decade" TargetMode="External"/><Relationship Id="rId5" Type="http://schemas.openxmlformats.org/officeDocument/2006/relationships/hyperlink" Target="https://www.itu.int/dms_pub/itu-d/opb/tdc/D-TDC-WTDC-2022-PDF-E.pdf" TargetMode="External"/><Relationship Id="rId4"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3349D-23DB-483D-BD7A-62B6F95D7D1B}"/>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121</Pages>
  <Words>46249</Words>
  <Characters>341850</Characters>
  <Application>Microsoft Office Word</Application>
  <DocSecurity>0</DocSecurity>
  <Lines>2848</Lines>
  <Paragraphs>774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387325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SV</cp:lastModifiedBy>
  <cp:revision>69</cp:revision>
  <cp:lastPrinted>2019-01-16T07:57:00Z</cp:lastPrinted>
  <dcterms:created xsi:type="dcterms:W3CDTF">2025-07-08T14:36:00Z</dcterms:created>
  <dcterms:modified xsi:type="dcterms:W3CDTF">2025-07-11T14:44:00Z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