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C36FAC" w14:paraId="098BCB57" w14:textId="77777777" w:rsidTr="000D6EAB">
        <w:trPr>
          <w:cantSplit/>
          <w:trHeight w:val="1276"/>
        </w:trPr>
        <w:tc>
          <w:tcPr>
            <w:tcW w:w="1985" w:type="dxa"/>
          </w:tcPr>
          <w:p w14:paraId="2C526777" w14:textId="77777777" w:rsidR="00AE1244" w:rsidRPr="00C36FAC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C36FAC">
              <w:rPr>
                <w:b/>
                <w:bCs/>
                <w:sz w:val="30"/>
                <w:szCs w:val="30"/>
              </w:rPr>
              <w:drawing>
                <wp:inline distT="0" distB="0" distL="0" distR="0" wp14:anchorId="2ABD8DB0" wp14:editId="73034510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058192B" w14:textId="77777777" w:rsidR="008E1A73" w:rsidRPr="00C36F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36FAC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36FAC">
              <w:rPr>
                <w:b/>
                <w:bCs/>
                <w:sz w:val="30"/>
                <w:szCs w:val="30"/>
              </w:rPr>
              <w:br/>
              <w:t>по развитию электросвязи (</w:t>
            </w:r>
            <w:proofErr w:type="spellStart"/>
            <w:r w:rsidRPr="00C36FAC">
              <w:rPr>
                <w:b/>
                <w:bCs/>
                <w:sz w:val="30"/>
                <w:szCs w:val="30"/>
              </w:rPr>
              <w:t>КГРЭ</w:t>
            </w:r>
            <w:proofErr w:type="spellEnd"/>
            <w:r w:rsidRPr="00C36FAC">
              <w:rPr>
                <w:b/>
                <w:bCs/>
                <w:sz w:val="30"/>
                <w:szCs w:val="30"/>
              </w:rPr>
              <w:t>)</w:t>
            </w:r>
          </w:p>
          <w:p w14:paraId="7ECA77C2" w14:textId="77777777" w:rsidR="00AE1244" w:rsidRPr="00C36FAC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C36FAC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38615878" w14:textId="77777777" w:rsidR="00AE1244" w:rsidRPr="00C36FAC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C36FAC">
              <w:rPr>
                <w:lang w:eastAsia="fr-FR"/>
              </w:rPr>
              <w:drawing>
                <wp:inline distT="0" distB="0" distL="0" distR="0" wp14:anchorId="7A57B5CB" wp14:editId="11E62FC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6FAC" w14:paraId="688B3117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04709E" w14:textId="77777777" w:rsidR="00D83BF5" w:rsidRPr="00C36FAC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C613716" w14:textId="77777777" w:rsidR="00D83BF5" w:rsidRPr="00C36FAC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C36FAC" w14:paraId="69CA43C2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EE720FD" w14:textId="77777777" w:rsidR="00D87035" w:rsidRPr="00C36FAC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43E95763" w14:textId="24246E09" w:rsidR="00D87035" w:rsidRPr="00C36FAC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C36FAC">
              <w:rPr>
                <w:b/>
                <w:bCs/>
                <w:szCs w:val="22"/>
              </w:rPr>
              <w:t>Документ</w:t>
            </w:r>
            <w:r w:rsidR="00D87035" w:rsidRPr="00C36FAC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proofErr w:type="spellStart"/>
            <w:r w:rsidR="00D87035" w:rsidRPr="00C36FAC">
              <w:rPr>
                <w:b/>
                <w:bCs/>
                <w:szCs w:val="22"/>
              </w:rPr>
              <w:t>TDAG</w:t>
            </w:r>
            <w:proofErr w:type="spellEnd"/>
            <w:r w:rsidR="00D87035" w:rsidRPr="00C36FAC">
              <w:rPr>
                <w:b/>
                <w:bCs/>
                <w:szCs w:val="22"/>
              </w:rPr>
              <w:t>-</w:t>
            </w:r>
            <w:r w:rsidR="00523934" w:rsidRPr="00C36FAC">
              <w:rPr>
                <w:b/>
                <w:bCs/>
                <w:szCs w:val="22"/>
              </w:rPr>
              <w:t>2</w:t>
            </w:r>
            <w:r w:rsidR="0081159E" w:rsidRPr="00C36FAC">
              <w:rPr>
                <w:b/>
                <w:bCs/>
                <w:szCs w:val="22"/>
              </w:rPr>
              <w:t>5</w:t>
            </w:r>
            <w:r w:rsidR="00D87035" w:rsidRPr="00C36FAC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684823" w:rsidRPr="00C36FAC">
              <w:rPr>
                <w:b/>
                <w:bCs/>
                <w:szCs w:val="22"/>
              </w:rPr>
              <w:t>43</w:t>
            </w:r>
            <w:r w:rsidR="00D87035" w:rsidRPr="00C36FAC">
              <w:rPr>
                <w:b/>
                <w:bCs/>
                <w:szCs w:val="22"/>
              </w:rPr>
              <w:t>-</w:t>
            </w:r>
            <w:r w:rsidRPr="00C36FAC">
              <w:rPr>
                <w:b/>
                <w:bCs/>
                <w:szCs w:val="22"/>
              </w:rPr>
              <w:t>R</w:t>
            </w:r>
          </w:p>
        </w:tc>
      </w:tr>
      <w:tr w:rsidR="00D87035" w:rsidRPr="00C36FAC" w14:paraId="0B562E91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F965EAB" w14:textId="77777777" w:rsidR="00D87035" w:rsidRPr="00C36FAC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16BA7CE6" w14:textId="7A662B5F" w:rsidR="00D87035" w:rsidRPr="00C36FAC" w:rsidRDefault="00684823" w:rsidP="00CE66E4">
            <w:pPr>
              <w:spacing w:before="0"/>
              <w:rPr>
                <w:rFonts w:cstheme="minorHAnsi"/>
                <w:szCs w:val="22"/>
              </w:rPr>
            </w:pPr>
            <w:r w:rsidRPr="00C36FAC">
              <w:rPr>
                <w:b/>
                <w:bCs/>
                <w:szCs w:val="22"/>
              </w:rPr>
              <w:t>14 апреля</w:t>
            </w:r>
            <w:r w:rsidR="0081159E" w:rsidRPr="00C36FAC">
              <w:rPr>
                <w:b/>
                <w:bCs/>
                <w:szCs w:val="22"/>
              </w:rPr>
              <w:t xml:space="preserve"> </w:t>
            </w:r>
            <w:r w:rsidR="002955DA" w:rsidRPr="00C36FAC">
              <w:rPr>
                <w:b/>
                <w:bCs/>
                <w:szCs w:val="22"/>
              </w:rPr>
              <w:t>2025</w:t>
            </w:r>
            <w:r w:rsidR="005E032D" w:rsidRPr="00C36FAC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C36FAC" w14:paraId="30C327D8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4452E32" w14:textId="77777777" w:rsidR="00D87035" w:rsidRPr="00C36FAC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6D09EC82" w14:textId="77777777" w:rsidR="00D87035" w:rsidRPr="00C36FAC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C36FAC">
              <w:rPr>
                <w:b/>
                <w:bCs/>
                <w:szCs w:val="22"/>
              </w:rPr>
              <w:t>Оригинал</w:t>
            </w:r>
            <w:r w:rsidR="00D87035" w:rsidRPr="00C36FAC">
              <w:rPr>
                <w:b/>
                <w:bCs/>
                <w:szCs w:val="22"/>
              </w:rPr>
              <w:t xml:space="preserve">: </w:t>
            </w:r>
            <w:r w:rsidRPr="00C36FAC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C36FAC" w14:paraId="26E61EDB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9DC639B" w14:textId="2BDA9309" w:rsidR="00D83BF5" w:rsidRPr="00C36FAC" w:rsidRDefault="00684823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C36FAC">
              <w:t>Директор Бюро развития электросвязи</w:t>
            </w:r>
          </w:p>
        </w:tc>
      </w:tr>
      <w:tr w:rsidR="00D83BF5" w:rsidRPr="00C36FAC" w14:paraId="105F24F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3A8076" w14:textId="1EBFAADA" w:rsidR="00D83BF5" w:rsidRPr="00C36FAC" w:rsidRDefault="00684823" w:rsidP="006774C6">
            <w:pPr>
              <w:pStyle w:val="Title1"/>
              <w:rPr>
                <w:caps/>
              </w:rPr>
            </w:pPr>
            <w:r w:rsidRPr="00C36FAC">
              <w:t>Реорганизация Бюро развития электросвязи (</w:t>
            </w:r>
            <w:proofErr w:type="spellStart"/>
            <w:r w:rsidRPr="00C36FAC">
              <w:t>БРЭ</w:t>
            </w:r>
            <w:proofErr w:type="spellEnd"/>
            <w:r w:rsidRPr="00C36FAC">
              <w:t>)</w:t>
            </w:r>
          </w:p>
        </w:tc>
      </w:tr>
      <w:tr w:rsidR="00D83BF5" w:rsidRPr="00C36FAC" w14:paraId="479CF4C4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988AC" w14:textId="77777777" w:rsidR="00D83BF5" w:rsidRPr="00C36FAC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C36FAC" w14:paraId="1CEB0C28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EB93" w14:textId="77777777" w:rsidR="005E032D" w:rsidRPr="00C36FAC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C36FAC">
              <w:rPr>
                <w:szCs w:val="22"/>
                <w:lang w:val="ru-RU"/>
              </w:rPr>
              <w:t>Резюме</w:t>
            </w:r>
          </w:p>
          <w:p w14:paraId="10B77DD9" w14:textId="77777777" w:rsidR="00684823" w:rsidRPr="00C36FAC" w:rsidRDefault="00684823" w:rsidP="00684823">
            <w:pPr>
              <w:spacing w:after="120"/>
              <w:rPr>
                <w:rFonts w:cstheme="minorBidi"/>
              </w:rPr>
            </w:pPr>
            <w:r w:rsidRPr="00C36FAC">
              <w:rPr>
                <w:color w:val="000000"/>
              </w:rPr>
              <w:t>Реорганизация Бюро развития электросвязи (</w:t>
            </w:r>
            <w:proofErr w:type="spellStart"/>
            <w:r w:rsidRPr="00C36FAC">
              <w:rPr>
                <w:color w:val="000000"/>
              </w:rPr>
              <w:t>БРЭ</w:t>
            </w:r>
            <w:proofErr w:type="spellEnd"/>
            <w:r w:rsidRPr="00C36FAC">
              <w:rPr>
                <w:color w:val="000000"/>
              </w:rPr>
              <w:t>) представляет собой изменение подхода Международного союза электросвязи (МСЭ) к выполнению своего мандата в области развития на стратегическом уровне. Данная трансформация, предусмотренная Решением 18424 Генерального секретаря МСЭ, имеет целью усовершенствовать структуру и порядок работы Бюро, добиться большей гибкости и эффективности, а также повысить оперативность реагирования на меняющиеся потребности Государств – Членов МСЭ.</w:t>
            </w:r>
          </w:p>
          <w:p w14:paraId="6A639AB6" w14:textId="77777777" w:rsidR="00684823" w:rsidRPr="00C36FAC" w:rsidRDefault="00684823" w:rsidP="00684823">
            <w:pPr>
              <w:spacing w:after="120"/>
              <w:rPr>
                <w:rFonts w:cstheme="minorBidi"/>
              </w:rPr>
            </w:pPr>
            <w:r w:rsidRPr="00C36FAC">
              <w:rPr>
                <w:color w:val="000000"/>
              </w:rPr>
              <w:t xml:space="preserve">В стремительно меняющейся цифровой среде решающее значение имеет способность адаптироваться к возникающим вызовам и реагировать на них. Новая организационная модель укрепляет потенциал </w:t>
            </w:r>
            <w:proofErr w:type="spellStart"/>
            <w:r w:rsidRPr="00C36FAC">
              <w:rPr>
                <w:color w:val="000000"/>
              </w:rPr>
              <w:t>БРЭ</w:t>
            </w:r>
            <w:proofErr w:type="spellEnd"/>
            <w:r w:rsidRPr="00C36FAC">
              <w:rPr>
                <w:color w:val="000000"/>
              </w:rPr>
              <w:t>, позволяющий добиваться прорывных результатов, способствует более тесному сотрудничеству с партнерами и помогает Государствам-Членам в достижении их целей в области цифрового развития. Эта модель, имеющая согласованную и определяемую миссией структуру, охватывает важнейшие направления работы и функции, такие как координация деятельности, укрепление регионального присутствия, партнерские отношения, цифровые навыки, инфраструктура, окружающая среда, регуляторная политика и инновации.</w:t>
            </w:r>
          </w:p>
          <w:p w14:paraId="66686794" w14:textId="0A3330C1" w:rsidR="001E252D" w:rsidRPr="00C36FAC" w:rsidRDefault="00684823" w:rsidP="00684823">
            <w:pPr>
              <w:rPr>
                <w:szCs w:val="22"/>
              </w:rPr>
            </w:pPr>
            <w:r w:rsidRPr="00C36FAC">
              <w:rPr>
                <w:color w:val="000000"/>
              </w:rPr>
              <w:t xml:space="preserve">В настоящем документе представлен всесторонний обзор пересмотренной структуры </w:t>
            </w:r>
            <w:proofErr w:type="spellStart"/>
            <w:r w:rsidRPr="00C36FAC">
              <w:rPr>
                <w:color w:val="000000"/>
              </w:rPr>
              <w:t>БРЭ</w:t>
            </w:r>
            <w:proofErr w:type="spellEnd"/>
            <w:r w:rsidRPr="00C36FAC">
              <w:rPr>
                <w:color w:val="000000"/>
              </w:rPr>
              <w:t>, его стратегических задач и усовершенствованных механизмов слаженного предоставления поддержки в области развития благодаря работе штаб-квартиры и региональных отделений. Эта структура демонстрирует приверженность МСЭ идее обеспечения того, чтобы в ходе цифровой трансформации никто не был забыт.</w:t>
            </w:r>
          </w:p>
          <w:p w14:paraId="4E5A784C" w14:textId="77777777" w:rsidR="005E032D" w:rsidRPr="00C36FAC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C36FAC">
              <w:rPr>
                <w:szCs w:val="22"/>
                <w:lang w:val="ru-RU"/>
              </w:rPr>
              <w:t>Необходимые действия</w:t>
            </w:r>
          </w:p>
          <w:p w14:paraId="7FC5EC26" w14:textId="5E0B09DA" w:rsidR="001E252D" w:rsidRPr="00C36FAC" w:rsidRDefault="00684823" w:rsidP="00EB4AE6">
            <w:pPr>
              <w:rPr>
                <w:szCs w:val="22"/>
              </w:rPr>
            </w:pPr>
            <w:proofErr w:type="spellStart"/>
            <w:r w:rsidRPr="00C36FAC">
              <w:rPr>
                <w:color w:val="000000"/>
              </w:rPr>
              <w:t>КГРЭ</w:t>
            </w:r>
            <w:proofErr w:type="spellEnd"/>
            <w:r w:rsidRPr="00C36FAC">
              <w:rPr>
                <w:color w:val="000000"/>
              </w:rPr>
              <w:t xml:space="preserve"> предлагается принять настоящий документ к сведению.</w:t>
            </w:r>
          </w:p>
          <w:p w14:paraId="67016743" w14:textId="77777777" w:rsidR="001E252D" w:rsidRPr="00C36FAC" w:rsidRDefault="004A3CDF" w:rsidP="00EB4AE6">
            <w:pPr>
              <w:rPr>
                <w:b/>
                <w:bCs/>
                <w:szCs w:val="22"/>
              </w:rPr>
            </w:pPr>
            <w:r w:rsidRPr="00C36FAC">
              <w:rPr>
                <w:b/>
                <w:bCs/>
                <w:szCs w:val="22"/>
              </w:rPr>
              <w:t>Справочные материалы</w:t>
            </w:r>
          </w:p>
          <w:p w14:paraId="3BE3601D" w14:textId="3ADE6EA0" w:rsidR="001E252D" w:rsidRPr="00C36FAC" w:rsidRDefault="00684823" w:rsidP="00EB4AE6">
            <w:pPr>
              <w:spacing w:after="120"/>
            </w:pPr>
            <w:r w:rsidRPr="00C36FAC">
              <w:rPr>
                <w:color w:val="000000"/>
              </w:rPr>
              <w:t>Отсутствуют.</w:t>
            </w:r>
          </w:p>
        </w:tc>
      </w:tr>
      <w:bookmarkEnd w:id="8"/>
      <w:bookmarkEnd w:id="9"/>
    </w:tbl>
    <w:p w14:paraId="6BC28552" w14:textId="77777777" w:rsidR="00075C63" w:rsidRPr="00C36FAC" w:rsidRDefault="00075C63" w:rsidP="00CE66E4">
      <w:pPr>
        <w:rPr>
          <w:szCs w:val="24"/>
        </w:rPr>
      </w:pPr>
      <w:r w:rsidRPr="00C36FAC">
        <w:rPr>
          <w:szCs w:val="24"/>
        </w:rPr>
        <w:br w:type="page"/>
      </w:r>
    </w:p>
    <w:p w14:paraId="10E2396C" w14:textId="78CE495E" w:rsidR="00684823" w:rsidRPr="00C36FAC" w:rsidRDefault="00684823" w:rsidP="00684823">
      <w:pPr>
        <w:pStyle w:val="Heading1"/>
        <w:rPr>
          <w:szCs w:val="24"/>
        </w:rPr>
      </w:pPr>
      <w:r w:rsidRPr="00C36FAC">
        <w:lastRenderedPageBreak/>
        <w:t>1</w:t>
      </w:r>
      <w:r w:rsidRPr="00C36FAC">
        <w:tab/>
        <w:t>Введение: совершенствование услуг, предоставляемых членам МСЭ</w:t>
      </w:r>
    </w:p>
    <w:p w14:paraId="51C1A905" w14:textId="77777777" w:rsidR="00684823" w:rsidRPr="00C36FAC" w:rsidRDefault="00684823" w:rsidP="00684823">
      <w:pPr>
        <w:rPr>
          <w:szCs w:val="24"/>
        </w:rPr>
      </w:pPr>
      <w:r w:rsidRPr="00C36FAC">
        <w:t>Реорганизация Бюро развития электросвязи (</w:t>
      </w:r>
      <w:proofErr w:type="spellStart"/>
      <w:r w:rsidRPr="00C36FAC">
        <w:t>БРЭ</w:t>
      </w:r>
      <w:proofErr w:type="spellEnd"/>
      <w:r w:rsidRPr="00C36FAC">
        <w:t xml:space="preserve">) знаменует собой важный шаг в укреплении приверженности МСЭ повышению качества обслуживания своих членов. Эта стратегическая трансформация призвана повысить скорость реагирования, эффективность и синергию во всех функциональных областях. Благодаря совершенствованию своей внутренней структуры </w:t>
      </w:r>
      <w:proofErr w:type="spellStart"/>
      <w:r w:rsidRPr="00C36FAC">
        <w:t>БРЭ</w:t>
      </w:r>
      <w:proofErr w:type="spellEnd"/>
      <w:r w:rsidRPr="00C36FAC">
        <w:t xml:space="preserve"> стремится обеспечить более адресное техническое сотрудничество, активизировать развитие партнерских отношений и продвигать более плодотворные инициативы в области цифрового развития по всему миру. Эта реорганизация, которая несет отпечаток меняющейся цифровой среды и потребностей Государств-Членов, должна позволить </w:t>
      </w:r>
      <w:proofErr w:type="spellStart"/>
      <w:r w:rsidRPr="00C36FAC">
        <w:t>БРЭ</w:t>
      </w:r>
      <w:proofErr w:type="spellEnd"/>
      <w:r w:rsidRPr="00C36FAC">
        <w:t xml:space="preserve"> быть более гибким, работать более адресно и поддерживать национальные приоритеты инклюзивным и устойчивым образом.</w:t>
      </w:r>
    </w:p>
    <w:p w14:paraId="0D7DF4EB" w14:textId="1D7AB939" w:rsidR="00684823" w:rsidRPr="00C36FAC" w:rsidRDefault="00684823" w:rsidP="00684823">
      <w:pPr>
        <w:pStyle w:val="Heading1"/>
        <w:rPr>
          <w:szCs w:val="24"/>
        </w:rPr>
      </w:pPr>
      <w:r w:rsidRPr="00C36FAC">
        <w:t>2</w:t>
      </w:r>
      <w:r w:rsidRPr="00C36FAC">
        <w:tab/>
        <w:t>Базовая информация и правовая основа</w:t>
      </w:r>
    </w:p>
    <w:p w14:paraId="34299584" w14:textId="77777777" w:rsidR="00684823" w:rsidRPr="00C36FAC" w:rsidRDefault="00684823" w:rsidP="00684823">
      <w:pPr>
        <w:rPr>
          <w:szCs w:val="24"/>
        </w:rPr>
      </w:pPr>
      <w:r w:rsidRPr="00C36FAC">
        <w:t xml:space="preserve">Согласно Решению 18424 от 16 июля 2024 года за подписью Генерального секретаря Международного союза электросвязи и в соответствии с ее полномочиями, установленными Статьей 5 Конвенции МСЭ, </w:t>
      </w:r>
      <w:proofErr w:type="spellStart"/>
      <w:r w:rsidRPr="00C36FAC">
        <w:t>БРЭ</w:t>
      </w:r>
      <w:proofErr w:type="spellEnd"/>
      <w:r w:rsidRPr="00C36FAC">
        <w:t xml:space="preserve"> было реорганизовано. Это решение отражает постоянные усилия МСЭ по модернизации внутренней структуры и оперативного подхода, а также гарантирует, что </w:t>
      </w:r>
      <w:proofErr w:type="spellStart"/>
      <w:r w:rsidRPr="00C36FAC">
        <w:t>БРЭ</w:t>
      </w:r>
      <w:proofErr w:type="spellEnd"/>
      <w:r w:rsidRPr="00C36FAC">
        <w:t xml:space="preserve"> будет полностью готово к нынешним и будущим вызовам в области развития электросвязи и ИКТ с использованием регионального присутствия (близость к членам обеспечивает эффективное выполнение проектов и оказание прямой помощи).</w:t>
      </w:r>
    </w:p>
    <w:p w14:paraId="3A59C0FF" w14:textId="25F7629D" w:rsidR="00684823" w:rsidRPr="00C36FAC" w:rsidRDefault="00684823" w:rsidP="00684823">
      <w:pPr>
        <w:pStyle w:val="Heading1"/>
        <w:rPr>
          <w:szCs w:val="24"/>
        </w:rPr>
      </w:pPr>
      <w:r w:rsidRPr="00C36FAC">
        <w:t>3</w:t>
      </w:r>
      <w:r w:rsidRPr="00C36FAC">
        <w:tab/>
        <w:t xml:space="preserve">Мандат </w:t>
      </w:r>
      <w:proofErr w:type="spellStart"/>
      <w:r w:rsidRPr="00C36FAC">
        <w:t>БРЭ</w:t>
      </w:r>
      <w:proofErr w:type="spellEnd"/>
    </w:p>
    <w:p w14:paraId="204DBA86" w14:textId="77777777" w:rsidR="00684823" w:rsidRPr="00C36FAC" w:rsidRDefault="00684823" w:rsidP="00684823">
      <w:pPr>
        <w:rPr>
          <w:szCs w:val="24"/>
        </w:rPr>
      </w:pPr>
      <w:proofErr w:type="spellStart"/>
      <w:r w:rsidRPr="00C36FAC">
        <w:t>БРЭ</w:t>
      </w:r>
      <w:proofErr w:type="spellEnd"/>
      <w:r w:rsidRPr="00C36FAC">
        <w:t xml:space="preserve"> отвечает за организацию и координацию работы в рамках Сектора развития электросвязи Союза. К его основным направлениям деятельности относятся политика, реализация программ, выполнение проектов и техническое сотрудничество в области развития. Общая цель – содействовать универсальному доступу к приемлемым в ценовом отношении, высококачественным и безопасным ИКТ и электросвязи, одновременно способствуя справедливому и инклюзивному цифровому развитию, для того чтобы расширить права и возможности общества и добиться результатов в области устойчивого развития.</w:t>
      </w:r>
    </w:p>
    <w:p w14:paraId="60F96FE2" w14:textId="77777777" w:rsidR="00684823" w:rsidRPr="00C36FAC" w:rsidRDefault="00684823" w:rsidP="00684823">
      <w:pPr>
        <w:rPr>
          <w:szCs w:val="24"/>
        </w:rPr>
      </w:pPr>
      <w:r w:rsidRPr="00C36FAC">
        <w:t xml:space="preserve">Для эффективного достижения этих целей </w:t>
      </w:r>
      <w:proofErr w:type="spellStart"/>
      <w:r w:rsidRPr="00C36FAC">
        <w:t>БРЭ</w:t>
      </w:r>
      <w:proofErr w:type="spellEnd"/>
      <w:r w:rsidRPr="00C36FAC">
        <w:t xml:space="preserve"> теперь разделено на четыре стратегических департамента.</w:t>
      </w:r>
    </w:p>
    <w:p w14:paraId="5C461CB2" w14:textId="70079F31" w:rsidR="00684823" w:rsidRPr="00C36FAC" w:rsidRDefault="00684823" w:rsidP="00684823">
      <w:pPr>
        <w:pStyle w:val="Heading1"/>
        <w:rPr>
          <w:szCs w:val="24"/>
        </w:rPr>
      </w:pPr>
      <w:r w:rsidRPr="00C36FAC">
        <w:t>4</w:t>
      </w:r>
      <w:r w:rsidRPr="00C36FAC">
        <w:tab/>
        <w:t>Новая организационная структура</w:t>
      </w:r>
    </w:p>
    <w:p w14:paraId="08C7D293" w14:textId="3CEE8DC0" w:rsidR="00684823" w:rsidRPr="00C36FAC" w:rsidRDefault="00684823" w:rsidP="00684823">
      <w:pPr>
        <w:pStyle w:val="Heading2"/>
        <w:rPr>
          <w:szCs w:val="24"/>
        </w:rPr>
      </w:pPr>
      <w:r w:rsidRPr="00C36FAC">
        <w:t>4.1</w:t>
      </w:r>
      <w:r w:rsidRPr="00C36FAC">
        <w:tab/>
        <w:t>Департамент координации основной деятельности (Канцелярия заместителя Директора)</w:t>
      </w:r>
    </w:p>
    <w:p w14:paraId="74E6192E" w14:textId="77777777" w:rsidR="00684823" w:rsidRPr="00C36FAC" w:rsidRDefault="00684823" w:rsidP="00684823">
      <w:pPr>
        <w:rPr>
          <w:szCs w:val="24"/>
        </w:rPr>
      </w:pPr>
      <w:r w:rsidRPr="00C36FAC">
        <w:t xml:space="preserve">Департамент координации основной деятельности под руководством заместителя Директора играет центральную роль в обеспечении оперативной эффективности Бюро в целом, включая штаб-квартиру и региональные отделения. Он обеспечивает стратегическую и материально-техническую поддержку реализации программ и проектов, оперативное планирование, внутреннюю координацию и отчетность. Этот департамент отвечает за такие ключевые поддерживающие функции, как организация собраний, выделение стипендий, оказание ИТ-услуг, редакционный надзор и контроль документации. Он также пристально отслеживает выполнение решений, принимаемых руководящими органами МСЭ и </w:t>
      </w:r>
      <w:proofErr w:type="spellStart"/>
      <w:r w:rsidRPr="00C36FAC">
        <w:t>БРЭ</w:t>
      </w:r>
      <w:proofErr w:type="spellEnd"/>
      <w:r w:rsidRPr="00C36FAC">
        <w:t xml:space="preserve">, в том числе </w:t>
      </w:r>
      <w:proofErr w:type="spellStart"/>
      <w:r w:rsidRPr="00C36FAC">
        <w:t>КГРЭ</w:t>
      </w:r>
      <w:proofErr w:type="spellEnd"/>
      <w:r w:rsidRPr="00C36FAC">
        <w:t>, Советом, а также соответствующими конференциями и ассамблеями. Помимо этого, департамент осуществляет координацию взаимодействия Бюро с другими Секторами МСЭ и Генеральным секретариатом.</w:t>
      </w:r>
    </w:p>
    <w:p w14:paraId="3A60FA5D" w14:textId="77777777" w:rsidR="00684823" w:rsidRPr="00C36FAC" w:rsidRDefault="00684823" w:rsidP="00684823">
      <w:pPr>
        <w:rPr>
          <w:szCs w:val="24"/>
        </w:rPr>
      </w:pPr>
      <w:r w:rsidRPr="00C36FAC">
        <w:t>Создано новое отделение, занимающееся потребностями наименее развитых стран (НРС), развивающихся стран, не имеющих выхода к морю (</w:t>
      </w:r>
      <w:proofErr w:type="spellStart"/>
      <w:r w:rsidRPr="00C36FAC">
        <w:t>ЛЛДС</w:t>
      </w:r>
      <w:proofErr w:type="spellEnd"/>
      <w:r w:rsidRPr="00C36FAC">
        <w:t xml:space="preserve">), и малых островных развивающихся </w:t>
      </w:r>
      <w:r w:rsidRPr="00C36FAC">
        <w:lastRenderedPageBreak/>
        <w:t>государств (</w:t>
      </w:r>
      <w:proofErr w:type="spellStart"/>
      <w:r w:rsidRPr="00C36FAC">
        <w:t>СИДС</w:t>
      </w:r>
      <w:proofErr w:type="spellEnd"/>
      <w:r w:rsidRPr="00C36FAC">
        <w:t xml:space="preserve">), что позволяет обеспечивать для них целевую поддержку и приоритетное внимание во всех областях работы </w:t>
      </w:r>
      <w:proofErr w:type="spellStart"/>
      <w:r w:rsidRPr="00C36FAC">
        <w:t>БРЭ</w:t>
      </w:r>
      <w:proofErr w:type="spellEnd"/>
      <w:r w:rsidRPr="00C36FAC">
        <w:t>.</w:t>
      </w:r>
    </w:p>
    <w:p w14:paraId="357196FB" w14:textId="77777777" w:rsidR="00684823" w:rsidRPr="00C36FAC" w:rsidRDefault="00684823" w:rsidP="00684823">
      <w:pPr>
        <w:pStyle w:val="Headingb"/>
        <w:rPr>
          <w:szCs w:val="24"/>
          <w:lang w:val="ru-RU"/>
        </w:rPr>
      </w:pPr>
      <w:r w:rsidRPr="00C36FAC">
        <w:rPr>
          <w:lang w:val="ru-RU"/>
        </w:rPr>
        <w:t>Отдел реализации программ проектов (</w:t>
      </w:r>
      <w:proofErr w:type="spellStart"/>
      <w:r w:rsidRPr="00C36FAC">
        <w:rPr>
          <w:lang w:val="ru-RU"/>
        </w:rPr>
        <w:t>PPI</w:t>
      </w:r>
      <w:proofErr w:type="spellEnd"/>
      <w:r w:rsidRPr="00C36FAC">
        <w:rPr>
          <w:lang w:val="ru-RU"/>
        </w:rPr>
        <w:t>)</w:t>
      </w:r>
    </w:p>
    <w:p w14:paraId="61B9E2D0" w14:textId="77777777" w:rsidR="00684823" w:rsidRPr="00C36FAC" w:rsidRDefault="00684823" w:rsidP="00684823">
      <w:pPr>
        <w:rPr>
          <w:szCs w:val="24"/>
        </w:rPr>
      </w:pPr>
      <w:r w:rsidRPr="00C36FAC">
        <w:t>В рамках Департамента координации основной деятельности создан Отдел реализации программ проектов (</w:t>
      </w:r>
      <w:proofErr w:type="spellStart"/>
      <w:r w:rsidRPr="00C36FAC">
        <w:t>PPI</w:t>
      </w:r>
      <w:proofErr w:type="spellEnd"/>
      <w:r w:rsidRPr="00C36FAC">
        <w:t xml:space="preserve">) для дальнейшего повышения эффективности и результативности инициатив в области развития. Этот отдел находится под руководством заместителя Директора и отвечает за повышение качества, согласованности и продуктивности в реализации глобальных и региональных проектов в области развития. Основная цель отдела – увеличить количество и качество проектов, реализуемых во всех регионах, обеспечивая при этом </w:t>
      </w:r>
      <w:proofErr w:type="spellStart"/>
      <w:r w:rsidRPr="00C36FAC">
        <w:t>б</w:t>
      </w:r>
      <w:r w:rsidRPr="00C36FAC">
        <w:rPr>
          <w:rFonts w:cstheme="minorHAnsi"/>
        </w:rPr>
        <w:t>ó</w:t>
      </w:r>
      <w:r w:rsidRPr="00C36FAC">
        <w:t>льшую</w:t>
      </w:r>
      <w:proofErr w:type="spellEnd"/>
      <w:r w:rsidRPr="00C36FAC">
        <w:t xml:space="preserve"> удовлетворенность доноров и Государств-Членов. Для этого </w:t>
      </w:r>
      <w:proofErr w:type="spellStart"/>
      <w:r w:rsidRPr="00C36FAC">
        <w:t>PPI</w:t>
      </w:r>
      <w:proofErr w:type="spellEnd"/>
      <w:r w:rsidRPr="00C36FAC">
        <w:t xml:space="preserve"> усовершенствует процессы реализации проектов, будет отслеживать их эффективность, а также примет участие в упорядочении концептуальных схем реализации проектов, для того чтобы гарантировать своевременные и измеримые результаты.</w:t>
      </w:r>
    </w:p>
    <w:p w14:paraId="333F3847" w14:textId="46353790" w:rsidR="00684823" w:rsidRPr="00C36FAC" w:rsidRDefault="00684823" w:rsidP="00684823">
      <w:pPr>
        <w:pStyle w:val="Heading2"/>
        <w:rPr>
          <w:szCs w:val="24"/>
        </w:rPr>
      </w:pPr>
      <w:r w:rsidRPr="00C36FAC">
        <w:t>4.2</w:t>
      </w:r>
      <w:r w:rsidRPr="00C36FAC">
        <w:tab/>
        <w:t>Департамент проектов, партнерств и цифровых навыков (</w:t>
      </w:r>
      <w:proofErr w:type="spellStart"/>
      <w:r w:rsidRPr="00C36FAC">
        <w:t>PPS</w:t>
      </w:r>
      <w:proofErr w:type="spellEnd"/>
      <w:r w:rsidRPr="00C36FAC">
        <w:t>)</w:t>
      </w:r>
    </w:p>
    <w:p w14:paraId="1B5ED928" w14:textId="77777777" w:rsidR="00684823" w:rsidRPr="00C36FAC" w:rsidRDefault="00684823" w:rsidP="00684823">
      <w:pPr>
        <w:rPr>
          <w:szCs w:val="24"/>
        </w:rPr>
      </w:pPr>
      <w:r w:rsidRPr="00C36FAC">
        <w:t xml:space="preserve">В работе этого департамента объединены такие направления, как развитие отношений с партнерами, мобилизация ресурсов и разработка проектов. Департамент взаимодействует с донорами, фондами и предприятиями частного сектора для приведения усилий к единому знаменателю с потребностями Государств-Членов. </w:t>
      </w:r>
      <w:proofErr w:type="spellStart"/>
      <w:r w:rsidRPr="00C36FAC">
        <w:t>PPS</w:t>
      </w:r>
      <w:proofErr w:type="spellEnd"/>
      <w:r w:rsidRPr="00C36FAC">
        <w:t xml:space="preserve"> также координирует работу исследовательских комиссий и вносит вклад в создание потенциала и развитие цифровых навыков в области ИКТ, что является краеугольным камнем в преодолении глобального цифрового разрыва. Он обеспечивает поддержку инициатив в рамках Плана действий </w:t>
      </w:r>
      <w:proofErr w:type="spellStart"/>
      <w:r w:rsidRPr="00C36FAC">
        <w:t>ВКРЭ</w:t>
      </w:r>
      <w:proofErr w:type="spellEnd"/>
      <w:r w:rsidRPr="00C36FAC">
        <w:t xml:space="preserve"> и укрепляет вовлеченность членов МСЭ и сотрудничество с ними.</w:t>
      </w:r>
    </w:p>
    <w:p w14:paraId="20BD9373" w14:textId="2B8F70B4" w:rsidR="00684823" w:rsidRPr="00C36FAC" w:rsidRDefault="00684823" w:rsidP="00684823">
      <w:pPr>
        <w:pStyle w:val="Heading2"/>
        <w:rPr>
          <w:szCs w:val="24"/>
        </w:rPr>
      </w:pPr>
      <w:r w:rsidRPr="00C36FAC">
        <w:t>4.3</w:t>
      </w:r>
      <w:r w:rsidRPr="00C36FAC">
        <w:tab/>
        <w:t>Департамент цифровых сетей и окружающей среды (</w:t>
      </w:r>
      <w:proofErr w:type="spellStart"/>
      <w:r w:rsidRPr="00C36FAC">
        <w:t>DNE</w:t>
      </w:r>
      <w:proofErr w:type="spellEnd"/>
      <w:r w:rsidRPr="00C36FAC">
        <w:t>)</w:t>
      </w:r>
    </w:p>
    <w:p w14:paraId="23CE53EF" w14:textId="77777777" w:rsidR="00684823" w:rsidRPr="00C36FAC" w:rsidRDefault="00684823" w:rsidP="00684823">
      <w:pPr>
        <w:rPr>
          <w:szCs w:val="24"/>
        </w:rPr>
      </w:pPr>
      <w:r w:rsidRPr="00C36FAC">
        <w:t xml:space="preserve">Департамент </w:t>
      </w:r>
      <w:proofErr w:type="spellStart"/>
      <w:r w:rsidRPr="00C36FAC">
        <w:t>DNE</w:t>
      </w:r>
      <w:proofErr w:type="spellEnd"/>
      <w:r w:rsidRPr="00C36FAC">
        <w:t xml:space="preserve"> оказывает содействие Государствам-Членам, в особенности членам Группы 77, в важнейших областях, таких как развитие сетей широкополосной связи, управление использованием спектра, универсальная возможность установления соединений и кибербезопасность. Кроме того, он предоставляет экспертные знания в области электросвязи в чрезвычайных ситуациях и занимается актуальными вопросами экологической устойчивости и изменения климата, обеспечивая тем самым устойчивый и перспективный характер стратегий развития </w:t>
      </w:r>
      <w:proofErr w:type="spellStart"/>
      <w:r w:rsidRPr="00C36FAC">
        <w:t>БРЭ</w:t>
      </w:r>
      <w:proofErr w:type="spellEnd"/>
      <w:r w:rsidRPr="00C36FAC">
        <w:t>.</w:t>
      </w:r>
    </w:p>
    <w:p w14:paraId="3D76B14B" w14:textId="58BEB414" w:rsidR="00684823" w:rsidRPr="00C36FAC" w:rsidRDefault="00684823" w:rsidP="00684823">
      <w:pPr>
        <w:pStyle w:val="Heading2"/>
        <w:rPr>
          <w:szCs w:val="24"/>
        </w:rPr>
      </w:pPr>
      <w:r w:rsidRPr="00C36FAC">
        <w:t>4.4</w:t>
      </w:r>
      <w:r w:rsidRPr="00C36FAC">
        <w:tab/>
        <w:t>Департамент общества цифровых знаний (</w:t>
      </w:r>
      <w:proofErr w:type="spellStart"/>
      <w:r w:rsidRPr="00C36FAC">
        <w:t>DKS</w:t>
      </w:r>
      <w:proofErr w:type="spellEnd"/>
      <w:r w:rsidRPr="00C36FAC">
        <w:t>)</w:t>
      </w:r>
    </w:p>
    <w:p w14:paraId="0D7C704D" w14:textId="77777777" w:rsidR="00684823" w:rsidRPr="00C36FAC" w:rsidRDefault="00684823" w:rsidP="00684823">
      <w:pPr>
        <w:rPr>
          <w:szCs w:val="24"/>
        </w:rPr>
      </w:pPr>
      <w:r w:rsidRPr="00C36FAC">
        <w:t xml:space="preserve">Департамент </w:t>
      </w:r>
      <w:proofErr w:type="spellStart"/>
      <w:r w:rsidRPr="00C36FAC">
        <w:t>DKS</w:t>
      </w:r>
      <w:proofErr w:type="spellEnd"/>
      <w:r w:rsidRPr="00C36FAC">
        <w:t xml:space="preserve"> содействует распространению передового опыта в области политики и регулирования, а также поощряет инновации на национальном и международном уровнях. Он курирует глобальную программу по статистическим данным в области ИКТ, обеспечивая информационную базу для разработки политики на основе фактических данных. Этот департамент содействует вовлечению молодежи, охвату цифровыми технологиями, гендерному равенству и доступности. Выполняя в Бюро функцию центра инноваций, </w:t>
      </w:r>
      <w:proofErr w:type="spellStart"/>
      <w:r w:rsidRPr="00C36FAC">
        <w:t>DKS</w:t>
      </w:r>
      <w:proofErr w:type="spellEnd"/>
      <w:r w:rsidRPr="00C36FAC">
        <w:t xml:space="preserve"> поддерживает инициативы, которые стимулируют разработку творческих решений в области развития.</w:t>
      </w:r>
    </w:p>
    <w:p w14:paraId="79ECFC95" w14:textId="5C13192F" w:rsidR="00684823" w:rsidRPr="00C36FAC" w:rsidRDefault="00684823" w:rsidP="00684823">
      <w:pPr>
        <w:pStyle w:val="Heading1"/>
        <w:rPr>
          <w:szCs w:val="24"/>
        </w:rPr>
      </w:pPr>
      <w:r w:rsidRPr="00C36FAC">
        <w:t>5</w:t>
      </w:r>
      <w:r w:rsidRPr="00C36FAC">
        <w:tab/>
        <w:t>Роль региональных отделений</w:t>
      </w:r>
    </w:p>
    <w:p w14:paraId="13A2CC54" w14:textId="63F7174A" w:rsidR="00684823" w:rsidRPr="00C36FAC" w:rsidRDefault="00684823" w:rsidP="00684823">
      <w:pPr>
        <w:rPr>
          <w:szCs w:val="24"/>
        </w:rPr>
      </w:pPr>
      <w:r w:rsidRPr="00C36FAC">
        <w:t xml:space="preserve">Региональные отделения играют важнейшую роль в предоставлении целевой помощи Государствам – Членам МСЭ и в обеспечении практической реализации программ и проектов на национальном и региональном уровнях. Директора региональных отделений, находящиеся в прямом подчинении Директору </w:t>
      </w:r>
      <w:proofErr w:type="spellStart"/>
      <w:r w:rsidRPr="00C36FAC">
        <w:t>БРЭ</w:t>
      </w:r>
      <w:proofErr w:type="spellEnd"/>
      <w:r w:rsidRPr="00C36FAC">
        <w:t xml:space="preserve">, тесно взаимодействуют со штаб-квартирой и четырьмя функциональными департаментами. Такая структура обеспечивает своевременное оказание поддержки, соответствующей условиям ситуации и согласующейся со Стратегическим планом МСЭ и Планом действий </w:t>
      </w:r>
      <w:proofErr w:type="spellStart"/>
      <w:r w:rsidRPr="00C36FAC">
        <w:t>БРЭ</w:t>
      </w:r>
      <w:proofErr w:type="spellEnd"/>
      <w:r w:rsidRPr="00C36FAC">
        <w:t>.</w:t>
      </w:r>
    </w:p>
    <w:p w14:paraId="67857114" w14:textId="0E373CF2" w:rsidR="00684823" w:rsidRPr="00C36FAC" w:rsidRDefault="00684823" w:rsidP="00684823">
      <w:pPr>
        <w:pStyle w:val="Heading1"/>
        <w:rPr>
          <w:szCs w:val="24"/>
        </w:rPr>
      </w:pPr>
      <w:r w:rsidRPr="00C36FAC">
        <w:lastRenderedPageBreak/>
        <w:t>6</w:t>
      </w:r>
      <w:r w:rsidRPr="00C36FAC">
        <w:tab/>
        <w:t>Заключение</w:t>
      </w:r>
    </w:p>
    <w:p w14:paraId="054FFFCF" w14:textId="77777777" w:rsidR="00684823" w:rsidRPr="00C36FAC" w:rsidRDefault="00684823" w:rsidP="00684823">
      <w:pPr>
        <w:rPr>
          <w:szCs w:val="24"/>
        </w:rPr>
      </w:pPr>
      <w:r w:rsidRPr="00C36FAC">
        <w:t xml:space="preserve">Реорганизация </w:t>
      </w:r>
      <w:proofErr w:type="spellStart"/>
      <w:r w:rsidRPr="00C36FAC">
        <w:t>БРЭ</w:t>
      </w:r>
      <w:proofErr w:type="spellEnd"/>
      <w:r w:rsidRPr="00C36FAC">
        <w:t xml:space="preserve"> – это смелый и необходимый шаг в изменении подхода МСЭ к выполнению своего мандата в области развития. Эта стратегическая реструктуризация укрепляет </w:t>
      </w:r>
      <w:proofErr w:type="spellStart"/>
      <w:r w:rsidRPr="00C36FAC">
        <w:t>межфункциональное</w:t>
      </w:r>
      <w:proofErr w:type="spellEnd"/>
      <w:r w:rsidRPr="00C36FAC">
        <w:t xml:space="preserve"> взаимодействие, упрощает внутренние процессы и усиливает ориентацию Бюро на результаты. И прежде всего, это преобразование, ориентированное на членов МСЭ, цель которого – приносить больше пользы разнообразному и динамичному сообществу МСЭ во всем мире, повысить оперативность реагирования на его запросы и расширить масштабы своего влияния внутри него.</w:t>
      </w:r>
    </w:p>
    <w:p w14:paraId="267D29E9" w14:textId="77777777" w:rsidR="00CE66E4" w:rsidRPr="00C36FAC" w:rsidRDefault="00CE66E4" w:rsidP="00684823">
      <w:pPr>
        <w:spacing w:before="720"/>
        <w:jc w:val="center"/>
      </w:pPr>
      <w:r w:rsidRPr="00C36FAC">
        <w:t>______________</w:t>
      </w:r>
    </w:p>
    <w:sectPr w:rsidR="00CE66E4" w:rsidRPr="00C36FAC" w:rsidSect="00CE66E4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693" w14:textId="77777777" w:rsidR="00684823" w:rsidRDefault="00684823">
      <w:r>
        <w:separator/>
      </w:r>
    </w:p>
    <w:p w14:paraId="1D039AFB" w14:textId="77777777" w:rsidR="00684823" w:rsidRDefault="00684823"/>
  </w:endnote>
  <w:endnote w:type="continuationSeparator" w:id="0">
    <w:p w14:paraId="4A184779" w14:textId="77777777" w:rsidR="00684823" w:rsidRDefault="00684823">
      <w:r>
        <w:continuationSeparator/>
      </w:r>
    </w:p>
    <w:p w14:paraId="207AC5AD" w14:textId="77777777" w:rsidR="00684823" w:rsidRDefault="00684823"/>
  </w:endnote>
  <w:endnote w:type="continuationNotice" w:id="1">
    <w:p w14:paraId="53130AAF" w14:textId="77777777" w:rsidR="00684823" w:rsidRDefault="00684823">
      <w:pPr>
        <w:spacing w:before="0"/>
      </w:pPr>
    </w:p>
    <w:p w14:paraId="1C8DCA8C" w14:textId="77777777" w:rsidR="00684823" w:rsidRDefault="00684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C36FAC" w14:paraId="31C4464C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44EE085E" w14:textId="77777777" w:rsidR="00F723AC" w:rsidRPr="00C36FAC" w:rsidRDefault="00F723AC" w:rsidP="00F723AC">
          <w:pPr>
            <w:pStyle w:val="FirstFooter"/>
            <w:rPr>
              <w:sz w:val="18"/>
              <w:szCs w:val="18"/>
            </w:rPr>
          </w:pPr>
          <w:r w:rsidRPr="00C36FAC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7AC3D357" w14:textId="77777777" w:rsidR="00F723AC" w:rsidRPr="00C36FAC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C36FAC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458F9E9A" w14:textId="0AA6510E" w:rsidR="00F723AC" w:rsidRPr="00C36FAC" w:rsidRDefault="00684823" w:rsidP="00F723AC">
          <w:pPr>
            <w:pStyle w:val="FirstFooter"/>
            <w:rPr>
              <w:sz w:val="18"/>
              <w:szCs w:val="18"/>
            </w:rPr>
          </w:pPr>
          <w:r w:rsidRPr="00C36FAC">
            <w:rPr>
              <w:sz w:val="18"/>
              <w:szCs w:val="18"/>
            </w:rPr>
            <w:t>г-жа Арчана Гулати (Ms Archana Gulati), заместитель Директора Бюро развития электросвязи</w:t>
          </w:r>
        </w:p>
      </w:tc>
      <w:bookmarkStart w:id="10" w:name="OrgName"/>
      <w:bookmarkEnd w:id="10"/>
    </w:tr>
    <w:tr w:rsidR="00F723AC" w:rsidRPr="00C36FAC" w14:paraId="4BDB2660" w14:textId="77777777" w:rsidTr="005539C3">
      <w:trPr>
        <w:trHeight w:val="165"/>
      </w:trPr>
      <w:tc>
        <w:tcPr>
          <w:tcW w:w="1526" w:type="dxa"/>
        </w:tcPr>
        <w:p w14:paraId="51C9AEF8" w14:textId="77777777" w:rsidR="00F723AC" w:rsidRPr="00C36FAC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414A465F" w14:textId="77777777" w:rsidR="00F723AC" w:rsidRPr="00C36FAC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C36FAC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597A8207" w14:textId="0CB5492F" w:rsidR="00F723AC" w:rsidRPr="00C36FAC" w:rsidRDefault="00684823" w:rsidP="00F723AC">
          <w:pPr>
            <w:pStyle w:val="FirstFooter"/>
            <w:rPr>
              <w:sz w:val="18"/>
              <w:szCs w:val="18"/>
            </w:rPr>
          </w:pPr>
          <w:r w:rsidRPr="00C36FAC">
            <w:rPr>
              <w:sz w:val="18"/>
              <w:szCs w:val="18"/>
            </w:rPr>
            <w:t>н/д</w:t>
          </w:r>
        </w:p>
      </w:tc>
      <w:bookmarkStart w:id="11" w:name="PhoneNo"/>
      <w:bookmarkEnd w:id="11"/>
    </w:tr>
    <w:tr w:rsidR="00F723AC" w:rsidRPr="00C36FAC" w14:paraId="37C47A3A" w14:textId="77777777" w:rsidTr="005539C3">
      <w:tc>
        <w:tcPr>
          <w:tcW w:w="1526" w:type="dxa"/>
        </w:tcPr>
        <w:p w14:paraId="315C16EE" w14:textId="77777777" w:rsidR="00F723AC" w:rsidRPr="00C36FAC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E86B13" w14:textId="77777777" w:rsidR="00F723AC" w:rsidRPr="00C36FAC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C36FAC">
            <w:rPr>
              <w:sz w:val="18"/>
              <w:szCs w:val="18"/>
            </w:rPr>
            <w:t>Эл.</w:t>
          </w:r>
          <w:r w:rsidRPr="00C36FAC">
            <w:rPr>
              <w:sz w:val="18"/>
              <w:szCs w:val="18"/>
              <w:lang w:val="en-US"/>
            </w:rPr>
            <w:t> </w:t>
          </w:r>
          <w:r w:rsidRPr="00C36FAC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3607DBC" w14:textId="5293D7FF" w:rsidR="00F723AC" w:rsidRPr="00C36FAC" w:rsidRDefault="00684823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C36FAC">
              <w:rPr>
                <w:rStyle w:val="Hyperlink"/>
                <w:sz w:val="18"/>
                <w:szCs w:val="18"/>
                <w:lang w:val="en-US"/>
              </w:rPr>
              <w:t>archana.gulati@itu.int</w:t>
            </w:r>
          </w:hyperlink>
          <w:r w:rsidRPr="00C36FAC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0791D04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D661" w14:textId="77777777" w:rsidR="00684823" w:rsidRPr="0054377E" w:rsidRDefault="00684823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38610E63" w14:textId="77777777" w:rsidR="00684823" w:rsidRDefault="00684823" w:rsidP="0054377E">
      <w:pPr>
        <w:spacing w:before="0"/>
      </w:pPr>
      <w:r>
        <w:continuationSeparator/>
      </w:r>
    </w:p>
    <w:p w14:paraId="7E71ABA7" w14:textId="77777777" w:rsidR="00684823" w:rsidRDefault="00684823"/>
  </w:footnote>
  <w:footnote w:type="continuationNotice" w:id="1">
    <w:p w14:paraId="60E595D9" w14:textId="77777777" w:rsidR="00684823" w:rsidRDefault="00684823">
      <w:pPr>
        <w:spacing w:before="0"/>
      </w:pPr>
    </w:p>
    <w:p w14:paraId="62B291BA" w14:textId="77777777" w:rsidR="00684823" w:rsidRDefault="00684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4E4C" w14:textId="43C7D2C7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684823">
      <w:rPr>
        <w:sz w:val="20"/>
      </w:rPr>
      <w:t>43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E35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2"/>
  </w:num>
  <w:num w:numId="18" w16cid:durableId="1354573477">
    <w:abstractNumId w:val="34"/>
  </w:num>
  <w:num w:numId="19" w16cid:durableId="435754545">
    <w:abstractNumId w:val="17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3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4"/>
  </w:num>
  <w:num w:numId="28" w16cid:durableId="1629045729">
    <w:abstractNumId w:val="10"/>
  </w:num>
  <w:num w:numId="29" w16cid:durableId="2010906637">
    <w:abstractNumId w:val="25"/>
  </w:num>
  <w:num w:numId="30" w16cid:durableId="290525213">
    <w:abstractNumId w:val="41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5"/>
  </w:num>
  <w:num w:numId="36" w16cid:durableId="1457527817">
    <w:abstractNumId w:val="21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7"/>
  </w:num>
  <w:num w:numId="41" w16cid:durableId="447436251">
    <w:abstractNumId w:val="44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40"/>
  </w:num>
  <w:num w:numId="45" w16cid:durableId="15425954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1745E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B65B8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17B0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4823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1D58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36FAC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499E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3A90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684823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68482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4C633-3D98-47D9-A041-2A2DDCE9CBD0}"/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1093</Words>
  <Characters>8117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9192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Maloletkova, Svetlana</cp:lastModifiedBy>
  <cp:revision>2</cp:revision>
  <cp:lastPrinted>2019-01-16T07:57:00Z</cp:lastPrinted>
  <dcterms:created xsi:type="dcterms:W3CDTF">2025-05-08T09:10:00Z</dcterms:created>
  <dcterms:modified xsi:type="dcterms:W3CDTF">2025-05-08T10:13:00Z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