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702"/>
        <w:gridCol w:w="4958"/>
        <w:gridCol w:w="1559"/>
        <w:gridCol w:w="1420"/>
      </w:tblGrid>
      <w:tr w:rsidR="00AD1E92" w:rsidRPr="00783A69" w14:paraId="10F776BA" w14:textId="77777777" w:rsidTr="00AA6B74">
        <w:trPr>
          <w:cantSplit/>
          <w:trHeight w:val="1310"/>
          <w:jc w:val="center"/>
        </w:trPr>
        <w:tc>
          <w:tcPr>
            <w:tcW w:w="1702" w:type="dxa"/>
            <w:tcBorders>
              <w:bottom w:val="single" w:sz="12" w:space="0" w:color="auto"/>
            </w:tcBorders>
            <w:vAlign w:val="center"/>
          </w:tcPr>
          <w:p w14:paraId="72C63729"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6A55E433" wp14:editId="7C20588B">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17" w:type="dxa"/>
            <w:gridSpan w:val="2"/>
            <w:tcBorders>
              <w:bottom w:val="single" w:sz="12" w:space="0" w:color="auto"/>
            </w:tcBorders>
            <w:vAlign w:val="center"/>
          </w:tcPr>
          <w:p w14:paraId="393F2112"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45E48F13"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6C519614"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7FF1D71C" wp14:editId="7BD64ED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5462A696" w14:textId="77777777" w:rsidTr="00AD1E92">
        <w:trPr>
          <w:cantSplit/>
          <w:jc w:val="center"/>
        </w:trPr>
        <w:tc>
          <w:tcPr>
            <w:tcW w:w="6660" w:type="dxa"/>
            <w:gridSpan w:val="2"/>
            <w:tcBorders>
              <w:top w:val="single" w:sz="12" w:space="0" w:color="auto"/>
            </w:tcBorders>
          </w:tcPr>
          <w:p w14:paraId="009281FC"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0F914DCF" w14:textId="77777777" w:rsidR="00CA08BA" w:rsidRPr="00C85CB5" w:rsidRDefault="00CA08BA" w:rsidP="00B93B7B">
            <w:pPr>
              <w:spacing w:before="20" w:after="20" w:line="300" w:lineRule="exact"/>
              <w:rPr>
                <w:b/>
                <w:bCs/>
                <w:highlight w:val="yellow"/>
                <w:rtl/>
                <w:lang w:bidi="ar-EG"/>
              </w:rPr>
            </w:pPr>
          </w:p>
        </w:tc>
      </w:tr>
      <w:tr w:rsidR="00783A69" w:rsidRPr="00783A69" w14:paraId="5B998C40" w14:textId="77777777" w:rsidTr="00AD1E92">
        <w:trPr>
          <w:cantSplit/>
          <w:jc w:val="center"/>
        </w:trPr>
        <w:tc>
          <w:tcPr>
            <w:tcW w:w="6660" w:type="dxa"/>
            <w:gridSpan w:val="2"/>
          </w:tcPr>
          <w:p w14:paraId="679DAA29" w14:textId="77777777" w:rsidR="00783A69" w:rsidRPr="00783A69" w:rsidRDefault="00783A69" w:rsidP="00B93B7B">
            <w:pPr>
              <w:spacing w:before="20" w:after="20" w:line="300" w:lineRule="exact"/>
              <w:rPr>
                <w:b/>
                <w:bCs/>
                <w:rtl/>
                <w:lang w:bidi="ar-EG"/>
              </w:rPr>
            </w:pPr>
          </w:p>
        </w:tc>
        <w:tc>
          <w:tcPr>
            <w:tcW w:w="2979" w:type="dxa"/>
            <w:gridSpan w:val="2"/>
          </w:tcPr>
          <w:p w14:paraId="2695CB00" w14:textId="22C056F6" w:rsidR="00783A69" w:rsidRPr="00153471" w:rsidRDefault="00783A69" w:rsidP="006B266A">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6B266A">
              <w:rPr>
                <w:b/>
                <w:bCs/>
                <w:lang w:bidi="ar-EG"/>
              </w:rPr>
              <w:t>25</w:t>
            </w:r>
            <w:r w:rsidR="008562F3" w:rsidRPr="006B266A">
              <w:rPr>
                <w:b/>
                <w:bCs/>
                <w:lang w:bidi="ar-EG"/>
              </w:rPr>
              <w:t>/</w:t>
            </w:r>
            <w:r w:rsidR="006E092A">
              <w:rPr>
                <w:b/>
                <w:bCs/>
                <w:lang w:bidi="ar-EG"/>
              </w:rPr>
              <w:t>43</w:t>
            </w:r>
            <w:r w:rsidRPr="00153471">
              <w:rPr>
                <w:b/>
                <w:bCs/>
                <w:lang w:bidi="ar-EG"/>
              </w:rPr>
              <w:t>-A</w:t>
            </w:r>
          </w:p>
        </w:tc>
      </w:tr>
      <w:tr w:rsidR="00783A69" w:rsidRPr="00783A69" w14:paraId="02B58DBD" w14:textId="77777777" w:rsidTr="00AD1E92">
        <w:trPr>
          <w:cantSplit/>
          <w:jc w:val="center"/>
        </w:trPr>
        <w:tc>
          <w:tcPr>
            <w:tcW w:w="6660" w:type="dxa"/>
            <w:gridSpan w:val="2"/>
          </w:tcPr>
          <w:p w14:paraId="2CA65781" w14:textId="77777777" w:rsidR="00783A69" w:rsidRPr="00783A69" w:rsidRDefault="00783A69" w:rsidP="00B93B7B">
            <w:pPr>
              <w:spacing w:before="20" w:after="20" w:line="300" w:lineRule="exact"/>
              <w:rPr>
                <w:b/>
                <w:bCs/>
              </w:rPr>
            </w:pPr>
          </w:p>
        </w:tc>
        <w:tc>
          <w:tcPr>
            <w:tcW w:w="2979" w:type="dxa"/>
            <w:gridSpan w:val="2"/>
          </w:tcPr>
          <w:p w14:paraId="0477CB0E" w14:textId="112D2089" w:rsidR="00783A69" w:rsidRPr="00C85CB5" w:rsidRDefault="006E092A" w:rsidP="00B319BC">
            <w:pPr>
              <w:spacing w:before="20" w:after="20" w:line="300" w:lineRule="exact"/>
              <w:rPr>
                <w:b/>
                <w:bCs/>
                <w:highlight w:val="yellow"/>
                <w:rtl/>
              </w:rPr>
            </w:pPr>
            <w:r>
              <w:rPr>
                <w:b/>
                <w:bCs/>
                <w:lang w:bidi="ar-EG"/>
              </w:rPr>
              <w:t>14</w:t>
            </w:r>
            <w:r w:rsidR="00783A69" w:rsidRPr="006B266A">
              <w:rPr>
                <w:rFonts w:hint="cs"/>
                <w:b/>
                <w:bCs/>
                <w:rtl/>
                <w:lang w:bidi="ar-EG"/>
              </w:rPr>
              <w:t xml:space="preserve"> </w:t>
            </w:r>
            <w:r>
              <w:rPr>
                <w:rFonts w:hint="cs"/>
                <w:b/>
                <w:bCs/>
                <w:rtl/>
                <w:lang w:bidi="ar-EG"/>
              </w:rPr>
              <w:t>أبريل</w:t>
            </w:r>
            <w:r w:rsidR="00783A69" w:rsidRPr="006B266A">
              <w:rPr>
                <w:rFonts w:hint="cs"/>
                <w:b/>
                <w:bCs/>
                <w:rtl/>
                <w:lang w:bidi="ar-EG"/>
              </w:rPr>
              <w:t xml:space="preserve"> </w:t>
            </w:r>
            <w:r w:rsidR="00457D22" w:rsidRPr="006B266A">
              <w:rPr>
                <w:b/>
                <w:bCs/>
                <w:lang w:bidi="ar-EG"/>
              </w:rPr>
              <w:t>202</w:t>
            </w:r>
            <w:r w:rsidR="006B266A" w:rsidRPr="006B266A">
              <w:rPr>
                <w:b/>
                <w:bCs/>
                <w:lang w:bidi="ar-EG"/>
              </w:rPr>
              <w:t>5</w:t>
            </w:r>
          </w:p>
        </w:tc>
      </w:tr>
      <w:tr w:rsidR="00783A69" w:rsidRPr="00783A69" w14:paraId="6016A249" w14:textId="77777777" w:rsidTr="00AD1E92">
        <w:trPr>
          <w:cantSplit/>
          <w:jc w:val="center"/>
        </w:trPr>
        <w:tc>
          <w:tcPr>
            <w:tcW w:w="6660" w:type="dxa"/>
            <w:gridSpan w:val="2"/>
          </w:tcPr>
          <w:p w14:paraId="0A0B413D" w14:textId="77777777" w:rsidR="00783A69" w:rsidRPr="00783A69" w:rsidRDefault="00783A69" w:rsidP="00B93B7B">
            <w:pPr>
              <w:spacing w:before="20" w:after="20" w:line="300" w:lineRule="exact"/>
              <w:rPr>
                <w:b/>
                <w:bCs/>
                <w:lang w:bidi="ar-EG"/>
              </w:rPr>
            </w:pPr>
          </w:p>
        </w:tc>
        <w:tc>
          <w:tcPr>
            <w:tcW w:w="2979" w:type="dxa"/>
            <w:gridSpan w:val="2"/>
          </w:tcPr>
          <w:p w14:paraId="6CD26FC4"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020E5898" w14:textId="77777777" w:rsidTr="00EE5CF2">
        <w:trPr>
          <w:cantSplit/>
          <w:jc w:val="center"/>
        </w:trPr>
        <w:tc>
          <w:tcPr>
            <w:tcW w:w="9639" w:type="dxa"/>
            <w:gridSpan w:val="4"/>
          </w:tcPr>
          <w:p w14:paraId="5F5CB165" w14:textId="58067055" w:rsidR="00783A69" w:rsidRPr="00783A69" w:rsidRDefault="006E092A" w:rsidP="00EE5CF2">
            <w:pPr>
              <w:pStyle w:val="Source"/>
            </w:pPr>
            <w:r>
              <w:rPr>
                <w:rFonts w:hint="cs"/>
                <w:sz w:val="28"/>
                <w:szCs w:val="28"/>
                <w:rtl/>
                <w:lang w:bidi="ar-EG"/>
              </w:rPr>
              <w:t>مدير مكتب تنمية الاتصالات</w:t>
            </w:r>
          </w:p>
        </w:tc>
      </w:tr>
      <w:tr w:rsidR="00783A69" w:rsidRPr="00783A69" w14:paraId="1916D4AF" w14:textId="77777777" w:rsidTr="00EE5CF2">
        <w:trPr>
          <w:cantSplit/>
          <w:jc w:val="center"/>
        </w:trPr>
        <w:tc>
          <w:tcPr>
            <w:tcW w:w="9639" w:type="dxa"/>
            <w:gridSpan w:val="4"/>
          </w:tcPr>
          <w:p w14:paraId="7B697E15" w14:textId="7A1C92B7" w:rsidR="00783A69" w:rsidRPr="006E092A" w:rsidRDefault="006E092A" w:rsidP="006E092A">
            <w:pPr>
              <w:pStyle w:val="Title1"/>
            </w:pPr>
            <w:r w:rsidRPr="006E092A">
              <w:rPr>
                <w:rtl/>
                <w:lang w:bidi="ar-EG"/>
              </w:rPr>
              <w:t>إعادة تنظيم مكتب تنمية الاتصالات (</w:t>
            </w:r>
            <w:r w:rsidRPr="006E092A">
              <w:rPr>
                <w:lang w:bidi="ar-EG"/>
              </w:rPr>
              <w:t>BDT</w:t>
            </w:r>
            <w:r w:rsidRPr="006E092A">
              <w:rPr>
                <w:rtl/>
                <w:lang w:bidi="ar-EG"/>
              </w:rPr>
              <w:t>)</w:t>
            </w:r>
          </w:p>
        </w:tc>
      </w:tr>
    </w:tbl>
    <w:p w14:paraId="1BE9FB18"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41D9518A"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7A528010"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2BDFE769" w14:textId="0A42E46F" w:rsidR="006E092A" w:rsidRPr="006E092A" w:rsidRDefault="006E092A" w:rsidP="006E092A">
            <w:pPr>
              <w:rPr>
                <w:rtl/>
                <w:lang w:val="en-GB" w:bidi="ar-EG"/>
              </w:rPr>
            </w:pPr>
            <w:r w:rsidRPr="006E092A">
              <w:rPr>
                <w:rtl/>
                <w:lang w:val="en-GB" w:bidi="ar-EG"/>
              </w:rPr>
              <w:t>تمثل إعادة تنظيم مكتب تنمية الاتصالات (</w:t>
            </w:r>
            <w:r w:rsidRPr="006E092A">
              <w:rPr>
                <w:lang w:val="en-GB" w:bidi="ar-EG"/>
              </w:rPr>
              <w:t>BDT</w:t>
            </w:r>
            <w:r w:rsidRPr="006E092A">
              <w:rPr>
                <w:rtl/>
                <w:lang w:val="en-GB" w:bidi="ar-EG"/>
              </w:rPr>
              <w:t>) تحولاً استراتيجياً في كيفية تنفيذ الاتحاد الدولي للاتصالات (</w:t>
            </w:r>
            <w:r w:rsidRPr="006E092A">
              <w:rPr>
                <w:lang w:val="en-GB" w:bidi="ar-EG"/>
              </w:rPr>
              <w:t>ITU</w:t>
            </w:r>
            <w:r w:rsidRPr="006E092A">
              <w:rPr>
                <w:rtl/>
                <w:lang w:val="en-GB" w:bidi="ar-EG"/>
              </w:rPr>
              <w:t>) لولايته في</w:t>
            </w:r>
            <w:r>
              <w:rPr>
                <w:rFonts w:hint="cs"/>
                <w:rtl/>
                <w:lang w:val="en-GB" w:bidi="ar-EG"/>
              </w:rPr>
              <w:t> </w:t>
            </w:r>
            <w:r w:rsidRPr="006E092A">
              <w:rPr>
                <w:rtl/>
                <w:lang w:val="en-GB" w:bidi="ar-EG"/>
              </w:rPr>
              <w:t>مجال التنمية. ويهدف هذا التحول، الوارد في القرار رقم 18424 للأمينة العامة للاتحاد، إلى تحسين هيكل المكتب وعملياته، وجعله أكثر مرونة وكفاءة واستجابة للاحتياجات المتطورة للدول الأعضاء في الاتحاد.</w:t>
            </w:r>
          </w:p>
          <w:p w14:paraId="47BD7DB0" w14:textId="77777777" w:rsidR="006E092A" w:rsidRPr="006E092A" w:rsidRDefault="006E092A" w:rsidP="006E092A">
            <w:pPr>
              <w:rPr>
                <w:rtl/>
                <w:lang w:val="en-GB" w:bidi="ar-EG"/>
              </w:rPr>
            </w:pPr>
            <w:r w:rsidRPr="006E092A">
              <w:rPr>
                <w:rtl/>
                <w:lang w:val="en-GB" w:bidi="ar-EG"/>
              </w:rPr>
              <w:t>وفي مشهد رقمي سريع التغير، تعد القدرة على التكيف والاستجابة للتحديات الناشئة أمراً بالغ الأهمية. ويعزز النموذج التنظيمي الجديد قدرة مكتب تنمية الاتصالات على تحقيق نتائج ذات أثر كبير، ويسهّل تعزيز التعاون مع الشركاء، ويدعم الدول الأعضاء في تحقيق أهدافها المتعلقة بالتنمية الرقمية. فهو يجمع بين وظائف حيوية مثل التنسيق التشغيلي، وتعزيز الحضور الإقليمي، والشراكات، والمهارات الرقمية، والبنية التحتية، والبيئة، والسياسة التنظيمية، والابتكار، وذلك ضمن هيكل متماسك وموجه نحو تحقيق الرسالة.</w:t>
            </w:r>
          </w:p>
          <w:p w14:paraId="4A07D66E" w14:textId="434220F5" w:rsidR="00783A69" w:rsidRPr="006B266A" w:rsidRDefault="006E092A" w:rsidP="006E092A">
            <w:pPr>
              <w:rPr>
                <w:rtl/>
                <w:lang w:val="en-GB"/>
              </w:rPr>
            </w:pPr>
            <w:r w:rsidRPr="006E092A">
              <w:rPr>
                <w:rtl/>
                <w:lang w:val="en-GB" w:bidi="ar-EG"/>
              </w:rPr>
              <w:t>وتقدم هذه الوثيقة نظرة عامة شاملة على الهيكل المراج</w:t>
            </w:r>
            <w:r>
              <w:rPr>
                <w:rFonts w:hint="cs"/>
                <w:rtl/>
                <w:lang w:val="en-GB" w:bidi="ar-EG"/>
              </w:rPr>
              <w:t>َ</w:t>
            </w:r>
            <w:r w:rsidRPr="006E092A">
              <w:rPr>
                <w:rtl/>
                <w:lang w:val="en-GB" w:bidi="ar-EG"/>
              </w:rPr>
              <w:t>ع لمكتب تنمية الاتصالات وأهدافه الاستراتيجية والآليات المعززة لتقديم الدعم الإنمائي من خلال مقره الرئيسي ومكاتبه الإقليمية بطريقة سلسة. وتجسد التزام الاتحاد بضمان ألا يتخلف أحد عن الركب في التحول الرقمي.</w:t>
            </w:r>
          </w:p>
          <w:p w14:paraId="29BA141A" w14:textId="77777777" w:rsidR="00783A69" w:rsidRPr="00E43176" w:rsidRDefault="00783A69" w:rsidP="00EE5CF2">
            <w:pPr>
              <w:rPr>
                <w:rtl/>
                <w:lang w:bidi="ar-SY"/>
              </w:rPr>
            </w:pPr>
            <w:r w:rsidRPr="00153471">
              <w:rPr>
                <w:rFonts w:hint="cs"/>
                <w:b/>
                <w:bCs/>
                <w:rtl/>
                <w:lang w:bidi="ar-SY"/>
              </w:rPr>
              <w:t>الإجراء المطلوب</w:t>
            </w:r>
            <w:r w:rsidR="005874F2" w:rsidRPr="00153471">
              <w:rPr>
                <w:rFonts w:hint="cs"/>
                <w:b/>
                <w:bCs/>
                <w:rtl/>
                <w:lang w:bidi="ar-SY"/>
              </w:rPr>
              <w:t>:</w:t>
            </w:r>
          </w:p>
          <w:p w14:paraId="62A1F0A0" w14:textId="5BDA7695" w:rsidR="004F0F62" w:rsidRPr="004F0F62" w:rsidRDefault="006E092A" w:rsidP="004F0F62">
            <w:pPr>
              <w:rPr>
                <w:color w:val="000000"/>
                <w:rtl/>
                <w:lang w:bidi="ar-EG"/>
              </w:rPr>
            </w:pPr>
            <w:r w:rsidRPr="006E092A">
              <w:rPr>
                <w:color w:val="000000"/>
                <w:rtl/>
                <w:lang w:bidi="ar-EG"/>
              </w:rPr>
              <w:t>يُدعى الفريق الاستشاري لتنمية الاتصالات (</w:t>
            </w:r>
            <w:r w:rsidRPr="006E092A">
              <w:rPr>
                <w:color w:val="000000"/>
                <w:lang w:bidi="ar-EG"/>
              </w:rPr>
              <w:t>TDAG</w:t>
            </w:r>
            <w:r w:rsidRPr="006E092A">
              <w:rPr>
                <w:color w:val="000000"/>
                <w:rtl/>
                <w:lang w:bidi="ar-EG"/>
              </w:rPr>
              <w:t>) إلى الإحاطة علماً بهذه الوثيقة.</w:t>
            </w:r>
          </w:p>
          <w:p w14:paraId="79991964"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0170076B" w14:textId="698D3DEE" w:rsidR="00783A69" w:rsidRPr="00153471" w:rsidRDefault="006E092A" w:rsidP="006B266A">
            <w:pPr>
              <w:spacing w:after="120"/>
              <w:rPr>
                <w:rtl/>
              </w:rPr>
            </w:pPr>
            <w:r w:rsidRPr="00762778">
              <w:rPr>
                <w:color w:val="000000"/>
                <w:rtl/>
              </w:rPr>
              <w:t>لا توجد</w:t>
            </w:r>
          </w:p>
        </w:tc>
      </w:tr>
    </w:tbl>
    <w:p w14:paraId="4919E16B" w14:textId="77777777" w:rsidR="00882A17" w:rsidRDefault="00882A17">
      <w:pPr>
        <w:tabs>
          <w:tab w:val="clear" w:pos="794"/>
        </w:tabs>
        <w:bidi w:val="0"/>
        <w:spacing w:before="0" w:after="160" w:line="259" w:lineRule="auto"/>
        <w:jc w:val="left"/>
        <w:rPr>
          <w:lang w:bidi="ar-EG"/>
        </w:rPr>
      </w:pPr>
      <w:r>
        <w:rPr>
          <w:rtl/>
          <w:lang w:bidi="ar-EG"/>
        </w:rPr>
        <w:br w:type="page"/>
      </w:r>
    </w:p>
    <w:p w14:paraId="208B805D" w14:textId="49ED1B28" w:rsidR="006E092A" w:rsidRPr="006E092A" w:rsidRDefault="006E092A" w:rsidP="006E092A">
      <w:pPr>
        <w:pStyle w:val="Heading1"/>
        <w:rPr>
          <w:rtl/>
          <w:lang w:bidi="ar-EG"/>
        </w:rPr>
      </w:pPr>
      <w:r w:rsidRPr="006E092A">
        <w:rPr>
          <w:rtl/>
          <w:lang w:bidi="ar-EG"/>
        </w:rPr>
        <w:lastRenderedPageBreak/>
        <w:t>1</w:t>
      </w:r>
      <w:r w:rsidRPr="006E092A">
        <w:rPr>
          <w:rtl/>
          <w:lang w:bidi="ar-EG"/>
        </w:rPr>
        <w:tab/>
        <w:t>مقدمة: تحسين الخدمات المقدمة إلى أعضاء الاتحاد</w:t>
      </w:r>
    </w:p>
    <w:p w14:paraId="22C82536" w14:textId="77777777" w:rsidR="006E092A" w:rsidRPr="006E092A" w:rsidRDefault="006E092A" w:rsidP="006E092A">
      <w:pPr>
        <w:rPr>
          <w:rtl/>
          <w:lang w:bidi="ar-EG"/>
        </w:rPr>
      </w:pPr>
      <w:r w:rsidRPr="006E092A">
        <w:rPr>
          <w:rtl/>
          <w:lang w:bidi="ar-EG"/>
        </w:rPr>
        <w:t>تمثل إعادة تنظيم مكتب تنمية الاتصالات (</w:t>
      </w:r>
      <w:r w:rsidRPr="006E092A">
        <w:rPr>
          <w:lang w:bidi="ar-EG"/>
        </w:rPr>
        <w:t>BDT</w:t>
      </w:r>
      <w:r w:rsidRPr="006E092A">
        <w:rPr>
          <w:rtl/>
          <w:lang w:bidi="ar-EG"/>
        </w:rPr>
        <w:t>) خطوة مهمة في تعزيز التزام الاتحاد بخدمة أعضائه بشكل أفضل. ويهدف هذا التحول الاستراتيجي إلى زيادة الاستجابة والكفاءة والتكامل بين جميع المجالات الوظيفية. ومن خلال تحسين الهيكل الداخلي، يهدف المكتب إلى تقديم تعاون تقني أكثر استهدافاً، وتعزيز تطوير الشراكات، ودفع مبادرات التنمية الرقمية ذات الأثر الأكبر على الصعيد العالمي. وتجسد إعادة التنظيم المشهد الرقمي المتطور واحتياجات الدول الأعضاء، مما يمكّن المكتب من أن يكون أكثر مرونة وتركيزاً ودعماً للأولويات الوطنية بطريقة شاملة ومستدامة.</w:t>
      </w:r>
    </w:p>
    <w:p w14:paraId="73484FA5" w14:textId="2837A307" w:rsidR="006E092A" w:rsidRPr="006E092A" w:rsidRDefault="006E092A" w:rsidP="006E092A">
      <w:pPr>
        <w:pStyle w:val="Heading1"/>
        <w:rPr>
          <w:rtl/>
          <w:lang w:bidi="ar-EG"/>
        </w:rPr>
      </w:pPr>
      <w:r w:rsidRPr="006E092A">
        <w:rPr>
          <w:rtl/>
          <w:lang w:bidi="ar-EG"/>
        </w:rPr>
        <w:t>2</w:t>
      </w:r>
      <w:r w:rsidRPr="006E092A">
        <w:rPr>
          <w:rtl/>
          <w:lang w:bidi="ar-EG"/>
        </w:rPr>
        <w:tab/>
        <w:t>الخلفية والأساس القانوني</w:t>
      </w:r>
    </w:p>
    <w:p w14:paraId="382474A3" w14:textId="2216553A" w:rsidR="006E092A" w:rsidRPr="006E092A" w:rsidRDefault="006E092A" w:rsidP="006E092A">
      <w:pPr>
        <w:rPr>
          <w:rtl/>
          <w:lang w:bidi="ar-EG"/>
        </w:rPr>
      </w:pPr>
      <w:r w:rsidRPr="006E092A">
        <w:rPr>
          <w:rtl/>
          <w:lang w:bidi="ar-EG"/>
        </w:rPr>
        <w:t>وفقاً للقرار رقم 18424 المؤرخ 16 يوليو 2024، الذي وقعته الأمينة العامة للاتحاد الدولي للاتصالات، وعملاً بالسلطة التي تتمتع بها بموجب المادة</w:t>
      </w:r>
      <w:r w:rsidR="00DA60A6">
        <w:rPr>
          <w:rFonts w:hint="cs"/>
          <w:rtl/>
          <w:lang w:bidi="ar-EG"/>
        </w:rPr>
        <w:t> </w:t>
      </w:r>
      <w:r w:rsidRPr="006E092A">
        <w:rPr>
          <w:rtl/>
          <w:lang w:bidi="ar-EG"/>
        </w:rPr>
        <w:t>5 من اتفاقية الاتحاد، أعيد تنظيم مكتب تنمية الاتصالات. ويجسد هذا القرار الجهود المتواصلة التي يبذلها الاتحاد لتحديث هيكله الداخلي ونهجه التشغيلي، وضمان أن يكون المكتب مجهزاً تجهيزاً كاملاً للتصدي لتحديات التنمية الحالية والمستقبلية في مجال الاتصالات وتكنولوجيا المعلومات والاتصالات، مع الاستفادة من حضوره الإقليمي (حيث يضمن قربه من الأعضاء التنفيذ الفعال للمشاريع وتقديم المساعدة المباشرة).</w:t>
      </w:r>
    </w:p>
    <w:p w14:paraId="699B6941" w14:textId="797600AE" w:rsidR="006E092A" w:rsidRPr="006E092A" w:rsidRDefault="006E092A" w:rsidP="006E092A">
      <w:pPr>
        <w:pStyle w:val="Heading1"/>
        <w:rPr>
          <w:rtl/>
          <w:lang w:bidi="ar-EG"/>
        </w:rPr>
      </w:pPr>
      <w:r w:rsidRPr="006E092A">
        <w:rPr>
          <w:rtl/>
          <w:lang w:bidi="ar-EG"/>
        </w:rPr>
        <w:t>3</w:t>
      </w:r>
      <w:r w:rsidRPr="006E092A">
        <w:rPr>
          <w:rtl/>
          <w:lang w:bidi="ar-EG"/>
        </w:rPr>
        <w:tab/>
        <w:t>ولاية مكتب تنمية الاتصالات</w:t>
      </w:r>
    </w:p>
    <w:p w14:paraId="0A21CCDD" w14:textId="1BF7B60E" w:rsidR="006E092A" w:rsidRPr="006E092A" w:rsidRDefault="006E092A" w:rsidP="006E092A">
      <w:pPr>
        <w:rPr>
          <w:rtl/>
          <w:lang w:bidi="ar-EG"/>
        </w:rPr>
      </w:pPr>
      <w:r w:rsidRPr="006E092A">
        <w:rPr>
          <w:rtl/>
          <w:lang w:bidi="ar-EG"/>
        </w:rPr>
        <w:t>يتولى مكتب تنمية الاتصالات مسؤولية تنظيم وتنسيق العمل داخل قطاع تنمية الاتصالات في الاتحاد. ويشمل تركيزه الأساسي سياسات التنمية، والبرمجة، وتنفيذ المشاريع، والتعاون التقني. ويتمثل الهدف الشامل في تعزيز النفاذ الشامل إلى الاتصالات/تكنولوجيا</w:t>
      </w:r>
      <w:r w:rsidR="00AA6B74">
        <w:rPr>
          <w:rFonts w:hint="cs"/>
          <w:rtl/>
          <w:lang w:bidi="ar-EG"/>
        </w:rPr>
        <w:t>ت</w:t>
      </w:r>
      <w:r w:rsidRPr="006E092A">
        <w:rPr>
          <w:rtl/>
          <w:lang w:bidi="ar-EG"/>
        </w:rPr>
        <w:t xml:space="preserve"> المعلومات والاتصالات ميسورة التكلفة وعالية الجودة والآمنة، مع تعزيز التنمية الرقمية المنصفة والشاملة لتمكين المجتمعات وتحقيق نتائج التنمية المستدامة.</w:t>
      </w:r>
    </w:p>
    <w:p w14:paraId="4DBD037D" w14:textId="77777777" w:rsidR="006E092A" w:rsidRPr="006E092A" w:rsidRDefault="006E092A" w:rsidP="006E092A">
      <w:pPr>
        <w:rPr>
          <w:rtl/>
          <w:lang w:bidi="ar-EG"/>
        </w:rPr>
      </w:pPr>
      <w:r w:rsidRPr="006E092A">
        <w:rPr>
          <w:rtl/>
          <w:lang w:bidi="ar-EG"/>
        </w:rPr>
        <w:t>ولتحقيق هذه الأهداف بصورة فعالة، أصبح هيكل مكتب تنمية الاتصالات يضم الآن أربعة أقسام استراتيجية:</w:t>
      </w:r>
    </w:p>
    <w:p w14:paraId="673BBE01" w14:textId="249A6F59" w:rsidR="006E092A" w:rsidRPr="006E092A" w:rsidRDefault="006E092A" w:rsidP="006E092A">
      <w:pPr>
        <w:pStyle w:val="Heading1"/>
        <w:rPr>
          <w:rtl/>
          <w:lang w:bidi="ar-EG"/>
        </w:rPr>
      </w:pPr>
      <w:r w:rsidRPr="006E092A">
        <w:rPr>
          <w:rtl/>
          <w:lang w:bidi="ar-EG"/>
        </w:rPr>
        <w:t>4</w:t>
      </w:r>
      <w:r w:rsidRPr="006E092A">
        <w:rPr>
          <w:rtl/>
          <w:lang w:bidi="ar-EG"/>
        </w:rPr>
        <w:tab/>
        <w:t>الهيكل التنظيمي الجديد</w:t>
      </w:r>
    </w:p>
    <w:p w14:paraId="79F52645" w14:textId="0A27DC81" w:rsidR="006E092A" w:rsidRPr="006E092A" w:rsidRDefault="00DA60A6" w:rsidP="00DA60A6">
      <w:pPr>
        <w:pStyle w:val="Heading2"/>
        <w:rPr>
          <w:rtl/>
          <w:lang w:bidi="ar-EG"/>
        </w:rPr>
      </w:pPr>
      <w:r>
        <w:rPr>
          <w:lang w:bidi="ar-EG"/>
        </w:rPr>
        <w:t>1.4</w:t>
      </w:r>
      <w:r w:rsidR="006E092A" w:rsidRPr="006E092A">
        <w:rPr>
          <w:rtl/>
          <w:lang w:bidi="ar-EG"/>
        </w:rPr>
        <w:tab/>
        <w:t>دائرة تنسيق</w:t>
      </w:r>
      <w:r>
        <w:rPr>
          <w:rFonts w:hint="cs"/>
          <w:rtl/>
          <w:lang w:bidi="ar-EG"/>
        </w:rPr>
        <w:t>َ</w:t>
      </w:r>
      <w:r w:rsidR="006E092A" w:rsidRPr="006E092A">
        <w:rPr>
          <w:rtl/>
          <w:lang w:bidi="ar-EG"/>
        </w:rPr>
        <w:t xml:space="preserve"> العمليات (مكتب نائب المدير)</w:t>
      </w:r>
    </w:p>
    <w:p w14:paraId="4CCA1336" w14:textId="3642EB0D" w:rsidR="006E092A" w:rsidRPr="006E092A" w:rsidRDefault="006E092A" w:rsidP="006E092A">
      <w:pPr>
        <w:rPr>
          <w:rtl/>
          <w:lang w:bidi="ar-EG"/>
        </w:rPr>
      </w:pPr>
      <w:r w:rsidRPr="006E092A">
        <w:rPr>
          <w:rtl/>
          <w:lang w:bidi="ar-EG"/>
        </w:rPr>
        <w:t>تضطلع دائرة تنسيق العمليات، بقيادة نائب المدير، بدور مركزي في ضمان الفعالية التشغيلية للمكتب في المقر الرئيسي والمكاتب الإقليمية. ويوفر الدعم الاستراتيجي واللوجستي لتنفيذ البرامج والمشاريع والتخطيط التشغيلي والتنسيق الداخلي وإعداد التقارير. وهذه الدائرة مسؤولة عن وظائف الدعم الرئيسية مثل إدارة الاجتماعات، والمنح، وخدمات تكنولوجيا المعلومات، والإشراف التحريري، ومراقبة الوثائق. كما تضمن المتابعة الدقيقة لتنفيذ القرارات المنبثقة عن الهيئات الإدارية للاتحاد ومكتب تنمية الاتصالات، بما في ذلك الفريق الاستشاري لتنمية الاتصالات والمجلس والمؤتمرات والجمعيات ذات الصلة. وعلاوة</w:t>
      </w:r>
      <w:r w:rsidR="00DA60A6">
        <w:rPr>
          <w:rFonts w:hint="cs"/>
          <w:rtl/>
          <w:lang w:bidi="ar-EG"/>
        </w:rPr>
        <w:t>ً</w:t>
      </w:r>
      <w:r w:rsidRPr="006E092A">
        <w:rPr>
          <w:rtl/>
          <w:lang w:bidi="ar-EG"/>
        </w:rPr>
        <w:t xml:space="preserve"> على ذلك، تنسق الدائرة التفاعل بين المكتب وقطاعي الاتحاد الآخرين والأمانة العامة.</w:t>
      </w:r>
    </w:p>
    <w:p w14:paraId="7F4FD90D" w14:textId="77777777" w:rsidR="006E092A" w:rsidRPr="006E092A" w:rsidRDefault="006E092A" w:rsidP="006E092A">
      <w:pPr>
        <w:rPr>
          <w:rtl/>
          <w:lang w:bidi="ar-EG"/>
        </w:rPr>
      </w:pPr>
      <w:r w:rsidRPr="006E092A">
        <w:rPr>
          <w:rtl/>
          <w:lang w:bidi="ar-EG"/>
        </w:rPr>
        <w:t>وهناك ميزة جديدة تتمثل في إنشاء شعبة جديدة للتركيز على احتياجات أقل البلدان نمواً (</w:t>
      </w:r>
      <w:r w:rsidRPr="006E092A">
        <w:rPr>
          <w:lang w:bidi="ar-EG"/>
        </w:rPr>
        <w:t>LDC</w:t>
      </w:r>
      <w:r w:rsidRPr="006E092A">
        <w:rPr>
          <w:rtl/>
          <w:lang w:bidi="ar-EG"/>
        </w:rPr>
        <w:t>) والبلدان النامية المحاطة باليابسة (</w:t>
      </w:r>
      <w:r w:rsidRPr="006E092A">
        <w:rPr>
          <w:lang w:bidi="ar-EG"/>
        </w:rPr>
        <w:t>LLDC</w:t>
      </w:r>
      <w:r w:rsidRPr="006E092A">
        <w:rPr>
          <w:rtl/>
          <w:lang w:bidi="ar-EG"/>
        </w:rPr>
        <w:t>) والدول الجزرية الصغيرة النامية (</w:t>
      </w:r>
      <w:r w:rsidRPr="006E092A">
        <w:rPr>
          <w:lang w:bidi="ar-EG"/>
        </w:rPr>
        <w:t>SIDS</w:t>
      </w:r>
      <w:r w:rsidRPr="006E092A">
        <w:rPr>
          <w:rtl/>
          <w:lang w:bidi="ar-EG"/>
        </w:rPr>
        <w:t>)، مما يضمن الدعم الموجه وإيلاء الأولوية لجميع مجالات عمل مكتب تنمية الاتصالات.</w:t>
      </w:r>
    </w:p>
    <w:p w14:paraId="3546D124" w14:textId="77777777" w:rsidR="006E092A" w:rsidRPr="006E092A" w:rsidRDefault="006E092A" w:rsidP="00DA60A6">
      <w:pPr>
        <w:pStyle w:val="Headingb"/>
        <w:rPr>
          <w:rtl/>
          <w:lang w:bidi="ar-EG"/>
        </w:rPr>
      </w:pPr>
      <w:r w:rsidRPr="006E092A">
        <w:rPr>
          <w:rtl/>
          <w:lang w:bidi="ar-EG"/>
        </w:rPr>
        <w:t>شعبة تنفيذ برامج المشاريع (</w:t>
      </w:r>
      <w:r w:rsidRPr="006E092A">
        <w:rPr>
          <w:lang w:bidi="ar-EG"/>
        </w:rPr>
        <w:t>PPI</w:t>
      </w:r>
      <w:r w:rsidRPr="006E092A">
        <w:rPr>
          <w:rtl/>
          <w:lang w:bidi="ar-EG"/>
        </w:rPr>
        <w:t>)</w:t>
      </w:r>
    </w:p>
    <w:p w14:paraId="78D23102" w14:textId="29830534" w:rsidR="006E092A" w:rsidRPr="006E092A" w:rsidRDefault="006E092A" w:rsidP="006E092A">
      <w:pPr>
        <w:rPr>
          <w:rtl/>
          <w:lang w:bidi="ar-EG"/>
        </w:rPr>
      </w:pPr>
      <w:r w:rsidRPr="006E092A">
        <w:rPr>
          <w:rtl/>
          <w:lang w:bidi="ar-EG"/>
        </w:rPr>
        <w:t xml:space="preserve">لزيادة تعزيز فعالية المبادرات الإنمائية وأثرها، أُنشئت شعبة تنفيذ برنامج المشاريع </w:t>
      </w:r>
      <w:r w:rsidR="00DA60A6">
        <w:rPr>
          <w:lang w:bidi="ar-EG"/>
        </w:rPr>
        <w:t>(PPI)</w:t>
      </w:r>
      <w:r w:rsidR="00DA60A6">
        <w:rPr>
          <w:rFonts w:hint="cs"/>
          <w:rtl/>
          <w:lang w:bidi="ar-EG"/>
        </w:rPr>
        <w:t xml:space="preserve"> </w:t>
      </w:r>
      <w:r w:rsidRPr="006E092A">
        <w:rPr>
          <w:rtl/>
          <w:lang w:bidi="ar-EG"/>
        </w:rPr>
        <w:t>داخل إدارة تنسيق العمليات. وترفع هذه الشعبة تقاريرها إلى نائب المدير مباشرة، وتكرس جهودها لتعزيز جودة المشاريع الإنمائية وتنسيقها وتنفيذها على الصعيدين العالمي والإقليمي. ويتمثل الهدف الرئيسي للشعبة في زيادة كمية ونوعية المشاريع المنفذة في جميع المناطق، مع ضمان قدر أكبر من الرضا بين الجهات المانحة والدول الأعضاء. ولتحقيق ذلك، ستعزز الشعبة عمليات تنفيذ المشاريع، ومراقبة الأداء، والمساعدة في تبسيط أطر تنفيذ المشاريع لضمان تسليمها في الوقت المناسب وتحقيق نتائج قابلة للقياس.</w:t>
      </w:r>
    </w:p>
    <w:p w14:paraId="32AF1F40" w14:textId="28CAF29D" w:rsidR="006E092A" w:rsidRPr="006E092A" w:rsidRDefault="00DA60A6" w:rsidP="00DA60A6">
      <w:pPr>
        <w:pStyle w:val="Heading2"/>
        <w:rPr>
          <w:rtl/>
          <w:lang w:bidi="ar-EG"/>
        </w:rPr>
      </w:pPr>
      <w:r>
        <w:rPr>
          <w:lang w:bidi="ar-EG"/>
        </w:rPr>
        <w:lastRenderedPageBreak/>
        <w:t>2.4</w:t>
      </w:r>
      <w:r w:rsidR="006E092A" w:rsidRPr="006E092A">
        <w:rPr>
          <w:rtl/>
          <w:lang w:bidi="ar-EG"/>
        </w:rPr>
        <w:tab/>
        <w:t xml:space="preserve">المشاريع والشراكات والمهارات الرقمية </w:t>
      </w:r>
      <w:r w:rsidR="006E092A" w:rsidRPr="006E092A">
        <w:rPr>
          <w:cs/>
          <w:lang w:bidi="ar-EG"/>
        </w:rPr>
        <w:t>‎</w:t>
      </w:r>
      <w:r w:rsidR="006E092A" w:rsidRPr="006E092A">
        <w:rPr>
          <w:lang w:bidi="ar-EG"/>
        </w:rPr>
        <w:t>(PPS)</w:t>
      </w:r>
      <w:r w:rsidR="006E092A" w:rsidRPr="006E092A">
        <w:rPr>
          <w:cs/>
          <w:lang w:bidi="ar-EG"/>
        </w:rPr>
        <w:t>‎</w:t>
      </w:r>
    </w:p>
    <w:p w14:paraId="034EA81B" w14:textId="77777777" w:rsidR="006E092A" w:rsidRPr="006E092A" w:rsidRDefault="006E092A" w:rsidP="006E092A">
      <w:pPr>
        <w:rPr>
          <w:rtl/>
          <w:lang w:bidi="ar-EG"/>
        </w:rPr>
      </w:pPr>
      <w:r w:rsidRPr="006E092A">
        <w:rPr>
          <w:rtl/>
          <w:lang w:bidi="ar-EG"/>
        </w:rPr>
        <w:t>تدمج هذه الدائرة بين تنمية الشراكات، وتعبئة الموارد، وتصميم المشاريع. وتتعاون مع الجهات المانحة والمؤسسات والقطاع الخاص لمواءمة الجهود مع احتياجات الدول الأعضاء. وتقوم الدائرة أيضاً بتيسير عمل لجان الدراسات وتساهم في بناء القدرات في مجال تكنولوجيا المعلومات والاتصالات وتنمية المهارات الرقمية، وهو حجر الزاوية في سد الفجوة الرقمية العالمية. وتدعم الدائرة المبادرات المتخذة في إطار خطة عمل المؤتمر العالمي لتنمية الاتصالات وتعزز مشاركة الأعضاء وتعاونهم.</w:t>
      </w:r>
    </w:p>
    <w:p w14:paraId="7B93BCB7" w14:textId="21DD5061" w:rsidR="006E092A" w:rsidRPr="006E092A" w:rsidRDefault="00DA60A6" w:rsidP="00DA60A6">
      <w:pPr>
        <w:pStyle w:val="Heading2"/>
        <w:rPr>
          <w:rtl/>
          <w:lang w:bidi="ar-EG"/>
        </w:rPr>
      </w:pPr>
      <w:r>
        <w:rPr>
          <w:lang w:bidi="ar-EG"/>
        </w:rPr>
        <w:t>3.4</w:t>
      </w:r>
      <w:r w:rsidR="006E092A" w:rsidRPr="006E092A">
        <w:rPr>
          <w:rtl/>
          <w:lang w:bidi="ar-EG"/>
        </w:rPr>
        <w:tab/>
        <w:t>الشبكات الرقمية والبيئة (</w:t>
      </w:r>
      <w:r w:rsidR="006E092A" w:rsidRPr="006E092A">
        <w:rPr>
          <w:lang w:bidi="ar-EG"/>
        </w:rPr>
        <w:t>DNE</w:t>
      </w:r>
      <w:r w:rsidR="006E092A" w:rsidRPr="006E092A">
        <w:rPr>
          <w:rtl/>
          <w:lang w:bidi="ar-EG"/>
        </w:rPr>
        <w:t>)</w:t>
      </w:r>
    </w:p>
    <w:p w14:paraId="6DBBBF6D" w14:textId="5592A49B" w:rsidR="006E092A" w:rsidRPr="006E092A" w:rsidRDefault="006E092A" w:rsidP="006E092A">
      <w:pPr>
        <w:rPr>
          <w:rtl/>
          <w:lang w:bidi="ar-EG"/>
        </w:rPr>
      </w:pPr>
      <w:r w:rsidRPr="006E092A">
        <w:rPr>
          <w:rtl/>
          <w:lang w:bidi="ar-EG"/>
        </w:rPr>
        <w:t>تساعد دائرة الشبكات الرقمية والبيئة الدول الأعضاء - وخاصة مجموعة السبعة والسبعين - في مجالات حاسمة مثل تطوير شبكة النطاق العريض، وإدارة الطيف، وتحقيق التوصيلية الشاملة، والأمن السيبراني. ‏كما تقدم الخبرة في مجال الاتصالات في</w:t>
      </w:r>
      <w:r w:rsidR="00DA60A6">
        <w:rPr>
          <w:rFonts w:hint="cs"/>
          <w:rtl/>
          <w:lang w:bidi="ar-EG"/>
        </w:rPr>
        <w:t> </w:t>
      </w:r>
      <w:r w:rsidRPr="006E092A">
        <w:rPr>
          <w:rtl/>
          <w:lang w:bidi="ar-EG"/>
        </w:rPr>
        <w:t>حالات الطوارئ وتتصدى للتحديات الملحة المتعلقة بالاستدامة البيئية وتغير المناخ، مما يضمن أن تظل استراتيجيات التنمية للمكتب مرنة وقادرة على مواكبة المستقبل.</w:t>
      </w:r>
    </w:p>
    <w:p w14:paraId="56ABAE9C" w14:textId="4A7BE4F2" w:rsidR="006E092A" w:rsidRPr="006E092A" w:rsidRDefault="006E092A" w:rsidP="00DA60A6">
      <w:pPr>
        <w:pStyle w:val="Heading2"/>
        <w:rPr>
          <w:rtl/>
          <w:lang w:bidi="ar-EG"/>
        </w:rPr>
      </w:pPr>
      <w:r w:rsidRPr="006E092A">
        <w:rPr>
          <w:rtl/>
          <w:lang w:bidi="ar-EG"/>
        </w:rPr>
        <w:t>4.4</w:t>
      </w:r>
      <w:r w:rsidRPr="006E092A">
        <w:rPr>
          <w:rtl/>
          <w:lang w:bidi="ar-EG"/>
        </w:rPr>
        <w:tab/>
        <w:t>مجتمع المعرفة الرقمي (</w:t>
      </w:r>
      <w:r w:rsidRPr="006E092A">
        <w:rPr>
          <w:lang w:bidi="ar-EG"/>
        </w:rPr>
        <w:t>DKS</w:t>
      </w:r>
      <w:r w:rsidRPr="006E092A">
        <w:rPr>
          <w:rtl/>
          <w:lang w:bidi="ar-EG"/>
        </w:rPr>
        <w:t>)</w:t>
      </w:r>
    </w:p>
    <w:p w14:paraId="135673D0" w14:textId="22C99B0E" w:rsidR="006E092A" w:rsidRPr="006E092A" w:rsidRDefault="006E092A" w:rsidP="006E092A">
      <w:pPr>
        <w:rPr>
          <w:rtl/>
          <w:lang w:bidi="ar-EG"/>
        </w:rPr>
      </w:pPr>
      <w:r w:rsidRPr="006E092A">
        <w:rPr>
          <w:rtl/>
          <w:lang w:bidi="ar-EG"/>
        </w:rPr>
        <w:t xml:space="preserve">يعزز مجتمع المعرفة الرقمي أفضل الممارسات </w:t>
      </w:r>
      <w:proofErr w:type="spellStart"/>
      <w:r w:rsidRPr="006E092A">
        <w:rPr>
          <w:rtl/>
          <w:lang w:bidi="ar-EG"/>
        </w:rPr>
        <w:t>السياساتية</w:t>
      </w:r>
      <w:proofErr w:type="spellEnd"/>
      <w:r w:rsidRPr="006E092A">
        <w:rPr>
          <w:rtl/>
          <w:lang w:bidi="ar-EG"/>
        </w:rPr>
        <w:t xml:space="preserve"> والتنظيمية ويحفز الابتكار على الصعيدين الوطني والدولي. ويدير البرنامج العالمي لإحصاءات تكنولوجيا المعلومات والاتصالات، ويوفر أساس البيانات لوضع السياسات القائمة على الأدلة. وتعزز هذه الدائرة مشاركة الشباب والشمول الرقمي والمساواة بين الجنسين وإمكانية النفاذ. وتشجع الدائرة، بوصفها مركز الابتكار في</w:t>
      </w:r>
      <w:r w:rsidR="00DA60A6">
        <w:rPr>
          <w:rFonts w:hint="cs"/>
          <w:rtl/>
          <w:lang w:bidi="ar-EG"/>
        </w:rPr>
        <w:t> </w:t>
      </w:r>
      <w:r w:rsidRPr="006E092A">
        <w:rPr>
          <w:rtl/>
          <w:lang w:bidi="ar-EG"/>
        </w:rPr>
        <w:t>المكتب، المبادرات التي تحفز إيجاد حلول مبتكرة لتحديات التنمية.</w:t>
      </w:r>
    </w:p>
    <w:p w14:paraId="76A59D91" w14:textId="1708DFBC" w:rsidR="006E092A" w:rsidRPr="006E092A" w:rsidRDefault="006E092A" w:rsidP="006E092A">
      <w:pPr>
        <w:pStyle w:val="Heading1"/>
        <w:rPr>
          <w:rtl/>
          <w:lang w:bidi="ar-EG"/>
        </w:rPr>
      </w:pPr>
      <w:r w:rsidRPr="006E092A">
        <w:rPr>
          <w:rtl/>
          <w:lang w:bidi="ar-EG"/>
        </w:rPr>
        <w:t>5</w:t>
      </w:r>
      <w:r w:rsidRPr="006E092A">
        <w:rPr>
          <w:rtl/>
          <w:lang w:bidi="ar-EG"/>
        </w:rPr>
        <w:tab/>
        <w:t>دور المكاتب الإقليمية</w:t>
      </w:r>
    </w:p>
    <w:p w14:paraId="4A9ACDEB" w14:textId="77777777" w:rsidR="006E092A" w:rsidRPr="006E092A" w:rsidRDefault="006E092A" w:rsidP="006E092A">
      <w:pPr>
        <w:rPr>
          <w:rtl/>
          <w:lang w:bidi="ar-EG"/>
        </w:rPr>
      </w:pPr>
      <w:r w:rsidRPr="006E092A">
        <w:rPr>
          <w:rtl/>
          <w:lang w:bidi="ar-EG"/>
        </w:rPr>
        <w:t>تُعد المكاتب الإقليمية أساسية في تقديم المساعدة المخصصة إلى الدول الأعضاء في الاتحاد، وفي ضمان التنفيذ العملي للبرامج والمشاريع على المستويين الوطني والإقليمي. ويعمل المديرون الإقليميون تحت السلطة المباشرة لمدير المكتب، ويحافظون على التعاون الوثيق مع المقر الرئيسي والدوائر التقنية الأربع. ويضمن هذا الهيكل تقديم الدعم في الوقت المناسب وفي سياق محدد بما يتماشى مع الخطة الاستراتيجية للاتحاد وخطة عمل مكتب تنمية الاتصالات</w:t>
      </w:r>
      <w:r w:rsidRPr="006E092A">
        <w:rPr>
          <w:cs/>
          <w:lang w:bidi="ar-EG"/>
        </w:rPr>
        <w:t>‎</w:t>
      </w:r>
      <w:r w:rsidRPr="006E092A">
        <w:rPr>
          <w:rtl/>
          <w:lang w:bidi="ar-EG"/>
        </w:rPr>
        <w:t>.</w:t>
      </w:r>
    </w:p>
    <w:p w14:paraId="2FDA8F28" w14:textId="47475807" w:rsidR="006E092A" w:rsidRPr="006E092A" w:rsidRDefault="006E092A" w:rsidP="006E092A">
      <w:pPr>
        <w:pStyle w:val="Heading1"/>
        <w:rPr>
          <w:rtl/>
          <w:lang w:bidi="ar-EG"/>
        </w:rPr>
      </w:pPr>
      <w:r w:rsidRPr="006E092A">
        <w:rPr>
          <w:rtl/>
          <w:lang w:bidi="ar-EG"/>
        </w:rPr>
        <w:t>6</w:t>
      </w:r>
      <w:r w:rsidRPr="006E092A">
        <w:rPr>
          <w:rtl/>
          <w:lang w:bidi="ar-EG"/>
        </w:rPr>
        <w:tab/>
        <w:t>خلاصة</w:t>
      </w:r>
      <w:r w:rsidRPr="006E092A">
        <w:rPr>
          <w:cs/>
          <w:lang w:bidi="ar-EG"/>
        </w:rPr>
        <w:t>‎</w:t>
      </w:r>
    </w:p>
    <w:p w14:paraId="1BC69021" w14:textId="6EB2C2C0" w:rsidR="0019128D" w:rsidRPr="006E092A" w:rsidRDefault="006E092A" w:rsidP="006E092A">
      <w:pPr>
        <w:rPr>
          <w:rtl/>
        </w:rPr>
      </w:pPr>
      <w:r w:rsidRPr="006E092A">
        <w:rPr>
          <w:rtl/>
          <w:lang w:bidi="ar-EG"/>
        </w:rPr>
        <w:t>تمثل إعادة تنظيم مكتب تنمية الاتصالات تطوراً جريئاً وضرورياً في كيفية تنفيذ الاتحاد ولايته في مجال التنمية. وتعزز إعادة الهيكلة الاستراتيجية هذه التعاون بين الوظائف، وتبسّط العمليات الداخلية، وتزيد من تركيز المكتب على النتائج. وهي قبل كل شيء عملية تحول تركز على الأعضاء وتهدف إلى تحقيق قيمة أكبر واستجابة أسرع وتأثير أعمق لصالح المجتمع العالمي المتنوع والدينامي للاتحاد.</w:t>
      </w:r>
    </w:p>
    <w:p w14:paraId="2B9410D1"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86F8" w14:textId="77777777" w:rsidR="00F14661" w:rsidRDefault="00F14661" w:rsidP="006C3242">
      <w:pPr>
        <w:spacing w:before="0" w:line="240" w:lineRule="auto"/>
      </w:pPr>
      <w:r>
        <w:separator/>
      </w:r>
    </w:p>
  </w:endnote>
  <w:endnote w:type="continuationSeparator" w:id="0">
    <w:p w14:paraId="09E916D1" w14:textId="77777777" w:rsidR="00F14661" w:rsidRDefault="00F1466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60F4B92C" w14:textId="77777777" w:rsidTr="00031158">
      <w:tc>
        <w:tcPr>
          <w:tcW w:w="991" w:type="dxa"/>
          <w:tcBorders>
            <w:top w:val="single" w:sz="4" w:space="0" w:color="auto"/>
            <w:left w:val="nil"/>
            <w:bottom w:val="nil"/>
            <w:right w:val="nil"/>
          </w:tcBorders>
          <w:shd w:val="clear" w:color="auto" w:fill="FFFFFF" w:themeFill="background1"/>
          <w:hideMark/>
        </w:tcPr>
        <w:p w14:paraId="09700DDE"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2AD0B3C0"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238C85C6" w14:textId="51C5A748" w:rsidR="00AD1E92" w:rsidRPr="00AD1E92" w:rsidRDefault="006E092A" w:rsidP="00AD1E92">
          <w:pPr>
            <w:spacing w:before="60" w:after="40" w:line="260" w:lineRule="exact"/>
            <w:rPr>
              <w:position w:val="2"/>
              <w:sz w:val="18"/>
              <w:szCs w:val="18"/>
              <w:lang w:val="en-GB"/>
            </w:rPr>
          </w:pPr>
          <w:r w:rsidRPr="008C2F18">
            <w:rPr>
              <w:sz w:val="18"/>
              <w:szCs w:val="18"/>
              <w:rtl/>
            </w:rPr>
            <w:t xml:space="preserve">السيدة </w:t>
          </w:r>
          <w:r w:rsidRPr="00FA6863">
            <w:rPr>
              <w:sz w:val="18"/>
              <w:szCs w:val="18"/>
            </w:rPr>
            <w:t>Archana Gulati</w:t>
          </w:r>
          <w:r w:rsidRPr="008C2F18">
            <w:rPr>
              <w:sz w:val="18"/>
              <w:szCs w:val="18"/>
              <w:rtl/>
            </w:rPr>
            <w:t>، نائبة مدير مكتب تنمية الاتصالات</w:t>
          </w:r>
        </w:p>
      </w:tc>
    </w:tr>
    <w:tr w:rsidR="00AD1E92" w:rsidRPr="00AD1E92" w14:paraId="439499C7" w14:textId="77777777" w:rsidTr="00031158">
      <w:tc>
        <w:tcPr>
          <w:tcW w:w="991" w:type="dxa"/>
        </w:tcPr>
        <w:p w14:paraId="2770A853"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27F63BBD"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2C5E955B" w14:textId="27501375" w:rsidR="00AD1E92" w:rsidRPr="00AD1E92" w:rsidRDefault="006E092A" w:rsidP="00AD1E92">
          <w:pPr>
            <w:spacing w:before="60" w:after="40" w:line="260" w:lineRule="exact"/>
            <w:rPr>
              <w:position w:val="2"/>
              <w:sz w:val="18"/>
              <w:szCs w:val="18"/>
              <w:lang w:val="en-GB"/>
            </w:rPr>
          </w:pPr>
          <w:r>
            <w:rPr>
              <w:rFonts w:hint="cs"/>
              <w:position w:val="2"/>
              <w:sz w:val="18"/>
              <w:szCs w:val="18"/>
              <w:rtl/>
              <w:lang w:val="fr-FR" w:bidi="ar-EG"/>
            </w:rPr>
            <w:t>غير متاح</w:t>
          </w:r>
        </w:p>
      </w:tc>
    </w:tr>
    <w:tr w:rsidR="00AD1E92" w:rsidRPr="00AD1E92" w14:paraId="6B627C2D" w14:textId="77777777" w:rsidTr="00031158">
      <w:tc>
        <w:tcPr>
          <w:tcW w:w="991" w:type="dxa"/>
        </w:tcPr>
        <w:p w14:paraId="36DC3957"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39909479"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7A9CC5F0" w14:textId="0E40DD63" w:rsidR="00AD1E92" w:rsidRPr="00AD1E92" w:rsidRDefault="00A92032" w:rsidP="00AD1E92">
          <w:pPr>
            <w:spacing w:before="60" w:after="40" w:line="260" w:lineRule="exact"/>
            <w:rPr>
              <w:position w:val="2"/>
              <w:sz w:val="18"/>
              <w:szCs w:val="18"/>
              <w:rtl/>
              <w:lang w:val="fr-FR" w:bidi="ar-EG"/>
            </w:rPr>
          </w:pPr>
          <w:hyperlink r:id="rId1" w:history="1">
            <w:r w:rsidR="006E092A" w:rsidRPr="00FA6863">
              <w:rPr>
                <w:rStyle w:val="Hyperlink"/>
                <w:sz w:val="18"/>
                <w:szCs w:val="18"/>
              </w:rPr>
              <w:t>archana.gulati@itu.int</w:t>
            </w:r>
          </w:hyperlink>
          <w:hyperlink r:id="rId2" w:history="1"/>
        </w:p>
      </w:tc>
    </w:tr>
  </w:tbl>
  <w:p w14:paraId="3C42AB15"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CAB08" w14:textId="77777777" w:rsidR="00F14661" w:rsidRDefault="00F14661" w:rsidP="006C3242">
      <w:pPr>
        <w:spacing w:before="0" w:line="240" w:lineRule="auto"/>
      </w:pPr>
      <w:r>
        <w:separator/>
      </w:r>
    </w:p>
  </w:footnote>
  <w:footnote w:type="continuationSeparator" w:id="0">
    <w:p w14:paraId="242F4C4B" w14:textId="77777777" w:rsidR="00F14661" w:rsidRDefault="00F1466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510ABFB5" w14:textId="1EFF8CCF"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6B266A">
          <w:rPr>
            <w:sz w:val="20"/>
            <w:szCs w:val="20"/>
            <w:lang w:val="es-ES_tradnl"/>
          </w:rPr>
          <w:t>5</w:t>
        </w:r>
        <w:r w:rsidR="004F0F62" w:rsidRPr="004F0F62">
          <w:rPr>
            <w:sz w:val="20"/>
            <w:szCs w:val="20"/>
            <w:lang w:val="es-ES_tradnl"/>
          </w:rPr>
          <w:t>/</w:t>
        </w:r>
        <w:r w:rsidR="006E092A">
          <w:rPr>
            <w:sz w:val="20"/>
            <w:szCs w:val="20"/>
            <w:lang w:val="es-ES_tradnl"/>
          </w:rPr>
          <w:t>43</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61"/>
    <w:rsid w:val="00026D7C"/>
    <w:rsid w:val="0006468A"/>
    <w:rsid w:val="00090574"/>
    <w:rsid w:val="000C1C0E"/>
    <w:rsid w:val="000C548A"/>
    <w:rsid w:val="00153471"/>
    <w:rsid w:val="0019128D"/>
    <w:rsid w:val="001C0169"/>
    <w:rsid w:val="001D1D50"/>
    <w:rsid w:val="001D6745"/>
    <w:rsid w:val="001E446E"/>
    <w:rsid w:val="0021016E"/>
    <w:rsid w:val="002154EE"/>
    <w:rsid w:val="002276D2"/>
    <w:rsid w:val="0023283D"/>
    <w:rsid w:val="0026373E"/>
    <w:rsid w:val="00271C43"/>
    <w:rsid w:val="00290728"/>
    <w:rsid w:val="002978F4"/>
    <w:rsid w:val="002B028D"/>
    <w:rsid w:val="002D695E"/>
    <w:rsid w:val="002E6541"/>
    <w:rsid w:val="00317741"/>
    <w:rsid w:val="00334924"/>
    <w:rsid w:val="003409BC"/>
    <w:rsid w:val="00352462"/>
    <w:rsid w:val="00357185"/>
    <w:rsid w:val="00383829"/>
    <w:rsid w:val="003971E3"/>
    <w:rsid w:val="003C4402"/>
    <w:rsid w:val="003F4B29"/>
    <w:rsid w:val="004200BD"/>
    <w:rsid w:val="0042686F"/>
    <w:rsid w:val="004317D8"/>
    <w:rsid w:val="00434183"/>
    <w:rsid w:val="00443869"/>
    <w:rsid w:val="00447F32"/>
    <w:rsid w:val="00457D22"/>
    <w:rsid w:val="004A0B7B"/>
    <w:rsid w:val="004E11DC"/>
    <w:rsid w:val="004F0F62"/>
    <w:rsid w:val="004F3C48"/>
    <w:rsid w:val="00506E94"/>
    <w:rsid w:val="00525DDD"/>
    <w:rsid w:val="005409AC"/>
    <w:rsid w:val="0055516A"/>
    <w:rsid w:val="0058491B"/>
    <w:rsid w:val="005874F2"/>
    <w:rsid w:val="00592EA5"/>
    <w:rsid w:val="005A3170"/>
    <w:rsid w:val="005B2C89"/>
    <w:rsid w:val="005C0C76"/>
    <w:rsid w:val="005D610E"/>
    <w:rsid w:val="005D63D6"/>
    <w:rsid w:val="005E1E6D"/>
    <w:rsid w:val="006128FC"/>
    <w:rsid w:val="00677396"/>
    <w:rsid w:val="0069200F"/>
    <w:rsid w:val="006A5FEC"/>
    <w:rsid w:val="006A65CB"/>
    <w:rsid w:val="006B266A"/>
    <w:rsid w:val="006C3242"/>
    <w:rsid w:val="006C7CC0"/>
    <w:rsid w:val="006E092A"/>
    <w:rsid w:val="006E4285"/>
    <w:rsid w:val="006F63F7"/>
    <w:rsid w:val="007025C7"/>
    <w:rsid w:val="00706D7A"/>
    <w:rsid w:val="00722F0D"/>
    <w:rsid w:val="0074420E"/>
    <w:rsid w:val="0074742E"/>
    <w:rsid w:val="00747A70"/>
    <w:rsid w:val="00783A69"/>
    <w:rsid w:val="00783E26"/>
    <w:rsid w:val="007A1D77"/>
    <w:rsid w:val="007B4FA0"/>
    <w:rsid w:val="007C3BC7"/>
    <w:rsid w:val="007C3BCD"/>
    <w:rsid w:val="007D345C"/>
    <w:rsid w:val="007D4ACF"/>
    <w:rsid w:val="007F0787"/>
    <w:rsid w:val="00810B7B"/>
    <w:rsid w:val="0082358A"/>
    <w:rsid w:val="008235CD"/>
    <w:rsid w:val="008247DE"/>
    <w:rsid w:val="00840B10"/>
    <w:rsid w:val="008513CB"/>
    <w:rsid w:val="00855F97"/>
    <w:rsid w:val="008562F3"/>
    <w:rsid w:val="00874F08"/>
    <w:rsid w:val="00882A17"/>
    <w:rsid w:val="008A7F84"/>
    <w:rsid w:val="0091702E"/>
    <w:rsid w:val="00923B0C"/>
    <w:rsid w:val="0094021C"/>
    <w:rsid w:val="0094065A"/>
    <w:rsid w:val="00952F86"/>
    <w:rsid w:val="00957084"/>
    <w:rsid w:val="00982B28"/>
    <w:rsid w:val="00983DA5"/>
    <w:rsid w:val="009D313F"/>
    <w:rsid w:val="00A15396"/>
    <w:rsid w:val="00A24359"/>
    <w:rsid w:val="00A47A5A"/>
    <w:rsid w:val="00A6683B"/>
    <w:rsid w:val="00A92032"/>
    <w:rsid w:val="00A97F94"/>
    <w:rsid w:val="00AA6B74"/>
    <w:rsid w:val="00AA7EA2"/>
    <w:rsid w:val="00AD1E92"/>
    <w:rsid w:val="00B03099"/>
    <w:rsid w:val="00B05BC8"/>
    <w:rsid w:val="00B319BC"/>
    <w:rsid w:val="00B64B47"/>
    <w:rsid w:val="00B93B7B"/>
    <w:rsid w:val="00BC4B48"/>
    <w:rsid w:val="00C002DE"/>
    <w:rsid w:val="00C53BF8"/>
    <w:rsid w:val="00C56B5F"/>
    <w:rsid w:val="00C66157"/>
    <w:rsid w:val="00C674FE"/>
    <w:rsid w:val="00C67501"/>
    <w:rsid w:val="00C75633"/>
    <w:rsid w:val="00C85CB5"/>
    <w:rsid w:val="00CA08BA"/>
    <w:rsid w:val="00CE2EE1"/>
    <w:rsid w:val="00CE3349"/>
    <w:rsid w:val="00CE36E5"/>
    <w:rsid w:val="00CF27F5"/>
    <w:rsid w:val="00CF3FFD"/>
    <w:rsid w:val="00CF4342"/>
    <w:rsid w:val="00D10CCF"/>
    <w:rsid w:val="00D77D0F"/>
    <w:rsid w:val="00D8311F"/>
    <w:rsid w:val="00D84440"/>
    <w:rsid w:val="00DA1CF0"/>
    <w:rsid w:val="00DA60A6"/>
    <w:rsid w:val="00DC1E02"/>
    <w:rsid w:val="00DC24B4"/>
    <w:rsid w:val="00DC5FB0"/>
    <w:rsid w:val="00DF16DC"/>
    <w:rsid w:val="00E43176"/>
    <w:rsid w:val="00E45211"/>
    <w:rsid w:val="00E473C5"/>
    <w:rsid w:val="00E92863"/>
    <w:rsid w:val="00EB796D"/>
    <w:rsid w:val="00EE4025"/>
    <w:rsid w:val="00EE5CF2"/>
    <w:rsid w:val="00F058DC"/>
    <w:rsid w:val="00F14661"/>
    <w:rsid w:val="00F24FC4"/>
    <w:rsid w:val="00F2676C"/>
    <w:rsid w:val="00F43D01"/>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5600A"/>
  <w15:chartTrackingRefBased/>
  <w15:docId w15:val="{C558921D-A67A-453E-923A-F81C3A3E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하이퍼링크21,ECC 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mailto:lkjsd@asdf.com" TargetMode="External"/><Relationship Id="rId1" Type="http://schemas.openxmlformats.org/officeDocument/2006/relationships/hyperlink" Target="mailto:archana.gulati@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F768D2AA-89C9-4132-A5AF-C13AC7C350D9}"/>
</file>

<file path=customXml/itemProps3.xml><?xml version="1.0" encoding="utf-8"?>
<ds:datastoreItem xmlns:ds="http://schemas.openxmlformats.org/officeDocument/2006/customXml" ds:itemID="{05210795-77F0-4E91-80A1-9113E648D523}"/>
</file>

<file path=customXml/itemProps4.xml><?xml version="1.0" encoding="utf-8"?>
<ds:datastoreItem xmlns:ds="http://schemas.openxmlformats.org/officeDocument/2006/customXml" ds:itemID="{4EC7AD5E-E769-44C9-BDAF-D4B3BF97C4B6}"/>
</file>

<file path=docProps/app.xml><?xml version="1.0" encoding="utf-8"?>
<Properties xmlns="http://schemas.openxmlformats.org/officeDocument/2006/extended-properties" xmlns:vt="http://schemas.openxmlformats.org/officeDocument/2006/docPropsVTypes">
  <Template>PA_TDAG-25.dotx</Template>
  <TotalTime>1</TotalTime>
  <Pages>3</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GE</cp:lastModifiedBy>
  <cp:revision>3</cp:revision>
  <dcterms:created xsi:type="dcterms:W3CDTF">2025-05-06T09:10:00Z</dcterms:created>
  <dcterms:modified xsi:type="dcterms:W3CDTF">2025-05-06T09:48:00Z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