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7FC15F1F" w14:textId="77777777" w:rsidTr="00AD1E92">
        <w:trPr>
          <w:cantSplit/>
          <w:trHeight w:val="1310"/>
          <w:jc w:val="center"/>
        </w:trPr>
        <w:tc>
          <w:tcPr>
            <w:tcW w:w="1699" w:type="dxa"/>
            <w:tcBorders>
              <w:bottom w:val="single" w:sz="12" w:space="0" w:color="auto"/>
            </w:tcBorders>
            <w:vAlign w:val="center"/>
          </w:tcPr>
          <w:p w14:paraId="414B970B"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7C3D3141" wp14:editId="5297930F">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0BEE53F2"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51172150"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7F65CEF4"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1BF17773" wp14:editId="198037D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DA398CD" w14:textId="77777777" w:rsidTr="00AD1E92">
        <w:trPr>
          <w:cantSplit/>
          <w:jc w:val="center"/>
        </w:trPr>
        <w:tc>
          <w:tcPr>
            <w:tcW w:w="6660" w:type="dxa"/>
            <w:gridSpan w:val="2"/>
            <w:tcBorders>
              <w:top w:val="single" w:sz="12" w:space="0" w:color="auto"/>
            </w:tcBorders>
          </w:tcPr>
          <w:p w14:paraId="386B2B76"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026F29CF" w14:textId="77777777" w:rsidR="00CA08BA" w:rsidRPr="00C85CB5" w:rsidRDefault="00CA08BA" w:rsidP="00B93B7B">
            <w:pPr>
              <w:spacing w:before="20" w:after="20" w:line="300" w:lineRule="exact"/>
              <w:rPr>
                <w:b/>
                <w:bCs/>
                <w:highlight w:val="yellow"/>
                <w:rtl/>
                <w:lang w:bidi="ar-EG"/>
              </w:rPr>
            </w:pPr>
          </w:p>
        </w:tc>
      </w:tr>
      <w:tr w:rsidR="00783A69" w:rsidRPr="00783A69" w14:paraId="5C379318" w14:textId="77777777" w:rsidTr="00AD1E92">
        <w:trPr>
          <w:cantSplit/>
          <w:jc w:val="center"/>
        </w:trPr>
        <w:tc>
          <w:tcPr>
            <w:tcW w:w="6660" w:type="dxa"/>
            <w:gridSpan w:val="2"/>
          </w:tcPr>
          <w:p w14:paraId="0829EFEF" w14:textId="77777777" w:rsidR="00783A69" w:rsidRPr="00783A69" w:rsidRDefault="00783A69" w:rsidP="00B93B7B">
            <w:pPr>
              <w:spacing w:before="20" w:after="20" w:line="300" w:lineRule="exact"/>
              <w:rPr>
                <w:b/>
                <w:bCs/>
                <w:rtl/>
                <w:lang w:bidi="ar-EG"/>
              </w:rPr>
            </w:pPr>
          </w:p>
        </w:tc>
        <w:tc>
          <w:tcPr>
            <w:tcW w:w="2979" w:type="dxa"/>
            <w:gridSpan w:val="2"/>
          </w:tcPr>
          <w:p w14:paraId="4BE646D1" w14:textId="353FDFA0"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2048AF">
              <w:rPr>
                <w:b/>
                <w:bCs/>
                <w:lang w:bidi="ar-EG"/>
              </w:rPr>
              <w:t>40</w:t>
            </w:r>
            <w:r w:rsidRPr="00153471">
              <w:rPr>
                <w:b/>
                <w:bCs/>
                <w:lang w:bidi="ar-EG"/>
              </w:rPr>
              <w:t>-A</w:t>
            </w:r>
          </w:p>
        </w:tc>
      </w:tr>
      <w:tr w:rsidR="00783A69" w:rsidRPr="00783A69" w14:paraId="5A687A61" w14:textId="77777777" w:rsidTr="00AD1E92">
        <w:trPr>
          <w:cantSplit/>
          <w:jc w:val="center"/>
        </w:trPr>
        <w:tc>
          <w:tcPr>
            <w:tcW w:w="6660" w:type="dxa"/>
            <w:gridSpan w:val="2"/>
          </w:tcPr>
          <w:p w14:paraId="5B12F162" w14:textId="77777777" w:rsidR="00783A69" w:rsidRPr="00783A69" w:rsidRDefault="00783A69" w:rsidP="00B93B7B">
            <w:pPr>
              <w:spacing w:before="20" w:after="20" w:line="300" w:lineRule="exact"/>
              <w:rPr>
                <w:b/>
                <w:bCs/>
              </w:rPr>
            </w:pPr>
          </w:p>
        </w:tc>
        <w:tc>
          <w:tcPr>
            <w:tcW w:w="2979" w:type="dxa"/>
            <w:gridSpan w:val="2"/>
          </w:tcPr>
          <w:p w14:paraId="00C32B80" w14:textId="44BB4809" w:rsidR="00783A69" w:rsidRPr="00C85CB5" w:rsidRDefault="002048AF" w:rsidP="00B319BC">
            <w:pPr>
              <w:spacing w:before="20" w:after="20" w:line="300" w:lineRule="exact"/>
              <w:rPr>
                <w:b/>
                <w:bCs/>
                <w:highlight w:val="yellow"/>
                <w:rtl/>
              </w:rPr>
            </w:pPr>
            <w:r>
              <w:rPr>
                <w:b/>
                <w:bCs/>
                <w:lang w:bidi="ar-EG"/>
              </w:rPr>
              <w:t>3</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24854B01" w14:textId="77777777" w:rsidTr="00AD1E92">
        <w:trPr>
          <w:cantSplit/>
          <w:jc w:val="center"/>
        </w:trPr>
        <w:tc>
          <w:tcPr>
            <w:tcW w:w="6660" w:type="dxa"/>
            <w:gridSpan w:val="2"/>
          </w:tcPr>
          <w:p w14:paraId="752BD3DF" w14:textId="77777777" w:rsidR="00783A69" w:rsidRPr="00783A69" w:rsidRDefault="00783A69" w:rsidP="00B93B7B">
            <w:pPr>
              <w:spacing w:before="20" w:after="20" w:line="300" w:lineRule="exact"/>
              <w:rPr>
                <w:b/>
                <w:bCs/>
                <w:lang w:bidi="ar-EG"/>
              </w:rPr>
            </w:pPr>
          </w:p>
        </w:tc>
        <w:tc>
          <w:tcPr>
            <w:tcW w:w="2979" w:type="dxa"/>
            <w:gridSpan w:val="2"/>
          </w:tcPr>
          <w:p w14:paraId="2D6C0840"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4C0B77C" w14:textId="77777777" w:rsidTr="00EE5CF2">
        <w:trPr>
          <w:cantSplit/>
          <w:jc w:val="center"/>
        </w:trPr>
        <w:tc>
          <w:tcPr>
            <w:tcW w:w="9639" w:type="dxa"/>
            <w:gridSpan w:val="4"/>
          </w:tcPr>
          <w:p w14:paraId="289B3158" w14:textId="257F5D9D" w:rsidR="00783A69" w:rsidRPr="002048AF" w:rsidRDefault="002048AF" w:rsidP="002048AF">
            <w:pPr>
              <w:pStyle w:val="Source"/>
            </w:pPr>
            <w:r w:rsidRPr="002048AF">
              <w:rPr>
                <w:rtl/>
              </w:rPr>
              <w:t>تقرير من الأمينة العامة</w:t>
            </w:r>
          </w:p>
        </w:tc>
      </w:tr>
      <w:tr w:rsidR="00783A69" w:rsidRPr="00783A69" w14:paraId="104C221B" w14:textId="77777777" w:rsidTr="00EE5CF2">
        <w:trPr>
          <w:cantSplit/>
          <w:jc w:val="center"/>
        </w:trPr>
        <w:tc>
          <w:tcPr>
            <w:tcW w:w="9639" w:type="dxa"/>
            <w:gridSpan w:val="4"/>
          </w:tcPr>
          <w:p w14:paraId="504C0AEE" w14:textId="70674F7A" w:rsidR="00783A69" w:rsidRPr="002048AF" w:rsidRDefault="002048AF" w:rsidP="002048AF">
            <w:pPr>
              <w:pStyle w:val="Title1"/>
            </w:pPr>
            <w:r w:rsidRPr="002048AF">
              <w:rPr>
                <w:rtl/>
              </w:rPr>
              <w:t>مشروع الخطة التشغيلية لقطاع تنمية الاتصالات للفترة ‎2029-2026 ‏</w:t>
            </w:r>
            <w:r>
              <w:br/>
            </w:r>
            <w:r w:rsidRPr="002048AF">
              <w:rPr>
                <w:rtl/>
              </w:rPr>
              <w:t>وتقرير الأداء لعام ‎2024</w:t>
            </w:r>
          </w:p>
        </w:tc>
      </w:tr>
    </w:tbl>
    <w:p w14:paraId="53C530E3"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DB28E2C"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4EF14E7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1A5B97C0" w14:textId="29AA8AFD" w:rsidR="00783A69" w:rsidRPr="006B266A" w:rsidRDefault="002048AF" w:rsidP="006B266A">
            <w:pPr>
              <w:rPr>
                <w:rtl/>
                <w:lang w:val="en-GB"/>
              </w:rPr>
            </w:pPr>
            <w:r w:rsidRPr="002048AF">
              <w:rPr>
                <w:rtl/>
                <w:lang w:val="en-GB" w:bidi="ar-EG"/>
              </w:rPr>
              <w:t xml:space="preserve">تحتوي هذه الوثيقة على ‏مشروع الخطة التشغيلية لقطاع تنمية الاتصالات للفترة </w:t>
            </w:r>
            <w:r w:rsidRPr="002048AF">
              <w:rPr>
                <w:cs/>
                <w:lang w:val="en-GB" w:bidi="ar-EG"/>
              </w:rPr>
              <w:t>‎</w:t>
            </w:r>
            <w:r w:rsidRPr="002048AF">
              <w:rPr>
                <w:lang w:val="en-GB" w:bidi="ar-EG"/>
              </w:rPr>
              <w:t>2029-2026</w:t>
            </w:r>
            <w:r w:rsidRPr="002048AF">
              <w:rPr>
                <w:rtl/>
                <w:lang w:val="en-GB" w:bidi="ar-EG"/>
              </w:rPr>
              <w:t xml:space="preserve"> ‏ وتقرير الأداء خلال عام </w:t>
            </w:r>
            <w:r w:rsidRPr="002048AF">
              <w:rPr>
                <w:cs/>
                <w:lang w:val="en-GB" w:bidi="ar-EG"/>
              </w:rPr>
              <w:t>‎</w:t>
            </w:r>
            <w:r w:rsidRPr="002048AF">
              <w:rPr>
                <w:lang w:val="en-GB" w:bidi="ar-EG"/>
              </w:rPr>
              <w:t>2024</w:t>
            </w:r>
            <w:r w:rsidR="00864663">
              <w:rPr>
                <w:rFonts w:hint="cs"/>
                <w:rtl/>
                <w:lang w:val="en-GB" w:bidi="ar-EG"/>
              </w:rPr>
              <w:t>.</w:t>
            </w:r>
          </w:p>
          <w:p w14:paraId="46D971E6"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1EF35388" w14:textId="7815EF56" w:rsidR="004F0F62" w:rsidRPr="004F0F62" w:rsidRDefault="002048AF" w:rsidP="004F0F62">
            <w:pPr>
              <w:rPr>
                <w:color w:val="000000"/>
                <w:rtl/>
                <w:lang w:bidi="ar-EG"/>
              </w:rPr>
            </w:pPr>
            <w:r w:rsidRPr="00DD78F0">
              <w:rPr>
                <w:color w:val="000000"/>
                <w:rtl/>
              </w:rPr>
              <w:t>ي</w:t>
            </w:r>
            <w:r w:rsidR="00454438">
              <w:rPr>
                <w:rFonts w:hint="cs"/>
                <w:color w:val="000000"/>
                <w:rtl/>
              </w:rPr>
              <w:t>ُ</w:t>
            </w:r>
            <w:r w:rsidRPr="00DD78F0">
              <w:rPr>
                <w:color w:val="000000"/>
                <w:rtl/>
              </w:rPr>
              <w:t>دعى الفريق الاستشاري لتنمية الاتصالات إلى استعراض هذه الوثيقة وتقديم توجيهات حسب الاقتضاء.‎</w:t>
            </w:r>
          </w:p>
          <w:p w14:paraId="77D84D1D"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3DB9713A" w14:textId="2814C32D" w:rsidR="002048AF" w:rsidRPr="002048AF" w:rsidRDefault="00BE5513" w:rsidP="002048AF">
            <w:hyperlink r:id="rId10" w:history="1">
              <w:r w:rsidR="002048AF" w:rsidRPr="002048AF">
                <w:rPr>
                  <w:rStyle w:val="Hyperlink"/>
                  <w:rtl/>
                </w:rPr>
                <w:t>القرار 71</w:t>
              </w:r>
            </w:hyperlink>
            <w:r w:rsidR="002048AF" w:rsidRPr="002048AF">
              <w:rPr>
                <w:rtl/>
              </w:rPr>
              <w:t xml:space="preserve"> </w:t>
            </w:r>
            <w:r w:rsidR="002048AF">
              <w:rPr>
                <w:rFonts w:hint="cs"/>
                <w:rtl/>
              </w:rPr>
              <w:t>(</w:t>
            </w:r>
            <w:r w:rsidR="00454438">
              <w:rPr>
                <w:rFonts w:hint="cs"/>
                <w:rtl/>
              </w:rPr>
              <w:t>المراجَع في بوخارست،</w:t>
            </w:r>
            <w:r w:rsidR="00454438">
              <w:t>2022</w:t>
            </w:r>
            <w:r w:rsidR="00454438">
              <w:rPr>
                <w:rFonts w:hint="cs"/>
                <w:rtl/>
                <w:lang w:bidi="ar-EG"/>
              </w:rPr>
              <w:t>)</w:t>
            </w:r>
            <w:r w:rsidR="00454438">
              <w:rPr>
                <w:rFonts w:hint="cs"/>
                <w:rtl/>
              </w:rPr>
              <w:t xml:space="preserve"> </w:t>
            </w:r>
            <w:r w:rsidR="002048AF" w:rsidRPr="002048AF">
              <w:t>لمؤتمر المندوبين المفوضين</w:t>
            </w:r>
          </w:p>
          <w:p w14:paraId="40134107" w14:textId="18A3CC5B" w:rsidR="00783A69" w:rsidRPr="00153471" w:rsidRDefault="00BE5513" w:rsidP="002048AF">
            <w:pPr>
              <w:rPr>
                <w:rtl/>
              </w:rPr>
            </w:pPr>
            <w:hyperlink r:id="rId11" w:history="1">
              <w:r w:rsidR="002048AF" w:rsidRPr="002048AF">
                <w:rPr>
                  <w:rStyle w:val="Hyperlink"/>
                  <w:rtl/>
                </w:rPr>
                <w:t xml:space="preserve">الأرقام </w:t>
              </w:r>
              <w:r w:rsidR="002048AF" w:rsidRPr="002048AF">
                <w:rPr>
                  <w:rStyle w:val="Hyperlink"/>
                </w:rPr>
                <w:t>87A</w:t>
              </w:r>
              <w:r w:rsidR="002048AF" w:rsidRPr="002048AF">
                <w:rPr>
                  <w:rStyle w:val="Hyperlink"/>
                  <w:rtl/>
                </w:rPr>
                <w:t xml:space="preserve"> و</w:t>
              </w:r>
              <w:r w:rsidR="002048AF" w:rsidRPr="002048AF">
                <w:rPr>
                  <w:rStyle w:val="Hyperlink"/>
                </w:rPr>
                <w:t>181A</w:t>
              </w:r>
              <w:r w:rsidR="002048AF" w:rsidRPr="002048AF">
                <w:rPr>
                  <w:rStyle w:val="Hyperlink"/>
                  <w:rtl/>
                </w:rPr>
                <w:t xml:space="preserve"> و</w:t>
              </w:r>
              <w:r w:rsidR="002048AF" w:rsidRPr="002048AF">
                <w:rPr>
                  <w:rStyle w:val="Hyperlink"/>
                </w:rPr>
                <w:t>223A</w:t>
              </w:r>
              <w:r w:rsidR="00454438">
                <w:rPr>
                  <w:rStyle w:val="Hyperlink"/>
                  <w:rFonts w:hint="cs"/>
                  <w:rtl/>
                </w:rPr>
                <w:t xml:space="preserve"> </w:t>
              </w:r>
              <w:r w:rsidR="002048AF" w:rsidRPr="002048AF">
                <w:rPr>
                  <w:rStyle w:val="Hyperlink"/>
                  <w:rtl/>
                </w:rPr>
                <w:t>من</w:t>
              </w:r>
              <w:r w:rsidR="00454438">
                <w:rPr>
                  <w:rStyle w:val="Hyperlink"/>
                  <w:rFonts w:hint="cs"/>
                  <w:rtl/>
                </w:rPr>
                <w:t xml:space="preserve"> </w:t>
              </w:r>
              <w:r w:rsidR="002048AF" w:rsidRPr="002048AF">
                <w:rPr>
                  <w:rStyle w:val="Hyperlink"/>
                  <w:rtl/>
                </w:rPr>
                <w:t>الاتفاقية</w:t>
              </w:r>
            </w:hyperlink>
          </w:p>
        </w:tc>
      </w:tr>
    </w:tbl>
    <w:p w14:paraId="060505A8" w14:textId="77777777" w:rsidR="00882A17" w:rsidRDefault="00882A17" w:rsidP="00014793">
      <w:pPr>
        <w:rPr>
          <w:lang w:bidi="ar-EG"/>
        </w:rPr>
      </w:pPr>
      <w:r>
        <w:rPr>
          <w:rtl/>
          <w:lang w:bidi="ar-EG"/>
        </w:rPr>
        <w:br w:type="page"/>
      </w:r>
    </w:p>
    <w:p w14:paraId="3D56D0BF" w14:textId="77777777" w:rsidR="002048AF" w:rsidRPr="00454438" w:rsidRDefault="002048AF" w:rsidP="00454438">
      <w:pPr>
        <w:pStyle w:val="Heading1"/>
      </w:pPr>
      <w:r w:rsidRPr="00454438">
        <w:rPr>
          <w:rtl/>
        </w:rPr>
        <w:lastRenderedPageBreak/>
        <w:t>1</w:t>
      </w:r>
      <w:r w:rsidRPr="00454438">
        <w:rPr>
          <w:rtl/>
        </w:rPr>
        <w:tab/>
        <w:t>ملخص تجميعي</w:t>
      </w:r>
    </w:p>
    <w:p w14:paraId="46931716" w14:textId="6ADDB3AC" w:rsidR="002048AF" w:rsidRPr="00BE5513" w:rsidRDefault="002048AF" w:rsidP="00454438">
      <w:pPr>
        <w:rPr>
          <w:spacing w:val="-4"/>
        </w:rPr>
      </w:pPr>
      <w:r w:rsidRPr="00983B35">
        <w:rPr>
          <w:b/>
          <w:bCs/>
          <w:spacing w:val="-4"/>
          <w:rtl/>
        </w:rPr>
        <w:t>1.1</w:t>
      </w:r>
      <w:r w:rsidRPr="00983B35">
        <w:rPr>
          <w:spacing w:val="-4"/>
          <w:rtl/>
        </w:rPr>
        <w:tab/>
        <w:t xml:space="preserve">إن الخطة الاستراتيجية للفترة 2024-2027 الموافق عليها حديثاً، والواردة </w:t>
      </w:r>
      <w:r w:rsidR="00454438" w:rsidRPr="00983B35">
        <w:rPr>
          <w:rFonts w:hint="cs"/>
          <w:spacing w:val="-4"/>
          <w:rtl/>
          <w:lang w:bidi="ar-EG"/>
        </w:rPr>
        <w:t xml:space="preserve">في </w:t>
      </w:r>
      <w:r w:rsidRPr="00983B35">
        <w:rPr>
          <w:spacing w:val="-4"/>
          <w:rtl/>
        </w:rPr>
        <w:t xml:space="preserve">الملحق 1 بالقرار 71 (المراجَع </w:t>
      </w:r>
      <w:r w:rsidR="00983B35" w:rsidRPr="00983B35">
        <w:rPr>
          <w:spacing w:val="-4"/>
          <w:rtl/>
        </w:rPr>
        <w:t>في</w:t>
      </w:r>
      <w:r w:rsidR="00983B35">
        <w:rPr>
          <w:rFonts w:hint="cs"/>
          <w:spacing w:val="-4"/>
          <w:rtl/>
        </w:rPr>
        <w:t> </w:t>
      </w:r>
      <w:r w:rsidRPr="00983B35">
        <w:rPr>
          <w:spacing w:val="-4"/>
          <w:rtl/>
        </w:rPr>
        <w:t>بوخارست</w:t>
      </w:r>
      <w:r w:rsidR="008E6D58" w:rsidRPr="00983B35">
        <w:rPr>
          <w:spacing w:val="-4"/>
          <w:rtl/>
        </w:rPr>
        <w:t>،</w:t>
      </w:r>
      <w:r w:rsidR="008E6D58">
        <w:rPr>
          <w:rFonts w:hint="cs"/>
          <w:spacing w:val="-4"/>
          <w:rtl/>
        </w:rPr>
        <w:t> </w:t>
      </w:r>
      <w:r w:rsidRPr="00BE5513">
        <w:rPr>
          <w:spacing w:val="-4"/>
          <w:rtl/>
        </w:rPr>
        <w:t>2022)، هي الصك الذي يحد</w:t>
      </w:r>
      <w:r w:rsidR="00454438" w:rsidRPr="00BE5513">
        <w:rPr>
          <w:spacing w:val="-4"/>
          <w:rtl/>
        </w:rPr>
        <w:t>ِّ</w:t>
      </w:r>
      <w:r w:rsidRPr="00BE5513">
        <w:rPr>
          <w:spacing w:val="-4"/>
          <w:rtl/>
        </w:rPr>
        <w:t>د الهدفين والأولويات المحورية الخمس للاتحاد وقطاع تنمية الاتصالات في هذا الإطار الزمني.</w:t>
      </w:r>
    </w:p>
    <w:p w14:paraId="13E98FD2" w14:textId="73D59DB6" w:rsidR="002048AF" w:rsidRPr="00454438" w:rsidRDefault="002048AF" w:rsidP="00454438">
      <w:pPr>
        <w:rPr>
          <w:rtl/>
        </w:rPr>
      </w:pPr>
      <w:r w:rsidRPr="00454438">
        <w:rPr>
          <w:rtl/>
        </w:rPr>
        <w:t>وتندرج رسالة قطاع تنمية الاتصالات في الإطار الأوسع لمقاصد الاتحاد الدولي للاتصالات على النحو المحدد في المادة </w:t>
      </w:r>
      <w:r w:rsidRPr="00454438">
        <w:t>1</w:t>
      </w:r>
      <w:r w:rsidRPr="00454438">
        <w:rPr>
          <w:rtl/>
        </w:rPr>
        <w:t xml:space="preserve"> من دستور الاتحاد، حيث تتمثل في: "</w:t>
      </w:r>
      <w:r w:rsidR="00245E93">
        <w:rPr>
          <w:rFonts w:hint="cs"/>
          <w:rtl/>
        </w:rPr>
        <w:t> </w:t>
      </w:r>
      <w:r w:rsidRPr="00454438">
        <w:rPr>
          <w:i/>
          <w:iCs/>
          <w:rtl/>
        </w:rPr>
        <w:t>تعزيز المساعدة التقنية وتوفيرها في ميدان الاتصالات للبلدان النامية، فضلاً عن تشجيع حشد الموارد المادية والبشرية والمالية اللازمة لتنفيذها، إضافةً إلى تشجيع سبل الوصول إلى المعلومات؛</w:t>
      </w:r>
      <w:r w:rsidRPr="00454438">
        <w:rPr>
          <w:rtl/>
        </w:rPr>
        <w:t>"</w:t>
      </w:r>
    </w:p>
    <w:p w14:paraId="023F2331" w14:textId="75F84BB0" w:rsidR="002048AF" w:rsidRDefault="002048AF" w:rsidP="00454438">
      <w:r w:rsidRPr="00454438">
        <w:rPr>
          <w:b/>
          <w:bCs/>
          <w:rtl/>
        </w:rPr>
        <w:t>2.1</w:t>
      </w:r>
      <w:r w:rsidRPr="00454438">
        <w:rPr>
          <w:rtl/>
        </w:rPr>
        <w:tab/>
        <w:t>ويلتزم قطاع تنمية الاتصالات بالإضافة إلى ذلك بمتابعة وتطوير نواتجه الأربع عشر، وهي:</w:t>
      </w:r>
    </w:p>
    <w:p w14:paraId="517CA56F" w14:textId="21A28375" w:rsidR="00454438" w:rsidRDefault="00454438" w:rsidP="00454438">
      <w:pPr>
        <w:pStyle w:val="enumlev1"/>
        <w:rPr>
          <w:lang w:bidi="ar-EG"/>
        </w:rPr>
      </w:pPr>
      <w:r>
        <w:rPr>
          <w:lang w:bidi="ar-EG"/>
        </w:rPr>
        <w:t>D1</w:t>
      </w:r>
      <w:r>
        <w:rPr>
          <w:lang w:bidi="ar-EG"/>
        </w:rPr>
        <w:tab/>
      </w:r>
      <w:r w:rsidRPr="00DD78F0">
        <w:rPr>
          <w:rtl/>
        </w:rPr>
        <w:t xml:space="preserve">المؤتمر العالمي لتنمية الاتصالات </w:t>
      </w:r>
      <w:r w:rsidRPr="00DD78F0">
        <w:t>‎WTDC</w:t>
      </w:r>
      <w:r>
        <w:t>)</w:t>
      </w:r>
      <w:r w:rsidRPr="00DD78F0">
        <w:rPr>
          <w:rtl/>
        </w:rPr>
        <w:t>)</w:t>
      </w:r>
    </w:p>
    <w:p w14:paraId="6749DE1B" w14:textId="6B2B1F71" w:rsidR="00454438" w:rsidRDefault="00454438" w:rsidP="00454438">
      <w:pPr>
        <w:pStyle w:val="enumlev1"/>
        <w:rPr>
          <w:lang w:bidi="ar-EG"/>
        </w:rPr>
      </w:pPr>
      <w:r>
        <w:rPr>
          <w:lang w:bidi="ar-EG"/>
        </w:rPr>
        <w:t>D2</w:t>
      </w:r>
      <w:r>
        <w:rPr>
          <w:lang w:bidi="ar-EG"/>
        </w:rPr>
        <w:tab/>
      </w:r>
      <w:r w:rsidRPr="00DD78F0">
        <w:rPr>
          <w:rtl/>
        </w:rPr>
        <w:t xml:space="preserve">الاجتماعات الإقليمية التحضيرية </w:t>
      </w:r>
      <w:r w:rsidRPr="00DD78F0">
        <w:t>RPM</w:t>
      </w:r>
      <w:r>
        <w:t>)</w:t>
      </w:r>
      <w:r w:rsidRPr="00DD78F0">
        <w:rPr>
          <w:rtl/>
        </w:rPr>
        <w:t>)</w:t>
      </w:r>
    </w:p>
    <w:p w14:paraId="00F84517" w14:textId="6018CAAD" w:rsidR="00454438" w:rsidRDefault="00454438" w:rsidP="00454438">
      <w:pPr>
        <w:pStyle w:val="enumlev1"/>
        <w:rPr>
          <w:rFonts w:hint="cs"/>
          <w:rtl/>
          <w:lang w:bidi="ar-EG"/>
        </w:rPr>
      </w:pPr>
      <w:r>
        <w:rPr>
          <w:lang w:bidi="ar-EG"/>
        </w:rPr>
        <w:t>D3</w:t>
      </w:r>
      <w:r>
        <w:rPr>
          <w:lang w:bidi="ar-EG"/>
        </w:rPr>
        <w:tab/>
      </w:r>
      <w:r w:rsidR="00B4138E" w:rsidRPr="00DD78F0">
        <w:rPr>
          <w:rtl/>
        </w:rPr>
        <w:t xml:space="preserve">الفريق الاستشاري لتنمية الاتصالات </w:t>
      </w:r>
      <w:r w:rsidR="00B4138E" w:rsidRPr="00DD78F0">
        <w:t>(TDAG</w:t>
      </w:r>
      <w:r w:rsidR="00B4138E">
        <w:t>)</w:t>
      </w:r>
    </w:p>
    <w:p w14:paraId="33B002A7" w14:textId="130D26C4" w:rsidR="00454438" w:rsidRDefault="00454438" w:rsidP="00454438">
      <w:pPr>
        <w:pStyle w:val="enumlev1"/>
        <w:rPr>
          <w:lang w:bidi="ar-EG"/>
        </w:rPr>
      </w:pPr>
      <w:r>
        <w:rPr>
          <w:lang w:bidi="ar-EG"/>
        </w:rPr>
        <w:t>D4</w:t>
      </w:r>
      <w:r>
        <w:rPr>
          <w:lang w:bidi="ar-EG"/>
        </w:rPr>
        <w:tab/>
      </w:r>
      <w:r w:rsidR="00B4138E" w:rsidRPr="00DD78F0">
        <w:rPr>
          <w:rtl/>
        </w:rPr>
        <w:t>لجنتا دراسات قطاع تنمية الاتصالات</w:t>
      </w:r>
    </w:p>
    <w:p w14:paraId="785B995B" w14:textId="75C951DA" w:rsidR="00454438" w:rsidRDefault="00454438" w:rsidP="00454438">
      <w:pPr>
        <w:pStyle w:val="enumlev1"/>
        <w:rPr>
          <w:lang w:bidi="ar-EG"/>
        </w:rPr>
      </w:pPr>
      <w:r>
        <w:rPr>
          <w:lang w:bidi="ar-EG"/>
        </w:rPr>
        <w:t>D5</w:t>
      </w:r>
      <w:r>
        <w:rPr>
          <w:lang w:bidi="ar-EG"/>
        </w:rPr>
        <w:tab/>
      </w:r>
      <w:r w:rsidR="00B4138E" w:rsidRPr="00DD78F0">
        <w:rPr>
          <w:rtl/>
        </w:rPr>
        <w:t>تعبئة الموارد والشراكات</w:t>
      </w:r>
    </w:p>
    <w:p w14:paraId="2D368AC8" w14:textId="67A55BE3" w:rsidR="00454438" w:rsidRDefault="00454438" w:rsidP="00454438">
      <w:pPr>
        <w:pStyle w:val="enumlev1"/>
        <w:rPr>
          <w:lang w:bidi="ar-EG"/>
        </w:rPr>
      </w:pPr>
      <w:r>
        <w:rPr>
          <w:lang w:bidi="ar-EG"/>
        </w:rPr>
        <w:t>D6</w:t>
      </w:r>
      <w:r>
        <w:rPr>
          <w:lang w:bidi="ar-EG"/>
        </w:rPr>
        <w:tab/>
      </w:r>
      <w:r w:rsidR="00B4138E" w:rsidRPr="00DD78F0">
        <w:rPr>
          <w:rtl/>
        </w:rPr>
        <w:t>تطوير منتجات وخدمات جديدة</w:t>
      </w:r>
    </w:p>
    <w:p w14:paraId="74D4A8CF" w14:textId="53CD7504" w:rsidR="00454438" w:rsidRDefault="00454438" w:rsidP="00454438">
      <w:pPr>
        <w:pStyle w:val="enumlev1"/>
        <w:rPr>
          <w:lang w:bidi="ar-EG"/>
        </w:rPr>
      </w:pPr>
      <w:r>
        <w:rPr>
          <w:lang w:bidi="ar-EG"/>
        </w:rPr>
        <w:t>D7</w:t>
      </w:r>
      <w:r>
        <w:rPr>
          <w:lang w:bidi="ar-EG"/>
        </w:rPr>
        <w:tab/>
      </w:r>
      <w:r w:rsidR="00B4138E" w:rsidRPr="00DD78F0">
        <w:rPr>
          <w:rtl/>
        </w:rPr>
        <w:t>الاتصالات</w:t>
      </w:r>
    </w:p>
    <w:p w14:paraId="10454C38" w14:textId="7F3DAE30" w:rsidR="00454438" w:rsidRDefault="00454438" w:rsidP="00454438">
      <w:pPr>
        <w:pStyle w:val="enumlev1"/>
        <w:rPr>
          <w:lang w:bidi="ar-EG"/>
        </w:rPr>
      </w:pPr>
      <w:r>
        <w:rPr>
          <w:lang w:bidi="ar-EG"/>
        </w:rPr>
        <w:t>D8</w:t>
      </w:r>
      <w:r>
        <w:rPr>
          <w:lang w:bidi="ar-EG"/>
        </w:rPr>
        <w:tab/>
      </w:r>
      <w:r w:rsidR="00B4138E" w:rsidRPr="00DD78F0">
        <w:rPr>
          <w:rtl/>
        </w:rPr>
        <w:t>تنمية القدرات</w:t>
      </w:r>
    </w:p>
    <w:p w14:paraId="61DCB8CB" w14:textId="128C4776" w:rsidR="00454438" w:rsidRDefault="00454438" w:rsidP="00454438">
      <w:pPr>
        <w:pStyle w:val="enumlev1"/>
        <w:rPr>
          <w:lang w:bidi="ar-EG"/>
        </w:rPr>
      </w:pPr>
      <w:r>
        <w:rPr>
          <w:lang w:bidi="ar-EG"/>
        </w:rPr>
        <w:t>D9</w:t>
      </w:r>
      <w:r>
        <w:rPr>
          <w:lang w:bidi="ar-EG"/>
        </w:rPr>
        <w:tab/>
      </w:r>
      <w:r w:rsidR="00B4138E" w:rsidRPr="00DD78F0">
        <w:rPr>
          <w:rtl/>
        </w:rPr>
        <w:t>تقديم المنتجات والخدمات</w:t>
      </w:r>
    </w:p>
    <w:p w14:paraId="2E485FBD" w14:textId="65CCA0C0" w:rsidR="00454438" w:rsidRDefault="00454438" w:rsidP="00454438">
      <w:pPr>
        <w:pStyle w:val="enumlev1"/>
        <w:rPr>
          <w:lang w:bidi="ar-EG"/>
        </w:rPr>
      </w:pPr>
      <w:r>
        <w:rPr>
          <w:lang w:bidi="ar-EG"/>
        </w:rPr>
        <w:t>D10</w:t>
      </w:r>
      <w:r>
        <w:rPr>
          <w:lang w:bidi="ar-EG"/>
        </w:rPr>
        <w:tab/>
      </w:r>
      <w:r w:rsidR="00B4138E">
        <w:rPr>
          <w:rtl/>
          <w:lang w:bidi="ar-EG"/>
        </w:rPr>
        <w:t>ال</w:t>
      </w:r>
      <w:r w:rsidR="00B4138E" w:rsidRPr="00DD78F0">
        <w:rPr>
          <w:rtl/>
        </w:rPr>
        <w:t>إحصاءات</w:t>
      </w:r>
    </w:p>
    <w:p w14:paraId="4B1694B2" w14:textId="01B1DC5D" w:rsidR="00454438" w:rsidRDefault="00454438" w:rsidP="00454438">
      <w:pPr>
        <w:pStyle w:val="enumlev1"/>
        <w:rPr>
          <w:lang w:bidi="ar-EG"/>
        </w:rPr>
      </w:pPr>
      <w:r>
        <w:rPr>
          <w:lang w:bidi="ar-EG"/>
        </w:rPr>
        <w:t>D11</w:t>
      </w:r>
      <w:r>
        <w:rPr>
          <w:lang w:bidi="ar-EG"/>
        </w:rPr>
        <w:tab/>
      </w:r>
      <w:r w:rsidR="00B4138E" w:rsidRPr="00DD78F0">
        <w:rPr>
          <w:rtl/>
        </w:rPr>
        <w:t>المنشورات (الرئيسية)‎</w:t>
      </w:r>
    </w:p>
    <w:p w14:paraId="3DF2AFAB" w14:textId="2CFC050F" w:rsidR="00454438" w:rsidRDefault="00454438" w:rsidP="00454438">
      <w:pPr>
        <w:pStyle w:val="enumlev1"/>
        <w:rPr>
          <w:lang w:bidi="ar-EG"/>
        </w:rPr>
      </w:pPr>
      <w:r>
        <w:rPr>
          <w:lang w:bidi="ar-EG"/>
        </w:rPr>
        <w:t>D12</w:t>
      </w:r>
      <w:r>
        <w:rPr>
          <w:lang w:bidi="ar-EG"/>
        </w:rPr>
        <w:tab/>
      </w:r>
      <w:r w:rsidR="00B4138E" w:rsidRPr="00DD78F0">
        <w:rPr>
          <w:rtl/>
        </w:rPr>
        <w:t>التواصل والتمثيل لدى (الدول الأعضاء، ومنظمات الاتصالات الإقليمية، والمكاتب الإقليمية)</w:t>
      </w:r>
    </w:p>
    <w:p w14:paraId="6E5C3D5B" w14:textId="3BF6F2E5" w:rsidR="00454438" w:rsidRDefault="00454438" w:rsidP="00454438">
      <w:pPr>
        <w:pStyle w:val="enumlev1"/>
        <w:rPr>
          <w:lang w:bidi="ar-EG"/>
        </w:rPr>
      </w:pPr>
      <w:r>
        <w:rPr>
          <w:lang w:bidi="ar-EG"/>
        </w:rPr>
        <w:t>D13</w:t>
      </w:r>
      <w:r>
        <w:rPr>
          <w:lang w:bidi="ar-EG"/>
        </w:rPr>
        <w:tab/>
      </w:r>
      <w:r w:rsidR="00B4138E" w:rsidRPr="00DD78F0">
        <w:rPr>
          <w:rtl/>
        </w:rPr>
        <w:t>الانخراط مع الأمم المتحدة</w:t>
      </w:r>
    </w:p>
    <w:p w14:paraId="14EEF4FB" w14:textId="07F54247" w:rsidR="00B4138E" w:rsidRDefault="00454438" w:rsidP="00B4138E">
      <w:pPr>
        <w:pStyle w:val="enumlev1"/>
      </w:pPr>
      <w:r>
        <w:rPr>
          <w:lang w:bidi="ar-EG"/>
        </w:rPr>
        <w:t>D14</w:t>
      </w:r>
      <w:r>
        <w:rPr>
          <w:lang w:bidi="ar-EG"/>
        </w:rPr>
        <w:tab/>
      </w:r>
      <w:r w:rsidR="00B4138E" w:rsidRPr="009E39FD">
        <w:rPr>
          <w:rtl/>
          <w:lang w:bidi="ar-EG"/>
        </w:rPr>
        <w:t xml:space="preserve">منابر </w:t>
      </w:r>
      <w:r w:rsidR="00B4138E" w:rsidRPr="00DD78F0">
        <w:rPr>
          <w:rtl/>
        </w:rPr>
        <w:t xml:space="preserve">(الندوة العالمية لمنظمي الاتصالات </w:t>
      </w:r>
      <w:r w:rsidR="00B4138E" w:rsidRPr="00DD78F0">
        <w:t>(GSR</w:t>
      </w:r>
      <w:r w:rsidR="00B4138E">
        <w:t>)</w:t>
      </w:r>
      <w:r w:rsidR="00B4138E" w:rsidRPr="00DD78F0">
        <w:rPr>
          <w:rtl/>
        </w:rPr>
        <w:t xml:space="preserve"> والندوة العالمية لمؤشرات الاتصالات/تكنولوجيا المعلومات والاتصالات (</w:t>
      </w:r>
      <w:r w:rsidR="00B4138E" w:rsidRPr="00DD78F0">
        <w:t>WTIS</w:t>
      </w:r>
      <w:r w:rsidR="00B4138E" w:rsidRPr="00DD78F0">
        <w:rPr>
          <w:rtl/>
        </w:rPr>
        <w:t>) ومنتدى التنمية الإقليمي (</w:t>
      </w:r>
      <w:r w:rsidR="00B4138E" w:rsidRPr="00DD78F0">
        <w:t>RDF</w:t>
      </w:r>
      <w:r w:rsidR="00B4138E" w:rsidRPr="00DD78F0">
        <w:rPr>
          <w:rtl/>
        </w:rPr>
        <w:t>) وغيرها)</w:t>
      </w:r>
    </w:p>
    <w:p w14:paraId="5CBA2521" w14:textId="77777777" w:rsidR="002048AF" w:rsidRPr="00B4138E" w:rsidRDefault="002048AF" w:rsidP="00B4138E">
      <w:r w:rsidRPr="00B4138E">
        <w:rPr>
          <w:b/>
          <w:bCs/>
          <w:rtl/>
        </w:rPr>
        <w:t>3.1</w:t>
      </w:r>
      <w:r w:rsidRPr="00B4138E">
        <w:rPr>
          <w:rtl/>
        </w:rPr>
        <w:tab/>
        <w:t>ويتعين أن تؤخذ عوامل النجاح الرئيسية التالية بعين الاعتبار في السعي لتنفيذ رسالة قطاع تنمية الاتصالات بالاتحاد وتحقيق الأهداف على النحو المذكور أعلاه:</w:t>
      </w:r>
    </w:p>
    <w:p w14:paraId="6C2F42D2" w14:textId="7B58D81F" w:rsidR="002048AF" w:rsidRPr="00B4138E" w:rsidRDefault="00B4138E" w:rsidP="00B4138E">
      <w:pPr>
        <w:pStyle w:val="enumlev1"/>
      </w:pPr>
      <w:r>
        <w:rPr>
          <w:rFonts w:hint="cs"/>
          <w:rtl/>
          <w:lang w:bidi="ar-EG"/>
        </w:rPr>
        <w:t>-</w:t>
      </w:r>
      <w:r>
        <w:rPr>
          <w:rtl/>
          <w:lang w:bidi="ar-EG"/>
        </w:rPr>
        <w:tab/>
      </w:r>
      <w:r w:rsidR="002048AF" w:rsidRPr="00B4138E">
        <w:rPr>
          <w:rtl/>
        </w:rPr>
        <w:t>أن تكون رسالة قطاع تنمية الاتصالات للاتحاد وأهدافه مفهومة بشكل واضح ومشترَكة لدى الأعضاء.</w:t>
      </w:r>
    </w:p>
    <w:p w14:paraId="6C235857" w14:textId="23BB7889" w:rsidR="002048AF" w:rsidRPr="00B4138E" w:rsidRDefault="00B4138E" w:rsidP="00B4138E">
      <w:pPr>
        <w:pStyle w:val="enumlev1"/>
      </w:pPr>
      <w:r>
        <w:rPr>
          <w:rFonts w:hint="cs"/>
          <w:rtl/>
        </w:rPr>
        <w:t>-</w:t>
      </w:r>
      <w:r>
        <w:rPr>
          <w:rtl/>
        </w:rPr>
        <w:tab/>
      </w:r>
      <w:r w:rsidR="002048AF" w:rsidRPr="00B4138E">
        <w:rPr>
          <w:rtl/>
        </w:rPr>
        <w:t>إتاحة المستوى المطلوب من الموارد لتحقيق هذه النواتج ومراقبتها بشكل اقتصادي وكفء.</w:t>
      </w:r>
    </w:p>
    <w:p w14:paraId="2300EABB" w14:textId="628E8B3D" w:rsidR="002048AF" w:rsidRPr="00B4138E" w:rsidRDefault="00B4138E" w:rsidP="00B4138E">
      <w:pPr>
        <w:pStyle w:val="enumlev1"/>
      </w:pPr>
      <w:r>
        <w:rPr>
          <w:rFonts w:hint="cs"/>
          <w:rtl/>
        </w:rPr>
        <w:t>-</w:t>
      </w:r>
      <w:r>
        <w:rPr>
          <w:rtl/>
        </w:rPr>
        <w:tab/>
      </w:r>
      <w:r w:rsidR="002048AF" w:rsidRPr="00B4138E">
        <w:rPr>
          <w:rtl/>
        </w:rPr>
        <w:t xml:space="preserve">مواصلة تحسين أساليب عمل القطاع وأنشطته بطريقة تعاونية </w:t>
      </w:r>
      <w:proofErr w:type="spellStart"/>
      <w:r w:rsidR="002048AF" w:rsidRPr="00B4138E">
        <w:rPr>
          <w:rtl/>
        </w:rPr>
        <w:t>وتآزرية</w:t>
      </w:r>
      <w:proofErr w:type="spellEnd"/>
      <w:r w:rsidR="002048AF" w:rsidRPr="00B4138E">
        <w:rPr>
          <w:rtl/>
        </w:rPr>
        <w:t xml:space="preserve"> بين الأعضاء ومكتب تنمية الاتصالات.</w:t>
      </w:r>
    </w:p>
    <w:p w14:paraId="7539DBC7" w14:textId="5078E3C2" w:rsidR="002048AF" w:rsidRPr="00BE5513" w:rsidRDefault="002048AF" w:rsidP="00B4138E">
      <w:pPr>
        <w:rPr>
          <w:spacing w:val="-2"/>
        </w:rPr>
      </w:pPr>
      <w:r w:rsidRPr="00BE5513">
        <w:rPr>
          <w:b/>
          <w:bCs/>
          <w:spacing w:val="-2"/>
          <w:rtl/>
        </w:rPr>
        <w:t>4.1</w:t>
      </w:r>
      <w:r w:rsidRPr="00BE5513">
        <w:rPr>
          <w:spacing w:val="-2"/>
          <w:rtl/>
        </w:rPr>
        <w:tab/>
        <w:t>سيركز الإطار الزمني</w:t>
      </w:r>
      <w:r w:rsidR="00B4138E" w:rsidRPr="00BE5513">
        <w:rPr>
          <w:spacing w:val="-2"/>
          <w:rtl/>
        </w:rPr>
        <w:t xml:space="preserve"> </w:t>
      </w:r>
      <w:r w:rsidR="00B4138E" w:rsidRPr="00BE5513">
        <w:rPr>
          <w:spacing w:val="-2"/>
        </w:rPr>
        <w:t>2026</w:t>
      </w:r>
      <w:r w:rsidRPr="00BE5513">
        <w:rPr>
          <w:spacing w:val="-2"/>
          <w:rtl/>
        </w:rPr>
        <w:t>-</w:t>
      </w:r>
      <w:r w:rsidR="00B4138E" w:rsidRPr="00BE5513">
        <w:rPr>
          <w:spacing w:val="-2"/>
        </w:rPr>
        <w:t>2029</w:t>
      </w:r>
      <w:r w:rsidRPr="00BE5513">
        <w:rPr>
          <w:spacing w:val="-2"/>
          <w:rtl/>
        </w:rPr>
        <w:t xml:space="preserve">، من بين أنشطة أخرى، على العمل المنتظم للجنتي دراسات قطاع تنمية الاتصالات، في حين ستكرَّس الفترة من </w:t>
      </w:r>
      <w:r w:rsidR="00B4138E" w:rsidRPr="00BE5513">
        <w:rPr>
          <w:spacing w:val="-2"/>
        </w:rPr>
        <w:t>2028</w:t>
      </w:r>
      <w:r w:rsidRPr="00BE5513">
        <w:rPr>
          <w:spacing w:val="-2"/>
          <w:rtl/>
        </w:rPr>
        <w:t xml:space="preserve"> إلى 2031 لتنفيذ قرارات المؤتمر العالمي لتنمية الاتصالات عام 2025. وبدأت الاجتماعات الإقليمية التحضيرية للمؤتمر العالمي لتنمية الاتصالات عام 2025 (</w:t>
      </w:r>
      <w:r w:rsidRPr="00BE5513">
        <w:rPr>
          <w:spacing w:val="-2"/>
        </w:rPr>
        <w:t>WTDC-25</w:t>
      </w:r>
      <w:r w:rsidRPr="00BE5513">
        <w:rPr>
          <w:spacing w:val="-2"/>
          <w:rtl/>
        </w:rPr>
        <w:t>) في شهر فبراير هذا العام وستستمر حتى نهاية أبريل 2025. وستبدأ دورة جديدة من أنشطة لجنتي دراسات قطاع تنمية الاتصالات في عام 2026 عقب المؤتمر العالمي لتنمية الاتصالات المقرر عقده لاحقاً هذه السنة.</w:t>
      </w:r>
    </w:p>
    <w:p w14:paraId="47B144F3" w14:textId="77777777" w:rsidR="002048AF" w:rsidRPr="00B4138E" w:rsidRDefault="002048AF" w:rsidP="00B4138E">
      <w:r w:rsidRPr="00B4138E">
        <w:rPr>
          <w:rtl/>
        </w:rPr>
        <w:t>وتتمثل أهم وأكبر التحديات في الفترة 2026-2029 فيما يلي:</w:t>
      </w:r>
    </w:p>
    <w:p w14:paraId="76AEE83B" w14:textId="00623F08" w:rsidR="002048AF" w:rsidRPr="00B4138E" w:rsidRDefault="00B4138E" w:rsidP="00B4138E">
      <w:pPr>
        <w:pStyle w:val="enumlev1"/>
      </w:pPr>
      <w:r>
        <w:rPr>
          <w:rFonts w:hint="cs"/>
          <w:rtl/>
          <w:lang w:bidi="ar-EG"/>
        </w:rPr>
        <w:t>-</w:t>
      </w:r>
      <w:r>
        <w:rPr>
          <w:rtl/>
          <w:lang w:bidi="ar-EG"/>
        </w:rPr>
        <w:tab/>
      </w:r>
      <w:r w:rsidR="002048AF" w:rsidRPr="00B4138E">
        <w:rPr>
          <w:rtl/>
        </w:rPr>
        <w:t xml:space="preserve">تنفيذ نتائج المؤتمر WTDC-25 في حدود الموارد المالية المتاحة </w:t>
      </w:r>
    </w:p>
    <w:p w14:paraId="2F1003FD" w14:textId="54B094C2" w:rsidR="002048AF" w:rsidRPr="00B4138E" w:rsidRDefault="00B4138E" w:rsidP="00B4138E">
      <w:pPr>
        <w:pStyle w:val="enumlev1"/>
      </w:pPr>
      <w:r>
        <w:rPr>
          <w:rFonts w:hint="cs"/>
          <w:rtl/>
        </w:rPr>
        <w:t>-</w:t>
      </w:r>
      <w:r>
        <w:rPr>
          <w:rtl/>
        </w:rPr>
        <w:tab/>
      </w:r>
      <w:r w:rsidR="002048AF" w:rsidRPr="00B4138E">
        <w:rPr>
          <w:rtl/>
        </w:rPr>
        <w:t>الدعم السلس للجنتي الدراسات لدى قطاع تنمية الاتصالات فيما تضطلعان به من دراسات وفقاً لخطط عملها، مع التركيز بوجه خاص على المواضيع التي قد يحددها المؤتمر WTDC-25.</w:t>
      </w:r>
    </w:p>
    <w:p w14:paraId="1475D1C3" w14:textId="7C888AF8" w:rsidR="002048AF" w:rsidRPr="00B4138E" w:rsidRDefault="00B4138E" w:rsidP="00B4138E">
      <w:pPr>
        <w:pStyle w:val="enumlev1"/>
      </w:pPr>
      <w:r>
        <w:rPr>
          <w:rFonts w:hint="cs"/>
          <w:rtl/>
        </w:rPr>
        <w:t>-</w:t>
      </w:r>
      <w:r>
        <w:rPr>
          <w:rtl/>
        </w:rPr>
        <w:tab/>
      </w:r>
      <w:r w:rsidR="002048AF" w:rsidRPr="00B4138E">
        <w:rPr>
          <w:rtl/>
        </w:rPr>
        <w:t>تقديم المساعدة والدعم إلى الإدارات وأعضاء قطاع تنمية الاتصالات في حدود الموارد المالية المتاحة للمكتب، مع الاستفادة من خبرات موظفي مكتب تنمية الاتصالات.</w:t>
      </w:r>
    </w:p>
    <w:p w14:paraId="06FCD8F2" w14:textId="7C24C844" w:rsidR="002048AF" w:rsidRPr="00B4138E" w:rsidRDefault="002048AF" w:rsidP="00B4138E">
      <w:pPr>
        <w:pStyle w:val="Heading2"/>
      </w:pPr>
      <w:r w:rsidRPr="00B4138E">
        <w:rPr>
          <w:rtl/>
        </w:rPr>
        <w:lastRenderedPageBreak/>
        <w:t>5.1</w:t>
      </w:r>
      <w:r w:rsidRPr="00B4138E">
        <w:rPr>
          <w:rtl/>
        </w:rPr>
        <w:tab/>
        <w:t>الأولويات المحورية</w:t>
      </w:r>
    </w:p>
    <w:p w14:paraId="2D1B6ABF" w14:textId="1CAAB4C7" w:rsidR="002048AF" w:rsidRDefault="002048AF" w:rsidP="00B4138E">
      <w:r w:rsidRPr="00B4138E">
        <w:rPr>
          <w:rtl/>
        </w:rPr>
        <w:t>يعرض الرسم البياني التالي توزيع الموارد البشرية المخطَطة لدى مكتب تنمية الاتصالات فيما بين الأولويات المحورية الخمسة للاتحاد لفترة السنوات الأربعة المعنية</w:t>
      </w:r>
      <w:r w:rsidRPr="00B4138E">
        <w:rPr>
          <w:rStyle w:val="FootnoteReference"/>
          <w:rtl/>
        </w:rPr>
        <w:footnoteReference w:id="1"/>
      </w:r>
      <w:r w:rsidRPr="00B4138E">
        <w:rPr>
          <w:rtl/>
        </w:rPr>
        <w:t>.</w:t>
      </w:r>
    </w:p>
    <w:p w14:paraId="5A24BFB3" w14:textId="32CA7945" w:rsidR="00C724D0" w:rsidRPr="00C724D0" w:rsidRDefault="00786B82" w:rsidP="00C724D0">
      <w:pPr>
        <w:tabs>
          <w:tab w:val="clear" w:pos="794"/>
          <w:tab w:val="left" w:pos="1842"/>
        </w:tabs>
        <w:spacing w:before="100" w:beforeAutospacing="1" w:after="100" w:afterAutospacing="1" w:line="240" w:lineRule="auto"/>
        <w:jc w:val="center"/>
        <w:rPr>
          <w:rFonts w:eastAsia="Malgun Gothic"/>
          <w:noProof/>
          <w:szCs w:val="24"/>
          <w:rtl/>
          <w:lang w:eastAsia="ko-KR"/>
        </w:rPr>
      </w:pPr>
      <w:r>
        <w:rPr>
          <w:rFonts w:eastAsia="Malgun Gothic"/>
          <w:noProof/>
          <w:szCs w:val="24"/>
          <w:lang w:eastAsia="ko-KR"/>
        </w:rPr>
        <w:drawing>
          <wp:inline distT="0" distB="0" distL="0" distR="0" wp14:anchorId="7BF4A087" wp14:editId="4B91C8A0">
            <wp:extent cx="6132830" cy="3676015"/>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830" cy="3676015"/>
                    </a:xfrm>
                    <a:prstGeom prst="rect">
                      <a:avLst/>
                    </a:prstGeom>
                    <a:noFill/>
                  </pic:spPr>
                </pic:pic>
              </a:graphicData>
            </a:graphic>
          </wp:inline>
        </w:drawing>
      </w:r>
    </w:p>
    <w:p w14:paraId="4BF83632" w14:textId="77777777" w:rsidR="002048AF" w:rsidRPr="00497861" w:rsidRDefault="002048AF" w:rsidP="00497861">
      <w:pPr>
        <w:pStyle w:val="Heading2"/>
      </w:pPr>
      <w:r w:rsidRPr="00497861">
        <w:rPr>
          <w:rtl/>
        </w:rPr>
        <w:t>6.1</w:t>
      </w:r>
      <w:r w:rsidRPr="00497861">
        <w:rPr>
          <w:rtl/>
        </w:rPr>
        <w:tab/>
        <w:t>هيكل الخطة التشغيلية</w:t>
      </w:r>
    </w:p>
    <w:p w14:paraId="0C43F6CB" w14:textId="77777777" w:rsidR="002048AF" w:rsidRPr="00497861" w:rsidRDefault="002048AF" w:rsidP="00497861">
      <w:r w:rsidRPr="00497861">
        <w:rPr>
          <w:rtl/>
        </w:rPr>
        <w:t>تُعرض الخطة التشغيلية للاتحاد حسب الأولويات المحورية في الوثيقة C25/28. وتُعرض الخطط التشغيلية للقطاع في ملحقات بالخطة التشغيلية للاتحاد.</w:t>
      </w:r>
    </w:p>
    <w:p w14:paraId="265F84A4" w14:textId="77777777" w:rsidR="002048AF" w:rsidRPr="00497861" w:rsidRDefault="002048AF" w:rsidP="00497861">
      <w:r w:rsidRPr="00497861">
        <w:rPr>
          <w:rtl/>
        </w:rPr>
        <w:t>وللخطة التشغيلية لقطاع تنمية الاتصالات خلال الفترة 2026-2029 هيكل قائم على النتائج وتُعرض تفاصيل تتعلق بنواتج قطاع تنمية الاتصالات الأربع عشر فضلاً عن النتائج المتوقعة ومؤشرات الأداء الرئيسية وعوامل المخاطرة.</w:t>
      </w:r>
    </w:p>
    <w:p w14:paraId="39705894" w14:textId="77777777" w:rsidR="002048AF" w:rsidRPr="00497861" w:rsidRDefault="002048AF" w:rsidP="00497861">
      <w:r w:rsidRPr="00497861">
        <w:rPr>
          <w:rtl/>
        </w:rPr>
        <w:t>وتقدَّم المعلومات التالية لكل ناتج من النواتج:</w:t>
      </w:r>
    </w:p>
    <w:p w14:paraId="2602E6CE" w14:textId="497D0824" w:rsidR="002048AF" w:rsidRPr="00497861" w:rsidRDefault="00497861" w:rsidP="00497861">
      <w:pPr>
        <w:pStyle w:val="enumlev1"/>
      </w:pPr>
      <w:r>
        <w:rPr>
          <w:rFonts w:hint="cs"/>
          <w:rtl/>
          <w:lang w:bidi="ar-EG"/>
        </w:rPr>
        <w:t>-</w:t>
      </w:r>
      <w:r>
        <w:rPr>
          <w:rtl/>
          <w:lang w:bidi="ar-EG"/>
        </w:rPr>
        <w:tab/>
      </w:r>
      <w:r w:rsidR="002048AF" w:rsidRPr="00497861">
        <w:rPr>
          <w:rtl/>
        </w:rPr>
        <w:t>وصف الناتج والاتجاهات الرئيسية/مسائل السياسة العامة المتصلة بالناتج.</w:t>
      </w:r>
    </w:p>
    <w:p w14:paraId="585D39C9" w14:textId="5BC588AF" w:rsidR="002048AF" w:rsidRPr="00497861" w:rsidRDefault="00497861" w:rsidP="00497861">
      <w:pPr>
        <w:pStyle w:val="enumlev1"/>
      </w:pPr>
      <w:r>
        <w:rPr>
          <w:rFonts w:hint="cs"/>
          <w:rtl/>
        </w:rPr>
        <w:t>-</w:t>
      </w:r>
      <w:r>
        <w:rPr>
          <w:rtl/>
        </w:rPr>
        <w:tab/>
      </w:r>
      <w:r w:rsidR="002048AF" w:rsidRPr="00497861">
        <w:rPr>
          <w:rtl/>
        </w:rPr>
        <w:t xml:space="preserve">تقرير الأداء عام 2024، بما في ذلك المقارنة بين النتائج المتوقعة والنتائج المحققة فضلاً عن مؤشرات الأداء </w:t>
      </w:r>
      <w:r w:rsidR="00AE680F" w:rsidRPr="00497861">
        <w:rPr>
          <w:rtl/>
        </w:rPr>
        <w:t>الرئيسية</w:t>
      </w:r>
      <w:r w:rsidR="00AE680F">
        <w:rPr>
          <w:rFonts w:hint="cs"/>
          <w:rtl/>
        </w:rPr>
        <w:t> </w:t>
      </w:r>
      <w:r w:rsidR="002048AF" w:rsidRPr="00497861">
        <w:t>(KPI)</w:t>
      </w:r>
      <w:r w:rsidR="002048AF" w:rsidRPr="00497861">
        <w:rPr>
          <w:rtl/>
        </w:rPr>
        <w:t xml:space="preserve"> وتحليل المخاطر.</w:t>
      </w:r>
    </w:p>
    <w:p w14:paraId="0B7EC2C4" w14:textId="5CAD6D61" w:rsidR="002048AF" w:rsidRPr="00497861" w:rsidRDefault="00497861" w:rsidP="00497861">
      <w:pPr>
        <w:pStyle w:val="enumlev1"/>
      </w:pPr>
      <w:r>
        <w:rPr>
          <w:rFonts w:hint="cs"/>
          <w:rtl/>
        </w:rPr>
        <w:t>-</w:t>
      </w:r>
      <w:r>
        <w:rPr>
          <w:rtl/>
        </w:rPr>
        <w:tab/>
      </w:r>
      <w:r w:rsidR="002048AF" w:rsidRPr="00497861">
        <w:rPr>
          <w:rtl/>
        </w:rPr>
        <w:t>بيان بالنتائج المتوقعة ومؤشرات الأداء الرئيسية خلال سني الفترة 2026-2029 فضلاً عن مؤشرات القياس وتقييم التهديدات والمخاطر عند الاقتضاء.</w:t>
      </w:r>
    </w:p>
    <w:p w14:paraId="19029E84" w14:textId="27D6803B" w:rsidR="002048AF" w:rsidRPr="00497861" w:rsidRDefault="00497861" w:rsidP="00497861">
      <w:pPr>
        <w:pStyle w:val="enumlev1"/>
      </w:pPr>
      <w:r>
        <w:rPr>
          <w:rFonts w:hint="cs"/>
          <w:rtl/>
        </w:rPr>
        <w:t>-</w:t>
      </w:r>
      <w:r>
        <w:rPr>
          <w:rtl/>
        </w:rPr>
        <w:tab/>
      </w:r>
      <w:r w:rsidR="002048AF" w:rsidRPr="00497861">
        <w:rPr>
          <w:rtl/>
        </w:rPr>
        <w:t>توزيع الموارد البشرية خلال الفترة من 2026 إلى 2029.</w:t>
      </w:r>
    </w:p>
    <w:p w14:paraId="2263EB6F" w14:textId="77777777" w:rsidR="002048AF" w:rsidRPr="00497861" w:rsidRDefault="002048AF" w:rsidP="00497861">
      <w:pPr>
        <w:pStyle w:val="Heading1"/>
        <w:rPr>
          <w:lang w:val="ar-SA" w:eastAsia="zh-TW" w:bidi="en-GB"/>
        </w:rPr>
      </w:pPr>
      <w:r w:rsidRPr="00497861">
        <w:rPr>
          <w:rtl/>
        </w:rPr>
        <w:lastRenderedPageBreak/>
        <w:t>2</w:t>
      </w:r>
      <w:r w:rsidRPr="00497861">
        <w:rPr>
          <w:rtl/>
        </w:rPr>
        <w:tab/>
        <w:t>نواتج قطاع تنمية الاتصالات</w:t>
      </w:r>
    </w:p>
    <w:p w14:paraId="6E4BD4DE" w14:textId="77777777" w:rsidR="002048AF" w:rsidRPr="00497861" w:rsidRDefault="002048AF" w:rsidP="00BE5513">
      <w:pPr>
        <w:keepNext/>
        <w:keepLines/>
        <w:rPr>
          <w:lang w:val="ar-SA" w:eastAsia="zh-TW" w:bidi="en-GB"/>
        </w:rPr>
      </w:pPr>
      <w:r w:rsidRPr="00497861">
        <w:rPr>
          <w:rtl/>
        </w:rPr>
        <w:t>يعرض الرسم البياني التالي توزيع الموارد البشرية المخطَطة لدى مكتب تنمية الاتصالات فيما بين أهداف الاتحاد لفترة السنوات الأربعة المعنية.</w:t>
      </w:r>
    </w:p>
    <w:p w14:paraId="41331D52" w14:textId="5D0E5E07" w:rsidR="00460CED" w:rsidRPr="00C724D0" w:rsidRDefault="00460CED" w:rsidP="00460CED">
      <w:pPr>
        <w:tabs>
          <w:tab w:val="clear" w:pos="794"/>
          <w:tab w:val="left" w:pos="1842"/>
        </w:tabs>
        <w:spacing w:before="100" w:beforeAutospacing="1" w:after="100" w:afterAutospacing="1" w:line="240" w:lineRule="auto"/>
        <w:jc w:val="center"/>
        <w:rPr>
          <w:rFonts w:eastAsia="Malgun Gothic"/>
          <w:noProof/>
          <w:szCs w:val="24"/>
          <w:rtl/>
          <w:lang w:eastAsia="ko-KR"/>
        </w:rPr>
      </w:pPr>
      <w:r>
        <w:rPr>
          <w:rFonts w:eastAsia="Malgun Gothic"/>
          <w:noProof/>
          <w:szCs w:val="24"/>
          <w:lang w:eastAsia="ko-KR"/>
        </w:rPr>
        <w:drawing>
          <wp:inline distT="0" distB="0" distL="0" distR="0" wp14:anchorId="146981CF" wp14:editId="7C016861">
            <wp:extent cx="6120765" cy="4505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505325"/>
                    </a:xfrm>
                    <a:prstGeom prst="rect">
                      <a:avLst/>
                    </a:prstGeom>
                    <a:noFill/>
                  </pic:spPr>
                </pic:pic>
              </a:graphicData>
            </a:graphic>
          </wp:inline>
        </w:drawing>
      </w:r>
    </w:p>
    <w:p w14:paraId="04FC45AA" w14:textId="6FCD8DE0" w:rsidR="002048AF" w:rsidRDefault="002048AF" w:rsidP="00BE5513">
      <w:pPr>
        <w:rPr>
          <w:rtl/>
          <w:lang w:bidi="ar-EG"/>
        </w:rPr>
      </w:pPr>
      <w:r>
        <w:rPr>
          <w:rtl/>
          <w:lang w:bidi="ar-EG"/>
        </w:rPr>
        <w:br w:type="page"/>
      </w:r>
    </w:p>
    <w:p w14:paraId="0EDEDDB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lastRenderedPageBreak/>
        <w:t>Annex</w:t>
      </w:r>
    </w:p>
    <w:p w14:paraId="16EC805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2.1</w:t>
      </w:r>
      <w:r w:rsidRPr="002048AF">
        <w:rPr>
          <w:rFonts w:ascii="Calibri" w:eastAsia="Times New Roman" w:hAnsi="Calibri" w:cs="Calibri"/>
          <w:b/>
          <w:bCs/>
          <w:sz w:val="24"/>
          <w:szCs w:val="24"/>
          <w:lang w:val="en-GB" w:eastAsia="en-US"/>
        </w:rPr>
        <w:tab/>
        <w:t>World Telecommunication Development Conference (WTDC)</w:t>
      </w:r>
    </w:p>
    <w:p w14:paraId="0A04285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Description</w:t>
      </w:r>
    </w:p>
    <w:p w14:paraId="5C8BE41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Held every four years, the World Telecommunication Development Conference (WTDC) is a high-level platform for Member States to develop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14:paraId="7DBB6FA5" w14:textId="77777777" w:rsidR="002048AF" w:rsidRPr="002048AF" w:rsidRDefault="002048AF" w:rsidP="002048AF">
      <w:pPr>
        <w:numPr>
          <w:ilvl w:val="1"/>
          <w:numId w:val="20"/>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Declaration.</w:t>
      </w:r>
    </w:p>
    <w:p w14:paraId="1AB70CD9" w14:textId="77777777" w:rsidR="002048AF" w:rsidRPr="002048AF" w:rsidRDefault="002048AF" w:rsidP="002048AF">
      <w:pPr>
        <w:numPr>
          <w:ilvl w:val="1"/>
          <w:numId w:val="20"/>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Contribution to the draft ITU strategic plan for the forthcoming relevant timeframe.</w:t>
      </w:r>
    </w:p>
    <w:p w14:paraId="7B7496B4" w14:textId="77777777" w:rsidR="002048AF" w:rsidRPr="002048AF" w:rsidRDefault="002048AF" w:rsidP="002048AF">
      <w:pPr>
        <w:numPr>
          <w:ilvl w:val="1"/>
          <w:numId w:val="20"/>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Action plan.</w:t>
      </w:r>
    </w:p>
    <w:p w14:paraId="42C6683C" w14:textId="77777777" w:rsidR="002048AF" w:rsidRPr="002048AF" w:rsidRDefault="002048AF" w:rsidP="002048AF">
      <w:pPr>
        <w:numPr>
          <w:ilvl w:val="1"/>
          <w:numId w:val="20"/>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Regional Initiatives.</w:t>
      </w:r>
    </w:p>
    <w:p w14:paraId="50998E8D" w14:textId="77777777" w:rsidR="002048AF" w:rsidRPr="002048AF" w:rsidRDefault="002048AF" w:rsidP="002048AF">
      <w:pPr>
        <w:numPr>
          <w:ilvl w:val="1"/>
          <w:numId w:val="20"/>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Study Groups.</w:t>
      </w:r>
    </w:p>
    <w:p w14:paraId="2DFE9F6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2024 performance report and risk analysis</w:t>
      </w:r>
    </w:p>
    <w:p w14:paraId="1C34EBC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Statement of achieved results</w:t>
      </w:r>
    </w:p>
    <w:tbl>
      <w:tblPr>
        <w:tblW w:w="10201" w:type="dxa"/>
        <w:tblLook w:val="04A0" w:firstRow="1" w:lastRow="0" w:firstColumn="1" w:lastColumn="0" w:noHBand="0" w:noVBand="1"/>
      </w:tblPr>
      <w:tblGrid>
        <w:gridCol w:w="2620"/>
        <w:gridCol w:w="2620"/>
        <w:gridCol w:w="2620"/>
        <w:gridCol w:w="2341"/>
      </w:tblGrid>
      <w:tr w:rsidR="002048AF" w:rsidRPr="002048AF" w14:paraId="7157904F" w14:textId="77777777" w:rsidTr="000F5E63">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3546438E"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639A67A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3586DC3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2341" w:type="dxa"/>
            <w:tcBorders>
              <w:top w:val="single" w:sz="4" w:space="0" w:color="auto"/>
              <w:left w:val="nil"/>
              <w:bottom w:val="single" w:sz="4" w:space="0" w:color="auto"/>
              <w:right w:val="single" w:sz="4" w:space="0" w:color="auto"/>
            </w:tcBorders>
            <w:shd w:val="clear" w:color="auto" w:fill="D6896F"/>
            <w:vAlign w:val="center"/>
            <w:hideMark/>
          </w:tcPr>
          <w:p w14:paraId="11BBEBF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2AB4B677" w14:textId="77777777" w:rsidTr="002048AF">
        <w:trPr>
          <w:trHeight w:val="5640"/>
        </w:trPr>
        <w:tc>
          <w:tcPr>
            <w:tcW w:w="2620" w:type="dxa"/>
            <w:tcBorders>
              <w:top w:val="single" w:sz="4" w:space="0" w:color="auto"/>
              <w:left w:val="single" w:sz="4" w:space="0" w:color="auto"/>
              <w:bottom w:val="single" w:sz="4" w:space="0" w:color="auto"/>
              <w:right w:val="single" w:sz="4" w:space="0" w:color="auto"/>
            </w:tcBorders>
            <w:shd w:val="clear" w:color="auto" w:fill="F2F2F2"/>
            <w:hideMark/>
          </w:tcPr>
          <w:p w14:paraId="474808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Strengthened implementation of the outcomes of the Kigali Action Plan (KAP) (WTDC-22)</w:t>
            </w:r>
          </w:p>
        </w:tc>
        <w:tc>
          <w:tcPr>
            <w:tcW w:w="2620" w:type="dxa"/>
            <w:tcBorders>
              <w:top w:val="single" w:sz="4" w:space="0" w:color="auto"/>
              <w:left w:val="nil"/>
              <w:bottom w:val="single" w:sz="4" w:space="0" w:color="auto"/>
              <w:right w:val="single" w:sz="4" w:space="0" w:color="auto"/>
            </w:tcBorders>
            <w:shd w:val="clear" w:color="auto" w:fill="F2F2F2"/>
            <w:hideMark/>
          </w:tcPr>
          <w:p w14:paraId="3168F2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2048AF">
              <w:rPr>
                <w:rFonts w:ascii="Calibri" w:eastAsia="Times New Roman" w:hAnsi="Calibri" w:cs="Arial"/>
                <w:color w:val="000000"/>
                <w:lang w:val="en-GB" w:eastAsia="en-US"/>
              </w:rPr>
              <w:t xml:space="preserve">Various products and services were deployed in 2024 and continue to </w:t>
            </w:r>
            <w:r w:rsidRPr="002048AF" w:rsidDel="00046C38">
              <w:rPr>
                <w:rFonts w:ascii="Calibri" w:eastAsia="Times New Roman" w:hAnsi="Calibri" w:cs="Arial"/>
                <w:color w:val="000000"/>
                <w:lang w:val="en-GB" w:eastAsia="en-US"/>
              </w:rPr>
              <w:t xml:space="preserve">be </w:t>
            </w:r>
            <w:r w:rsidRPr="002048AF">
              <w:rPr>
                <w:rFonts w:ascii="Calibri" w:eastAsia="Times New Roman" w:hAnsi="Calibri" w:cs="Arial"/>
                <w:color w:val="000000"/>
                <w:lang w:val="en-GB" w:eastAsia="en-US"/>
              </w:rPr>
              <w:t xml:space="preserve">delivered through OP and projects to support the implementation of KAP ITU-D priorities and enablers.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88.77 % of OP budget was utilized </w:t>
            </w:r>
            <w:r w:rsidRPr="002048AF" w:rsidDel="002E3DAE">
              <w:rPr>
                <w:rFonts w:ascii="Calibri" w:eastAsia="Times New Roman" w:hAnsi="Calibri" w:cs="Arial"/>
                <w:color w:val="000000"/>
                <w:lang w:val="en-GB" w:eastAsia="en-US"/>
              </w:rPr>
              <w:t>to</w:t>
            </w:r>
            <w:r w:rsidRPr="002048AF">
              <w:rPr>
                <w:rFonts w:ascii="Calibri" w:eastAsia="Times New Roman" w:hAnsi="Calibri" w:cs="Arial"/>
                <w:color w:val="000000"/>
                <w:lang w:val="en-GB" w:eastAsia="en-US"/>
              </w:rPr>
              <w:t>:</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 develop policy frameworks and knowledge products as well as support Member states develop policy frameworks;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 deploy capacity development interventions,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 provide data and statistics,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 technical assistance and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 xml:space="preserve">- organize events. </w:t>
            </w:r>
          </w:p>
        </w:tc>
        <w:tc>
          <w:tcPr>
            <w:tcW w:w="2620" w:type="dxa"/>
            <w:tcBorders>
              <w:top w:val="single" w:sz="4" w:space="0" w:color="auto"/>
              <w:left w:val="nil"/>
              <w:bottom w:val="single" w:sz="4" w:space="0" w:color="auto"/>
              <w:right w:val="single" w:sz="4" w:space="0" w:color="auto"/>
            </w:tcBorders>
            <w:shd w:val="clear" w:color="auto" w:fill="F2F2F2"/>
            <w:hideMark/>
          </w:tcPr>
          <w:p w14:paraId="223D18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products and services and resources deployed in each region in support of ITU-D priorities and enablers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Percentage of budget implementation </w:t>
            </w:r>
          </w:p>
        </w:tc>
        <w:tc>
          <w:tcPr>
            <w:tcW w:w="2341" w:type="dxa"/>
            <w:tcBorders>
              <w:top w:val="single" w:sz="4" w:space="0" w:color="auto"/>
              <w:left w:val="nil"/>
              <w:bottom w:val="single" w:sz="4" w:space="0" w:color="auto"/>
              <w:right w:val="single" w:sz="4" w:space="0" w:color="auto"/>
            </w:tcBorders>
            <w:shd w:val="clear" w:color="auto" w:fill="F2F2F2"/>
            <w:hideMark/>
          </w:tcPr>
          <w:p w14:paraId="1CD4CC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OP &amp; project budgets</w:t>
            </w:r>
            <w:r w:rsidRPr="002048AF">
              <w:rPr>
                <w:rFonts w:ascii="Calibri" w:eastAsia="Times New Roman" w:hAnsi="Calibri" w:cs="Calibri"/>
                <w:color w:val="000000"/>
                <w:lang w:val="en-GB" w:eastAsia="en-US"/>
              </w:rPr>
              <w:br/>
              <w:t xml:space="preserve">Services delivered </w:t>
            </w:r>
            <w:r w:rsidRPr="002048AF">
              <w:rPr>
                <w:rFonts w:ascii="Calibri" w:eastAsia="Times New Roman" w:hAnsi="Calibri" w:cs="Calibri"/>
                <w:color w:val="000000"/>
                <w:lang w:val="en-GB" w:eastAsia="en-US"/>
              </w:rPr>
              <w:br/>
              <w:t>Products developed</w:t>
            </w:r>
            <w:r w:rsidRPr="002048AF">
              <w:rPr>
                <w:rFonts w:ascii="Calibri" w:eastAsia="Times New Roman" w:hAnsi="Calibri" w:cs="Calibri"/>
                <w:color w:val="000000"/>
                <w:lang w:val="en-GB" w:eastAsia="en-US"/>
              </w:rPr>
              <w:br/>
              <w:t xml:space="preserve">Impact reported/ achieved </w:t>
            </w:r>
          </w:p>
        </w:tc>
      </w:tr>
      <w:tr w:rsidR="002048AF" w:rsidRPr="002048AF" w14:paraId="5ACC212D" w14:textId="77777777" w:rsidTr="002048AF">
        <w:trPr>
          <w:trHeight w:val="3820"/>
        </w:trPr>
        <w:tc>
          <w:tcPr>
            <w:tcW w:w="2620" w:type="dxa"/>
            <w:tcBorders>
              <w:top w:val="single" w:sz="4" w:space="0" w:color="auto"/>
              <w:left w:val="single" w:sz="4" w:space="0" w:color="auto"/>
              <w:bottom w:val="nil"/>
              <w:right w:val="single" w:sz="4" w:space="0" w:color="auto"/>
            </w:tcBorders>
            <w:shd w:val="clear" w:color="auto" w:fill="FFFFFF"/>
            <w:hideMark/>
          </w:tcPr>
          <w:p w14:paraId="71C8C6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Strengthened implementation of WTDC Resolutions</w:t>
            </w:r>
          </w:p>
        </w:tc>
        <w:tc>
          <w:tcPr>
            <w:tcW w:w="2620" w:type="dxa"/>
            <w:tcBorders>
              <w:top w:val="single" w:sz="4" w:space="0" w:color="auto"/>
              <w:left w:val="nil"/>
              <w:bottom w:val="nil"/>
              <w:right w:val="single" w:sz="4" w:space="0" w:color="auto"/>
            </w:tcBorders>
            <w:shd w:val="clear" w:color="auto" w:fill="FFFFFF"/>
            <w:hideMark/>
          </w:tcPr>
          <w:p w14:paraId="3E7E88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WTDC resolutions were implemented through projects and regional initiatives in collaboration with various stakeholders including UN agencies, development organizations and international financing institutions. 35 new projects equivalent to CHF 26.7 million were initiated in 2024</w:t>
            </w:r>
          </w:p>
        </w:tc>
        <w:tc>
          <w:tcPr>
            <w:tcW w:w="2620" w:type="dxa"/>
            <w:tcBorders>
              <w:top w:val="single" w:sz="4" w:space="0" w:color="auto"/>
              <w:left w:val="nil"/>
              <w:bottom w:val="nil"/>
              <w:right w:val="single" w:sz="4" w:space="0" w:color="auto"/>
            </w:tcBorders>
            <w:shd w:val="clear" w:color="auto" w:fill="FFFFFF"/>
            <w:hideMark/>
          </w:tcPr>
          <w:p w14:paraId="17371B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2048AF">
              <w:rPr>
                <w:rFonts w:ascii="Calibri" w:eastAsia="Times New Roman" w:hAnsi="Calibri" w:cs="Calibri"/>
                <w:lang w:val="en-GB" w:eastAsia="en-US"/>
              </w:rPr>
              <w:t xml:space="preserve">Number of projects implemented to support the implementation of WTDC Resolutions </w:t>
            </w:r>
          </w:p>
        </w:tc>
        <w:tc>
          <w:tcPr>
            <w:tcW w:w="2341" w:type="dxa"/>
            <w:tcBorders>
              <w:top w:val="single" w:sz="4" w:space="0" w:color="auto"/>
              <w:left w:val="nil"/>
              <w:bottom w:val="nil"/>
              <w:right w:val="single" w:sz="4" w:space="0" w:color="auto"/>
            </w:tcBorders>
            <w:shd w:val="clear" w:color="auto" w:fill="FFFFFF"/>
            <w:vAlign w:val="center"/>
            <w:hideMark/>
          </w:tcPr>
          <w:p w14:paraId="3820BB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6839281E" w14:textId="77777777" w:rsidTr="002048AF">
        <w:trPr>
          <w:trHeight w:val="12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6421B2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7BDA50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015956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341" w:type="dxa"/>
            <w:tcBorders>
              <w:top w:val="nil"/>
              <w:left w:val="nil"/>
              <w:bottom w:val="single" w:sz="4" w:space="0" w:color="auto"/>
              <w:right w:val="single" w:sz="4" w:space="0" w:color="auto"/>
            </w:tcBorders>
            <w:shd w:val="clear" w:color="auto" w:fill="FFFFFF"/>
            <w:vAlign w:val="center"/>
            <w:hideMark/>
          </w:tcPr>
          <w:p w14:paraId="5B4B062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73C4F38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65C003D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Look w:val="04A0" w:firstRow="1" w:lastRow="0" w:firstColumn="1" w:lastColumn="0" w:noHBand="0" w:noVBand="1"/>
      </w:tblPr>
      <w:tblGrid>
        <w:gridCol w:w="2020"/>
        <w:gridCol w:w="2020"/>
        <w:gridCol w:w="2020"/>
        <w:gridCol w:w="2500"/>
      </w:tblGrid>
      <w:tr w:rsidR="002048AF" w:rsidRPr="002048AF" w14:paraId="02D0C8FF" w14:textId="77777777" w:rsidTr="000F5E6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2615CE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3C35CA0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695678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CB0B9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1B524F07" w14:textId="77777777" w:rsidTr="000F5E6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1EBB7E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Implementation</w:t>
            </w:r>
          </w:p>
        </w:tc>
        <w:tc>
          <w:tcPr>
            <w:tcW w:w="2020" w:type="dxa"/>
            <w:tcBorders>
              <w:top w:val="nil"/>
              <w:left w:val="nil"/>
              <w:bottom w:val="nil"/>
              <w:right w:val="single" w:sz="4" w:space="0" w:color="auto"/>
            </w:tcBorders>
            <w:shd w:val="clear" w:color="000000" w:fill="F2F2F2"/>
            <w:vAlign w:val="center"/>
            <w:hideMark/>
          </w:tcPr>
          <w:p w14:paraId="19E776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Timely implementation of the Action Plan in some regions</w:t>
            </w:r>
          </w:p>
        </w:tc>
        <w:tc>
          <w:tcPr>
            <w:tcW w:w="2020" w:type="dxa"/>
            <w:tcBorders>
              <w:top w:val="nil"/>
              <w:left w:val="nil"/>
              <w:bottom w:val="nil"/>
              <w:right w:val="single" w:sz="4" w:space="0" w:color="auto"/>
            </w:tcBorders>
            <w:shd w:val="clear" w:color="000000" w:fill="F2F2F2"/>
            <w:vAlign w:val="center"/>
            <w:hideMark/>
          </w:tcPr>
          <w:p w14:paraId="5FB928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Low </w:t>
            </w:r>
          </w:p>
        </w:tc>
        <w:tc>
          <w:tcPr>
            <w:tcW w:w="2500" w:type="dxa"/>
            <w:tcBorders>
              <w:top w:val="nil"/>
              <w:left w:val="single" w:sz="4" w:space="0" w:color="auto"/>
              <w:bottom w:val="nil"/>
              <w:right w:val="single" w:sz="4" w:space="0" w:color="auto"/>
            </w:tcBorders>
            <w:shd w:val="clear" w:color="000000" w:fill="F2F2F2"/>
            <w:vAlign w:val="center"/>
            <w:hideMark/>
          </w:tcPr>
          <w:p w14:paraId="5D5830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Enhanced communication with Member States to better anticipate bottlenecks</w:t>
            </w:r>
            <w:r w:rsidRPr="002048AF">
              <w:rPr>
                <w:rFonts w:ascii="Calibri" w:eastAsia="Times New Roman" w:hAnsi="Calibri" w:cs="Calibri"/>
                <w:color w:val="000000"/>
                <w:sz w:val="24"/>
                <w:szCs w:val="20"/>
                <w:lang w:val="en-GB" w:eastAsia="en-US"/>
              </w:rPr>
              <w:br/>
              <w:t xml:space="preserve">Timely planning of the future activities </w:t>
            </w:r>
          </w:p>
        </w:tc>
      </w:tr>
      <w:tr w:rsidR="002048AF" w:rsidRPr="002048AF" w14:paraId="45BA9A3F" w14:textId="77777777" w:rsidTr="000F5E6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FAE71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2543A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452587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3617AF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22BC31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8B211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25305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265898"/>
          <w:sz w:val="24"/>
          <w:szCs w:val="20"/>
          <w:lang w:val="en-GB" w:eastAsia="en-US"/>
        </w:rPr>
      </w:pPr>
      <w:r w:rsidRPr="002048AF">
        <w:rPr>
          <w:rFonts w:ascii="Calibri" w:eastAsia="Times New Roman" w:hAnsi="Calibri" w:cs="Calibri"/>
          <w:b/>
          <w:bCs/>
          <w:color w:val="265898"/>
          <w:sz w:val="24"/>
          <w:szCs w:val="20"/>
          <w:lang w:val="en-GB" w:eastAsia="en-US"/>
        </w:rPr>
        <w:br w:type="page"/>
      </w:r>
    </w:p>
    <w:p w14:paraId="5618DB9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12AD7AF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33912EA9"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53FF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588FE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77B53ABD" w14:textId="77777777" w:rsidTr="000F5E63">
        <w:trPr>
          <w:trHeight w:val="2880"/>
        </w:trPr>
        <w:tc>
          <w:tcPr>
            <w:tcW w:w="4180" w:type="dxa"/>
            <w:tcBorders>
              <w:top w:val="nil"/>
              <w:left w:val="single" w:sz="4" w:space="0" w:color="auto"/>
              <w:bottom w:val="nil"/>
              <w:right w:val="single" w:sz="4" w:space="0" w:color="auto"/>
            </w:tcBorders>
            <w:shd w:val="clear" w:color="000000" w:fill="F2F2F2"/>
            <w:hideMark/>
          </w:tcPr>
          <w:p w14:paraId="63B7DC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World telecommunication development conference (WTDC) and WTDC final report</w:t>
            </w:r>
          </w:p>
        </w:tc>
        <w:tc>
          <w:tcPr>
            <w:tcW w:w="4180" w:type="dxa"/>
            <w:tcBorders>
              <w:top w:val="nil"/>
              <w:left w:val="nil"/>
              <w:bottom w:val="nil"/>
              <w:right w:val="single" w:sz="4" w:space="0" w:color="auto"/>
            </w:tcBorders>
            <w:shd w:val="clear" w:color="000000" w:fill="F2F2F2"/>
            <w:hideMark/>
          </w:tcPr>
          <w:p w14:paraId="1FA3D1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6AA284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Timely publication of the WTDC report</w:t>
            </w:r>
          </w:p>
        </w:tc>
      </w:tr>
      <w:tr w:rsidR="002048AF" w:rsidRPr="002048AF" w14:paraId="4CC8CC13" w14:textId="77777777" w:rsidTr="000F5E63">
        <w:trPr>
          <w:trHeight w:val="7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E9B4B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26B36F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4E49E18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035EA03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Look w:val="04A0" w:firstRow="1" w:lastRow="0" w:firstColumn="1" w:lastColumn="0" w:noHBand="0" w:noVBand="1"/>
      </w:tblPr>
      <w:tblGrid>
        <w:gridCol w:w="1740"/>
        <w:gridCol w:w="1940"/>
        <w:gridCol w:w="1540"/>
        <w:gridCol w:w="1540"/>
        <w:gridCol w:w="2020"/>
      </w:tblGrid>
      <w:tr w:rsidR="002048AF" w:rsidRPr="002048AF" w14:paraId="722950B0" w14:textId="77777777" w:rsidTr="000F5E63">
        <w:trPr>
          <w:trHeight w:val="300"/>
        </w:trPr>
        <w:tc>
          <w:tcPr>
            <w:tcW w:w="1740" w:type="dxa"/>
            <w:tcBorders>
              <w:top w:val="single" w:sz="4" w:space="0" w:color="auto"/>
              <w:left w:val="single" w:sz="4" w:space="0" w:color="auto"/>
              <w:bottom w:val="nil"/>
              <w:right w:val="single" w:sz="4" w:space="0" w:color="auto"/>
            </w:tcBorders>
            <w:shd w:val="clear" w:color="auto" w:fill="02385E"/>
            <w:noWrap/>
            <w:vAlign w:val="bottom"/>
            <w:hideMark/>
          </w:tcPr>
          <w:p w14:paraId="6035F89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1940" w:type="dxa"/>
            <w:tcBorders>
              <w:top w:val="single" w:sz="4" w:space="0" w:color="auto"/>
              <w:left w:val="nil"/>
              <w:bottom w:val="nil"/>
              <w:right w:val="single" w:sz="4" w:space="0" w:color="auto"/>
            </w:tcBorders>
            <w:shd w:val="clear" w:color="auto" w:fill="70A288"/>
            <w:noWrap/>
            <w:vAlign w:val="bottom"/>
            <w:hideMark/>
          </w:tcPr>
          <w:p w14:paraId="118F58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nil"/>
              <w:right w:val="single" w:sz="4" w:space="0" w:color="auto"/>
            </w:tcBorders>
            <w:shd w:val="clear" w:color="auto" w:fill="DAB785"/>
            <w:noWrap/>
            <w:vAlign w:val="bottom"/>
            <w:hideMark/>
          </w:tcPr>
          <w:p w14:paraId="4337B3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nil"/>
              <w:right w:val="single" w:sz="4" w:space="0" w:color="auto"/>
            </w:tcBorders>
            <w:shd w:val="clear" w:color="auto" w:fill="D6896F"/>
            <w:noWrap/>
            <w:vAlign w:val="bottom"/>
            <w:hideMark/>
          </w:tcPr>
          <w:p w14:paraId="4AEB7C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nil"/>
              <w:right w:val="single" w:sz="4" w:space="0" w:color="auto"/>
            </w:tcBorders>
            <w:shd w:val="clear" w:color="auto" w:fill="A63950"/>
            <w:noWrap/>
            <w:vAlign w:val="bottom"/>
            <w:hideMark/>
          </w:tcPr>
          <w:p w14:paraId="4710FF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6F0696C5" w14:textId="77777777" w:rsidTr="000F5E63">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69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 engagement</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221492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w:t>
            </w:r>
            <w:r w:rsidRPr="002048AF">
              <w:rPr>
                <w:rFonts w:ascii="Calibri" w:eastAsia="Times New Roman" w:hAnsi="Calibri" w:cs="Calibri"/>
                <w:color w:val="000000"/>
                <w:lang w:val="en-GB" w:eastAsia="en-US"/>
              </w:rPr>
              <w:br/>
              <w:t>participation of</w:t>
            </w:r>
            <w:r w:rsidRPr="002048AF">
              <w:rPr>
                <w:rFonts w:ascii="Calibri" w:eastAsia="Times New Roman" w:hAnsi="Calibri" w:cs="Calibri"/>
                <w:color w:val="000000"/>
                <w:lang w:val="en-GB" w:eastAsia="en-US"/>
              </w:rPr>
              <w:br/>
              <w:t>countries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A5575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High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B783D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Low</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ED1BB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2048AF">
              <w:rPr>
                <w:rFonts w:ascii="Calibri" w:eastAsia="Times New Roman" w:hAnsi="Calibri" w:cs="Arial"/>
                <w:color w:val="000000"/>
                <w:lang w:val="en-GB" w:eastAsia="en-US"/>
              </w:rPr>
              <w:t>Close coordination</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with memberships to ensure participation in</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ITU-D events</w:t>
            </w:r>
          </w:p>
        </w:tc>
      </w:tr>
      <w:tr w:rsidR="002048AF" w:rsidRPr="002048AF" w14:paraId="5EAD1ABE" w14:textId="77777777" w:rsidTr="002048AF">
        <w:trPr>
          <w:trHeight w:val="300"/>
        </w:trPr>
        <w:tc>
          <w:tcPr>
            <w:tcW w:w="1740" w:type="dxa"/>
            <w:tcBorders>
              <w:top w:val="nil"/>
              <w:left w:val="single" w:sz="4" w:space="0" w:color="auto"/>
              <w:bottom w:val="single" w:sz="4" w:space="0" w:color="auto"/>
              <w:right w:val="single" w:sz="4" w:space="0" w:color="auto"/>
            </w:tcBorders>
            <w:shd w:val="clear" w:color="auto" w:fill="F2F2F2"/>
            <w:vAlign w:val="center"/>
            <w:hideMark/>
          </w:tcPr>
          <w:p w14:paraId="6AD2F3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Implementation</w:t>
            </w:r>
          </w:p>
        </w:tc>
        <w:tc>
          <w:tcPr>
            <w:tcW w:w="1940" w:type="dxa"/>
            <w:tcBorders>
              <w:top w:val="nil"/>
              <w:left w:val="nil"/>
              <w:bottom w:val="single" w:sz="4" w:space="0" w:color="auto"/>
              <w:right w:val="single" w:sz="4" w:space="0" w:color="auto"/>
            </w:tcBorders>
            <w:shd w:val="clear" w:color="auto" w:fill="F2F2F2"/>
            <w:vAlign w:val="center"/>
            <w:hideMark/>
          </w:tcPr>
          <w:p w14:paraId="39C92A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implementation </w:t>
            </w:r>
          </w:p>
        </w:tc>
        <w:tc>
          <w:tcPr>
            <w:tcW w:w="1540" w:type="dxa"/>
            <w:tcBorders>
              <w:top w:val="nil"/>
              <w:left w:val="nil"/>
              <w:bottom w:val="single" w:sz="4" w:space="0" w:color="auto"/>
              <w:right w:val="single" w:sz="4" w:space="0" w:color="auto"/>
            </w:tcBorders>
            <w:shd w:val="clear" w:color="auto" w:fill="F2F2F2"/>
            <w:vAlign w:val="center"/>
            <w:hideMark/>
          </w:tcPr>
          <w:p w14:paraId="758249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single" w:sz="4" w:space="0" w:color="auto"/>
            </w:tcBorders>
            <w:shd w:val="clear" w:color="auto" w:fill="F2F2F2"/>
            <w:vAlign w:val="center"/>
            <w:hideMark/>
          </w:tcPr>
          <w:p w14:paraId="224BAD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auto" w:fill="F2F2F2"/>
            <w:vAlign w:val="center"/>
            <w:hideMark/>
          </w:tcPr>
          <w:p w14:paraId="4C43C36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Active collaboration</w:t>
            </w:r>
            <w:r w:rsidRPr="002048AF">
              <w:rPr>
                <w:rFonts w:ascii="Calibri" w:eastAsia="Times New Roman" w:hAnsi="Calibri" w:cs="Calibri"/>
                <w:color w:val="000000"/>
                <w:lang w:val="en-GB" w:eastAsia="en-US"/>
              </w:rPr>
              <w:br/>
              <w:t>with membership and</w:t>
            </w:r>
            <w:r w:rsidRPr="002048AF">
              <w:rPr>
                <w:rFonts w:ascii="Calibri" w:eastAsia="Times New Roman" w:hAnsi="Calibri" w:cs="Calibri"/>
                <w:color w:val="000000"/>
                <w:lang w:val="en-GB" w:eastAsia="en-US"/>
              </w:rPr>
              <w:br/>
              <w:t>partners to meet</w:t>
            </w:r>
            <w:r w:rsidRPr="002048AF">
              <w:rPr>
                <w:rFonts w:ascii="Calibri" w:eastAsia="Times New Roman" w:hAnsi="Calibri" w:cs="Calibri"/>
                <w:color w:val="000000"/>
                <w:lang w:val="en-GB" w:eastAsia="en-US"/>
              </w:rPr>
              <w:br/>
            </w:r>
            <w:r w:rsidRPr="002048AF" w:rsidDel="00D4647B">
              <w:rPr>
                <w:rFonts w:ascii="Calibri" w:eastAsia="Times New Roman" w:hAnsi="Calibri" w:cs="Calibri"/>
                <w:color w:val="000000"/>
                <w:lang w:val="en-GB" w:eastAsia="en-US"/>
              </w:rPr>
              <w:t xml:space="preserve">support </w:t>
            </w:r>
            <w:r w:rsidRPr="002048AF">
              <w:rPr>
                <w:rFonts w:ascii="Calibri" w:eastAsia="Times New Roman" w:hAnsi="Calibri" w:cs="Calibri"/>
                <w:color w:val="000000"/>
                <w:lang w:val="en-GB" w:eastAsia="en-US"/>
              </w:rPr>
              <w:t>implementation</w:t>
            </w:r>
          </w:p>
        </w:tc>
      </w:tr>
      <w:tr w:rsidR="002048AF" w:rsidRPr="002048AF" w14:paraId="631B130A" w14:textId="77777777" w:rsidTr="000F5E63">
        <w:trPr>
          <w:trHeight w:val="300"/>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31E7C5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2389632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68AEC2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single" w:sz="4" w:space="0" w:color="auto"/>
              <w:right w:val="single" w:sz="4" w:space="0" w:color="auto"/>
            </w:tcBorders>
            <w:shd w:val="clear" w:color="auto" w:fill="auto"/>
            <w:vAlign w:val="center"/>
            <w:hideMark/>
          </w:tcPr>
          <w:p w14:paraId="13719D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nil"/>
              <w:bottom w:val="single" w:sz="4" w:space="0" w:color="auto"/>
              <w:right w:val="single" w:sz="4" w:space="0" w:color="auto"/>
            </w:tcBorders>
            <w:shd w:val="clear" w:color="auto" w:fill="auto"/>
            <w:vAlign w:val="center"/>
            <w:hideMark/>
          </w:tcPr>
          <w:p w14:paraId="08A5FE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Adequate resources allocated to implement the outcomes of the action plan</w:t>
            </w:r>
          </w:p>
        </w:tc>
      </w:tr>
    </w:tbl>
    <w:p w14:paraId="20B652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0D9194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24EA6E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2026-2029 human resources allocation</w:t>
      </w:r>
    </w:p>
    <w:p w14:paraId="5092777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1BD58BD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FCE6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A2446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A5C9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399F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AB6F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20712AF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624C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2A7B2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C306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D458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4147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48034BE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89ED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640C5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3AFD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2601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1829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r>
      <w:tr w:rsidR="002048AF" w:rsidRPr="002048AF" w14:paraId="3086870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84B5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42A9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78B2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741F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F524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109258D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F74F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A30C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22E2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4670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4A40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17,4</w:t>
            </w:r>
          </w:p>
        </w:tc>
      </w:tr>
      <w:tr w:rsidR="002048AF" w:rsidRPr="002048AF" w14:paraId="0E0A7CB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66FB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D6130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A4D8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1447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4F4CA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15,8</w:t>
            </w:r>
          </w:p>
        </w:tc>
      </w:tr>
      <w:tr w:rsidR="002048AF" w:rsidRPr="002048AF" w14:paraId="672CD05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5FC3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E301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C88D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F5E9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1E5E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16,7</w:t>
            </w:r>
          </w:p>
        </w:tc>
      </w:tr>
      <w:tr w:rsidR="002048AF" w:rsidRPr="002048AF" w14:paraId="1CBC883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425B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CE3C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FEDE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9BB2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708EE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6,0</w:t>
            </w:r>
          </w:p>
        </w:tc>
      </w:tr>
      <w:tr w:rsidR="002048AF" w:rsidRPr="002048AF" w14:paraId="7136202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C30D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EFD82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43F5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38DA8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24B4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631B48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47D72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B8C77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6CB4E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07D1A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8047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0B6AD18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BE788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798C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056B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EAC3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4A88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21,7</w:t>
            </w:r>
          </w:p>
        </w:tc>
      </w:tr>
      <w:tr w:rsidR="002048AF" w:rsidRPr="002048AF" w14:paraId="53261F5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F42E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1ABF9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8E6D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C11593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09870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11,6</w:t>
            </w:r>
          </w:p>
        </w:tc>
      </w:tr>
      <w:tr w:rsidR="002048AF" w:rsidRPr="002048AF" w14:paraId="40B815F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8E20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F7566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D88C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811F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7A5DA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00FC311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12F13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0BD1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E71A1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859F2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BB99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5303659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F33F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CA9D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FC9C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816E7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C524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589848E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45C94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EAB02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9D7C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1CA5B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B33AD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102,2</w:t>
            </w:r>
          </w:p>
        </w:tc>
      </w:tr>
    </w:tbl>
    <w:p w14:paraId="6532DE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6B7D81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2048AF">
        <w:rPr>
          <w:rFonts w:ascii="Calibri" w:eastAsia="Times New Roman" w:hAnsi="Calibri" w:cs="Calibri"/>
          <w:b/>
          <w:bCs/>
          <w:color w:val="632423"/>
          <w:sz w:val="24"/>
          <w:szCs w:val="20"/>
          <w:lang w:val="en-GB" w:eastAsia="en-US"/>
        </w:rPr>
        <w:br w:type="page"/>
      </w:r>
    </w:p>
    <w:p w14:paraId="48E855B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lastRenderedPageBreak/>
        <w:t>2.2</w:t>
      </w:r>
      <w:r w:rsidRPr="002048AF">
        <w:rPr>
          <w:rFonts w:ascii="Calibri" w:eastAsia="Times New Roman" w:hAnsi="Calibri" w:cs="Calibri"/>
          <w:b/>
          <w:bCs/>
          <w:sz w:val="24"/>
          <w:szCs w:val="24"/>
          <w:lang w:val="en-GB" w:eastAsia="en-US"/>
        </w:rPr>
        <w:tab/>
        <w:t>Regional preparatory meetings (RPMs)</w:t>
      </w:r>
    </w:p>
    <w:p w14:paraId="142DC7D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Description</w:t>
      </w:r>
    </w:p>
    <w:p w14:paraId="3B57717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sz w:val="24"/>
          <w:szCs w:val="20"/>
          <w:lang w:val="en-GB" w:eastAsia="en-US"/>
        </w:rPr>
        <w:t xml:space="preserve">Regional Preparatory Meetings (RPM) aim at engaging the membership in the preparations of the </w:t>
      </w:r>
      <w:r w:rsidRPr="002048AF">
        <w:rPr>
          <w:rFonts w:ascii="Calibri" w:eastAsia="Times New Roman" w:hAnsi="Calibri" w:cs="Calibri"/>
          <w:color w:val="000000"/>
          <w:sz w:val="24"/>
          <w:szCs w:val="20"/>
          <w:lang w:val="en-GB" w:eastAsia="en-US"/>
        </w:rPr>
        <w:t xml:space="preserve">World Telecommunication Development Conference (WTDC) </w:t>
      </w:r>
      <w:proofErr w:type="gramStart"/>
      <w:r w:rsidRPr="002048AF">
        <w:rPr>
          <w:rFonts w:ascii="Calibri" w:eastAsia="Times New Roman" w:hAnsi="Calibri" w:cs="Calibri"/>
          <w:color w:val="000000"/>
          <w:sz w:val="24"/>
          <w:szCs w:val="20"/>
          <w:lang w:val="en-GB" w:eastAsia="en-US"/>
        </w:rPr>
        <w:t>in order to</w:t>
      </w:r>
      <w:proofErr w:type="gramEnd"/>
      <w:r w:rsidRPr="002048AF">
        <w:rPr>
          <w:rFonts w:ascii="Calibri" w:eastAsia="Times New Roman" w:hAnsi="Calibri" w:cs="Calibri"/>
          <w:color w:val="000000"/>
          <w:sz w:val="24"/>
          <w:szCs w:val="20"/>
          <w:lang w:val="en-GB" w:eastAsia="en-US"/>
        </w:rPr>
        <w:t xml:space="preserve"> achieve regional coordination before the conference itself. They also seek to identify issues at the regional level that need to be addressed to foster the development of telecommunications and ICTs, </w:t>
      </w:r>
      <w:proofErr w:type="gramStart"/>
      <w:r w:rsidRPr="002048AF">
        <w:rPr>
          <w:rFonts w:ascii="Calibri" w:eastAsia="Times New Roman" w:hAnsi="Calibri" w:cs="Calibri"/>
          <w:color w:val="000000"/>
          <w:sz w:val="24"/>
          <w:szCs w:val="20"/>
          <w:lang w:val="en-GB" w:eastAsia="en-US"/>
        </w:rPr>
        <w:t>taking into account</w:t>
      </w:r>
      <w:proofErr w:type="gramEnd"/>
      <w:r w:rsidRPr="002048AF">
        <w:rPr>
          <w:rFonts w:ascii="Calibri" w:eastAsia="Times New Roman" w:hAnsi="Calibri" w:cs="Calibri"/>
          <w:color w:val="000000"/>
          <w:sz w:val="24"/>
          <w:szCs w:val="20"/>
          <w:lang w:val="en-GB" w:eastAsia="en-US"/>
        </w:rPr>
        <w:t xml:space="preserve"> the most pressing needs faced by the Member States and Sector Members of the region.</w:t>
      </w:r>
    </w:p>
    <w:p w14:paraId="24A7F80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color w:val="000000"/>
          <w:sz w:val="24"/>
          <w:szCs w:val="20"/>
          <w:lang w:val="en-GB" w:eastAsia="en-US"/>
        </w:rPr>
      </w:pPr>
      <w:r w:rsidRPr="002048AF">
        <w:rPr>
          <w:rFonts w:ascii="Calibri" w:eastAsia="Times New Roman" w:hAnsi="Calibri" w:cs="Arial"/>
          <w:color w:val="000000"/>
          <w:sz w:val="24"/>
          <w:szCs w:val="20"/>
          <w:lang w:val="en-GB" w:eastAsia="en-US"/>
        </w:rPr>
        <w:t>Regional Preparatory Meetings are direct services to Members and are organized to achieve greater regional coordination and engage early on Members in the WTDC preparation process. The RPMs are expected to identify top priority areas, which are essential for the telecommunication/ICT development of countries of the region. A final report is produced by each RPM. It covers the following items:</w:t>
      </w:r>
    </w:p>
    <w:p w14:paraId="5AE42287" w14:textId="77777777" w:rsidR="002048AF" w:rsidRPr="002048AF" w:rsidRDefault="002048AF" w:rsidP="002048AF">
      <w:pPr>
        <w:numPr>
          <w:ilvl w:val="1"/>
          <w:numId w:val="21"/>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Identification of priority areas, including the draft WTDC Declaration, draft WTDC contribution to the ITU Strategic Plan, draft WTDC Action Plan and Study Groups.</w:t>
      </w:r>
    </w:p>
    <w:p w14:paraId="7D0D6F07" w14:textId="77777777" w:rsidR="002048AF" w:rsidRPr="002048AF" w:rsidRDefault="002048AF" w:rsidP="002048AF">
      <w:pPr>
        <w:numPr>
          <w:ilvl w:val="1"/>
          <w:numId w:val="21"/>
        </w:numPr>
        <w:tabs>
          <w:tab w:val="clear" w:pos="794"/>
          <w:tab w:val="left" w:pos="1191"/>
          <w:tab w:val="left" w:pos="1588"/>
          <w:tab w:val="left" w:pos="1985"/>
        </w:tabs>
        <w:overflowPunct w:val="0"/>
        <w:autoSpaceDE w:val="0"/>
        <w:autoSpaceDN w:val="0"/>
        <w:bidi w:val="0"/>
        <w:adjustRightInd w:val="0"/>
        <w:spacing w:after="120" w:line="240" w:lineRule="auto"/>
        <w:contextualSpacing/>
        <w:jc w:val="left"/>
        <w:textAlignment w:val="baseline"/>
        <w:rPr>
          <w:rFonts w:ascii="Calibri" w:eastAsia="Times New Roman" w:hAnsi="Calibri" w:cs="Arial"/>
          <w:color w:val="000000"/>
          <w:sz w:val="24"/>
          <w:szCs w:val="20"/>
          <w:lang w:val="en-GB" w:eastAsia="en-US"/>
        </w:rPr>
      </w:pPr>
      <w:r w:rsidRPr="002048AF">
        <w:rPr>
          <w:rFonts w:ascii="Calibri" w:eastAsia="Times New Roman" w:hAnsi="Calibri" w:cs="Arial"/>
          <w:color w:val="000000"/>
          <w:sz w:val="24"/>
          <w:szCs w:val="20"/>
          <w:lang w:val="en-GB" w:eastAsia="en-US"/>
        </w:rPr>
        <w:t>Topics for ITU-D future work (including working methods and Study Group questions) linked to the identified priority areas.</w:t>
      </w:r>
    </w:p>
    <w:p w14:paraId="07696585" w14:textId="77777777" w:rsidR="002048AF" w:rsidRPr="002048AF" w:rsidRDefault="002048AF" w:rsidP="002048AF">
      <w:pPr>
        <w:numPr>
          <w:ilvl w:val="1"/>
          <w:numId w:val="21"/>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Priority setting for the Regional Initiatives.</w:t>
      </w:r>
    </w:p>
    <w:p w14:paraId="71684A19" w14:textId="77777777" w:rsidR="002048AF" w:rsidRPr="002048AF" w:rsidRDefault="002048AF" w:rsidP="002048AF">
      <w:pPr>
        <w:numPr>
          <w:ilvl w:val="1"/>
          <w:numId w:val="21"/>
        </w:numPr>
        <w:tabs>
          <w:tab w:val="clear" w:pos="794"/>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Identification of Regional Initiatives for the Region</w:t>
      </w:r>
    </w:p>
    <w:p w14:paraId="48EF966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p>
    <w:p w14:paraId="2A6A721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The 2025 Regional Preparatory Meetings started in February in the Arab States region, followed by the Europe region in February, the Asia and Pacific in March, and the Americas, </w:t>
      </w:r>
      <w:proofErr w:type="gramStart"/>
      <w:r w:rsidRPr="002048AF">
        <w:rPr>
          <w:rFonts w:ascii="Calibri" w:eastAsia="Times New Roman" w:hAnsi="Calibri" w:cs="Calibri"/>
          <w:color w:val="000000"/>
          <w:sz w:val="24"/>
          <w:szCs w:val="20"/>
          <w:lang w:val="en-GB" w:eastAsia="en-US"/>
        </w:rPr>
        <w:t>Africa</w:t>
      </w:r>
      <w:proofErr w:type="gramEnd"/>
      <w:r w:rsidRPr="002048AF">
        <w:rPr>
          <w:rFonts w:ascii="Calibri" w:eastAsia="Times New Roman" w:hAnsi="Calibri" w:cs="Calibri"/>
          <w:color w:val="000000"/>
          <w:sz w:val="24"/>
          <w:szCs w:val="20"/>
          <w:lang w:val="en-GB" w:eastAsia="en-US"/>
        </w:rPr>
        <w:t xml:space="preserve"> and CIS regions in April.  </w:t>
      </w:r>
    </w:p>
    <w:p w14:paraId="50A7D9C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 w:val="24"/>
          <w:szCs w:val="20"/>
          <w:lang w:val="en-GB" w:eastAsia="en-US"/>
        </w:rPr>
      </w:pPr>
    </w:p>
    <w:p w14:paraId="525AD06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00F9FE3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1026895C"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199AA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F3DC7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346437E9" w14:textId="77777777" w:rsidTr="000F5E63">
        <w:trPr>
          <w:trHeight w:val="2880"/>
        </w:trPr>
        <w:tc>
          <w:tcPr>
            <w:tcW w:w="4180" w:type="dxa"/>
            <w:tcBorders>
              <w:top w:val="nil"/>
              <w:left w:val="single" w:sz="4" w:space="0" w:color="auto"/>
              <w:bottom w:val="nil"/>
              <w:right w:val="single" w:sz="4" w:space="0" w:color="auto"/>
            </w:tcBorders>
            <w:shd w:val="clear" w:color="000000" w:fill="F2F2F2"/>
            <w:hideMark/>
          </w:tcPr>
          <w:p w14:paraId="317038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Effective implementation of the outcomes of Regional preparatory meetings (RPMs) and final report of the RPMS</w:t>
            </w:r>
          </w:p>
        </w:tc>
        <w:tc>
          <w:tcPr>
            <w:tcW w:w="4180" w:type="dxa"/>
            <w:tcBorders>
              <w:top w:val="nil"/>
              <w:left w:val="nil"/>
              <w:bottom w:val="nil"/>
              <w:right w:val="single" w:sz="4" w:space="0" w:color="auto"/>
            </w:tcBorders>
            <w:shd w:val="clear" w:color="000000" w:fill="F2F2F2"/>
            <w:hideMark/>
          </w:tcPr>
          <w:p w14:paraId="393B56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Membership level of understanding and sharing of the ITU-D objectives and outputs</w:t>
            </w:r>
            <w:r w:rsidRPr="002048AF">
              <w:rPr>
                <w:rFonts w:ascii="Calibri" w:eastAsia="Times New Roman" w:hAnsi="Calibri" w:cs="Calibri"/>
                <w:color w:val="000000"/>
                <w:lang w:val="en-GB" w:eastAsia="en-US"/>
              </w:rPr>
              <w:br/>
              <w:t>Declaration approved - level of support/ agreement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Regional cooperation -Level of consensus</w:t>
            </w:r>
          </w:p>
        </w:tc>
      </w:tr>
      <w:tr w:rsidR="002048AF" w:rsidRPr="002048AF" w14:paraId="79DFB970" w14:textId="77777777" w:rsidTr="000F5E6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03C1AC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7F62B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16DA04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br w:type="page"/>
      </w:r>
    </w:p>
    <w:p w14:paraId="44F379E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2026 Threat and risk assessment</w:t>
      </w:r>
    </w:p>
    <w:tbl>
      <w:tblPr>
        <w:tblW w:w="9209" w:type="dxa"/>
        <w:tblLook w:val="04A0" w:firstRow="1" w:lastRow="0" w:firstColumn="1" w:lastColumn="0" w:noHBand="0" w:noVBand="1"/>
      </w:tblPr>
      <w:tblGrid>
        <w:gridCol w:w="1660"/>
        <w:gridCol w:w="80"/>
        <w:gridCol w:w="1940"/>
        <w:gridCol w:w="1540"/>
        <w:gridCol w:w="1540"/>
        <w:gridCol w:w="2389"/>
        <w:gridCol w:w="60"/>
      </w:tblGrid>
      <w:tr w:rsidR="002048AF" w:rsidRPr="002048AF" w14:paraId="19EA354B"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979CA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gridSpan w:val="2"/>
            <w:tcBorders>
              <w:top w:val="single" w:sz="4" w:space="0" w:color="auto"/>
              <w:left w:val="nil"/>
              <w:bottom w:val="single" w:sz="4" w:space="0" w:color="auto"/>
              <w:right w:val="single" w:sz="4" w:space="0" w:color="auto"/>
            </w:tcBorders>
            <w:shd w:val="clear" w:color="000000" w:fill="70A288"/>
            <w:noWrap/>
            <w:vAlign w:val="bottom"/>
            <w:hideMark/>
          </w:tcPr>
          <w:p w14:paraId="1262A7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DB880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5A32E8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449" w:type="dxa"/>
            <w:gridSpan w:val="2"/>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E06E7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1D0BAA13" w14:textId="77777777" w:rsidTr="000F5E63">
        <w:trPr>
          <w:gridAfter w:val="1"/>
          <w:wAfter w:w="60" w:type="dxa"/>
          <w:trHeight w:val="300"/>
        </w:trPr>
        <w:tc>
          <w:tcPr>
            <w:tcW w:w="1740" w:type="dxa"/>
            <w:gridSpan w:val="2"/>
            <w:tcBorders>
              <w:top w:val="nil"/>
              <w:left w:val="single" w:sz="4" w:space="0" w:color="auto"/>
              <w:bottom w:val="single" w:sz="4" w:space="0" w:color="auto"/>
              <w:right w:val="single" w:sz="4" w:space="0" w:color="auto"/>
            </w:tcBorders>
            <w:shd w:val="clear" w:color="auto" w:fill="auto"/>
            <w:vAlign w:val="center"/>
            <w:hideMark/>
          </w:tcPr>
          <w:p w14:paraId="490B44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Financial resources </w:t>
            </w:r>
          </w:p>
        </w:tc>
        <w:tc>
          <w:tcPr>
            <w:tcW w:w="1940" w:type="dxa"/>
            <w:tcBorders>
              <w:top w:val="nil"/>
              <w:left w:val="nil"/>
              <w:bottom w:val="single" w:sz="4" w:space="0" w:color="auto"/>
              <w:right w:val="single" w:sz="4" w:space="0" w:color="auto"/>
            </w:tcBorders>
            <w:shd w:val="clear" w:color="auto" w:fill="auto"/>
            <w:vAlign w:val="center"/>
            <w:hideMark/>
          </w:tcPr>
          <w:p w14:paraId="504837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Lack of resources to implement the action plan </w:t>
            </w:r>
          </w:p>
        </w:tc>
        <w:tc>
          <w:tcPr>
            <w:tcW w:w="1540" w:type="dxa"/>
            <w:tcBorders>
              <w:top w:val="nil"/>
              <w:left w:val="nil"/>
              <w:bottom w:val="single" w:sz="4" w:space="0" w:color="auto"/>
              <w:right w:val="single" w:sz="4" w:space="0" w:color="auto"/>
            </w:tcBorders>
            <w:shd w:val="clear" w:color="auto" w:fill="auto"/>
            <w:vAlign w:val="center"/>
            <w:hideMark/>
          </w:tcPr>
          <w:p w14:paraId="7D91C1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single" w:sz="4" w:space="0" w:color="auto"/>
              <w:right w:val="single" w:sz="4" w:space="0" w:color="auto"/>
            </w:tcBorders>
            <w:shd w:val="clear" w:color="auto" w:fill="auto"/>
            <w:vAlign w:val="center"/>
            <w:hideMark/>
          </w:tcPr>
          <w:p w14:paraId="5BA66E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389" w:type="dxa"/>
            <w:tcBorders>
              <w:top w:val="nil"/>
              <w:left w:val="nil"/>
              <w:bottom w:val="single" w:sz="4" w:space="0" w:color="auto"/>
              <w:right w:val="single" w:sz="4" w:space="0" w:color="auto"/>
            </w:tcBorders>
            <w:shd w:val="clear" w:color="auto" w:fill="auto"/>
            <w:vAlign w:val="center"/>
            <w:hideMark/>
          </w:tcPr>
          <w:p w14:paraId="1AE9F9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Adequate resources allocated to implement the outcomes of the action plan</w:t>
            </w:r>
          </w:p>
        </w:tc>
      </w:tr>
    </w:tbl>
    <w:p w14:paraId="638859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00E2DD8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1A58BFA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0927B83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BC89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038F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AE30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9905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6328F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7E747DD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D2F5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1053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6FD7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9BE8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427AF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6D01864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60D9E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88F0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787D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6871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D2A4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5,1</w:t>
            </w:r>
          </w:p>
        </w:tc>
      </w:tr>
      <w:tr w:rsidR="002048AF" w:rsidRPr="002048AF" w14:paraId="0D440D1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8945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4CAA4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F2D58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A950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8570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3D81C49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B6BE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B59A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0512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9DA6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FC7E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9,6</w:t>
            </w:r>
          </w:p>
        </w:tc>
      </w:tr>
      <w:tr w:rsidR="002048AF" w:rsidRPr="002048AF" w14:paraId="34BA4E1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6098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2C061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959D7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B58D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FAAC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8,5</w:t>
            </w:r>
          </w:p>
        </w:tc>
      </w:tr>
      <w:tr w:rsidR="002048AF" w:rsidRPr="002048AF" w14:paraId="70BF146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A5219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9E96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F6AF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CAC3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CAF8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10,0</w:t>
            </w:r>
          </w:p>
        </w:tc>
      </w:tr>
      <w:tr w:rsidR="002048AF" w:rsidRPr="002048AF" w14:paraId="759808B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7E44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1C8C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381F7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E1BAD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CB05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3,2</w:t>
            </w:r>
          </w:p>
        </w:tc>
      </w:tr>
      <w:tr w:rsidR="002048AF" w:rsidRPr="002048AF" w14:paraId="459C47C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92F3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9457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9DF80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5E17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ACA15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2A150BA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7985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BF486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E225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CE30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520E5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01A7F29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46DD7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F7A39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4AF9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5EC8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466B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r>
      <w:tr w:rsidR="002048AF" w:rsidRPr="002048AF" w14:paraId="7D3BBE2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115B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EB3C4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7463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1221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9312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6,6</w:t>
            </w:r>
          </w:p>
        </w:tc>
      </w:tr>
      <w:tr w:rsidR="002048AF" w:rsidRPr="002048AF" w14:paraId="7166B69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FAE5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5407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A20F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394F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2BA554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r>
      <w:tr w:rsidR="002048AF" w:rsidRPr="002048AF" w14:paraId="6E1035A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77E6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DCEF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CE2BC9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6924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A084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3AB20E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E7F5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C13C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2902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B59A0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7460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833875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193A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DD3D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8D99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3D95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8BFB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57,4</w:t>
            </w:r>
          </w:p>
        </w:tc>
      </w:tr>
      <w:tr w:rsidR="002048AF" w:rsidRPr="002048AF" w14:paraId="1209B12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DB15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EC194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668FA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A2C7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FC86E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p w14:paraId="7754FA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18DDABF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2.3</w:t>
      </w:r>
      <w:r w:rsidRPr="002048AF">
        <w:rPr>
          <w:rFonts w:ascii="Calibri" w:eastAsia="Times New Roman" w:hAnsi="Calibri" w:cs="Calibri"/>
          <w:b/>
          <w:bCs/>
          <w:sz w:val="24"/>
          <w:szCs w:val="24"/>
          <w:lang w:val="en-GB" w:eastAsia="en-US"/>
        </w:rPr>
        <w:tab/>
        <w:t>Telecommunication Development Advisory Group (TDAG)</w:t>
      </w:r>
    </w:p>
    <w:p w14:paraId="0B1BD0B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4521F09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TDAG prepares a report for the Director of the Telecommunication Development Bureau indicating action in respect of the following items:</w:t>
      </w:r>
    </w:p>
    <w:p w14:paraId="4217A5F9" w14:textId="77777777" w:rsidR="002048AF" w:rsidRPr="002048AF" w:rsidRDefault="002048AF" w:rsidP="002048AF">
      <w:pPr>
        <w:numPr>
          <w:ilvl w:val="1"/>
          <w:numId w:val="2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Working procedures.</w:t>
      </w:r>
    </w:p>
    <w:p w14:paraId="2047287C" w14:textId="77777777" w:rsidR="002048AF" w:rsidRPr="002048AF" w:rsidRDefault="002048AF" w:rsidP="002048AF">
      <w:pPr>
        <w:numPr>
          <w:ilvl w:val="1"/>
          <w:numId w:val="2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Cooperation and coordination with the Radiocommunication Sector, the Telecommunication Standardization Sector, and the General Secretariat.</w:t>
      </w:r>
    </w:p>
    <w:p w14:paraId="64E8ED85" w14:textId="77777777" w:rsidR="002048AF" w:rsidRPr="002048AF" w:rsidRDefault="002048AF" w:rsidP="002048AF">
      <w:pPr>
        <w:numPr>
          <w:ilvl w:val="1"/>
          <w:numId w:val="2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Guidelines for the work of study groups.</w:t>
      </w:r>
    </w:p>
    <w:p w14:paraId="56ECE44D" w14:textId="77777777" w:rsidR="002048AF" w:rsidRPr="002048AF" w:rsidRDefault="002048AF" w:rsidP="002048AF">
      <w:pPr>
        <w:numPr>
          <w:ilvl w:val="1"/>
          <w:numId w:val="2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Progress in the implementation of the programme of work.</w:t>
      </w:r>
    </w:p>
    <w:p w14:paraId="58FF47C5" w14:textId="77777777" w:rsidR="002048AF" w:rsidRPr="002048AF" w:rsidRDefault="002048AF" w:rsidP="002048AF">
      <w:pPr>
        <w:numPr>
          <w:ilvl w:val="1"/>
          <w:numId w:val="22"/>
        </w:numPr>
        <w:tabs>
          <w:tab w:val="clear" w:pos="794"/>
          <w:tab w:val="left" w:pos="1191"/>
          <w:tab w:val="left" w:pos="1588"/>
          <w:tab w:val="left" w:pos="1985"/>
        </w:tabs>
        <w:overflowPunct w:val="0"/>
        <w:autoSpaceDE w:val="0"/>
        <w:autoSpaceDN w:val="0"/>
        <w:bidi w:val="0"/>
        <w:adjustRightInd w:val="0"/>
        <w:spacing w:before="60" w:after="60" w:line="240" w:lineRule="auto"/>
        <w:ind w:left="714" w:hanging="357"/>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lastRenderedPageBreak/>
        <w:t>Implementation of the operational plan of the preceding period.</w:t>
      </w:r>
    </w:p>
    <w:p w14:paraId="54713CB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Furthermore, TDAG prepares a report for the World Telecommunication Development Conference on the matters assigned to it in accordance with No. 213A of the ITU Convention and transmits it to the Director for submission to the conference.</w:t>
      </w:r>
    </w:p>
    <w:p w14:paraId="173209E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sz w:val="24"/>
          <w:szCs w:val="24"/>
          <w:lang w:val="en-GB" w:eastAsia="en-US"/>
        </w:rPr>
        <w:t>Additionally, TDAG may identify priority areas, including the draft WTDC Declaration, draft WTDC contribution to the ITU Strategic Plan, draft WTDC Action Plan and Study Groups.</w:t>
      </w:r>
    </w:p>
    <w:p w14:paraId="75B28DD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5DF8C11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2B150BA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620"/>
        <w:gridCol w:w="2620"/>
        <w:gridCol w:w="2620"/>
        <w:gridCol w:w="1780"/>
      </w:tblGrid>
      <w:tr w:rsidR="002048AF" w:rsidRPr="002048AF" w14:paraId="1084AD76" w14:textId="77777777" w:rsidTr="000F5E63">
        <w:trPr>
          <w:trHeight w:val="1020"/>
        </w:trPr>
        <w:tc>
          <w:tcPr>
            <w:tcW w:w="2620" w:type="dxa"/>
            <w:tcBorders>
              <w:top w:val="single" w:sz="4" w:space="0" w:color="auto"/>
              <w:left w:val="single" w:sz="4" w:space="0" w:color="auto"/>
              <w:bottom w:val="single" w:sz="4" w:space="0" w:color="auto"/>
              <w:right w:val="single" w:sz="4" w:space="0" w:color="auto"/>
            </w:tcBorders>
            <w:shd w:val="clear" w:color="auto" w:fill="02385E"/>
            <w:vAlign w:val="center"/>
            <w:hideMark/>
          </w:tcPr>
          <w:p w14:paraId="616C5C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auto" w:fill="70A288"/>
            <w:vAlign w:val="center"/>
            <w:hideMark/>
          </w:tcPr>
          <w:p w14:paraId="1523D2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auto" w:fill="DAB785"/>
            <w:vAlign w:val="center"/>
            <w:hideMark/>
          </w:tcPr>
          <w:p w14:paraId="1A3F91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auto" w:fill="D6896F"/>
            <w:vAlign w:val="center"/>
            <w:hideMark/>
          </w:tcPr>
          <w:p w14:paraId="13B1368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16698B88" w14:textId="77777777" w:rsidTr="002048AF">
        <w:trPr>
          <w:trHeight w:val="2060"/>
        </w:trPr>
        <w:tc>
          <w:tcPr>
            <w:tcW w:w="2620" w:type="dxa"/>
            <w:tcBorders>
              <w:top w:val="nil"/>
              <w:left w:val="single" w:sz="4" w:space="0" w:color="auto"/>
              <w:bottom w:val="nil"/>
              <w:right w:val="single" w:sz="4" w:space="0" w:color="auto"/>
            </w:tcBorders>
            <w:shd w:val="clear" w:color="auto" w:fill="FFFFFF"/>
            <w:hideMark/>
          </w:tcPr>
          <w:p w14:paraId="4CFF3C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Preparation and organization of the 30th meeting of TDAG and implementation of the recommendations and advice</w:t>
            </w:r>
          </w:p>
        </w:tc>
        <w:tc>
          <w:tcPr>
            <w:tcW w:w="2620" w:type="dxa"/>
            <w:tcBorders>
              <w:top w:val="nil"/>
              <w:left w:val="nil"/>
              <w:bottom w:val="nil"/>
              <w:right w:val="single" w:sz="4" w:space="0" w:color="auto"/>
            </w:tcBorders>
            <w:shd w:val="clear" w:color="auto" w:fill="FFFFFF"/>
            <w:hideMark/>
          </w:tcPr>
          <w:p w14:paraId="76D3AD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Successful organization of the 31st meeting of TDAG. All regions represented and actively participated </w:t>
            </w:r>
          </w:p>
        </w:tc>
        <w:tc>
          <w:tcPr>
            <w:tcW w:w="2620" w:type="dxa"/>
            <w:tcBorders>
              <w:top w:val="nil"/>
              <w:left w:val="nil"/>
              <w:bottom w:val="nil"/>
              <w:right w:val="single" w:sz="4" w:space="0" w:color="auto"/>
            </w:tcBorders>
            <w:shd w:val="clear" w:color="auto" w:fill="FFFFFF"/>
            <w:hideMark/>
          </w:tcPr>
          <w:p w14:paraId="31BF36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preparation and distribution of the documents </w:t>
            </w:r>
          </w:p>
        </w:tc>
        <w:tc>
          <w:tcPr>
            <w:tcW w:w="1780" w:type="dxa"/>
            <w:tcBorders>
              <w:top w:val="nil"/>
              <w:left w:val="nil"/>
              <w:bottom w:val="nil"/>
              <w:right w:val="single" w:sz="4" w:space="0" w:color="auto"/>
            </w:tcBorders>
            <w:shd w:val="clear" w:color="auto" w:fill="FFFFFF"/>
            <w:hideMark/>
          </w:tcPr>
          <w:p w14:paraId="0F9D08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08BAE143" w14:textId="77777777" w:rsidTr="002048AF">
        <w:trPr>
          <w:trHeight w:val="960"/>
        </w:trPr>
        <w:tc>
          <w:tcPr>
            <w:tcW w:w="2620" w:type="dxa"/>
            <w:tcBorders>
              <w:top w:val="nil"/>
              <w:left w:val="single" w:sz="4" w:space="0" w:color="auto"/>
              <w:bottom w:val="nil"/>
              <w:right w:val="single" w:sz="4" w:space="0" w:color="auto"/>
            </w:tcBorders>
            <w:shd w:val="clear" w:color="auto" w:fill="F2F2F2"/>
            <w:hideMark/>
          </w:tcPr>
          <w:p w14:paraId="6A1AAF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Regional support to the TDAG activities,</w:t>
            </w:r>
            <w:r w:rsidRPr="002048AF">
              <w:rPr>
                <w:rFonts w:ascii="Calibri" w:eastAsia="Times New Roman" w:hAnsi="Calibri" w:cs="Calibri"/>
                <w:color w:val="000000"/>
                <w:lang w:val="en-GB" w:eastAsia="en-US"/>
              </w:rPr>
              <w:br/>
              <w:t>mainly the TDAG meetings</w:t>
            </w:r>
          </w:p>
        </w:tc>
        <w:tc>
          <w:tcPr>
            <w:tcW w:w="2620" w:type="dxa"/>
            <w:tcBorders>
              <w:top w:val="nil"/>
              <w:left w:val="nil"/>
              <w:bottom w:val="nil"/>
              <w:right w:val="single" w:sz="4" w:space="0" w:color="auto"/>
            </w:tcBorders>
            <w:shd w:val="clear" w:color="auto" w:fill="F2F2F2"/>
            <w:hideMark/>
          </w:tcPr>
          <w:p w14:paraId="1CC4277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Docs processed and made available for each session</w:t>
            </w:r>
          </w:p>
        </w:tc>
        <w:tc>
          <w:tcPr>
            <w:tcW w:w="2620" w:type="dxa"/>
            <w:tcBorders>
              <w:top w:val="nil"/>
              <w:left w:val="nil"/>
              <w:bottom w:val="nil"/>
              <w:right w:val="single" w:sz="4" w:space="0" w:color="auto"/>
            </w:tcBorders>
            <w:shd w:val="clear" w:color="auto" w:fill="F2F2F2"/>
            <w:hideMark/>
          </w:tcPr>
          <w:p w14:paraId="2C29E7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processing and posting of contributions </w:t>
            </w:r>
          </w:p>
        </w:tc>
        <w:tc>
          <w:tcPr>
            <w:tcW w:w="1780" w:type="dxa"/>
            <w:tcBorders>
              <w:top w:val="nil"/>
              <w:left w:val="nil"/>
              <w:bottom w:val="nil"/>
              <w:right w:val="single" w:sz="4" w:space="0" w:color="auto"/>
            </w:tcBorders>
            <w:shd w:val="clear" w:color="auto" w:fill="F2F2F2"/>
            <w:hideMark/>
          </w:tcPr>
          <w:p w14:paraId="5E9B593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1F5B1008" w14:textId="77777777" w:rsidTr="002048AF">
        <w:trPr>
          <w:trHeight w:val="640"/>
        </w:trPr>
        <w:tc>
          <w:tcPr>
            <w:tcW w:w="2620" w:type="dxa"/>
            <w:tcBorders>
              <w:top w:val="nil"/>
              <w:left w:val="single" w:sz="4" w:space="0" w:color="auto"/>
              <w:bottom w:val="nil"/>
              <w:right w:val="single" w:sz="4" w:space="0" w:color="auto"/>
            </w:tcBorders>
            <w:shd w:val="clear" w:color="auto" w:fill="auto"/>
            <w:hideMark/>
          </w:tcPr>
          <w:p w14:paraId="04607C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auto" w:fill="FFFFFF"/>
            <w:hideMark/>
          </w:tcPr>
          <w:p w14:paraId="04A7D1D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TDAG report disseminated </w:t>
            </w:r>
          </w:p>
        </w:tc>
        <w:tc>
          <w:tcPr>
            <w:tcW w:w="2620" w:type="dxa"/>
            <w:tcBorders>
              <w:top w:val="nil"/>
              <w:left w:val="nil"/>
              <w:bottom w:val="nil"/>
              <w:right w:val="single" w:sz="4" w:space="0" w:color="auto"/>
            </w:tcBorders>
            <w:shd w:val="clear" w:color="auto" w:fill="FFFFFF"/>
            <w:hideMark/>
          </w:tcPr>
          <w:p w14:paraId="352A46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Relevance of the contributions received</w:t>
            </w:r>
          </w:p>
        </w:tc>
        <w:tc>
          <w:tcPr>
            <w:tcW w:w="1780" w:type="dxa"/>
            <w:tcBorders>
              <w:top w:val="nil"/>
              <w:left w:val="nil"/>
              <w:bottom w:val="nil"/>
              <w:right w:val="single" w:sz="4" w:space="0" w:color="auto"/>
            </w:tcBorders>
            <w:shd w:val="clear" w:color="auto" w:fill="FFFFFF"/>
            <w:hideMark/>
          </w:tcPr>
          <w:p w14:paraId="31EAFF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16C78E84" w14:textId="77777777" w:rsidTr="002048AF">
        <w:trPr>
          <w:trHeight w:val="320"/>
        </w:trPr>
        <w:tc>
          <w:tcPr>
            <w:tcW w:w="2620" w:type="dxa"/>
            <w:tcBorders>
              <w:top w:val="nil"/>
              <w:left w:val="single" w:sz="4" w:space="0" w:color="auto"/>
              <w:bottom w:val="nil"/>
              <w:right w:val="single" w:sz="4" w:space="0" w:color="auto"/>
            </w:tcBorders>
            <w:shd w:val="clear" w:color="auto" w:fill="F2F2F2"/>
            <w:vAlign w:val="center"/>
            <w:hideMark/>
          </w:tcPr>
          <w:p w14:paraId="0382B8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auto" w:fill="F2F2F2"/>
            <w:vAlign w:val="center"/>
            <w:hideMark/>
          </w:tcPr>
          <w:p w14:paraId="48F79B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620" w:type="dxa"/>
            <w:tcBorders>
              <w:top w:val="nil"/>
              <w:left w:val="nil"/>
              <w:bottom w:val="nil"/>
              <w:right w:val="single" w:sz="4" w:space="0" w:color="auto"/>
            </w:tcBorders>
            <w:shd w:val="clear" w:color="auto" w:fill="F2F2F2"/>
            <w:vAlign w:val="center"/>
            <w:hideMark/>
          </w:tcPr>
          <w:p w14:paraId="5E0756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participants</w:t>
            </w:r>
          </w:p>
        </w:tc>
        <w:tc>
          <w:tcPr>
            <w:tcW w:w="1780" w:type="dxa"/>
            <w:tcBorders>
              <w:top w:val="nil"/>
              <w:left w:val="nil"/>
              <w:bottom w:val="nil"/>
              <w:right w:val="single" w:sz="4" w:space="0" w:color="auto"/>
            </w:tcBorders>
            <w:shd w:val="clear" w:color="auto" w:fill="F2F2F2"/>
            <w:vAlign w:val="center"/>
            <w:hideMark/>
          </w:tcPr>
          <w:p w14:paraId="5A87620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7025CDD2" w14:textId="77777777" w:rsidTr="002048AF">
        <w:trPr>
          <w:trHeight w:val="960"/>
        </w:trPr>
        <w:tc>
          <w:tcPr>
            <w:tcW w:w="2620" w:type="dxa"/>
            <w:tcBorders>
              <w:top w:val="nil"/>
              <w:left w:val="single" w:sz="4" w:space="0" w:color="auto"/>
              <w:bottom w:val="nil"/>
              <w:right w:val="single" w:sz="4" w:space="0" w:color="auto"/>
            </w:tcBorders>
            <w:shd w:val="clear" w:color="auto" w:fill="FFFFFF"/>
            <w:hideMark/>
          </w:tcPr>
          <w:p w14:paraId="00B322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620" w:type="dxa"/>
            <w:tcBorders>
              <w:top w:val="nil"/>
              <w:left w:val="nil"/>
              <w:bottom w:val="nil"/>
              <w:right w:val="nil"/>
            </w:tcBorders>
            <w:shd w:val="clear" w:color="auto" w:fill="auto"/>
            <w:hideMark/>
          </w:tcPr>
          <w:p w14:paraId="73487C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tcBorders>
              <w:top w:val="nil"/>
              <w:left w:val="single" w:sz="4" w:space="0" w:color="auto"/>
              <w:bottom w:val="nil"/>
              <w:right w:val="single" w:sz="4" w:space="0" w:color="auto"/>
            </w:tcBorders>
            <w:shd w:val="clear" w:color="auto" w:fill="FFFFFF"/>
            <w:hideMark/>
          </w:tcPr>
          <w:p w14:paraId="3EE6FE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Dissemination of the final summary of the TDAG meeting </w:t>
            </w:r>
          </w:p>
        </w:tc>
        <w:tc>
          <w:tcPr>
            <w:tcW w:w="1780" w:type="dxa"/>
            <w:tcBorders>
              <w:top w:val="nil"/>
              <w:left w:val="nil"/>
              <w:bottom w:val="nil"/>
              <w:right w:val="single" w:sz="4" w:space="0" w:color="auto"/>
            </w:tcBorders>
            <w:shd w:val="clear" w:color="auto" w:fill="FFFFFF"/>
            <w:hideMark/>
          </w:tcPr>
          <w:p w14:paraId="3ED0ED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7F87DAF4" w14:textId="77777777" w:rsidTr="002048AF">
        <w:trPr>
          <w:trHeight w:val="140"/>
        </w:trPr>
        <w:tc>
          <w:tcPr>
            <w:tcW w:w="2620" w:type="dxa"/>
            <w:tcBorders>
              <w:top w:val="nil"/>
              <w:left w:val="single" w:sz="4" w:space="0" w:color="auto"/>
              <w:bottom w:val="single" w:sz="4" w:space="0" w:color="auto"/>
              <w:right w:val="single" w:sz="4" w:space="0" w:color="auto"/>
            </w:tcBorders>
            <w:shd w:val="clear" w:color="auto" w:fill="FFFFFF"/>
            <w:vAlign w:val="center"/>
            <w:hideMark/>
          </w:tcPr>
          <w:p w14:paraId="7555F2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7D40BE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auto" w:fill="FFFFFF"/>
            <w:vAlign w:val="center"/>
            <w:hideMark/>
          </w:tcPr>
          <w:p w14:paraId="37EB05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auto" w:fill="FFFFFF"/>
            <w:vAlign w:val="center"/>
            <w:hideMark/>
          </w:tcPr>
          <w:p w14:paraId="4E3C6F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19E7C2FF"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sz w:val="24"/>
          <w:szCs w:val="20"/>
          <w:lang w:val="en-GB" w:eastAsia="en-US"/>
        </w:rPr>
      </w:pPr>
    </w:p>
    <w:p w14:paraId="6B3069F4"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1A8C528F" w14:textId="77777777" w:rsidTr="000F5E63">
        <w:trPr>
          <w:trHeight w:val="680"/>
        </w:trPr>
        <w:tc>
          <w:tcPr>
            <w:tcW w:w="2020" w:type="dxa"/>
            <w:shd w:val="clear" w:color="000000" w:fill="02385E"/>
            <w:vAlign w:val="center"/>
            <w:hideMark/>
          </w:tcPr>
          <w:p w14:paraId="3B5DB4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14D3D4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1D7D47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6A3F54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60610035" w14:textId="77777777" w:rsidTr="000F5E63">
        <w:trPr>
          <w:trHeight w:val="1700"/>
        </w:trPr>
        <w:tc>
          <w:tcPr>
            <w:tcW w:w="2020" w:type="dxa"/>
            <w:shd w:val="clear" w:color="000000" w:fill="F2F2F2"/>
            <w:vAlign w:val="center"/>
            <w:hideMark/>
          </w:tcPr>
          <w:p w14:paraId="1447EB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Organizational</w:t>
            </w:r>
          </w:p>
        </w:tc>
        <w:tc>
          <w:tcPr>
            <w:tcW w:w="2020" w:type="dxa"/>
            <w:shd w:val="clear" w:color="000000" w:fill="F2F2F2"/>
            <w:vAlign w:val="center"/>
            <w:hideMark/>
          </w:tcPr>
          <w:p w14:paraId="261406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None </w:t>
            </w:r>
          </w:p>
        </w:tc>
        <w:tc>
          <w:tcPr>
            <w:tcW w:w="2020" w:type="dxa"/>
            <w:shd w:val="clear" w:color="000000" w:fill="F2F2F2"/>
            <w:vAlign w:val="center"/>
            <w:hideMark/>
          </w:tcPr>
          <w:p w14:paraId="695536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N/A </w:t>
            </w:r>
          </w:p>
        </w:tc>
        <w:tc>
          <w:tcPr>
            <w:tcW w:w="2500" w:type="dxa"/>
            <w:shd w:val="clear" w:color="000000" w:fill="F2F2F2"/>
            <w:vAlign w:val="center"/>
          </w:tcPr>
          <w:p w14:paraId="0527BB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r>
      <w:tr w:rsidR="002048AF" w:rsidRPr="002048AF" w14:paraId="2E04CF00" w14:textId="77777777" w:rsidTr="000F5E63">
        <w:trPr>
          <w:trHeight w:val="2040"/>
        </w:trPr>
        <w:tc>
          <w:tcPr>
            <w:tcW w:w="2020" w:type="dxa"/>
            <w:shd w:val="clear" w:color="000000" w:fill="FFFFFF"/>
            <w:vAlign w:val="center"/>
            <w:hideMark/>
          </w:tcPr>
          <w:p w14:paraId="0451E9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lastRenderedPageBreak/>
              <w:t>Financial / Resources</w:t>
            </w:r>
          </w:p>
        </w:tc>
        <w:tc>
          <w:tcPr>
            <w:tcW w:w="2020" w:type="dxa"/>
            <w:shd w:val="clear" w:color="000000" w:fill="FFFFFF"/>
            <w:vAlign w:val="center"/>
            <w:hideMark/>
          </w:tcPr>
          <w:p w14:paraId="556F95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None</w:t>
            </w:r>
          </w:p>
        </w:tc>
        <w:tc>
          <w:tcPr>
            <w:tcW w:w="2020" w:type="dxa"/>
            <w:shd w:val="clear" w:color="000000" w:fill="FFFFFF"/>
            <w:vAlign w:val="center"/>
            <w:hideMark/>
          </w:tcPr>
          <w:p w14:paraId="34BE6C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N/A</w:t>
            </w:r>
          </w:p>
        </w:tc>
        <w:tc>
          <w:tcPr>
            <w:tcW w:w="2500" w:type="dxa"/>
            <w:shd w:val="clear" w:color="000000" w:fill="FFFFFF"/>
            <w:vAlign w:val="center"/>
          </w:tcPr>
          <w:p w14:paraId="085B34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r>
    </w:tbl>
    <w:p w14:paraId="0985ED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1F5DB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7FFF76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Arial"/>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2855C6EB"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66D7F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31B282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0D45226D" w14:textId="77777777" w:rsidTr="000F5E6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7DBCF2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Preparation and organization of the 32nd meeting of TDAG and implementation of the recommendations and advice</w:t>
            </w:r>
          </w:p>
        </w:tc>
        <w:tc>
          <w:tcPr>
            <w:tcW w:w="4180" w:type="dxa"/>
            <w:tcBorders>
              <w:top w:val="nil"/>
              <w:left w:val="nil"/>
              <w:bottom w:val="nil"/>
              <w:right w:val="single" w:sz="4" w:space="0" w:color="auto"/>
            </w:tcBorders>
            <w:shd w:val="clear" w:color="000000" w:fill="FFFFFF"/>
            <w:vAlign w:val="center"/>
            <w:hideMark/>
          </w:tcPr>
          <w:p w14:paraId="54BA61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preparation and distribution of the documents </w:t>
            </w:r>
          </w:p>
        </w:tc>
      </w:tr>
      <w:tr w:rsidR="002048AF" w:rsidRPr="002048AF" w14:paraId="4B247F87" w14:textId="77777777" w:rsidTr="000F5E6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304665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Regional support to the TDAG activities,</w:t>
            </w:r>
            <w:r w:rsidRPr="002048AF">
              <w:rPr>
                <w:rFonts w:ascii="Calibri" w:eastAsia="Times New Roman" w:hAnsi="Calibri" w:cs="Calibri"/>
                <w:color w:val="000000"/>
                <w:lang w:val="en-GB" w:eastAsia="en-US"/>
              </w:rPr>
              <w:br/>
              <w:t>mainly the TDAG meetings</w:t>
            </w:r>
          </w:p>
        </w:tc>
        <w:tc>
          <w:tcPr>
            <w:tcW w:w="4180" w:type="dxa"/>
            <w:tcBorders>
              <w:top w:val="nil"/>
              <w:left w:val="nil"/>
              <w:bottom w:val="nil"/>
              <w:right w:val="single" w:sz="4" w:space="0" w:color="auto"/>
            </w:tcBorders>
            <w:shd w:val="clear" w:color="000000" w:fill="F2F2F2"/>
            <w:vAlign w:val="center"/>
            <w:hideMark/>
          </w:tcPr>
          <w:p w14:paraId="17C3BC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processing and posting of contributions </w:t>
            </w:r>
          </w:p>
        </w:tc>
      </w:tr>
      <w:tr w:rsidR="002048AF" w:rsidRPr="002048AF" w14:paraId="70C5D2F1" w14:textId="77777777" w:rsidTr="000F5E63">
        <w:trPr>
          <w:trHeight w:val="320"/>
        </w:trPr>
        <w:tc>
          <w:tcPr>
            <w:tcW w:w="4180" w:type="dxa"/>
            <w:tcBorders>
              <w:top w:val="nil"/>
              <w:left w:val="single" w:sz="4" w:space="0" w:color="auto"/>
              <w:bottom w:val="nil"/>
              <w:right w:val="single" w:sz="4" w:space="0" w:color="auto"/>
            </w:tcBorders>
            <w:shd w:val="clear" w:color="auto" w:fill="auto"/>
            <w:noWrap/>
            <w:vAlign w:val="bottom"/>
            <w:hideMark/>
          </w:tcPr>
          <w:p w14:paraId="523D3A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FFFFF"/>
            <w:vAlign w:val="center"/>
            <w:hideMark/>
          </w:tcPr>
          <w:p w14:paraId="1208A5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Relevance of the contributions received</w:t>
            </w:r>
          </w:p>
        </w:tc>
      </w:tr>
      <w:tr w:rsidR="002048AF" w:rsidRPr="002048AF" w14:paraId="22A91D91" w14:textId="77777777" w:rsidTr="000F5E63">
        <w:trPr>
          <w:trHeight w:val="320"/>
        </w:trPr>
        <w:tc>
          <w:tcPr>
            <w:tcW w:w="4180" w:type="dxa"/>
            <w:tcBorders>
              <w:top w:val="nil"/>
              <w:left w:val="single" w:sz="4" w:space="0" w:color="auto"/>
              <w:bottom w:val="nil"/>
              <w:right w:val="single" w:sz="4" w:space="0" w:color="auto"/>
            </w:tcBorders>
            <w:shd w:val="clear" w:color="000000" w:fill="F2F2F2"/>
            <w:vAlign w:val="center"/>
            <w:hideMark/>
          </w:tcPr>
          <w:p w14:paraId="703A6B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0C2C82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participants</w:t>
            </w:r>
          </w:p>
        </w:tc>
      </w:tr>
      <w:tr w:rsidR="002048AF" w:rsidRPr="002048AF" w14:paraId="6B13D1AC" w14:textId="77777777" w:rsidTr="000F5E63">
        <w:trPr>
          <w:trHeight w:val="640"/>
        </w:trPr>
        <w:tc>
          <w:tcPr>
            <w:tcW w:w="4180" w:type="dxa"/>
            <w:tcBorders>
              <w:top w:val="nil"/>
              <w:left w:val="single" w:sz="4" w:space="0" w:color="auto"/>
              <w:bottom w:val="nil"/>
              <w:right w:val="single" w:sz="4" w:space="0" w:color="auto"/>
            </w:tcBorders>
            <w:shd w:val="clear" w:color="auto" w:fill="auto"/>
            <w:vAlign w:val="bottom"/>
            <w:hideMark/>
          </w:tcPr>
          <w:p w14:paraId="4CE003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Implementation and follow-up and execution of decisions</w:t>
            </w:r>
          </w:p>
        </w:tc>
        <w:tc>
          <w:tcPr>
            <w:tcW w:w="4180" w:type="dxa"/>
            <w:tcBorders>
              <w:top w:val="nil"/>
              <w:left w:val="nil"/>
              <w:bottom w:val="nil"/>
              <w:right w:val="single" w:sz="4" w:space="0" w:color="auto"/>
            </w:tcBorders>
            <w:shd w:val="clear" w:color="000000" w:fill="FFFFFF"/>
            <w:vAlign w:val="center"/>
            <w:hideMark/>
          </w:tcPr>
          <w:p w14:paraId="48EDEF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implementation of TDAG recommendations </w:t>
            </w:r>
          </w:p>
        </w:tc>
      </w:tr>
      <w:tr w:rsidR="002048AF" w:rsidRPr="002048AF" w14:paraId="7ED5E1CD" w14:textId="77777777" w:rsidTr="000F5E6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725F98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5866E7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72165462" w14:textId="77777777" w:rsidTr="000F5E6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6E447D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TDAG and reports of the TDAG for the BDT Director and for WTDC</w:t>
            </w:r>
          </w:p>
        </w:tc>
        <w:tc>
          <w:tcPr>
            <w:tcW w:w="4180" w:type="dxa"/>
            <w:tcBorders>
              <w:top w:val="nil"/>
              <w:left w:val="nil"/>
              <w:bottom w:val="nil"/>
              <w:right w:val="single" w:sz="4" w:space="0" w:color="auto"/>
            </w:tcBorders>
            <w:shd w:val="clear" w:color="000000" w:fill="FFFFFF"/>
            <w:vAlign w:val="center"/>
            <w:hideMark/>
          </w:tcPr>
          <w:p w14:paraId="54A251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Dissemination of the final summary of the TDAG meeting </w:t>
            </w:r>
          </w:p>
        </w:tc>
      </w:tr>
      <w:tr w:rsidR="002048AF" w:rsidRPr="002048AF" w14:paraId="16A8B377" w14:textId="77777777" w:rsidTr="000F5E63">
        <w:trPr>
          <w:trHeight w:val="180"/>
        </w:trPr>
        <w:tc>
          <w:tcPr>
            <w:tcW w:w="4180" w:type="dxa"/>
            <w:tcBorders>
              <w:top w:val="nil"/>
              <w:left w:val="single" w:sz="4" w:space="0" w:color="auto"/>
              <w:bottom w:val="single" w:sz="4" w:space="0" w:color="808080"/>
              <w:right w:val="single" w:sz="4" w:space="0" w:color="auto"/>
            </w:tcBorders>
            <w:shd w:val="clear" w:color="auto" w:fill="auto"/>
            <w:vAlign w:val="bottom"/>
            <w:hideMark/>
          </w:tcPr>
          <w:p w14:paraId="5DB02A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4A4D68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60F9983F"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2026 Threat and risk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3441"/>
      </w:tblGrid>
      <w:tr w:rsidR="002048AF" w:rsidRPr="002048AF" w14:paraId="1D3BB288" w14:textId="77777777" w:rsidTr="000F5E63">
        <w:trPr>
          <w:trHeight w:val="340"/>
          <w:tblHeader/>
        </w:trPr>
        <w:tc>
          <w:tcPr>
            <w:tcW w:w="1660" w:type="dxa"/>
            <w:shd w:val="clear" w:color="000000" w:fill="02385E"/>
            <w:vAlign w:val="center"/>
            <w:hideMark/>
          </w:tcPr>
          <w:p w14:paraId="625295AE"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15452A87"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shd w:val="clear" w:color="000000" w:fill="DAB785"/>
            <w:vAlign w:val="center"/>
            <w:hideMark/>
          </w:tcPr>
          <w:p w14:paraId="197D2941"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shd w:val="clear" w:color="000000" w:fill="D6896F"/>
            <w:vAlign w:val="center"/>
            <w:hideMark/>
          </w:tcPr>
          <w:p w14:paraId="71A45C88"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3441" w:type="dxa"/>
            <w:shd w:val="clear" w:color="000000" w:fill="A63950"/>
            <w:vAlign w:val="center"/>
            <w:hideMark/>
          </w:tcPr>
          <w:p w14:paraId="497EB6E8"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753F635F" w14:textId="77777777" w:rsidTr="000F5E63">
        <w:trPr>
          <w:trHeight w:val="1920"/>
          <w:tblHeader/>
        </w:trPr>
        <w:tc>
          <w:tcPr>
            <w:tcW w:w="1660" w:type="dxa"/>
            <w:shd w:val="clear" w:color="000000" w:fill="F2F2F2"/>
            <w:vAlign w:val="center"/>
            <w:hideMark/>
          </w:tcPr>
          <w:p w14:paraId="163CD37D"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 xml:space="preserve">partners engagement </w:t>
            </w:r>
          </w:p>
        </w:tc>
        <w:tc>
          <w:tcPr>
            <w:tcW w:w="2020" w:type="dxa"/>
            <w:shd w:val="clear" w:color="000000" w:fill="F2F2F2"/>
            <w:vAlign w:val="center"/>
            <w:hideMark/>
          </w:tcPr>
          <w:p w14:paraId="368A3236"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w:t>
            </w:r>
            <w:r w:rsidRPr="002048AF">
              <w:rPr>
                <w:rFonts w:ascii="Calibri" w:eastAsia="Times New Roman" w:hAnsi="Calibri" w:cs="Calibri"/>
                <w:color w:val="000000"/>
                <w:lang w:val="en-GB" w:eastAsia="en-US"/>
              </w:rPr>
              <w:br/>
              <w:t xml:space="preserve">participation </w:t>
            </w:r>
          </w:p>
        </w:tc>
        <w:tc>
          <w:tcPr>
            <w:tcW w:w="1540" w:type="dxa"/>
            <w:shd w:val="clear" w:color="000000" w:fill="F2F2F2"/>
            <w:vAlign w:val="center"/>
            <w:hideMark/>
          </w:tcPr>
          <w:p w14:paraId="6EB50640"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000000" w:fill="F2F2F2"/>
            <w:vAlign w:val="center"/>
            <w:hideMark/>
          </w:tcPr>
          <w:p w14:paraId="31BDADC7"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3441" w:type="dxa"/>
            <w:shd w:val="clear" w:color="000000" w:fill="F2F2F2"/>
            <w:vAlign w:val="center"/>
            <w:hideMark/>
          </w:tcPr>
          <w:p w14:paraId="54C06DC1"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coordination</w:t>
            </w:r>
            <w:r w:rsidRPr="002048AF">
              <w:rPr>
                <w:rFonts w:ascii="Calibri" w:eastAsia="Times New Roman" w:hAnsi="Calibri" w:cs="Calibri"/>
                <w:color w:val="000000"/>
                <w:lang w:val="en-GB" w:eastAsia="en-US"/>
              </w:rPr>
              <w:br/>
              <w:t>with memberships to</w:t>
            </w:r>
            <w:r w:rsidRPr="002048AF">
              <w:rPr>
                <w:rFonts w:ascii="Calibri" w:eastAsia="Times New Roman" w:hAnsi="Calibri" w:cs="Calibri"/>
                <w:color w:val="000000"/>
                <w:lang w:val="en-GB" w:eastAsia="en-US"/>
              </w:rPr>
              <w:br/>
              <w:t>ensure participation in the</w:t>
            </w:r>
            <w:r w:rsidRPr="002048AF">
              <w:rPr>
                <w:rFonts w:ascii="Calibri" w:eastAsia="Times New Roman" w:hAnsi="Calibri" w:cs="Calibri"/>
                <w:color w:val="000000"/>
                <w:lang w:val="en-GB" w:eastAsia="en-US"/>
              </w:rPr>
              <w:br/>
              <w:t>TDAG</w:t>
            </w:r>
          </w:p>
        </w:tc>
      </w:tr>
      <w:tr w:rsidR="002048AF" w:rsidRPr="002048AF" w14:paraId="4556AE8E" w14:textId="77777777" w:rsidTr="000F5E63">
        <w:trPr>
          <w:trHeight w:val="1600"/>
          <w:tblHeader/>
        </w:trPr>
        <w:tc>
          <w:tcPr>
            <w:tcW w:w="1660" w:type="dxa"/>
            <w:shd w:val="clear" w:color="000000" w:fill="FFFFFF"/>
            <w:vAlign w:val="center"/>
            <w:hideMark/>
          </w:tcPr>
          <w:p w14:paraId="1BD420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Financial </w:t>
            </w:r>
          </w:p>
        </w:tc>
        <w:tc>
          <w:tcPr>
            <w:tcW w:w="2020" w:type="dxa"/>
            <w:shd w:val="clear" w:color="000000" w:fill="FFFFFF"/>
            <w:vAlign w:val="center"/>
            <w:hideMark/>
          </w:tcPr>
          <w:p w14:paraId="33F6A6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Lack / insufficient resources </w:t>
            </w:r>
          </w:p>
        </w:tc>
        <w:tc>
          <w:tcPr>
            <w:tcW w:w="1540" w:type="dxa"/>
            <w:shd w:val="clear" w:color="000000" w:fill="FFFFFF"/>
            <w:vAlign w:val="center"/>
            <w:hideMark/>
          </w:tcPr>
          <w:p w14:paraId="184E12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000000" w:fill="FFFFFF"/>
            <w:vAlign w:val="center"/>
            <w:hideMark/>
          </w:tcPr>
          <w:p w14:paraId="061D0C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3441" w:type="dxa"/>
            <w:shd w:val="clear" w:color="000000" w:fill="FFFFFF"/>
            <w:vAlign w:val="center"/>
            <w:hideMark/>
          </w:tcPr>
          <w:p w14:paraId="2377C8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Active collaboration</w:t>
            </w:r>
            <w:r w:rsidRPr="002048AF">
              <w:rPr>
                <w:rFonts w:ascii="Calibri" w:eastAsia="Times New Roman" w:hAnsi="Calibri" w:cs="Calibri"/>
                <w:color w:val="000000"/>
                <w:lang w:val="en-GB" w:eastAsia="en-US"/>
              </w:rPr>
              <w:br/>
              <w:t>with partners and</w:t>
            </w:r>
            <w:r w:rsidRPr="002048AF">
              <w:rPr>
                <w:rFonts w:ascii="Calibri" w:eastAsia="Times New Roman" w:hAnsi="Calibri" w:cs="Calibri"/>
                <w:color w:val="000000"/>
                <w:lang w:val="en-GB" w:eastAsia="en-US"/>
              </w:rPr>
              <w:br/>
              <w:t>membership to address</w:t>
            </w:r>
            <w:r w:rsidRPr="002048AF">
              <w:rPr>
                <w:rFonts w:ascii="Calibri" w:eastAsia="Times New Roman" w:hAnsi="Calibri" w:cs="Calibri"/>
                <w:color w:val="000000"/>
                <w:lang w:val="en-GB" w:eastAsia="en-US"/>
              </w:rPr>
              <w:br/>
              <w:t>identified gaps</w:t>
            </w:r>
          </w:p>
        </w:tc>
      </w:tr>
      <w:tr w:rsidR="002048AF" w:rsidRPr="002048AF" w14:paraId="645C9C38" w14:textId="77777777" w:rsidTr="000F5E63">
        <w:trPr>
          <w:trHeight w:val="1600"/>
          <w:tblHeader/>
        </w:trPr>
        <w:tc>
          <w:tcPr>
            <w:tcW w:w="1660" w:type="dxa"/>
            <w:shd w:val="clear" w:color="000000" w:fill="F2F2F2"/>
            <w:vAlign w:val="center"/>
            <w:hideMark/>
          </w:tcPr>
          <w:p w14:paraId="297360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Implementation </w:t>
            </w:r>
          </w:p>
        </w:tc>
        <w:tc>
          <w:tcPr>
            <w:tcW w:w="2020" w:type="dxa"/>
            <w:shd w:val="clear" w:color="000000" w:fill="F2F2F2"/>
            <w:vAlign w:val="center"/>
            <w:hideMark/>
          </w:tcPr>
          <w:p w14:paraId="4A5512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Percentage</w:t>
            </w:r>
            <w:r w:rsidRPr="002048AF">
              <w:rPr>
                <w:rFonts w:ascii="Calibri" w:eastAsia="Times New Roman" w:hAnsi="Calibri" w:cs="Calibri"/>
                <w:color w:val="000000"/>
                <w:lang w:val="en-GB" w:eastAsia="en-US"/>
              </w:rPr>
              <w:br/>
              <w:t>implementation of</w:t>
            </w:r>
            <w:r w:rsidRPr="002048AF">
              <w:rPr>
                <w:rFonts w:ascii="Calibri" w:eastAsia="Times New Roman" w:hAnsi="Calibri" w:cs="Calibri"/>
                <w:color w:val="000000"/>
                <w:lang w:val="en-GB" w:eastAsia="en-US"/>
              </w:rPr>
              <w:br/>
              <w:t>strategy &amp; actions</w:t>
            </w:r>
          </w:p>
        </w:tc>
        <w:tc>
          <w:tcPr>
            <w:tcW w:w="1540" w:type="dxa"/>
            <w:shd w:val="clear" w:color="000000" w:fill="F2F2F2"/>
            <w:vAlign w:val="center"/>
            <w:hideMark/>
          </w:tcPr>
          <w:p w14:paraId="3CA45E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000000" w:fill="F2F2F2"/>
            <w:vAlign w:val="center"/>
            <w:hideMark/>
          </w:tcPr>
          <w:p w14:paraId="08D542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3441" w:type="dxa"/>
            <w:shd w:val="clear" w:color="000000" w:fill="F2F2F2"/>
            <w:vAlign w:val="center"/>
            <w:hideMark/>
          </w:tcPr>
          <w:p w14:paraId="7854B2C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to</w:t>
            </w:r>
            <w:r w:rsidRPr="002048AF">
              <w:rPr>
                <w:rFonts w:ascii="Calibri" w:eastAsia="Times New Roman" w:hAnsi="Calibri" w:cs="Calibri"/>
                <w:color w:val="000000"/>
                <w:lang w:val="en-GB" w:eastAsia="en-US"/>
              </w:rPr>
              <w:br/>
              <w:t>ensure timely submissions</w:t>
            </w:r>
            <w:r w:rsidRPr="002048AF">
              <w:rPr>
                <w:rFonts w:ascii="Calibri" w:eastAsia="Times New Roman" w:hAnsi="Calibri" w:cs="Calibri"/>
                <w:color w:val="000000"/>
                <w:lang w:val="en-GB" w:eastAsia="en-US"/>
              </w:rPr>
              <w:br/>
              <w:t>&amp; contributions</w:t>
            </w:r>
          </w:p>
        </w:tc>
      </w:tr>
    </w:tbl>
    <w:p w14:paraId="4FE1F5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2A8B4B9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3CE0569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79C28E0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566E4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59EAA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8CF4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932D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24CDC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16D73C4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7D0CB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2E6A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ABFB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3E949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B506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6918CE9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30B1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90FEA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A56F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BCD4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2CF0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w:t>
            </w:r>
          </w:p>
        </w:tc>
      </w:tr>
      <w:tr w:rsidR="002048AF" w:rsidRPr="002048AF" w14:paraId="64310D3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B98E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4A47D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626B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CDA1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ACC21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7B33BD2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D511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FE2B0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1C471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542DA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0691A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10,9</w:t>
            </w:r>
          </w:p>
        </w:tc>
      </w:tr>
      <w:tr w:rsidR="002048AF" w:rsidRPr="002048AF" w14:paraId="27F0392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EC114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D5FAC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A7256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F7CB5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38E6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12,9</w:t>
            </w:r>
          </w:p>
        </w:tc>
      </w:tr>
      <w:tr w:rsidR="002048AF" w:rsidRPr="002048AF" w14:paraId="58FBE04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CDA0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89A6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7C8EB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0F29A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BCD3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13,2</w:t>
            </w:r>
          </w:p>
        </w:tc>
      </w:tr>
      <w:tr w:rsidR="002048AF" w:rsidRPr="002048AF" w14:paraId="7A064CD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D794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66E9F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E949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B7FA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0904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w:t>
            </w:r>
          </w:p>
        </w:tc>
      </w:tr>
      <w:tr w:rsidR="002048AF" w:rsidRPr="002048AF" w14:paraId="4BAC0FF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BF0A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FF0F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F216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62B5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D724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31E73C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ED26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E66B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8B7B9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437C7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709EE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6FAE4D9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4C4F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49A0E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2526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338F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04F8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r>
      <w:tr w:rsidR="002048AF" w:rsidRPr="002048AF" w14:paraId="78C2C27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E28A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9F737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0BA3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8628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6BC81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3,2</w:t>
            </w:r>
          </w:p>
        </w:tc>
      </w:tr>
      <w:tr w:rsidR="002048AF" w:rsidRPr="002048AF" w14:paraId="392D77D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2ABD4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0CE1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A2379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DEFAD6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DCD6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CBFC43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5B73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F5ACF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E12B3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4443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BE574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001B826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D6DA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lastRenderedPageBreak/>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98AB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05C5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77A5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06E2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5F1E920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66E6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632423"/>
                <w:sz w:val="28"/>
                <w:szCs w:val="28"/>
                <w:lang w:val="en-GB" w:eastAsia="en-US"/>
              </w:rPr>
            </w:pPr>
            <w:r w:rsidRPr="002048AF">
              <w:rPr>
                <w:rFonts w:ascii="Calibri" w:eastAsia="Times New Roman" w:hAnsi="Calibri" w:cs="Calibri"/>
                <w:b/>
                <w:bCs/>
                <w:color w:val="FFFFFF"/>
                <w:sz w:val="28"/>
                <w:szCs w:val="28"/>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B84C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490A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190A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57,2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DBCCD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62,9</w:t>
            </w:r>
          </w:p>
        </w:tc>
      </w:tr>
      <w:tr w:rsidR="002048AF" w:rsidRPr="002048AF" w14:paraId="43155DE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D496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A30C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181A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C92A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57420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25BFC8A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4981537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016B907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2.4</w:t>
      </w:r>
      <w:r w:rsidRPr="002048AF">
        <w:rPr>
          <w:rFonts w:ascii="Calibri" w:eastAsia="Times New Roman" w:hAnsi="Calibri" w:cs="Calibri"/>
          <w:b/>
          <w:bCs/>
          <w:sz w:val="24"/>
          <w:szCs w:val="24"/>
          <w:lang w:val="en-GB" w:eastAsia="en-US"/>
        </w:rPr>
        <w:tab/>
        <w:t>ITU-D Study groups</w:t>
      </w:r>
    </w:p>
    <w:p w14:paraId="1691DA5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7472A69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ITU-D Study Groups provide an opportunity for the membership to share experiences, present ideas, exchange views, and achieve consensus on appropriate strategies to address tele-communication/ICT priorities. The Study Groups examine specific topics of importance to developing countries to support them achieving the United Nations Sustainable Development Goals (SDGs), targets and their specific development priorities.</w:t>
      </w:r>
    </w:p>
    <w:p w14:paraId="6D6D791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Study group 1 deals with Enabling environment for meaningful connectivity​.</w:t>
      </w:r>
    </w:p>
    <w:p w14:paraId="1BCAFFD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Study group 2 deals with Digital transformation.</w:t>
      </w:r>
    </w:p>
    <w:p w14:paraId="55C65DA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Each ITU-D study group prepares a report indicating the progress of work and presents draft new or revised recommendations for consideration by the WTDC. Annual reports are presented by the Chairmen of each study group to TDAG.</w:t>
      </w:r>
    </w:p>
    <w:p w14:paraId="3604D65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729FCAA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772E5CF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2620"/>
        <w:gridCol w:w="2620"/>
        <w:gridCol w:w="2341"/>
      </w:tblGrid>
      <w:tr w:rsidR="002048AF" w:rsidRPr="002048AF" w14:paraId="3AB19188" w14:textId="77777777" w:rsidTr="000F5E63">
        <w:trPr>
          <w:trHeight w:val="1020"/>
        </w:trPr>
        <w:tc>
          <w:tcPr>
            <w:tcW w:w="2767" w:type="dxa"/>
            <w:shd w:val="clear" w:color="000000" w:fill="02385E"/>
            <w:vAlign w:val="center"/>
            <w:hideMark/>
          </w:tcPr>
          <w:p w14:paraId="48B0F9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shd w:val="clear" w:color="000000" w:fill="70A288"/>
            <w:vAlign w:val="center"/>
            <w:hideMark/>
          </w:tcPr>
          <w:p w14:paraId="4856C2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shd w:val="clear" w:color="000000" w:fill="DAB785"/>
            <w:vAlign w:val="center"/>
            <w:hideMark/>
          </w:tcPr>
          <w:p w14:paraId="436D8F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2341" w:type="dxa"/>
            <w:shd w:val="clear" w:color="000000" w:fill="D6896F"/>
            <w:vAlign w:val="center"/>
            <w:hideMark/>
          </w:tcPr>
          <w:p w14:paraId="5D2A4B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39189920" w14:textId="77777777" w:rsidTr="000F5E63">
        <w:trPr>
          <w:trHeight w:val="1600"/>
        </w:trPr>
        <w:tc>
          <w:tcPr>
            <w:tcW w:w="2767" w:type="dxa"/>
            <w:shd w:val="clear" w:color="000000" w:fill="F2F2F2"/>
            <w:hideMark/>
          </w:tcPr>
          <w:p w14:paraId="4928F4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Expertise shared at Study Group meetings</w:t>
            </w:r>
            <w:r w:rsidRPr="002048AF">
              <w:rPr>
                <w:rFonts w:ascii="Calibri" w:eastAsia="Times New Roman" w:hAnsi="Calibri" w:cs="Calibri"/>
                <w:color w:val="000000"/>
                <w:lang w:val="en-GB" w:eastAsia="en-US"/>
              </w:rPr>
              <w:br/>
              <w:t>and Rapporteur Group meetings</w:t>
            </w:r>
          </w:p>
        </w:tc>
        <w:tc>
          <w:tcPr>
            <w:tcW w:w="2620" w:type="dxa"/>
            <w:shd w:val="clear" w:color="000000" w:fill="F2F2F2"/>
            <w:hideMark/>
          </w:tcPr>
          <w:p w14:paraId="434574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4 SG meetings, Rapporteurs meetings, SG Questions meetings </w:t>
            </w:r>
            <w:r w:rsidRPr="002048AF">
              <w:rPr>
                <w:rFonts w:ascii="Calibri" w:eastAsia="Times New Roman" w:hAnsi="Calibri" w:cs="Calibri"/>
                <w:color w:val="000000"/>
                <w:lang w:val="en-GB" w:eastAsia="en-US"/>
              </w:rPr>
              <w:br/>
              <w:t>181 contributions (SG1)</w:t>
            </w:r>
            <w:r w:rsidRPr="002048AF">
              <w:rPr>
                <w:rFonts w:ascii="Calibri" w:eastAsia="Times New Roman" w:hAnsi="Calibri" w:cs="Calibri"/>
                <w:color w:val="000000"/>
                <w:lang w:val="en-GB" w:eastAsia="en-US"/>
              </w:rPr>
              <w:br/>
              <w:t>150 contributions (SG2)</w:t>
            </w:r>
          </w:p>
        </w:tc>
        <w:tc>
          <w:tcPr>
            <w:tcW w:w="2620" w:type="dxa"/>
            <w:shd w:val="clear" w:color="000000" w:fill="F2F2F2"/>
            <w:hideMark/>
          </w:tcPr>
          <w:p w14:paraId="5A9FE6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relevant contributions</w:t>
            </w:r>
            <w:r w:rsidRPr="002048AF">
              <w:rPr>
                <w:rFonts w:ascii="Calibri" w:eastAsia="Times New Roman" w:hAnsi="Calibri" w:cs="Calibri"/>
                <w:color w:val="000000"/>
                <w:lang w:val="en-GB" w:eastAsia="en-US"/>
              </w:rPr>
              <w:br/>
              <w:t>submitted to Study Group meetings and Rapporteur Group meetings</w:t>
            </w:r>
          </w:p>
        </w:tc>
        <w:tc>
          <w:tcPr>
            <w:tcW w:w="2341" w:type="dxa"/>
            <w:shd w:val="clear" w:color="000000" w:fill="F2F2F2"/>
            <w:hideMark/>
          </w:tcPr>
          <w:p w14:paraId="436C9E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5876BD32" w14:textId="77777777" w:rsidTr="000F5E63">
        <w:trPr>
          <w:trHeight w:val="2560"/>
        </w:trPr>
        <w:tc>
          <w:tcPr>
            <w:tcW w:w="2767" w:type="dxa"/>
            <w:shd w:val="clear" w:color="000000" w:fill="FFFFFF"/>
            <w:hideMark/>
          </w:tcPr>
          <w:p w14:paraId="7FB7239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Regional representation </w:t>
            </w:r>
          </w:p>
        </w:tc>
        <w:tc>
          <w:tcPr>
            <w:tcW w:w="2620" w:type="dxa"/>
            <w:shd w:val="clear" w:color="auto" w:fill="auto"/>
            <w:hideMark/>
          </w:tcPr>
          <w:p w14:paraId="2FDE00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SG1: 240 participants from 65 Member States. </w:t>
            </w:r>
            <w:r w:rsidRPr="002048AF">
              <w:rPr>
                <w:rFonts w:ascii="Calibri" w:eastAsia="Times New Roman" w:hAnsi="Calibri" w:cs="Calibri"/>
                <w:color w:val="000000"/>
                <w:lang w:val="en-GB" w:eastAsia="en-US"/>
              </w:rPr>
              <w:br/>
              <w:t xml:space="preserve">15 fellowships granted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SG2: 186 participants (45% women delegates) from 54 Member States. 12 fellowships </w:t>
            </w:r>
          </w:p>
        </w:tc>
        <w:tc>
          <w:tcPr>
            <w:tcW w:w="2620" w:type="dxa"/>
            <w:shd w:val="clear" w:color="000000" w:fill="FFFFFF"/>
            <w:hideMark/>
          </w:tcPr>
          <w:p w14:paraId="72C026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Level of participation of members</w:t>
            </w:r>
            <w:r w:rsidRPr="002048AF">
              <w:rPr>
                <w:rFonts w:ascii="Calibri" w:eastAsia="Times New Roman" w:hAnsi="Calibri" w:cs="Calibri"/>
                <w:color w:val="000000"/>
                <w:lang w:val="en-GB" w:eastAsia="en-US"/>
              </w:rPr>
              <w:br/>
              <w:t>(all regions represented)</w:t>
            </w:r>
          </w:p>
        </w:tc>
        <w:tc>
          <w:tcPr>
            <w:tcW w:w="2341" w:type="dxa"/>
            <w:shd w:val="clear" w:color="000000" w:fill="FFFFFF"/>
            <w:hideMark/>
          </w:tcPr>
          <w:p w14:paraId="509AA9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42DA98B4" w14:textId="77777777" w:rsidTr="000F5E63">
        <w:trPr>
          <w:trHeight w:val="960"/>
        </w:trPr>
        <w:tc>
          <w:tcPr>
            <w:tcW w:w="2767" w:type="dxa"/>
            <w:shd w:val="clear" w:color="000000" w:fill="F2F2F2"/>
            <w:hideMark/>
          </w:tcPr>
          <w:p w14:paraId="5E4512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Proposals to new study period prepared</w:t>
            </w:r>
          </w:p>
        </w:tc>
        <w:tc>
          <w:tcPr>
            <w:tcW w:w="2620" w:type="dxa"/>
            <w:shd w:val="clear" w:color="000000" w:fill="F2F2F2"/>
            <w:noWrap/>
            <w:hideMark/>
          </w:tcPr>
          <w:p w14:paraId="1AF356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620" w:type="dxa"/>
            <w:shd w:val="clear" w:color="000000" w:fill="F2F2F2"/>
            <w:hideMark/>
          </w:tcPr>
          <w:p w14:paraId="043BEF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Timely and efficient production of</w:t>
            </w:r>
            <w:r w:rsidRPr="002048AF">
              <w:rPr>
                <w:rFonts w:ascii="Calibri" w:eastAsia="Times New Roman" w:hAnsi="Calibri" w:cs="Calibri"/>
                <w:color w:val="000000"/>
                <w:lang w:val="en-GB" w:eastAsia="en-US"/>
              </w:rPr>
              <w:br/>
              <w:t>draft proposals</w:t>
            </w:r>
          </w:p>
        </w:tc>
        <w:tc>
          <w:tcPr>
            <w:tcW w:w="2341" w:type="dxa"/>
            <w:shd w:val="clear" w:color="000000" w:fill="F2F2F2"/>
            <w:hideMark/>
          </w:tcPr>
          <w:p w14:paraId="0A60E9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2D674FCA" w14:textId="77777777" w:rsidTr="000F5E63">
        <w:trPr>
          <w:trHeight w:val="140"/>
        </w:trPr>
        <w:tc>
          <w:tcPr>
            <w:tcW w:w="2767" w:type="dxa"/>
            <w:shd w:val="clear" w:color="000000" w:fill="FFFFFF"/>
            <w:vAlign w:val="center"/>
            <w:hideMark/>
          </w:tcPr>
          <w:p w14:paraId="572115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c>
          <w:tcPr>
            <w:tcW w:w="2620" w:type="dxa"/>
            <w:shd w:val="clear" w:color="auto" w:fill="auto"/>
            <w:vAlign w:val="center"/>
            <w:hideMark/>
          </w:tcPr>
          <w:p w14:paraId="2B4556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shd w:val="clear" w:color="000000" w:fill="FFFFFF"/>
            <w:vAlign w:val="center"/>
            <w:hideMark/>
          </w:tcPr>
          <w:p w14:paraId="1E0B02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341" w:type="dxa"/>
            <w:shd w:val="clear" w:color="000000" w:fill="FFFFFF"/>
            <w:vAlign w:val="center"/>
            <w:hideMark/>
          </w:tcPr>
          <w:p w14:paraId="275CC7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6F6CBF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3A03A6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i/>
          <w:iCs/>
          <w:sz w:val="24"/>
          <w:szCs w:val="20"/>
          <w:lang w:val="en-GB" w:eastAsia="en-US"/>
        </w:rPr>
      </w:pPr>
      <w:r w:rsidRPr="002048AF">
        <w:rPr>
          <w:rFonts w:ascii="Calibri" w:eastAsia="Times New Roman" w:hAnsi="Calibri" w:cs="Arial"/>
          <w:i/>
          <w:iCs/>
          <w:sz w:val="24"/>
          <w:szCs w:val="20"/>
          <w:lang w:val="en-GB" w:eastAsia="en-US"/>
        </w:rPr>
        <w:t>2024 Threat and risk assessment</w:t>
      </w:r>
    </w:p>
    <w:p w14:paraId="391085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tbl>
      <w:tblPr>
        <w:tblW w:w="8560" w:type="dxa"/>
        <w:tblLook w:val="04A0" w:firstRow="1" w:lastRow="0" w:firstColumn="1" w:lastColumn="0" w:noHBand="0" w:noVBand="1"/>
      </w:tblPr>
      <w:tblGrid>
        <w:gridCol w:w="2020"/>
        <w:gridCol w:w="2020"/>
        <w:gridCol w:w="2020"/>
        <w:gridCol w:w="2500"/>
      </w:tblGrid>
      <w:tr w:rsidR="002048AF" w:rsidRPr="002048AF" w14:paraId="2C836E0F" w14:textId="77777777" w:rsidTr="000F5E6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9E65C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5777B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3DC32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617A510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40FD296D" w14:textId="77777777" w:rsidTr="000F5E63">
        <w:trPr>
          <w:trHeight w:val="2380"/>
        </w:trPr>
        <w:tc>
          <w:tcPr>
            <w:tcW w:w="2020" w:type="dxa"/>
            <w:tcBorders>
              <w:top w:val="nil"/>
              <w:left w:val="single" w:sz="4" w:space="0" w:color="auto"/>
              <w:bottom w:val="nil"/>
              <w:right w:val="single" w:sz="4" w:space="0" w:color="auto"/>
            </w:tcBorders>
            <w:shd w:val="clear" w:color="000000" w:fill="F2F2F2"/>
            <w:hideMark/>
          </w:tcPr>
          <w:p w14:paraId="4921FA3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Stakeholders/ partners </w:t>
            </w:r>
          </w:p>
        </w:tc>
        <w:tc>
          <w:tcPr>
            <w:tcW w:w="2020" w:type="dxa"/>
            <w:tcBorders>
              <w:top w:val="nil"/>
              <w:left w:val="nil"/>
              <w:bottom w:val="nil"/>
              <w:right w:val="single" w:sz="4" w:space="0" w:color="auto"/>
            </w:tcBorders>
            <w:shd w:val="clear" w:color="000000" w:fill="F2F2F2"/>
            <w:vAlign w:val="center"/>
            <w:hideMark/>
          </w:tcPr>
          <w:p w14:paraId="37899F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Delayed submission of contributions from</w:t>
            </w:r>
            <w:r w:rsidRPr="002048AF">
              <w:rPr>
                <w:rFonts w:ascii="Calibri" w:eastAsia="Times New Roman" w:hAnsi="Calibri" w:cs="Calibri"/>
                <w:color w:val="000000"/>
                <w:sz w:val="24"/>
                <w:szCs w:val="20"/>
                <w:lang w:val="en-GB" w:eastAsia="en-US"/>
              </w:rPr>
              <w:br/>
              <w:t xml:space="preserve">the members causing heavy workload before the meetings </w:t>
            </w:r>
          </w:p>
        </w:tc>
        <w:tc>
          <w:tcPr>
            <w:tcW w:w="2020" w:type="dxa"/>
            <w:tcBorders>
              <w:top w:val="nil"/>
              <w:left w:val="nil"/>
              <w:bottom w:val="nil"/>
              <w:right w:val="single" w:sz="4" w:space="0" w:color="auto"/>
            </w:tcBorders>
            <w:shd w:val="clear" w:color="000000" w:fill="F2F2F2"/>
            <w:vAlign w:val="center"/>
            <w:hideMark/>
          </w:tcPr>
          <w:p w14:paraId="35C7F4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vAlign w:val="center"/>
            <w:hideMark/>
          </w:tcPr>
          <w:p w14:paraId="53034F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Members to encourage submission of contributions on topics under study on time</w:t>
            </w:r>
          </w:p>
        </w:tc>
      </w:tr>
      <w:tr w:rsidR="002048AF" w:rsidRPr="002048AF" w14:paraId="5A3E4A5E" w14:textId="77777777" w:rsidTr="000F5E6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4B2B03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C3DBB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773E75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321E94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22B7DB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26138AE"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66C8161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4349C604"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0386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34B1A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284CFBF5" w14:textId="77777777" w:rsidTr="000F5E63">
        <w:trPr>
          <w:trHeight w:val="960"/>
        </w:trPr>
        <w:tc>
          <w:tcPr>
            <w:tcW w:w="4180" w:type="dxa"/>
            <w:tcBorders>
              <w:top w:val="nil"/>
              <w:left w:val="single" w:sz="4" w:space="0" w:color="auto"/>
              <w:bottom w:val="nil"/>
              <w:right w:val="single" w:sz="4" w:space="0" w:color="auto"/>
            </w:tcBorders>
            <w:shd w:val="clear" w:color="000000" w:fill="F2F2F2"/>
            <w:vAlign w:val="center"/>
            <w:hideMark/>
          </w:tcPr>
          <w:p w14:paraId="003E69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Expertise shared at Study Group meetings</w:t>
            </w:r>
            <w:r w:rsidRPr="002048AF">
              <w:rPr>
                <w:rFonts w:ascii="Calibri" w:eastAsia="Times New Roman" w:hAnsi="Calibri" w:cs="Calibri"/>
                <w:color w:val="000000"/>
                <w:lang w:val="en-GB" w:eastAsia="en-US"/>
              </w:rPr>
              <w:br/>
              <w:t>and Rapporteur Group meetings</w:t>
            </w:r>
          </w:p>
        </w:tc>
        <w:tc>
          <w:tcPr>
            <w:tcW w:w="4180" w:type="dxa"/>
            <w:tcBorders>
              <w:top w:val="nil"/>
              <w:left w:val="nil"/>
              <w:bottom w:val="nil"/>
              <w:right w:val="single" w:sz="4" w:space="0" w:color="auto"/>
            </w:tcBorders>
            <w:shd w:val="clear" w:color="000000" w:fill="F2F2F2"/>
            <w:vAlign w:val="center"/>
            <w:hideMark/>
          </w:tcPr>
          <w:p w14:paraId="755DBD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relevant contributions</w:t>
            </w:r>
            <w:r w:rsidRPr="002048AF">
              <w:rPr>
                <w:rFonts w:ascii="Calibri" w:eastAsia="Times New Roman" w:hAnsi="Calibri" w:cs="Calibri"/>
                <w:color w:val="000000"/>
                <w:lang w:val="en-GB" w:eastAsia="en-US"/>
              </w:rPr>
              <w:br/>
              <w:t>submitted to Study Group meetings and Rapporteur Group meetings</w:t>
            </w:r>
          </w:p>
        </w:tc>
      </w:tr>
      <w:tr w:rsidR="002048AF" w:rsidRPr="002048AF" w14:paraId="1A380063" w14:textId="77777777" w:rsidTr="000F5E63">
        <w:trPr>
          <w:trHeight w:val="640"/>
        </w:trPr>
        <w:tc>
          <w:tcPr>
            <w:tcW w:w="4180" w:type="dxa"/>
            <w:tcBorders>
              <w:top w:val="nil"/>
              <w:left w:val="single" w:sz="4" w:space="0" w:color="auto"/>
              <w:bottom w:val="nil"/>
              <w:right w:val="single" w:sz="4" w:space="0" w:color="auto"/>
            </w:tcBorders>
            <w:shd w:val="clear" w:color="000000" w:fill="FFFFFF"/>
            <w:vAlign w:val="center"/>
            <w:hideMark/>
          </w:tcPr>
          <w:p w14:paraId="2C6A9E6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Regional representation </w:t>
            </w:r>
          </w:p>
          <w:p w14:paraId="114C8C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Gender representation</w:t>
            </w:r>
          </w:p>
        </w:tc>
        <w:tc>
          <w:tcPr>
            <w:tcW w:w="4180" w:type="dxa"/>
            <w:tcBorders>
              <w:top w:val="nil"/>
              <w:left w:val="nil"/>
              <w:bottom w:val="nil"/>
              <w:right w:val="single" w:sz="4" w:space="0" w:color="auto"/>
            </w:tcBorders>
            <w:shd w:val="clear" w:color="000000" w:fill="FFFFFF"/>
            <w:vAlign w:val="center"/>
            <w:hideMark/>
          </w:tcPr>
          <w:p w14:paraId="40C32A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Level of participation of members</w:t>
            </w:r>
            <w:r w:rsidRPr="002048AF">
              <w:rPr>
                <w:rFonts w:ascii="Calibri" w:eastAsia="Times New Roman" w:hAnsi="Calibri" w:cs="Calibri"/>
                <w:color w:val="000000"/>
                <w:lang w:val="en-GB" w:eastAsia="en-US"/>
              </w:rPr>
              <w:br/>
              <w:t>(all regions represented)</w:t>
            </w:r>
          </w:p>
        </w:tc>
      </w:tr>
      <w:tr w:rsidR="002048AF" w:rsidRPr="002048AF" w14:paraId="1B307F74" w14:textId="77777777" w:rsidTr="000F5E63">
        <w:trPr>
          <w:trHeight w:val="640"/>
        </w:trPr>
        <w:tc>
          <w:tcPr>
            <w:tcW w:w="4180" w:type="dxa"/>
            <w:tcBorders>
              <w:top w:val="nil"/>
              <w:left w:val="single" w:sz="4" w:space="0" w:color="auto"/>
              <w:bottom w:val="nil"/>
              <w:right w:val="single" w:sz="4" w:space="0" w:color="auto"/>
            </w:tcBorders>
            <w:shd w:val="clear" w:color="000000" w:fill="F2F2F2"/>
            <w:vAlign w:val="center"/>
            <w:hideMark/>
          </w:tcPr>
          <w:p w14:paraId="71739F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Proposals to new study period prepared</w:t>
            </w:r>
          </w:p>
        </w:tc>
        <w:tc>
          <w:tcPr>
            <w:tcW w:w="4180" w:type="dxa"/>
            <w:tcBorders>
              <w:top w:val="nil"/>
              <w:left w:val="nil"/>
              <w:bottom w:val="nil"/>
              <w:right w:val="single" w:sz="4" w:space="0" w:color="auto"/>
            </w:tcBorders>
            <w:shd w:val="clear" w:color="000000" w:fill="F2F2F2"/>
            <w:vAlign w:val="center"/>
            <w:hideMark/>
          </w:tcPr>
          <w:p w14:paraId="7BB99F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Timely and efficient production of</w:t>
            </w:r>
            <w:r w:rsidRPr="002048AF">
              <w:rPr>
                <w:rFonts w:ascii="Calibri" w:eastAsia="Times New Roman" w:hAnsi="Calibri" w:cs="Calibri"/>
                <w:color w:val="000000"/>
                <w:lang w:val="en-GB" w:eastAsia="en-US"/>
              </w:rPr>
              <w:br/>
              <w:t>draft proposals</w:t>
            </w:r>
          </w:p>
        </w:tc>
      </w:tr>
      <w:tr w:rsidR="002048AF" w:rsidRPr="002048AF" w14:paraId="6DC66F00" w14:textId="77777777" w:rsidTr="000F5E63">
        <w:trPr>
          <w:trHeight w:val="6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E964E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Study groups and guidelines, </w:t>
            </w:r>
            <w:proofErr w:type="gramStart"/>
            <w:r w:rsidRPr="002048AF">
              <w:rPr>
                <w:rFonts w:ascii="Calibri" w:eastAsia="Times New Roman" w:hAnsi="Calibri" w:cs="Calibri"/>
                <w:color w:val="000000"/>
                <w:lang w:val="en-GB" w:eastAsia="en-US"/>
              </w:rPr>
              <w:t>recommendations</w:t>
            </w:r>
            <w:proofErr w:type="gramEnd"/>
            <w:r w:rsidRPr="002048AF">
              <w:rPr>
                <w:rFonts w:ascii="Calibri" w:eastAsia="Times New Roman" w:hAnsi="Calibri" w:cs="Calibri"/>
                <w:color w:val="000000"/>
                <w:lang w:val="en-GB" w:eastAsia="en-US"/>
              </w:rPr>
              <w:t xml:space="preserve"> and reports of study groups</w:t>
            </w:r>
          </w:p>
        </w:tc>
        <w:tc>
          <w:tcPr>
            <w:tcW w:w="4180" w:type="dxa"/>
            <w:tcBorders>
              <w:top w:val="nil"/>
              <w:left w:val="nil"/>
              <w:bottom w:val="single" w:sz="4" w:space="0" w:color="auto"/>
              <w:right w:val="single" w:sz="4" w:space="0" w:color="auto"/>
            </w:tcBorders>
            <w:shd w:val="clear" w:color="000000" w:fill="FFFFFF"/>
            <w:vAlign w:val="center"/>
            <w:hideMark/>
          </w:tcPr>
          <w:p w14:paraId="574E31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handbooks, guidelines developed </w:t>
            </w:r>
          </w:p>
        </w:tc>
      </w:tr>
    </w:tbl>
    <w:p w14:paraId="709D41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br w:type="page"/>
      </w:r>
    </w:p>
    <w:p w14:paraId="5BF5C1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E0AB80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2048AF" w:rsidRPr="002048AF" w14:paraId="48135C00" w14:textId="77777777" w:rsidTr="000F5E63">
        <w:trPr>
          <w:trHeight w:val="320"/>
        </w:trPr>
        <w:tc>
          <w:tcPr>
            <w:tcW w:w="1660" w:type="dxa"/>
            <w:shd w:val="clear" w:color="000000" w:fill="02385E"/>
            <w:noWrap/>
            <w:vAlign w:val="bottom"/>
            <w:hideMark/>
          </w:tcPr>
          <w:p w14:paraId="7C42FC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noWrap/>
            <w:vAlign w:val="bottom"/>
            <w:hideMark/>
          </w:tcPr>
          <w:p w14:paraId="30E33B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shd w:val="clear" w:color="000000" w:fill="DAB785"/>
            <w:noWrap/>
            <w:vAlign w:val="bottom"/>
            <w:hideMark/>
          </w:tcPr>
          <w:p w14:paraId="187FDC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shd w:val="clear" w:color="000000" w:fill="D6896F"/>
            <w:noWrap/>
            <w:vAlign w:val="bottom"/>
            <w:hideMark/>
          </w:tcPr>
          <w:p w14:paraId="7C458F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shd w:val="clear" w:color="000000" w:fill="A63950"/>
            <w:noWrap/>
            <w:vAlign w:val="bottom"/>
            <w:hideMark/>
          </w:tcPr>
          <w:p w14:paraId="13A550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0A1172CF" w14:textId="77777777" w:rsidTr="000F5E63">
        <w:trPr>
          <w:trHeight w:val="2240"/>
        </w:trPr>
        <w:tc>
          <w:tcPr>
            <w:tcW w:w="1660" w:type="dxa"/>
            <w:shd w:val="clear" w:color="000000" w:fill="F2F2F2"/>
            <w:hideMark/>
          </w:tcPr>
          <w:p w14:paraId="29BD3D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Stakeholders/ partners engagement </w:t>
            </w:r>
          </w:p>
        </w:tc>
        <w:tc>
          <w:tcPr>
            <w:tcW w:w="2020" w:type="dxa"/>
            <w:shd w:val="clear" w:color="000000" w:fill="F2F2F2"/>
            <w:vAlign w:val="center"/>
            <w:hideMark/>
          </w:tcPr>
          <w:p w14:paraId="5BE289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No or a limited number of contributions from</w:t>
            </w:r>
            <w:r w:rsidRPr="002048AF">
              <w:rPr>
                <w:rFonts w:ascii="Calibri" w:eastAsia="Times New Roman" w:hAnsi="Calibri" w:cs="Calibri"/>
                <w:color w:val="000000"/>
                <w:lang w:val="en-GB" w:eastAsia="en-US"/>
              </w:rPr>
              <w:br/>
              <w:t>the members to progress the work of the related study group Questions.</w:t>
            </w:r>
          </w:p>
        </w:tc>
        <w:tc>
          <w:tcPr>
            <w:tcW w:w="1540" w:type="dxa"/>
            <w:shd w:val="clear" w:color="000000" w:fill="F2F2F2"/>
            <w:vAlign w:val="center"/>
            <w:hideMark/>
          </w:tcPr>
          <w:p w14:paraId="1CC78C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000000" w:fill="F2F2F2"/>
            <w:vAlign w:val="center"/>
            <w:hideMark/>
          </w:tcPr>
          <w:p w14:paraId="2E5C89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shd w:val="clear" w:color="000000" w:fill="F2F2F2"/>
            <w:vAlign w:val="center"/>
            <w:hideMark/>
          </w:tcPr>
          <w:p w14:paraId="2F1314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Close collaboration with Members to encourage submission of contributions on topics under study </w:t>
            </w:r>
          </w:p>
        </w:tc>
      </w:tr>
      <w:tr w:rsidR="002048AF" w:rsidRPr="002048AF" w14:paraId="419D28F0" w14:textId="77777777" w:rsidTr="000F5E63">
        <w:trPr>
          <w:trHeight w:val="3840"/>
        </w:trPr>
        <w:tc>
          <w:tcPr>
            <w:tcW w:w="1660" w:type="dxa"/>
            <w:shd w:val="clear" w:color="000000" w:fill="FFFFFF"/>
            <w:vAlign w:val="center"/>
            <w:hideMark/>
          </w:tcPr>
          <w:p w14:paraId="5A6E38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000000" w:fill="FFFFFF"/>
            <w:vAlign w:val="center"/>
            <w:hideMark/>
          </w:tcPr>
          <w:p w14:paraId="517992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or insufficient participation in the work of SG related questions </w:t>
            </w:r>
          </w:p>
        </w:tc>
        <w:tc>
          <w:tcPr>
            <w:tcW w:w="1540" w:type="dxa"/>
            <w:shd w:val="clear" w:color="000000" w:fill="FFFFFF"/>
            <w:vAlign w:val="center"/>
            <w:hideMark/>
          </w:tcPr>
          <w:p w14:paraId="4004DD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000000" w:fill="FFFFFF"/>
            <w:vAlign w:val="center"/>
            <w:hideMark/>
          </w:tcPr>
          <w:p w14:paraId="15C13B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shd w:val="clear" w:color="000000" w:fill="FFFFFF"/>
            <w:vAlign w:val="center"/>
            <w:hideMark/>
          </w:tcPr>
          <w:p w14:paraId="312709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 communication</w:t>
            </w:r>
            <w:r w:rsidRPr="002048AF">
              <w:rPr>
                <w:rFonts w:ascii="Calibri" w:eastAsia="Times New Roman" w:hAnsi="Calibri" w:cs="Calibri"/>
                <w:color w:val="000000"/>
                <w:lang w:val="en-GB" w:eastAsia="en-US"/>
              </w:rPr>
              <w:br/>
              <w:t>with the members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Raise awareness of</w:t>
            </w:r>
            <w:r w:rsidRPr="002048AF">
              <w:rPr>
                <w:rFonts w:ascii="Calibri" w:eastAsia="Times New Roman" w:hAnsi="Calibri" w:cs="Calibri"/>
                <w:color w:val="000000"/>
                <w:lang w:val="en-GB" w:eastAsia="en-US"/>
              </w:rPr>
              <w:br/>
              <w:t>the planned and ongoing</w:t>
            </w:r>
            <w:r w:rsidRPr="002048AF">
              <w:rPr>
                <w:rFonts w:ascii="Calibri" w:eastAsia="Times New Roman" w:hAnsi="Calibri" w:cs="Calibri"/>
                <w:color w:val="000000"/>
                <w:lang w:val="en-GB" w:eastAsia="en-US"/>
              </w:rPr>
              <w:br/>
              <w:t>work of the study groups</w:t>
            </w:r>
            <w:r w:rsidRPr="002048AF">
              <w:rPr>
                <w:rFonts w:ascii="Calibri" w:eastAsia="Times New Roman" w:hAnsi="Calibri" w:cs="Calibri"/>
                <w:color w:val="000000"/>
                <w:lang w:val="en-GB" w:eastAsia="en-US"/>
              </w:rPr>
              <w:br/>
              <w:t>as well the value to the</w:t>
            </w:r>
            <w:r w:rsidRPr="002048AF">
              <w:rPr>
                <w:rFonts w:ascii="Calibri" w:eastAsia="Times New Roman" w:hAnsi="Calibri" w:cs="Calibri"/>
                <w:color w:val="000000"/>
                <w:lang w:val="en-GB" w:eastAsia="en-US"/>
              </w:rPr>
              <w:br/>
              <w:t>membership</w:t>
            </w:r>
          </w:p>
        </w:tc>
      </w:tr>
      <w:tr w:rsidR="002048AF" w:rsidRPr="002048AF" w14:paraId="75F6EC8C" w14:textId="77777777" w:rsidTr="000F5E63">
        <w:trPr>
          <w:trHeight w:val="960"/>
        </w:trPr>
        <w:tc>
          <w:tcPr>
            <w:tcW w:w="1660" w:type="dxa"/>
            <w:shd w:val="clear" w:color="000000" w:fill="F2F2F2"/>
            <w:vAlign w:val="center"/>
            <w:hideMark/>
          </w:tcPr>
          <w:p w14:paraId="453868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Organization </w:t>
            </w:r>
          </w:p>
        </w:tc>
        <w:tc>
          <w:tcPr>
            <w:tcW w:w="2020" w:type="dxa"/>
            <w:shd w:val="clear" w:color="000000" w:fill="F2F2F2"/>
            <w:vAlign w:val="center"/>
            <w:hideMark/>
          </w:tcPr>
          <w:p w14:paraId="1FFDF9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Heavy workload may affect quality of final texts</w:t>
            </w:r>
          </w:p>
        </w:tc>
        <w:tc>
          <w:tcPr>
            <w:tcW w:w="1540" w:type="dxa"/>
            <w:shd w:val="clear" w:color="000000" w:fill="F2F2F2"/>
            <w:vAlign w:val="center"/>
            <w:hideMark/>
          </w:tcPr>
          <w:p w14:paraId="6D4EC2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High </w:t>
            </w:r>
          </w:p>
        </w:tc>
        <w:tc>
          <w:tcPr>
            <w:tcW w:w="1540" w:type="dxa"/>
            <w:shd w:val="clear" w:color="000000" w:fill="F2F2F2"/>
            <w:vAlign w:val="center"/>
            <w:hideMark/>
          </w:tcPr>
          <w:p w14:paraId="018469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shd w:val="clear" w:color="000000" w:fill="F2F2F2"/>
            <w:vAlign w:val="center"/>
            <w:hideMark/>
          </w:tcPr>
          <w:p w14:paraId="4FCFE7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Good planning and preparation to distribute workload</w:t>
            </w:r>
          </w:p>
        </w:tc>
      </w:tr>
      <w:tr w:rsidR="002048AF" w:rsidRPr="002048AF" w14:paraId="5820011D" w14:textId="77777777" w:rsidTr="000F5E63">
        <w:trPr>
          <w:trHeight w:val="300"/>
        </w:trPr>
        <w:tc>
          <w:tcPr>
            <w:tcW w:w="1660" w:type="dxa"/>
            <w:shd w:val="clear" w:color="000000" w:fill="FFFFFF"/>
            <w:vAlign w:val="center"/>
            <w:hideMark/>
          </w:tcPr>
          <w:p w14:paraId="1CDDBE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000000" w:fill="FFFFFF"/>
            <w:vAlign w:val="center"/>
            <w:hideMark/>
          </w:tcPr>
          <w:p w14:paraId="01DB85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shd w:val="clear" w:color="000000" w:fill="FFFFFF"/>
            <w:vAlign w:val="center"/>
            <w:hideMark/>
          </w:tcPr>
          <w:p w14:paraId="5DAE37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shd w:val="clear" w:color="000000" w:fill="FFFFFF"/>
            <w:vAlign w:val="center"/>
            <w:hideMark/>
          </w:tcPr>
          <w:p w14:paraId="7FA0B2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000000" w:fill="FFFFFF"/>
            <w:vAlign w:val="center"/>
            <w:hideMark/>
          </w:tcPr>
          <w:p w14:paraId="52EFE4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5ED794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0F593F6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6DE20E5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7272546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44DC5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Platforms</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94FC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CA387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9FBC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3056E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19683D8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1DEB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1DCE0E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1ACDB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7C18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B2EE2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2CADCCB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0DC7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A68B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4102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10E5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3184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r>
      <w:tr w:rsidR="002048AF" w:rsidRPr="002048AF" w14:paraId="459C8C8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92CE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0854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A32E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4E172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DAB6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66DEDC2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C751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68ED2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03BBA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7D20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1633B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10,5</w:t>
            </w:r>
          </w:p>
        </w:tc>
      </w:tr>
      <w:tr w:rsidR="002048AF" w:rsidRPr="002048AF" w14:paraId="5450341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B105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3D71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825CC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25,7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2E6A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25,7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C6F9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22,8</w:t>
            </w:r>
          </w:p>
        </w:tc>
      </w:tr>
      <w:tr w:rsidR="002048AF" w:rsidRPr="002048AF" w14:paraId="7EB202B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3EB2C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1DA5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72DD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9F83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733B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13,2</w:t>
            </w:r>
          </w:p>
        </w:tc>
      </w:tr>
      <w:tr w:rsidR="002048AF" w:rsidRPr="002048AF" w14:paraId="6161616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1E15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39D0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F7D3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6AD6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B4CE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6,6</w:t>
            </w:r>
          </w:p>
        </w:tc>
      </w:tr>
      <w:tr w:rsidR="002048AF" w:rsidRPr="002048AF" w14:paraId="0D88ADB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E292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256E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FBC4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AE9C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BB61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41E11F2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F7BF6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995F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F660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D1C3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4AA6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7CA5E54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47552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lastRenderedPageBreak/>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E5BE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FC0C9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1F3F1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7C61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r>
      <w:tr w:rsidR="002048AF" w:rsidRPr="002048AF" w14:paraId="5FAF635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359D5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6F8A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2DE2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5CC8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9434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9,6</w:t>
            </w:r>
          </w:p>
        </w:tc>
      </w:tr>
      <w:tr w:rsidR="002048AF" w:rsidRPr="002048AF" w14:paraId="3DD9C20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8249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F5A32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5253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B5238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55AC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6AE9EA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5F513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F746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A48C6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E4ED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6F6C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A689B9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0A9D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638EB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0B407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57F8B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90B87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181E908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A264D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6960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A7D7D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84,2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10BF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69834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75,7</w:t>
            </w:r>
          </w:p>
        </w:tc>
      </w:tr>
      <w:tr w:rsidR="002048AF" w:rsidRPr="002048AF" w14:paraId="295BD09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9A9D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18D7C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EB45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DDD7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8A692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425D26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0AA4E9C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2.5</w:t>
      </w:r>
      <w:r w:rsidRPr="002048AF">
        <w:rPr>
          <w:rFonts w:ascii="Calibri" w:eastAsia="Times New Roman" w:hAnsi="Calibri" w:cs="Calibri"/>
          <w:b/>
          <w:bCs/>
          <w:sz w:val="24"/>
          <w:szCs w:val="24"/>
          <w:lang w:val="en-GB" w:eastAsia="en-US"/>
        </w:rPr>
        <w:tab/>
        <w:t>Resource mobilization and partnerships</w:t>
      </w:r>
    </w:p>
    <w:p w14:paraId="73A8153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1243784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The focus of resource mobilization is on mobilizing and attracting resources and fostering international cooperation on telecommunication/ICT development issues. This priority is also cross-cutting, providing resources and fostering international cooperation to deliver relevant global outcomes. In this process, the needs of developing countries, including least developed countries (LDCs), small island developing states (SIDS), landlocked developing countries (LLDCs) and countries with economies in transition, as well as underserved and vulnerable populations, should be prioritized and given due attention.</w:t>
      </w:r>
    </w:p>
    <w:p w14:paraId="416977A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br w:type="page"/>
      </w:r>
    </w:p>
    <w:p w14:paraId="06214A2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4626318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4247CC5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2048AF" w:rsidRPr="002048AF" w14:paraId="1A60DCFD" w14:textId="77777777" w:rsidTr="000F5E63">
        <w:trPr>
          <w:trHeight w:val="1020"/>
          <w:tblHeader/>
        </w:trPr>
        <w:tc>
          <w:tcPr>
            <w:tcW w:w="2620" w:type="dxa"/>
            <w:shd w:val="clear" w:color="auto" w:fill="02385E"/>
            <w:vAlign w:val="center"/>
            <w:hideMark/>
          </w:tcPr>
          <w:p w14:paraId="5776B8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shd w:val="clear" w:color="auto" w:fill="70A288"/>
            <w:vAlign w:val="center"/>
            <w:hideMark/>
          </w:tcPr>
          <w:p w14:paraId="008205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shd w:val="clear" w:color="auto" w:fill="DAB785"/>
            <w:vAlign w:val="center"/>
            <w:hideMark/>
          </w:tcPr>
          <w:p w14:paraId="170E7F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shd w:val="clear" w:color="auto" w:fill="D6896F"/>
            <w:vAlign w:val="center"/>
            <w:hideMark/>
          </w:tcPr>
          <w:p w14:paraId="223D07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1FD0A69E" w14:textId="77777777" w:rsidTr="002048AF">
        <w:trPr>
          <w:trHeight w:val="5938"/>
          <w:tblHeader/>
        </w:trPr>
        <w:tc>
          <w:tcPr>
            <w:tcW w:w="2620" w:type="dxa"/>
            <w:shd w:val="clear" w:color="auto" w:fill="F2F2F2"/>
            <w:hideMark/>
          </w:tcPr>
          <w:p w14:paraId="110A96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2048AF">
              <w:rPr>
                <w:rFonts w:ascii="Calibri" w:eastAsia="Times New Roman" w:hAnsi="Calibri" w:cs="Arial"/>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2620" w:type="dxa"/>
            <w:shd w:val="clear" w:color="auto" w:fill="F2F2F2"/>
            <w:hideMark/>
          </w:tcPr>
          <w:p w14:paraId="5E4685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Cs w:val="20"/>
                <w:lang w:val="en-GB" w:eastAsia="en-US"/>
              </w:rPr>
            </w:pPr>
            <w:r w:rsidRPr="002048AF">
              <w:rPr>
                <w:rFonts w:ascii="Calibri" w:eastAsia="Times New Roman" w:hAnsi="Calibri" w:cs="Calibri"/>
                <w:lang w:val="en-GB" w:eastAsia="en-US"/>
              </w:rPr>
              <w:br/>
              <w:t xml:space="preserve">71 agreements signed with </w:t>
            </w:r>
            <w:r w:rsidRPr="002048AF">
              <w:rPr>
                <w:rFonts w:ascii="Calibri" w:eastAsia="Times New Roman" w:hAnsi="Calibri" w:cs="Calibri"/>
                <w:szCs w:val="20"/>
                <w:lang w:val="en-GB" w:eastAsia="en-US"/>
              </w:rPr>
              <w:t xml:space="preserve">a wide range of partners. BDT implemented activities through 91 projects, valued at CHF 88.5 million. </w:t>
            </w:r>
          </w:p>
          <w:p w14:paraId="527E58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szCs w:val="20"/>
                <w:lang w:val="en-GB" w:eastAsia="en-US"/>
              </w:rPr>
              <w:t>Most of the projects (93%) were funded through the extrabudgetary funds mobilized by from third parties, 7 per cent were funded through the allocation of seed funding from ITU, the ICT Development Fund (ICT-DF), as well as funds allocated by ITU Council in support of the ITU-D regional initiatives.</w:t>
            </w:r>
            <w:r w:rsidRPr="002048AF">
              <w:rPr>
                <w:rFonts w:ascii="Calibri" w:eastAsia="Times New Roman" w:hAnsi="Calibri" w:cs="Calibri"/>
                <w:color w:val="000000"/>
                <w:lang w:val="en-GB" w:eastAsia="en-US"/>
              </w:rPr>
              <w:br/>
              <w:t xml:space="preserve"> </w:t>
            </w:r>
          </w:p>
        </w:tc>
        <w:tc>
          <w:tcPr>
            <w:tcW w:w="2620" w:type="dxa"/>
            <w:shd w:val="clear" w:color="auto" w:fill="F2F2F2"/>
            <w:hideMark/>
          </w:tcPr>
          <w:p w14:paraId="54062E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ICT development agreements signed between ITU and partners to support implementation of the Kigali Action Plan</w:t>
            </w:r>
          </w:p>
          <w:p w14:paraId="0C3A08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29764B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projects implemented </w:t>
            </w:r>
          </w:p>
        </w:tc>
        <w:tc>
          <w:tcPr>
            <w:tcW w:w="1780" w:type="dxa"/>
            <w:shd w:val="clear" w:color="auto" w:fill="F2F2F2"/>
            <w:vAlign w:val="center"/>
            <w:hideMark/>
          </w:tcPr>
          <w:p w14:paraId="3A3BB6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2294CD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18EE4CD"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718D7199" w14:textId="77777777" w:rsidTr="000F5E63">
        <w:trPr>
          <w:trHeight w:val="680"/>
        </w:trPr>
        <w:tc>
          <w:tcPr>
            <w:tcW w:w="2020" w:type="dxa"/>
            <w:shd w:val="clear" w:color="000000" w:fill="02385E"/>
            <w:vAlign w:val="center"/>
            <w:hideMark/>
          </w:tcPr>
          <w:p w14:paraId="21EC56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02C237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6FE714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0F0FF0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3D768D29" w14:textId="77777777" w:rsidTr="000F5E63">
        <w:trPr>
          <w:trHeight w:val="2380"/>
        </w:trPr>
        <w:tc>
          <w:tcPr>
            <w:tcW w:w="2020" w:type="dxa"/>
            <w:shd w:val="clear" w:color="000000" w:fill="F2F2F2"/>
            <w:vAlign w:val="center"/>
            <w:hideMark/>
          </w:tcPr>
          <w:p w14:paraId="5A4BE2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shd w:val="clear" w:color="000000" w:fill="F2F2F2"/>
            <w:vAlign w:val="center"/>
            <w:hideMark/>
          </w:tcPr>
          <w:p w14:paraId="2C4BCB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N/A</w:t>
            </w:r>
          </w:p>
        </w:tc>
        <w:tc>
          <w:tcPr>
            <w:tcW w:w="2020" w:type="dxa"/>
            <w:shd w:val="clear" w:color="000000" w:fill="F2F2F2"/>
            <w:vAlign w:val="center"/>
            <w:hideMark/>
          </w:tcPr>
          <w:p w14:paraId="72DBE6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N/A</w:t>
            </w:r>
          </w:p>
        </w:tc>
        <w:tc>
          <w:tcPr>
            <w:tcW w:w="2500" w:type="dxa"/>
            <w:shd w:val="clear" w:color="000000" w:fill="F2F2F2"/>
            <w:vAlign w:val="center"/>
            <w:hideMark/>
          </w:tcPr>
          <w:p w14:paraId="792938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r w:rsidR="002048AF" w:rsidRPr="002048AF" w14:paraId="20A56F71" w14:textId="77777777" w:rsidTr="000F5E63">
        <w:trPr>
          <w:trHeight w:val="1700"/>
        </w:trPr>
        <w:tc>
          <w:tcPr>
            <w:tcW w:w="2020" w:type="dxa"/>
            <w:shd w:val="clear" w:color="auto" w:fill="auto"/>
            <w:hideMark/>
          </w:tcPr>
          <w:p w14:paraId="08123D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shd w:val="clear" w:color="auto" w:fill="auto"/>
            <w:hideMark/>
          </w:tcPr>
          <w:p w14:paraId="3EDCAE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commitment and timely communication by countries</w:t>
            </w:r>
          </w:p>
        </w:tc>
        <w:tc>
          <w:tcPr>
            <w:tcW w:w="2020" w:type="dxa"/>
            <w:shd w:val="clear" w:color="auto" w:fill="auto"/>
            <w:noWrap/>
            <w:hideMark/>
          </w:tcPr>
          <w:p w14:paraId="331A06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High</w:t>
            </w:r>
          </w:p>
        </w:tc>
        <w:tc>
          <w:tcPr>
            <w:tcW w:w="2500" w:type="dxa"/>
            <w:shd w:val="clear" w:color="auto" w:fill="auto"/>
            <w:hideMark/>
          </w:tcPr>
          <w:p w14:paraId="0878E2E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 States to ensure appropriate level of involvement</w:t>
            </w:r>
          </w:p>
        </w:tc>
      </w:tr>
      <w:tr w:rsidR="002048AF" w:rsidRPr="002048AF" w14:paraId="7A9C6A32" w14:textId="77777777" w:rsidTr="000F5E63">
        <w:trPr>
          <w:trHeight w:val="1020"/>
        </w:trPr>
        <w:tc>
          <w:tcPr>
            <w:tcW w:w="2020" w:type="dxa"/>
            <w:shd w:val="clear" w:color="auto" w:fill="auto"/>
            <w:hideMark/>
          </w:tcPr>
          <w:p w14:paraId="05B10C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lastRenderedPageBreak/>
              <w:t> </w:t>
            </w:r>
          </w:p>
        </w:tc>
        <w:tc>
          <w:tcPr>
            <w:tcW w:w="2020" w:type="dxa"/>
            <w:shd w:val="clear" w:color="auto" w:fill="auto"/>
            <w:hideMark/>
          </w:tcPr>
          <w:p w14:paraId="7434C6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Continuity with change of administrations </w:t>
            </w:r>
          </w:p>
        </w:tc>
        <w:tc>
          <w:tcPr>
            <w:tcW w:w="2020" w:type="dxa"/>
            <w:shd w:val="clear" w:color="auto" w:fill="auto"/>
            <w:noWrap/>
            <w:hideMark/>
          </w:tcPr>
          <w:p w14:paraId="27A727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auto" w:fill="auto"/>
            <w:hideMark/>
          </w:tcPr>
          <w:p w14:paraId="52A40D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2048AF" w:rsidRPr="002048AF" w14:paraId="7AAFCD1A" w14:textId="77777777" w:rsidTr="000F5E63">
        <w:trPr>
          <w:trHeight w:val="680"/>
        </w:trPr>
        <w:tc>
          <w:tcPr>
            <w:tcW w:w="2020" w:type="dxa"/>
            <w:shd w:val="clear" w:color="000000" w:fill="F2F2F2"/>
            <w:vAlign w:val="center"/>
            <w:hideMark/>
          </w:tcPr>
          <w:p w14:paraId="5DA2F1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Security</w:t>
            </w:r>
          </w:p>
        </w:tc>
        <w:tc>
          <w:tcPr>
            <w:tcW w:w="2020" w:type="dxa"/>
            <w:shd w:val="clear" w:color="000000" w:fill="F2F2F2"/>
            <w:vAlign w:val="center"/>
            <w:hideMark/>
          </w:tcPr>
          <w:p w14:paraId="4F0D42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Security status in some regions </w:t>
            </w:r>
          </w:p>
        </w:tc>
        <w:tc>
          <w:tcPr>
            <w:tcW w:w="2020" w:type="dxa"/>
            <w:shd w:val="clear" w:color="000000" w:fill="F2F2F2"/>
            <w:vAlign w:val="center"/>
            <w:hideMark/>
          </w:tcPr>
          <w:p w14:paraId="4AAA8E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000000" w:fill="F2F2F2"/>
            <w:vAlign w:val="center"/>
            <w:hideMark/>
          </w:tcPr>
          <w:p w14:paraId="0C2ECE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follow up</w:t>
            </w:r>
          </w:p>
        </w:tc>
      </w:tr>
      <w:tr w:rsidR="002048AF" w:rsidRPr="002048AF" w14:paraId="37B1308B" w14:textId="77777777" w:rsidTr="000F5E63">
        <w:trPr>
          <w:trHeight w:val="1020"/>
        </w:trPr>
        <w:tc>
          <w:tcPr>
            <w:tcW w:w="2020" w:type="dxa"/>
            <w:shd w:val="clear" w:color="auto" w:fill="auto"/>
            <w:vAlign w:val="center"/>
            <w:hideMark/>
          </w:tcPr>
          <w:p w14:paraId="455C60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shd w:val="clear" w:color="auto" w:fill="auto"/>
            <w:vAlign w:val="center"/>
            <w:hideMark/>
          </w:tcPr>
          <w:p w14:paraId="03E715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shd w:val="clear" w:color="auto" w:fill="auto"/>
            <w:vAlign w:val="center"/>
            <w:hideMark/>
          </w:tcPr>
          <w:p w14:paraId="532564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vAlign w:val="center"/>
            <w:hideMark/>
          </w:tcPr>
          <w:p w14:paraId="5C94133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r w:rsidR="002048AF" w:rsidRPr="002048AF" w14:paraId="154D93FE" w14:textId="77777777" w:rsidTr="000F5E63">
        <w:trPr>
          <w:trHeight w:val="2380"/>
        </w:trPr>
        <w:tc>
          <w:tcPr>
            <w:tcW w:w="2020" w:type="dxa"/>
            <w:shd w:val="clear" w:color="000000" w:fill="F2F2F2"/>
            <w:hideMark/>
          </w:tcPr>
          <w:p w14:paraId="23A013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Human resources</w:t>
            </w:r>
          </w:p>
        </w:tc>
        <w:tc>
          <w:tcPr>
            <w:tcW w:w="2020" w:type="dxa"/>
            <w:shd w:val="clear" w:color="000000" w:fill="F2F2F2"/>
            <w:hideMark/>
          </w:tcPr>
          <w:p w14:paraId="4F2BEC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human</w:t>
            </w:r>
            <w:r w:rsidRPr="002048AF">
              <w:rPr>
                <w:rFonts w:ascii="Calibri" w:eastAsia="Times New Roman" w:hAnsi="Calibri" w:cs="Calibri"/>
                <w:color w:val="000000"/>
                <w:sz w:val="24"/>
                <w:szCs w:val="20"/>
                <w:lang w:val="en-GB" w:eastAsia="en-US"/>
              </w:rPr>
              <w:br/>
              <w:t>resources to cope with</w:t>
            </w:r>
            <w:r w:rsidRPr="002048AF">
              <w:rPr>
                <w:rFonts w:ascii="Calibri" w:eastAsia="Times New Roman" w:hAnsi="Calibri" w:cs="Calibri"/>
                <w:color w:val="000000"/>
                <w:sz w:val="24"/>
                <w:szCs w:val="20"/>
                <w:lang w:val="en-GB" w:eastAsia="en-US"/>
              </w:rPr>
              <w:br/>
              <w:t>demand. Lack of qualified experts in the areas concerned</w:t>
            </w:r>
          </w:p>
        </w:tc>
        <w:tc>
          <w:tcPr>
            <w:tcW w:w="2020" w:type="dxa"/>
            <w:shd w:val="clear" w:color="000000" w:fill="F2F2F2"/>
            <w:hideMark/>
          </w:tcPr>
          <w:p w14:paraId="6326C7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000000" w:fill="F2F2F2"/>
            <w:hideMark/>
          </w:tcPr>
          <w:p w14:paraId="61BFC7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Resource requirements anticipated, and continuous updating of expert data</w:t>
            </w:r>
            <w:r w:rsidRPr="002048AF">
              <w:rPr>
                <w:rFonts w:ascii="Calibri" w:eastAsia="Times New Roman" w:hAnsi="Calibri" w:cs="Calibri"/>
                <w:color w:val="000000"/>
                <w:sz w:val="24"/>
                <w:szCs w:val="20"/>
                <w:lang w:val="en-GB" w:eastAsia="en-US"/>
              </w:rPr>
              <w:br/>
              <w:t>base, and recruitment procedures initiated as soon as possible</w:t>
            </w:r>
          </w:p>
        </w:tc>
      </w:tr>
      <w:tr w:rsidR="002048AF" w:rsidRPr="002048AF" w14:paraId="0505FB11" w14:textId="77777777" w:rsidTr="000F5E63">
        <w:trPr>
          <w:trHeight w:val="1360"/>
        </w:trPr>
        <w:tc>
          <w:tcPr>
            <w:tcW w:w="2020" w:type="dxa"/>
            <w:shd w:val="clear" w:color="auto" w:fill="auto"/>
            <w:vAlign w:val="center"/>
            <w:hideMark/>
          </w:tcPr>
          <w:p w14:paraId="5C3321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Environment</w:t>
            </w:r>
          </w:p>
        </w:tc>
        <w:tc>
          <w:tcPr>
            <w:tcW w:w="2020" w:type="dxa"/>
            <w:shd w:val="clear" w:color="auto" w:fill="auto"/>
            <w:vAlign w:val="center"/>
            <w:hideMark/>
          </w:tcPr>
          <w:p w14:paraId="309A49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Delays in country activities due to unforeseen local events</w:t>
            </w:r>
          </w:p>
        </w:tc>
        <w:tc>
          <w:tcPr>
            <w:tcW w:w="2020" w:type="dxa"/>
            <w:shd w:val="clear" w:color="auto" w:fill="auto"/>
            <w:hideMark/>
          </w:tcPr>
          <w:p w14:paraId="29FBFD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hideMark/>
          </w:tcPr>
          <w:p w14:paraId="432888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Improved communication with partners</w:t>
            </w:r>
          </w:p>
        </w:tc>
      </w:tr>
    </w:tbl>
    <w:p w14:paraId="517D63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255E1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43CBD99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7E683E0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076E4EF4"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020F5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B884F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42A3911B" w14:textId="77777777" w:rsidTr="000F5E63">
        <w:trPr>
          <w:trHeight w:val="3200"/>
        </w:trPr>
        <w:tc>
          <w:tcPr>
            <w:tcW w:w="4180" w:type="dxa"/>
            <w:tcBorders>
              <w:top w:val="nil"/>
              <w:left w:val="single" w:sz="4" w:space="0" w:color="auto"/>
              <w:bottom w:val="nil"/>
              <w:right w:val="single" w:sz="4" w:space="0" w:color="auto"/>
            </w:tcBorders>
            <w:shd w:val="clear" w:color="000000" w:fill="F2F2F2"/>
            <w:hideMark/>
          </w:tcPr>
          <w:p w14:paraId="2DD796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Strengthened resource mobilization strategy and operational framework for building partnerships with UN and other international and regional telecommunication organizations, regional and global financial and development institutions for the implementation of the Kigali Action Plan including ITU-D priorities in achieving the 2030 sustainable development goals related to telecommunications/ICT development matters, as well as WSIS Outcomes</w:t>
            </w:r>
          </w:p>
        </w:tc>
        <w:tc>
          <w:tcPr>
            <w:tcW w:w="4180" w:type="dxa"/>
            <w:tcBorders>
              <w:top w:val="nil"/>
              <w:left w:val="nil"/>
              <w:bottom w:val="nil"/>
              <w:right w:val="single" w:sz="4" w:space="0" w:color="auto"/>
            </w:tcBorders>
            <w:shd w:val="clear" w:color="000000" w:fill="F2F2F2"/>
            <w:hideMark/>
          </w:tcPr>
          <w:p w14:paraId="42A4AD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ICT development agreements signed between ITU and partners to support implementation of the Kigali Action Plan</w:t>
            </w:r>
          </w:p>
        </w:tc>
      </w:tr>
      <w:tr w:rsidR="002048AF" w:rsidRPr="002048AF" w14:paraId="63524F7E" w14:textId="77777777" w:rsidTr="000F5E63">
        <w:trPr>
          <w:trHeight w:val="16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180295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362277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67C06F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C8B6CC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2048AF" w:rsidRPr="002048AF" w14:paraId="09DC6F19" w14:textId="77777777" w:rsidTr="000F5E63">
        <w:trPr>
          <w:trHeight w:val="320"/>
        </w:trPr>
        <w:tc>
          <w:tcPr>
            <w:tcW w:w="1660" w:type="dxa"/>
            <w:shd w:val="clear" w:color="000000" w:fill="02385E"/>
            <w:noWrap/>
            <w:vAlign w:val="bottom"/>
            <w:hideMark/>
          </w:tcPr>
          <w:p w14:paraId="6BD883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noWrap/>
            <w:vAlign w:val="bottom"/>
            <w:hideMark/>
          </w:tcPr>
          <w:p w14:paraId="6C39BF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shd w:val="clear" w:color="000000" w:fill="DAB785"/>
            <w:noWrap/>
            <w:vAlign w:val="bottom"/>
            <w:hideMark/>
          </w:tcPr>
          <w:p w14:paraId="7E7C667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shd w:val="clear" w:color="000000" w:fill="D6896F"/>
            <w:noWrap/>
            <w:vAlign w:val="bottom"/>
            <w:hideMark/>
          </w:tcPr>
          <w:p w14:paraId="057473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shd w:val="clear" w:color="000000" w:fill="A63950"/>
            <w:noWrap/>
            <w:vAlign w:val="bottom"/>
            <w:hideMark/>
          </w:tcPr>
          <w:p w14:paraId="5F8EF1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6D1BCC5E" w14:textId="77777777" w:rsidTr="000F5E63">
        <w:trPr>
          <w:trHeight w:val="2560"/>
        </w:trPr>
        <w:tc>
          <w:tcPr>
            <w:tcW w:w="1660" w:type="dxa"/>
            <w:shd w:val="clear" w:color="000000" w:fill="F2F2F2"/>
            <w:vAlign w:val="center"/>
            <w:hideMark/>
          </w:tcPr>
          <w:p w14:paraId="689ED5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shd w:val="clear" w:color="000000" w:fill="F2F2F2"/>
            <w:vAlign w:val="center"/>
            <w:hideMark/>
          </w:tcPr>
          <w:p w14:paraId="3074F4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shd w:val="clear" w:color="000000" w:fill="F2F2F2"/>
            <w:vAlign w:val="center"/>
            <w:hideMark/>
          </w:tcPr>
          <w:p w14:paraId="11E5C1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shd w:val="clear" w:color="000000" w:fill="F2F2F2"/>
            <w:vAlign w:val="center"/>
            <w:hideMark/>
          </w:tcPr>
          <w:p w14:paraId="3646DA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000000" w:fill="F2F2F2"/>
            <w:vAlign w:val="center"/>
            <w:hideMark/>
          </w:tcPr>
          <w:p w14:paraId="57442A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7A045F48" w14:textId="77777777" w:rsidTr="000F5E63">
        <w:trPr>
          <w:trHeight w:val="1600"/>
        </w:trPr>
        <w:tc>
          <w:tcPr>
            <w:tcW w:w="1660" w:type="dxa"/>
            <w:shd w:val="clear" w:color="auto" w:fill="auto"/>
            <w:hideMark/>
          </w:tcPr>
          <w:p w14:paraId="5E7C24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shd w:val="clear" w:color="auto" w:fill="auto"/>
            <w:hideMark/>
          </w:tcPr>
          <w:p w14:paraId="5B8810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shd w:val="clear" w:color="auto" w:fill="auto"/>
            <w:noWrap/>
            <w:hideMark/>
          </w:tcPr>
          <w:p w14:paraId="0DF7A3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auto" w:fill="auto"/>
            <w:noWrap/>
            <w:hideMark/>
          </w:tcPr>
          <w:p w14:paraId="705A0B2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4969C7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7C5A5853" w14:textId="77777777" w:rsidTr="000F5E63">
        <w:trPr>
          <w:trHeight w:val="1920"/>
        </w:trPr>
        <w:tc>
          <w:tcPr>
            <w:tcW w:w="1660" w:type="dxa"/>
            <w:shd w:val="clear" w:color="auto" w:fill="auto"/>
            <w:hideMark/>
          </w:tcPr>
          <w:p w14:paraId="14C838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auto" w:fill="auto"/>
            <w:hideMark/>
          </w:tcPr>
          <w:p w14:paraId="603BD7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shd w:val="clear" w:color="auto" w:fill="auto"/>
            <w:noWrap/>
            <w:hideMark/>
          </w:tcPr>
          <w:p w14:paraId="72C909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shd w:val="clear" w:color="auto" w:fill="auto"/>
            <w:noWrap/>
            <w:hideMark/>
          </w:tcPr>
          <w:p w14:paraId="2585EA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1D8E6F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631D5456" w14:textId="77777777" w:rsidTr="000F5E63">
        <w:trPr>
          <w:trHeight w:val="640"/>
        </w:trPr>
        <w:tc>
          <w:tcPr>
            <w:tcW w:w="1660" w:type="dxa"/>
            <w:shd w:val="clear" w:color="000000" w:fill="F2F2F2"/>
            <w:vAlign w:val="center"/>
            <w:hideMark/>
          </w:tcPr>
          <w:p w14:paraId="30FB5B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shd w:val="clear" w:color="000000" w:fill="F2F2F2"/>
            <w:vAlign w:val="center"/>
            <w:hideMark/>
          </w:tcPr>
          <w:p w14:paraId="35FC52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shd w:val="clear" w:color="000000" w:fill="F2F2F2"/>
            <w:vAlign w:val="center"/>
            <w:hideMark/>
          </w:tcPr>
          <w:p w14:paraId="2BF70D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000000" w:fill="F2F2F2"/>
            <w:vAlign w:val="center"/>
            <w:hideMark/>
          </w:tcPr>
          <w:p w14:paraId="3FD025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shd w:val="clear" w:color="000000" w:fill="F2F2F2"/>
            <w:vAlign w:val="center"/>
            <w:hideMark/>
          </w:tcPr>
          <w:p w14:paraId="2F3018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7EB18F3E" w14:textId="77777777" w:rsidTr="000F5E63">
        <w:trPr>
          <w:trHeight w:val="960"/>
        </w:trPr>
        <w:tc>
          <w:tcPr>
            <w:tcW w:w="1660" w:type="dxa"/>
            <w:shd w:val="clear" w:color="auto" w:fill="auto"/>
            <w:vAlign w:val="center"/>
            <w:hideMark/>
          </w:tcPr>
          <w:p w14:paraId="773952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shd w:val="clear" w:color="auto" w:fill="auto"/>
            <w:vAlign w:val="center"/>
            <w:hideMark/>
          </w:tcPr>
          <w:p w14:paraId="6D0F16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shd w:val="clear" w:color="auto" w:fill="auto"/>
            <w:vAlign w:val="center"/>
            <w:hideMark/>
          </w:tcPr>
          <w:p w14:paraId="76F00C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auto" w:fill="auto"/>
            <w:vAlign w:val="center"/>
            <w:hideMark/>
          </w:tcPr>
          <w:p w14:paraId="7220E6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shd w:val="clear" w:color="auto" w:fill="auto"/>
            <w:vAlign w:val="center"/>
            <w:hideMark/>
          </w:tcPr>
          <w:p w14:paraId="734A26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3246DF50" w14:textId="77777777" w:rsidTr="000F5E63">
        <w:trPr>
          <w:trHeight w:val="2900"/>
        </w:trPr>
        <w:tc>
          <w:tcPr>
            <w:tcW w:w="1660" w:type="dxa"/>
            <w:shd w:val="clear" w:color="000000" w:fill="F2F2F2"/>
            <w:hideMark/>
          </w:tcPr>
          <w:p w14:paraId="7CD147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Human resources</w:t>
            </w:r>
          </w:p>
        </w:tc>
        <w:tc>
          <w:tcPr>
            <w:tcW w:w="2020" w:type="dxa"/>
            <w:shd w:val="clear" w:color="000000" w:fill="F2F2F2"/>
            <w:hideMark/>
          </w:tcPr>
          <w:p w14:paraId="03BB08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shd w:val="clear" w:color="000000" w:fill="F2F2F2"/>
            <w:hideMark/>
          </w:tcPr>
          <w:p w14:paraId="3954A3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000000" w:fill="F2F2F2"/>
            <w:hideMark/>
          </w:tcPr>
          <w:p w14:paraId="7F0605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shd w:val="clear" w:color="000000" w:fill="F2F2F2"/>
            <w:hideMark/>
          </w:tcPr>
          <w:p w14:paraId="2500FF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66E6C341" w14:textId="77777777" w:rsidTr="000F5E63">
        <w:trPr>
          <w:trHeight w:val="1140"/>
        </w:trPr>
        <w:tc>
          <w:tcPr>
            <w:tcW w:w="1660" w:type="dxa"/>
            <w:shd w:val="clear" w:color="auto" w:fill="auto"/>
            <w:vAlign w:val="center"/>
            <w:hideMark/>
          </w:tcPr>
          <w:p w14:paraId="63F1BE4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shd w:val="clear" w:color="auto" w:fill="auto"/>
            <w:vAlign w:val="center"/>
            <w:hideMark/>
          </w:tcPr>
          <w:p w14:paraId="4C1C94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shd w:val="clear" w:color="auto" w:fill="auto"/>
            <w:hideMark/>
          </w:tcPr>
          <w:p w14:paraId="7F728C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auto" w:fill="auto"/>
            <w:hideMark/>
          </w:tcPr>
          <w:p w14:paraId="68885A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51FCB6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3195875A" w14:textId="77777777" w:rsidTr="000F5E63">
        <w:trPr>
          <w:trHeight w:val="300"/>
        </w:trPr>
        <w:tc>
          <w:tcPr>
            <w:tcW w:w="1660" w:type="dxa"/>
            <w:shd w:val="clear" w:color="000000" w:fill="FFFFFF"/>
            <w:vAlign w:val="center"/>
            <w:hideMark/>
          </w:tcPr>
          <w:p w14:paraId="3DDD70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000000" w:fill="FFFFFF"/>
            <w:vAlign w:val="center"/>
            <w:hideMark/>
          </w:tcPr>
          <w:p w14:paraId="733965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shd w:val="clear" w:color="000000" w:fill="FFFFFF"/>
            <w:vAlign w:val="center"/>
            <w:hideMark/>
          </w:tcPr>
          <w:p w14:paraId="7C0852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shd w:val="clear" w:color="000000" w:fill="FFFFFF"/>
            <w:vAlign w:val="center"/>
            <w:hideMark/>
          </w:tcPr>
          <w:p w14:paraId="66586A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000000" w:fill="FFFFFF"/>
            <w:vAlign w:val="center"/>
            <w:hideMark/>
          </w:tcPr>
          <w:p w14:paraId="68E844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507650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65F3742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47BD239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06F43E3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0B1C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568F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2D2C0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2A3B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2A18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19672D3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0456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8933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8598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3B85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8675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3A662F1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3F47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AF07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9AE7A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9205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DFB6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r>
      <w:tr w:rsidR="002048AF" w:rsidRPr="002048AF" w14:paraId="597CBFD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D2967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88343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CE30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72B3E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168F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019554C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D8B4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9C56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5BD3F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4ACA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841DB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22,5</w:t>
            </w:r>
          </w:p>
        </w:tc>
      </w:tr>
      <w:tr w:rsidR="002048AF" w:rsidRPr="002048AF" w14:paraId="211A539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E294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5ACD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85B1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E6C7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73AF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55,2</w:t>
            </w:r>
          </w:p>
        </w:tc>
      </w:tr>
      <w:tr w:rsidR="002048AF" w:rsidRPr="002048AF" w14:paraId="48FAB75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A0621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3B1E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1FC1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16,81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484D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D57B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16,3</w:t>
            </w:r>
          </w:p>
        </w:tc>
      </w:tr>
      <w:tr w:rsidR="002048AF" w:rsidRPr="002048AF" w14:paraId="4C75BAD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55988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CB4B2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0EA7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D4B29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888C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11,9</w:t>
            </w:r>
          </w:p>
        </w:tc>
      </w:tr>
      <w:tr w:rsidR="002048AF" w:rsidRPr="002048AF" w14:paraId="509E657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8CA7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DF4C0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9A54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B3733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75706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41178B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7A6F5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25DC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67A14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470AB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174AC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15F5212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50AE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B3E1F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95877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27,09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1E13E7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27,1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26F0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30,2</w:t>
            </w:r>
          </w:p>
        </w:tc>
      </w:tr>
      <w:tr w:rsidR="002048AF" w:rsidRPr="002048AF" w14:paraId="29B1BE8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8053D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C1A95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D59A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23,56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7A613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5269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23,2</w:t>
            </w:r>
          </w:p>
        </w:tc>
      </w:tr>
      <w:tr w:rsidR="002048AF" w:rsidRPr="002048AF" w14:paraId="4776FDE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2E63D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5CB40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6A63A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7CEA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3A81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r>
      <w:tr w:rsidR="002048AF" w:rsidRPr="002048AF" w14:paraId="520ED4D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F6BF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20BA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9904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249CB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06C0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3492141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E088E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6105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A2577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A5EB0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B144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D1D150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19C6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D062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6D15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161,5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2DF5E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161,5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3407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171,2</w:t>
            </w:r>
          </w:p>
        </w:tc>
      </w:tr>
      <w:tr w:rsidR="002048AF" w:rsidRPr="002048AF" w14:paraId="1FEF43A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FBC6C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A8F1B3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140C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30B6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E5E0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3902B283" w14:textId="2BDDBF24" w:rsid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74FAA5A9" w14:textId="4EB23F93" w:rsidR="00B37DB2" w:rsidRDefault="00B37DB2" w:rsidP="00B37DB2">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273DDBEC" w14:textId="77777777" w:rsidR="00B37DB2" w:rsidRPr="002048AF" w:rsidRDefault="00B37DB2" w:rsidP="00B37DB2">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37870D7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lastRenderedPageBreak/>
        <w:t>2.6</w:t>
      </w:r>
      <w:r w:rsidRPr="002048AF">
        <w:rPr>
          <w:rFonts w:ascii="Calibri" w:eastAsia="Times New Roman" w:hAnsi="Calibri" w:cs="Calibri"/>
          <w:b/>
          <w:bCs/>
          <w:sz w:val="24"/>
          <w:szCs w:val="24"/>
          <w:lang w:val="en-GB" w:eastAsia="en-US"/>
        </w:rPr>
        <w:tab/>
        <w:t>New product and service development</w:t>
      </w:r>
    </w:p>
    <w:p w14:paraId="531BE80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70A0C93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 xml:space="preserve">The development of new ITU-D products and services to address Members’ needs in alignment with the goals of the </w:t>
      </w:r>
      <w:proofErr w:type="gramStart"/>
      <w:r w:rsidRPr="002048AF">
        <w:rPr>
          <w:rFonts w:ascii="Calibri" w:eastAsia="Times New Roman" w:hAnsi="Calibri" w:cs="Calibri"/>
          <w:sz w:val="24"/>
          <w:szCs w:val="24"/>
          <w:lang w:val="en-GB" w:eastAsia="en-US"/>
        </w:rPr>
        <w:t>Union;</w:t>
      </w:r>
      <w:proofErr w:type="gramEnd"/>
      <w:r w:rsidRPr="002048AF">
        <w:rPr>
          <w:rFonts w:ascii="Calibri" w:eastAsia="Times New Roman" w:hAnsi="Calibri" w:cs="Calibri"/>
          <w:sz w:val="24"/>
          <w:szCs w:val="24"/>
          <w:lang w:val="en-GB" w:eastAsia="en-US"/>
        </w:rPr>
        <w:t xml:space="preserve"> including development of tools, policy frameworks, guidelines and knowledge products. </w:t>
      </w:r>
    </w:p>
    <w:p w14:paraId="6354A5D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416BE96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63E6C1C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620"/>
        <w:gridCol w:w="2620"/>
        <w:gridCol w:w="2620"/>
        <w:gridCol w:w="1780"/>
      </w:tblGrid>
      <w:tr w:rsidR="002048AF" w:rsidRPr="002048AF" w14:paraId="46B9CCFD" w14:textId="77777777" w:rsidTr="000F5E6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6A4DE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DFB0A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42BCDF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62CF53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2F6C4469" w14:textId="77777777" w:rsidTr="000F5E63">
        <w:trPr>
          <w:trHeight w:val="3200"/>
        </w:trPr>
        <w:tc>
          <w:tcPr>
            <w:tcW w:w="2620" w:type="dxa"/>
            <w:tcBorders>
              <w:top w:val="nil"/>
              <w:left w:val="single" w:sz="4" w:space="0" w:color="auto"/>
              <w:bottom w:val="nil"/>
              <w:right w:val="single" w:sz="4" w:space="0" w:color="auto"/>
            </w:tcBorders>
            <w:shd w:val="clear" w:color="000000" w:fill="FFFFFF"/>
            <w:hideMark/>
          </w:tcPr>
          <w:p w14:paraId="60F9E0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capacity of the ITU membership to implement strategies, </w:t>
            </w:r>
            <w:proofErr w:type="gramStart"/>
            <w:r w:rsidRPr="002048AF">
              <w:rPr>
                <w:rFonts w:ascii="Calibri" w:eastAsia="Times New Roman" w:hAnsi="Calibri" w:cs="Calibri"/>
                <w:color w:val="000000"/>
                <w:lang w:val="en-GB" w:eastAsia="en-US"/>
              </w:rPr>
              <w:t>policies</w:t>
            </w:r>
            <w:proofErr w:type="gramEnd"/>
            <w:r w:rsidRPr="002048AF">
              <w:rPr>
                <w:rFonts w:ascii="Calibri" w:eastAsia="Times New Roman" w:hAnsi="Calibri" w:cs="Calibri"/>
                <w:color w:val="000000"/>
                <w:lang w:val="en-GB" w:eastAsia="en-US"/>
              </w:rPr>
              <w:t xml:space="preserve"> and practices to support the implementation of ITU-D priorities </w:t>
            </w:r>
          </w:p>
        </w:tc>
        <w:tc>
          <w:tcPr>
            <w:tcW w:w="2620" w:type="dxa"/>
            <w:tcBorders>
              <w:top w:val="nil"/>
              <w:left w:val="nil"/>
              <w:bottom w:val="nil"/>
              <w:right w:val="single" w:sz="4" w:space="0" w:color="auto"/>
            </w:tcBorders>
            <w:shd w:val="clear" w:color="000000" w:fill="FFFFFF"/>
            <w:hideMark/>
          </w:tcPr>
          <w:p w14:paraId="6D2EF8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Various tools and knowledge products were </w:t>
            </w:r>
            <w:r w:rsidRPr="002048AF" w:rsidDel="003969EB">
              <w:rPr>
                <w:rFonts w:ascii="Calibri" w:eastAsia="Times New Roman" w:hAnsi="Calibri" w:cs="Calibri"/>
                <w:color w:val="000000"/>
                <w:lang w:val="en-GB" w:eastAsia="en-US"/>
              </w:rPr>
              <w:t xml:space="preserve">developed </w:t>
            </w:r>
            <w:r w:rsidRPr="002048AF">
              <w:rPr>
                <w:rFonts w:ascii="Calibri" w:eastAsia="Times New Roman" w:hAnsi="Calibri" w:cs="Calibri"/>
                <w:color w:val="000000"/>
                <w:lang w:val="en-GB" w:eastAsia="en-US"/>
              </w:rPr>
              <w:t xml:space="preserve">and capacity </w:t>
            </w:r>
            <w:r w:rsidRPr="002048AF" w:rsidDel="00C845F5">
              <w:rPr>
                <w:rFonts w:ascii="Calibri" w:eastAsia="Times New Roman" w:hAnsi="Calibri" w:cs="Calibri"/>
                <w:color w:val="000000"/>
                <w:lang w:val="en-GB" w:eastAsia="en-US"/>
              </w:rPr>
              <w:t xml:space="preserve">development </w:t>
            </w:r>
            <w:r w:rsidRPr="002048AF">
              <w:rPr>
                <w:rFonts w:ascii="Calibri" w:eastAsia="Times New Roman" w:hAnsi="Calibri" w:cs="Calibri"/>
                <w:color w:val="000000"/>
                <w:lang w:val="en-GB" w:eastAsia="en-US"/>
              </w:rPr>
              <w:t xml:space="preserve">as well as technical assistance interventions </w:t>
            </w:r>
            <w:proofErr w:type="gramStart"/>
            <w:r w:rsidRPr="002048AF">
              <w:rPr>
                <w:rFonts w:ascii="Calibri" w:eastAsia="Times New Roman" w:hAnsi="Calibri" w:cs="Calibri"/>
                <w:color w:val="000000"/>
                <w:lang w:val="en-GB" w:eastAsia="en-US"/>
              </w:rPr>
              <w:t>undertaken  under</w:t>
            </w:r>
            <w:proofErr w:type="gramEnd"/>
            <w:r w:rsidRPr="002048AF">
              <w:rPr>
                <w:rFonts w:ascii="Calibri" w:eastAsia="Times New Roman" w:hAnsi="Calibri" w:cs="Calibri"/>
                <w:color w:val="000000"/>
                <w:lang w:val="en-GB" w:eastAsia="en-US"/>
              </w:rPr>
              <w:t xml:space="preserve"> each priority &amp; enabler and related topics to advance the implementation of the Kigali Action Plan. See details above under "Products and service delivery".</w:t>
            </w:r>
          </w:p>
        </w:tc>
        <w:tc>
          <w:tcPr>
            <w:tcW w:w="2620" w:type="dxa"/>
            <w:tcBorders>
              <w:top w:val="nil"/>
              <w:left w:val="nil"/>
              <w:bottom w:val="nil"/>
              <w:right w:val="single" w:sz="4" w:space="0" w:color="auto"/>
            </w:tcBorders>
            <w:shd w:val="clear" w:color="000000" w:fill="FFFFFF"/>
            <w:hideMark/>
          </w:tcPr>
          <w:p w14:paraId="3E095B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tools /frameworks/ resources developed to support the implementation of ITU-D priorities and supporting </w:t>
            </w:r>
            <w:r w:rsidRPr="002048AF" w:rsidDel="003969EB">
              <w:rPr>
                <w:rFonts w:ascii="Calibri" w:eastAsia="Times New Roman" w:hAnsi="Calibri" w:cs="Calibri"/>
                <w:color w:val="000000"/>
                <w:lang w:val="en-GB" w:eastAsia="en-US"/>
              </w:rPr>
              <w:t>enablers</w:t>
            </w:r>
            <w:r w:rsidRPr="002048AF">
              <w:rPr>
                <w:rFonts w:ascii="Calibri" w:eastAsia="Times New Roman" w:hAnsi="Calibri" w:cs="Calibri"/>
                <w:color w:val="000000"/>
                <w:lang w:val="en-GB" w:eastAsia="en-US"/>
              </w:rPr>
              <w:t>.</w:t>
            </w:r>
          </w:p>
          <w:p w14:paraId="07FCAD2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Member States </w:t>
            </w:r>
            <w:r w:rsidRPr="002048AF" w:rsidDel="003969EB">
              <w:rPr>
                <w:rFonts w:ascii="Calibri" w:eastAsia="Times New Roman" w:hAnsi="Calibri" w:cs="Calibri"/>
                <w:color w:val="000000"/>
                <w:lang w:val="en-GB" w:eastAsia="en-US"/>
              </w:rPr>
              <w:t>assisted</w:t>
            </w:r>
            <w:r w:rsidRPr="002048AF">
              <w:rPr>
                <w:rFonts w:ascii="Calibri" w:eastAsia="Times New Roman" w:hAnsi="Calibri" w:cs="Calibri"/>
                <w:color w:val="000000"/>
                <w:lang w:val="en-GB" w:eastAsia="en-US"/>
              </w:rPr>
              <w:t xml:space="preserve">. </w:t>
            </w:r>
          </w:p>
          <w:p w14:paraId="038AE9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people participating in capacity development initiatives led by BDT  </w:t>
            </w:r>
          </w:p>
        </w:tc>
        <w:tc>
          <w:tcPr>
            <w:tcW w:w="1780" w:type="dxa"/>
            <w:tcBorders>
              <w:top w:val="nil"/>
              <w:left w:val="nil"/>
              <w:bottom w:val="nil"/>
              <w:right w:val="single" w:sz="4" w:space="0" w:color="auto"/>
            </w:tcBorders>
            <w:shd w:val="clear" w:color="000000" w:fill="FFFFFF"/>
            <w:hideMark/>
          </w:tcPr>
          <w:p w14:paraId="033F53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6135C512" w14:textId="77777777" w:rsidTr="000F5E63">
        <w:trPr>
          <w:trHeight w:val="32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67893E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173EC4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5DFFF0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3EAF2B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66D61B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br w:type="page"/>
      </w:r>
    </w:p>
    <w:p w14:paraId="3EE727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4DA79E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767A0C5D" w14:textId="77777777" w:rsidTr="000F5E63">
        <w:trPr>
          <w:trHeight w:val="680"/>
          <w:tblHeader/>
        </w:trPr>
        <w:tc>
          <w:tcPr>
            <w:tcW w:w="2020" w:type="dxa"/>
            <w:shd w:val="clear" w:color="000000" w:fill="02385E"/>
            <w:vAlign w:val="center"/>
            <w:hideMark/>
          </w:tcPr>
          <w:p w14:paraId="0C82713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033E72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0DB398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3DE432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5C0D83BA" w14:textId="77777777" w:rsidTr="000F5E63">
        <w:trPr>
          <w:trHeight w:val="1700"/>
          <w:tblHeader/>
        </w:trPr>
        <w:tc>
          <w:tcPr>
            <w:tcW w:w="2020" w:type="dxa"/>
            <w:shd w:val="clear" w:color="auto" w:fill="auto"/>
            <w:hideMark/>
          </w:tcPr>
          <w:p w14:paraId="433937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shd w:val="clear" w:color="auto" w:fill="auto"/>
            <w:hideMark/>
          </w:tcPr>
          <w:p w14:paraId="05257D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commitment and timely communication by countries</w:t>
            </w:r>
          </w:p>
        </w:tc>
        <w:tc>
          <w:tcPr>
            <w:tcW w:w="2020" w:type="dxa"/>
            <w:shd w:val="clear" w:color="auto" w:fill="auto"/>
            <w:noWrap/>
            <w:hideMark/>
          </w:tcPr>
          <w:p w14:paraId="0A3D8E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High</w:t>
            </w:r>
          </w:p>
        </w:tc>
        <w:tc>
          <w:tcPr>
            <w:tcW w:w="2500" w:type="dxa"/>
            <w:shd w:val="clear" w:color="auto" w:fill="auto"/>
            <w:hideMark/>
          </w:tcPr>
          <w:p w14:paraId="7698B9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 States to ensure appropriate level of involvement</w:t>
            </w:r>
          </w:p>
        </w:tc>
      </w:tr>
      <w:tr w:rsidR="002048AF" w:rsidRPr="002048AF" w14:paraId="36977B48" w14:textId="77777777" w:rsidTr="000F5E63">
        <w:trPr>
          <w:trHeight w:val="1020"/>
          <w:tblHeader/>
        </w:trPr>
        <w:tc>
          <w:tcPr>
            <w:tcW w:w="2020" w:type="dxa"/>
            <w:shd w:val="clear" w:color="auto" w:fill="auto"/>
            <w:vAlign w:val="center"/>
            <w:hideMark/>
          </w:tcPr>
          <w:p w14:paraId="0D8352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shd w:val="clear" w:color="auto" w:fill="auto"/>
            <w:vAlign w:val="center"/>
            <w:hideMark/>
          </w:tcPr>
          <w:p w14:paraId="01F59A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shd w:val="clear" w:color="auto" w:fill="auto"/>
            <w:vAlign w:val="center"/>
            <w:hideMark/>
          </w:tcPr>
          <w:p w14:paraId="463D21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vAlign w:val="center"/>
            <w:hideMark/>
          </w:tcPr>
          <w:p w14:paraId="32425A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r w:rsidR="002048AF" w:rsidRPr="002048AF" w14:paraId="127B57C9" w14:textId="77777777" w:rsidTr="000F5E63">
        <w:trPr>
          <w:trHeight w:val="2380"/>
          <w:tblHeader/>
        </w:trPr>
        <w:tc>
          <w:tcPr>
            <w:tcW w:w="2020" w:type="dxa"/>
            <w:shd w:val="clear" w:color="000000" w:fill="F2F2F2"/>
            <w:hideMark/>
          </w:tcPr>
          <w:p w14:paraId="6C6140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Human resources</w:t>
            </w:r>
          </w:p>
        </w:tc>
        <w:tc>
          <w:tcPr>
            <w:tcW w:w="2020" w:type="dxa"/>
            <w:shd w:val="clear" w:color="000000" w:fill="F2F2F2"/>
            <w:hideMark/>
          </w:tcPr>
          <w:p w14:paraId="69EB32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human</w:t>
            </w:r>
            <w:r w:rsidRPr="002048AF">
              <w:rPr>
                <w:rFonts w:ascii="Calibri" w:eastAsia="Times New Roman" w:hAnsi="Calibri" w:cs="Calibri"/>
                <w:color w:val="000000"/>
                <w:sz w:val="24"/>
                <w:szCs w:val="20"/>
                <w:lang w:val="en-GB" w:eastAsia="en-US"/>
              </w:rPr>
              <w:br/>
              <w:t>resources to cope with</w:t>
            </w:r>
            <w:r w:rsidRPr="002048AF">
              <w:rPr>
                <w:rFonts w:ascii="Calibri" w:eastAsia="Times New Roman" w:hAnsi="Calibri" w:cs="Calibri"/>
                <w:color w:val="000000"/>
                <w:sz w:val="24"/>
                <w:szCs w:val="20"/>
                <w:lang w:val="en-GB" w:eastAsia="en-US"/>
              </w:rPr>
              <w:br/>
              <w:t>demand. Lack of qualified experts in the areas concerned</w:t>
            </w:r>
          </w:p>
        </w:tc>
        <w:tc>
          <w:tcPr>
            <w:tcW w:w="2020" w:type="dxa"/>
            <w:shd w:val="clear" w:color="000000" w:fill="F2F2F2"/>
            <w:hideMark/>
          </w:tcPr>
          <w:p w14:paraId="7F0291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000000" w:fill="F2F2F2"/>
            <w:hideMark/>
          </w:tcPr>
          <w:p w14:paraId="2091BF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Resource requirements anticipated, and continuous updating of expert data</w:t>
            </w:r>
            <w:r w:rsidRPr="002048AF">
              <w:rPr>
                <w:rFonts w:ascii="Calibri" w:eastAsia="Times New Roman" w:hAnsi="Calibri" w:cs="Calibri"/>
                <w:color w:val="000000"/>
                <w:sz w:val="24"/>
                <w:szCs w:val="20"/>
                <w:lang w:val="en-GB" w:eastAsia="en-US"/>
              </w:rPr>
              <w:br/>
              <w:t>base, and recruitment procedures initiated as soon as possible</w:t>
            </w:r>
          </w:p>
        </w:tc>
      </w:tr>
      <w:tr w:rsidR="002048AF" w:rsidRPr="002048AF" w14:paraId="06471A27" w14:textId="77777777" w:rsidTr="000F5E63">
        <w:trPr>
          <w:trHeight w:val="1360"/>
          <w:tblHeader/>
        </w:trPr>
        <w:tc>
          <w:tcPr>
            <w:tcW w:w="2020" w:type="dxa"/>
            <w:shd w:val="clear" w:color="auto" w:fill="auto"/>
            <w:vAlign w:val="center"/>
            <w:hideMark/>
          </w:tcPr>
          <w:p w14:paraId="20E378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Environment</w:t>
            </w:r>
          </w:p>
        </w:tc>
        <w:tc>
          <w:tcPr>
            <w:tcW w:w="2020" w:type="dxa"/>
            <w:shd w:val="clear" w:color="auto" w:fill="auto"/>
            <w:vAlign w:val="center"/>
            <w:hideMark/>
          </w:tcPr>
          <w:p w14:paraId="518780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Delays in country activities due to unforeseen local events</w:t>
            </w:r>
          </w:p>
        </w:tc>
        <w:tc>
          <w:tcPr>
            <w:tcW w:w="2020" w:type="dxa"/>
            <w:shd w:val="clear" w:color="auto" w:fill="auto"/>
            <w:hideMark/>
          </w:tcPr>
          <w:p w14:paraId="56526E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hideMark/>
          </w:tcPr>
          <w:p w14:paraId="337764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Improved communication with partners</w:t>
            </w:r>
          </w:p>
        </w:tc>
      </w:tr>
      <w:tr w:rsidR="002048AF" w:rsidRPr="002048AF" w14:paraId="68AA82AC" w14:textId="77777777" w:rsidTr="000F5E63">
        <w:trPr>
          <w:trHeight w:val="320"/>
          <w:tblHeader/>
        </w:trPr>
        <w:tc>
          <w:tcPr>
            <w:tcW w:w="2020" w:type="dxa"/>
            <w:shd w:val="clear" w:color="auto" w:fill="auto"/>
            <w:vAlign w:val="center"/>
            <w:hideMark/>
          </w:tcPr>
          <w:p w14:paraId="70C2F7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shd w:val="clear" w:color="auto" w:fill="auto"/>
            <w:vAlign w:val="center"/>
            <w:hideMark/>
          </w:tcPr>
          <w:p w14:paraId="02923F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shd w:val="clear" w:color="auto" w:fill="auto"/>
            <w:vAlign w:val="center"/>
            <w:hideMark/>
          </w:tcPr>
          <w:p w14:paraId="3FA3F1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00" w:type="dxa"/>
            <w:shd w:val="clear" w:color="auto" w:fill="auto"/>
            <w:vAlign w:val="center"/>
            <w:hideMark/>
          </w:tcPr>
          <w:p w14:paraId="0F8126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7063F1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sz w:val="24"/>
          <w:szCs w:val="20"/>
          <w:lang w:val="en-GB" w:eastAsia="en-US"/>
        </w:rPr>
      </w:pPr>
    </w:p>
    <w:p w14:paraId="45254C8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42F4FDF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35941BCF"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BBF54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61D85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71D01D57" w14:textId="77777777" w:rsidTr="000F5E63">
        <w:trPr>
          <w:trHeight w:val="960"/>
        </w:trPr>
        <w:tc>
          <w:tcPr>
            <w:tcW w:w="4180" w:type="dxa"/>
            <w:tcBorders>
              <w:top w:val="nil"/>
              <w:left w:val="single" w:sz="4" w:space="0" w:color="auto"/>
              <w:bottom w:val="nil"/>
              <w:right w:val="single" w:sz="4" w:space="0" w:color="auto"/>
            </w:tcBorders>
            <w:shd w:val="clear" w:color="000000" w:fill="FFFFFF"/>
            <w:vAlign w:val="center"/>
            <w:hideMark/>
          </w:tcPr>
          <w:p w14:paraId="0DFBA8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capacity of the ITU membership to develop and adopt strategies, </w:t>
            </w:r>
            <w:proofErr w:type="gramStart"/>
            <w:r w:rsidRPr="002048AF">
              <w:rPr>
                <w:rFonts w:ascii="Calibri" w:eastAsia="Times New Roman" w:hAnsi="Calibri" w:cs="Calibri"/>
                <w:color w:val="000000"/>
                <w:lang w:val="en-GB" w:eastAsia="en-US"/>
              </w:rPr>
              <w:t>policies</w:t>
            </w:r>
            <w:proofErr w:type="gramEnd"/>
            <w:r w:rsidRPr="002048AF">
              <w:rPr>
                <w:rFonts w:ascii="Calibri" w:eastAsia="Times New Roman" w:hAnsi="Calibri" w:cs="Calibri"/>
                <w:color w:val="000000"/>
                <w:lang w:val="en-GB" w:eastAsia="en-US"/>
              </w:rPr>
              <w:t xml:space="preserve"> and practices to support the implementation of ITU-D priorities </w:t>
            </w:r>
          </w:p>
        </w:tc>
        <w:tc>
          <w:tcPr>
            <w:tcW w:w="4180" w:type="dxa"/>
            <w:tcBorders>
              <w:top w:val="nil"/>
              <w:left w:val="nil"/>
              <w:bottom w:val="nil"/>
              <w:right w:val="single" w:sz="4" w:space="0" w:color="auto"/>
            </w:tcBorders>
            <w:shd w:val="clear" w:color="000000" w:fill="FFFFFF"/>
            <w:vAlign w:val="center"/>
            <w:hideMark/>
          </w:tcPr>
          <w:p w14:paraId="0A6A91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tools /frameworks/ resources developed to support the implementation of ITU-D priorities and supporting </w:t>
            </w:r>
            <w:r w:rsidRPr="002048AF" w:rsidDel="003969EB">
              <w:rPr>
                <w:rFonts w:ascii="Calibri" w:eastAsia="Times New Roman" w:hAnsi="Calibri" w:cs="Calibri"/>
                <w:color w:val="000000"/>
                <w:lang w:val="en-GB" w:eastAsia="en-US"/>
              </w:rPr>
              <w:t>enablers</w:t>
            </w:r>
            <w:r w:rsidRPr="002048AF">
              <w:rPr>
                <w:rFonts w:ascii="Calibri" w:eastAsia="Times New Roman" w:hAnsi="Calibri" w:cs="Calibri"/>
                <w:color w:val="000000"/>
                <w:lang w:val="en-GB" w:eastAsia="en-US"/>
              </w:rPr>
              <w:t xml:space="preserve">. </w:t>
            </w:r>
          </w:p>
          <w:p w14:paraId="35627D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Member States </w:t>
            </w:r>
            <w:r w:rsidRPr="002048AF" w:rsidDel="003969EB">
              <w:rPr>
                <w:rFonts w:ascii="Calibri" w:eastAsia="Times New Roman" w:hAnsi="Calibri" w:cs="Calibri"/>
                <w:color w:val="000000"/>
                <w:lang w:val="en-GB" w:eastAsia="en-US"/>
              </w:rPr>
              <w:t>assisted</w:t>
            </w:r>
            <w:r w:rsidRPr="002048AF">
              <w:rPr>
                <w:rFonts w:ascii="Calibri" w:eastAsia="Times New Roman" w:hAnsi="Calibri" w:cs="Calibri"/>
                <w:color w:val="000000"/>
                <w:lang w:val="en-GB" w:eastAsia="en-US"/>
              </w:rPr>
              <w:t xml:space="preserve">. </w:t>
            </w:r>
          </w:p>
          <w:p w14:paraId="1E7461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people participating in capacity development initiatives led by BDT  </w:t>
            </w:r>
          </w:p>
        </w:tc>
      </w:tr>
      <w:tr w:rsidR="002048AF" w:rsidRPr="002048AF" w14:paraId="546A401E" w14:textId="77777777" w:rsidTr="000F5E6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580283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73851B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0B2AAC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7F34B9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24C3DC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0900D5B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2026 Threat and risk assessment</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20"/>
        <w:gridCol w:w="1540"/>
        <w:gridCol w:w="1540"/>
        <w:gridCol w:w="2020"/>
      </w:tblGrid>
      <w:tr w:rsidR="002048AF" w:rsidRPr="002048AF" w14:paraId="26491B22" w14:textId="77777777" w:rsidTr="000F5E63">
        <w:trPr>
          <w:trHeight w:val="320"/>
        </w:trPr>
        <w:tc>
          <w:tcPr>
            <w:tcW w:w="1660" w:type="dxa"/>
            <w:shd w:val="clear" w:color="000000" w:fill="02385E"/>
            <w:noWrap/>
            <w:vAlign w:val="bottom"/>
            <w:hideMark/>
          </w:tcPr>
          <w:p w14:paraId="001362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noWrap/>
            <w:vAlign w:val="bottom"/>
            <w:hideMark/>
          </w:tcPr>
          <w:p w14:paraId="02C09C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shd w:val="clear" w:color="000000" w:fill="DAB785"/>
            <w:noWrap/>
            <w:vAlign w:val="bottom"/>
            <w:hideMark/>
          </w:tcPr>
          <w:p w14:paraId="324BFC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shd w:val="clear" w:color="000000" w:fill="D6896F"/>
            <w:noWrap/>
            <w:vAlign w:val="bottom"/>
            <w:hideMark/>
          </w:tcPr>
          <w:p w14:paraId="281AF4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shd w:val="clear" w:color="000000" w:fill="A63950"/>
            <w:noWrap/>
            <w:vAlign w:val="bottom"/>
            <w:hideMark/>
          </w:tcPr>
          <w:p w14:paraId="2D1C006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79BC4066" w14:textId="77777777" w:rsidTr="000F5E63">
        <w:trPr>
          <w:trHeight w:val="2560"/>
        </w:trPr>
        <w:tc>
          <w:tcPr>
            <w:tcW w:w="1660" w:type="dxa"/>
            <w:shd w:val="clear" w:color="000000" w:fill="F2F2F2"/>
            <w:vAlign w:val="center"/>
            <w:hideMark/>
          </w:tcPr>
          <w:p w14:paraId="5DA2B0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shd w:val="clear" w:color="000000" w:fill="F2F2F2"/>
            <w:vAlign w:val="center"/>
            <w:hideMark/>
          </w:tcPr>
          <w:p w14:paraId="4556637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shd w:val="clear" w:color="000000" w:fill="F2F2F2"/>
            <w:vAlign w:val="center"/>
            <w:hideMark/>
          </w:tcPr>
          <w:p w14:paraId="1E31C1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shd w:val="clear" w:color="000000" w:fill="F2F2F2"/>
            <w:vAlign w:val="center"/>
            <w:hideMark/>
          </w:tcPr>
          <w:p w14:paraId="75E61C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000000" w:fill="F2F2F2"/>
            <w:vAlign w:val="center"/>
            <w:hideMark/>
          </w:tcPr>
          <w:p w14:paraId="17D24C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6D5D4DE8" w14:textId="77777777" w:rsidTr="000F5E63">
        <w:trPr>
          <w:trHeight w:val="1600"/>
        </w:trPr>
        <w:tc>
          <w:tcPr>
            <w:tcW w:w="1660" w:type="dxa"/>
            <w:shd w:val="clear" w:color="auto" w:fill="auto"/>
            <w:hideMark/>
          </w:tcPr>
          <w:p w14:paraId="45FF73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shd w:val="clear" w:color="auto" w:fill="auto"/>
            <w:hideMark/>
          </w:tcPr>
          <w:p w14:paraId="73F740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shd w:val="clear" w:color="auto" w:fill="auto"/>
            <w:noWrap/>
            <w:hideMark/>
          </w:tcPr>
          <w:p w14:paraId="6F7999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shd w:val="clear" w:color="auto" w:fill="auto"/>
            <w:noWrap/>
            <w:hideMark/>
          </w:tcPr>
          <w:p w14:paraId="270182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7FF4CC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6FF28596" w14:textId="77777777" w:rsidTr="000F5E63">
        <w:trPr>
          <w:trHeight w:val="1920"/>
        </w:trPr>
        <w:tc>
          <w:tcPr>
            <w:tcW w:w="1660" w:type="dxa"/>
            <w:shd w:val="clear" w:color="auto" w:fill="auto"/>
            <w:hideMark/>
          </w:tcPr>
          <w:p w14:paraId="2F82B2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shd w:val="clear" w:color="auto" w:fill="auto"/>
            <w:hideMark/>
          </w:tcPr>
          <w:p w14:paraId="440E22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shd w:val="clear" w:color="auto" w:fill="auto"/>
            <w:noWrap/>
            <w:hideMark/>
          </w:tcPr>
          <w:p w14:paraId="6D4B2E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shd w:val="clear" w:color="auto" w:fill="auto"/>
            <w:noWrap/>
            <w:hideMark/>
          </w:tcPr>
          <w:p w14:paraId="78511B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5AA110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3E86B2AC" w14:textId="77777777" w:rsidTr="000F5E63">
        <w:trPr>
          <w:trHeight w:val="640"/>
        </w:trPr>
        <w:tc>
          <w:tcPr>
            <w:tcW w:w="1660" w:type="dxa"/>
            <w:shd w:val="clear" w:color="000000" w:fill="F2F2F2"/>
            <w:vAlign w:val="center"/>
            <w:hideMark/>
          </w:tcPr>
          <w:p w14:paraId="45FBBF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shd w:val="clear" w:color="000000" w:fill="F2F2F2"/>
            <w:vAlign w:val="center"/>
            <w:hideMark/>
          </w:tcPr>
          <w:p w14:paraId="65F931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shd w:val="clear" w:color="000000" w:fill="F2F2F2"/>
            <w:vAlign w:val="center"/>
            <w:hideMark/>
          </w:tcPr>
          <w:p w14:paraId="23FC21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000000" w:fill="F2F2F2"/>
            <w:vAlign w:val="center"/>
            <w:hideMark/>
          </w:tcPr>
          <w:p w14:paraId="1A8B75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shd w:val="clear" w:color="000000" w:fill="F2F2F2"/>
            <w:vAlign w:val="center"/>
            <w:hideMark/>
          </w:tcPr>
          <w:p w14:paraId="733475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38CF5B8A" w14:textId="77777777" w:rsidTr="000F5E63">
        <w:trPr>
          <w:trHeight w:val="960"/>
        </w:trPr>
        <w:tc>
          <w:tcPr>
            <w:tcW w:w="1660" w:type="dxa"/>
            <w:shd w:val="clear" w:color="auto" w:fill="auto"/>
            <w:vAlign w:val="center"/>
            <w:hideMark/>
          </w:tcPr>
          <w:p w14:paraId="5081342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shd w:val="clear" w:color="auto" w:fill="auto"/>
            <w:vAlign w:val="center"/>
            <w:hideMark/>
          </w:tcPr>
          <w:p w14:paraId="07BA4A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shd w:val="clear" w:color="auto" w:fill="auto"/>
            <w:vAlign w:val="center"/>
            <w:hideMark/>
          </w:tcPr>
          <w:p w14:paraId="10B9BF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auto" w:fill="auto"/>
            <w:vAlign w:val="center"/>
            <w:hideMark/>
          </w:tcPr>
          <w:p w14:paraId="40F0CB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shd w:val="clear" w:color="auto" w:fill="auto"/>
            <w:vAlign w:val="center"/>
            <w:hideMark/>
          </w:tcPr>
          <w:p w14:paraId="70B05C3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165C0A40" w14:textId="77777777" w:rsidTr="000F5E63">
        <w:trPr>
          <w:trHeight w:val="2900"/>
        </w:trPr>
        <w:tc>
          <w:tcPr>
            <w:tcW w:w="1660" w:type="dxa"/>
            <w:shd w:val="clear" w:color="000000" w:fill="F2F2F2"/>
            <w:hideMark/>
          </w:tcPr>
          <w:p w14:paraId="05F78C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shd w:val="clear" w:color="000000" w:fill="F2F2F2"/>
            <w:hideMark/>
          </w:tcPr>
          <w:p w14:paraId="04E0B1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shd w:val="clear" w:color="000000" w:fill="F2F2F2"/>
            <w:hideMark/>
          </w:tcPr>
          <w:p w14:paraId="3B0EAA4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000000" w:fill="F2F2F2"/>
            <w:hideMark/>
          </w:tcPr>
          <w:p w14:paraId="3CA61A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shd w:val="clear" w:color="000000" w:fill="F2F2F2"/>
            <w:hideMark/>
          </w:tcPr>
          <w:p w14:paraId="4B6254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1C755D31" w14:textId="77777777" w:rsidTr="000F5E63">
        <w:trPr>
          <w:trHeight w:val="1140"/>
        </w:trPr>
        <w:tc>
          <w:tcPr>
            <w:tcW w:w="1660" w:type="dxa"/>
            <w:shd w:val="clear" w:color="auto" w:fill="auto"/>
            <w:vAlign w:val="center"/>
            <w:hideMark/>
          </w:tcPr>
          <w:p w14:paraId="640201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shd w:val="clear" w:color="auto" w:fill="auto"/>
            <w:vAlign w:val="center"/>
            <w:hideMark/>
          </w:tcPr>
          <w:p w14:paraId="3C0289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shd w:val="clear" w:color="auto" w:fill="auto"/>
            <w:hideMark/>
          </w:tcPr>
          <w:p w14:paraId="4859BA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shd w:val="clear" w:color="auto" w:fill="auto"/>
            <w:hideMark/>
          </w:tcPr>
          <w:p w14:paraId="355543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shd w:val="clear" w:color="auto" w:fill="auto"/>
            <w:hideMark/>
          </w:tcPr>
          <w:p w14:paraId="230F49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bl>
    <w:p w14:paraId="5D84F1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r w:rsidRPr="002048AF">
        <w:rPr>
          <w:rFonts w:ascii="Calibri" w:eastAsia="Times New Roman" w:hAnsi="Calibri" w:cs="Calibri"/>
          <w:color w:val="002060"/>
          <w:sz w:val="24"/>
          <w:szCs w:val="20"/>
          <w:lang w:val="en-GB" w:eastAsia="en-US"/>
        </w:rPr>
        <w:br w:type="page"/>
      </w:r>
    </w:p>
    <w:p w14:paraId="502BC74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3A89213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39CB67A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32730BC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B5498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77806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9BAF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99996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42B76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47930EF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298A7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55895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27450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42C4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83EF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r>
      <w:tr w:rsidR="002048AF" w:rsidRPr="002048AF" w14:paraId="74048B5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B314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42EA6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BBCC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BA6EB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DB0D5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r>
      <w:tr w:rsidR="002048AF" w:rsidRPr="002048AF" w14:paraId="4F503CD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61DC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6527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ADC9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0B38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87A1A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r>
      <w:tr w:rsidR="002048AF" w:rsidRPr="002048AF" w14:paraId="202547B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3ACC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C0BC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29,8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319AF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29,3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6D51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BEDE2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30,2</w:t>
            </w:r>
          </w:p>
        </w:tc>
      </w:tr>
      <w:tr w:rsidR="002048AF" w:rsidRPr="002048AF" w14:paraId="2C8D019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3C6A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5E0E7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41,5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206A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B520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D9BC9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42,0</w:t>
            </w:r>
          </w:p>
        </w:tc>
      </w:tr>
      <w:tr w:rsidR="002048AF" w:rsidRPr="002048AF" w14:paraId="5A1E1DD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84025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B5B55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9F911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41,8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32D4A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41,8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B8861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39,4</w:t>
            </w:r>
          </w:p>
        </w:tc>
      </w:tr>
      <w:tr w:rsidR="002048AF" w:rsidRPr="002048AF" w14:paraId="78D6229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06CA0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24E44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A6A1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8F15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A3E73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17,5</w:t>
            </w:r>
          </w:p>
        </w:tc>
      </w:tr>
      <w:tr w:rsidR="002048AF" w:rsidRPr="002048AF" w14:paraId="7A97957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FA34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EC97C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BC68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F23B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7CE90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26D773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44F05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827E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4CE9F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CB8CA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82C31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r>
      <w:tr w:rsidR="002048AF" w:rsidRPr="002048AF" w14:paraId="2806D63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82B9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E223C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26722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9AC2F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DAA443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22,5</w:t>
            </w:r>
          </w:p>
        </w:tc>
      </w:tr>
      <w:tr w:rsidR="002048AF" w:rsidRPr="002048AF" w14:paraId="2296157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95470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7BB9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7B4E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6D77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39127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18,2</w:t>
            </w:r>
          </w:p>
        </w:tc>
      </w:tr>
      <w:tr w:rsidR="002048AF" w:rsidRPr="002048AF" w14:paraId="7C6E8CA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C179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6986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249B5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D297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A15ABD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288CDBA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16E7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B3EF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EC78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0CE31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5582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10,6</w:t>
            </w:r>
          </w:p>
        </w:tc>
      </w:tr>
      <w:tr w:rsidR="002048AF" w:rsidRPr="002048AF" w14:paraId="2DF76A5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D42E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D19F5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EAEA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366F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55521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16A2AC0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7B656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9244B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7512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658B9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177,4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E37F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187,2</w:t>
            </w:r>
          </w:p>
        </w:tc>
      </w:tr>
      <w:tr w:rsidR="002048AF" w:rsidRPr="002048AF" w14:paraId="1E47448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AEFE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68FD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BD95F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D1F15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9B56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2F1C28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66576C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8"/>
          <w:szCs w:val="28"/>
          <w:lang w:val="en-GB" w:eastAsia="en-US"/>
        </w:rPr>
      </w:pPr>
      <w:r w:rsidRPr="002048AF">
        <w:rPr>
          <w:rFonts w:ascii="Calibri" w:eastAsia="Times New Roman" w:hAnsi="Calibri" w:cs="Calibri"/>
          <w:b/>
          <w:bCs/>
          <w:color w:val="632423"/>
          <w:sz w:val="28"/>
          <w:szCs w:val="28"/>
          <w:lang w:val="en-GB" w:eastAsia="en-US"/>
        </w:rPr>
        <w:br w:type="page"/>
      </w:r>
    </w:p>
    <w:p w14:paraId="42D799D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lastRenderedPageBreak/>
        <w:t>2.7</w:t>
      </w:r>
      <w:r w:rsidRPr="002048AF">
        <w:rPr>
          <w:rFonts w:ascii="Calibri" w:eastAsia="Times New Roman" w:hAnsi="Calibri" w:cs="Calibri"/>
          <w:b/>
          <w:bCs/>
          <w:sz w:val="24"/>
          <w:szCs w:val="24"/>
          <w:lang w:val="en-GB" w:eastAsia="en-US"/>
        </w:rPr>
        <w:tab/>
        <w:t>Communication</w:t>
      </w:r>
    </w:p>
    <w:p w14:paraId="643686E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1AE2410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 xml:space="preserve">Communication activities aim to promote the work of ITU-D and BDT as well as the activities of the Director of BDT to ensure enhanced awareness of ITU-D mandate within the ICT ecosystem as well as globally, with a view to and increase and strengthen partnerships and collaboration. </w:t>
      </w:r>
    </w:p>
    <w:p w14:paraId="74E5A61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2920FC6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717F924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2048AF" w:rsidRPr="002048AF" w14:paraId="310F34C0" w14:textId="77777777" w:rsidTr="000F5E63">
        <w:trPr>
          <w:trHeight w:val="1020"/>
        </w:trPr>
        <w:tc>
          <w:tcPr>
            <w:tcW w:w="2620" w:type="dxa"/>
            <w:shd w:val="clear" w:color="000000" w:fill="02385E"/>
            <w:vAlign w:val="center"/>
            <w:hideMark/>
          </w:tcPr>
          <w:p w14:paraId="461B4A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shd w:val="clear" w:color="000000" w:fill="70A288"/>
            <w:vAlign w:val="center"/>
            <w:hideMark/>
          </w:tcPr>
          <w:p w14:paraId="1FFCED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shd w:val="clear" w:color="000000" w:fill="DAB785"/>
            <w:vAlign w:val="center"/>
            <w:hideMark/>
          </w:tcPr>
          <w:p w14:paraId="452DE0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shd w:val="clear" w:color="000000" w:fill="D6896F"/>
            <w:vAlign w:val="center"/>
            <w:hideMark/>
          </w:tcPr>
          <w:p w14:paraId="0C0EDB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46937EE9" w14:textId="77777777" w:rsidTr="000F5E63">
        <w:trPr>
          <w:trHeight w:val="3520"/>
        </w:trPr>
        <w:tc>
          <w:tcPr>
            <w:tcW w:w="2620" w:type="dxa"/>
            <w:shd w:val="clear" w:color="000000" w:fill="F2F2F2"/>
            <w:vAlign w:val="center"/>
          </w:tcPr>
          <w:p w14:paraId="2F67719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Enhanced awareness of ITU-D's mandate</w:t>
            </w:r>
          </w:p>
        </w:tc>
        <w:tc>
          <w:tcPr>
            <w:tcW w:w="2620" w:type="dxa"/>
            <w:shd w:val="clear" w:color="000000" w:fill="F2F2F2"/>
            <w:vAlign w:val="center"/>
          </w:tcPr>
          <w:p w14:paraId="2E7E28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Increase of ITU-D sector members. 40 new members joined ITU-D in 2024 </w:t>
            </w:r>
          </w:p>
          <w:p w14:paraId="38E713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13EA94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shd w:val="clear" w:color="000000" w:fill="F2F2F2"/>
            <w:vAlign w:val="center"/>
          </w:tcPr>
          <w:p w14:paraId="295E95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new ITU-D members </w:t>
            </w:r>
          </w:p>
          <w:p w14:paraId="2C96F2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35D86C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1780" w:type="dxa"/>
            <w:shd w:val="clear" w:color="000000" w:fill="F2F2F2"/>
            <w:vAlign w:val="center"/>
          </w:tcPr>
          <w:p w14:paraId="4AD774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Internal databases/ systems</w:t>
            </w:r>
          </w:p>
        </w:tc>
      </w:tr>
    </w:tbl>
    <w:p w14:paraId="23788B4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628527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2941610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Look w:val="04A0" w:firstRow="1" w:lastRow="0" w:firstColumn="1" w:lastColumn="0" w:noHBand="0" w:noVBand="1"/>
      </w:tblPr>
      <w:tblGrid>
        <w:gridCol w:w="2020"/>
        <w:gridCol w:w="2020"/>
        <w:gridCol w:w="2020"/>
        <w:gridCol w:w="2500"/>
      </w:tblGrid>
      <w:tr w:rsidR="002048AF" w:rsidRPr="002048AF" w14:paraId="493C3BBB" w14:textId="77777777" w:rsidTr="000F5E6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4C3442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0BDE82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25419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1F6D90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426F1290" w14:textId="77777777" w:rsidTr="000F5E63">
        <w:trPr>
          <w:trHeight w:val="2380"/>
        </w:trPr>
        <w:tc>
          <w:tcPr>
            <w:tcW w:w="2020" w:type="dxa"/>
            <w:tcBorders>
              <w:top w:val="nil"/>
              <w:left w:val="single" w:sz="4" w:space="0" w:color="auto"/>
              <w:bottom w:val="nil"/>
              <w:right w:val="single" w:sz="4" w:space="0" w:color="auto"/>
            </w:tcBorders>
            <w:shd w:val="clear" w:color="000000" w:fill="F2F2F2"/>
            <w:vAlign w:val="center"/>
          </w:tcPr>
          <w:p w14:paraId="26CC5C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lang w:val="en-GB" w:eastAsia="en-US"/>
              </w:rPr>
              <w:t>Financial / Resources</w:t>
            </w:r>
          </w:p>
        </w:tc>
        <w:tc>
          <w:tcPr>
            <w:tcW w:w="2020" w:type="dxa"/>
            <w:tcBorders>
              <w:top w:val="nil"/>
              <w:left w:val="nil"/>
              <w:bottom w:val="nil"/>
              <w:right w:val="single" w:sz="4" w:space="0" w:color="auto"/>
            </w:tcBorders>
            <w:shd w:val="clear" w:color="000000" w:fill="F2F2F2"/>
            <w:vAlign w:val="center"/>
          </w:tcPr>
          <w:p w14:paraId="08F95C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p w14:paraId="615C9E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 xml:space="preserve">Limited resources to carry out the work of the division </w:t>
            </w:r>
          </w:p>
        </w:tc>
        <w:tc>
          <w:tcPr>
            <w:tcW w:w="2020" w:type="dxa"/>
            <w:tcBorders>
              <w:top w:val="nil"/>
              <w:left w:val="nil"/>
              <w:bottom w:val="nil"/>
              <w:right w:val="single" w:sz="4" w:space="0" w:color="auto"/>
            </w:tcBorders>
            <w:shd w:val="clear" w:color="000000" w:fill="F2F2F2"/>
            <w:vAlign w:val="center"/>
          </w:tcPr>
          <w:p w14:paraId="394389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Low </w:t>
            </w:r>
          </w:p>
        </w:tc>
        <w:tc>
          <w:tcPr>
            <w:tcW w:w="2500" w:type="dxa"/>
            <w:tcBorders>
              <w:top w:val="nil"/>
              <w:left w:val="single" w:sz="4" w:space="0" w:color="auto"/>
              <w:bottom w:val="nil"/>
              <w:right w:val="single" w:sz="4" w:space="0" w:color="auto"/>
            </w:tcBorders>
            <w:shd w:val="clear" w:color="000000" w:fill="F2F2F2"/>
            <w:vAlign w:val="center"/>
          </w:tcPr>
          <w:p w14:paraId="6F08DF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Adequate allocation of resources </w:t>
            </w:r>
          </w:p>
        </w:tc>
      </w:tr>
      <w:tr w:rsidR="002048AF" w:rsidRPr="002048AF" w14:paraId="744D9F83" w14:textId="77777777" w:rsidTr="000F5E63">
        <w:trPr>
          <w:trHeight w:val="80"/>
        </w:trPr>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A27F5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9FA86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0B1076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000000" w:fill="FFFFFF"/>
            <w:vAlign w:val="center"/>
            <w:hideMark/>
          </w:tcPr>
          <w:p w14:paraId="11A4A4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60ED66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br w:type="page"/>
      </w:r>
    </w:p>
    <w:p w14:paraId="0E886E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textAlignment w:val="baseline"/>
        <w:rPr>
          <w:rFonts w:ascii="Calibri" w:eastAsia="Times New Roman" w:hAnsi="Calibri" w:cs="Calibri"/>
          <w:color w:val="000000"/>
          <w:sz w:val="24"/>
          <w:szCs w:val="20"/>
          <w:lang w:val="en-GB" w:eastAsia="en-US"/>
        </w:rPr>
      </w:pPr>
    </w:p>
    <w:p w14:paraId="22F7E68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1B53A0A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2B649402"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464D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0E1DE1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1B283988" w14:textId="77777777" w:rsidTr="000F5E63">
        <w:trPr>
          <w:trHeight w:val="1600"/>
        </w:trPr>
        <w:tc>
          <w:tcPr>
            <w:tcW w:w="4180" w:type="dxa"/>
            <w:tcBorders>
              <w:top w:val="nil"/>
              <w:left w:val="single" w:sz="4" w:space="0" w:color="auto"/>
              <w:bottom w:val="nil"/>
              <w:right w:val="single" w:sz="4" w:space="0" w:color="auto"/>
            </w:tcBorders>
            <w:shd w:val="clear" w:color="000000" w:fill="F2F2F2"/>
            <w:hideMark/>
          </w:tcPr>
          <w:p w14:paraId="4C8EDA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Increased access to ITU communication products and services </w:t>
            </w:r>
          </w:p>
        </w:tc>
        <w:tc>
          <w:tcPr>
            <w:tcW w:w="4180" w:type="dxa"/>
            <w:tcBorders>
              <w:top w:val="nil"/>
              <w:left w:val="nil"/>
              <w:bottom w:val="nil"/>
              <w:right w:val="single" w:sz="4" w:space="0" w:color="auto"/>
            </w:tcBorders>
            <w:shd w:val="clear" w:color="000000" w:fill="F2F2F2"/>
            <w:vAlign w:val="center"/>
            <w:hideMark/>
          </w:tcPr>
          <w:p w14:paraId="1F4E4A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communication products </w:t>
            </w:r>
            <w:r w:rsidRPr="002048AF" w:rsidDel="003969EB">
              <w:rPr>
                <w:rFonts w:ascii="Calibri" w:eastAsia="Times New Roman" w:hAnsi="Calibri" w:cs="Calibri"/>
                <w:color w:val="000000"/>
                <w:lang w:val="en-GB" w:eastAsia="en-US"/>
              </w:rPr>
              <w:t>published</w:t>
            </w:r>
            <w:r w:rsidRPr="002048AF">
              <w:rPr>
                <w:rFonts w:ascii="Calibri" w:eastAsia="Times New Roman" w:hAnsi="Calibri" w:cs="Calibri"/>
                <w:color w:val="000000"/>
                <w:lang w:val="en-GB" w:eastAsia="en-US"/>
              </w:rPr>
              <w:t xml:space="preserve">. </w:t>
            </w:r>
          </w:p>
          <w:p w14:paraId="199D5B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views </w:t>
            </w:r>
          </w:p>
          <w:p w14:paraId="44DADB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2048AF" w:rsidRPr="002048AF" w14:paraId="7103E24B" w14:textId="77777777" w:rsidTr="000F5E63">
        <w:trPr>
          <w:trHeight w:val="16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133D6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auto" w:fill="auto"/>
            <w:vAlign w:val="center"/>
            <w:hideMark/>
          </w:tcPr>
          <w:p w14:paraId="6CC8DE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3D0D405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406B505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660" w:type="dxa"/>
        <w:tblLook w:val="04A0" w:firstRow="1" w:lastRow="0" w:firstColumn="1" w:lastColumn="0" w:noHBand="0" w:noVBand="1"/>
      </w:tblPr>
      <w:tblGrid>
        <w:gridCol w:w="1540"/>
        <w:gridCol w:w="2020"/>
        <w:gridCol w:w="1540"/>
        <w:gridCol w:w="1540"/>
        <w:gridCol w:w="2020"/>
      </w:tblGrid>
      <w:tr w:rsidR="002048AF" w:rsidRPr="002048AF" w14:paraId="4E09DAE1" w14:textId="77777777" w:rsidTr="000F5E63">
        <w:trPr>
          <w:trHeight w:val="320"/>
        </w:trPr>
        <w:tc>
          <w:tcPr>
            <w:tcW w:w="154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F696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200B44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0112B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3DB396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DA27F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Mitigation</w:t>
            </w:r>
          </w:p>
        </w:tc>
      </w:tr>
      <w:tr w:rsidR="002048AF" w:rsidRPr="002048AF" w14:paraId="56ED0BA1" w14:textId="77777777" w:rsidTr="000F5E63">
        <w:trPr>
          <w:trHeight w:val="1600"/>
        </w:trPr>
        <w:tc>
          <w:tcPr>
            <w:tcW w:w="1540" w:type="dxa"/>
            <w:tcBorders>
              <w:top w:val="nil"/>
              <w:left w:val="single" w:sz="4" w:space="0" w:color="auto"/>
              <w:bottom w:val="nil"/>
              <w:right w:val="single" w:sz="4" w:space="0" w:color="auto"/>
            </w:tcBorders>
            <w:shd w:val="clear" w:color="000000" w:fill="F2F2F2"/>
            <w:hideMark/>
          </w:tcPr>
          <w:p w14:paraId="6B1ED64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Resources</w:t>
            </w:r>
          </w:p>
        </w:tc>
        <w:tc>
          <w:tcPr>
            <w:tcW w:w="2020" w:type="dxa"/>
            <w:tcBorders>
              <w:top w:val="nil"/>
              <w:left w:val="nil"/>
              <w:bottom w:val="nil"/>
              <w:right w:val="single" w:sz="4" w:space="0" w:color="auto"/>
            </w:tcBorders>
            <w:shd w:val="clear" w:color="000000" w:fill="F2F2F2"/>
            <w:hideMark/>
          </w:tcPr>
          <w:p w14:paraId="191076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 cope with demand and process requests within prescribed time limits</w:t>
            </w:r>
          </w:p>
        </w:tc>
        <w:tc>
          <w:tcPr>
            <w:tcW w:w="1540" w:type="dxa"/>
            <w:tcBorders>
              <w:top w:val="nil"/>
              <w:left w:val="nil"/>
              <w:bottom w:val="nil"/>
              <w:right w:val="single" w:sz="4" w:space="0" w:color="auto"/>
            </w:tcBorders>
            <w:shd w:val="clear" w:color="000000" w:fill="F2F2F2"/>
            <w:hideMark/>
          </w:tcPr>
          <w:p w14:paraId="278FC8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nil"/>
              <w:right w:val="single" w:sz="4" w:space="0" w:color="auto"/>
            </w:tcBorders>
            <w:shd w:val="clear" w:color="000000" w:fill="F2F2F2"/>
            <w:hideMark/>
          </w:tcPr>
          <w:p w14:paraId="521500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nil"/>
              <w:bottom w:val="nil"/>
              <w:right w:val="single" w:sz="4" w:space="0" w:color="auto"/>
            </w:tcBorders>
            <w:shd w:val="clear" w:color="000000" w:fill="F2F2F2"/>
            <w:hideMark/>
          </w:tcPr>
          <w:p w14:paraId="0AB4D8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level of resources allocated to various steps of the processes</w:t>
            </w:r>
          </w:p>
        </w:tc>
      </w:tr>
      <w:tr w:rsidR="002048AF" w:rsidRPr="002048AF" w14:paraId="6AC906D1" w14:textId="77777777" w:rsidTr="000F5E63">
        <w:trPr>
          <w:trHeight w:val="2080"/>
        </w:trPr>
        <w:tc>
          <w:tcPr>
            <w:tcW w:w="1540" w:type="dxa"/>
            <w:tcBorders>
              <w:top w:val="nil"/>
              <w:left w:val="single" w:sz="4" w:space="0" w:color="auto"/>
              <w:bottom w:val="single" w:sz="4" w:space="0" w:color="auto"/>
              <w:right w:val="single" w:sz="4" w:space="0" w:color="auto"/>
            </w:tcBorders>
            <w:shd w:val="clear" w:color="000000" w:fill="FFFFFF"/>
            <w:hideMark/>
          </w:tcPr>
          <w:p w14:paraId="5EE408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Financial </w:t>
            </w:r>
          </w:p>
        </w:tc>
        <w:tc>
          <w:tcPr>
            <w:tcW w:w="2020" w:type="dxa"/>
            <w:tcBorders>
              <w:top w:val="nil"/>
              <w:left w:val="nil"/>
              <w:bottom w:val="single" w:sz="4" w:space="0" w:color="auto"/>
              <w:right w:val="single" w:sz="4" w:space="0" w:color="auto"/>
            </w:tcBorders>
            <w:shd w:val="clear" w:color="000000" w:fill="FFFFFF"/>
            <w:hideMark/>
          </w:tcPr>
          <w:p w14:paraId="6D1FC3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Delays in processing satellite network filings that would lead to reduction in cost recovery revenue</w:t>
            </w:r>
          </w:p>
        </w:tc>
        <w:tc>
          <w:tcPr>
            <w:tcW w:w="1540" w:type="dxa"/>
            <w:tcBorders>
              <w:top w:val="nil"/>
              <w:left w:val="nil"/>
              <w:bottom w:val="single" w:sz="4" w:space="0" w:color="auto"/>
              <w:right w:val="single" w:sz="4" w:space="0" w:color="auto"/>
            </w:tcBorders>
            <w:shd w:val="clear" w:color="000000" w:fill="FFFFFF"/>
            <w:hideMark/>
          </w:tcPr>
          <w:p w14:paraId="76950D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High</w:t>
            </w:r>
          </w:p>
        </w:tc>
        <w:tc>
          <w:tcPr>
            <w:tcW w:w="1540" w:type="dxa"/>
            <w:tcBorders>
              <w:top w:val="nil"/>
              <w:left w:val="nil"/>
              <w:bottom w:val="single" w:sz="4" w:space="0" w:color="auto"/>
              <w:right w:val="single" w:sz="4" w:space="0" w:color="auto"/>
            </w:tcBorders>
            <w:shd w:val="clear" w:color="000000" w:fill="FFFFFF"/>
            <w:hideMark/>
          </w:tcPr>
          <w:p w14:paraId="4F4562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Low</w:t>
            </w:r>
          </w:p>
        </w:tc>
        <w:tc>
          <w:tcPr>
            <w:tcW w:w="2020" w:type="dxa"/>
            <w:tcBorders>
              <w:top w:val="nil"/>
              <w:left w:val="nil"/>
              <w:bottom w:val="single" w:sz="4" w:space="0" w:color="auto"/>
              <w:right w:val="single" w:sz="4" w:space="0" w:color="auto"/>
            </w:tcBorders>
            <w:shd w:val="clear" w:color="auto" w:fill="auto"/>
            <w:hideMark/>
          </w:tcPr>
          <w:p w14:paraId="33EECA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level of resources allocated to various steps of the processes</w:t>
            </w:r>
          </w:p>
        </w:tc>
      </w:tr>
    </w:tbl>
    <w:p w14:paraId="3D177A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48C0CD90"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279AF3F7"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47E2A57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E8E1E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D3D90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DE8CA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69B92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95549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42758BC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F2AE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1B8B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CBEF0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0A92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4B1C2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r>
      <w:tr w:rsidR="002048AF" w:rsidRPr="002048AF" w14:paraId="6031E92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8047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E44F8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6EB49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B6160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B10C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4,6</w:t>
            </w:r>
          </w:p>
        </w:tc>
      </w:tr>
      <w:tr w:rsidR="002048AF" w:rsidRPr="002048AF" w14:paraId="4BA2690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CB18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B850A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FD6A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9F1DB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6DF6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r>
      <w:tr w:rsidR="002048AF" w:rsidRPr="002048AF" w14:paraId="4709B8F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0A3CE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31A9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74223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64FF7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0A939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13,1</w:t>
            </w:r>
          </w:p>
        </w:tc>
      </w:tr>
      <w:tr w:rsidR="002048AF" w:rsidRPr="002048AF" w14:paraId="1C074E6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09A6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56EC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DCC3D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6CBF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A0B3B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12,6</w:t>
            </w:r>
          </w:p>
        </w:tc>
      </w:tr>
      <w:tr w:rsidR="002048AF" w:rsidRPr="002048AF" w14:paraId="3C27597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F5805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ED648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D9E84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503C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2C64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17,9</w:t>
            </w:r>
          </w:p>
        </w:tc>
      </w:tr>
      <w:tr w:rsidR="002048AF" w:rsidRPr="002048AF" w14:paraId="2276A26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CA108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8CAF6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70012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CE9C0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857F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9,4</w:t>
            </w:r>
          </w:p>
        </w:tc>
      </w:tr>
      <w:tr w:rsidR="002048AF" w:rsidRPr="002048AF" w14:paraId="4008F9F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C407A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0A350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46A0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7A52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C963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215D38C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36B3D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24E72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C454A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EF64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E8BB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r>
      <w:tr w:rsidR="002048AF" w:rsidRPr="002048AF" w14:paraId="5C889B6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579C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lastRenderedPageBreak/>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2A50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E54E83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5E28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5211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14,0</w:t>
            </w:r>
          </w:p>
        </w:tc>
      </w:tr>
      <w:tr w:rsidR="002048AF" w:rsidRPr="002048AF" w14:paraId="75D43B7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FBEBA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30E32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A718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F65A1E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900FC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17,2</w:t>
            </w:r>
          </w:p>
        </w:tc>
      </w:tr>
      <w:tr w:rsidR="002048AF" w:rsidRPr="002048AF" w14:paraId="082D292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FA7C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8647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6B81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A450B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D06E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r>
      <w:tr w:rsidR="002048AF" w:rsidRPr="002048AF" w14:paraId="0D3CD69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7909D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1F80E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44393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F8F004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0A96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2EEB7BE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011E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0643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B485C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1000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0020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B31296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FD4F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2F1AB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C3AB5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89,8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40DC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67CD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92,3</w:t>
            </w:r>
          </w:p>
        </w:tc>
      </w:tr>
      <w:tr w:rsidR="002048AF" w:rsidRPr="002048AF" w14:paraId="49F7183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0F61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17F9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D2D6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672B5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B5AE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2768D5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7BD3F32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color w:val="632423"/>
          <w:sz w:val="24"/>
          <w:szCs w:val="20"/>
          <w:lang w:val="en-GB" w:eastAsia="en-US"/>
        </w:rPr>
        <w:br w:type="page"/>
      </w:r>
      <w:r w:rsidRPr="002048AF">
        <w:rPr>
          <w:rFonts w:ascii="Calibri" w:eastAsia="Times New Roman" w:hAnsi="Calibri" w:cs="Calibri"/>
          <w:b/>
          <w:bCs/>
          <w:sz w:val="24"/>
          <w:szCs w:val="24"/>
          <w:lang w:val="en-GB" w:eastAsia="en-US"/>
        </w:rPr>
        <w:lastRenderedPageBreak/>
        <w:t>2.8</w:t>
      </w:r>
      <w:r w:rsidRPr="002048AF">
        <w:rPr>
          <w:rFonts w:ascii="Calibri" w:eastAsia="Times New Roman" w:hAnsi="Calibri" w:cs="Calibri"/>
          <w:b/>
          <w:bCs/>
          <w:sz w:val="24"/>
          <w:szCs w:val="24"/>
          <w:lang w:val="en-GB" w:eastAsia="en-US"/>
        </w:rPr>
        <w:tab/>
        <w:t>Capacity Development</w:t>
      </w:r>
    </w:p>
    <w:p w14:paraId="0D23327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1A532A3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Capacity development continues to be a cross-cutting issue that informs and augments the ITU-D’s overall mission. ICT-based education and training aimed at enhancing human potential to leverage ICTs and improve individual livelihoods is particularly fundamental for developing countries. This education will help them to improve skills and enable them to establish and develop their national digital strategies for sustainable development. Therefore, research undertakings and development of specialized training programmes in priority areas for the membership are required.</w:t>
      </w:r>
    </w:p>
    <w:p w14:paraId="0386471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Furthermore, telecommunications/ICTs need to be incorporated into education and human resources development for all groups. This incorporation requires cooperation and partnerships between countries and broad stakeholders’ participation. The partnerships should bring together, among others, academia, experienced </w:t>
      </w:r>
      <w:proofErr w:type="gramStart"/>
      <w:r w:rsidRPr="002048AF">
        <w:rPr>
          <w:rFonts w:ascii="Calibri" w:eastAsia="Times New Roman" w:hAnsi="Calibri" w:cs="Arial"/>
          <w:sz w:val="24"/>
          <w:szCs w:val="20"/>
          <w:lang w:val="en-GB" w:eastAsia="en-US"/>
        </w:rPr>
        <w:t>professionals</w:t>
      </w:r>
      <w:proofErr w:type="gramEnd"/>
      <w:r w:rsidRPr="002048AF">
        <w:rPr>
          <w:rFonts w:ascii="Calibri" w:eastAsia="Times New Roman" w:hAnsi="Calibri" w:cs="Arial"/>
          <w:sz w:val="24"/>
          <w:szCs w:val="20"/>
          <w:lang w:val="en-GB" w:eastAsia="en-US"/>
        </w:rPr>
        <w:t xml:space="preserve"> and experts as well as organizations and other stakeholders with relevant expertise in human skills development and digital literacy activities.</w:t>
      </w:r>
    </w:p>
    <w:p w14:paraId="5160D93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0B794FB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47F3352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620"/>
        <w:gridCol w:w="2620"/>
        <w:gridCol w:w="2620"/>
        <w:gridCol w:w="1780"/>
      </w:tblGrid>
      <w:tr w:rsidR="002048AF" w:rsidRPr="002048AF" w14:paraId="0745C4F0" w14:textId="77777777" w:rsidTr="000F5E63">
        <w:trPr>
          <w:trHeight w:val="68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584B23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558BF2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74E2F7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2385C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01576C4D" w14:textId="77777777" w:rsidTr="000F5E63">
        <w:trPr>
          <w:trHeight w:val="6460"/>
        </w:trPr>
        <w:tc>
          <w:tcPr>
            <w:tcW w:w="2620" w:type="dxa"/>
            <w:tcBorders>
              <w:top w:val="single" w:sz="4" w:space="0" w:color="auto"/>
              <w:left w:val="single" w:sz="4" w:space="0" w:color="auto"/>
              <w:bottom w:val="single" w:sz="4" w:space="0" w:color="auto"/>
              <w:right w:val="single" w:sz="4" w:space="0" w:color="auto"/>
            </w:tcBorders>
            <w:shd w:val="clear" w:color="000000" w:fill="F2F2F2"/>
            <w:hideMark/>
          </w:tcPr>
          <w:p w14:paraId="1AA0CC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p>
        </w:tc>
        <w:tc>
          <w:tcPr>
            <w:tcW w:w="2620" w:type="dxa"/>
            <w:tcBorders>
              <w:top w:val="single" w:sz="4" w:space="0" w:color="auto"/>
              <w:left w:val="nil"/>
              <w:bottom w:val="single" w:sz="4" w:space="0" w:color="auto"/>
              <w:right w:val="single" w:sz="4" w:space="0" w:color="auto"/>
            </w:tcBorders>
            <w:shd w:val="clear" w:color="000000" w:fill="F2F2F2"/>
            <w:hideMark/>
          </w:tcPr>
          <w:p w14:paraId="25DBF0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 15,200 new users </w:t>
            </w:r>
            <w:r w:rsidRPr="002048AF">
              <w:rPr>
                <w:rFonts w:ascii="Calibri" w:eastAsia="Times New Roman" w:hAnsi="Calibri" w:cs="Calibri"/>
                <w:color w:val="000000"/>
                <w:lang w:val="en-GB" w:eastAsia="en-US"/>
              </w:rPr>
              <w:br/>
              <w:t>+ 160 courses delivered</w:t>
            </w:r>
            <w:r w:rsidRPr="002048AF">
              <w:rPr>
                <w:rFonts w:ascii="Calibri" w:eastAsia="Times New Roman" w:hAnsi="Calibri" w:cs="Calibri"/>
                <w:color w:val="000000"/>
                <w:lang w:val="en-GB" w:eastAsia="en-US"/>
              </w:rPr>
              <w:br/>
              <w:t>14 ATCs delivering high-quality courses in all regions</w:t>
            </w:r>
            <w:r w:rsidRPr="002048AF">
              <w:rPr>
                <w:rFonts w:ascii="Calibri" w:eastAsia="Times New Roman" w:hAnsi="Calibri" w:cs="Calibri"/>
                <w:color w:val="000000"/>
                <w:lang w:val="en-GB" w:eastAsia="en-US"/>
              </w:rPr>
              <w:br/>
              <w:t>High-</w:t>
            </w:r>
            <w:r w:rsidRPr="002048AF" w:rsidDel="003969EB">
              <w:rPr>
                <w:rFonts w:ascii="Calibri" w:eastAsia="Times New Roman" w:hAnsi="Calibri" w:cs="Calibri"/>
                <w:color w:val="000000"/>
                <w:lang w:val="en-GB" w:eastAsia="en-US"/>
              </w:rPr>
              <w:t xml:space="preserve">level </w:t>
            </w:r>
            <w:r w:rsidRPr="002048AF">
              <w:rPr>
                <w:rFonts w:ascii="Calibri" w:eastAsia="Times New Roman" w:hAnsi="Calibri" w:cs="Calibri"/>
                <w:color w:val="000000"/>
                <w:lang w:val="en-GB" w:eastAsia="en-US"/>
              </w:rPr>
              <w:t>of satisfaction from participants</w:t>
            </w:r>
            <w:r w:rsidRPr="002048AF">
              <w:rPr>
                <w:rFonts w:ascii="Calibri" w:eastAsia="Times New Roman" w:hAnsi="Calibri" w:cs="Calibri"/>
                <w:color w:val="000000"/>
                <w:lang w:val="en-GB" w:eastAsia="en-US"/>
              </w:rPr>
              <w:br/>
              <w:t>DTCs: +352 courses delivered within 14 DTCs from all regions.</w:t>
            </w:r>
            <w:r w:rsidRPr="002048AF">
              <w:rPr>
                <w:rFonts w:ascii="Calibri" w:eastAsia="Times New Roman" w:hAnsi="Calibri" w:cs="Calibri"/>
                <w:color w:val="000000"/>
                <w:lang w:val="en-GB" w:eastAsia="en-US"/>
              </w:rPr>
              <w:br/>
              <w:t xml:space="preserve"> 80,699 participants. </w:t>
            </w:r>
            <w:r w:rsidRPr="002048AF">
              <w:rPr>
                <w:rFonts w:ascii="Calibri" w:eastAsia="Times New Roman" w:hAnsi="Calibri" w:cs="Calibri"/>
                <w:color w:val="000000"/>
                <w:lang w:val="en-GB" w:eastAsia="en-US"/>
              </w:rPr>
              <w:br/>
              <w:t xml:space="preserve">All Member States also benefiting learners </w:t>
            </w:r>
            <w:r w:rsidRPr="002048AF">
              <w:rPr>
                <w:rFonts w:ascii="Calibri" w:eastAsia="Times New Roman" w:hAnsi="Calibri" w:cs="Calibri"/>
                <w:color w:val="000000"/>
                <w:lang w:val="en-GB" w:eastAsia="en-US"/>
              </w:rPr>
              <w:br/>
              <w:t>ATCs: 14 entities from all regions</w:t>
            </w:r>
            <w:r w:rsidRPr="002048AF">
              <w:rPr>
                <w:rFonts w:ascii="Calibri" w:eastAsia="Times New Roman" w:hAnsi="Calibri" w:cs="Calibri"/>
                <w:color w:val="000000"/>
                <w:lang w:val="en-GB" w:eastAsia="en-US"/>
              </w:rPr>
              <w:br/>
              <w:t xml:space="preserve">64 trainings and 3,099 participants </w:t>
            </w:r>
          </w:p>
        </w:tc>
        <w:tc>
          <w:tcPr>
            <w:tcW w:w="2620" w:type="dxa"/>
            <w:tcBorders>
              <w:top w:val="single" w:sz="4" w:space="0" w:color="auto"/>
              <w:left w:val="nil"/>
              <w:bottom w:val="single" w:sz="4" w:space="0" w:color="auto"/>
              <w:right w:val="single" w:sz="4" w:space="0" w:color="auto"/>
            </w:tcBorders>
            <w:shd w:val="clear" w:color="000000" w:fill="F2F2F2"/>
            <w:hideMark/>
          </w:tcPr>
          <w:p w14:paraId="01A006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ITU Academy users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professionals trained and certified in Telecommunication/ICT topics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individuals trained in basic and intermediate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p>
        </w:tc>
        <w:tc>
          <w:tcPr>
            <w:tcW w:w="1780" w:type="dxa"/>
            <w:tcBorders>
              <w:top w:val="single" w:sz="4" w:space="0" w:color="auto"/>
              <w:left w:val="nil"/>
              <w:bottom w:val="single" w:sz="4" w:space="0" w:color="auto"/>
              <w:right w:val="single" w:sz="4" w:space="0" w:color="auto"/>
            </w:tcBorders>
            <w:shd w:val="clear" w:color="000000" w:fill="F2F2F2"/>
            <w:hideMark/>
          </w:tcPr>
          <w:p w14:paraId="732584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Internal data/ platforms - ITU Academy</w:t>
            </w:r>
          </w:p>
        </w:tc>
      </w:tr>
      <w:tr w:rsidR="002048AF" w:rsidRPr="002048AF" w14:paraId="3F759530" w14:textId="77777777" w:rsidTr="000F5E63">
        <w:trPr>
          <w:trHeight w:val="330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285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3A202E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Digital skills development impacting: </w:t>
            </w:r>
            <w:r w:rsidRPr="002048AF">
              <w:rPr>
                <w:rFonts w:ascii="Calibri" w:eastAsia="Times New Roman" w:hAnsi="Calibri" w:cs="Calibri"/>
                <w:color w:val="000000"/>
                <w:lang w:val="en-GB" w:eastAsia="en-US"/>
              </w:rPr>
              <w:br/>
              <w:t>• ICT professionals from the sector</w:t>
            </w:r>
            <w:r w:rsidRPr="002048AF">
              <w:rPr>
                <w:rFonts w:ascii="Calibri" w:eastAsia="Times New Roman" w:hAnsi="Calibri" w:cs="Calibri"/>
                <w:color w:val="000000"/>
                <w:lang w:val="en-GB" w:eastAsia="en-US"/>
              </w:rPr>
              <w:br/>
              <w:t>• Indigenous people/remote communities</w:t>
            </w:r>
            <w:r w:rsidRPr="002048AF">
              <w:rPr>
                <w:rFonts w:ascii="Calibri" w:eastAsia="Times New Roman" w:hAnsi="Calibri" w:cs="Calibri"/>
                <w:color w:val="000000"/>
                <w:lang w:val="en-GB" w:eastAsia="en-US"/>
              </w:rPr>
              <w:br/>
              <w:t>• Women and girls</w:t>
            </w:r>
            <w:r w:rsidRPr="002048AF">
              <w:rPr>
                <w:rFonts w:ascii="Calibri" w:eastAsia="Times New Roman" w:hAnsi="Calibri" w:cs="Calibri"/>
                <w:color w:val="000000"/>
                <w:lang w:val="en-GB" w:eastAsia="en-US"/>
              </w:rPr>
              <w:br/>
              <w:t>• Youth</w:t>
            </w:r>
            <w:r w:rsidRPr="002048AF">
              <w:rPr>
                <w:rFonts w:ascii="Calibri" w:eastAsia="Times New Roman" w:hAnsi="Calibri" w:cs="Calibri"/>
                <w:color w:val="000000"/>
                <w:lang w:val="en-GB" w:eastAsia="en-US"/>
              </w:rPr>
              <w:br/>
              <w:t>• Persons with Disabilities</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14:paraId="7F9235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14:paraId="27172F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1CE92F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p>
    <w:p w14:paraId="38D00BE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33F711A3" w14:textId="77777777" w:rsidTr="000F5E63">
        <w:trPr>
          <w:trHeight w:val="680"/>
        </w:trPr>
        <w:tc>
          <w:tcPr>
            <w:tcW w:w="2020" w:type="dxa"/>
            <w:shd w:val="clear" w:color="000000" w:fill="02385E"/>
            <w:vAlign w:val="center"/>
            <w:hideMark/>
          </w:tcPr>
          <w:p w14:paraId="206584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71A909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7CE632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262D53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53D83A78" w14:textId="77777777" w:rsidTr="000F5E63">
        <w:trPr>
          <w:trHeight w:val="1700"/>
        </w:trPr>
        <w:tc>
          <w:tcPr>
            <w:tcW w:w="2020" w:type="dxa"/>
            <w:shd w:val="clear" w:color="auto" w:fill="auto"/>
            <w:hideMark/>
          </w:tcPr>
          <w:p w14:paraId="286C77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shd w:val="clear" w:color="auto" w:fill="auto"/>
            <w:hideMark/>
          </w:tcPr>
          <w:p w14:paraId="643428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Insufficient commitment and timely communication </w:t>
            </w:r>
          </w:p>
        </w:tc>
        <w:tc>
          <w:tcPr>
            <w:tcW w:w="2020" w:type="dxa"/>
            <w:shd w:val="clear" w:color="auto" w:fill="auto"/>
            <w:noWrap/>
            <w:hideMark/>
          </w:tcPr>
          <w:p w14:paraId="400972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High</w:t>
            </w:r>
          </w:p>
        </w:tc>
        <w:tc>
          <w:tcPr>
            <w:tcW w:w="2500" w:type="dxa"/>
            <w:shd w:val="clear" w:color="auto" w:fill="auto"/>
            <w:hideMark/>
          </w:tcPr>
          <w:p w14:paraId="4583296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 States to ensure appropriate level of involvement</w:t>
            </w:r>
          </w:p>
        </w:tc>
      </w:tr>
      <w:tr w:rsidR="002048AF" w:rsidRPr="002048AF" w14:paraId="0A6FD9DC" w14:textId="77777777" w:rsidTr="000F5E63">
        <w:trPr>
          <w:trHeight w:val="1020"/>
        </w:trPr>
        <w:tc>
          <w:tcPr>
            <w:tcW w:w="2020" w:type="dxa"/>
            <w:shd w:val="clear" w:color="auto" w:fill="auto"/>
            <w:hideMark/>
          </w:tcPr>
          <w:p w14:paraId="2947F6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shd w:val="clear" w:color="auto" w:fill="auto"/>
            <w:hideMark/>
          </w:tcPr>
          <w:p w14:paraId="48CB04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Continuity with change of administrations </w:t>
            </w:r>
          </w:p>
        </w:tc>
        <w:tc>
          <w:tcPr>
            <w:tcW w:w="2020" w:type="dxa"/>
            <w:shd w:val="clear" w:color="auto" w:fill="auto"/>
            <w:noWrap/>
            <w:hideMark/>
          </w:tcPr>
          <w:p w14:paraId="2F86C3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auto" w:fill="auto"/>
            <w:hideMark/>
          </w:tcPr>
          <w:p w14:paraId="6017C1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bl>
    <w:p w14:paraId="000585D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6EED714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112F3DDB"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61FDC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2F6D5A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4E57F9CB" w14:textId="77777777" w:rsidTr="000F5E63">
        <w:trPr>
          <w:trHeight w:val="3520"/>
        </w:trPr>
        <w:tc>
          <w:tcPr>
            <w:tcW w:w="4180" w:type="dxa"/>
            <w:vMerge w:val="restart"/>
            <w:tcBorders>
              <w:top w:val="nil"/>
              <w:left w:val="single" w:sz="4" w:space="0" w:color="auto"/>
              <w:bottom w:val="single" w:sz="4" w:space="0" w:color="000000"/>
              <w:right w:val="single" w:sz="4" w:space="0" w:color="auto"/>
            </w:tcBorders>
            <w:shd w:val="clear" w:color="000000" w:fill="F2F2F2"/>
            <w:hideMark/>
          </w:tcPr>
          <w:p w14:paraId="5C64BF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human and institutional capacity of the ITU membership in telecommunications/ICTs to tap into the full potential of the digital economy and society</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Products and services on capacity building and human skills development</w:t>
            </w:r>
          </w:p>
        </w:tc>
        <w:tc>
          <w:tcPr>
            <w:tcW w:w="4180" w:type="dxa"/>
            <w:tcBorders>
              <w:top w:val="nil"/>
              <w:left w:val="nil"/>
              <w:bottom w:val="nil"/>
              <w:right w:val="single" w:sz="4" w:space="0" w:color="auto"/>
            </w:tcBorders>
            <w:shd w:val="clear" w:color="000000" w:fill="F2F2F2"/>
            <w:hideMark/>
          </w:tcPr>
          <w:p w14:paraId="200A83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ITU Academy users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professionals trained and certified in Telecommunication/ICT topics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individuals trained in basic and intermediate </w:t>
            </w:r>
          </w:p>
        </w:tc>
      </w:tr>
      <w:tr w:rsidR="002048AF" w:rsidRPr="002048AF" w14:paraId="755DCBD1" w14:textId="77777777" w:rsidTr="000F5E63">
        <w:trPr>
          <w:trHeight w:val="300"/>
        </w:trPr>
        <w:tc>
          <w:tcPr>
            <w:tcW w:w="4180" w:type="dxa"/>
            <w:vMerge/>
            <w:tcBorders>
              <w:top w:val="nil"/>
              <w:left w:val="single" w:sz="4" w:space="0" w:color="auto"/>
              <w:bottom w:val="single" w:sz="4" w:space="0" w:color="000000"/>
              <w:right w:val="single" w:sz="4" w:space="0" w:color="auto"/>
            </w:tcBorders>
            <w:vAlign w:val="center"/>
            <w:hideMark/>
          </w:tcPr>
          <w:p w14:paraId="2016B8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4180" w:type="dxa"/>
            <w:tcBorders>
              <w:top w:val="nil"/>
              <w:left w:val="nil"/>
              <w:bottom w:val="single" w:sz="4" w:space="0" w:color="auto"/>
              <w:right w:val="single" w:sz="4" w:space="0" w:color="auto"/>
            </w:tcBorders>
            <w:shd w:val="clear" w:color="000000" w:fill="F2F2F2"/>
            <w:vAlign w:val="center"/>
            <w:hideMark/>
          </w:tcPr>
          <w:p w14:paraId="22AD81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2A60FA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657C978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29B22F8A"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7CE25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A7FC6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52E77F3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16085B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9B902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13E2CF6A" w14:textId="77777777" w:rsidTr="000F5E6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33D69B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4B09D3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311E3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70446A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BC4B1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308E5755" w14:textId="77777777" w:rsidTr="000F5E63">
        <w:trPr>
          <w:trHeight w:val="1600"/>
        </w:trPr>
        <w:tc>
          <w:tcPr>
            <w:tcW w:w="1660" w:type="dxa"/>
            <w:tcBorders>
              <w:top w:val="nil"/>
              <w:left w:val="single" w:sz="4" w:space="0" w:color="auto"/>
              <w:bottom w:val="nil"/>
              <w:right w:val="nil"/>
            </w:tcBorders>
            <w:shd w:val="clear" w:color="auto" w:fill="auto"/>
            <w:hideMark/>
          </w:tcPr>
          <w:p w14:paraId="7F3BDA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36437E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565B6E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0CBA28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CAE94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5AAD2870" w14:textId="77777777" w:rsidTr="000F5E63">
        <w:trPr>
          <w:trHeight w:val="1920"/>
        </w:trPr>
        <w:tc>
          <w:tcPr>
            <w:tcW w:w="1660" w:type="dxa"/>
            <w:tcBorders>
              <w:top w:val="nil"/>
              <w:left w:val="single" w:sz="4" w:space="0" w:color="auto"/>
              <w:right w:val="nil"/>
            </w:tcBorders>
            <w:shd w:val="clear" w:color="auto" w:fill="auto"/>
            <w:hideMark/>
          </w:tcPr>
          <w:p w14:paraId="5FB924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right w:val="single" w:sz="4" w:space="0" w:color="auto"/>
            </w:tcBorders>
            <w:shd w:val="clear" w:color="auto" w:fill="auto"/>
            <w:hideMark/>
          </w:tcPr>
          <w:p w14:paraId="5CC6C7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right w:val="single" w:sz="4" w:space="0" w:color="auto"/>
            </w:tcBorders>
            <w:shd w:val="clear" w:color="auto" w:fill="auto"/>
            <w:noWrap/>
            <w:hideMark/>
          </w:tcPr>
          <w:p w14:paraId="50EA49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right w:val="nil"/>
            </w:tcBorders>
            <w:shd w:val="clear" w:color="auto" w:fill="auto"/>
            <w:noWrap/>
            <w:hideMark/>
          </w:tcPr>
          <w:p w14:paraId="470511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28763A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7DE6885F" w14:textId="77777777" w:rsidTr="000F5E63">
        <w:trPr>
          <w:trHeight w:val="640"/>
        </w:trPr>
        <w:tc>
          <w:tcPr>
            <w:tcW w:w="1660" w:type="dxa"/>
            <w:tcBorders>
              <w:top w:val="nil"/>
              <w:left w:val="single" w:sz="4" w:space="0" w:color="auto"/>
              <w:bottom w:val="single" w:sz="4" w:space="0" w:color="auto"/>
              <w:right w:val="single" w:sz="4" w:space="0" w:color="auto"/>
            </w:tcBorders>
            <w:shd w:val="clear" w:color="000000" w:fill="F2F2F2"/>
            <w:vAlign w:val="center"/>
            <w:hideMark/>
          </w:tcPr>
          <w:p w14:paraId="3FF548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bottom w:val="single" w:sz="4" w:space="0" w:color="auto"/>
              <w:right w:val="single" w:sz="4" w:space="0" w:color="auto"/>
            </w:tcBorders>
            <w:shd w:val="clear" w:color="000000" w:fill="F2F2F2"/>
            <w:vAlign w:val="center"/>
            <w:hideMark/>
          </w:tcPr>
          <w:p w14:paraId="3FF0DA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bottom w:val="single" w:sz="4" w:space="0" w:color="auto"/>
              <w:right w:val="single" w:sz="4" w:space="0" w:color="auto"/>
            </w:tcBorders>
            <w:shd w:val="clear" w:color="000000" w:fill="F2F2F2"/>
            <w:vAlign w:val="center"/>
            <w:hideMark/>
          </w:tcPr>
          <w:p w14:paraId="1603E3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vAlign w:val="center"/>
            <w:hideMark/>
          </w:tcPr>
          <w:p w14:paraId="2E4B79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single" w:sz="4" w:space="0" w:color="auto"/>
              <w:bottom w:val="single" w:sz="4" w:space="0" w:color="auto"/>
              <w:right w:val="single" w:sz="4" w:space="0" w:color="auto"/>
            </w:tcBorders>
            <w:shd w:val="clear" w:color="000000" w:fill="F2F2F2"/>
            <w:vAlign w:val="center"/>
            <w:hideMark/>
          </w:tcPr>
          <w:p w14:paraId="208A8A4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57490F25" w14:textId="77777777" w:rsidTr="000F5E63">
        <w:trPr>
          <w:trHeight w:val="96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100A9D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single" w:sz="4" w:space="0" w:color="auto"/>
              <w:left w:val="nil"/>
              <w:bottom w:val="nil"/>
              <w:right w:val="single" w:sz="4" w:space="0" w:color="auto"/>
            </w:tcBorders>
            <w:shd w:val="clear" w:color="auto" w:fill="auto"/>
            <w:vAlign w:val="center"/>
            <w:hideMark/>
          </w:tcPr>
          <w:p w14:paraId="0249DE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single" w:sz="4" w:space="0" w:color="auto"/>
              <w:left w:val="nil"/>
              <w:bottom w:val="nil"/>
              <w:right w:val="single" w:sz="4" w:space="0" w:color="auto"/>
            </w:tcBorders>
            <w:shd w:val="clear" w:color="auto" w:fill="auto"/>
            <w:vAlign w:val="center"/>
            <w:hideMark/>
          </w:tcPr>
          <w:p w14:paraId="66EF25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vAlign w:val="center"/>
            <w:hideMark/>
          </w:tcPr>
          <w:p w14:paraId="7F8EC1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top w:val="single" w:sz="4" w:space="0" w:color="auto"/>
              <w:left w:val="single" w:sz="4" w:space="0" w:color="auto"/>
              <w:bottom w:val="nil"/>
              <w:right w:val="single" w:sz="4" w:space="0" w:color="auto"/>
            </w:tcBorders>
            <w:shd w:val="clear" w:color="auto" w:fill="auto"/>
            <w:vAlign w:val="center"/>
            <w:hideMark/>
          </w:tcPr>
          <w:p w14:paraId="22A60C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352EC0E5" w14:textId="77777777" w:rsidTr="000F5E63">
        <w:trPr>
          <w:trHeight w:val="2900"/>
        </w:trPr>
        <w:tc>
          <w:tcPr>
            <w:tcW w:w="1660" w:type="dxa"/>
            <w:tcBorders>
              <w:top w:val="nil"/>
              <w:left w:val="single" w:sz="4" w:space="0" w:color="auto"/>
              <w:bottom w:val="nil"/>
              <w:right w:val="single" w:sz="4" w:space="0" w:color="auto"/>
            </w:tcBorders>
            <w:shd w:val="clear" w:color="000000" w:fill="F2F2F2"/>
            <w:hideMark/>
          </w:tcPr>
          <w:p w14:paraId="28D6DE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5622A9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ABDDA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306DB5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7BE5AD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64CFC64B"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DAAF4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026613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11274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C184B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B15224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6AE383C1"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F70B4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D7983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9C71E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76D985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11F123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354273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516746C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021268A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0A1435E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44AE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0E344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9CB34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3B9C9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977F5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7A23C9D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464DF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CE778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715EE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F6550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CDD8AD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7755428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A0353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AF4A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BD76F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2EEA6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87E10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3,1</w:t>
            </w:r>
          </w:p>
        </w:tc>
      </w:tr>
      <w:tr w:rsidR="002048AF" w:rsidRPr="002048AF" w14:paraId="1E32588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E733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CA60D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955F7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206F7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04265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40F8C0C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C7B39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E699E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4E11C9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B13560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FD81D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24,0</w:t>
            </w:r>
          </w:p>
        </w:tc>
      </w:tr>
      <w:tr w:rsidR="002048AF" w:rsidRPr="002048AF" w14:paraId="7472494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208A7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1109F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5C290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43C59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3168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20,4</w:t>
            </w:r>
          </w:p>
        </w:tc>
      </w:tr>
      <w:tr w:rsidR="002048AF" w:rsidRPr="002048AF" w14:paraId="7733AD9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F7272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48E32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E2F0B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29,1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DCE8A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793410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29,0</w:t>
            </w:r>
          </w:p>
        </w:tc>
      </w:tr>
      <w:tr w:rsidR="002048AF" w:rsidRPr="002048AF" w14:paraId="4848924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49795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65153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12,7</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90903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9CF24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A85E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13,6</w:t>
            </w:r>
          </w:p>
        </w:tc>
      </w:tr>
      <w:tr w:rsidR="002048AF" w:rsidRPr="002048AF" w14:paraId="084889D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32122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92A38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3CEF98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646C4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3DCCA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6645781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1DCCF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F1520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88371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5A9CA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DCB95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26B9FF0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21D66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D0322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C426D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B6972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756C4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10,3</w:t>
            </w:r>
          </w:p>
        </w:tc>
      </w:tr>
      <w:tr w:rsidR="002048AF" w:rsidRPr="002048AF" w14:paraId="0F1D2B5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879BE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01940A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75CDD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09A3A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7CA18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11,0</w:t>
            </w:r>
          </w:p>
        </w:tc>
      </w:tr>
      <w:tr w:rsidR="002048AF" w:rsidRPr="002048AF" w14:paraId="6A03152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153E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3190B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2EA38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E88ED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60BB3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r>
      <w:tr w:rsidR="002048AF" w:rsidRPr="002048AF" w14:paraId="77674EF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34FEC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C37DC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060591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E9FFA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A5A5B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r>
      <w:tr w:rsidR="002048AF" w:rsidRPr="002048AF" w14:paraId="0D7930A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14D40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BA8E3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93805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542F9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5767B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0464269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D4B8E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6AD0B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117,4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79DA9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114,1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68AC1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42C59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115,4</w:t>
            </w:r>
          </w:p>
        </w:tc>
      </w:tr>
    </w:tbl>
    <w:p w14:paraId="11298C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r w:rsidRPr="002048AF">
        <w:rPr>
          <w:rFonts w:ascii="Calibri" w:eastAsia="Times New Roman" w:hAnsi="Calibri" w:cs="Calibri"/>
          <w:b/>
          <w:bCs/>
          <w:color w:val="632423"/>
          <w:sz w:val="24"/>
          <w:szCs w:val="20"/>
          <w:lang w:val="en-GB" w:eastAsia="en-US"/>
        </w:rPr>
        <w:br w:type="page"/>
      </w:r>
    </w:p>
    <w:p w14:paraId="0208B0E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lastRenderedPageBreak/>
        <w:t>2.9</w:t>
      </w:r>
      <w:r w:rsidRPr="002048AF">
        <w:rPr>
          <w:rFonts w:ascii="Calibri" w:eastAsia="Times New Roman" w:hAnsi="Calibri" w:cs="Calibri"/>
          <w:b/>
          <w:bCs/>
          <w:sz w:val="24"/>
          <w:szCs w:val="24"/>
          <w:lang w:val="en-GB" w:eastAsia="en-US"/>
        </w:rPr>
        <w:tab/>
        <w:t>Product and service delivery</w:t>
      </w:r>
    </w:p>
    <w:p w14:paraId="22779F5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62292F3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 xml:space="preserve">The deployment of various products and services through the ITU-D operational plan actions across regions and multi-regionally to support the implementation of the Kigali Action Plan/ subsequent action plans. The products and services cover a wide range of ICT topics within ITU-D mandate aimed at promoting universal meaningful connectivity and sustainable digital transformation. </w:t>
      </w:r>
    </w:p>
    <w:p w14:paraId="6104401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p>
    <w:p w14:paraId="7B1AC12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4C704A4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2048AF" w:rsidRPr="002048AF" w14:paraId="53BC368C" w14:textId="77777777" w:rsidTr="000F5E63">
        <w:trPr>
          <w:trHeight w:val="680"/>
        </w:trPr>
        <w:tc>
          <w:tcPr>
            <w:tcW w:w="2620" w:type="dxa"/>
            <w:shd w:val="clear" w:color="auto" w:fill="02385E"/>
            <w:vAlign w:val="center"/>
            <w:hideMark/>
          </w:tcPr>
          <w:p w14:paraId="0ADF96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shd w:val="clear" w:color="auto" w:fill="70A288"/>
            <w:vAlign w:val="center"/>
            <w:hideMark/>
          </w:tcPr>
          <w:p w14:paraId="3E9B03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shd w:val="clear" w:color="auto" w:fill="DAB785"/>
            <w:vAlign w:val="center"/>
            <w:hideMark/>
          </w:tcPr>
          <w:p w14:paraId="5BD1FF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shd w:val="clear" w:color="auto" w:fill="D6896F"/>
            <w:vAlign w:val="center"/>
            <w:hideMark/>
          </w:tcPr>
          <w:p w14:paraId="224532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60A7A48A" w14:textId="77777777" w:rsidTr="002048AF">
        <w:trPr>
          <w:trHeight w:val="8180"/>
        </w:trPr>
        <w:tc>
          <w:tcPr>
            <w:tcW w:w="2620" w:type="dxa"/>
            <w:shd w:val="clear" w:color="auto" w:fill="F2F2F2"/>
            <w:hideMark/>
          </w:tcPr>
          <w:p w14:paraId="76858DE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t>ITU-D Priority 1: Affordable connectivity</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(2) Strengthened capacity to use ICTs for building effective early warning systems by developing their Early Warnings for All roadmaps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(3) Improved telecommunication/ICT infrastructure and service, in particular broadband coverage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(4) Strengthened partnerships for affordable connectivity</w:t>
            </w:r>
          </w:p>
        </w:tc>
        <w:tc>
          <w:tcPr>
            <w:tcW w:w="2620" w:type="dxa"/>
            <w:shd w:val="clear" w:color="auto" w:fill="F2F2F2"/>
            <w:hideMark/>
          </w:tcPr>
          <w:p w14:paraId="7CA17F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Arial"/>
                <w:color w:val="000000"/>
                <w:lang w:val="en-GB" w:eastAsia="en-US"/>
              </w:rPr>
            </w:pPr>
            <w:r w:rsidRPr="002048AF">
              <w:rPr>
                <w:rFonts w:ascii="Calibri" w:eastAsia="Times New Roman" w:hAnsi="Calibri" w:cs="Arial"/>
                <w:b/>
                <w:bCs/>
                <w:color w:val="000000"/>
                <w:lang w:val="en-GB" w:eastAsia="en-US"/>
              </w:rPr>
              <w:t>Emergency Telecommunication:</w:t>
            </w:r>
            <w:r w:rsidRPr="002048AF">
              <w:rPr>
                <w:rFonts w:ascii="Calibri" w:eastAsia="Times New Roman" w:hAnsi="Calibri" w:cs="Arial"/>
                <w:color w:val="000000"/>
                <w:lang w:val="en-GB" w:eastAsia="en-US"/>
              </w:rPr>
              <w:t xml:space="preserve"> Interventions on disaster management and preparedness were deployed across regions. </w:t>
            </w:r>
            <w:r w:rsidRPr="002048AF">
              <w:rPr>
                <w:rFonts w:ascii="Calibri" w:eastAsia="Times New Roman" w:hAnsi="Calibri" w:cs="Times New Roman"/>
                <w:sz w:val="24"/>
                <w:szCs w:val="20"/>
                <w:lang w:val="en-GB" w:eastAsia="en-US"/>
              </w:rPr>
              <w:br/>
            </w:r>
            <w:r w:rsidRPr="002048AF">
              <w:rPr>
                <w:rFonts w:ascii="Calibri" w:eastAsia="Times New Roman" w:hAnsi="Calibri" w:cs="Arial"/>
                <w:color w:val="000000"/>
                <w:lang w:val="en-GB" w:eastAsia="en-US"/>
              </w:rPr>
              <w:t>Network &amp; Digital Infrastructure: Increased awareness of ICT infrastructure gaps in 25 countries. ICT infrastructure business planning toolkit – 5G network. Establishment of IPv6 Laboratory in the Europe region</w:t>
            </w:r>
          </w:p>
        </w:tc>
        <w:tc>
          <w:tcPr>
            <w:tcW w:w="2620" w:type="dxa"/>
            <w:shd w:val="clear" w:color="auto" w:fill="F2F2F2"/>
            <w:hideMark/>
          </w:tcPr>
          <w:p w14:paraId="5AAEE8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partnerships established to support affordable connectivity initiatives </w:t>
            </w:r>
          </w:p>
        </w:tc>
        <w:tc>
          <w:tcPr>
            <w:tcW w:w="1780" w:type="dxa"/>
            <w:shd w:val="clear" w:color="auto" w:fill="F2F2F2"/>
            <w:hideMark/>
          </w:tcPr>
          <w:p w14:paraId="0325EA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2BA629FB" w14:textId="77777777" w:rsidTr="002048AF">
        <w:trPr>
          <w:trHeight w:val="4237"/>
        </w:trPr>
        <w:tc>
          <w:tcPr>
            <w:tcW w:w="2620" w:type="dxa"/>
            <w:shd w:val="clear" w:color="auto" w:fill="FFFFFF"/>
            <w:hideMark/>
          </w:tcPr>
          <w:p w14:paraId="1A6031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xml:space="preserve">ITU-D Priority 2: Digital Transformation </w:t>
            </w:r>
            <w:r w:rsidRPr="002048AF">
              <w:rPr>
                <w:rFonts w:ascii="Calibri" w:eastAsia="Times New Roman" w:hAnsi="Calibri" w:cs="Calibri"/>
                <w:color w:val="000000"/>
                <w:lang w:val="en-GB" w:eastAsia="en-US"/>
              </w:rPr>
              <w:b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p>
        </w:tc>
        <w:tc>
          <w:tcPr>
            <w:tcW w:w="2620" w:type="dxa"/>
            <w:shd w:val="clear" w:color="auto" w:fill="FFFFFF"/>
            <w:hideMark/>
          </w:tcPr>
          <w:p w14:paraId="776562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roofErr w:type="gramStart"/>
            <w:r w:rsidRPr="002048AF">
              <w:rPr>
                <w:rFonts w:ascii="Calibri" w:eastAsia="Times New Roman" w:hAnsi="Calibri" w:cs="Calibri"/>
                <w:color w:val="000000"/>
                <w:lang w:val="en-GB" w:eastAsia="en-US"/>
              </w:rPr>
              <w:t>Provided assistance to</w:t>
            </w:r>
            <w:proofErr w:type="gramEnd"/>
            <w:r w:rsidRPr="002048AF">
              <w:rPr>
                <w:rFonts w:ascii="Calibri" w:eastAsia="Times New Roman" w:hAnsi="Calibri" w:cs="Calibri"/>
                <w:color w:val="000000"/>
                <w:lang w:val="en-GB" w:eastAsia="en-US"/>
              </w:rPr>
              <w:t xml:space="preserve"> Members states to enhance confidence and security in the use of ICTs. Members states across all regions of ITU engaged in capacity development interventions on disaster management and preparedness </w:t>
            </w:r>
          </w:p>
        </w:tc>
        <w:tc>
          <w:tcPr>
            <w:tcW w:w="2620" w:type="dxa"/>
            <w:shd w:val="clear" w:color="auto" w:fill="FFFFFF"/>
            <w:hideMark/>
          </w:tcPr>
          <w:p w14:paraId="077B98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frameworks for enabling digital transformation</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to promote digital transformation </w:t>
            </w:r>
          </w:p>
        </w:tc>
        <w:tc>
          <w:tcPr>
            <w:tcW w:w="1780" w:type="dxa"/>
            <w:shd w:val="clear" w:color="auto" w:fill="FFFFFF"/>
            <w:vAlign w:val="center"/>
            <w:hideMark/>
          </w:tcPr>
          <w:p w14:paraId="2B9FC7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3C53A6EC" w14:textId="77777777" w:rsidTr="002048AF">
        <w:trPr>
          <w:trHeight w:val="3102"/>
        </w:trPr>
        <w:tc>
          <w:tcPr>
            <w:tcW w:w="2620" w:type="dxa"/>
            <w:shd w:val="clear" w:color="auto" w:fill="F2F2F2"/>
            <w:hideMark/>
          </w:tcPr>
          <w:p w14:paraId="20A54D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(2) Enhanced capacity of the ITU membership to accelerate digital transformation and sustainable economic and social development by leveraging and using new and emerging telecommunications/ICTs and services </w:t>
            </w:r>
          </w:p>
        </w:tc>
        <w:tc>
          <w:tcPr>
            <w:tcW w:w="2620" w:type="dxa"/>
            <w:shd w:val="clear" w:color="auto" w:fill="F2F2F2"/>
            <w:hideMark/>
          </w:tcPr>
          <w:p w14:paraId="009A7C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Network &amp; Digital Infrastructure:</w:t>
            </w:r>
          </w:p>
          <w:p w14:paraId="41B7FC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Increased awareness of ICT infrastructure gaps in 25 countries in Africa, Arab States, Asia Pacific, The Americas, </w:t>
            </w:r>
            <w:proofErr w:type="gramStart"/>
            <w:r w:rsidRPr="002048AF">
              <w:rPr>
                <w:rFonts w:ascii="Calibri" w:eastAsia="Times New Roman" w:hAnsi="Calibri" w:cs="Calibri"/>
                <w:color w:val="000000"/>
                <w:lang w:val="en-GB" w:eastAsia="en-US"/>
              </w:rPr>
              <w:t>CIS</w:t>
            </w:r>
            <w:proofErr w:type="gramEnd"/>
            <w:r w:rsidRPr="002048AF">
              <w:rPr>
                <w:rFonts w:ascii="Calibri" w:eastAsia="Times New Roman" w:hAnsi="Calibri" w:cs="Calibri"/>
                <w:color w:val="000000"/>
                <w:lang w:val="en-GB" w:eastAsia="en-US"/>
              </w:rPr>
              <w:t xml:space="preserve"> and Europe. Enhanced capacity of Member-States in CIS region to deploy 5G networks. ICT infrastructure business planning toolkit – 5G network. Establishment of IPv6 Laboratory in the Europe region</w:t>
            </w:r>
          </w:p>
        </w:tc>
        <w:tc>
          <w:tcPr>
            <w:tcW w:w="2620" w:type="dxa"/>
            <w:shd w:val="clear" w:color="auto" w:fill="F2F2F2"/>
            <w:hideMark/>
          </w:tcPr>
          <w:p w14:paraId="4A69F0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Number of Member States assisted in developing frameworks for advancing affordable connectivity</w:t>
            </w:r>
            <w:r w:rsidRPr="002048AF">
              <w:rPr>
                <w:rFonts w:ascii="Calibri" w:eastAsia="Times New Roman" w:hAnsi="Calibri" w:cs="Calibri"/>
                <w:color w:val="000000"/>
                <w:lang w:val="en-GB" w:eastAsia="en-US"/>
              </w:rPr>
              <w:br/>
              <w:t>Number of tools /frameworks/ resources developed to promote meaningful connectivity</w:t>
            </w:r>
          </w:p>
        </w:tc>
        <w:tc>
          <w:tcPr>
            <w:tcW w:w="1780" w:type="dxa"/>
            <w:shd w:val="clear" w:color="auto" w:fill="F2F2F2"/>
            <w:vAlign w:val="center"/>
            <w:hideMark/>
          </w:tcPr>
          <w:p w14:paraId="5D37AF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253F0088" w14:textId="77777777" w:rsidTr="000F5E63">
        <w:trPr>
          <w:trHeight w:val="4640"/>
        </w:trPr>
        <w:tc>
          <w:tcPr>
            <w:tcW w:w="2620" w:type="dxa"/>
            <w:shd w:val="clear" w:color="auto" w:fill="auto"/>
            <w:hideMark/>
          </w:tcPr>
          <w:p w14:paraId="703790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ITU-D Priority 3: Policy &amp; Regulation: </w:t>
            </w:r>
            <w:r w:rsidRPr="002048AF">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2620" w:type="dxa"/>
            <w:shd w:val="clear" w:color="auto" w:fill="auto"/>
            <w:hideMark/>
          </w:tcPr>
          <w:p w14:paraId="1EA177D7"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GSR Best Practice Guidelines.</w:t>
            </w:r>
          </w:p>
          <w:p w14:paraId="337F46F4"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Articles published on the Digital Regulation Platform on topical matters.</w:t>
            </w:r>
          </w:p>
          <w:p w14:paraId="34D1BBEF"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361"/>
              <w:jc w:val="left"/>
              <w:textAlignment w:val="baseline"/>
              <w:rPr>
                <w:rFonts w:ascii="Calibri" w:eastAsia="Aptos" w:hAnsi="Calibri" w:cs="Calibri"/>
                <w:szCs w:val="20"/>
                <w:lang w:val="en-GB" w:eastAsia="en-US"/>
              </w:rPr>
            </w:pPr>
            <w:r w:rsidRPr="002048AF">
              <w:rPr>
                <w:rFonts w:ascii="Calibri" w:eastAsia="Aptos" w:hAnsi="Calibri" w:cs="Calibri"/>
                <w:szCs w:val="20"/>
                <w:lang w:val="en-GB" w:eastAsia="en-US"/>
              </w:rPr>
              <w:t>Technical Assistance and Training to Uganda on National ICT Development Strategy project.</w:t>
            </w:r>
          </w:p>
          <w:p w14:paraId="6D2389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szCs w:val="20"/>
                <w:lang w:val="en-GB" w:eastAsia="en-US"/>
              </w:rPr>
              <w:t>Regulatory improvement support to and Honduras</w:t>
            </w:r>
          </w:p>
        </w:tc>
        <w:tc>
          <w:tcPr>
            <w:tcW w:w="2620" w:type="dxa"/>
            <w:shd w:val="clear" w:color="auto" w:fill="auto"/>
            <w:hideMark/>
          </w:tcPr>
          <w:p w14:paraId="0763BC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auto" w:fill="auto"/>
            <w:vAlign w:val="center"/>
            <w:hideMark/>
          </w:tcPr>
          <w:p w14:paraId="183430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6AA42289" w14:textId="77777777" w:rsidTr="002048AF">
        <w:trPr>
          <w:trHeight w:val="4521"/>
        </w:trPr>
        <w:tc>
          <w:tcPr>
            <w:tcW w:w="2620" w:type="dxa"/>
            <w:shd w:val="clear" w:color="auto" w:fill="FFFFFF"/>
            <w:hideMark/>
          </w:tcPr>
          <w:p w14:paraId="7D041F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xml:space="preserve">ITU-D Priority 4: Inclusive and secure telecommunications/ICTs for sustainable development </w:t>
            </w:r>
            <w:r w:rsidRPr="002048AF">
              <w:rPr>
                <w:rFonts w:ascii="Calibri" w:eastAsia="Times New Roman" w:hAnsi="Calibri" w:cs="Calibri"/>
                <w:color w:val="000000"/>
                <w:lang w:val="en-GB" w:eastAsia="en-US"/>
              </w:rPr>
              <w:br/>
              <w:t>(1) Increased secured online services, including Child Online Protection, and mobilization of resources for marginalized groups and persons with specific needs</w:t>
            </w:r>
            <w:r w:rsidRPr="002048AF">
              <w:rPr>
                <w:rFonts w:ascii="Calibri" w:eastAsia="Times New Roman" w:hAnsi="Calibri" w:cs="Calibri"/>
                <w:color w:val="000000"/>
                <w:lang w:val="en-GB" w:eastAsia="en-US"/>
              </w:rPr>
              <w:br/>
              <w:t xml:space="preserve">(2) Support for Member States to develop National Cybersecurity Strategies and CIRTs </w:t>
            </w:r>
          </w:p>
        </w:tc>
        <w:tc>
          <w:tcPr>
            <w:tcW w:w="2620" w:type="dxa"/>
            <w:shd w:val="clear" w:color="auto" w:fill="FFFFFF"/>
            <w:hideMark/>
          </w:tcPr>
          <w:p w14:paraId="223A216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Cs w:val="20"/>
                <w:lang w:val="en-GB" w:eastAsia="en-US"/>
              </w:rPr>
            </w:pPr>
            <w:r w:rsidRPr="002048AF">
              <w:rPr>
                <w:rFonts w:ascii="Calibri" w:eastAsia="Times New Roman" w:hAnsi="Calibri" w:cs="Calibri"/>
                <w:color w:val="000000"/>
                <w:szCs w:val="20"/>
                <w:lang w:val="en-GB" w:eastAsia="en-US"/>
              </w:rPr>
              <w:t>Global Cybersecurity Index 2024 Launched in September</w:t>
            </w:r>
          </w:p>
          <w:p w14:paraId="2B2088C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color w:val="000000"/>
                <w:szCs w:val="20"/>
                <w:lang w:val="en-GB" w:eastAsia="en-US"/>
              </w:rPr>
            </w:pPr>
            <w:r w:rsidRPr="002048AF">
              <w:rPr>
                <w:rFonts w:ascii="Calibri" w:eastAsia="Times New Roman" w:hAnsi="Calibri" w:cs="Calibri"/>
                <w:color w:val="000000"/>
                <w:szCs w:val="20"/>
                <w:lang w:val="en-GB" w:eastAsia="en-US"/>
              </w:rPr>
              <w:t>Incident Response Programme:</w:t>
            </w:r>
          </w:p>
          <w:p w14:paraId="1A2CB0CF"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Calibri"/>
                <w:szCs w:val="20"/>
                <w:lang w:val="en-GB" w:eastAsia="en-US"/>
              </w:rPr>
            </w:pPr>
            <w:r w:rsidRPr="002048AF">
              <w:rPr>
                <w:rFonts w:ascii="Calibri" w:eastAsia="Calibri" w:hAnsi="Calibri" w:cs="Calibri"/>
                <w:szCs w:val="20"/>
                <w:lang w:val="en-GB" w:eastAsia="en-US"/>
              </w:rPr>
              <w:t xml:space="preserve">160 countries benefited by </w:t>
            </w:r>
            <w:proofErr w:type="spellStart"/>
            <w:r w:rsidRPr="002048AF">
              <w:rPr>
                <w:rFonts w:ascii="Calibri" w:eastAsia="Calibri" w:hAnsi="Calibri" w:cs="Calibri"/>
                <w:szCs w:val="20"/>
                <w:lang w:val="en-GB" w:eastAsia="en-US"/>
              </w:rPr>
              <w:t>CyberDrills</w:t>
            </w:r>
            <w:proofErr w:type="spellEnd"/>
            <w:r w:rsidRPr="002048AF">
              <w:rPr>
                <w:rFonts w:ascii="Calibri" w:eastAsia="Calibri" w:hAnsi="Calibri" w:cs="Calibri"/>
                <w:szCs w:val="20"/>
                <w:lang w:val="en-GB" w:eastAsia="en-US"/>
              </w:rPr>
              <w:t xml:space="preserve"> across all regions.</w:t>
            </w:r>
          </w:p>
          <w:p w14:paraId="3F87BF9A" w14:textId="77777777" w:rsidR="002048AF" w:rsidRPr="002048AF" w:rsidRDefault="002048AF" w:rsidP="002048AF">
            <w:pPr>
              <w:tabs>
                <w:tab w:val="clear" w:pos="794"/>
              </w:tabs>
              <w:bidi w:val="0"/>
              <w:spacing w:after="120" w:line="240" w:lineRule="auto"/>
              <w:jc w:val="left"/>
              <w:rPr>
                <w:rFonts w:ascii="Calibri" w:eastAsia="Calibri" w:hAnsi="Calibri" w:cs="Times New Roman"/>
                <w:szCs w:val="20"/>
                <w:lang w:val="en-GB" w:eastAsia="en-US"/>
              </w:rPr>
            </w:pPr>
            <w:r w:rsidRPr="002048AF">
              <w:rPr>
                <w:rFonts w:ascii="Calibri" w:eastAsia="Calibri" w:hAnsi="Calibri" w:cs="Times New Roman"/>
                <w:szCs w:val="20"/>
                <w:lang w:val="en-GB" w:eastAsia="en-US"/>
              </w:rPr>
              <w:t>40 LDCs</w:t>
            </w:r>
            <w:r w:rsidRPr="002048AF">
              <w:rPr>
                <w:rFonts w:ascii="Calibri" w:eastAsia="Times New Roman" w:hAnsi="Calibri" w:cs="Times New Roman"/>
                <w:sz w:val="24"/>
                <w:szCs w:val="20"/>
                <w:lang w:val="en-GB" w:eastAsia="en-US"/>
              </w:rPr>
              <w:t xml:space="preserve">, </w:t>
            </w:r>
            <w:r w:rsidRPr="002048AF">
              <w:rPr>
                <w:rFonts w:ascii="Calibri" w:eastAsia="Calibri" w:hAnsi="Calibri" w:cs="Times New Roman"/>
                <w:szCs w:val="20"/>
                <w:lang w:val="en-GB" w:eastAsia="en-US"/>
              </w:rPr>
              <w:t xml:space="preserve">LLDCs and SIDSs.  11 of which were provided with technical assistance, 28 policy frameworks and knowledge products developed and awareness raising sessions were conducted in 5 countries and convening platforms were established in 2 countries. </w:t>
            </w:r>
          </w:p>
          <w:p w14:paraId="55CE5EF2" w14:textId="77777777" w:rsidR="002048AF" w:rsidRPr="002048AF" w:rsidRDefault="002048AF" w:rsidP="002048AF">
            <w:pPr>
              <w:tabs>
                <w:tab w:val="clear" w:pos="794"/>
              </w:tabs>
              <w:bidi w:val="0"/>
              <w:spacing w:after="120" w:line="240" w:lineRule="auto"/>
              <w:jc w:val="left"/>
              <w:rPr>
                <w:rFonts w:ascii="Calibri" w:eastAsia="Calibri" w:hAnsi="Calibri" w:cs="Calibri"/>
                <w:szCs w:val="20"/>
                <w:lang w:val="en-GB" w:eastAsia="en-US"/>
              </w:rPr>
            </w:pPr>
          </w:p>
          <w:p w14:paraId="691D48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shd w:val="clear" w:color="auto" w:fill="FFFFFF"/>
            <w:hideMark/>
          </w:tcPr>
          <w:p w14:paraId="23698D0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auto" w:fill="FFFFFF"/>
            <w:vAlign w:val="center"/>
            <w:hideMark/>
          </w:tcPr>
          <w:p w14:paraId="23540DD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6FDCE26A" w14:textId="77777777" w:rsidTr="002048AF">
        <w:trPr>
          <w:trHeight w:val="8160"/>
        </w:trPr>
        <w:tc>
          <w:tcPr>
            <w:tcW w:w="2620" w:type="dxa"/>
            <w:shd w:val="clear" w:color="auto" w:fill="F2F2F2"/>
            <w:hideMark/>
          </w:tcPr>
          <w:p w14:paraId="35CDC0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xml:space="preserve">Diversity and Inclusion: </w:t>
            </w:r>
            <w:r w:rsidRPr="002048AF">
              <w:rPr>
                <w:rFonts w:ascii="Calibri" w:eastAsia="Times New Roman" w:hAnsi="Calibri" w:cs="Calibri"/>
                <w:color w:val="000000"/>
                <w:lang w:val="en-GB" w:eastAsia="en-US"/>
              </w:rPr>
              <w:br/>
              <w:t xml:space="preserve">Strengthened capacity of the ITU membership to develop strategies, policies and practices for digital inclusion and equity, </w:t>
            </w:r>
            <w:proofErr w:type="gramStart"/>
            <w:r w:rsidRPr="002048AF">
              <w:rPr>
                <w:rFonts w:ascii="Calibri" w:eastAsia="Times New Roman" w:hAnsi="Calibri" w:cs="Calibri"/>
                <w:color w:val="000000"/>
                <w:lang w:val="en-GB" w:eastAsia="en-US"/>
              </w:rPr>
              <w:t>in particular for</w:t>
            </w:r>
            <w:proofErr w:type="gramEnd"/>
            <w:r w:rsidRPr="002048AF">
              <w:rPr>
                <w:rFonts w:ascii="Calibri" w:eastAsia="Times New Roman" w:hAnsi="Calibri" w:cs="Calibri"/>
                <w:color w:val="000000"/>
                <w:lang w:val="en-GB" w:eastAsia="en-US"/>
              </w:rPr>
              <w:t xml:space="preserve"> the empowerment of women and girls, persons with disabilities and other persons with specific needs and low- income households</w:t>
            </w:r>
          </w:p>
        </w:tc>
        <w:tc>
          <w:tcPr>
            <w:tcW w:w="2620" w:type="dxa"/>
            <w:shd w:val="clear" w:color="auto" w:fill="F2F2F2"/>
            <w:hideMark/>
          </w:tcPr>
          <w:p w14:paraId="315B19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p w14:paraId="0EDD7F5D"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Times New Roman"/>
                <w:szCs w:val="20"/>
                <w:lang w:val="en-GB" w:eastAsia="en-US"/>
              </w:rPr>
            </w:pPr>
            <w:r w:rsidRPr="002048AF">
              <w:rPr>
                <w:rFonts w:ascii="Calibri" w:eastAsia="Calibri" w:hAnsi="Calibri" w:cs="Times New Roman"/>
                <w:szCs w:val="20"/>
                <w:lang w:val="en-GB" w:eastAsia="en-US"/>
              </w:rPr>
              <w:t xml:space="preserve">Vulnerable groups and marginalized communities and empowered. </w:t>
            </w:r>
          </w:p>
          <w:p w14:paraId="626BD29F"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Calibri"/>
                <w:szCs w:val="20"/>
                <w:lang w:val="en-GB" w:eastAsia="en-US"/>
              </w:rPr>
            </w:pPr>
            <w:r w:rsidRPr="002048AF">
              <w:rPr>
                <w:rFonts w:ascii="Calibri" w:eastAsia="Calibri" w:hAnsi="Calibri" w:cs="Calibri"/>
                <w:szCs w:val="20"/>
                <w:lang w:val="en-GB" w:eastAsia="en-US"/>
              </w:rPr>
              <w:t>Strengthened capacity of policymakers and end-users.</w:t>
            </w:r>
          </w:p>
          <w:p w14:paraId="5D7C14AC"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Calibri"/>
                <w:szCs w:val="20"/>
                <w:lang w:val="en-GB" w:eastAsia="en-US"/>
              </w:rPr>
            </w:pPr>
            <w:r w:rsidRPr="002048AF">
              <w:rPr>
                <w:rFonts w:ascii="Calibri" w:eastAsia="Calibri" w:hAnsi="Calibri" w:cs="Calibri"/>
                <w:szCs w:val="20"/>
                <w:lang w:val="en-GB" w:eastAsia="en-US"/>
              </w:rPr>
              <w:t xml:space="preserve">Access to digital inclusion tools and resources increased. </w:t>
            </w:r>
          </w:p>
          <w:p w14:paraId="7C31EE6F"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Calibri"/>
                <w:szCs w:val="20"/>
                <w:lang w:val="en-GB" w:eastAsia="en-US"/>
              </w:rPr>
            </w:pPr>
            <w:r w:rsidRPr="002048AF">
              <w:rPr>
                <w:rFonts w:ascii="Calibri" w:eastAsia="Calibri" w:hAnsi="Calibri" w:cs="Calibri"/>
                <w:szCs w:val="20"/>
                <w:lang w:val="en-GB" w:eastAsia="en-US"/>
              </w:rPr>
              <w:t>Partnerships for digital inclusion strengthened.</w:t>
            </w:r>
          </w:p>
          <w:p w14:paraId="2295245E" w14:textId="77777777" w:rsidR="002048AF" w:rsidRPr="002048AF" w:rsidRDefault="002048AF" w:rsidP="002048AF">
            <w:pPr>
              <w:numPr>
                <w:ilvl w:val="0"/>
                <w:numId w:val="23"/>
              </w:numPr>
              <w:tabs>
                <w:tab w:val="clear" w:pos="794"/>
                <w:tab w:val="left" w:pos="1191"/>
                <w:tab w:val="left" w:pos="1588"/>
                <w:tab w:val="left" w:pos="1985"/>
              </w:tabs>
              <w:overflowPunct w:val="0"/>
              <w:autoSpaceDE w:val="0"/>
              <w:autoSpaceDN w:val="0"/>
              <w:bidi w:val="0"/>
              <w:adjustRightInd w:val="0"/>
              <w:spacing w:after="120" w:line="240" w:lineRule="auto"/>
              <w:ind w:left="436"/>
              <w:jc w:val="left"/>
              <w:textAlignment w:val="baseline"/>
              <w:rPr>
                <w:rFonts w:ascii="Calibri" w:eastAsia="Calibri" w:hAnsi="Calibri" w:cs="Calibri"/>
                <w:color w:val="000000"/>
                <w:szCs w:val="20"/>
                <w:lang w:val="en-GB" w:eastAsia="en-US"/>
              </w:rPr>
            </w:pPr>
            <w:r w:rsidRPr="002048AF">
              <w:rPr>
                <w:rFonts w:ascii="Calibri" w:eastAsia="Calibri" w:hAnsi="Calibri" w:cs="Calibri"/>
                <w:szCs w:val="20"/>
                <w:lang w:val="en-GB" w:eastAsia="en-US"/>
              </w:rPr>
              <w:t xml:space="preserve">Girls in ICT initiative expanded across </w:t>
            </w:r>
            <w:r w:rsidRPr="002048AF">
              <w:rPr>
                <w:rFonts w:ascii="Calibri" w:eastAsia="Calibri" w:hAnsi="Calibri" w:cs="Calibri"/>
                <w:color w:val="000000"/>
                <w:szCs w:val="20"/>
                <w:lang w:val="en-GB" w:eastAsia="en-US"/>
              </w:rPr>
              <w:t>regions.</w:t>
            </w:r>
          </w:p>
          <w:p w14:paraId="4EA0F0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Times New Roman"/>
                <w:b/>
                <w:bCs/>
                <w:color w:val="000000"/>
                <w:szCs w:val="20"/>
                <w:lang w:eastAsia="en-US"/>
              </w:rPr>
              <w:t xml:space="preserve">LDCs/LLDCs &amp; SIDS engaged / assisted- </w:t>
            </w:r>
            <w:r w:rsidRPr="002048AF">
              <w:rPr>
                <w:rFonts w:ascii="Calibri" w:eastAsia="Times New Roman" w:hAnsi="Calibri" w:cs="Times New Roman"/>
                <w:color w:val="000000"/>
                <w:szCs w:val="20"/>
                <w:lang w:eastAsia="en-US"/>
              </w:rPr>
              <w:t xml:space="preserve">A </w:t>
            </w:r>
            <w:r w:rsidRPr="002048AF">
              <w:rPr>
                <w:rFonts w:ascii="Calibri" w:eastAsia="Times New Roman" w:hAnsi="Calibri" w:cs="Times New Roman"/>
                <w:szCs w:val="20"/>
                <w:lang w:eastAsia="en-US"/>
              </w:rPr>
              <w:t>total number of 12 LDCs LLDCs and SIDs.  3 were provided with technical assistance, 2 countries had policy frameworks and knowledge products developed and awareness raising sessions were conducted in 7 countries and convening platforms were established in 3 countries</w:t>
            </w:r>
          </w:p>
        </w:tc>
        <w:tc>
          <w:tcPr>
            <w:tcW w:w="2620" w:type="dxa"/>
            <w:shd w:val="clear" w:color="auto" w:fill="F2F2F2"/>
            <w:hideMark/>
          </w:tcPr>
          <w:p w14:paraId="0F31B4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auto" w:fill="F2F2F2"/>
            <w:hideMark/>
          </w:tcPr>
          <w:p w14:paraId="00E5182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52F7321C" w14:textId="77777777" w:rsidTr="002048AF">
        <w:trPr>
          <w:trHeight w:val="6788"/>
        </w:trPr>
        <w:tc>
          <w:tcPr>
            <w:tcW w:w="2620" w:type="dxa"/>
            <w:shd w:val="clear" w:color="auto" w:fill="FFFFFF"/>
            <w:hideMark/>
          </w:tcPr>
          <w:p w14:paraId="07E6F0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Commitment to Environmental Sustainability</w:t>
            </w:r>
            <w:r w:rsidRPr="002048AF">
              <w:rPr>
                <w:rFonts w:ascii="Calibri" w:eastAsia="Times New Roman" w:hAnsi="Calibri" w:cs="Calibri"/>
                <w:color w:val="000000"/>
                <w:lang w:val="en-GB" w:eastAsia="en-US"/>
              </w:rPr>
              <w:br/>
              <w:t>Enhanced capacity of the ITU membership to develop telecommunication/ICT strategies and solutions on climate-change adaptation and mitigation and the use of green/renewable energy.</w:t>
            </w:r>
          </w:p>
        </w:tc>
        <w:tc>
          <w:tcPr>
            <w:tcW w:w="2620" w:type="dxa"/>
            <w:shd w:val="clear" w:color="auto" w:fill="FFFFFF"/>
            <w:hideMark/>
          </w:tcPr>
          <w:p w14:paraId="41A804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 </w:t>
            </w:r>
          </w:p>
          <w:p w14:paraId="65BBDF7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Cs w:val="20"/>
                <w:lang w:val="en-GB" w:eastAsia="en-US"/>
              </w:rPr>
            </w:pPr>
          </w:p>
          <w:p w14:paraId="7377B75B"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o</w:t>
            </w:r>
            <w:r w:rsidRPr="002048AF">
              <w:rPr>
                <w:rFonts w:ascii="Calibri" w:eastAsia="Times New Roman" w:hAnsi="Calibri" w:cs="Calibri"/>
                <w:sz w:val="24"/>
                <w:szCs w:val="20"/>
                <w:lang w:val="en-GB" w:eastAsia="en-US"/>
              </w:rPr>
              <w:tab/>
            </w:r>
            <w:r w:rsidRPr="002048AF">
              <w:rPr>
                <w:rFonts w:ascii="Calibri" w:eastAsia="Times New Roman" w:hAnsi="Calibri" w:cs="Calibri"/>
                <w:szCs w:val="20"/>
                <w:lang w:val="en-GB" w:eastAsia="en-US"/>
              </w:rPr>
              <w:t xml:space="preserve">Increased electronics producer engagement in regulation-setting. </w:t>
            </w:r>
          </w:p>
          <w:p w14:paraId="52C21EEF"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o</w:t>
            </w:r>
            <w:r w:rsidRPr="002048AF">
              <w:rPr>
                <w:rFonts w:ascii="Calibri" w:eastAsia="Times New Roman" w:hAnsi="Calibri" w:cs="Calibri"/>
                <w:sz w:val="24"/>
                <w:szCs w:val="20"/>
                <w:lang w:val="en-GB" w:eastAsia="en-US"/>
              </w:rPr>
              <w:tab/>
            </w:r>
            <w:r w:rsidRPr="002048AF">
              <w:rPr>
                <w:rFonts w:ascii="Calibri" w:eastAsia="Times New Roman" w:hAnsi="Calibri" w:cs="Calibri"/>
                <w:szCs w:val="20"/>
                <w:lang w:val="en-GB" w:eastAsia="en-US"/>
              </w:rPr>
              <w:t>Strengthened policies and regulations</w:t>
            </w:r>
          </w:p>
          <w:p w14:paraId="7C29A0D8"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o</w:t>
            </w:r>
            <w:r w:rsidRPr="002048AF">
              <w:rPr>
                <w:rFonts w:ascii="Calibri" w:eastAsia="Times New Roman" w:hAnsi="Calibri" w:cs="Calibri"/>
                <w:sz w:val="24"/>
                <w:szCs w:val="20"/>
                <w:lang w:val="en-GB" w:eastAsia="en-US"/>
              </w:rPr>
              <w:tab/>
            </w:r>
            <w:r w:rsidRPr="002048AF">
              <w:rPr>
                <w:rFonts w:ascii="Calibri" w:eastAsia="Times New Roman" w:hAnsi="Calibri" w:cs="Calibri"/>
                <w:szCs w:val="20"/>
                <w:lang w:val="en-GB" w:eastAsia="en-US"/>
              </w:rPr>
              <w:t>Strengthened partnership and collaboration, and promotion of BDT products and services.</w:t>
            </w:r>
          </w:p>
          <w:p w14:paraId="640C7F7E" w14:textId="77777777" w:rsidR="002048AF" w:rsidRPr="002048AF" w:rsidRDefault="002048AF" w:rsidP="002048AF">
            <w:pPr>
              <w:numPr>
                <w:ilvl w:val="0"/>
                <w:numId w:val="24"/>
              </w:numPr>
              <w:tabs>
                <w:tab w:val="clear" w:pos="794"/>
                <w:tab w:val="left" w:pos="1134"/>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Strengthened GHG emission and energy data collection and regulator's capacity to collect data.</w:t>
            </w:r>
          </w:p>
          <w:p w14:paraId="4E83FCE2" w14:textId="77777777" w:rsidR="002048AF" w:rsidRPr="002048AF" w:rsidRDefault="002048AF" w:rsidP="002048AF">
            <w:pPr>
              <w:numPr>
                <w:ilvl w:val="0"/>
                <w:numId w:val="24"/>
              </w:numPr>
              <w:tabs>
                <w:tab w:val="clear" w:pos="794"/>
                <w:tab w:val="left" w:pos="1134"/>
                <w:tab w:val="left" w:pos="1588"/>
                <w:tab w:val="left" w:pos="1871"/>
                <w:tab w:val="left" w:pos="1985"/>
                <w:tab w:val="left" w:pos="2268"/>
              </w:tabs>
              <w:overflowPunct w:val="0"/>
              <w:autoSpaceDE w:val="0"/>
              <w:autoSpaceDN w:val="0"/>
              <w:bidi w:val="0"/>
              <w:adjustRightInd w:val="0"/>
              <w:spacing w:after="120" w:line="240" w:lineRule="auto"/>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 xml:space="preserve">Improved monitoring of the ICT sector's climate footprint. </w:t>
            </w:r>
          </w:p>
          <w:p w14:paraId="38894A76"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pt-BR" w:eastAsia="en-US"/>
              </w:rPr>
            </w:pPr>
            <w:r w:rsidRPr="002048AF">
              <w:rPr>
                <w:rFonts w:ascii="Calibri" w:eastAsia="Times New Roman" w:hAnsi="Calibri" w:cs="Calibri"/>
                <w:szCs w:val="20"/>
                <w:lang w:val="pt-BR" w:eastAsia="en-US"/>
              </w:rPr>
              <w:t>o</w:t>
            </w:r>
            <w:r w:rsidRPr="002048AF">
              <w:rPr>
                <w:rFonts w:ascii="Calibri" w:eastAsia="Times New Roman" w:hAnsi="Calibri" w:cs="Calibri"/>
                <w:sz w:val="24"/>
                <w:szCs w:val="20"/>
                <w:lang w:val="pt-BR" w:eastAsia="en-US"/>
              </w:rPr>
              <w:tab/>
            </w:r>
            <w:r w:rsidRPr="002048AF">
              <w:rPr>
                <w:rFonts w:ascii="Calibri" w:eastAsia="Times New Roman" w:hAnsi="Calibri" w:cs="Calibri"/>
                <w:szCs w:val="20"/>
                <w:lang w:val="pt-BR" w:eastAsia="en-US"/>
              </w:rPr>
              <w:t xml:space="preserve">Africa: Rwanda, Zambia, Tanzania, Uganda, Seychelles </w:t>
            </w:r>
          </w:p>
          <w:p w14:paraId="05FA5AFA"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o</w:t>
            </w:r>
            <w:r w:rsidRPr="002048AF">
              <w:rPr>
                <w:rFonts w:ascii="Calibri" w:eastAsia="Times New Roman" w:hAnsi="Calibri" w:cs="Calibri"/>
                <w:sz w:val="24"/>
                <w:szCs w:val="20"/>
                <w:lang w:val="en-GB" w:eastAsia="en-US"/>
              </w:rPr>
              <w:tab/>
            </w:r>
            <w:r w:rsidRPr="002048AF">
              <w:rPr>
                <w:rFonts w:ascii="Calibri" w:eastAsia="Times New Roman" w:hAnsi="Calibri" w:cs="Calibri"/>
                <w:szCs w:val="20"/>
                <w:lang w:val="en-GB" w:eastAsia="en-US"/>
              </w:rPr>
              <w:t>Americas: Paraguay.</w:t>
            </w:r>
          </w:p>
          <w:p w14:paraId="7080CE95" w14:textId="77777777" w:rsidR="002048AF" w:rsidRPr="002048AF" w:rsidRDefault="002048AF" w:rsidP="002048AF">
            <w:pPr>
              <w:tabs>
                <w:tab w:val="clear" w:pos="794"/>
                <w:tab w:val="left" w:pos="1134"/>
                <w:tab w:val="left" w:pos="1871"/>
                <w:tab w:val="left" w:pos="2268"/>
              </w:tabs>
              <w:overflowPunct w:val="0"/>
              <w:autoSpaceDE w:val="0"/>
              <w:autoSpaceDN w:val="0"/>
              <w:bidi w:val="0"/>
              <w:adjustRightInd w:val="0"/>
              <w:spacing w:after="120" w:line="240" w:lineRule="auto"/>
              <w:ind w:left="91"/>
              <w:contextualSpacing/>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o</w:t>
            </w:r>
            <w:r w:rsidRPr="002048AF">
              <w:rPr>
                <w:rFonts w:ascii="Calibri" w:eastAsia="Times New Roman" w:hAnsi="Calibri" w:cs="Calibri"/>
                <w:sz w:val="24"/>
                <w:szCs w:val="20"/>
                <w:lang w:val="en-GB" w:eastAsia="en-US"/>
              </w:rPr>
              <w:tab/>
            </w:r>
            <w:r w:rsidRPr="002048AF">
              <w:rPr>
                <w:rFonts w:ascii="Calibri" w:eastAsia="Times New Roman" w:hAnsi="Calibri" w:cs="Calibri"/>
                <w:szCs w:val="20"/>
                <w:lang w:val="en-GB" w:eastAsia="en-US"/>
              </w:rPr>
              <w:t>Asia and the Pacific: Indonesia, Mongolia, Thailand, Philippines.</w:t>
            </w:r>
          </w:p>
          <w:p w14:paraId="188218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2620" w:type="dxa"/>
            <w:shd w:val="clear" w:color="auto" w:fill="FFFFFF"/>
            <w:hideMark/>
          </w:tcPr>
          <w:p w14:paraId="5203EEA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auto" w:fill="FFFFFF"/>
            <w:vAlign w:val="center"/>
            <w:hideMark/>
          </w:tcPr>
          <w:p w14:paraId="7BE673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6BAC5F13" w14:textId="77777777" w:rsidTr="002048AF">
        <w:trPr>
          <w:trHeight w:val="5120"/>
        </w:trPr>
        <w:tc>
          <w:tcPr>
            <w:tcW w:w="2620" w:type="dxa"/>
            <w:shd w:val="clear" w:color="auto" w:fill="F2F2F2"/>
            <w:hideMark/>
          </w:tcPr>
          <w:p w14:paraId="704A33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t xml:space="preserve">Regional presence: </w:t>
            </w:r>
            <w:r w:rsidRPr="002048AF">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Strengthened and empowered Staff and their expertise at all levels, at the regional presence (Regional and Area Offices)</w:t>
            </w:r>
          </w:p>
        </w:tc>
        <w:tc>
          <w:tcPr>
            <w:tcW w:w="2620" w:type="dxa"/>
            <w:shd w:val="clear" w:color="auto" w:fill="F2F2F2"/>
            <w:vAlign w:val="center"/>
            <w:hideMark/>
          </w:tcPr>
          <w:p w14:paraId="69B0A6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During 2023, BDT implemented activities through 93 projects, valued at CHF 88.5 million. </w:t>
            </w:r>
            <w:r w:rsidRPr="002048AF">
              <w:rPr>
                <w:rFonts w:ascii="Calibri" w:eastAsia="Times New Roman" w:hAnsi="Calibri" w:cs="Calibri"/>
                <w:color w:val="000000"/>
                <w:lang w:val="en-GB" w:eastAsia="en-US"/>
              </w:rPr>
              <w:br/>
              <w:t>93% of projects funded through the extrabudgetary funds mobilized by BDT, 7% funded through ICT Development Fund (ICT-DF)</w:t>
            </w:r>
          </w:p>
        </w:tc>
        <w:tc>
          <w:tcPr>
            <w:tcW w:w="2620" w:type="dxa"/>
            <w:shd w:val="clear" w:color="auto" w:fill="F2F2F2"/>
            <w:hideMark/>
          </w:tcPr>
          <w:p w14:paraId="38F5C3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auto" w:fill="F2F2F2"/>
            <w:hideMark/>
          </w:tcPr>
          <w:p w14:paraId="475A3B9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bl>
    <w:p w14:paraId="4EC85297"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2048AF" w:rsidRPr="002048AF" w14:paraId="57A8B0D0" w14:textId="77777777" w:rsidTr="000F5E6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61539E7"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275B44F6"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73715686"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E11459E"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7BFFD4AD" w14:textId="77777777" w:rsidTr="000F5E63">
        <w:trPr>
          <w:trHeight w:val="2380"/>
        </w:trPr>
        <w:tc>
          <w:tcPr>
            <w:tcW w:w="2020" w:type="dxa"/>
            <w:tcBorders>
              <w:top w:val="nil"/>
              <w:left w:val="single" w:sz="4" w:space="0" w:color="auto"/>
              <w:bottom w:val="nil"/>
              <w:right w:val="single" w:sz="4" w:space="0" w:color="auto"/>
            </w:tcBorders>
            <w:shd w:val="clear" w:color="000000" w:fill="F2F2F2"/>
            <w:vAlign w:val="center"/>
            <w:hideMark/>
          </w:tcPr>
          <w:p w14:paraId="7D9403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3253C9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Lack of resources to</w:t>
            </w:r>
            <w:r w:rsidRPr="002048AF">
              <w:rPr>
                <w:rFonts w:ascii="Calibri" w:eastAsia="Times New Roman" w:hAnsi="Calibri" w:cs="Calibri"/>
                <w:color w:val="000000"/>
                <w:sz w:val="24"/>
                <w:szCs w:val="20"/>
                <w:lang w:val="en-GB" w:eastAsia="en-US"/>
              </w:rPr>
              <w:br/>
              <w:t>provide the appropriate support</w:t>
            </w:r>
          </w:p>
        </w:tc>
        <w:tc>
          <w:tcPr>
            <w:tcW w:w="2020" w:type="dxa"/>
            <w:tcBorders>
              <w:top w:val="nil"/>
              <w:left w:val="nil"/>
              <w:bottom w:val="nil"/>
              <w:right w:val="single" w:sz="4" w:space="0" w:color="auto"/>
            </w:tcBorders>
            <w:shd w:val="clear" w:color="000000" w:fill="F2F2F2"/>
            <w:vAlign w:val="center"/>
            <w:hideMark/>
          </w:tcPr>
          <w:p w14:paraId="53759F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Low</w:t>
            </w:r>
          </w:p>
        </w:tc>
        <w:tc>
          <w:tcPr>
            <w:tcW w:w="2500" w:type="dxa"/>
            <w:tcBorders>
              <w:top w:val="nil"/>
              <w:left w:val="nil"/>
              <w:bottom w:val="nil"/>
              <w:right w:val="single" w:sz="4" w:space="0" w:color="auto"/>
            </w:tcBorders>
            <w:shd w:val="clear" w:color="000000" w:fill="F2F2F2"/>
            <w:vAlign w:val="center"/>
            <w:hideMark/>
          </w:tcPr>
          <w:p w14:paraId="626FF4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r w:rsidR="002048AF" w:rsidRPr="002048AF" w14:paraId="63F5FA33" w14:textId="77777777" w:rsidTr="000F5E63">
        <w:trPr>
          <w:trHeight w:val="1700"/>
        </w:trPr>
        <w:tc>
          <w:tcPr>
            <w:tcW w:w="2020" w:type="dxa"/>
            <w:tcBorders>
              <w:top w:val="nil"/>
              <w:left w:val="single" w:sz="4" w:space="0" w:color="auto"/>
              <w:bottom w:val="nil"/>
              <w:right w:val="nil"/>
            </w:tcBorders>
            <w:shd w:val="clear" w:color="auto" w:fill="auto"/>
            <w:hideMark/>
          </w:tcPr>
          <w:p w14:paraId="208EF9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27F5E3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commitment and timely communication by countries</w:t>
            </w:r>
          </w:p>
        </w:tc>
        <w:tc>
          <w:tcPr>
            <w:tcW w:w="2020" w:type="dxa"/>
            <w:tcBorders>
              <w:top w:val="nil"/>
              <w:left w:val="nil"/>
              <w:bottom w:val="nil"/>
              <w:right w:val="nil"/>
            </w:tcBorders>
            <w:shd w:val="clear" w:color="auto" w:fill="auto"/>
            <w:noWrap/>
            <w:hideMark/>
          </w:tcPr>
          <w:p w14:paraId="1F2D6B2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tcBorders>
              <w:top w:val="nil"/>
              <w:left w:val="single" w:sz="4" w:space="0" w:color="auto"/>
              <w:bottom w:val="nil"/>
              <w:right w:val="single" w:sz="4" w:space="0" w:color="auto"/>
            </w:tcBorders>
            <w:shd w:val="clear" w:color="auto" w:fill="auto"/>
            <w:hideMark/>
          </w:tcPr>
          <w:p w14:paraId="2C7372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 States to ensure appropriate level of involvement</w:t>
            </w:r>
          </w:p>
        </w:tc>
      </w:tr>
      <w:tr w:rsidR="002048AF" w:rsidRPr="002048AF" w14:paraId="077DD646" w14:textId="77777777" w:rsidTr="000F5E63">
        <w:trPr>
          <w:trHeight w:val="1020"/>
        </w:trPr>
        <w:tc>
          <w:tcPr>
            <w:tcW w:w="2020" w:type="dxa"/>
            <w:tcBorders>
              <w:top w:val="nil"/>
              <w:left w:val="single" w:sz="4" w:space="0" w:color="auto"/>
              <w:bottom w:val="nil"/>
              <w:right w:val="nil"/>
            </w:tcBorders>
            <w:shd w:val="clear" w:color="auto" w:fill="auto"/>
            <w:hideMark/>
          </w:tcPr>
          <w:p w14:paraId="6E8C4F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17DCF8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Continuity with change of administrations </w:t>
            </w:r>
          </w:p>
        </w:tc>
        <w:tc>
          <w:tcPr>
            <w:tcW w:w="2020" w:type="dxa"/>
            <w:tcBorders>
              <w:top w:val="nil"/>
              <w:left w:val="nil"/>
              <w:bottom w:val="nil"/>
              <w:right w:val="nil"/>
            </w:tcBorders>
            <w:shd w:val="clear" w:color="auto" w:fill="auto"/>
            <w:noWrap/>
            <w:hideMark/>
          </w:tcPr>
          <w:p w14:paraId="1343BD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Low</w:t>
            </w:r>
          </w:p>
        </w:tc>
        <w:tc>
          <w:tcPr>
            <w:tcW w:w="2500" w:type="dxa"/>
            <w:tcBorders>
              <w:top w:val="nil"/>
              <w:left w:val="single" w:sz="4" w:space="0" w:color="auto"/>
              <w:bottom w:val="nil"/>
              <w:right w:val="single" w:sz="4" w:space="0" w:color="auto"/>
            </w:tcBorders>
            <w:shd w:val="clear" w:color="auto" w:fill="auto"/>
            <w:hideMark/>
          </w:tcPr>
          <w:p w14:paraId="28D17B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2048AF" w:rsidRPr="002048AF" w14:paraId="19DC24D5" w14:textId="77777777" w:rsidTr="000F5E63">
        <w:trPr>
          <w:trHeight w:val="680"/>
        </w:trPr>
        <w:tc>
          <w:tcPr>
            <w:tcW w:w="2020" w:type="dxa"/>
            <w:tcBorders>
              <w:top w:val="nil"/>
              <w:left w:val="single" w:sz="4" w:space="0" w:color="auto"/>
              <w:bottom w:val="nil"/>
              <w:right w:val="single" w:sz="4" w:space="0" w:color="auto"/>
            </w:tcBorders>
            <w:shd w:val="clear" w:color="000000" w:fill="F2F2F2"/>
            <w:vAlign w:val="center"/>
            <w:hideMark/>
          </w:tcPr>
          <w:p w14:paraId="0191ED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5644EE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Security status in some regions </w:t>
            </w:r>
          </w:p>
        </w:tc>
        <w:tc>
          <w:tcPr>
            <w:tcW w:w="2020" w:type="dxa"/>
            <w:tcBorders>
              <w:top w:val="nil"/>
              <w:left w:val="nil"/>
              <w:bottom w:val="nil"/>
              <w:right w:val="single" w:sz="4" w:space="0" w:color="auto"/>
            </w:tcBorders>
            <w:shd w:val="clear" w:color="000000" w:fill="F2F2F2"/>
            <w:vAlign w:val="center"/>
            <w:hideMark/>
          </w:tcPr>
          <w:p w14:paraId="2D8EE5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Low </w:t>
            </w:r>
          </w:p>
        </w:tc>
        <w:tc>
          <w:tcPr>
            <w:tcW w:w="2500" w:type="dxa"/>
            <w:tcBorders>
              <w:top w:val="nil"/>
              <w:left w:val="nil"/>
              <w:bottom w:val="nil"/>
              <w:right w:val="single" w:sz="4" w:space="0" w:color="auto"/>
            </w:tcBorders>
            <w:shd w:val="clear" w:color="000000" w:fill="F2F2F2"/>
            <w:vAlign w:val="center"/>
            <w:hideMark/>
          </w:tcPr>
          <w:p w14:paraId="5E08FC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follow up</w:t>
            </w:r>
          </w:p>
        </w:tc>
      </w:tr>
      <w:tr w:rsidR="002048AF" w:rsidRPr="002048AF" w14:paraId="08D934A9" w14:textId="77777777" w:rsidTr="000F5E63">
        <w:trPr>
          <w:trHeight w:val="1020"/>
        </w:trPr>
        <w:tc>
          <w:tcPr>
            <w:tcW w:w="2020" w:type="dxa"/>
            <w:tcBorders>
              <w:top w:val="nil"/>
              <w:left w:val="single" w:sz="4" w:space="0" w:color="auto"/>
              <w:bottom w:val="nil"/>
              <w:right w:val="single" w:sz="4" w:space="0" w:color="auto"/>
            </w:tcBorders>
            <w:shd w:val="clear" w:color="auto" w:fill="auto"/>
            <w:vAlign w:val="center"/>
            <w:hideMark/>
          </w:tcPr>
          <w:p w14:paraId="2D7DC8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4D7688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tcBorders>
              <w:top w:val="nil"/>
              <w:left w:val="nil"/>
              <w:bottom w:val="nil"/>
              <w:right w:val="single" w:sz="4" w:space="0" w:color="auto"/>
            </w:tcBorders>
            <w:shd w:val="clear" w:color="auto" w:fill="auto"/>
            <w:vAlign w:val="center"/>
            <w:hideMark/>
          </w:tcPr>
          <w:p w14:paraId="575A8C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High </w:t>
            </w:r>
          </w:p>
        </w:tc>
        <w:tc>
          <w:tcPr>
            <w:tcW w:w="2500" w:type="dxa"/>
            <w:tcBorders>
              <w:top w:val="nil"/>
              <w:left w:val="nil"/>
              <w:bottom w:val="nil"/>
              <w:right w:val="single" w:sz="4" w:space="0" w:color="auto"/>
            </w:tcBorders>
            <w:shd w:val="clear" w:color="auto" w:fill="auto"/>
            <w:vAlign w:val="center"/>
            <w:hideMark/>
          </w:tcPr>
          <w:p w14:paraId="47D31B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r w:rsidR="002048AF" w:rsidRPr="002048AF" w14:paraId="090C551B" w14:textId="77777777" w:rsidTr="000F5E63">
        <w:trPr>
          <w:trHeight w:val="2380"/>
        </w:trPr>
        <w:tc>
          <w:tcPr>
            <w:tcW w:w="2020" w:type="dxa"/>
            <w:tcBorders>
              <w:top w:val="nil"/>
              <w:left w:val="single" w:sz="4" w:space="0" w:color="auto"/>
              <w:bottom w:val="nil"/>
              <w:right w:val="single" w:sz="4" w:space="0" w:color="auto"/>
            </w:tcBorders>
            <w:shd w:val="clear" w:color="000000" w:fill="F2F2F2"/>
            <w:hideMark/>
          </w:tcPr>
          <w:p w14:paraId="0FC5DA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Human resources</w:t>
            </w:r>
          </w:p>
        </w:tc>
        <w:tc>
          <w:tcPr>
            <w:tcW w:w="2020" w:type="dxa"/>
            <w:tcBorders>
              <w:top w:val="nil"/>
              <w:left w:val="nil"/>
              <w:bottom w:val="nil"/>
              <w:right w:val="single" w:sz="4" w:space="0" w:color="auto"/>
            </w:tcBorders>
            <w:shd w:val="clear" w:color="000000" w:fill="F2F2F2"/>
            <w:hideMark/>
          </w:tcPr>
          <w:p w14:paraId="344C5B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human</w:t>
            </w:r>
            <w:r w:rsidRPr="002048AF">
              <w:rPr>
                <w:rFonts w:ascii="Calibri" w:eastAsia="Times New Roman" w:hAnsi="Calibri" w:cs="Calibri"/>
                <w:color w:val="000000"/>
                <w:sz w:val="24"/>
                <w:szCs w:val="20"/>
                <w:lang w:val="en-GB" w:eastAsia="en-US"/>
              </w:rPr>
              <w:br/>
              <w:t>resources to cope with</w:t>
            </w:r>
            <w:r w:rsidRPr="002048AF">
              <w:rPr>
                <w:rFonts w:ascii="Calibri" w:eastAsia="Times New Roman" w:hAnsi="Calibri" w:cs="Calibri"/>
                <w:color w:val="000000"/>
                <w:sz w:val="24"/>
                <w:szCs w:val="20"/>
                <w:lang w:val="en-GB" w:eastAsia="en-US"/>
              </w:rPr>
              <w:br/>
              <w:t>demand. Lack of qualified experts in the areas concerned</w:t>
            </w:r>
          </w:p>
        </w:tc>
        <w:tc>
          <w:tcPr>
            <w:tcW w:w="2020" w:type="dxa"/>
            <w:tcBorders>
              <w:top w:val="nil"/>
              <w:left w:val="nil"/>
              <w:bottom w:val="nil"/>
              <w:right w:val="single" w:sz="4" w:space="0" w:color="auto"/>
            </w:tcBorders>
            <w:shd w:val="clear" w:color="000000" w:fill="F2F2F2"/>
            <w:hideMark/>
          </w:tcPr>
          <w:p w14:paraId="7064F1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000000" w:fill="F2F2F2"/>
            <w:hideMark/>
          </w:tcPr>
          <w:p w14:paraId="6B8FDC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Resource requirements anticipated, and continuous updating of expert data</w:t>
            </w:r>
            <w:r w:rsidRPr="002048AF">
              <w:rPr>
                <w:rFonts w:ascii="Calibri" w:eastAsia="Times New Roman" w:hAnsi="Calibri" w:cs="Calibri"/>
                <w:color w:val="000000"/>
                <w:sz w:val="24"/>
                <w:szCs w:val="20"/>
                <w:lang w:val="en-GB" w:eastAsia="en-US"/>
              </w:rPr>
              <w:br/>
              <w:t>base, and recruitment procedures initiated as soon as possible</w:t>
            </w:r>
          </w:p>
        </w:tc>
      </w:tr>
      <w:tr w:rsidR="002048AF" w:rsidRPr="002048AF" w14:paraId="71595870" w14:textId="77777777" w:rsidTr="000F5E63">
        <w:trPr>
          <w:trHeight w:val="1360"/>
        </w:trPr>
        <w:tc>
          <w:tcPr>
            <w:tcW w:w="2020" w:type="dxa"/>
            <w:tcBorders>
              <w:top w:val="nil"/>
              <w:left w:val="single" w:sz="4" w:space="0" w:color="auto"/>
              <w:bottom w:val="nil"/>
              <w:right w:val="single" w:sz="4" w:space="0" w:color="auto"/>
            </w:tcBorders>
            <w:shd w:val="clear" w:color="auto" w:fill="auto"/>
            <w:vAlign w:val="center"/>
            <w:hideMark/>
          </w:tcPr>
          <w:p w14:paraId="39299E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0CB1E5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Delays in country activities due to unforeseen local events</w:t>
            </w:r>
          </w:p>
        </w:tc>
        <w:tc>
          <w:tcPr>
            <w:tcW w:w="2020" w:type="dxa"/>
            <w:tcBorders>
              <w:top w:val="nil"/>
              <w:left w:val="nil"/>
              <w:bottom w:val="nil"/>
              <w:right w:val="single" w:sz="4" w:space="0" w:color="auto"/>
            </w:tcBorders>
            <w:shd w:val="clear" w:color="auto" w:fill="auto"/>
            <w:hideMark/>
          </w:tcPr>
          <w:p w14:paraId="1FB65D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tcBorders>
              <w:top w:val="nil"/>
              <w:left w:val="nil"/>
              <w:bottom w:val="nil"/>
              <w:right w:val="single" w:sz="4" w:space="0" w:color="auto"/>
            </w:tcBorders>
            <w:shd w:val="clear" w:color="auto" w:fill="auto"/>
            <w:hideMark/>
          </w:tcPr>
          <w:p w14:paraId="3239E0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Improved communication with partners</w:t>
            </w:r>
          </w:p>
        </w:tc>
      </w:tr>
      <w:tr w:rsidR="002048AF" w:rsidRPr="002048AF" w14:paraId="5383250E" w14:textId="77777777" w:rsidTr="000F5E63">
        <w:trPr>
          <w:trHeight w:val="320"/>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0BA2AE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7B19FB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tcBorders>
              <w:top w:val="nil"/>
              <w:left w:val="nil"/>
              <w:bottom w:val="single" w:sz="4" w:space="0" w:color="auto"/>
              <w:right w:val="single" w:sz="4" w:space="0" w:color="auto"/>
            </w:tcBorders>
            <w:shd w:val="clear" w:color="auto" w:fill="auto"/>
            <w:vAlign w:val="center"/>
            <w:hideMark/>
          </w:tcPr>
          <w:p w14:paraId="2EDE63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00" w:type="dxa"/>
            <w:tcBorders>
              <w:top w:val="nil"/>
              <w:left w:val="nil"/>
              <w:bottom w:val="single" w:sz="4" w:space="0" w:color="auto"/>
              <w:right w:val="single" w:sz="4" w:space="0" w:color="auto"/>
            </w:tcBorders>
            <w:shd w:val="clear" w:color="auto" w:fill="auto"/>
            <w:vAlign w:val="center"/>
            <w:hideMark/>
          </w:tcPr>
          <w:p w14:paraId="24AE73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69317E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p>
    <w:p w14:paraId="2AC15F8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5779C0B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4180"/>
      </w:tblGrid>
      <w:tr w:rsidR="002048AF" w:rsidRPr="002048AF" w14:paraId="195CFCBF" w14:textId="77777777" w:rsidTr="000F5E63">
        <w:trPr>
          <w:trHeight w:val="320"/>
        </w:trPr>
        <w:tc>
          <w:tcPr>
            <w:tcW w:w="4180" w:type="dxa"/>
            <w:shd w:val="clear" w:color="000000" w:fill="02385E"/>
            <w:noWrap/>
            <w:vAlign w:val="bottom"/>
            <w:hideMark/>
          </w:tcPr>
          <w:p w14:paraId="74E1FE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lastRenderedPageBreak/>
              <w:t>Outcomes &amp; Expected results</w:t>
            </w:r>
          </w:p>
        </w:tc>
        <w:tc>
          <w:tcPr>
            <w:tcW w:w="4180" w:type="dxa"/>
            <w:shd w:val="clear" w:color="000000" w:fill="DAB785"/>
            <w:noWrap/>
            <w:vAlign w:val="bottom"/>
            <w:hideMark/>
          </w:tcPr>
          <w:p w14:paraId="1CE1B1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051E11EC" w14:textId="77777777" w:rsidTr="000F5E63">
        <w:trPr>
          <w:trHeight w:val="6112"/>
        </w:trPr>
        <w:tc>
          <w:tcPr>
            <w:tcW w:w="4180" w:type="dxa"/>
            <w:shd w:val="clear" w:color="000000" w:fill="F2F2F2"/>
            <w:hideMark/>
          </w:tcPr>
          <w:p w14:paraId="1F58F05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t>ITU-D Priority 1: Affordable connectivity</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Products and services: </w:t>
            </w:r>
            <w:r w:rsidRPr="002048AF">
              <w:rPr>
                <w:rFonts w:ascii="Calibri" w:eastAsia="Times New Roman" w:hAnsi="Calibri" w:cs="Calibri"/>
                <w:color w:val="000000"/>
                <w:lang w:val="en-GB" w:eastAsia="en-US"/>
              </w:rPr>
              <w:br/>
            </w:r>
            <w:r w:rsidRPr="002048AF">
              <w:rPr>
                <w:rFonts w:ascii="Calibri" w:eastAsia="Times New Roman" w:hAnsi="Calibri" w:cs="Calibri"/>
                <w:b/>
                <w:bCs/>
                <w:i/>
                <w:iCs/>
                <w:color w:val="000000"/>
                <w:lang w:val="en-GB" w:eastAsia="en-US"/>
              </w:rPr>
              <w:t xml:space="preserve">Emergency Telecommunication: </w:t>
            </w:r>
            <w:r w:rsidRPr="002048AF">
              <w:rPr>
                <w:rFonts w:ascii="Calibri" w:eastAsia="Times New Roman" w:hAnsi="Calibri" w:cs="Calibri"/>
                <w:color w:val="000000"/>
                <w:lang w:val="en-GB" w:eastAsia="en-US"/>
              </w:rPr>
              <w:br/>
              <w:t>(1) Enhanced capacity of Members States to use ICTs for disaster risk reduction and management and ensure availability of emergency telecommunications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(2) Strengthen capacity to use ICTs for building effective early warning systems by developing their Early Warnings for All roadmaps</w:t>
            </w:r>
            <w:r w:rsidRPr="002048AF">
              <w:rPr>
                <w:rFonts w:ascii="Calibri" w:eastAsia="Times New Roman" w:hAnsi="Calibri" w:cs="Calibri"/>
                <w:color w:val="000000"/>
                <w:lang w:val="en-GB" w:eastAsia="en-US"/>
              </w:rPr>
              <w:br/>
            </w:r>
            <w:r w:rsidRPr="002048AF">
              <w:rPr>
                <w:rFonts w:ascii="Calibri" w:eastAsia="Times New Roman" w:hAnsi="Calibri" w:cs="Calibri"/>
                <w:b/>
                <w:bCs/>
                <w:color w:val="000000"/>
                <w:lang w:val="en-GB" w:eastAsia="en-US"/>
              </w:rPr>
              <w:br/>
            </w:r>
            <w:r w:rsidRPr="002048AF">
              <w:rPr>
                <w:rFonts w:ascii="Calibri" w:eastAsia="Times New Roman" w:hAnsi="Calibri" w:cs="Calibri"/>
                <w:b/>
                <w:bCs/>
                <w:i/>
                <w:iCs/>
                <w:color w:val="000000"/>
                <w:lang w:val="en-GB" w:eastAsia="en-US"/>
              </w:rPr>
              <w:t xml:space="preserve">Network &amp; digital infrastructure: </w:t>
            </w:r>
            <w:r w:rsidRPr="002048AF">
              <w:rPr>
                <w:rFonts w:ascii="Calibri" w:eastAsia="Times New Roman" w:hAnsi="Calibri" w:cs="Calibri"/>
                <w:b/>
                <w:bCs/>
                <w:color w:val="000000"/>
                <w:lang w:val="en-GB" w:eastAsia="en-US"/>
              </w:rPr>
              <w:br/>
            </w:r>
            <w:r w:rsidRPr="002048AF">
              <w:rPr>
                <w:rFonts w:ascii="Calibri" w:eastAsia="Times New Roman" w:hAnsi="Calibri" w:cs="Calibri"/>
                <w:color w:val="000000"/>
                <w:lang w:val="en-GB" w:eastAsia="en-US"/>
              </w:rPr>
              <w:t xml:space="preserve">(3) Improved telecommunication/ICT infrastructure and service, in particular broadband coverage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(4) Strengthened partnerships for affordable connectivity</w:t>
            </w:r>
          </w:p>
        </w:tc>
        <w:tc>
          <w:tcPr>
            <w:tcW w:w="4180" w:type="dxa"/>
            <w:shd w:val="clear" w:color="000000" w:fill="F2F2F2"/>
            <w:hideMark/>
          </w:tcPr>
          <w:p w14:paraId="320857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partnerships established to support affordable connectivity initiatives </w:t>
            </w:r>
          </w:p>
        </w:tc>
      </w:tr>
      <w:tr w:rsidR="002048AF" w:rsidRPr="002048AF" w14:paraId="229578CE" w14:textId="77777777" w:rsidTr="000F5E63">
        <w:trPr>
          <w:trHeight w:val="3402"/>
        </w:trPr>
        <w:tc>
          <w:tcPr>
            <w:tcW w:w="4180" w:type="dxa"/>
            <w:shd w:val="clear" w:color="000000" w:fill="FFFFFF"/>
            <w:hideMark/>
          </w:tcPr>
          <w:p w14:paraId="6DA23D2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t xml:space="preserve">ITU-D Priority 2: Digital Transformation </w:t>
            </w:r>
            <w:r w:rsidRPr="002048AF">
              <w:rPr>
                <w:rFonts w:ascii="Calibri" w:eastAsia="Times New Roman" w:hAnsi="Calibri" w:cs="Calibri"/>
                <w:b/>
                <w:bCs/>
                <w:color w:val="000000"/>
                <w:lang w:val="en-GB" w:eastAsia="en-US"/>
              </w:rPr>
              <w:br/>
            </w:r>
            <w:r w:rsidRPr="002048AF">
              <w:rPr>
                <w:rFonts w:ascii="Calibri" w:eastAsia="Times New Roman" w:hAnsi="Calibri" w:cs="Calibri"/>
                <w:i/>
                <w:iCs/>
                <w:color w:val="000000"/>
                <w:lang w:val="en-GB" w:eastAsia="en-US"/>
              </w:rPr>
              <w:br/>
            </w:r>
            <w:r w:rsidRPr="002048AF">
              <w:rPr>
                <w:rFonts w:ascii="Calibri" w:eastAsia="Times New Roman" w:hAnsi="Calibri" w:cs="Calibri"/>
                <w:b/>
                <w:bCs/>
                <w:i/>
                <w:iCs/>
                <w:color w:val="000000"/>
                <w:lang w:val="en-GB" w:eastAsia="en-US"/>
              </w:rPr>
              <w:t>Digital innovation ecosystem:</w:t>
            </w:r>
            <w:r w:rsidRPr="002048AF">
              <w:rPr>
                <w:rFonts w:ascii="Calibri" w:eastAsia="Times New Roman" w:hAnsi="Calibri" w:cs="Calibri"/>
                <w:b/>
                <w:bCs/>
                <w:color w:val="000000"/>
                <w:lang w:val="en-GB" w:eastAsia="en-US"/>
              </w:rPr>
              <w:t xml:space="preserve"> </w:t>
            </w:r>
            <w:r w:rsidRPr="002048AF">
              <w:rPr>
                <w:rFonts w:ascii="Calibri" w:eastAsia="Times New Roman" w:hAnsi="Calibri" w:cs="Calibri"/>
                <w:b/>
                <w:bCs/>
                <w:color w:val="000000"/>
                <w:lang w:val="en-GB" w:eastAsia="en-US"/>
              </w:rPr>
              <w:br/>
            </w:r>
            <w:r w:rsidRPr="002048AF">
              <w:rPr>
                <w:rFonts w:ascii="Calibri" w:eastAsia="Times New Roman" w:hAnsi="Calibri" w:cs="Calibri"/>
                <w:color w:val="000000"/>
                <w:lang w:val="en-GB" w:eastAsia="en-US"/>
              </w:rPr>
              <w:t>(1) Strengthened capacity of the ITU membership to integrate telecommunication/ICT innovation and digitalization in their national development agendas and to develop strategies to promote innovation initiatives, including through public, private and public-private partnerships</w:t>
            </w:r>
            <w:r w:rsidRPr="002048AF">
              <w:rPr>
                <w:rFonts w:ascii="Calibri" w:eastAsia="Times New Roman" w:hAnsi="Calibri" w:cs="Calibri"/>
                <w:color w:val="000000"/>
                <w:lang w:val="en-GB" w:eastAsia="en-US"/>
              </w:rPr>
              <w:br/>
            </w:r>
          </w:p>
        </w:tc>
        <w:tc>
          <w:tcPr>
            <w:tcW w:w="4180" w:type="dxa"/>
            <w:vMerge w:val="restart"/>
            <w:shd w:val="clear" w:color="000000" w:fill="FFFFFF"/>
            <w:hideMark/>
          </w:tcPr>
          <w:p w14:paraId="041131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0B5B8C4F" w14:textId="77777777" w:rsidTr="000F5E63">
        <w:trPr>
          <w:trHeight w:val="2240"/>
        </w:trPr>
        <w:tc>
          <w:tcPr>
            <w:tcW w:w="4180" w:type="dxa"/>
            <w:shd w:val="clear" w:color="000000" w:fill="FFFFFF"/>
            <w:hideMark/>
          </w:tcPr>
          <w:p w14:paraId="5B483F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i/>
                <w:iCs/>
                <w:color w:val="000000"/>
                <w:lang w:val="en-GB" w:eastAsia="en-US"/>
              </w:rPr>
              <w:t xml:space="preserve">Digital services and applications: </w:t>
            </w:r>
            <w:r w:rsidRPr="002048AF">
              <w:rPr>
                <w:rFonts w:ascii="Calibri" w:eastAsia="Times New Roman" w:hAnsi="Calibri" w:cs="Calibri"/>
                <w:color w:val="000000"/>
                <w:lang w:val="en-GB" w:eastAsia="en-US"/>
              </w:rPr>
              <w:br/>
              <w:t xml:space="preserve">(2) Enhanced capacity of the ITU membership to accelerate digital transformation and sustainable economic and social development by leveraging and using new and emerging telecommunications/ICTs and services </w:t>
            </w:r>
          </w:p>
        </w:tc>
        <w:tc>
          <w:tcPr>
            <w:tcW w:w="4180" w:type="dxa"/>
            <w:vMerge/>
            <w:vAlign w:val="center"/>
            <w:hideMark/>
          </w:tcPr>
          <w:p w14:paraId="7DC50B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r>
      <w:tr w:rsidR="002048AF" w:rsidRPr="002048AF" w14:paraId="1B42E338" w14:textId="77777777" w:rsidTr="000F5E63">
        <w:trPr>
          <w:trHeight w:val="3800"/>
        </w:trPr>
        <w:tc>
          <w:tcPr>
            <w:tcW w:w="4180" w:type="dxa"/>
            <w:shd w:val="clear" w:color="000000" w:fill="F2F2F2"/>
            <w:hideMark/>
          </w:tcPr>
          <w:p w14:paraId="5222795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lastRenderedPageBreak/>
              <w:t xml:space="preserve">ITU-D Priority 3: Policy &amp; Regulation: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Strengthened capacity of Member States to enhance their telecommunication/ICT policy, legal and regulatory frameworks conducive to sustainable development and digital transformation</w:t>
            </w:r>
          </w:p>
        </w:tc>
        <w:tc>
          <w:tcPr>
            <w:tcW w:w="4180" w:type="dxa"/>
            <w:shd w:val="clear" w:color="000000" w:fill="F2F2F2"/>
            <w:hideMark/>
          </w:tcPr>
          <w:p w14:paraId="0F967C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701680C9" w14:textId="77777777" w:rsidTr="000F5E63">
        <w:trPr>
          <w:trHeight w:val="3820"/>
        </w:trPr>
        <w:tc>
          <w:tcPr>
            <w:tcW w:w="4180" w:type="dxa"/>
            <w:shd w:val="clear" w:color="000000" w:fill="FFFFFF"/>
            <w:vAlign w:val="bottom"/>
            <w:hideMark/>
          </w:tcPr>
          <w:p w14:paraId="7013966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color w:val="000000"/>
                <w:lang w:val="en-GB" w:eastAsia="en-US"/>
              </w:rPr>
              <w:t xml:space="preserve">ITU-D Priority 4: Inclusive and secure telecommunications/ICTs for sustainable development </w:t>
            </w:r>
            <w:r w:rsidRPr="002048AF">
              <w:rPr>
                <w:rFonts w:ascii="Calibri" w:eastAsia="Times New Roman" w:hAnsi="Calibri" w:cs="Calibri"/>
                <w:b/>
                <w:bCs/>
                <w:color w:val="000000"/>
                <w:lang w:val="en-GB" w:eastAsia="en-US"/>
              </w:rPr>
              <w:br/>
            </w:r>
            <w:r w:rsidRPr="002048AF">
              <w:rPr>
                <w:rFonts w:ascii="Calibri" w:eastAsia="Times New Roman" w:hAnsi="Calibri" w:cs="Calibri"/>
                <w:b/>
                <w:bCs/>
                <w:color w:val="000000"/>
                <w:lang w:val="en-GB" w:eastAsia="en-US"/>
              </w:rPr>
              <w:br/>
            </w:r>
            <w:r w:rsidRPr="002048AF">
              <w:rPr>
                <w:rFonts w:ascii="Calibri" w:eastAsia="Times New Roman" w:hAnsi="Calibri" w:cs="Calibri"/>
                <w:b/>
                <w:bCs/>
                <w:i/>
                <w:iCs/>
                <w:color w:val="000000"/>
                <w:lang w:val="en-GB" w:eastAsia="en-US"/>
              </w:rPr>
              <w:t xml:space="preserve">Cybersecurity: </w:t>
            </w:r>
            <w:r w:rsidRPr="002048AF">
              <w:rPr>
                <w:rFonts w:ascii="Calibri" w:eastAsia="Times New Roman" w:hAnsi="Calibri" w:cs="Calibri"/>
                <w:i/>
                <w:iCs/>
                <w:color w:val="000000"/>
                <w:lang w:val="en-GB" w:eastAsia="en-US"/>
              </w:rPr>
              <w:br/>
            </w:r>
            <w:r w:rsidRPr="002048AF">
              <w:rPr>
                <w:rFonts w:ascii="Calibri" w:eastAsia="Times New Roman" w:hAnsi="Calibri" w:cs="Calibri"/>
                <w:color w:val="000000"/>
                <w:lang w:val="en-GB" w:eastAsia="en-US"/>
              </w:rPr>
              <w:t>(1) Increased secured online services, including Child Online Protection, and mobilization of resources for marginalized groups and persons with specific needs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(2) Support for Member States to develop National Cybersecurity Strategies and CIRTs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r>
          </w:p>
        </w:tc>
        <w:tc>
          <w:tcPr>
            <w:tcW w:w="4180" w:type="dxa"/>
            <w:shd w:val="clear" w:color="000000" w:fill="FFFFFF"/>
            <w:hideMark/>
          </w:tcPr>
          <w:p w14:paraId="3A7D32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74BFDAE9" w14:textId="77777777" w:rsidTr="000F5E63">
        <w:trPr>
          <w:trHeight w:val="3520"/>
        </w:trPr>
        <w:tc>
          <w:tcPr>
            <w:tcW w:w="4180" w:type="dxa"/>
            <w:shd w:val="clear" w:color="000000" w:fill="F2F2F2"/>
            <w:hideMark/>
          </w:tcPr>
          <w:p w14:paraId="2A579A0E"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i/>
                <w:iCs/>
                <w:color w:val="000000"/>
                <w:lang w:val="en-GB" w:eastAsia="en-US"/>
              </w:rPr>
              <w:t xml:space="preserve">Diversity and Inclusion: </w:t>
            </w:r>
            <w:r w:rsidRPr="002048AF">
              <w:rPr>
                <w:rFonts w:ascii="Calibri" w:eastAsia="Times New Roman" w:hAnsi="Calibri" w:cs="Calibri"/>
                <w:b/>
                <w:bCs/>
                <w:color w:val="000000"/>
                <w:lang w:val="en-GB" w:eastAsia="en-US"/>
              </w:rPr>
              <w:br/>
            </w:r>
            <w:r w:rsidRPr="002048AF">
              <w:rPr>
                <w:rFonts w:ascii="Calibri" w:eastAsia="Times New Roman" w:hAnsi="Calibri" w:cs="Calibri"/>
                <w:color w:val="000000"/>
                <w:lang w:val="en-GB" w:eastAsia="en-US"/>
              </w:rPr>
              <w:br/>
              <w:t xml:space="preserve">Strengthened capacity of the ITU membership to develop strategies, policies and practices for digital inclusion and equity, </w:t>
            </w:r>
            <w:proofErr w:type="gramStart"/>
            <w:r w:rsidRPr="002048AF">
              <w:rPr>
                <w:rFonts w:ascii="Calibri" w:eastAsia="Times New Roman" w:hAnsi="Calibri" w:cs="Calibri"/>
                <w:color w:val="000000"/>
                <w:lang w:val="en-GB" w:eastAsia="en-US"/>
              </w:rPr>
              <w:t>in particular for</w:t>
            </w:r>
            <w:proofErr w:type="gramEnd"/>
            <w:r w:rsidRPr="002048AF">
              <w:rPr>
                <w:rFonts w:ascii="Calibri" w:eastAsia="Times New Roman" w:hAnsi="Calibri" w:cs="Calibri"/>
                <w:color w:val="000000"/>
                <w:lang w:val="en-GB" w:eastAsia="en-US"/>
              </w:rPr>
              <w:t xml:space="preserve"> the empowerment of women and girls, persons with disabilities and other persons with specific needs and low- income households</w:t>
            </w:r>
            <w:r w:rsidRPr="002048AF">
              <w:rPr>
                <w:rFonts w:ascii="Calibri" w:eastAsia="Times New Roman" w:hAnsi="Calibri" w:cs="Calibri"/>
                <w:color w:val="000000"/>
                <w:lang w:val="en-GB" w:eastAsia="en-US"/>
              </w:rPr>
              <w:br/>
            </w:r>
          </w:p>
        </w:tc>
        <w:tc>
          <w:tcPr>
            <w:tcW w:w="4180" w:type="dxa"/>
            <w:shd w:val="clear" w:color="000000" w:fill="F2F2F2"/>
            <w:hideMark/>
          </w:tcPr>
          <w:p w14:paraId="7DBDC8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016792B3" w14:textId="77777777" w:rsidTr="000F5E63">
        <w:trPr>
          <w:trHeight w:val="3520"/>
        </w:trPr>
        <w:tc>
          <w:tcPr>
            <w:tcW w:w="4180" w:type="dxa"/>
            <w:shd w:val="clear" w:color="000000" w:fill="FFFFFF"/>
            <w:hideMark/>
          </w:tcPr>
          <w:p w14:paraId="7F3E15A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240"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i/>
                <w:iCs/>
                <w:color w:val="000000"/>
                <w:lang w:val="en-GB" w:eastAsia="en-US"/>
              </w:rPr>
              <w:lastRenderedPageBreak/>
              <w:t>Commitment to Environmental Sustainability</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Enhanced capacity of the ITU membership to develop telecommunication/ICT strategies and solutions on climate-change adaptation and mitigation and the use of green/renewable energy </w:t>
            </w:r>
          </w:p>
        </w:tc>
        <w:tc>
          <w:tcPr>
            <w:tcW w:w="4180" w:type="dxa"/>
            <w:shd w:val="clear" w:color="000000" w:fill="FFFFFF"/>
            <w:hideMark/>
          </w:tcPr>
          <w:p w14:paraId="0BD18E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5F1E2211" w14:textId="77777777" w:rsidTr="000F5E63">
        <w:trPr>
          <w:trHeight w:val="3520"/>
        </w:trPr>
        <w:tc>
          <w:tcPr>
            <w:tcW w:w="4180" w:type="dxa"/>
            <w:shd w:val="clear" w:color="000000" w:fill="F2F2F2"/>
            <w:vAlign w:val="center"/>
            <w:hideMark/>
          </w:tcPr>
          <w:p w14:paraId="7D738A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b/>
                <w:bCs/>
                <w:i/>
                <w:iCs/>
                <w:color w:val="000000"/>
                <w:lang w:val="en-GB" w:eastAsia="en-US"/>
              </w:rPr>
              <w:t xml:space="preserve">Regional presence: </w:t>
            </w:r>
            <w:r w:rsidRPr="002048AF">
              <w:rPr>
                <w:rFonts w:ascii="Calibri" w:eastAsia="Times New Roman" w:hAnsi="Calibri" w:cs="Calibri"/>
                <w:color w:val="000000"/>
                <w:lang w:val="en-GB" w:eastAsia="en-US"/>
              </w:rPr>
              <w:br/>
              <w:t xml:space="preserve">Strengthened ITU dual responsibility as a United Nations specialized agency and executing agency for implementing projects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Strengthened and empowered Staff and their expertise at all levels, at the regional presence (Regional and Area Offices)</w:t>
            </w:r>
          </w:p>
        </w:tc>
        <w:tc>
          <w:tcPr>
            <w:tcW w:w="4180" w:type="dxa"/>
            <w:shd w:val="clear" w:color="000000" w:fill="F2F2F2"/>
            <w:hideMark/>
          </w:tcPr>
          <w:p w14:paraId="548721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Member States assisted in developing policy frameworks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bl>
    <w:p w14:paraId="220DC0D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lang w:val="en-GB" w:eastAsia="en-US"/>
        </w:rPr>
      </w:pPr>
    </w:p>
    <w:p w14:paraId="04ABC9B5" w14:textId="77777777" w:rsidR="002048AF" w:rsidRPr="002048AF" w:rsidRDefault="002048AF" w:rsidP="002048AF">
      <w:pPr>
        <w:tabs>
          <w:tab w:val="clear" w:pos="794"/>
        </w:tabs>
        <w:bidi w:val="0"/>
        <w:spacing w:before="0" w:line="240" w:lineRule="auto"/>
        <w:jc w:val="left"/>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4D65D0D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3C15C6B7"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088D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2138EF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203688A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7264A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2FE97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1BD04667" w14:textId="77777777" w:rsidTr="000F5E63">
        <w:trPr>
          <w:trHeight w:val="2560"/>
        </w:trPr>
        <w:tc>
          <w:tcPr>
            <w:tcW w:w="1660" w:type="dxa"/>
            <w:tcBorders>
              <w:top w:val="nil"/>
              <w:left w:val="single" w:sz="4" w:space="0" w:color="auto"/>
              <w:right w:val="single" w:sz="4" w:space="0" w:color="auto"/>
            </w:tcBorders>
            <w:shd w:val="clear" w:color="000000" w:fill="F2F2F2"/>
            <w:vAlign w:val="center"/>
            <w:hideMark/>
          </w:tcPr>
          <w:p w14:paraId="2A753F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right w:val="single" w:sz="4" w:space="0" w:color="auto"/>
            </w:tcBorders>
            <w:shd w:val="clear" w:color="000000" w:fill="F2F2F2"/>
            <w:vAlign w:val="center"/>
            <w:hideMark/>
          </w:tcPr>
          <w:p w14:paraId="6F1FAB8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right w:val="single" w:sz="4" w:space="0" w:color="auto"/>
            </w:tcBorders>
            <w:shd w:val="clear" w:color="000000" w:fill="F2F2F2"/>
            <w:vAlign w:val="center"/>
            <w:hideMark/>
          </w:tcPr>
          <w:p w14:paraId="2D04DE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right w:val="nil"/>
            </w:tcBorders>
            <w:shd w:val="clear" w:color="000000" w:fill="F2F2F2"/>
            <w:vAlign w:val="center"/>
            <w:hideMark/>
          </w:tcPr>
          <w:p w14:paraId="2ED5908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000000" w:fill="F2F2F2"/>
            <w:vAlign w:val="center"/>
            <w:hideMark/>
          </w:tcPr>
          <w:p w14:paraId="521572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613F7DA4" w14:textId="77777777" w:rsidTr="000F5E63">
        <w:trPr>
          <w:trHeight w:val="1600"/>
        </w:trPr>
        <w:tc>
          <w:tcPr>
            <w:tcW w:w="1660" w:type="dxa"/>
            <w:tcBorders>
              <w:top w:val="nil"/>
              <w:left w:val="single" w:sz="4" w:space="0" w:color="auto"/>
              <w:bottom w:val="single" w:sz="4" w:space="0" w:color="auto"/>
              <w:right w:val="nil"/>
            </w:tcBorders>
            <w:shd w:val="clear" w:color="auto" w:fill="auto"/>
            <w:hideMark/>
          </w:tcPr>
          <w:p w14:paraId="2029AC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bottom w:val="single" w:sz="4" w:space="0" w:color="auto"/>
              <w:right w:val="single" w:sz="4" w:space="0" w:color="auto"/>
            </w:tcBorders>
            <w:shd w:val="clear" w:color="auto" w:fill="auto"/>
            <w:hideMark/>
          </w:tcPr>
          <w:p w14:paraId="79C1A3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single" w:sz="4" w:space="0" w:color="auto"/>
              <w:right w:val="single" w:sz="4" w:space="0" w:color="auto"/>
            </w:tcBorders>
            <w:shd w:val="clear" w:color="auto" w:fill="auto"/>
            <w:noWrap/>
            <w:hideMark/>
          </w:tcPr>
          <w:p w14:paraId="14B05B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single" w:sz="4" w:space="0" w:color="auto"/>
              <w:right w:val="nil"/>
            </w:tcBorders>
            <w:shd w:val="clear" w:color="auto" w:fill="auto"/>
            <w:noWrap/>
            <w:hideMark/>
          </w:tcPr>
          <w:p w14:paraId="4CBD52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16088E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3B7DE825" w14:textId="77777777" w:rsidTr="000F5E63">
        <w:trPr>
          <w:trHeight w:val="1700"/>
        </w:trPr>
        <w:tc>
          <w:tcPr>
            <w:tcW w:w="1660" w:type="dxa"/>
            <w:tcBorders>
              <w:top w:val="single" w:sz="4" w:space="0" w:color="auto"/>
              <w:left w:val="single" w:sz="4" w:space="0" w:color="auto"/>
              <w:bottom w:val="nil"/>
              <w:right w:val="nil"/>
            </w:tcBorders>
            <w:shd w:val="clear" w:color="auto" w:fill="auto"/>
            <w:hideMark/>
          </w:tcPr>
          <w:p w14:paraId="5BC3D7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single" w:sz="4" w:space="0" w:color="auto"/>
              <w:left w:val="single" w:sz="4" w:space="0" w:color="auto"/>
              <w:bottom w:val="nil"/>
              <w:right w:val="single" w:sz="4" w:space="0" w:color="auto"/>
            </w:tcBorders>
            <w:shd w:val="clear" w:color="auto" w:fill="auto"/>
            <w:hideMark/>
          </w:tcPr>
          <w:p w14:paraId="032AF6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single" w:sz="4" w:space="0" w:color="auto"/>
              <w:left w:val="nil"/>
              <w:bottom w:val="nil"/>
              <w:right w:val="single" w:sz="4" w:space="0" w:color="auto"/>
            </w:tcBorders>
            <w:shd w:val="clear" w:color="auto" w:fill="auto"/>
            <w:noWrap/>
            <w:hideMark/>
          </w:tcPr>
          <w:p w14:paraId="224D46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single" w:sz="4" w:space="0" w:color="auto"/>
              <w:left w:val="nil"/>
              <w:bottom w:val="nil"/>
              <w:right w:val="nil"/>
            </w:tcBorders>
            <w:shd w:val="clear" w:color="auto" w:fill="auto"/>
            <w:noWrap/>
            <w:hideMark/>
          </w:tcPr>
          <w:p w14:paraId="099516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single" w:sz="4" w:space="0" w:color="auto"/>
              <w:left w:val="single" w:sz="4" w:space="0" w:color="auto"/>
              <w:bottom w:val="nil"/>
              <w:right w:val="single" w:sz="4" w:space="0" w:color="auto"/>
            </w:tcBorders>
            <w:shd w:val="clear" w:color="auto" w:fill="auto"/>
            <w:hideMark/>
          </w:tcPr>
          <w:p w14:paraId="37866F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70053C39" w14:textId="77777777" w:rsidTr="000F5E6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683FA7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6CFBBF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0EBD7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42B22D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4886A2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552B108A" w14:textId="77777777" w:rsidTr="000F5E6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13E437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353E0F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28F8263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52DDF20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2799DF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489FDB90" w14:textId="77777777" w:rsidTr="000F5E63">
        <w:trPr>
          <w:trHeight w:val="2900"/>
        </w:trPr>
        <w:tc>
          <w:tcPr>
            <w:tcW w:w="1660" w:type="dxa"/>
            <w:tcBorders>
              <w:top w:val="nil"/>
              <w:left w:val="single" w:sz="4" w:space="0" w:color="auto"/>
              <w:bottom w:val="nil"/>
              <w:right w:val="single" w:sz="4" w:space="0" w:color="auto"/>
            </w:tcBorders>
            <w:shd w:val="clear" w:color="000000" w:fill="F2F2F2"/>
            <w:hideMark/>
          </w:tcPr>
          <w:p w14:paraId="702654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0993E2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09627E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22AC83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4F2B3B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5101741A"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37B700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029ECC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12722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75620E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DDA76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74A23AD8" w14:textId="77777777" w:rsidTr="000F5E63">
        <w:trPr>
          <w:trHeight w:val="67"/>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FCFF4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27E73B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6CDB72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39D512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3E41929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0EB857F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5112B2E8" w14:textId="77777777" w:rsidR="002048AF" w:rsidRPr="002048AF" w:rsidRDefault="002048AF" w:rsidP="002048AF">
      <w:pPr>
        <w:tabs>
          <w:tab w:val="clear" w:pos="794"/>
        </w:tabs>
        <w:bidi w:val="0"/>
        <w:spacing w:before="0" w:line="240" w:lineRule="auto"/>
        <w:jc w:val="left"/>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br w:type="page"/>
      </w:r>
    </w:p>
    <w:p w14:paraId="55665FD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2026-2029 human resources allocation</w:t>
      </w:r>
    </w:p>
    <w:p w14:paraId="5378D5F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647EC99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DB42F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4912C7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06458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4B657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23634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44B6C5C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07D5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AA326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00983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8096E4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CD865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3690CEB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2CD3A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64391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39F4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F5AE0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7318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w:t>
            </w:r>
          </w:p>
        </w:tc>
      </w:tr>
      <w:tr w:rsidR="002048AF" w:rsidRPr="002048AF" w14:paraId="589779C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56EA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7FFC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20DBD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2743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1536D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0E30037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279D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DEECB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B2BF7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0BE28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2165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5,1</w:t>
            </w:r>
          </w:p>
        </w:tc>
      </w:tr>
      <w:tr w:rsidR="002048AF" w:rsidRPr="002048AF" w14:paraId="5988891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302B9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923E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650C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AB54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DE20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11,7</w:t>
            </w:r>
          </w:p>
        </w:tc>
      </w:tr>
      <w:tr w:rsidR="002048AF" w:rsidRPr="002048AF" w14:paraId="2D331DD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60161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E1677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EF8D7C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B7A90C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1232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27,3</w:t>
            </w:r>
          </w:p>
        </w:tc>
      </w:tr>
      <w:tr w:rsidR="002048AF" w:rsidRPr="002048AF" w14:paraId="5801E56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D0C8C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6DA0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9C3CC4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81EA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E1147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2,5</w:t>
            </w:r>
          </w:p>
        </w:tc>
      </w:tr>
      <w:tr w:rsidR="002048AF" w:rsidRPr="002048AF" w14:paraId="66BECC2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BC9AB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C92C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B676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E31F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4268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605B3D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0AA6E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56598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5A7A1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AEC4F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BB2E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7BAF6B7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3D201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A27B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66714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9288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F97C00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6,9</w:t>
            </w:r>
          </w:p>
        </w:tc>
      </w:tr>
      <w:tr w:rsidR="002048AF" w:rsidRPr="002048AF" w14:paraId="7630184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3B9BB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5046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A24A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612E1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D5879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20,5</w:t>
            </w:r>
          </w:p>
        </w:tc>
      </w:tr>
      <w:tr w:rsidR="002048AF" w:rsidRPr="002048AF" w14:paraId="2856AA7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2198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9DE35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CB249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EB461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0F3A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51E00EB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FD583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D160B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D053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12CD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C55C7D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275B1AC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BA1889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F025B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86B08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D3741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C6DE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1BDE6C3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D1F074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A6717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75,2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FFC26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70B4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75,1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9C168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78,3</w:t>
            </w:r>
          </w:p>
        </w:tc>
      </w:tr>
      <w:tr w:rsidR="002048AF" w:rsidRPr="002048AF" w14:paraId="21DA3F0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EEA81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58361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C425F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5B4B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60C7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4CB19676" w14:textId="77777777" w:rsidR="002048AF" w:rsidRPr="002048AF" w:rsidRDefault="002048AF" w:rsidP="002048AF">
      <w:pPr>
        <w:tabs>
          <w:tab w:val="clear" w:pos="794"/>
        </w:tabs>
        <w:bidi w:val="0"/>
        <w:spacing w:before="0" w:line="240" w:lineRule="auto"/>
        <w:jc w:val="left"/>
        <w:rPr>
          <w:rFonts w:ascii="Calibri" w:eastAsia="Times New Roman" w:hAnsi="Calibri" w:cs="Calibri"/>
          <w:b/>
          <w:bCs/>
          <w:color w:val="632423"/>
          <w:sz w:val="28"/>
          <w:szCs w:val="28"/>
          <w:lang w:val="en-GB" w:eastAsia="en-US"/>
        </w:rPr>
      </w:pPr>
    </w:p>
    <w:p w14:paraId="53E6044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t>2.10</w:t>
      </w:r>
      <w:r w:rsidRPr="002048AF">
        <w:rPr>
          <w:rFonts w:ascii="Calibri" w:eastAsia="Times New Roman" w:hAnsi="Calibri" w:cs="Calibri"/>
          <w:b/>
          <w:bCs/>
          <w:sz w:val="24"/>
          <w:szCs w:val="24"/>
          <w:lang w:val="en-GB" w:eastAsia="en-US"/>
        </w:rPr>
        <w:tab/>
        <w:t>Statistics</w:t>
      </w:r>
    </w:p>
    <w:p w14:paraId="3A40239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49A1357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w:t>
      </w:r>
      <w:proofErr w:type="gramStart"/>
      <w:r w:rsidRPr="002048AF">
        <w:rPr>
          <w:rFonts w:ascii="Calibri" w:eastAsia="Times New Roman" w:hAnsi="Calibri" w:cs="Arial"/>
          <w:sz w:val="24"/>
          <w:szCs w:val="20"/>
          <w:lang w:val="en-GB" w:eastAsia="en-US"/>
        </w:rPr>
        <w:t>comprehensive</w:t>
      </w:r>
      <w:proofErr w:type="gramEnd"/>
      <w:r w:rsidRPr="002048AF">
        <w:rPr>
          <w:rFonts w:ascii="Calibri" w:eastAsia="Times New Roman" w:hAnsi="Calibri" w:cs="Arial"/>
          <w:sz w:val="24"/>
          <w:szCs w:val="20"/>
          <w:lang w:val="en-GB" w:eastAsia="en-US"/>
        </w:rPr>
        <w:t xml:space="preserve"> and comparable statistics are indispensable to identify progress and gaps, to track information-society developments at the national and global levels and to support government and industry in making informed and strategic decisions to ensure equal access, use and impact of telecommunications/ICTs. They are also indispensable for monitoring progress towards achievement of global development goals, such as the SDGs, the WSIS Action Lines, and the ITU Strategic Goals and Thematic Priorities.</w:t>
      </w:r>
    </w:p>
    <w:p w14:paraId="488DBEA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w:t>
      </w:r>
      <w:r w:rsidRPr="002048AF">
        <w:rPr>
          <w:rFonts w:ascii="Calibri" w:eastAsia="Times New Roman" w:hAnsi="Calibri" w:cs="Arial"/>
          <w:sz w:val="24"/>
          <w:szCs w:val="20"/>
          <w:lang w:val="en-GB" w:eastAsia="en-US"/>
        </w:rPr>
        <w:lastRenderedPageBreak/>
        <w:t xml:space="preserve">ICTs, or gender equality in access and use of ICTs and access to ICTs by young and old people and by persons with disabilities. Countries are therefore encouraged to produce high quality data based on internationally agreed standards, </w:t>
      </w:r>
      <w:proofErr w:type="gramStart"/>
      <w:r w:rsidRPr="002048AF">
        <w:rPr>
          <w:rFonts w:ascii="Calibri" w:eastAsia="Times New Roman" w:hAnsi="Calibri" w:cs="Arial"/>
          <w:sz w:val="24"/>
          <w:szCs w:val="20"/>
          <w:lang w:val="en-GB" w:eastAsia="en-US"/>
        </w:rPr>
        <w:t>definitions</w:t>
      </w:r>
      <w:proofErr w:type="gramEnd"/>
      <w:r w:rsidRPr="002048AF">
        <w:rPr>
          <w:rFonts w:ascii="Calibri" w:eastAsia="Times New Roman" w:hAnsi="Calibri" w:cs="Arial"/>
          <w:sz w:val="24"/>
          <w:szCs w:val="20"/>
          <w:lang w:val="en-GB" w:eastAsia="en-US"/>
        </w:rPr>
        <w:t xml:space="preserve"> and methodologies. Countries are encouraged to focus on areas with data gaps and in areas which illustrate national digital divides, as well as focus on reporting the efforts made through various programmes to close the gap, showing, as much as possible, the social and economic impact.</w:t>
      </w:r>
    </w:p>
    <w:p w14:paraId="00D7AFA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p>
    <w:p w14:paraId="6D7AB9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182DBAF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2024 performance report and risk analysis</w:t>
      </w:r>
    </w:p>
    <w:p w14:paraId="2D6B035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Statement of achieved results</w:t>
      </w:r>
    </w:p>
    <w:tbl>
      <w:tblPr>
        <w:tblW w:w="9640" w:type="dxa"/>
        <w:tblLook w:val="04A0" w:firstRow="1" w:lastRow="0" w:firstColumn="1" w:lastColumn="0" w:noHBand="0" w:noVBand="1"/>
      </w:tblPr>
      <w:tblGrid>
        <w:gridCol w:w="2574"/>
        <w:gridCol w:w="2962"/>
        <w:gridCol w:w="2370"/>
        <w:gridCol w:w="1734"/>
      </w:tblGrid>
      <w:tr w:rsidR="002048AF" w:rsidRPr="002048AF" w14:paraId="1C124490" w14:textId="77777777" w:rsidTr="000F5E63">
        <w:trPr>
          <w:trHeight w:val="680"/>
        </w:trPr>
        <w:tc>
          <w:tcPr>
            <w:tcW w:w="2574"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D6B86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962" w:type="dxa"/>
            <w:tcBorders>
              <w:top w:val="single" w:sz="4" w:space="0" w:color="auto"/>
              <w:left w:val="nil"/>
              <w:bottom w:val="single" w:sz="4" w:space="0" w:color="auto"/>
              <w:right w:val="single" w:sz="4" w:space="0" w:color="auto"/>
            </w:tcBorders>
            <w:shd w:val="clear" w:color="000000" w:fill="70A288"/>
            <w:vAlign w:val="center"/>
            <w:hideMark/>
          </w:tcPr>
          <w:p w14:paraId="211AA0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370" w:type="dxa"/>
            <w:tcBorders>
              <w:top w:val="single" w:sz="4" w:space="0" w:color="auto"/>
              <w:left w:val="nil"/>
              <w:bottom w:val="single" w:sz="4" w:space="0" w:color="auto"/>
              <w:right w:val="single" w:sz="4" w:space="0" w:color="auto"/>
            </w:tcBorders>
            <w:shd w:val="clear" w:color="000000" w:fill="DAB785"/>
            <w:vAlign w:val="center"/>
            <w:hideMark/>
          </w:tcPr>
          <w:p w14:paraId="159B49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34" w:type="dxa"/>
            <w:tcBorders>
              <w:top w:val="single" w:sz="4" w:space="0" w:color="auto"/>
              <w:left w:val="nil"/>
              <w:bottom w:val="single" w:sz="4" w:space="0" w:color="auto"/>
              <w:right w:val="single" w:sz="4" w:space="0" w:color="auto"/>
            </w:tcBorders>
            <w:shd w:val="clear" w:color="000000" w:fill="D6896F"/>
            <w:vAlign w:val="center"/>
            <w:hideMark/>
          </w:tcPr>
          <w:p w14:paraId="015B066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60EEE99F" w14:textId="77777777" w:rsidTr="000F5E63">
        <w:trPr>
          <w:trHeight w:val="7680"/>
        </w:trPr>
        <w:tc>
          <w:tcPr>
            <w:tcW w:w="2574" w:type="dxa"/>
            <w:tcBorders>
              <w:top w:val="single" w:sz="4" w:space="0" w:color="auto"/>
              <w:left w:val="single" w:sz="4" w:space="0" w:color="auto"/>
              <w:bottom w:val="single" w:sz="4" w:space="0" w:color="auto"/>
              <w:right w:val="single" w:sz="4" w:space="0" w:color="auto"/>
            </w:tcBorders>
            <w:shd w:val="clear" w:color="000000" w:fill="F2F2F2"/>
            <w:hideMark/>
          </w:tcPr>
          <w:p w14:paraId="03DD0E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p>
        </w:tc>
        <w:tc>
          <w:tcPr>
            <w:tcW w:w="2962" w:type="dxa"/>
            <w:tcBorders>
              <w:top w:val="single" w:sz="4" w:space="0" w:color="auto"/>
              <w:left w:val="nil"/>
              <w:bottom w:val="single" w:sz="4" w:space="0" w:color="auto"/>
              <w:right w:val="single" w:sz="4" w:space="0" w:color="auto"/>
            </w:tcBorders>
            <w:shd w:val="clear" w:color="000000" w:fill="F2F2F2"/>
            <w:vAlign w:val="bottom"/>
          </w:tcPr>
          <w:p w14:paraId="527A519D" w14:textId="77777777" w:rsidR="002048AF" w:rsidRPr="002048AF" w:rsidRDefault="002048AF" w:rsidP="002048AF">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 xml:space="preserve">Number of data points available on the </w:t>
            </w:r>
            <w:proofErr w:type="spellStart"/>
            <w:r w:rsidRPr="002048AF">
              <w:rPr>
                <w:rFonts w:ascii="Calibri" w:eastAsia="Times New Roman" w:hAnsi="Calibri" w:cs="Calibri"/>
                <w:szCs w:val="20"/>
                <w:lang w:val="en-GB" w:eastAsia="en-US"/>
              </w:rPr>
              <w:t>DataHub</w:t>
            </w:r>
            <w:proofErr w:type="spellEnd"/>
            <w:r w:rsidRPr="002048AF">
              <w:rPr>
                <w:rFonts w:ascii="Calibri" w:eastAsia="Times New Roman" w:hAnsi="Calibri" w:cs="Calibri"/>
                <w:szCs w:val="20"/>
                <w:lang w:val="en-GB" w:eastAsia="en-US"/>
              </w:rPr>
              <w:t xml:space="preserve"> rose to 613,000, representing a 6% increase from 2023. </w:t>
            </w:r>
          </w:p>
          <w:p w14:paraId="3999C79E" w14:textId="77777777" w:rsidR="002048AF" w:rsidRPr="002048AF" w:rsidRDefault="002048AF" w:rsidP="002048AF">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szCs w:val="20"/>
                <w:lang w:val="en-GB" w:eastAsia="en-US"/>
              </w:rPr>
            </w:pPr>
          </w:p>
          <w:p w14:paraId="5B8BD6CF" w14:textId="77777777" w:rsidR="002048AF" w:rsidRPr="002048AF" w:rsidRDefault="002048AF" w:rsidP="002048AF">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 xml:space="preserve">In 2024, data was collected for a record 218 economies and eight price baskets. </w:t>
            </w:r>
            <w:hyperlink r:id="rId14" w:history="1">
              <w:r w:rsidRPr="002048AF">
                <w:rPr>
                  <w:rFonts w:ascii="Calibri" w:eastAsia="Times New Roman" w:hAnsi="Calibri" w:cs="Calibri"/>
                  <w:color w:val="0000FF"/>
                  <w:szCs w:val="20"/>
                  <w:u w:val="single"/>
                  <w:lang w:val="en-GB" w:eastAsia="en-US"/>
                </w:rPr>
                <w:t xml:space="preserve">Median prices </w:t>
              </w:r>
            </w:hyperlink>
            <w:r w:rsidRPr="002048AF">
              <w:rPr>
                <w:rFonts w:ascii="Calibri" w:eastAsia="Times New Roman" w:hAnsi="Calibri" w:cs="Calibri"/>
                <w:szCs w:val="20"/>
                <w:lang w:val="en-GB" w:eastAsia="en-US"/>
              </w:rPr>
              <w:t xml:space="preserve">of the entry-level mobile data basket and the fixed broadband basket for the world, ITU Regions, income groups, and UN special groups, were presented in </w:t>
            </w:r>
            <w:r w:rsidRPr="002048AF">
              <w:rPr>
                <w:rFonts w:ascii="Calibri" w:eastAsia="Times New Roman" w:hAnsi="Calibri" w:cs="Calibri"/>
                <w:i/>
                <w:iCs/>
                <w:szCs w:val="20"/>
                <w:lang w:val="en-GB" w:eastAsia="en-US"/>
              </w:rPr>
              <w:t>Facts and Figures 2024</w:t>
            </w:r>
            <w:r w:rsidRPr="002048AF">
              <w:rPr>
                <w:rFonts w:ascii="Calibri" w:eastAsia="Times New Roman" w:hAnsi="Calibri" w:cs="Calibri"/>
                <w:szCs w:val="20"/>
                <w:lang w:val="en-GB" w:eastAsia="en-US"/>
              </w:rPr>
              <w:t xml:space="preserve">. </w:t>
            </w:r>
          </w:p>
          <w:p w14:paraId="1EBC97F2" w14:textId="77777777" w:rsidR="002048AF" w:rsidRPr="002048AF" w:rsidRDefault="002048AF" w:rsidP="002048AF">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 xml:space="preserve">The full country-level dataset of </w:t>
            </w:r>
            <w:hyperlink r:id="rId15" w:history="1">
              <w:r w:rsidRPr="002048AF">
                <w:rPr>
                  <w:rFonts w:ascii="Calibri" w:eastAsia="Times New Roman" w:hAnsi="Calibri" w:cs="Calibri"/>
                  <w:color w:val="0000FF"/>
                  <w:szCs w:val="20"/>
                  <w:u w:val="single"/>
                  <w:lang w:val="en-GB" w:eastAsia="en-US"/>
                </w:rPr>
                <w:t>ICT prices 2024</w:t>
              </w:r>
            </w:hyperlink>
            <w:r w:rsidRPr="002048AF">
              <w:rPr>
                <w:rFonts w:ascii="Calibri" w:eastAsia="Times New Roman" w:hAnsi="Calibri" w:cs="Calibri"/>
                <w:szCs w:val="20"/>
                <w:lang w:val="en-GB" w:eastAsia="en-US"/>
              </w:rPr>
              <w:t xml:space="preserve"> was released in early 2025. </w:t>
            </w:r>
          </w:p>
          <w:p w14:paraId="441DE319" w14:textId="77777777" w:rsidR="002048AF" w:rsidRPr="002048AF" w:rsidRDefault="002048AF" w:rsidP="002048AF">
            <w:pPr>
              <w:tabs>
                <w:tab w:val="left" w:pos="1191"/>
                <w:tab w:val="left" w:pos="1588"/>
                <w:tab w:val="left" w:pos="1985"/>
              </w:tabs>
              <w:overflowPunct w:val="0"/>
              <w:autoSpaceDE w:val="0"/>
              <w:autoSpaceDN w:val="0"/>
              <w:bidi w:val="0"/>
              <w:adjustRightInd w:val="0"/>
              <w:spacing w:before="0" w:line="240" w:lineRule="auto"/>
              <w:jc w:val="left"/>
              <w:textAlignment w:val="baseline"/>
              <w:rPr>
                <w:rFonts w:ascii="Calibri" w:eastAsia="Times New Roman" w:hAnsi="Calibri" w:cs="Calibri"/>
                <w:szCs w:val="20"/>
                <w:lang w:val="en-GB" w:eastAsia="en-US"/>
              </w:rPr>
            </w:pPr>
            <w:r w:rsidRPr="002048AF">
              <w:rPr>
                <w:rFonts w:ascii="Calibri" w:eastAsia="Times New Roman" w:hAnsi="Calibri" w:cs="Calibri"/>
                <w:szCs w:val="20"/>
                <w:lang w:val="en-GB" w:eastAsia="en-US"/>
              </w:rPr>
              <w:t xml:space="preserve">The ICT price 2025 data collection took place in February. </w:t>
            </w:r>
          </w:p>
          <w:p w14:paraId="499E1B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 new ICT Price Basket Manual 2025 was released in February 2025, complemented by a visual guide to ICT price collection, reflecting the new methodology adopted by EGTI.</w:t>
            </w:r>
          </w:p>
        </w:tc>
        <w:tc>
          <w:tcPr>
            <w:tcW w:w="2370" w:type="dxa"/>
            <w:tcBorders>
              <w:top w:val="single" w:sz="4" w:space="0" w:color="auto"/>
              <w:left w:val="nil"/>
              <w:bottom w:val="single" w:sz="4" w:space="0" w:color="auto"/>
              <w:right w:val="single" w:sz="4" w:space="0" w:color="auto"/>
            </w:tcBorders>
            <w:shd w:val="clear" w:color="000000" w:fill="F2F2F2"/>
            <w:hideMark/>
          </w:tcPr>
          <w:p w14:paraId="5184CF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Member States assisted in improving their capacity to collect ICT data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c>
          <w:tcPr>
            <w:tcW w:w="1734" w:type="dxa"/>
            <w:tcBorders>
              <w:top w:val="single" w:sz="4" w:space="0" w:color="auto"/>
              <w:left w:val="nil"/>
              <w:bottom w:val="single" w:sz="4" w:space="0" w:color="auto"/>
              <w:right w:val="single" w:sz="4" w:space="0" w:color="auto"/>
            </w:tcBorders>
            <w:shd w:val="clear" w:color="000000" w:fill="F2F2F2"/>
            <w:hideMark/>
          </w:tcPr>
          <w:p w14:paraId="6F0654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bl>
    <w:p w14:paraId="488573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42BAF63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983C13F"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05D3CDCB" w14:textId="77777777" w:rsidTr="000F5E63">
        <w:trPr>
          <w:trHeight w:val="680"/>
        </w:trPr>
        <w:tc>
          <w:tcPr>
            <w:tcW w:w="2020" w:type="dxa"/>
            <w:shd w:val="clear" w:color="000000" w:fill="02385E"/>
            <w:vAlign w:val="center"/>
            <w:hideMark/>
          </w:tcPr>
          <w:p w14:paraId="6E9942A2"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089E3C43"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397A901C"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2DF75DBC"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6429B817" w14:textId="77777777" w:rsidTr="000F5E63">
        <w:trPr>
          <w:trHeight w:val="1700"/>
        </w:trPr>
        <w:tc>
          <w:tcPr>
            <w:tcW w:w="2020" w:type="dxa"/>
            <w:shd w:val="clear" w:color="auto" w:fill="auto"/>
            <w:hideMark/>
          </w:tcPr>
          <w:p w14:paraId="298A85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shd w:val="clear" w:color="auto" w:fill="auto"/>
            <w:hideMark/>
          </w:tcPr>
          <w:p w14:paraId="423894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c>
          <w:tcPr>
            <w:tcW w:w="2020" w:type="dxa"/>
            <w:shd w:val="clear" w:color="auto" w:fill="auto"/>
            <w:noWrap/>
            <w:hideMark/>
          </w:tcPr>
          <w:p w14:paraId="0F9EFB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N/A</w:t>
            </w:r>
          </w:p>
        </w:tc>
        <w:tc>
          <w:tcPr>
            <w:tcW w:w="2500" w:type="dxa"/>
            <w:shd w:val="clear" w:color="auto" w:fill="auto"/>
          </w:tcPr>
          <w:p w14:paraId="61285AA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r>
    </w:tbl>
    <w:p w14:paraId="2F882F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6A1CF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8A869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4FD3E03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0E4D371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1BD3F384"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346F4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426493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34CFD64E" w14:textId="77777777" w:rsidTr="000F5E63">
        <w:trPr>
          <w:trHeight w:val="4080"/>
        </w:trPr>
        <w:tc>
          <w:tcPr>
            <w:tcW w:w="4180" w:type="dxa"/>
            <w:tcBorders>
              <w:top w:val="nil"/>
              <w:left w:val="single" w:sz="4" w:space="0" w:color="auto"/>
              <w:bottom w:val="nil"/>
              <w:right w:val="single" w:sz="4" w:space="0" w:color="auto"/>
            </w:tcBorders>
            <w:shd w:val="clear" w:color="000000" w:fill="F2F2F2"/>
            <w:hideMark/>
          </w:tcPr>
          <w:p w14:paraId="2D31C0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capacity of Member States to produce and collect high quality, internationally comparable statistics which reflect developments and trends in telecommunications/ICT, empowered by new and emerging technologies and services, based on agreed standards and methodologies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Products and services on telecommunication/ICT statistics and data analysis</w:t>
            </w:r>
          </w:p>
        </w:tc>
        <w:tc>
          <w:tcPr>
            <w:tcW w:w="4180" w:type="dxa"/>
            <w:tcBorders>
              <w:top w:val="nil"/>
              <w:left w:val="nil"/>
              <w:bottom w:val="nil"/>
              <w:right w:val="single" w:sz="4" w:space="0" w:color="auto"/>
            </w:tcBorders>
            <w:shd w:val="clear" w:color="000000" w:fill="F2F2F2"/>
            <w:hideMark/>
          </w:tcPr>
          <w:p w14:paraId="68AC4B4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tools /frameworks/ resources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individuals participating in capacity development activities led by BDT</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Member States assisted in setting standards and methods for data collection</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68CA6B75" w14:textId="77777777" w:rsidTr="000F5E6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45D321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2656BE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388960A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094E289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2BF50B8F"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677B9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0A0B37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B4CB7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793352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40EBAA6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70D01295" w14:textId="77777777" w:rsidTr="000F5E6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72C934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2BE1C5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0F5944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6EB04A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7C374E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449C0BA7" w14:textId="77777777" w:rsidTr="000F5E63">
        <w:trPr>
          <w:trHeight w:val="1600"/>
        </w:trPr>
        <w:tc>
          <w:tcPr>
            <w:tcW w:w="1660" w:type="dxa"/>
            <w:tcBorders>
              <w:top w:val="nil"/>
              <w:left w:val="single" w:sz="4" w:space="0" w:color="auto"/>
              <w:right w:val="nil"/>
            </w:tcBorders>
            <w:shd w:val="clear" w:color="auto" w:fill="auto"/>
            <w:hideMark/>
          </w:tcPr>
          <w:p w14:paraId="7965E2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right w:val="single" w:sz="4" w:space="0" w:color="auto"/>
            </w:tcBorders>
            <w:shd w:val="clear" w:color="auto" w:fill="auto"/>
            <w:hideMark/>
          </w:tcPr>
          <w:p w14:paraId="54BBAC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right w:val="single" w:sz="4" w:space="0" w:color="auto"/>
            </w:tcBorders>
            <w:shd w:val="clear" w:color="auto" w:fill="auto"/>
            <w:noWrap/>
            <w:hideMark/>
          </w:tcPr>
          <w:p w14:paraId="3EE38F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right w:val="nil"/>
            </w:tcBorders>
            <w:shd w:val="clear" w:color="auto" w:fill="auto"/>
            <w:noWrap/>
            <w:hideMark/>
          </w:tcPr>
          <w:p w14:paraId="3B1811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right w:val="single" w:sz="4" w:space="0" w:color="auto"/>
            </w:tcBorders>
            <w:shd w:val="clear" w:color="auto" w:fill="auto"/>
            <w:hideMark/>
          </w:tcPr>
          <w:p w14:paraId="255839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40E6293B" w14:textId="77777777" w:rsidTr="000F5E63">
        <w:trPr>
          <w:trHeight w:val="1920"/>
        </w:trPr>
        <w:tc>
          <w:tcPr>
            <w:tcW w:w="1660" w:type="dxa"/>
            <w:tcBorders>
              <w:top w:val="nil"/>
              <w:left w:val="single" w:sz="4" w:space="0" w:color="auto"/>
              <w:bottom w:val="single" w:sz="4" w:space="0" w:color="auto"/>
              <w:right w:val="nil"/>
            </w:tcBorders>
            <w:shd w:val="clear" w:color="auto" w:fill="auto"/>
            <w:hideMark/>
          </w:tcPr>
          <w:p w14:paraId="3177F2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auto" w:fill="auto"/>
            <w:hideMark/>
          </w:tcPr>
          <w:p w14:paraId="618F2F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single" w:sz="4" w:space="0" w:color="auto"/>
              <w:right w:val="single" w:sz="4" w:space="0" w:color="auto"/>
            </w:tcBorders>
            <w:shd w:val="clear" w:color="auto" w:fill="auto"/>
            <w:noWrap/>
            <w:hideMark/>
          </w:tcPr>
          <w:p w14:paraId="4D2A98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single" w:sz="4" w:space="0" w:color="auto"/>
              <w:right w:val="nil"/>
            </w:tcBorders>
            <w:shd w:val="clear" w:color="auto" w:fill="auto"/>
            <w:noWrap/>
            <w:hideMark/>
          </w:tcPr>
          <w:p w14:paraId="7635DB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single" w:sz="4" w:space="0" w:color="auto"/>
              <w:right w:val="single" w:sz="4" w:space="0" w:color="auto"/>
            </w:tcBorders>
            <w:shd w:val="clear" w:color="auto" w:fill="auto"/>
            <w:hideMark/>
          </w:tcPr>
          <w:p w14:paraId="0B2FB9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338A2E21" w14:textId="77777777" w:rsidTr="000F5E63">
        <w:trPr>
          <w:trHeight w:val="640"/>
        </w:trPr>
        <w:tc>
          <w:tcPr>
            <w:tcW w:w="1660" w:type="dxa"/>
            <w:tcBorders>
              <w:top w:val="single" w:sz="4" w:space="0" w:color="auto"/>
              <w:left w:val="single" w:sz="4" w:space="0" w:color="auto"/>
              <w:right w:val="single" w:sz="4" w:space="0" w:color="auto"/>
            </w:tcBorders>
            <w:shd w:val="clear" w:color="000000" w:fill="F2F2F2"/>
            <w:vAlign w:val="center"/>
            <w:hideMark/>
          </w:tcPr>
          <w:p w14:paraId="58C882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single" w:sz="4" w:space="0" w:color="auto"/>
              <w:left w:val="nil"/>
              <w:right w:val="single" w:sz="4" w:space="0" w:color="auto"/>
            </w:tcBorders>
            <w:shd w:val="clear" w:color="000000" w:fill="F2F2F2"/>
            <w:vAlign w:val="center"/>
            <w:hideMark/>
          </w:tcPr>
          <w:p w14:paraId="1F348F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single" w:sz="4" w:space="0" w:color="auto"/>
              <w:left w:val="nil"/>
              <w:right w:val="single" w:sz="4" w:space="0" w:color="auto"/>
            </w:tcBorders>
            <w:shd w:val="clear" w:color="000000" w:fill="F2F2F2"/>
            <w:vAlign w:val="center"/>
            <w:hideMark/>
          </w:tcPr>
          <w:p w14:paraId="3E80F3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single" w:sz="4" w:space="0" w:color="auto"/>
              <w:left w:val="nil"/>
              <w:right w:val="nil"/>
            </w:tcBorders>
            <w:shd w:val="clear" w:color="000000" w:fill="F2F2F2"/>
            <w:vAlign w:val="center"/>
            <w:hideMark/>
          </w:tcPr>
          <w:p w14:paraId="740094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single" w:sz="4" w:space="0" w:color="auto"/>
              <w:left w:val="single" w:sz="4" w:space="0" w:color="auto"/>
              <w:right w:val="single" w:sz="4" w:space="0" w:color="auto"/>
            </w:tcBorders>
            <w:shd w:val="clear" w:color="000000" w:fill="F2F2F2"/>
            <w:vAlign w:val="center"/>
            <w:hideMark/>
          </w:tcPr>
          <w:p w14:paraId="554AD9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703F2B6E" w14:textId="77777777" w:rsidTr="000F5E63">
        <w:trPr>
          <w:trHeight w:val="960"/>
        </w:trPr>
        <w:tc>
          <w:tcPr>
            <w:tcW w:w="1660" w:type="dxa"/>
            <w:tcBorders>
              <w:left w:val="single" w:sz="4" w:space="0" w:color="auto"/>
              <w:right w:val="single" w:sz="4" w:space="0" w:color="auto"/>
            </w:tcBorders>
            <w:shd w:val="clear" w:color="auto" w:fill="auto"/>
            <w:vAlign w:val="center"/>
            <w:hideMark/>
          </w:tcPr>
          <w:p w14:paraId="57186B4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xml:space="preserve">Internal processes </w:t>
            </w:r>
          </w:p>
        </w:tc>
        <w:tc>
          <w:tcPr>
            <w:tcW w:w="2020" w:type="dxa"/>
            <w:tcBorders>
              <w:left w:val="nil"/>
              <w:right w:val="single" w:sz="4" w:space="0" w:color="auto"/>
            </w:tcBorders>
            <w:shd w:val="clear" w:color="auto" w:fill="auto"/>
            <w:vAlign w:val="center"/>
            <w:hideMark/>
          </w:tcPr>
          <w:p w14:paraId="5ED83A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left w:val="nil"/>
              <w:right w:val="single" w:sz="4" w:space="0" w:color="auto"/>
            </w:tcBorders>
            <w:shd w:val="clear" w:color="auto" w:fill="auto"/>
            <w:vAlign w:val="center"/>
            <w:hideMark/>
          </w:tcPr>
          <w:p w14:paraId="284D7F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left w:val="nil"/>
              <w:right w:val="nil"/>
            </w:tcBorders>
            <w:shd w:val="clear" w:color="auto" w:fill="auto"/>
            <w:vAlign w:val="center"/>
            <w:hideMark/>
          </w:tcPr>
          <w:p w14:paraId="401717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left w:val="single" w:sz="4" w:space="0" w:color="auto"/>
              <w:right w:val="single" w:sz="4" w:space="0" w:color="auto"/>
            </w:tcBorders>
            <w:shd w:val="clear" w:color="auto" w:fill="auto"/>
            <w:vAlign w:val="center"/>
            <w:hideMark/>
          </w:tcPr>
          <w:p w14:paraId="50F55E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6C6F367E" w14:textId="77777777" w:rsidTr="000F5E63">
        <w:trPr>
          <w:trHeight w:val="2900"/>
        </w:trPr>
        <w:tc>
          <w:tcPr>
            <w:tcW w:w="1660" w:type="dxa"/>
            <w:tcBorders>
              <w:left w:val="single" w:sz="4" w:space="0" w:color="auto"/>
              <w:bottom w:val="nil"/>
              <w:right w:val="single" w:sz="4" w:space="0" w:color="auto"/>
            </w:tcBorders>
            <w:shd w:val="clear" w:color="000000" w:fill="F2F2F2"/>
            <w:hideMark/>
          </w:tcPr>
          <w:p w14:paraId="427207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tcBorders>
              <w:left w:val="nil"/>
              <w:bottom w:val="nil"/>
              <w:right w:val="single" w:sz="4" w:space="0" w:color="auto"/>
            </w:tcBorders>
            <w:shd w:val="clear" w:color="000000" w:fill="F2F2F2"/>
            <w:hideMark/>
          </w:tcPr>
          <w:p w14:paraId="2B94ED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left w:val="nil"/>
              <w:bottom w:val="nil"/>
              <w:right w:val="single" w:sz="4" w:space="0" w:color="auto"/>
            </w:tcBorders>
            <w:shd w:val="clear" w:color="000000" w:fill="F2F2F2"/>
            <w:hideMark/>
          </w:tcPr>
          <w:p w14:paraId="0B79199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left w:val="nil"/>
              <w:bottom w:val="nil"/>
              <w:right w:val="nil"/>
            </w:tcBorders>
            <w:shd w:val="clear" w:color="000000" w:fill="F2F2F2"/>
            <w:hideMark/>
          </w:tcPr>
          <w:p w14:paraId="3FD82E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left w:val="single" w:sz="4" w:space="0" w:color="auto"/>
              <w:bottom w:val="nil"/>
              <w:right w:val="single" w:sz="4" w:space="0" w:color="auto"/>
            </w:tcBorders>
            <w:shd w:val="clear" w:color="000000" w:fill="F2F2F2"/>
            <w:hideMark/>
          </w:tcPr>
          <w:p w14:paraId="636D1F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1D3AABBC"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18A66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593B73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7EE8F4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4A0256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56B949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24325791"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6EDAFC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620B07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C3EB4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6C8E3E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28035D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3A56243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15B7A02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4087DA0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786E7AF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C3FA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702C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716B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B2F94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6CCF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5C686A9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1704C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C2D94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9866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09CF1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DE40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7851BC4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CCECB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46A45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BE63E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F9DB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E5FB2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w:t>
            </w:r>
          </w:p>
        </w:tc>
      </w:tr>
      <w:tr w:rsidR="002048AF" w:rsidRPr="002048AF" w14:paraId="51A626E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2B140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500308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5313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52D2D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24F3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064E028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E2EE5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1D9B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2EBC9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9162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68E90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6,7</w:t>
            </w:r>
          </w:p>
        </w:tc>
      </w:tr>
      <w:tr w:rsidR="002048AF" w:rsidRPr="002048AF" w14:paraId="5A92471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9C35F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74645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DD8A8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BCE9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5CDC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16,1</w:t>
            </w:r>
          </w:p>
        </w:tc>
      </w:tr>
      <w:tr w:rsidR="002048AF" w:rsidRPr="002048AF" w14:paraId="301FDB6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8BEA6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04B3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0698C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C2FC3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F62E6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12,8</w:t>
            </w:r>
          </w:p>
        </w:tc>
      </w:tr>
      <w:tr w:rsidR="002048AF" w:rsidRPr="002048AF" w14:paraId="10D31A3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13113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C4077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55FD8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8FA85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DD008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r>
      <w:tr w:rsidR="002048AF" w:rsidRPr="002048AF" w14:paraId="79FBB56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A0C0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0DEA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FD99A3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FE1C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49A2EA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3BA3ED5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6BCF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B0023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F605A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E8718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BC08A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478D230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AD50F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AB412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4055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40B8C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A1D77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3,0</w:t>
            </w:r>
          </w:p>
        </w:tc>
      </w:tr>
      <w:tr w:rsidR="002048AF" w:rsidRPr="002048AF" w14:paraId="1B3974F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C8646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63FC6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7BE647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21B7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83A4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12,5</w:t>
            </w:r>
          </w:p>
        </w:tc>
      </w:tr>
      <w:tr w:rsidR="002048AF" w:rsidRPr="002048AF" w14:paraId="6C24E33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4822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6F10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C83F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83738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98C08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0,1</w:t>
            </w:r>
          </w:p>
        </w:tc>
      </w:tr>
      <w:tr w:rsidR="002048AF" w:rsidRPr="002048AF" w14:paraId="70EE900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2E04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6DD4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E9101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055D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4F187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11FA156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B190F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B86A7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DFAC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DD12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E118A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575D9FD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13FB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9B3A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51819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52,1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8A57C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53,3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FB615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60,8</w:t>
            </w:r>
          </w:p>
        </w:tc>
      </w:tr>
      <w:tr w:rsidR="002048AF" w:rsidRPr="002048AF" w14:paraId="4E764FE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DCAEB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C318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38A8C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52B36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5E2F2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2BE472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760DCA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lastRenderedPageBreak/>
        <w:br w:type="page"/>
      </w:r>
    </w:p>
    <w:p w14:paraId="0A10065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lastRenderedPageBreak/>
        <w:t>2.11</w:t>
      </w:r>
      <w:r w:rsidRPr="002048AF">
        <w:rPr>
          <w:rFonts w:ascii="Calibri" w:eastAsia="Times New Roman" w:hAnsi="Calibri" w:cs="Calibri"/>
          <w:b/>
          <w:bCs/>
          <w:sz w:val="24"/>
          <w:szCs w:val="24"/>
          <w:lang w:val="en-GB" w:eastAsia="en-US"/>
        </w:rPr>
        <w:tab/>
        <w:t>Publications (Flagship)</w:t>
      </w:r>
    </w:p>
    <w:p w14:paraId="23D013D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00960FF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The preparation and issuing of key ITU-D publications including reports and other resources relating to the statistics and indicators. There is particular emphasis on those relating to regulatory information and guidelines to support ITU Membership in their implementation of ICT development initiatives / development of national policies and strategies. </w:t>
      </w:r>
    </w:p>
    <w:p w14:paraId="17EEA5E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395EA95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7F92621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589"/>
        <w:gridCol w:w="2592"/>
        <w:gridCol w:w="2600"/>
        <w:gridCol w:w="1859"/>
      </w:tblGrid>
      <w:tr w:rsidR="002048AF" w:rsidRPr="002048AF" w14:paraId="5B2C42C8" w14:textId="77777777" w:rsidTr="000F5E63">
        <w:trPr>
          <w:trHeight w:val="1200"/>
        </w:trPr>
        <w:tc>
          <w:tcPr>
            <w:tcW w:w="2589"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2DC96C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Expected results</w:t>
            </w:r>
          </w:p>
        </w:tc>
        <w:tc>
          <w:tcPr>
            <w:tcW w:w="2592" w:type="dxa"/>
            <w:tcBorders>
              <w:top w:val="single" w:sz="4" w:space="0" w:color="auto"/>
              <w:left w:val="nil"/>
              <w:bottom w:val="single" w:sz="4" w:space="0" w:color="auto"/>
              <w:right w:val="single" w:sz="4" w:space="0" w:color="auto"/>
            </w:tcBorders>
            <w:shd w:val="clear" w:color="000000" w:fill="70A288"/>
            <w:vAlign w:val="center"/>
            <w:hideMark/>
          </w:tcPr>
          <w:p w14:paraId="235D4F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Achieved results</w:t>
            </w:r>
          </w:p>
        </w:tc>
        <w:tc>
          <w:tcPr>
            <w:tcW w:w="2600" w:type="dxa"/>
            <w:tcBorders>
              <w:top w:val="single" w:sz="4" w:space="0" w:color="auto"/>
              <w:left w:val="nil"/>
              <w:bottom w:val="single" w:sz="4" w:space="0" w:color="auto"/>
              <w:right w:val="single" w:sz="4" w:space="0" w:color="auto"/>
            </w:tcBorders>
            <w:shd w:val="clear" w:color="000000" w:fill="DAB785"/>
            <w:vAlign w:val="center"/>
            <w:hideMark/>
          </w:tcPr>
          <w:p w14:paraId="4DC4731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0480C5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Measurement performance data</w:t>
            </w:r>
          </w:p>
        </w:tc>
      </w:tr>
      <w:tr w:rsidR="002048AF" w:rsidRPr="002048AF" w14:paraId="37FB780C" w14:textId="77777777" w:rsidTr="000F5E63">
        <w:trPr>
          <w:trHeight w:val="2880"/>
        </w:trPr>
        <w:tc>
          <w:tcPr>
            <w:tcW w:w="2589" w:type="dxa"/>
            <w:tcBorders>
              <w:top w:val="nil"/>
              <w:left w:val="single" w:sz="4" w:space="0" w:color="auto"/>
              <w:bottom w:val="nil"/>
              <w:right w:val="single" w:sz="4" w:space="0" w:color="auto"/>
            </w:tcBorders>
            <w:shd w:val="clear" w:color="000000" w:fill="F2F2F2"/>
            <w:hideMark/>
          </w:tcPr>
          <w:p w14:paraId="4C0AD0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Increased access to ITU tools and knowledge products and services </w:t>
            </w:r>
          </w:p>
        </w:tc>
        <w:tc>
          <w:tcPr>
            <w:tcW w:w="2592" w:type="dxa"/>
            <w:tcBorders>
              <w:top w:val="nil"/>
              <w:left w:val="nil"/>
              <w:bottom w:val="nil"/>
              <w:right w:val="single" w:sz="4" w:space="0" w:color="auto"/>
            </w:tcBorders>
            <w:shd w:val="clear" w:color="000000" w:fill="F2F2F2"/>
            <w:vAlign w:val="center"/>
            <w:hideMark/>
          </w:tcPr>
          <w:p w14:paraId="55F4EE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Many resources covering the various topics and programmes handled by BDT were published to support Member States in their efforts to implement of ITU-D priorities and enablers. See details under each topic above. </w:t>
            </w:r>
          </w:p>
        </w:tc>
        <w:tc>
          <w:tcPr>
            <w:tcW w:w="2600" w:type="dxa"/>
            <w:tcBorders>
              <w:top w:val="nil"/>
              <w:left w:val="nil"/>
              <w:bottom w:val="nil"/>
              <w:right w:val="single" w:sz="4" w:space="0" w:color="auto"/>
            </w:tcBorders>
            <w:shd w:val="clear" w:color="000000" w:fill="F2F2F2"/>
            <w:vAlign w:val="center"/>
            <w:hideMark/>
          </w:tcPr>
          <w:p w14:paraId="307109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Number of handbooks, technical reports and papers developed </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 xml:space="preserve">Number of tools /frameworks/ resources developed </w:t>
            </w:r>
          </w:p>
        </w:tc>
        <w:tc>
          <w:tcPr>
            <w:tcW w:w="1859" w:type="dxa"/>
            <w:tcBorders>
              <w:top w:val="nil"/>
              <w:left w:val="nil"/>
              <w:bottom w:val="nil"/>
              <w:right w:val="single" w:sz="4" w:space="0" w:color="auto"/>
            </w:tcBorders>
            <w:shd w:val="clear" w:color="000000" w:fill="F2F2F2"/>
            <w:vAlign w:val="center"/>
            <w:hideMark/>
          </w:tcPr>
          <w:p w14:paraId="7B84FD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073A28AF" w14:textId="77777777" w:rsidTr="000F5E63">
        <w:trPr>
          <w:trHeight w:val="320"/>
        </w:trPr>
        <w:tc>
          <w:tcPr>
            <w:tcW w:w="2589" w:type="dxa"/>
            <w:tcBorders>
              <w:top w:val="nil"/>
              <w:left w:val="single" w:sz="4" w:space="0" w:color="auto"/>
              <w:bottom w:val="nil"/>
              <w:right w:val="single" w:sz="4" w:space="0" w:color="auto"/>
            </w:tcBorders>
            <w:shd w:val="clear" w:color="000000" w:fill="F2F2F2"/>
            <w:vAlign w:val="center"/>
            <w:hideMark/>
          </w:tcPr>
          <w:p w14:paraId="45392D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92" w:type="dxa"/>
            <w:tcBorders>
              <w:top w:val="nil"/>
              <w:left w:val="nil"/>
              <w:bottom w:val="nil"/>
              <w:right w:val="single" w:sz="4" w:space="0" w:color="auto"/>
            </w:tcBorders>
            <w:shd w:val="clear" w:color="000000" w:fill="F2F2F2"/>
            <w:vAlign w:val="center"/>
            <w:hideMark/>
          </w:tcPr>
          <w:p w14:paraId="3D90192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00" w:type="dxa"/>
            <w:tcBorders>
              <w:top w:val="nil"/>
              <w:left w:val="nil"/>
              <w:bottom w:val="nil"/>
              <w:right w:val="single" w:sz="4" w:space="0" w:color="auto"/>
            </w:tcBorders>
            <w:shd w:val="clear" w:color="000000" w:fill="F2F2F2"/>
            <w:vAlign w:val="center"/>
            <w:hideMark/>
          </w:tcPr>
          <w:p w14:paraId="5C2262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859" w:type="dxa"/>
            <w:tcBorders>
              <w:top w:val="nil"/>
              <w:left w:val="nil"/>
              <w:bottom w:val="nil"/>
              <w:right w:val="single" w:sz="4" w:space="0" w:color="auto"/>
            </w:tcBorders>
            <w:shd w:val="clear" w:color="000000" w:fill="F2F2F2"/>
            <w:vAlign w:val="center"/>
            <w:hideMark/>
          </w:tcPr>
          <w:p w14:paraId="2E261D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r w:rsidR="002048AF" w:rsidRPr="002048AF" w14:paraId="451E1116" w14:textId="77777777" w:rsidTr="000F5E63">
        <w:trPr>
          <w:trHeight w:val="160"/>
        </w:trPr>
        <w:tc>
          <w:tcPr>
            <w:tcW w:w="2589" w:type="dxa"/>
            <w:tcBorders>
              <w:top w:val="nil"/>
              <w:left w:val="single" w:sz="4" w:space="0" w:color="auto"/>
              <w:bottom w:val="single" w:sz="4" w:space="0" w:color="auto"/>
              <w:right w:val="single" w:sz="4" w:space="0" w:color="auto"/>
            </w:tcBorders>
            <w:shd w:val="clear" w:color="000000" w:fill="FFFFFF"/>
            <w:vAlign w:val="center"/>
            <w:hideMark/>
          </w:tcPr>
          <w:p w14:paraId="5D3773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92" w:type="dxa"/>
            <w:tcBorders>
              <w:top w:val="nil"/>
              <w:left w:val="nil"/>
              <w:bottom w:val="single" w:sz="4" w:space="0" w:color="auto"/>
              <w:right w:val="single" w:sz="4" w:space="0" w:color="auto"/>
            </w:tcBorders>
            <w:shd w:val="clear" w:color="000000" w:fill="FFFFFF"/>
            <w:vAlign w:val="center"/>
            <w:hideMark/>
          </w:tcPr>
          <w:p w14:paraId="334A68A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00" w:type="dxa"/>
            <w:tcBorders>
              <w:top w:val="nil"/>
              <w:left w:val="nil"/>
              <w:bottom w:val="single" w:sz="4" w:space="0" w:color="auto"/>
              <w:right w:val="single" w:sz="4" w:space="0" w:color="auto"/>
            </w:tcBorders>
            <w:shd w:val="clear" w:color="000000" w:fill="FFFFFF"/>
            <w:vAlign w:val="center"/>
            <w:hideMark/>
          </w:tcPr>
          <w:p w14:paraId="489CB5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3EF7D7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2D82556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7C1242A6" w14:textId="77777777" w:rsidR="002048AF" w:rsidRPr="002048AF" w:rsidRDefault="002048AF" w:rsidP="002048AF">
      <w:pPr>
        <w:tabs>
          <w:tab w:val="clear" w:pos="794"/>
        </w:tabs>
        <w:bidi w:val="0"/>
        <w:spacing w:before="0" w:line="240" w:lineRule="auto"/>
        <w:jc w:val="left"/>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6393E76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536682A2" w14:textId="77777777" w:rsidTr="000F5E63">
        <w:trPr>
          <w:trHeight w:val="680"/>
        </w:trPr>
        <w:tc>
          <w:tcPr>
            <w:tcW w:w="2020" w:type="dxa"/>
            <w:shd w:val="clear" w:color="000000" w:fill="02385E"/>
            <w:vAlign w:val="center"/>
            <w:hideMark/>
          </w:tcPr>
          <w:p w14:paraId="3C20E8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558D1C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21785C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2191048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323CE9B1" w14:textId="77777777" w:rsidTr="000F5E63">
        <w:trPr>
          <w:trHeight w:val="2380"/>
        </w:trPr>
        <w:tc>
          <w:tcPr>
            <w:tcW w:w="2020" w:type="dxa"/>
            <w:shd w:val="clear" w:color="000000" w:fill="F2F2F2"/>
            <w:vAlign w:val="center"/>
            <w:hideMark/>
          </w:tcPr>
          <w:p w14:paraId="1EAE5C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shd w:val="clear" w:color="000000" w:fill="F2F2F2"/>
            <w:vAlign w:val="center"/>
            <w:hideMark/>
          </w:tcPr>
          <w:p w14:paraId="221C270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Lack of resources to</w:t>
            </w:r>
            <w:r w:rsidRPr="002048AF">
              <w:rPr>
                <w:rFonts w:ascii="Calibri" w:eastAsia="Times New Roman" w:hAnsi="Calibri" w:cs="Calibri"/>
                <w:color w:val="000000"/>
                <w:sz w:val="24"/>
                <w:szCs w:val="20"/>
                <w:lang w:val="en-GB" w:eastAsia="en-US"/>
              </w:rPr>
              <w:br/>
              <w:t>provide the appropriate support</w:t>
            </w:r>
          </w:p>
        </w:tc>
        <w:tc>
          <w:tcPr>
            <w:tcW w:w="2020" w:type="dxa"/>
            <w:shd w:val="clear" w:color="000000" w:fill="F2F2F2"/>
            <w:vAlign w:val="center"/>
            <w:hideMark/>
          </w:tcPr>
          <w:p w14:paraId="2D10F2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000000" w:fill="F2F2F2"/>
            <w:vAlign w:val="center"/>
            <w:hideMark/>
          </w:tcPr>
          <w:p w14:paraId="7E2D7D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r w:rsidR="002048AF" w:rsidRPr="002048AF" w14:paraId="4875C2C6" w14:textId="77777777" w:rsidTr="000F5E63">
        <w:trPr>
          <w:trHeight w:val="1020"/>
        </w:trPr>
        <w:tc>
          <w:tcPr>
            <w:tcW w:w="2020" w:type="dxa"/>
            <w:shd w:val="clear" w:color="auto" w:fill="auto"/>
            <w:vAlign w:val="center"/>
            <w:hideMark/>
          </w:tcPr>
          <w:p w14:paraId="65DDE9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shd w:val="clear" w:color="auto" w:fill="auto"/>
            <w:vAlign w:val="center"/>
            <w:hideMark/>
          </w:tcPr>
          <w:p w14:paraId="0D61B6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shd w:val="clear" w:color="auto" w:fill="auto"/>
            <w:vAlign w:val="center"/>
            <w:hideMark/>
          </w:tcPr>
          <w:p w14:paraId="78AF99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vAlign w:val="center"/>
            <w:hideMark/>
          </w:tcPr>
          <w:p w14:paraId="03B16B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bl>
    <w:p w14:paraId="68BE056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CE190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5472D55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546FA1A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59997A3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9918" w:type="dxa"/>
        <w:tblLook w:val="04A0" w:firstRow="1" w:lastRow="0" w:firstColumn="1" w:lastColumn="0" w:noHBand="0" w:noVBand="1"/>
      </w:tblPr>
      <w:tblGrid>
        <w:gridCol w:w="1660"/>
        <w:gridCol w:w="2020"/>
        <w:gridCol w:w="1540"/>
        <w:gridCol w:w="1540"/>
        <w:gridCol w:w="3158"/>
      </w:tblGrid>
      <w:tr w:rsidR="002048AF" w:rsidRPr="002048AF" w14:paraId="585C5099"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FF204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329E5E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008B9C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070B2A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3158"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25D17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4358DF97" w14:textId="77777777" w:rsidTr="000F5E63">
        <w:trPr>
          <w:trHeight w:val="256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8CE8B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00C91E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single" w:sz="4" w:space="0" w:color="auto"/>
              <w:left w:val="nil"/>
              <w:bottom w:val="single" w:sz="4" w:space="0" w:color="auto"/>
              <w:right w:val="single" w:sz="4" w:space="0" w:color="auto"/>
            </w:tcBorders>
            <w:shd w:val="clear" w:color="000000" w:fill="F2F2F2"/>
            <w:vAlign w:val="center"/>
            <w:hideMark/>
          </w:tcPr>
          <w:p w14:paraId="3E91F9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single" w:sz="4" w:space="0" w:color="auto"/>
              <w:left w:val="nil"/>
              <w:bottom w:val="single" w:sz="4" w:space="0" w:color="auto"/>
              <w:right w:val="nil"/>
            </w:tcBorders>
            <w:shd w:val="clear" w:color="000000" w:fill="F2F2F2"/>
            <w:vAlign w:val="center"/>
            <w:hideMark/>
          </w:tcPr>
          <w:p w14:paraId="011A2F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31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9F03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00DEB02C" w14:textId="77777777" w:rsidTr="000F5E63">
        <w:trPr>
          <w:trHeight w:val="1600"/>
        </w:trPr>
        <w:tc>
          <w:tcPr>
            <w:tcW w:w="1660" w:type="dxa"/>
            <w:tcBorders>
              <w:top w:val="single" w:sz="4" w:space="0" w:color="auto"/>
              <w:left w:val="single" w:sz="4" w:space="0" w:color="auto"/>
              <w:bottom w:val="nil"/>
              <w:right w:val="nil"/>
            </w:tcBorders>
            <w:shd w:val="clear" w:color="auto" w:fill="auto"/>
            <w:hideMark/>
          </w:tcPr>
          <w:p w14:paraId="43868A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single" w:sz="4" w:space="0" w:color="auto"/>
              <w:left w:val="single" w:sz="4" w:space="0" w:color="auto"/>
              <w:bottom w:val="nil"/>
              <w:right w:val="single" w:sz="4" w:space="0" w:color="auto"/>
            </w:tcBorders>
            <w:shd w:val="clear" w:color="auto" w:fill="auto"/>
            <w:hideMark/>
          </w:tcPr>
          <w:p w14:paraId="1B70F1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single" w:sz="4" w:space="0" w:color="auto"/>
              <w:left w:val="nil"/>
              <w:bottom w:val="nil"/>
              <w:right w:val="single" w:sz="4" w:space="0" w:color="auto"/>
            </w:tcBorders>
            <w:shd w:val="clear" w:color="auto" w:fill="auto"/>
            <w:noWrap/>
            <w:hideMark/>
          </w:tcPr>
          <w:p w14:paraId="56F6BB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single" w:sz="4" w:space="0" w:color="auto"/>
              <w:left w:val="nil"/>
              <w:bottom w:val="nil"/>
              <w:right w:val="nil"/>
            </w:tcBorders>
            <w:shd w:val="clear" w:color="auto" w:fill="auto"/>
            <w:noWrap/>
            <w:hideMark/>
          </w:tcPr>
          <w:p w14:paraId="527F11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6FE009A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00006233" w14:textId="77777777" w:rsidTr="000F5E63">
        <w:trPr>
          <w:trHeight w:val="1920"/>
        </w:trPr>
        <w:tc>
          <w:tcPr>
            <w:tcW w:w="1660" w:type="dxa"/>
            <w:tcBorders>
              <w:top w:val="nil"/>
              <w:left w:val="single" w:sz="4" w:space="0" w:color="auto"/>
              <w:bottom w:val="nil"/>
              <w:right w:val="nil"/>
            </w:tcBorders>
            <w:shd w:val="clear" w:color="auto" w:fill="auto"/>
            <w:hideMark/>
          </w:tcPr>
          <w:p w14:paraId="7A1948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36FF19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3705F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38FAC4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3158" w:type="dxa"/>
            <w:tcBorders>
              <w:top w:val="nil"/>
              <w:left w:val="single" w:sz="4" w:space="0" w:color="auto"/>
              <w:bottom w:val="nil"/>
              <w:right w:val="single" w:sz="4" w:space="0" w:color="auto"/>
            </w:tcBorders>
            <w:shd w:val="clear" w:color="auto" w:fill="auto"/>
            <w:hideMark/>
          </w:tcPr>
          <w:p w14:paraId="074869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5C8A3922" w14:textId="77777777" w:rsidTr="000F5E6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29C3E0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5A8740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1BA90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3D3456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3158" w:type="dxa"/>
            <w:tcBorders>
              <w:top w:val="nil"/>
              <w:left w:val="single" w:sz="4" w:space="0" w:color="auto"/>
              <w:bottom w:val="nil"/>
              <w:right w:val="single" w:sz="4" w:space="0" w:color="auto"/>
            </w:tcBorders>
            <w:shd w:val="clear" w:color="000000" w:fill="F2F2F2"/>
            <w:vAlign w:val="center"/>
            <w:hideMark/>
          </w:tcPr>
          <w:p w14:paraId="1BE288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62C8F3BA" w14:textId="77777777" w:rsidTr="000F5E63">
        <w:trPr>
          <w:trHeight w:val="960"/>
        </w:trPr>
        <w:tc>
          <w:tcPr>
            <w:tcW w:w="1660" w:type="dxa"/>
            <w:tcBorders>
              <w:top w:val="nil"/>
              <w:left w:val="single" w:sz="4" w:space="0" w:color="auto"/>
              <w:right w:val="single" w:sz="4" w:space="0" w:color="auto"/>
            </w:tcBorders>
            <w:shd w:val="clear" w:color="auto" w:fill="auto"/>
            <w:vAlign w:val="center"/>
            <w:hideMark/>
          </w:tcPr>
          <w:p w14:paraId="3DBEA2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nil"/>
              <w:left w:val="nil"/>
              <w:right w:val="single" w:sz="4" w:space="0" w:color="auto"/>
            </w:tcBorders>
            <w:shd w:val="clear" w:color="auto" w:fill="auto"/>
            <w:vAlign w:val="center"/>
            <w:hideMark/>
          </w:tcPr>
          <w:p w14:paraId="555D5D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nil"/>
              <w:left w:val="nil"/>
              <w:right w:val="single" w:sz="4" w:space="0" w:color="auto"/>
            </w:tcBorders>
            <w:shd w:val="clear" w:color="auto" w:fill="auto"/>
            <w:vAlign w:val="center"/>
            <w:hideMark/>
          </w:tcPr>
          <w:p w14:paraId="79CFDEC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auto" w:fill="auto"/>
            <w:vAlign w:val="center"/>
            <w:hideMark/>
          </w:tcPr>
          <w:p w14:paraId="36A279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3158" w:type="dxa"/>
            <w:tcBorders>
              <w:top w:val="nil"/>
              <w:left w:val="single" w:sz="4" w:space="0" w:color="auto"/>
              <w:right w:val="single" w:sz="4" w:space="0" w:color="auto"/>
            </w:tcBorders>
            <w:shd w:val="clear" w:color="auto" w:fill="auto"/>
            <w:vAlign w:val="center"/>
            <w:hideMark/>
          </w:tcPr>
          <w:p w14:paraId="12264F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4335F6EF" w14:textId="77777777" w:rsidTr="000F5E63">
        <w:trPr>
          <w:trHeight w:val="2900"/>
        </w:trPr>
        <w:tc>
          <w:tcPr>
            <w:tcW w:w="1660" w:type="dxa"/>
            <w:tcBorders>
              <w:top w:val="nil"/>
              <w:left w:val="single" w:sz="4" w:space="0" w:color="auto"/>
              <w:bottom w:val="single" w:sz="4" w:space="0" w:color="auto"/>
              <w:right w:val="single" w:sz="4" w:space="0" w:color="auto"/>
            </w:tcBorders>
            <w:shd w:val="clear" w:color="000000" w:fill="F2F2F2"/>
            <w:hideMark/>
          </w:tcPr>
          <w:p w14:paraId="523B21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tcBorders>
              <w:top w:val="nil"/>
              <w:left w:val="nil"/>
              <w:bottom w:val="single" w:sz="4" w:space="0" w:color="auto"/>
              <w:right w:val="single" w:sz="4" w:space="0" w:color="auto"/>
            </w:tcBorders>
            <w:shd w:val="clear" w:color="000000" w:fill="F2F2F2"/>
            <w:hideMark/>
          </w:tcPr>
          <w:p w14:paraId="418214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single" w:sz="4" w:space="0" w:color="auto"/>
              <w:right w:val="single" w:sz="4" w:space="0" w:color="auto"/>
            </w:tcBorders>
            <w:shd w:val="clear" w:color="000000" w:fill="F2F2F2"/>
            <w:hideMark/>
          </w:tcPr>
          <w:p w14:paraId="365F37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000000" w:fill="F2F2F2"/>
            <w:hideMark/>
          </w:tcPr>
          <w:p w14:paraId="7DF3BF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3158" w:type="dxa"/>
            <w:tcBorders>
              <w:top w:val="nil"/>
              <w:left w:val="single" w:sz="4" w:space="0" w:color="auto"/>
              <w:bottom w:val="single" w:sz="4" w:space="0" w:color="auto"/>
              <w:right w:val="single" w:sz="4" w:space="0" w:color="auto"/>
            </w:tcBorders>
            <w:shd w:val="clear" w:color="000000" w:fill="F2F2F2"/>
            <w:hideMark/>
          </w:tcPr>
          <w:p w14:paraId="0AFDBC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03A6C3EB" w14:textId="77777777" w:rsidTr="000F5E63">
        <w:trPr>
          <w:trHeight w:val="1140"/>
        </w:trPr>
        <w:tc>
          <w:tcPr>
            <w:tcW w:w="1660" w:type="dxa"/>
            <w:tcBorders>
              <w:top w:val="single" w:sz="4" w:space="0" w:color="auto"/>
              <w:left w:val="single" w:sz="4" w:space="0" w:color="auto"/>
              <w:bottom w:val="nil"/>
              <w:right w:val="single" w:sz="4" w:space="0" w:color="auto"/>
            </w:tcBorders>
            <w:shd w:val="clear" w:color="auto" w:fill="auto"/>
            <w:vAlign w:val="center"/>
            <w:hideMark/>
          </w:tcPr>
          <w:p w14:paraId="084F06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single" w:sz="4" w:space="0" w:color="auto"/>
              <w:left w:val="nil"/>
              <w:bottom w:val="nil"/>
              <w:right w:val="single" w:sz="4" w:space="0" w:color="auto"/>
            </w:tcBorders>
            <w:shd w:val="clear" w:color="auto" w:fill="auto"/>
            <w:vAlign w:val="center"/>
            <w:hideMark/>
          </w:tcPr>
          <w:p w14:paraId="5ABE96E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single" w:sz="4" w:space="0" w:color="auto"/>
              <w:left w:val="nil"/>
              <w:bottom w:val="nil"/>
              <w:right w:val="single" w:sz="4" w:space="0" w:color="auto"/>
            </w:tcBorders>
            <w:shd w:val="clear" w:color="auto" w:fill="auto"/>
            <w:hideMark/>
          </w:tcPr>
          <w:p w14:paraId="5CB0B1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auto" w:fill="auto"/>
            <w:hideMark/>
          </w:tcPr>
          <w:p w14:paraId="018EC1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3158" w:type="dxa"/>
            <w:tcBorders>
              <w:top w:val="single" w:sz="4" w:space="0" w:color="auto"/>
              <w:left w:val="single" w:sz="4" w:space="0" w:color="auto"/>
              <w:bottom w:val="nil"/>
              <w:right w:val="single" w:sz="4" w:space="0" w:color="auto"/>
            </w:tcBorders>
            <w:shd w:val="clear" w:color="auto" w:fill="auto"/>
            <w:hideMark/>
          </w:tcPr>
          <w:p w14:paraId="5CA010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5BF4BB0A"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2FB6C82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228E8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4671B41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1315DD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3158" w:type="dxa"/>
            <w:tcBorders>
              <w:top w:val="nil"/>
              <w:left w:val="single" w:sz="4" w:space="0" w:color="auto"/>
              <w:bottom w:val="single" w:sz="4" w:space="0" w:color="auto"/>
              <w:right w:val="single" w:sz="4" w:space="0" w:color="auto"/>
            </w:tcBorders>
            <w:shd w:val="clear" w:color="000000" w:fill="FFFFFF"/>
            <w:vAlign w:val="center"/>
            <w:hideMark/>
          </w:tcPr>
          <w:p w14:paraId="48ED8AD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56B85369"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7864C8B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lastRenderedPageBreak/>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487FCC5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D762C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9A5EB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D4DDC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067B4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B352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538CE22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9CF2B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D03D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ED526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238C0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64BC3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001DF03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CCF5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804F1F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0C3D7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42439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B5A8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w:t>
            </w:r>
          </w:p>
        </w:tc>
      </w:tr>
      <w:tr w:rsidR="002048AF" w:rsidRPr="002048AF" w14:paraId="3AF1776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95A50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2E8F4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E899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469E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32E86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4A9172F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7DD0F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C5FF2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3D94A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205AB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E97A4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11,8</w:t>
            </w:r>
          </w:p>
        </w:tc>
      </w:tr>
      <w:tr w:rsidR="002048AF" w:rsidRPr="002048AF" w14:paraId="5077999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8F561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89CD7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40BF9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A740B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0E807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r>
      <w:tr w:rsidR="002048AF" w:rsidRPr="002048AF" w14:paraId="13AF17D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74B69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32C8F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8653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F3D99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938D0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10,6</w:t>
            </w:r>
          </w:p>
        </w:tc>
      </w:tr>
      <w:tr w:rsidR="002048AF" w:rsidRPr="002048AF" w14:paraId="5EB1F93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F31BA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1DC84D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3E1F4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E740A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4C899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2,2</w:t>
            </w:r>
          </w:p>
        </w:tc>
      </w:tr>
      <w:tr w:rsidR="002048AF" w:rsidRPr="002048AF" w14:paraId="188BE49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CB32D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0D5B1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100EB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B690D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82FB0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13161F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CCAA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BB10F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2BDA6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0A5C8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3063B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2FCD704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E8844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C83B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8A4E7B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95AD3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C5E11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w:t>
            </w:r>
          </w:p>
        </w:tc>
      </w:tr>
      <w:tr w:rsidR="002048AF" w:rsidRPr="002048AF" w14:paraId="4F4868E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75A57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FE60E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7D7D6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3D267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AF8A11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9,2</w:t>
            </w:r>
          </w:p>
        </w:tc>
      </w:tr>
      <w:tr w:rsidR="002048AF" w:rsidRPr="002048AF" w14:paraId="1D38C7A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7ED9B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160E9A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DEFA5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9AA15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02D19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0395B4D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6501E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AA802A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A7AE3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76A81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BF510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3E70411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46CC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2FBA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0CA8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EAACF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9F606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w:t>
            </w:r>
          </w:p>
        </w:tc>
      </w:tr>
      <w:tr w:rsidR="002048AF" w:rsidRPr="002048AF" w14:paraId="32E4199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7ED0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30EA5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71,3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3F909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68,5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3F6AB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68,1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91703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55,0</w:t>
            </w:r>
          </w:p>
        </w:tc>
      </w:tr>
      <w:tr w:rsidR="002048AF" w:rsidRPr="002048AF" w14:paraId="38B37F1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3B5CA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3145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D38C1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55584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CDA2B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591EC9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D2340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C7DCE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br w:type="page"/>
      </w:r>
    </w:p>
    <w:p w14:paraId="217A770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b/>
          <w:bCs/>
          <w:sz w:val="24"/>
          <w:szCs w:val="20"/>
          <w:lang w:val="en-GB" w:eastAsia="en-US"/>
        </w:rPr>
        <w:lastRenderedPageBreak/>
        <w:t>2.12</w:t>
      </w:r>
      <w:r w:rsidRPr="002048AF">
        <w:rPr>
          <w:rFonts w:ascii="Calibri" w:eastAsia="Times New Roman" w:hAnsi="Calibri" w:cs="Times New Roman"/>
          <w:sz w:val="24"/>
          <w:szCs w:val="20"/>
          <w:lang w:val="en-GB" w:eastAsia="en-US"/>
        </w:rPr>
        <w:tab/>
      </w:r>
      <w:r w:rsidRPr="002048AF">
        <w:rPr>
          <w:rFonts w:ascii="Calibri" w:eastAsia="Times New Roman" w:hAnsi="Calibri" w:cs="Arial"/>
          <w:b/>
          <w:bCs/>
          <w:sz w:val="24"/>
          <w:szCs w:val="20"/>
          <w:lang w:val="en-GB" w:eastAsia="en-US"/>
        </w:rPr>
        <w:t>Outreach and representation (MS, RTO, RO</w:t>
      </w:r>
      <w:r w:rsidRPr="002048AF">
        <w:rPr>
          <w:rFonts w:ascii="Calibri" w:eastAsia="Times New Roman" w:hAnsi="Calibri" w:cs="Times New Roman"/>
          <w:sz w:val="24"/>
          <w:szCs w:val="20"/>
          <w:lang w:val="en-GB" w:eastAsia="en-US"/>
        </w:rPr>
        <w:t>)</w:t>
      </w:r>
    </w:p>
    <w:p w14:paraId="7236484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2780814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Activities to forge and strengthen partnerships with a view to support the needs of ITU diverse members while considering the needs of all countries, </w:t>
      </w:r>
      <w:proofErr w:type="gramStart"/>
      <w:r w:rsidRPr="002048AF">
        <w:rPr>
          <w:rFonts w:ascii="Calibri" w:eastAsia="Times New Roman" w:hAnsi="Calibri" w:cs="Arial"/>
          <w:sz w:val="24"/>
          <w:szCs w:val="20"/>
          <w:lang w:val="en-GB" w:eastAsia="en-US"/>
        </w:rPr>
        <w:t>in particular those</w:t>
      </w:r>
      <w:proofErr w:type="gramEnd"/>
      <w:r w:rsidRPr="002048AF">
        <w:rPr>
          <w:rFonts w:ascii="Calibri" w:eastAsia="Times New Roman" w:hAnsi="Calibri" w:cs="Arial"/>
          <w:sz w:val="24"/>
          <w:szCs w:val="20"/>
          <w:lang w:val="en-GB" w:eastAsia="en-US"/>
        </w:rPr>
        <w:t xml:space="preserve"> of developing countries, including LDCs, SIDS, LLDCs and countries with economies in transition, as well as underserved and vulnerable populations. This output also includes the work to deepen engagement with representatives of the telecommunication/ICT and other industry sectors and to demonstrate ITU's value proposition in the context of the Union’s strategic goals.</w:t>
      </w:r>
    </w:p>
    <w:p w14:paraId="07EB2E9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6468505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10DF1DD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2620"/>
        <w:gridCol w:w="2620"/>
        <w:gridCol w:w="1780"/>
      </w:tblGrid>
      <w:tr w:rsidR="002048AF" w:rsidRPr="002048AF" w14:paraId="321EFA97" w14:textId="77777777" w:rsidTr="000F5E63">
        <w:trPr>
          <w:trHeight w:val="1020"/>
        </w:trPr>
        <w:tc>
          <w:tcPr>
            <w:tcW w:w="2620" w:type="dxa"/>
            <w:shd w:val="clear" w:color="000000" w:fill="02385E"/>
            <w:vAlign w:val="center"/>
            <w:hideMark/>
          </w:tcPr>
          <w:p w14:paraId="5A8924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shd w:val="clear" w:color="000000" w:fill="70A288"/>
            <w:vAlign w:val="center"/>
            <w:hideMark/>
          </w:tcPr>
          <w:p w14:paraId="5A58F9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shd w:val="clear" w:color="000000" w:fill="DAB785"/>
            <w:vAlign w:val="center"/>
            <w:hideMark/>
          </w:tcPr>
          <w:p w14:paraId="22685F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shd w:val="clear" w:color="000000" w:fill="D6896F"/>
            <w:vAlign w:val="center"/>
            <w:hideMark/>
          </w:tcPr>
          <w:p w14:paraId="192817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1E640405" w14:textId="77777777" w:rsidTr="000F5E63">
        <w:trPr>
          <w:trHeight w:val="4094"/>
        </w:trPr>
        <w:tc>
          <w:tcPr>
            <w:tcW w:w="2620" w:type="dxa"/>
            <w:shd w:val="clear" w:color="000000" w:fill="F2F2F2"/>
            <w:hideMark/>
          </w:tcPr>
          <w:p w14:paraId="698045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Enhanced knowledge-sharing, research and development, </w:t>
            </w:r>
            <w:proofErr w:type="gramStart"/>
            <w:r w:rsidRPr="002048AF">
              <w:rPr>
                <w:rFonts w:ascii="Calibri" w:eastAsia="Times New Roman" w:hAnsi="Calibri" w:cs="Calibri"/>
                <w:color w:val="000000"/>
                <w:lang w:val="en-GB" w:eastAsia="en-US"/>
              </w:rPr>
              <w:t>dialogue</w:t>
            </w:r>
            <w:proofErr w:type="gramEnd"/>
            <w:r w:rsidRPr="002048AF">
              <w:rPr>
                <w:rFonts w:ascii="Calibri" w:eastAsia="Times New Roman" w:hAnsi="Calibri" w:cs="Calibri"/>
                <w:color w:val="000000"/>
                <w:lang w:val="en-GB" w:eastAsia="en-US"/>
              </w:rPr>
              <w:t xml:space="preserve"> and partnership among the ITU membership on telecommunication/ICT issues.</w:t>
            </w:r>
          </w:p>
        </w:tc>
        <w:tc>
          <w:tcPr>
            <w:tcW w:w="2620" w:type="dxa"/>
            <w:shd w:val="clear" w:color="000000" w:fill="F2F2F2"/>
            <w:hideMark/>
          </w:tcPr>
          <w:p w14:paraId="7902A6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40 new members joined ITU-D in 2024, Overall net growth of membership in 2024 was 50% higher compared to 2023. Record number of attendances with 200 participants to the Industry Advisory Group on Development Issues and Private Sector Chief Regulatory Officers’ (IAGDI-CRO) meeting held in 2024. </w:t>
            </w:r>
          </w:p>
        </w:tc>
        <w:tc>
          <w:tcPr>
            <w:tcW w:w="2620" w:type="dxa"/>
            <w:shd w:val="clear" w:color="000000" w:fill="F2F2F2"/>
            <w:hideMark/>
          </w:tcPr>
          <w:p w14:paraId="75B020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new ITU-D Members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c>
          <w:tcPr>
            <w:tcW w:w="1780" w:type="dxa"/>
            <w:shd w:val="clear" w:color="000000" w:fill="F2F2F2"/>
            <w:hideMark/>
          </w:tcPr>
          <w:p w14:paraId="00E2F8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bl>
    <w:p w14:paraId="7DFAEC2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E42DD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0625A4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6D34834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07787BA9" w14:textId="77777777" w:rsidTr="000F5E63">
        <w:trPr>
          <w:trHeight w:val="680"/>
        </w:trPr>
        <w:tc>
          <w:tcPr>
            <w:tcW w:w="2020" w:type="dxa"/>
            <w:shd w:val="clear" w:color="000000" w:fill="02385E"/>
            <w:vAlign w:val="center"/>
            <w:hideMark/>
          </w:tcPr>
          <w:p w14:paraId="129CB4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20D3C1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76C199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7C31398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5BA4D046" w14:textId="77777777" w:rsidTr="000F5E63">
        <w:trPr>
          <w:trHeight w:val="2380"/>
        </w:trPr>
        <w:tc>
          <w:tcPr>
            <w:tcW w:w="2020" w:type="dxa"/>
            <w:shd w:val="clear" w:color="000000" w:fill="F2F2F2"/>
            <w:vAlign w:val="center"/>
            <w:hideMark/>
          </w:tcPr>
          <w:p w14:paraId="342CBB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shd w:val="clear" w:color="000000" w:fill="F2F2F2"/>
            <w:vAlign w:val="center"/>
            <w:hideMark/>
          </w:tcPr>
          <w:p w14:paraId="332FF3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Lack of resources to</w:t>
            </w:r>
            <w:r w:rsidRPr="002048AF">
              <w:rPr>
                <w:rFonts w:ascii="Calibri" w:eastAsia="Times New Roman" w:hAnsi="Calibri" w:cs="Calibri"/>
                <w:color w:val="000000"/>
                <w:sz w:val="24"/>
                <w:szCs w:val="20"/>
                <w:lang w:val="en-GB" w:eastAsia="en-US"/>
              </w:rPr>
              <w:br/>
              <w:t>provide the appropriate support</w:t>
            </w:r>
          </w:p>
        </w:tc>
        <w:tc>
          <w:tcPr>
            <w:tcW w:w="2020" w:type="dxa"/>
            <w:shd w:val="clear" w:color="000000" w:fill="F2F2F2"/>
            <w:vAlign w:val="center"/>
            <w:hideMark/>
          </w:tcPr>
          <w:p w14:paraId="519713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000000" w:fill="F2F2F2"/>
            <w:vAlign w:val="center"/>
            <w:hideMark/>
          </w:tcPr>
          <w:p w14:paraId="2BC911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r w:rsidR="002048AF" w:rsidRPr="002048AF" w14:paraId="47747098" w14:textId="77777777" w:rsidTr="000F5E63">
        <w:trPr>
          <w:trHeight w:val="1020"/>
        </w:trPr>
        <w:tc>
          <w:tcPr>
            <w:tcW w:w="2020" w:type="dxa"/>
            <w:shd w:val="clear" w:color="auto" w:fill="auto"/>
            <w:vAlign w:val="center"/>
            <w:hideMark/>
          </w:tcPr>
          <w:p w14:paraId="5CD700F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shd w:val="clear" w:color="auto" w:fill="auto"/>
            <w:vAlign w:val="center"/>
            <w:hideMark/>
          </w:tcPr>
          <w:p w14:paraId="3F4D07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shd w:val="clear" w:color="auto" w:fill="auto"/>
            <w:vAlign w:val="center"/>
            <w:hideMark/>
          </w:tcPr>
          <w:p w14:paraId="0920F3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vAlign w:val="center"/>
            <w:hideMark/>
          </w:tcPr>
          <w:p w14:paraId="502C1D7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r w:rsidR="002048AF" w:rsidRPr="002048AF" w14:paraId="6894306E" w14:textId="77777777" w:rsidTr="000F5E63">
        <w:trPr>
          <w:trHeight w:val="2380"/>
        </w:trPr>
        <w:tc>
          <w:tcPr>
            <w:tcW w:w="2020" w:type="dxa"/>
            <w:shd w:val="clear" w:color="000000" w:fill="F2F2F2"/>
            <w:hideMark/>
          </w:tcPr>
          <w:p w14:paraId="591060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Human resources</w:t>
            </w:r>
          </w:p>
        </w:tc>
        <w:tc>
          <w:tcPr>
            <w:tcW w:w="2020" w:type="dxa"/>
            <w:shd w:val="clear" w:color="000000" w:fill="F2F2F2"/>
            <w:hideMark/>
          </w:tcPr>
          <w:p w14:paraId="645E22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human</w:t>
            </w:r>
            <w:r w:rsidRPr="002048AF">
              <w:rPr>
                <w:rFonts w:ascii="Calibri" w:eastAsia="Times New Roman" w:hAnsi="Calibri" w:cs="Calibri"/>
                <w:color w:val="000000"/>
                <w:sz w:val="24"/>
                <w:szCs w:val="20"/>
                <w:lang w:val="en-GB" w:eastAsia="en-US"/>
              </w:rPr>
              <w:br/>
              <w:t>resources to cope with</w:t>
            </w:r>
            <w:r w:rsidRPr="002048AF">
              <w:rPr>
                <w:rFonts w:ascii="Calibri" w:eastAsia="Times New Roman" w:hAnsi="Calibri" w:cs="Calibri"/>
                <w:color w:val="000000"/>
                <w:sz w:val="24"/>
                <w:szCs w:val="20"/>
                <w:lang w:val="en-GB" w:eastAsia="en-US"/>
              </w:rPr>
              <w:br/>
              <w:t>demand. Lack of qualified experts in the areas concerned</w:t>
            </w:r>
          </w:p>
        </w:tc>
        <w:tc>
          <w:tcPr>
            <w:tcW w:w="2020" w:type="dxa"/>
            <w:shd w:val="clear" w:color="000000" w:fill="F2F2F2"/>
            <w:hideMark/>
          </w:tcPr>
          <w:p w14:paraId="0A7021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000000" w:fill="F2F2F2"/>
            <w:hideMark/>
          </w:tcPr>
          <w:p w14:paraId="0AC953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Resource requirements anticipated, and continuous updating of expert data</w:t>
            </w:r>
            <w:r w:rsidRPr="002048AF">
              <w:rPr>
                <w:rFonts w:ascii="Calibri" w:eastAsia="Times New Roman" w:hAnsi="Calibri" w:cs="Calibri"/>
                <w:color w:val="000000"/>
                <w:sz w:val="24"/>
                <w:szCs w:val="20"/>
                <w:lang w:val="en-GB" w:eastAsia="en-US"/>
              </w:rPr>
              <w:br/>
              <w:t>base, and recruitment procedures initiated as soon as possible</w:t>
            </w:r>
          </w:p>
        </w:tc>
      </w:tr>
    </w:tbl>
    <w:p w14:paraId="1812E6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817C3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2A64E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311DE86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63698CD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4F8825ED"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34CCA4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13F8EC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58A98E94" w14:textId="77777777" w:rsidTr="000F5E63">
        <w:trPr>
          <w:trHeight w:val="1600"/>
        </w:trPr>
        <w:tc>
          <w:tcPr>
            <w:tcW w:w="4180" w:type="dxa"/>
            <w:tcBorders>
              <w:top w:val="nil"/>
              <w:left w:val="single" w:sz="4" w:space="0" w:color="auto"/>
              <w:bottom w:val="nil"/>
              <w:right w:val="nil"/>
            </w:tcBorders>
            <w:shd w:val="clear" w:color="auto" w:fill="auto"/>
            <w:hideMark/>
          </w:tcPr>
          <w:p w14:paraId="3523D0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Enhanced knowledge-sharing, research and development, </w:t>
            </w:r>
            <w:proofErr w:type="gramStart"/>
            <w:r w:rsidRPr="002048AF">
              <w:rPr>
                <w:rFonts w:ascii="Calibri" w:eastAsia="Times New Roman" w:hAnsi="Calibri" w:cs="Calibri"/>
                <w:color w:val="000000"/>
                <w:lang w:val="en-GB" w:eastAsia="en-US"/>
              </w:rPr>
              <w:t>dialogue</w:t>
            </w:r>
            <w:proofErr w:type="gramEnd"/>
            <w:r w:rsidRPr="002048AF">
              <w:rPr>
                <w:rFonts w:ascii="Calibri" w:eastAsia="Times New Roman" w:hAnsi="Calibri" w:cs="Calibri"/>
                <w:color w:val="000000"/>
                <w:lang w:val="en-GB" w:eastAsia="en-US"/>
              </w:rPr>
              <w:t xml:space="preserve"> and partnership among the ITU membership on telecommunication/ICT issues.</w:t>
            </w:r>
          </w:p>
        </w:tc>
        <w:tc>
          <w:tcPr>
            <w:tcW w:w="4180" w:type="dxa"/>
            <w:tcBorders>
              <w:top w:val="nil"/>
              <w:left w:val="single" w:sz="4" w:space="0" w:color="auto"/>
              <w:bottom w:val="nil"/>
              <w:right w:val="single" w:sz="4" w:space="0" w:color="auto"/>
            </w:tcBorders>
            <w:shd w:val="clear" w:color="000000" w:fill="FFFFFF"/>
            <w:hideMark/>
          </w:tcPr>
          <w:p w14:paraId="3A0E7B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new ITU-D Members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Number of participants in RDFs, regional dialogues, and BDT-led events</w:t>
            </w:r>
          </w:p>
        </w:tc>
      </w:tr>
      <w:tr w:rsidR="002048AF" w:rsidRPr="002048AF" w14:paraId="049751DB" w14:textId="77777777" w:rsidTr="000F5E6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7BCF9B5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687D8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3C2C018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7F441A2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71FB5C51"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2ACDA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C3FD7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6844AC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2D9A9C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F82A4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3E26D4D4" w14:textId="77777777" w:rsidTr="000F5E6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53118B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632D4B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5BC016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7339D76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D0970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3CCDD5A5" w14:textId="77777777" w:rsidTr="000F5E63">
        <w:trPr>
          <w:trHeight w:val="1600"/>
        </w:trPr>
        <w:tc>
          <w:tcPr>
            <w:tcW w:w="1660" w:type="dxa"/>
            <w:tcBorders>
              <w:top w:val="nil"/>
              <w:left w:val="single" w:sz="4" w:space="0" w:color="auto"/>
              <w:bottom w:val="nil"/>
              <w:right w:val="nil"/>
            </w:tcBorders>
            <w:shd w:val="clear" w:color="auto" w:fill="auto"/>
            <w:hideMark/>
          </w:tcPr>
          <w:p w14:paraId="72BF97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3B1431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0BD29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43DD31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7D0B5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025B5B6A" w14:textId="77777777" w:rsidTr="000F5E63">
        <w:trPr>
          <w:trHeight w:val="1920"/>
        </w:trPr>
        <w:tc>
          <w:tcPr>
            <w:tcW w:w="1660" w:type="dxa"/>
            <w:tcBorders>
              <w:top w:val="nil"/>
              <w:left w:val="single" w:sz="4" w:space="0" w:color="auto"/>
              <w:bottom w:val="nil"/>
              <w:right w:val="nil"/>
            </w:tcBorders>
            <w:shd w:val="clear" w:color="auto" w:fill="auto"/>
            <w:hideMark/>
          </w:tcPr>
          <w:p w14:paraId="3F89DE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2733545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7737CA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324F27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21BA47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19C43F58" w14:textId="77777777" w:rsidTr="000F5E63">
        <w:trPr>
          <w:trHeight w:val="640"/>
        </w:trPr>
        <w:tc>
          <w:tcPr>
            <w:tcW w:w="1660" w:type="dxa"/>
            <w:tcBorders>
              <w:top w:val="nil"/>
              <w:left w:val="single" w:sz="4" w:space="0" w:color="auto"/>
              <w:right w:val="single" w:sz="4" w:space="0" w:color="auto"/>
            </w:tcBorders>
            <w:shd w:val="clear" w:color="000000" w:fill="F2F2F2"/>
            <w:vAlign w:val="center"/>
            <w:hideMark/>
          </w:tcPr>
          <w:p w14:paraId="05CE962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616302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2E7053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263B68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502AEC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3119212C" w14:textId="77777777" w:rsidTr="000F5E6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18BED3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6BC6DE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4750E9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0610FF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51F695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321B2E5A" w14:textId="77777777" w:rsidTr="000F5E6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2C1A646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0B8AD84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6898D8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4ABFB1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370ABD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630169BF"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57CDF5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134B7D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5216B9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4CCCB3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413B4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5039D71D"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4842A1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3F49C2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0BB3DF0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0E80FC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056A0B2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55FE637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1B3B276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476332F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2DAF3C2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A82A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56B47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FB3304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85004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BD6A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3A289E4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A3BC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429477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4C36A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7DD6B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483AA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0,9</w:t>
            </w:r>
          </w:p>
        </w:tc>
      </w:tr>
      <w:tr w:rsidR="002048AF" w:rsidRPr="002048AF" w14:paraId="6FFEE23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34C782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7AB88F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AB2B9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590FAF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F9EC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5,1</w:t>
            </w:r>
          </w:p>
        </w:tc>
      </w:tr>
      <w:tr w:rsidR="002048AF" w:rsidRPr="002048AF" w14:paraId="3CDE3EE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03965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4F59D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DB5B3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EB120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351E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0,9</w:t>
            </w:r>
          </w:p>
        </w:tc>
      </w:tr>
      <w:tr w:rsidR="002048AF" w:rsidRPr="002048AF" w14:paraId="59D1056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51FF9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6C433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001EB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4BEC60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5C0A0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w:t>
            </w:r>
          </w:p>
        </w:tc>
      </w:tr>
      <w:tr w:rsidR="002048AF" w:rsidRPr="002048AF" w14:paraId="49D3D33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2C828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3BF69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13543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74B0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96CA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15,4</w:t>
            </w:r>
          </w:p>
        </w:tc>
      </w:tr>
      <w:tr w:rsidR="002048AF" w:rsidRPr="002048AF" w14:paraId="390F576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E5A85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D192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FDF76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DB3B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7920D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18,6</w:t>
            </w:r>
          </w:p>
        </w:tc>
      </w:tr>
      <w:tr w:rsidR="002048AF" w:rsidRPr="002048AF" w14:paraId="4679B5E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C97DF5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9608B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7E6376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5E85ED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E8BDB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6,1</w:t>
            </w:r>
          </w:p>
        </w:tc>
      </w:tr>
      <w:tr w:rsidR="002048AF" w:rsidRPr="002048AF" w14:paraId="507A0C2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64358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B53E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2E65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307C9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CCAF0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503B49B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53165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165D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FDFA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9809E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65BF1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0,9</w:t>
            </w:r>
          </w:p>
        </w:tc>
      </w:tr>
      <w:tr w:rsidR="002048AF" w:rsidRPr="002048AF" w14:paraId="2E5BE53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D87C6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CCF43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64F03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04946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626ECE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9,4</w:t>
            </w:r>
          </w:p>
        </w:tc>
      </w:tr>
      <w:tr w:rsidR="002048AF" w:rsidRPr="002048AF" w14:paraId="488423F2"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67438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3B7E7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130AE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3A4C7D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3943A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9,5</w:t>
            </w:r>
          </w:p>
        </w:tc>
      </w:tr>
      <w:tr w:rsidR="002048AF" w:rsidRPr="002048AF" w14:paraId="7B67D35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063D4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0D1A2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55B30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653F9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EA8C3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2,8</w:t>
            </w:r>
          </w:p>
        </w:tc>
      </w:tr>
      <w:tr w:rsidR="002048AF" w:rsidRPr="002048AF" w14:paraId="60CB8BC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9235E0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CDA75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EAE0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4C50B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651F25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w:t>
            </w:r>
          </w:p>
        </w:tc>
      </w:tr>
      <w:tr w:rsidR="002048AF" w:rsidRPr="002048AF" w14:paraId="2FF690E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BBD97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36DA7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10C611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9AAA3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25E1FC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3,3</w:t>
            </w:r>
          </w:p>
        </w:tc>
      </w:tr>
      <w:tr w:rsidR="002048AF" w:rsidRPr="002048AF" w14:paraId="05CD900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121C5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7AE72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95,1</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A6BDD0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70B8D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131927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94,9</w:t>
            </w:r>
          </w:p>
        </w:tc>
      </w:tr>
      <w:tr w:rsidR="002048AF" w:rsidRPr="002048AF" w14:paraId="7117362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1BA6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51C2DE5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BD7BE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5EBB4A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21455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r w:rsidR="002048AF" w:rsidRPr="002048AF" w14:paraId="55249A3F" w14:textId="77777777" w:rsidTr="000F5E63">
        <w:trPr>
          <w:trHeight w:val="320"/>
          <w:jc w:val="center"/>
        </w:trPr>
        <w:tc>
          <w:tcPr>
            <w:tcW w:w="1300" w:type="dxa"/>
            <w:tcBorders>
              <w:top w:val="nil"/>
              <w:left w:val="single" w:sz="4" w:space="0" w:color="auto"/>
              <w:bottom w:val="nil"/>
              <w:right w:val="single" w:sz="4" w:space="0" w:color="auto"/>
            </w:tcBorders>
            <w:shd w:val="clear" w:color="000000" w:fill="F2F2F2"/>
            <w:vAlign w:val="center"/>
          </w:tcPr>
          <w:p w14:paraId="2284DE4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p>
        </w:tc>
        <w:tc>
          <w:tcPr>
            <w:tcW w:w="1300" w:type="dxa"/>
            <w:tcBorders>
              <w:top w:val="nil"/>
              <w:left w:val="nil"/>
              <w:bottom w:val="nil"/>
              <w:right w:val="single" w:sz="4" w:space="0" w:color="auto"/>
            </w:tcBorders>
            <w:shd w:val="clear" w:color="000000" w:fill="F2F2F2"/>
            <w:vAlign w:val="center"/>
          </w:tcPr>
          <w:p w14:paraId="5E4FB2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p>
        </w:tc>
        <w:tc>
          <w:tcPr>
            <w:tcW w:w="1300" w:type="dxa"/>
            <w:tcBorders>
              <w:top w:val="nil"/>
              <w:left w:val="nil"/>
              <w:bottom w:val="nil"/>
              <w:right w:val="single" w:sz="4" w:space="0" w:color="auto"/>
            </w:tcBorders>
            <w:shd w:val="clear" w:color="000000" w:fill="F2F2F2"/>
            <w:vAlign w:val="center"/>
          </w:tcPr>
          <w:p w14:paraId="328AD2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p>
        </w:tc>
        <w:tc>
          <w:tcPr>
            <w:tcW w:w="1300" w:type="dxa"/>
            <w:tcBorders>
              <w:top w:val="nil"/>
              <w:left w:val="single" w:sz="4" w:space="0" w:color="auto"/>
              <w:bottom w:val="nil"/>
              <w:right w:val="single" w:sz="4" w:space="0" w:color="auto"/>
            </w:tcBorders>
            <w:shd w:val="clear" w:color="000000" w:fill="F2F2F2"/>
            <w:vAlign w:val="center"/>
          </w:tcPr>
          <w:p w14:paraId="12B231B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p>
        </w:tc>
        <w:tc>
          <w:tcPr>
            <w:tcW w:w="1300" w:type="dxa"/>
            <w:tcBorders>
              <w:top w:val="nil"/>
              <w:left w:val="single" w:sz="4" w:space="0" w:color="auto"/>
              <w:bottom w:val="nil"/>
              <w:right w:val="single" w:sz="4" w:space="0" w:color="auto"/>
            </w:tcBorders>
            <w:shd w:val="clear" w:color="000000" w:fill="F2F2F2"/>
            <w:vAlign w:val="center"/>
          </w:tcPr>
          <w:p w14:paraId="592AAC6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right"/>
              <w:textAlignment w:val="baseline"/>
              <w:rPr>
                <w:rFonts w:ascii="Calibri" w:eastAsia="Times New Roman" w:hAnsi="Calibri" w:cs="Calibri"/>
                <w:color w:val="000000"/>
                <w:lang w:val="en-GB" w:eastAsia="en-US"/>
              </w:rPr>
            </w:pPr>
          </w:p>
        </w:tc>
      </w:tr>
    </w:tbl>
    <w:p w14:paraId="783E50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632423"/>
          <w:sz w:val="24"/>
          <w:szCs w:val="20"/>
          <w:lang w:val="en-GB" w:eastAsia="en-US"/>
        </w:rPr>
      </w:pPr>
    </w:p>
    <w:p w14:paraId="09B1BA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br w:type="page"/>
      </w:r>
    </w:p>
    <w:p w14:paraId="024AD195"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b/>
          <w:bCs/>
          <w:sz w:val="24"/>
          <w:szCs w:val="24"/>
          <w:lang w:val="en-GB" w:eastAsia="en-US"/>
        </w:rPr>
        <w:lastRenderedPageBreak/>
        <w:t>2.13</w:t>
      </w:r>
      <w:r w:rsidRPr="002048AF">
        <w:rPr>
          <w:rFonts w:ascii="Calibri" w:eastAsia="Times New Roman" w:hAnsi="Calibri" w:cs="Calibri"/>
          <w:b/>
          <w:bCs/>
          <w:sz w:val="24"/>
          <w:szCs w:val="24"/>
          <w:lang w:val="en-GB" w:eastAsia="en-US"/>
        </w:rPr>
        <w:tab/>
        <w:t>UN engagement</w:t>
      </w:r>
    </w:p>
    <w:p w14:paraId="0B56E1A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1F1B70B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Output to promote enhanced knowledge-sharing, research and development, dialogue and partnership with other UN agencies and international organizations on the use of telecommunications/ICTs in support of the sustainable development and the digital transformation of society.</w:t>
      </w:r>
    </w:p>
    <w:p w14:paraId="7ABF7A3A"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en-GB" w:eastAsia="en-US"/>
        </w:rPr>
      </w:pPr>
    </w:p>
    <w:p w14:paraId="1EC0F3A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6B50112D"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596"/>
        <w:gridCol w:w="2576"/>
        <w:gridCol w:w="2609"/>
        <w:gridCol w:w="1859"/>
      </w:tblGrid>
      <w:tr w:rsidR="002048AF" w:rsidRPr="002048AF" w14:paraId="172F6800" w14:textId="77777777" w:rsidTr="000F5E63">
        <w:trPr>
          <w:trHeight w:val="1200"/>
        </w:trPr>
        <w:tc>
          <w:tcPr>
            <w:tcW w:w="2596"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79AFDE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Expected results</w:t>
            </w:r>
          </w:p>
        </w:tc>
        <w:tc>
          <w:tcPr>
            <w:tcW w:w="2576" w:type="dxa"/>
            <w:tcBorders>
              <w:top w:val="single" w:sz="4" w:space="0" w:color="auto"/>
              <w:left w:val="nil"/>
              <w:bottom w:val="single" w:sz="4" w:space="0" w:color="auto"/>
              <w:right w:val="single" w:sz="4" w:space="0" w:color="auto"/>
            </w:tcBorders>
            <w:shd w:val="clear" w:color="000000" w:fill="70A288"/>
            <w:vAlign w:val="center"/>
            <w:hideMark/>
          </w:tcPr>
          <w:p w14:paraId="6AF548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Achieved results</w:t>
            </w:r>
          </w:p>
        </w:tc>
        <w:tc>
          <w:tcPr>
            <w:tcW w:w="2609" w:type="dxa"/>
            <w:tcBorders>
              <w:top w:val="single" w:sz="4" w:space="0" w:color="auto"/>
              <w:left w:val="nil"/>
              <w:bottom w:val="single" w:sz="4" w:space="0" w:color="auto"/>
              <w:right w:val="single" w:sz="4" w:space="0" w:color="auto"/>
            </w:tcBorders>
            <w:shd w:val="clear" w:color="000000" w:fill="DAB785"/>
            <w:vAlign w:val="center"/>
            <w:hideMark/>
          </w:tcPr>
          <w:p w14:paraId="5EEC34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Key performance indicators</w:t>
            </w:r>
          </w:p>
        </w:tc>
        <w:tc>
          <w:tcPr>
            <w:tcW w:w="1859" w:type="dxa"/>
            <w:tcBorders>
              <w:top w:val="single" w:sz="4" w:space="0" w:color="auto"/>
              <w:left w:val="nil"/>
              <w:bottom w:val="single" w:sz="4" w:space="0" w:color="auto"/>
              <w:right w:val="single" w:sz="4" w:space="0" w:color="auto"/>
            </w:tcBorders>
            <w:shd w:val="clear" w:color="000000" w:fill="D6896F"/>
            <w:vAlign w:val="center"/>
            <w:hideMark/>
          </w:tcPr>
          <w:p w14:paraId="26B209D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8"/>
                <w:szCs w:val="28"/>
                <w:lang w:val="en-GB" w:eastAsia="en-US"/>
              </w:rPr>
            </w:pPr>
            <w:r w:rsidRPr="002048AF">
              <w:rPr>
                <w:rFonts w:ascii="Calibri" w:eastAsia="Times New Roman" w:hAnsi="Calibri" w:cs="Calibri"/>
                <w:b/>
                <w:bCs/>
                <w:color w:val="FFFFFF"/>
                <w:sz w:val="28"/>
                <w:szCs w:val="28"/>
                <w:lang w:val="en-GB" w:eastAsia="en-US"/>
              </w:rPr>
              <w:t>Measurement performance data</w:t>
            </w:r>
          </w:p>
        </w:tc>
      </w:tr>
      <w:tr w:rsidR="002048AF" w:rsidRPr="002048AF" w14:paraId="7D92B68D" w14:textId="77777777" w:rsidTr="000F5E63">
        <w:trPr>
          <w:trHeight w:val="4800"/>
        </w:trPr>
        <w:tc>
          <w:tcPr>
            <w:tcW w:w="2596" w:type="dxa"/>
            <w:tcBorders>
              <w:top w:val="nil"/>
              <w:left w:val="single" w:sz="4" w:space="0" w:color="auto"/>
              <w:bottom w:val="nil"/>
              <w:right w:val="single" w:sz="4" w:space="0" w:color="auto"/>
            </w:tcBorders>
            <w:shd w:val="clear" w:color="000000" w:fill="F2F2F2"/>
            <w:vAlign w:val="center"/>
            <w:hideMark/>
          </w:tcPr>
          <w:p w14:paraId="10B590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joint regional collaboration and cooperation and with the United </w:t>
            </w:r>
            <w:r w:rsidRPr="002048AF">
              <w:rPr>
                <w:rFonts w:ascii="Calibri" w:eastAsia="Times New Roman" w:hAnsi="Calibri" w:cs="Calibri"/>
                <w:color w:val="000000"/>
                <w:lang w:val="en-GB" w:eastAsia="en-US"/>
              </w:rPr>
              <w:br/>
              <w:t xml:space="preserve">Nations and its agencies, regional telecommunication organizations and financial </w:t>
            </w:r>
            <w:r w:rsidRPr="002048AF">
              <w:rPr>
                <w:rFonts w:ascii="Calibri" w:eastAsia="Times New Roman" w:hAnsi="Calibri" w:cs="Calibri"/>
                <w:color w:val="000000"/>
                <w:lang w:val="en-GB" w:eastAsia="en-US"/>
              </w:rPr>
              <w:br/>
              <w:t xml:space="preserve">and development institutions for achieving the 2030 SDGs related to digital </w:t>
            </w:r>
            <w:r w:rsidRPr="002048AF">
              <w:rPr>
                <w:rFonts w:ascii="Calibri" w:eastAsia="Times New Roman" w:hAnsi="Calibri" w:cs="Calibri"/>
                <w:color w:val="000000"/>
                <w:lang w:val="en-GB" w:eastAsia="en-US"/>
              </w:rPr>
              <w:br/>
              <w:t>economy development matters</w:t>
            </w:r>
          </w:p>
        </w:tc>
        <w:tc>
          <w:tcPr>
            <w:tcW w:w="2576" w:type="dxa"/>
            <w:tcBorders>
              <w:top w:val="nil"/>
              <w:left w:val="nil"/>
              <w:bottom w:val="nil"/>
              <w:right w:val="single" w:sz="4" w:space="0" w:color="auto"/>
            </w:tcBorders>
            <w:shd w:val="clear" w:color="000000" w:fill="F2F2F2"/>
            <w:hideMark/>
          </w:tcPr>
          <w:p w14:paraId="206265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lang w:val="en-GB" w:eastAsia="en-US"/>
              </w:rPr>
            </w:pPr>
            <w:r w:rsidRPr="002048AF">
              <w:rPr>
                <w:rFonts w:ascii="Calibri" w:eastAsia="Times New Roman" w:hAnsi="Calibri" w:cs="Calibri"/>
                <w:lang w:val="en-GB" w:eastAsia="en-US"/>
              </w:rPr>
              <w:t xml:space="preserve"> </w:t>
            </w:r>
            <w:proofErr w:type="gramStart"/>
            <w:r w:rsidRPr="002048AF">
              <w:rPr>
                <w:rFonts w:ascii="Calibri" w:eastAsia="Times New Roman" w:hAnsi="Calibri" w:cs="Calibri"/>
                <w:lang w:val="en-GB" w:eastAsia="en-US"/>
              </w:rPr>
              <w:t>A number of</w:t>
            </w:r>
            <w:proofErr w:type="gramEnd"/>
            <w:r w:rsidRPr="002048AF">
              <w:rPr>
                <w:rFonts w:ascii="Calibri" w:eastAsia="Times New Roman" w:hAnsi="Calibri" w:cs="Calibri"/>
                <w:lang w:val="en-GB" w:eastAsia="en-US"/>
              </w:rPr>
              <w:t xml:space="preserve"> projects were deployed in collaboration with the other UN agencies and development partners including </w:t>
            </w:r>
            <w:r w:rsidRPr="002048AF">
              <w:rPr>
                <w:rFonts w:ascii="Calibri" w:eastAsia="Times New Roman" w:hAnsi="Calibri" w:cs="Calibri"/>
                <w:lang w:val="en-GB" w:eastAsia="en-US"/>
              </w:rPr>
              <w:br/>
            </w:r>
          </w:p>
        </w:tc>
        <w:tc>
          <w:tcPr>
            <w:tcW w:w="2609" w:type="dxa"/>
            <w:tcBorders>
              <w:top w:val="nil"/>
              <w:left w:val="nil"/>
              <w:bottom w:val="nil"/>
              <w:right w:val="single" w:sz="4" w:space="0" w:color="auto"/>
            </w:tcBorders>
            <w:shd w:val="clear" w:color="000000" w:fill="F2F2F2"/>
            <w:hideMark/>
          </w:tcPr>
          <w:p w14:paraId="79DEE7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UN-wide joint initiatives to achieve the SDGs related to telecommunication/ICT development matters</w:t>
            </w:r>
          </w:p>
        </w:tc>
        <w:tc>
          <w:tcPr>
            <w:tcW w:w="1859" w:type="dxa"/>
            <w:tcBorders>
              <w:top w:val="nil"/>
              <w:left w:val="nil"/>
              <w:bottom w:val="nil"/>
              <w:right w:val="single" w:sz="4" w:space="0" w:color="auto"/>
            </w:tcBorders>
            <w:shd w:val="clear" w:color="000000" w:fill="F2F2F2"/>
            <w:hideMark/>
          </w:tcPr>
          <w:p w14:paraId="776BCC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297C631C" w14:textId="77777777" w:rsidTr="000F5E63">
        <w:trPr>
          <w:trHeight w:val="160"/>
        </w:trPr>
        <w:tc>
          <w:tcPr>
            <w:tcW w:w="2596" w:type="dxa"/>
            <w:tcBorders>
              <w:top w:val="nil"/>
              <w:left w:val="single" w:sz="4" w:space="0" w:color="auto"/>
              <w:bottom w:val="single" w:sz="4" w:space="0" w:color="auto"/>
              <w:right w:val="single" w:sz="4" w:space="0" w:color="auto"/>
            </w:tcBorders>
            <w:shd w:val="clear" w:color="000000" w:fill="FFFFFF"/>
            <w:vAlign w:val="center"/>
            <w:hideMark/>
          </w:tcPr>
          <w:p w14:paraId="007239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576" w:type="dxa"/>
            <w:tcBorders>
              <w:top w:val="nil"/>
              <w:left w:val="nil"/>
              <w:bottom w:val="single" w:sz="4" w:space="0" w:color="auto"/>
              <w:right w:val="single" w:sz="4" w:space="0" w:color="auto"/>
            </w:tcBorders>
            <w:shd w:val="clear" w:color="000000" w:fill="FFFFFF"/>
            <w:vAlign w:val="center"/>
            <w:hideMark/>
          </w:tcPr>
          <w:p w14:paraId="390695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09" w:type="dxa"/>
            <w:tcBorders>
              <w:top w:val="nil"/>
              <w:left w:val="nil"/>
              <w:bottom w:val="single" w:sz="4" w:space="0" w:color="auto"/>
              <w:right w:val="single" w:sz="4" w:space="0" w:color="auto"/>
            </w:tcBorders>
            <w:shd w:val="clear" w:color="000000" w:fill="FFFFFF"/>
            <w:vAlign w:val="center"/>
            <w:hideMark/>
          </w:tcPr>
          <w:p w14:paraId="4C96F38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859" w:type="dxa"/>
            <w:tcBorders>
              <w:top w:val="nil"/>
              <w:left w:val="nil"/>
              <w:bottom w:val="single" w:sz="4" w:space="0" w:color="auto"/>
              <w:right w:val="single" w:sz="4" w:space="0" w:color="auto"/>
            </w:tcBorders>
            <w:shd w:val="clear" w:color="000000" w:fill="FFFFFF"/>
            <w:vAlign w:val="center"/>
            <w:hideMark/>
          </w:tcPr>
          <w:p w14:paraId="5608C50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23F2E5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3857EE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072BE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6CFFE29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2024 Threat and risk assessment</w:t>
      </w: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500"/>
      </w:tblGrid>
      <w:tr w:rsidR="002048AF" w:rsidRPr="002048AF" w14:paraId="661E9F2B" w14:textId="77777777" w:rsidTr="000F5E63">
        <w:trPr>
          <w:trHeight w:val="680"/>
        </w:trPr>
        <w:tc>
          <w:tcPr>
            <w:tcW w:w="2020" w:type="dxa"/>
            <w:shd w:val="clear" w:color="000000" w:fill="02385E"/>
            <w:vAlign w:val="center"/>
            <w:hideMark/>
          </w:tcPr>
          <w:p w14:paraId="2FA3AA6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shd w:val="clear" w:color="000000" w:fill="70A288"/>
            <w:vAlign w:val="center"/>
            <w:hideMark/>
          </w:tcPr>
          <w:p w14:paraId="34CCB6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shd w:val="clear" w:color="000000" w:fill="DAB785"/>
            <w:vAlign w:val="center"/>
            <w:hideMark/>
          </w:tcPr>
          <w:p w14:paraId="2C8B46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shd w:val="clear" w:color="000000" w:fill="D6896F"/>
            <w:vAlign w:val="center"/>
            <w:hideMark/>
          </w:tcPr>
          <w:p w14:paraId="761D890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331BFCFC" w14:textId="77777777" w:rsidTr="000F5E63">
        <w:trPr>
          <w:trHeight w:val="2380"/>
        </w:trPr>
        <w:tc>
          <w:tcPr>
            <w:tcW w:w="2020" w:type="dxa"/>
            <w:shd w:val="clear" w:color="000000" w:fill="F2F2F2"/>
            <w:vAlign w:val="center"/>
            <w:hideMark/>
          </w:tcPr>
          <w:p w14:paraId="3FCD155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shd w:val="clear" w:color="000000" w:fill="F2F2F2"/>
            <w:vAlign w:val="center"/>
            <w:hideMark/>
          </w:tcPr>
          <w:p w14:paraId="39B90AA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Lack of resources to</w:t>
            </w:r>
            <w:r w:rsidRPr="002048AF">
              <w:rPr>
                <w:rFonts w:ascii="Calibri" w:eastAsia="Times New Roman" w:hAnsi="Calibri" w:cs="Calibri"/>
                <w:color w:val="000000"/>
                <w:sz w:val="24"/>
                <w:szCs w:val="20"/>
                <w:lang w:val="en-GB" w:eastAsia="en-US"/>
              </w:rPr>
              <w:br/>
              <w:t>provide the appropriate support</w:t>
            </w:r>
          </w:p>
        </w:tc>
        <w:tc>
          <w:tcPr>
            <w:tcW w:w="2020" w:type="dxa"/>
            <w:shd w:val="clear" w:color="000000" w:fill="F2F2F2"/>
            <w:vAlign w:val="center"/>
            <w:hideMark/>
          </w:tcPr>
          <w:p w14:paraId="0ADA13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000000" w:fill="F2F2F2"/>
            <w:vAlign w:val="center"/>
            <w:hideMark/>
          </w:tcPr>
          <w:p w14:paraId="6B2986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r w:rsidR="002048AF" w:rsidRPr="002048AF" w14:paraId="3D04C766" w14:textId="77777777" w:rsidTr="000F5E63">
        <w:trPr>
          <w:trHeight w:val="1700"/>
        </w:trPr>
        <w:tc>
          <w:tcPr>
            <w:tcW w:w="2020" w:type="dxa"/>
            <w:shd w:val="clear" w:color="auto" w:fill="auto"/>
            <w:hideMark/>
          </w:tcPr>
          <w:p w14:paraId="53C50B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Stakeholders/</w:t>
            </w:r>
            <w:r w:rsidRPr="002048AF">
              <w:rPr>
                <w:rFonts w:ascii="Calibri" w:eastAsia="Times New Roman" w:hAnsi="Calibri" w:cs="Calibri"/>
                <w:color w:val="000000"/>
                <w:sz w:val="24"/>
                <w:szCs w:val="20"/>
                <w:lang w:val="en-GB" w:eastAsia="en-US"/>
              </w:rPr>
              <w:br/>
              <w:t>partners</w:t>
            </w:r>
          </w:p>
        </w:tc>
        <w:tc>
          <w:tcPr>
            <w:tcW w:w="2020" w:type="dxa"/>
            <w:shd w:val="clear" w:color="auto" w:fill="auto"/>
            <w:hideMark/>
          </w:tcPr>
          <w:p w14:paraId="495F3F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Insufficient commitment and timely communication by countries</w:t>
            </w:r>
          </w:p>
        </w:tc>
        <w:tc>
          <w:tcPr>
            <w:tcW w:w="2020" w:type="dxa"/>
            <w:shd w:val="clear" w:color="auto" w:fill="auto"/>
            <w:noWrap/>
            <w:hideMark/>
          </w:tcPr>
          <w:p w14:paraId="662155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High</w:t>
            </w:r>
          </w:p>
        </w:tc>
        <w:tc>
          <w:tcPr>
            <w:tcW w:w="2500" w:type="dxa"/>
            <w:shd w:val="clear" w:color="auto" w:fill="auto"/>
            <w:hideMark/>
          </w:tcPr>
          <w:p w14:paraId="27E9523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Close collaboration with Member States to ensure appropriate level of involvement</w:t>
            </w:r>
          </w:p>
        </w:tc>
      </w:tr>
      <w:tr w:rsidR="002048AF" w:rsidRPr="002048AF" w14:paraId="78BD6FA4" w14:textId="77777777" w:rsidTr="000F5E63">
        <w:trPr>
          <w:trHeight w:val="1020"/>
        </w:trPr>
        <w:tc>
          <w:tcPr>
            <w:tcW w:w="2020" w:type="dxa"/>
            <w:shd w:val="clear" w:color="auto" w:fill="auto"/>
            <w:hideMark/>
          </w:tcPr>
          <w:p w14:paraId="7B627A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020" w:type="dxa"/>
            <w:shd w:val="clear" w:color="auto" w:fill="auto"/>
            <w:hideMark/>
          </w:tcPr>
          <w:p w14:paraId="0C0A45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Continuity with change of administrations </w:t>
            </w:r>
          </w:p>
        </w:tc>
        <w:tc>
          <w:tcPr>
            <w:tcW w:w="2020" w:type="dxa"/>
            <w:shd w:val="clear" w:color="auto" w:fill="auto"/>
            <w:noWrap/>
            <w:hideMark/>
          </w:tcPr>
          <w:p w14:paraId="0122A20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Medium</w:t>
            </w:r>
          </w:p>
        </w:tc>
        <w:tc>
          <w:tcPr>
            <w:tcW w:w="2500" w:type="dxa"/>
            <w:shd w:val="clear" w:color="auto" w:fill="auto"/>
            <w:hideMark/>
          </w:tcPr>
          <w:p w14:paraId="28AFBB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Regular communication to anticipate and take proactive measures to induct new focal points </w:t>
            </w:r>
          </w:p>
        </w:tc>
      </w:tr>
      <w:tr w:rsidR="002048AF" w:rsidRPr="002048AF" w14:paraId="79FD82F3" w14:textId="77777777" w:rsidTr="000F5E63">
        <w:trPr>
          <w:trHeight w:val="680"/>
        </w:trPr>
        <w:tc>
          <w:tcPr>
            <w:tcW w:w="2020" w:type="dxa"/>
            <w:shd w:val="clear" w:color="000000" w:fill="F2F2F2"/>
            <w:vAlign w:val="center"/>
          </w:tcPr>
          <w:p w14:paraId="1670EAB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c>
          <w:tcPr>
            <w:tcW w:w="2020" w:type="dxa"/>
            <w:shd w:val="clear" w:color="000000" w:fill="F2F2F2"/>
            <w:vAlign w:val="center"/>
          </w:tcPr>
          <w:p w14:paraId="04E9419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c>
          <w:tcPr>
            <w:tcW w:w="2020" w:type="dxa"/>
            <w:shd w:val="clear" w:color="000000" w:fill="F2F2F2"/>
            <w:vAlign w:val="center"/>
          </w:tcPr>
          <w:p w14:paraId="03858F1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c>
          <w:tcPr>
            <w:tcW w:w="2500" w:type="dxa"/>
            <w:shd w:val="clear" w:color="000000" w:fill="F2F2F2"/>
            <w:vAlign w:val="center"/>
          </w:tcPr>
          <w:p w14:paraId="35CFA51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p>
        </w:tc>
      </w:tr>
      <w:tr w:rsidR="002048AF" w:rsidRPr="002048AF" w14:paraId="5EEBF664" w14:textId="77777777" w:rsidTr="000F5E63">
        <w:trPr>
          <w:trHeight w:val="1020"/>
        </w:trPr>
        <w:tc>
          <w:tcPr>
            <w:tcW w:w="2020" w:type="dxa"/>
            <w:shd w:val="clear" w:color="auto" w:fill="auto"/>
            <w:vAlign w:val="center"/>
            <w:hideMark/>
          </w:tcPr>
          <w:p w14:paraId="0D95A0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Internal processes </w:t>
            </w:r>
          </w:p>
        </w:tc>
        <w:tc>
          <w:tcPr>
            <w:tcW w:w="2020" w:type="dxa"/>
            <w:shd w:val="clear" w:color="auto" w:fill="auto"/>
            <w:vAlign w:val="center"/>
            <w:hideMark/>
          </w:tcPr>
          <w:p w14:paraId="40389B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recruitment of experts </w:t>
            </w:r>
          </w:p>
        </w:tc>
        <w:tc>
          <w:tcPr>
            <w:tcW w:w="2020" w:type="dxa"/>
            <w:shd w:val="clear" w:color="auto" w:fill="auto"/>
            <w:vAlign w:val="center"/>
            <w:hideMark/>
          </w:tcPr>
          <w:p w14:paraId="56AF0A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vAlign w:val="center"/>
            <w:hideMark/>
          </w:tcPr>
          <w:p w14:paraId="142808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Timely planning and recruitment of experts </w:t>
            </w:r>
          </w:p>
        </w:tc>
      </w:tr>
      <w:tr w:rsidR="002048AF" w:rsidRPr="002048AF" w14:paraId="026170DD" w14:textId="77777777" w:rsidTr="000F5E63">
        <w:trPr>
          <w:trHeight w:val="1360"/>
        </w:trPr>
        <w:tc>
          <w:tcPr>
            <w:tcW w:w="2020" w:type="dxa"/>
            <w:shd w:val="clear" w:color="auto" w:fill="auto"/>
            <w:vAlign w:val="center"/>
            <w:hideMark/>
          </w:tcPr>
          <w:p w14:paraId="1D58494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Environment</w:t>
            </w:r>
          </w:p>
        </w:tc>
        <w:tc>
          <w:tcPr>
            <w:tcW w:w="2020" w:type="dxa"/>
            <w:shd w:val="clear" w:color="auto" w:fill="auto"/>
            <w:vAlign w:val="center"/>
            <w:hideMark/>
          </w:tcPr>
          <w:p w14:paraId="5F00C2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Delays in country activities due to unforeseen local events</w:t>
            </w:r>
          </w:p>
        </w:tc>
        <w:tc>
          <w:tcPr>
            <w:tcW w:w="2020" w:type="dxa"/>
            <w:shd w:val="clear" w:color="auto" w:fill="auto"/>
            <w:hideMark/>
          </w:tcPr>
          <w:p w14:paraId="3B3EE6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Medium </w:t>
            </w:r>
          </w:p>
        </w:tc>
        <w:tc>
          <w:tcPr>
            <w:tcW w:w="2500" w:type="dxa"/>
            <w:shd w:val="clear" w:color="auto" w:fill="auto"/>
            <w:hideMark/>
          </w:tcPr>
          <w:p w14:paraId="772931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Improved communication with partners</w:t>
            </w:r>
          </w:p>
        </w:tc>
      </w:tr>
    </w:tbl>
    <w:p w14:paraId="6F3388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27089BE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1050B73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 Statement of expected results and risk analysis</w:t>
      </w:r>
    </w:p>
    <w:p w14:paraId="0391A6D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6E66CFD6"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5B9D16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44A44E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4A1927CF" w14:textId="77777777" w:rsidTr="000F5E63">
        <w:trPr>
          <w:trHeight w:val="2560"/>
        </w:trPr>
        <w:tc>
          <w:tcPr>
            <w:tcW w:w="4180" w:type="dxa"/>
            <w:tcBorders>
              <w:top w:val="nil"/>
              <w:left w:val="single" w:sz="4" w:space="0" w:color="auto"/>
              <w:bottom w:val="nil"/>
              <w:right w:val="single" w:sz="4" w:space="0" w:color="auto"/>
            </w:tcBorders>
            <w:shd w:val="clear" w:color="000000" w:fill="F2F2F2"/>
            <w:vAlign w:val="center"/>
            <w:hideMark/>
          </w:tcPr>
          <w:p w14:paraId="794049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Strengthened joint regional collaboration and cooperation and with the United </w:t>
            </w:r>
            <w:r w:rsidRPr="002048AF">
              <w:rPr>
                <w:rFonts w:ascii="Calibri" w:eastAsia="Times New Roman" w:hAnsi="Calibri" w:cs="Calibri"/>
                <w:color w:val="000000"/>
                <w:lang w:val="en-GB" w:eastAsia="en-US"/>
              </w:rPr>
              <w:br/>
              <w:t xml:space="preserve">Nations and its agencies, regional telecommunication organizations and financial </w:t>
            </w:r>
            <w:r w:rsidRPr="002048AF">
              <w:rPr>
                <w:rFonts w:ascii="Calibri" w:eastAsia="Times New Roman" w:hAnsi="Calibri" w:cs="Calibri"/>
                <w:color w:val="000000"/>
                <w:lang w:val="en-GB" w:eastAsia="en-US"/>
              </w:rPr>
              <w:br/>
              <w:t xml:space="preserve">and development institutions for achieving the 2030 SDGs related to digital </w:t>
            </w:r>
            <w:r w:rsidRPr="002048AF">
              <w:rPr>
                <w:rFonts w:ascii="Calibri" w:eastAsia="Times New Roman" w:hAnsi="Calibri" w:cs="Calibri"/>
                <w:color w:val="000000"/>
                <w:lang w:val="en-GB" w:eastAsia="en-US"/>
              </w:rPr>
              <w:br/>
              <w:t>economy development matters</w:t>
            </w:r>
          </w:p>
        </w:tc>
        <w:tc>
          <w:tcPr>
            <w:tcW w:w="4180" w:type="dxa"/>
            <w:tcBorders>
              <w:top w:val="nil"/>
              <w:left w:val="nil"/>
              <w:bottom w:val="nil"/>
              <w:right w:val="single" w:sz="4" w:space="0" w:color="auto"/>
            </w:tcBorders>
            <w:shd w:val="clear" w:color="000000" w:fill="F2F2F2"/>
            <w:hideMark/>
          </w:tcPr>
          <w:p w14:paraId="3256E19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UN-wide joint initiatives to achieve the SDGs related to telecommunication/ICT development matters</w:t>
            </w:r>
          </w:p>
        </w:tc>
      </w:tr>
      <w:tr w:rsidR="002048AF" w:rsidRPr="002048AF" w14:paraId="00B1F718" w14:textId="77777777" w:rsidTr="000F5E63">
        <w:trPr>
          <w:trHeight w:val="18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421914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573E00C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46610AC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3E7D4A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042F7B60"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FD503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69EE45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74EDF7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83CD0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0241B1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1EE35010" w14:textId="77777777" w:rsidTr="000F5E6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2C9CD2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174B96B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49E1F0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7BCB339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3D87D42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0989AC02" w14:textId="77777777" w:rsidTr="000F5E63">
        <w:trPr>
          <w:trHeight w:val="1600"/>
        </w:trPr>
        <w:tc>
          <w:tcPr>
            <w:tcW w:w="1660" w:type="dxa"/>
            <w:tcBorders>
              <w:top w:val="nil"/>
              <w:left w:val="single" w:sz="4" w:space="0" w:color="auto"/>
              <w:bottom w:val="nil"/>
              <w:right w:val="nil"/>
            </w:tcBorders>
            <w:shd w:val="clear" w:color="auto" w:fill="auto"/>
            <w:hideMark/>
          </w:tcPr>
          <w:p w14:paraId="118332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71355DA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27567A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3BA762F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1F8D448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48E9C457" w14:textId="77777777" w:rsidTr="000F5E63">
        <w:trPr>
          <w:trHeight w:val="1920"/>
        </w:trPr>
        <w:tc>
          <w:tcPr>
            <w:tcW w:w="1660" w:type="dxa"/>
            <w:tcBorders>
              <w:top w:val="nil"/>
              <w:left w:val="single" w:sz="4" w:space="0" w:color="auto"/>
              <w:bottom w:val="nil"/>
              <w:right w:val="nil"/>
            </w:tcBorders>
            <w:shd w:val="clear" w:color="auto" w:fill="auto"/>
            <w:hideMark/>
          </w:tcPr>
          <w:p w14:paraId="019883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nil"/>
              <w:right w:val="single" w:sz="4" w:space="0" w:color="auto"/>
            </w:tcBorders>
            <w:shd w:val="clear" w:color="auto" w:fill="auto"/>
            <w:hideMark/>
          </w:tcPr>
          <w:p w14:paraId="52F87C0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1BA951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0DF6B7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CF408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579AC9B5" w14:textId="77777777" w:rsidTr="000F5E63">
        <w:trPr>
          <w:trHeight w:val="640"/>
        </w:trPr>
        <w:tc>
          <w:tcPr>
            <w:tcW w:w="1660" w:type="dxa"/>
            <w:tcBorders>
              <w:top w:val="nil"/>
              <w:left w:val="single" w:sz="4" w:space="0" w:color="auto"/>
              <w:right w:val="single" w:sz="4" w:space="0" w:color="auto"/>
            </w:tcBorders>
            <w:shd w:val="clear" w:color="000000" w:fill="F2F2F2"/>
            <w:vAlign w:val="center"/>
            <w:hideMark/>
          </w:tcPr>
          <w:p w14:paraId="4B1E275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right w:val="single" w:sz="4" w:space="0" w:color="auto"/>
            </w:tcBorders>
            <w:shd w:val="clear" w:color="000000" w:fill="F2F2F2"/>
            <w:vAlign w:val="center"/>
            <w:hideMark/>
          </w:tcPr>
          <w:p w14:paraId="5ED7A6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right w:val="single" w:sz="4" w:space="0" w:color="auto"/>
            </w:tcBorders>
            <w:shd w:val="clear" w:color="000000" w:fill="F2F2F2"/>
            <w:vAlign w:val="center"/>
            <w:hideMark/>
          </w:tcPr>
          <w:p w14:paraId="1221D03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right w:val="nil"/>
            </w:tcBorders>
            <w:shd w:val="clear" w:color="000000" w:fill="F2F2F2"/>
            <w:vAlign w:val="center"/>
            <w:hideMark/>
          </w:tcPr>
          <w:p w14:paraId="363D2B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single" w:sz="4" w:space="0" w:color="auto"/>
              <w:right w:val="single" w:sz="4" w:space="0" w:color="auto"/>
            </w:tcBorders>
            <w:shd w:val="clear" w:color="000000" w:fill="F2F2F2"/>
            <w:vAlign w:val="center"/>
            <w:hideMark/>
          </w:tcPr>
          <w:p w14:paraId="63C6AA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44214DFB" w14:textId="77777777" w:rsidTr="000F5E63">
        <w:trPr>
          <w:trHeight w:val="96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83913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nil"/>
              <w:left w:val="nil"/>
              <w:bottom w:val="single" w:sz="4" w:space="0" w:color="auto"/>
              <w:right w:val="single" w:sz="4" w:space="0" w:color="auto"/>
            </w:tcBorders>
            <w:shd w:val="clear" w:color="auto" w:fill="auto"/>
            <w:vAlign w:val="center"/>
            <w:hideMark/>
          </w:tcPr>
          <w:p w14:paraId="709F7B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nil"/>
              <w:left w:val="nil"/>
              <w:bottom w:val="single" w:sz="4" w:space="0" w:color="auto"/>
              <w:right w:val="single" w:sz="4" w:space="0" w:color="auto"/>
            </w:tcBorders>
            <w:shd w:val="clear" w:color="auto" w:fill="auto"/>
            <w:vAlign w:val="center"/>
            <w:hideMark/>
          </w:tcPr>
          <w:p w14:paraId="315000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single" w:sz="4" w:space="0" w:color="auto"/>
              <w:right w:val="nil"/>
            </w:tcBorders>
            <w:shd w:val="clear" w:color="auto" w:fill="auto"/>
            <w:vAlign w:val="center"/>
            <w:hideMark/>
          </w:tcPr>
          <w:p w14:paraId="6526CC3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C74B3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2A72A9FB" w14:textId="77777777" w:rsidTr="000F5E63">
        <w:trPr>
          <w:trHeight w:val="2900"/>
        </w:trPr>
        <w:tc>
          <w:tcPr>
            <w:tcW w:w="1660" w:type="dxa"/>
            <w:tcBorders>
              <w:top w:val="single" w:sz="4" w:space="0" w:color="auto"/>
              <w:left w:val="single" w:sz="4" w:space="0" w:color="auto"/>
              <w:bottom w:val="nil"/>
              <w:right w:val="single" w:sz="4" w:space="0" w:color="auto"/>
            </w:tcBorders>
            <w:shd w:val="clear" w:color="000000" w:fill="F2F2F2"/>
            <w:hideMark/>
          </w:tcPr>
          <w:p w14:paraId="4CB95F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Human resources</w:t>
            </w:r>
          </w:p>
        </w:tc>
        <w:tc>
          <w:tcPr>
            <w:tcW w:w="2020" w:type="dxa"/>
            <w:tcBorders>
              <w:top w:val="single" w:sz="4" w:space="0" w:color="auto"/>
              <w:left w:val="nil"/>
              <w:bottom w:val="nil"/>
              <w:right w:val="single" w:sz="4" w:space="0" w:color="auto"/>
            </w:tcBorders>
            <w:shd w:val="clear" w:color="000000" w:fill="F2F2F2"/>
            <w:hideMark/>
          </w:tcPr>
          <w:p w14:paraId="7E95E4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single" w:sz="4" w:space="0" w:color="auto"/>
              <w:left w:val="nil"/>
              <w:bottom w:val="nil"/>
              <w:right w:val="single" w:sz="4" w:space="0" w:color="auto"/>
            </w:tcBorders>
            <w:shd w:val="clear" w:color="000000" w:fill="F2F2F2"/>
            <w:hideMark/>
          </w:tcPr>
          <w:p w14:paraId="575F59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single" w:sz="4" w:space="0" w:color="auto"/>
              <w:left w:val="nil"/>
              <w:bottom w:val="nil"/>
              <w:right w:val="nil"/>
            </w:tcBorders>
            <w:shd w:val="clear" w:color="000000" w:fill="F2F2F2"/>
            <w:hideMark/>
          </w:tcPr>
          <w:p w14:paraId="7FFA7F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top w:val="single" w:sz="4" w:space="0" w:color="auto"/>
              <w:left w:val="single" w:sz="4" w:space="0" w:color="auto"/>
              <w:bottom w:val="nil"/>
              <w:right w:val="single" w:sz="4" w:space="0" w:color="auto"/>
            </w:tcBorders>
            <w:shd w:val="clear" w:color="000000" w:fill="F2F2F2"/>
            <w:hideMark/>
          </w:tcPr>
          <w:p w14:paraId="47F8AF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401C11A4"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0BEFD7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0B1DCC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1131D8B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4052DA8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4596AA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54A3CC98"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0FDD9AC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43882B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5A08DB5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20D368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964A1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2AECCD7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0"/>
          <w:lang w:val="en-GB" w:eastAsia="en-US"/>
        </w:rPr>
      </w:pPr>
    </w:p>
    <w:p w14:paraId="59933DCC"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2026-2029 human resources allocation</w:t>
      </w:r>
    </w:p>
    <w:p w14:paraId="00B6A6B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0B0A27D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A2641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8A3EE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0B47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FD3BC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8F7F1F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0B0F46E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1FA607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F8B76E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45E3B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E2878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194F8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53563FB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41F1EE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8F12C6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74062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C0ACE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5972A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3,2</w:t>
            </w:r>
          </w:p>
        </w:tc>
      </w:tr>
      <w:tr w:rsidR="002048AF" w:rsidRPr="002048AF" w14:paraId="34D7E05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D7B1E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D134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BDF96F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BAE3B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3AB2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7EE1939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8C70A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66F745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7435A7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DF148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18,0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C72E5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17,0</w:t>
            </w:r>
          </w:p>
        </w:tc>
      </w:tr>
      <w:tr w:rsidR="002048AF" w:rsidRPr="002048AF" w14:paraId="508A18D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2EE799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5F4584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9EBC2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4A034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00FEF8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w:t>
            </w:r>
          </w:p>
        </w:tc>
      </w:tr>
      <w:tr w:rsidR="002048AF" w:rsidRPr="002048AF" w14:paraId="0DBA2A6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CE6E36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0AE53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21,9</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AD8D0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21,9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AC486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22,0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06FD7E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19,2</w:t>
            </w:r>
          </w:p>
        </w:tc>
      </w:tr>
      <w:tr w:rsidR="002048AF" w:rsidRPr="002048AF" w14:paraId="45F5EBD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9F8C27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7488F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AC12B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556E4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187E8A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3,9</w:t>
            </w:r>
          </w:p>
        </w:tc>
      </w:tr>
      <w:tr w:rsidR="002048AF" w:rsidRPr="002048AF" w14:paraId="3D886F9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0665A3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0447AD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4CE756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1F7E9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7ED146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0389D98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62E989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4A1191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234D978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72BBB52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6220E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r>
      <w:tr w:rsidR="002048AF" w:rsidRPr="002048AF" w14:paraId="22237344"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A6A40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4398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714476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3,1</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6A73435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3,6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EC667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2,5</w:t>
            </w:r>
          </w:p>
        </w:tc>
      </w:tr>
      <w:tr w:rsidR="002048AF" w:rsidRPr="002048AF" w14:paraId="0A71C6DE"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509CC9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23FADB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14,7</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9CB653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14,9</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3AF73D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3A0FC7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13,6</w:t>
            </w:r>
          </w:p>
        </w:tc>
      </w:tr>
      <w:tr w:rsidR="002048AF" w:rsidRPr="002048AF" w14:paraId="3AE1468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49E6E4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DDAD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86496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E276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2BDC3B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51C38585"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6F5A7E4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7DAB6B9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344A8A9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2AB3B8D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4BC7F9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258A045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54E6275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1C7F2C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55E5029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4DA22F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620CF11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46C371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3AD5DA5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926402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91,4</w:t>
            </w: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0B77FE6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90,7</w:t>
            </w: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1566531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91,7</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118D4A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81,1</w:t>
            </w:r>
          </w:p>
        </w:tc>
      </w:tr>
      <w:tr w:rsidR="002048AF" w:rsidRPr="002048AF" w14:paraId="78EDCA4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tcPr>
          <w:p w14:paraId="768A803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tcPr>
          <w:p w14:paraId="3A65986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AB785"/>
            <w:noWrap/>
            <w:vAlign w:val="bottom"/>
          </w:tcPr>
          <w:p w14:paraId="6695240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nil"/>
              <w:bottom w:val="single" w:sz="4" w:space="0" w:color="auto"/>
              <w:right w:val="single" w:sz="4" w:space="0" w:color="auto"/>
            </w:tcBorders>
            <w:shd w:val="clear" w:color="000000" w:fill="D6896F"/>
            <w:noWrap/>
            <w:vAlign w:val="bottom"/>
          </w:tcPr>
          <w:p w14:paraId="0292F9C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tcPr>
          <w:p w14:paraId="5B842E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p>
        </w:tc>
      </w:tr>
    </w:tbl>
    <w:p w14:paraId="5576C00B"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sz w:val="24"/>
          <w:szCs w:val="24"/>
          <w:lang w:val="fr-CH" w:eastAsia="en-US"/>
        </w:rPr>
      </w:pPr>
      <w:r w:rsidRPr="002048AF">
        <w:rPr>
          <w:rFonts w:ascii="Calibri" w:eastAsia="Times New Roman" w:hAnsi="Calibri" w:cs="Calibri"/>
          <w:b/>
          <w:bCs/>
          <w:sz w:val="24"/>
          <w:szCs w:val="24"/>
          <w:lang w:val="fr-CH" w:eastAsia="en-US"/>
        </w:rPr>
        <w:lastRenderedPageBreak/>
        <w:t>2.14</w:t>
      </w:r>
      <w:r w:rsidRPr="002048AF">
        <w:rPr>
          <w:rFonts w:ascii="Calibri" w:eastAsia="Times New Roman" w:hAnsi="Calibri" w:cs="Calibri"/>
          <w:b/>
          <w:bCs/>
          <w:sz w:val="24"/>
          <w:szCs w:val="24"/>
          <w:lang w:val="fr-CH" w:eastAsia="en-US"/>
        </w:rPr>
        <w:tab/>
        <w:t>Platforms (GSR, WTIS, RDF, etc.)</w:t>
      </w:r>
    </w:p>
    <w:p w14:paraId="47B23858"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Description</w:t>
      </w:r>
    </w:p>
    <w:p w14:paraId="1B285359" w14:textId="77777777" w:rsidR="002048AF" w:rsidRPr="002048AF" w:rsidRDefault="002048AF" w:rsidP="002048AF">
      <w:pPr>
        <w:keepNext/>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r w:rsidRPr="002048AF">
        <w:rPr>
          <w:rFonts w:ascii="Calibri" w:eastAsia="Times New Roman" w:hAnsi="Calibri" w:cs="Calibri"/>
          <w:sz w:val="24"/>
          <w:szCs w:val="24"/>
          <w:lang w:val="en-GB" w:eastAsia="en-US"/>
        </w:rPr>
        <w:t xml:space="preserve">This output aims to bring together a wide range of stakeholders as a convening platform in </w:t>
      </w:r>
    </w:p>
    <w:p w14:paraId="75124CD4"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Arial"/>
          <w:sz w:val="24"/>
          <w:szCs w:val="20"/>
          <w:lang w:val="en-GB" w:eastAsia="en-US"/>
        </w:rPr>
      </w:pPr>
      <w:r w:rsidRPr="002048AF">
        <w:rPr>
          <w:rFonts w:ascii="Calibri" w:eastAsia="Times New Roman" w:hAnsi="Calibri" w:cs="Arial"/>
          <w:sz w:val="24"/>
          <w:szCs w:val="20"/>
          <w:lang w:val="en-GB" w:eastAsia="en-US"/>
        </w:rPr>
        <w:t xml:space="preserve">telecommunications/ICTs to share experiences and knowledge, collaborate and identify means to bring affordable, safe, </w:t>
      </w:r>
      <w:proofErr w:type="gramStart"/>
      <w:r w:rsidRPr="002048AF">
        <w:rPr>
          <w:rFonts w:ascii="Calibri" w:eastAsia="Times New Roman" w:hAnsi="Calibri" w:cs="Arial"/>
          <w:sz w:val="24"/>
          <w:szCs w:val="20"/>
          <w:lang w:val="en-GB" w:eastAsia="en-US"/>
        </w:rPr>
        <w:t>secure</w:t>
      </w:r>
      <w:proofErr w:type="gramEnd"/>
      <w:r w:rsidRPr="002048AF">
        <w:rPr>
          <w:rFonts w:ascii="Calibri" w:eastAsia="Times New Roman" w:hAnsi="Calibri" w:cs="Arial"/>
          <w:sz w:val="24"/>
          <w:szCs w:val="20"/>
          <w:lang w:val="en-GB" w:eastAsia="en-US"/>
        </w:rPr>
        <w:t xml:space="preserve"> and trusted connectivity and use to people everywhere.</w:t>
      </w:r>
    </w:p>
    <w:p w14:paraId="5A1A5680"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sz w:val="24"/>
          <w:szCs w:val="24"/>
          <w:lang w:val="en-GB" w:eastAsia="en-US"/>
        </w:rPr>
      </w:pPr>
    </w:p>
    <w:p w14:paraId="3F75658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b/>
          <w:bCs/>
          <w:sz w:val="24"/>
          <w:szCs w:val="24"/>
          <w:lang w:val="en-GB" w:eastAsia="en-US"/>
        </w:rPr>
      </w:pPr>
      <w:r w:rsidRPr="002048AF">
        <w:rPr>
          <w:rFonts w:ascii="Calibri" w:eastAsia="Times New Roman" w:hAnsi="Calibri" w:cs="Calibri"/>
          <w:b/>
          <w:bCs/>
          <w:sz w:val="24"/>
          <w:szCs w:val="24"/>
          <w:lang w:val="en-GB" w:eastAsia="en-US"/>
        </w:rPr>
        <w:t>2024 performance report and risk analysis</w:t>
      </w:r>
    </w:p>
    <w:p w14:paraId="15C4137B"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textAlignment w:val="baseline"/>
        <w:rPr>
          <w:rFonts w:ascii="Calibri" w:eastAsia="Times New Roman" w:hAnsi="Calibri" w:cs="Calibri"/>
          <w:i/>
          <w:iCs/>
          <w:sz w:val="24"/>
          <w:szCs w:val="24"/>
          <w:lang w:val="en-GB" w:eastAsia="en-US"/>
        </w:rPr>
      </w:pPr>
      <w:r w:rsidRPr="002048AF">
        <w:rPr>
          <w:rFonts w:ascii="Calibri" w:eastAsia="Times New Roman" w:hAnsi="Calibri" w:cs="Calibri"/>
          <w:i/>
          <w:iCs/>
          <w:sz w:val="24"/>
          <w:szCs w:val="24"/>
          <w:lang w:val="en-GB" w:eastAsia="en-US"/>
        </w:rPr>
        <w:t>2024 Statement of achieved results</w:t>
      </w:r>
    </w:p>
    <w:tbl>
      <w:tblPr>
        <w:tblW w:w="9640" w:type="dxa"/>
        <w:tblLook w:val="04A0" w:firstRow="1" w:lastRow="0" w:firstColumn="1" w:lastColumn="0" w:noHBand="0" w:noVBand="1"/>
      </w:tblPr>
      <w:tblGrid>
        <w:gridCol w:w="2620"/>
        <w:gridCol w:w="2620"/>
        <w:gridCol w:w="2620"/>
        <w:gridCol w:w="1780"/>
      </w:tblGrid>
      <w:tr w:rsidR="002048AF" w:rsidRPr="002048AF" w14:paraId="0858D700" w14:textId="77777777" w:rsidTr="000F5E63">
        <w:trPr>
          <w:trHeight w:val="1020"/>
        </w:trPr>
        <w:tc>
          <w:tcPr>
            <w:tcW w:w="26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1E2C14B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2620" w:type="dxa"/>
            <w:tcBorders>
              <w:top w:val="single" w:sz="4" w:space="0" w:color="auto"/>
              <w:left w:val="nil"/>
              <w:bottom w:val="single" w:sz="4" w:space="0" w:color="auto"/>
              <w:right w:val="single" w:sz="4" w:space="0" w:color="auto"/>
            </w:tcBorders>
            <w:shd w:val="clear" w:color="000000" w:fill="70A288"/>
            <w:vAlign w:val="center"/>
            <w:hideMark/>
          </w:tcPr>
          <w:p w14:paraId="1C22E7A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Achieved results</w:t>
            </w:r>
          </w:p>
        </w:tc>
        <w:tc>
          <w:tcPr>
            <w:tcW w:w="2620" w:type="dxa"/>
            <w:tcBorders>
              <w:top w:val="single" w:sz="4" w:space="0" w:color="auto"/>
              <w:left w:val="nil"/>
              <w:bottom w:val="single" w:sz="4" w:space="0" w:color="auto"/>
              <w:right w:val="single" w:sz="4" w:space="0" w:color="auto"/>
            </w:tcBorders>
            <w:shd w:val="clear" w:color="000000" w:fill="DAB785"/>
            <w:vAlign w:val="center"/>
            <w:hideMark/>
          </w:tcPr>
          <w:p w14:paraId="021DB6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c>
          <w:tcPr>
            <w:tcW w:w="1780" w:type="dxa"/>
            <w:tcBorders>
              <w:top w:val="single" w:sz="4" w:space="0" w:color="auto"/>
              <w:left w:val="nil"/>
              <w:bottom w:val="single" w:sz="4" w:space="0" w:color="auto"/>
              <w:right w:val="single" w:sz="4" w:space="0" w:color="auto"/>
            </w:tcBorders>
            <w:shd w:val="clear" w:color="000000" w:fill="D6896F"/>
            <w:vAlign w:val="center"/>
            <w:hideMark/>
          </w:tcPr>
          <w:p w14:paraId="48E4B0A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Measurement performance data</w:t>
            </w:r>
          </w:p>
        </w:tc>
      </w:tr>
      <w:tr w:rsidR="002048AF" w:rsidRPr="002048AF" w14:paraId="78AD6D30" w14:textId="77777777" w:rsidTr="000F5E63">
        <w:trPr>
          <w:trHeight w:val="3520"/>
        </w:trPr>
        <w:tc>
          <w:tcPr>
            <w:tcW w:w="2620" w:type="dxa"/>
            <w:tcBorders>
              <w:top w:val="nil"/>
              <w:left w:val="single" w:sz="4" w:space="0" w:color="auto"/>
              <w:bottom w:val="nil"/>
              <w:right w:val="single" w:sz="4" w:space="0" w:color="auto"/>
            </w:tcBorders>
            <w:shd w:val="clear" w:color="000000" w:fill="F2F2F2"/>
            <w:vAlign w:val="center"/>
            <w:hideMark/>
          </w:tcPr>
          <w:p w14:paraId="533CE2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Enhanced knowledge-sharing, research and development, </w:t>
            </w:r>
            <w:proofErr w:type="gramStart"/>
            <w:r w:rsidRPr="002048AF">
              <w:rPr>
                <w:rFonts w:ascii="Calibri" w:eastAsia="Times New Roman" w:hAnsi="Calibri" w:cs="Calibri"/>
                <w:color w:val="000000"/>
                <w:lang w:val="en-GB" w:eastAsia="en-US"/>
              </w:rPr>
              <w:t>dialogue</w:t>
            </w:r>
            <w:proofErr w:type="gramEnd"/>
            <w:r w:rsidRPr="002048AF">
              <w:rPr>
                <w:rFonts w:ascii="Calibri" w:eastAsia="Times New Roman" w:hAnsi="Calibri" w:cs="Calibri"/>
                <w:color w:val="000000"/>
                <w:lang w:val="en-GB" w:eastAsia="en-US"/>
              </w:rPr>
              <w:t xml:space="preserve"> and partnership among the ITU membership on telecommunication/ICT issues</w:t>
            </w:r>
          </w:p>
        </w:tc>
        <w:tc>
          <w:tcPr>
            <w:tcW w:w="2620" w:type="dxa"/>
            <w:tcBorders>
              <w:top w:val="nil"/>
              <w:left w:val="nil"/>
              <w:bottom w:val="nil"/>
              <w:right w:val="single" w:sz="4" w:space="0" w:color="auto"/>
            </w:tcBorders>
            <w:shd w:val="clear" w:color="000000" w:fill="F2F2F2"/>
            <w:vAlign w:val="center"/>
            <w:hideMark/>
          </w:tcPr>
          <w:p w14:paraId="61CC4D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Events and fora covering the various topics and programmes handled by BDT were organized to enhanced knowledge-sharing among Member States and to accelerate the implement of ITU-D priorities and enablers. See details under each topic above. </w:t>
            </w:r>
          </w:p>
        </w:tc>
        <w:tc>
          <w:tcPr>
            <w:tcW w:w="2620" w:type="dxa"/>
            <w:tcBorders>
              <w:top w:val="nil"/>
              <w:left w:val="nil"/>
              <w:bottom w:val="nil"/>
              <w:right w:val="single" w:sz="4" w:space="0" w:color="auto"/>
            </w:tcBorders>
            <w:shd w:val="clear" w:color="000000" w:fill="F2F2F2"/>
            <w:vAlign w:val="center"/>
            <w:hideMark/>
          </w:tcPr>
          <w:p w14:paraId="75BF975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participants in RDFs, regional dialogues, and BDT-led events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Share of women, youth, Member states, LDCs, LLDCs, SIDS, Private Sector, academia</w:t>
            </w:r>
          </w:p>
        </w:tc>
        <w:tc>
          <w:tcPr>
            <w:tcW w:w="1780" w:type="dxa"/>
            <w:tcBorders>
              <w:top w:val="nil"/>
              <w:left w:val="nil"/>
              <w:bottom w:val="nil"/>
              <w:right w:val="single" w:sz="4" w:space="0" w:color="auto"/>
            </w:tcBorders>
            <w:shd w:val="clear" w:color="000000" w:fill="F2F2F2"/>
            <w:vAlign w:val="center"/>
            <w:hideMark/>
          </w:tcPr>
          <w:p w14:paraId="521E8A5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data/ platforms </w:t>
            </w:r>
          </w:p>
        </w:tc>
      </w:tr>
      <w:tr w:rsidR="002048AF" w:rsidRPr="002048AF" w14:paraId="62D8460F" w14:textId="77777777" w:rsidTr="000F5E63">
        <w:trPr>
          <w:trHeight w:val="320"/>
        </w:trPr>
        <w:tc>
          <w:tcPr>
            <w:tcW w:w="2620" w:type="dxa"/>
            <w:tcBorders>
              <w:top w:val="nil"/>
              <w:left w:val="single" w:sz="4" w:space="0" w:color="auto"/>
              <w:bottom w:val="nil"/>
              <w:right w:val="single" w:sz="4" w:space="0" w:color="auto"/>
            </w:tcBorders>
            <w:shd w:val="clear" w:color="000000" w:fill="F2F2F2"/>
            <w:vAlign w:val="center"/>
            <w:hideMark/>
          </w:tcPr>
          <w:p w14:paraId="3042BEE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0BA17BB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nil"/>
              <w:right w:val="single" w:sz="4" w:space="0" w:color="auto"/>
            </w:tcBorders>
            <w:shd w:val="clear" w:color="000000" w:fill="F2F2F2"/>
            <w:vAlign w:val="center"/>
            <w:hideMark/>
          </w:tcPr>
          <w:p w14:paraId="4D138A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780" w:type="dxa"/>
            <w:tcBorders>
              <w:top w:val="nil"/>
              <w:left w:val="nil"/>
              <w:bottom w:val="nil"/>
              <w:right w:val="single" w:sz="4" w:space="0" w:color="auto"/>
            </w:tcBorders>
            <w:shd w:val="clear" w:color="000000" w:fill="F2F2F2"/>
            <w:vAlign w:val="center"/>
            <w:hideMark/>
          </w:tcPr>
          <w:p w14:paraId="01B6F4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r w:rsidR="002048AF" w:rsidRPr="002048AF" w14:paraId="428A3A09" w14:textId="77777777" w:rsidTr="000F5E63">
        <w:trPr>
          <w:trHeight w:val="140"/>
        </w:trPr>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1E04A5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3344D6D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2620" w:type="dxa"/>
            <w:tcBorders>
              <w:top w:val="nil"/>
              <w:left w:val="nil"/>
              <w:bottom w:val="single" w:sz="4" w:space="0" w:color="auto"/>
              <w:right w:val="single" w:sz="4" w:space="0" w:color="auto"/>
            </w:tcBorders>
            <w:shd w:val="clear" w:color="000000" w:fill="FFFFFF"/>
            <w:vAlign w:val="center"/>
            <w:hideMark/>
          </w:tcPr>
          <w:p w14:paraId="72F2548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c>
          <w:tcPr>
            <w:tcW w:w="1780" w:type="dxa"/>
            <w:tcBorders>
              <w:top w:val="nil"/>
              <w:left w:val="nil"/>
              <w:bottom w:val="single" w:sz="4" w:space="0" w:color="auto"/>
              <w:right w:val="single" w:sz="4" w:space="0" w:color="auto"/>
            </w:tcBorders>
            <w:shd w:val="clear" w:color="000000" w:fill="FFFFFF"/>
            <w:vAlign w:val="center"/>
            <w:hideMark/>
          </w:tcPr>
          <w:p w14:paraId="55A1FD9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w:t>
            </w:r>
          </w:p>
        </w:tc>
      </w:tr>
    </w:tbl>
    <w:p w14:paraId="4BE13D3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1AF7426D" w14:textId="77777777" w:rsidR="002048AF" w:rsidRPr="002048AF" w:rsidRDefault="002048AF" w:rsidP="002048AF">
      <w:pPr>
        <w:tabs>
          <w:tab w:val="clear" w:pos="794"/>
        </w:tabs>
        <w:bidi w:val="0"/>
        <w:spacing w:before="0" w:line="240" w:lineRule="auto"/>
        <w:jc w:val="left"/>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br w:type="page"/>
      </w:r>
    </w:p>
    <w:p w14:paraId="1ABC0D57"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lastRenderedPageBreak/>
        <w:t>2024 Threat and risk assessment</w:t>
      </w:r>
    </w:p>
    <w:tbl>
      <w:tblPr>
        <w:tblW w:w="8560" w:type="dxa"/>
        <w:tblLook w:val="04A0" w:firstRow="1" w:lastRow="0" w:firstColumn="1" w:lastColumn="0" w:noHBand="0" w:noVBand="1"/>
      </w:tblPr>
      <w:tblGrid>
        <w:gridCol w:w="2020"/>
        <w:gridCol w:w="2020"/>
        <w:gridCol w:w="2020"/>
        <w:gridCol w:w="2500"/>
      </w:tblGrid>
      <w:tr w:rsidR="002048AF" w:rsidRPr="002048AF" w14:paraId="58508FC7" w14:textId="77777777" w:rsidTr="000F5E63">
        <w:trPr>
          <w:trHeight w:val="680"/>
        </w:trPr>
        <w:tc>
          <w:tcPr>
            <w:tcW w:w="2020" w:type="dxa"/>
            <w:tcBorders>
              <w:top w:val="single" w:sz="4" w:space="0" w:color="auto"/>
              <w:left w:val="single" w:sz="4" w:space="0" w:color="auto"/>
              <w:bottom w:val="single" w:sz="4" w:space="0" w:color="auto"/>
              <w:right w:val="single" w:sz="4" w:space="0" w:color="auto"/>
            </w:tcBorders>
            <w:shd w:val="clear" w:color="000000" w:fill="02385E"/>
            <w:vAlign w:val="center"/>
            <w:hideMark/>
          </w:tcPr>
          <w:p w14:paraId="3B588F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vAlign w:val="center"/>
            <w:hideMark/>
          </w:tcPr>
          <w:p w14:paraId="4F93A8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Risks reported</w:t>
            </w:r>
          </w:p>
        </w:tc>
        <w:tc>
          <w:tcPr>
            <w:tcW w:w="2020" w:type="dxa"/>
            <w:tcBorders>
              <w:top w:val="single" w:sz="4" w:space="0" w:color="auto"/>
              <w:left w:val="nil"/>
              <w:bottom w:val="single" w:sz="4" w:space="0" w:color="auto"/>
              <w:right w:val="single" w:sz="4" w:space="0" w:color="auto"/>
            </w:tcBorders>
            <w:shd w:val="clear" w:color="000000" w:fill="DAB785"/>
            <w:vAlign w:val="center"/>
            <w:hideMark/>
          </w:tcPr>
          <w:p w14:paraId="6EC00E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 reported</w:t>
            </w:r>
          </w:p>
        </w:tc>
        <w:tc>
          <w:tcPr>
            <w:tcW w:w="2500" w:type="dxa"/>
            <w:tcBorders>
              <w:top w:val="single" w:sz="4" w:space="0" w:color="auto"/>
              <w:left w:val="nil"/>
              <w:bottom w:val="single" w:sz="4" w:space="0" w:color="auto"/>
              <w:right w:val="single" w:sz="4" w:space="0" w:color="auto"/>
            </w:tcBorders>
            <w:shd w:val="clear" w:color="000000" w:fill="D6896F"/>
            <w:vAlign w:val="center"/>
            <w:hideMark/>
          </w:tcPr>
          <w:p w14:paraId="5902B7C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 measures implemented</w:t>
            </w:r>
          </w:p>
        </w:tc>
      </w:tr>
      <w:tr w:rsidR="002048AF" w:rsidRPr="002048AF" w14:paraId="2D6E3879" w14:textId="77777777" w:rsidTr="000F5E63">
        <w:trPr>
          <w:trHeight w:val="2380"/>
        </w:trPr>
        <w:tc>
          <w:tcPr>
            <w:tcW w:w="20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5A89A4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 xml:space="preserve">Finance </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5032D56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Lack of resources to</w:t>
            </w:r>
            <w:r w:rsidRPr="002048AF">
              <w:rPr>
                <w:rFonts w:ascii="Calibri" w:eastAsia="Times New Roman" w:hAnsi="Calibri" w:cs="Calibri"/>
                <w:color w:val="000000"/>
                <w:sz w:val="24"/>
                <w:szCs w:val="20"/>
                <w:lang w:val="en-GB" w:eastAsia="en-US"/>
              </w:rPr>
              <w:br/>
              <w:t>provide the appropriate support</w:t>
            </w:r>
          </w:p>
        </w:tc>
        <w:tc>
          <w:tcPr>
            <w:tcW w:w="2020" w:type="dxa"/>
            <w:tcBorders>
              <w:top w:val="single" w:sz="4" w:space="0" w:color="auto"/>
              <w:left w:val="nil"/>
              <w:bottom w:val="single" w:sz="4" w:space="0" w:color="auto"/>
              <w:right w:val="single" w:sz="4" w:space="0" w:color="auto"/>
            </w:tcBorders>
            <w:shd w:val="clear" w:color="000000" w:fill="F2F2F2"/>
            <w:vAlign w:val="center"/>
            <w:hideMark/>
          </w:tcPr>
          <w:p w14:paraId="4932B5A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Low</w:t>
            </w:r>
          </w:p>
        </w:tc>
        <w:tc>
          <w:tcPr>
            <w:tcW w:w="2500" w:type="dxa"/>
            <w:tcBorders>
              <w:top w:val="single" w:sz="4" w:space="0" w:color="auto"/>
              <w:left w:val="nil"/>
              <w:bottom w:val="single" w:sz="4" w:space="0" w:color="auto"/>
              <w:right w:val="single" w:sz="4" w:space="0" w:color="auto"/>
            </w:tcBorders>
            <w:shd w:val="clear" w:color="000000" w:fill="F2F2F2"/>
            <w:vAlign w:val="center"/>
            <w:hideMark/>
          </w:tcPr>
          <w:p w14:paraId="39708A1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sz w:val="24"/>
                <w:szCs w:val="20"/>
                <w:lang w:val="en-GB" w:eastAsia="en-US"/>
              </w:rPr>
            </w:pPr>
            <w:r w:rsidRPr="002048AF">
              <w:rPr>
                <w:rFonts w:ascii="Calibri" w:eastAsia="Times New Roman" w:hAnsi="Calibri" w:cs="Calibri"/>
                <w:color w:val="000000"/>
                <w:sz w:val="24"/>
                <w:szCs w:val="20"/>
                <w:lang w:val="en-GB" w:eastAsia="en-US"/>
              </w:rPr>
              <w:t>Appropriate budget</w:t>
            </w:r>
            <w:r w:rsidRPr="002048AF">
              <w:rPr>
                <w:rFonts w:ascii="Calibri" w:eastAsia="Times New Roman" w:hAnsi="Calibri" w:cs="Calibri"/>
                <w:color w:val="000000"/>
                <w:sz w:val="24"/>
                <w:szCs w:val="20"/>
                <w:lang w:val="en-GB" w:eastAsia="en-US"/>
              </w:rPr>
              <w:br/>
              <w:t>forecasts to be prepared</w:t>
            </w:r>
            <w:r w:rsidRPr="002048AF">
              <w:rPr>
                <w:rFonts w:ascii="Calibri" w:eastAsia="Times New Roman" w:hAnsi="Calibri" w:cs="Calibri"/>
                <w:color w:val="000000"/>
                <w:sz w:val="24"/>
                <w:szCs w:val="20"/>
                <w:lang w:val="en-GB" w:eastAsia="en-US"/>
              </w:rPr>
              <w:br/>
              <w:t xml:space="preserve">Mobilization of additional extrabudgetary resources as required </w:t>
            </w:r>
          </w:p>
        </w:tc>
      </w:tr>
    </w:tbl>
    <w:p w14:paraId="7879428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sz w:val="24"/>
          <w:szCs w:val="20"/>
          <w:lang w:val="en-GB" w:eastAsia="en-US"/>
        </w:rPr>
      </w:pPr>
    </w:p>
    <w:p w14:paraId="5EFB6886"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t>2026 Statement of expected results and risk analysis</w:t>
      </w:r>
    </w:p>
    <w:p w14:paraId="6DE5D131"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Statement of expected results</w:t>
      </w:r>
    </w:p>
    <w:tbl>
      <w:tblPr>
        <w:tblW w:w="8360" w:type="dxa"/>
        <w:tblLook w:val="04A0" w:firstRow="1" w:lastRow="0" w:firstColumn="1" w:lastColumn="0" w:noHBand="0" w:noVBand="1"/>
      </w:tblPr>
      <w:tblGrid>
        <w:gridCol w:w="4180"/>
        <w:gridCol w:w="4180"/>
      </w:tblGrid>
      <w:tr w:rsidR="002048AF" w:rsidRPr="002048AF" w14:paraId="3405FC20" w14:textId="77777777" w:rsidTr="000F5E63">
        <w:trPr>
          <w:trHeight w:val="320"/>
        </w:trPr>
        <w:tc>
          <w:tcPr>
            <w:tcW w:w="418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4972F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Expected results</w:t>
            </w:r>
          </w:p>
        </w:tc>
        <w:tc>
          <w:tcPr>
            <w:tcW w:w="4180" w:type="dxa"/>
            <w:tcBorders>
              <w:top w:val="single" w:sz="4" w:space="0" w:color="auto"/>
              <w:left w:val="nil"/>
              <w:bottom w:val="single" w:sz="4" w:space="0" w:color="auto"/>
              <w:right w:val="single" w:sz="4" w:space="0" w:color="auto"/>
            </w:tcBorders>
            <w:shd w:val="clear" w:color="000000" w:fill="DAB785"/>
            <w:noWrap/>
            <w:vAlign w:val="bottom"/>
            <w:hideMark/>
          </w:tcPr>
          <w:p w14:paraId="57174D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performance indicators</w:t>
            </w:r>
          </w:p>
        </w:tc>
      </w:tr>
      <w:tr w:rsidR="002048AF" w:rsidRPr="002048AF" w14:paraId="10C3D0F6" w14:textId="77777777" w:rsidTr="000F5E63">
        <w:trPr>
          <w:trHeight w:val="1600"/>
        </w:trPr>
        <w:tc>
          <w:tcPr>
            <w:tcW w:w="4180" w:type="dxa"/>
            <w:tcBorders>
              <w:top w:val="nil"/>
              <w:left w:val="single" w:sz="4" w:space="0" w:color="auto"/>
              <w:bottom w:val="nil"/>
              <w:right w:val="single" w:sz="4" w:space="0" w:color="auto"/>
            </w:tcBorders>
            <w:shd w:val="clear" w:color="000000" w:fill="F2F2F2"/>
            <w:vAlign w:val="center"/>
            <w:hideMark/>
          </w:tcPr>
          <w:p w14:paraId="64A6276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Enhanced knowledge-sharing, research and development, </w:t>
            </w:r>
            <w:proofErr w:type="gramStart"/>
            <w:r w:rsidRPr="002048AF">
              <w:rPr>
                <w:rFonts w:ascii="Calibri" w:eastAsia="Times New Roman" w:hAnsi="Calibri" w:cs="Calibri"/>
                <w:color w:val="000000"/>
                <w:lang w:val="en-GB" w:eastAsia="en-US"/>
              </w:rPr>
              <w:t>dialogue</w:t>
            </w:r>
            <w:proofErr w:type="gramEnd"/>
            <w:r w:rsidRPr="002048AF">
              <w:rPr>
                <w:rFonts w:ascii="Calibri" w:eastAsia="Times New Roman" w:hAnsi="Calibri" w:cs="Calibri"/>
                <w:color w:val="000000"/>
                <w:lang w:val="en-GB" w:eastAsia="en-US"/>
              </w:rPr>
              <w:t xml:space="preserve"> and partnership among the ITU membership on telecommunication/ICT issues</w:t>
            </w:r>
          </w:p>
        </w:tc>
        <w:tc>
          <w:tcPr>
            <w:tcW w:w="4180" w:type="dxa"/>
            <w:tcBorders>
              <w:top w:val="nil"/>
              <w:left w:val="nil"/>
              <w:bottom w:val="nil"/>
              <w:right w:val="single" w:sz="4" w:space="0" w:color="auto"/>
            </w:tcBorders>
            <w:shd w:val="clear" w:color="000000" w:fill="F2F2F2"/>
            <w:vAlign w:val="center"/>
            <w:hideMark/>
          </w:tcPr>
          <w:p w14:paraId="5543453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Number of participants in RDFs, regional dialogues, and BDT-led events</w:t>
            </w:r>
            <w:r w:rsidRPr="002048AF">
              <w:rPr>
                <w:rFonts w:ascii="Calibri" w:eastAsia="Times New Roman" w:hAnsi="Calibri" w:cs="Calibri"/>
                <w:color w:val="000000"/>
                <w:lang w:val="en-GB" w:eastAsia="en-US"/>
              </w:rPr>
              <w:br/>
            </w:r>
            <w:r w:rsidRPr="002048AF">
              <w:rPr>
                <w:rFonts w:ascii="Calibri" w:eastAsia="Times New Roman" w:hAnsi="Calibri" w:cs="Calibri"/>
                <w:color w:val="000000"/>
                <w:lang w:val="en-GB" w:eastAsia="en-US"/>
              </w:rPr>
              <w:br/>
              <w:t>Share of women, youth, Member states, LDCs, LLDCs, SIDS, Private Sector, academia</w:t>
            </w:r>
          </w:p>
        </w:tc>
      </w:tr>
      <w:tr w:rsidR="002048AF" w:rsidRPr="002048AF" w14:paraId="07E61EB7" w14:textId="77777777" w:rsidTr="000F5E63">
        <w:trPr>
          <w:trHeight w:val="300"/>
        </w:trPr>
        <w:tc>
          <w:tcPr>
            <w:tcW w:w="4180" w:type="dxa"/>
            <w:tcBorders>
              <w:top w:val="nil"/>
              <w:left w:val="single" w:sz="4" w:space="0" w:color="auto"/>
              <w:bottom w:val="nil"/>
              <w:right w:val="single" w:sz="4" w:space="0" w:color="auto"/>
            </w:tcBorders>
            <w:shd w:val="clear" w:color="000000" w:fill="F2F2F2"/>
            <w:vAlign w:val="center"/>
            <w:hideMark/>
          </w:tcPr>
          <w:p w14:paraId="43342F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nil"/>
              <w:right w:val="single" w:sz="4" w:space="0" w:color="auto"/>
            </w:tcBorders>
            <w:shd w:val="clear" w:color="000000" w:fill="F2F2F2"/>
            <w:vAlign w:val="center"/>
            <w:hideMark/>
          </w:tcPr>
          <w:p w14:paraId="4418D66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r w:rsidR="002048AF" w:rsidRPr="002048AF" w14:paraId="4F0AFF5B" w14:textId="77777777" w:rsidTr="000F5E63">
        <w:trPr>
          <w:trHeight w:val="140"/>
        </w:trPr>
        <w:tc>
          <w:tcPr>
            <w:tcW w:w="4180" w:type="dxa"/>
            <w:tcBorders>
              <w:top w:val="nil"/>
              <w:left w:val="single" w:sz="4" w:space="0" w:color="auto"/>
              <w:bottom w:val="single" w:sz="4" w:space="0" w:color="auto"/>
              <w:right w:val="single" w:sz="4" w:space="0" w:color="auto"/>
            </w:tcBorders>
            <w:shd w:val="clear" w:color="000000" w:fill="FFFFFF"/>
            <w:vAlign w:val="center"/>
            <w:hideMark/>
          </w:tcPr>
          <w:p w14:paraId="2234F8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4180" w:type="dxa"/>
            <w:tcBorders>
              <w:top w:val="nil"/>
              <w:left w:val="nil"/>
              <w:bottom w:val="single" w:sz="4" w:space="0" w:color="auto"/>
              <w:right w:val="single" w:sz="4" w:space="0" w:color="auto"/>
            </w:tcBorders>
            <w:shd w:val="clear" w:color="000000" w:fill="FFFFFF"/>
            <w:vAlign w:val="center"/>
            <w:hideMark/>
          </w:tcPr>
          <w:p w14:paraId="6521717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73F31C13"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lang w:val="en-GB" w:eastAsia="en-US"/>
        </w:rPr>
      </w:pPr>
    </w:p>
    <w:p w14:paraId="5088F2D2"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i/>
          <w:iCs/>
          <w:sz w:val="24"/>
          <w:szCs w:val="20"/>
          <w:lang w:val="en-GB" w:eastAsia="en-US"/>
        </w:rPr>
      </w:pPr>
      <w:r w:rsidRPr="002048AF">
        <w:rPr>
          <w:rFonts w:ascii="Calibri" w:eastAsia="Times New Roman" w:hAnsi="Calibri" w:cs="Calibri"/>
          <w:i/>
          <w:iCs/>
          <w:sz w:val="24"/>
          <w:szCs w:val="20"/>
          <w:lang w:val="en-GB" w:eastAsia="en-US"/>
        </w:rPr>
        <w:t>2026 Threat and risk assessment</w:t>
      </w:r>
    </w:p>
    <w:tbl>
      <w:tblPr>
        <w:tblW w:w="8780" w:type="dxa"/>
        <w:tblLook w:val="04A0" w:firstRow="1" w:lastRow="0" w:firstColumn="1" w:lastColumn="0" w:noHBand="0" w:noVBand="1"/>
      </w:tblPr>
      <w:tblGrid>
        <w:gridCol w:w="1660"/>
        <w:gridCol w:w="2020"/>
        <w:gridCol w:w="1540"/>
        <w:gridCol w:w="1540"/>
        <w:gridCol w:w="2020"/>
      </w:tblGrid>
      <w:tr w:rsidR="002048AF" w:rsidRPr="002048AF" w14:paraId="6F46FEFD" w14:textId="77777777" w:rsidTr="000F5E63">
        <w:trPr>
          <w:trHeight w:val="320"/>
        </w:trPr>
        <w:tc>
          <w:tcPr>
            <w:tcW w:w="166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D84E1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Perspective</w:t>
            </w:r>
          </w:p>
        </w:tc>
        <w:tc>
          <w:tcPr>
            <w:tcW w:w="2020" w:type="dxa"/>
            <w:tcBorders>
              <w:top w:val="single" w:sz="4" w:space="0" w:color="auto"/>
              <w:left w:val="nil"/>
              <w:bottom w:val="single" w:sz="4" w:space="0" w:color="auto"/>
              <w:right w:val="single" w:sz="4" w:space="0" w:color="auto"/>
            </w:tcBorders>
            <w:shd w:val="clear" w:color="000000" w:fill="70A288"/>
            <w:noWrap/>
            <w:vAlign w:val="bottom"/>
            <w:hideMark/>
          </w:tcPr>
          <w:p w14:paraId="7539709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Key risk indicator</w:t>
            </w:r>
          </w:p>
        </w:tc>
        <w:tc>
          <w:tcPr>
            <w:tcW w:w="1540" w:type="dxa"/>
            <w:tcBorders>
              <w:top w:val="single" w:sz="4" w:space="0" w:color="auto"/>
              <w:left w:val="nil"/>
              <w:bottom w:val="single" w:sz="4" w:space="0" w:color="auto"/>
              <w:right w:val="single" w:sz="4" w:space="0" w:color="auto"/>
            </w:tcBorders>
            <w:shd w:val="clear" w:color="000000" w:fill="DAB785"/>
            <w:noWrap/>
            <w:vAlign w:val="bottom"/>
            <w:hideMark/>
          </w:tcPr>
          <w:p w14:paraId="37A2658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Impact</w:t>
            </w:r>
          </w:p>
        </w:tc>
        <w:tc>
          <w:tcPr>
            <w:tcW w:w="1540" w:type="dxa"/>
            <w:tcBorders>
              <w:top w:val="single" w:sz="4" w:space="0" w:color="auto"/>
              <w:left w:val="nil"/>
              <w:bottom w:val="single" w:sz="4" w:space="0" w:color="auto"/>
              <w:right w:val="single" w:sz="4" w:space="0" w:color="auto"/>
            </w:tcBorders>
            <w:shd w:val="clear" w:color="000000" w:fill="D6896F"/>
            <w:noWrap/>
            <w:vAlign w:val="bottom"/>
            <w:hideMark/>
          </w:tcPr>
          <w:p w14:paraId="6C1E60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Likelihood</w:t>
            </w:r>
          </w:p>
        </w:tc>
        <w:tc>
          <w:tcPr>
            <w:tcW w:w="202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47B75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sz w:val="24"/>
                <w:szCs w:val="20"/>
                <w:lang w:val="en-GB" w:eastAsia="en-US"/>
              </w:rPr>
            </w:pPr>
            <w:r w:rsidRPr="002048AF">
              <w:rPr>
                <w:rFonts w:ascii="Calibri" w:eastAsia="Times New Roman" w:hAnsi="Calibri" w:cs="Calibri"/>
                <w:b/>
                <w:bCs/>
                <w:color w:val="FFFFFF"/>
                <w:sz w:val="24"/>
                <w:szCs w:val="20"/>
                <w:lang w:val="en-GB" w:eastAsia="en-US"/>
              </w:rPr>
              <w:t>Mitigation</w:t>
            </w:r>
          </w:p>
        </w:tc>
      </w:tr>
      <w:tr w:rsidR="002048AF" w:rsidRPr="002048AF" w14:paraId="41B8B7CD" w14:textId="77777777" w:rsidTr="000F5E63">
        <w:trPr>
          <w:trHeight w:val="2560"/>
        </w:trPr>
        <w:tc>
          <w:tcPr>
            <w:tcW w:w="1660" w:type="dxa"/>
            <w:tcBorders>
              <w:top w:val="nil"/>
              <w:left w:val="single" w:sz="4" w:space="0" w:color="auto"/>
              <w:bottom w:val="nil"/>
              <w:right w:val="single" w:sz="4" w:space="0" w:color="auto"/>
            </w:tcBorders>
            <w:shd w:val="clear" w:color="000000" w:fill="F2F2F2"/>
            <w:vAlign w:val="center"/>
            <w:hideMark/>
          </w:tcPr>
          <w:p w14:paraId="11B12C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Finance </w:t>
            </w:r>
          </w:p>
        </w:tc>
        <w:tc>
          <w:tcPr>
            <w:tcW w:w="2020" w:type="dxa"/>
            <w:tcBorders>
              <w:top w:val="nil"/>
              <w:left w:val="nil"/>
              <w:bottom w:val="nil"/>
              <w:right w:val="single" w:sz="4" w:space="0" w:color="auto"/>
            </w:tcBorders>
            <w:shd w:val="clear" w:color="000000" w:fill="F2F2F2"/>
            <w:vAlign w:val="center"/>
            <w:hideMark/>
          </w:tcPr>
          <w:p w14:paraId="550E40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Lack of resources to</w:t>
            </w:r>
            <w:r w:rsidRPr="002048AF">
              <w:rPr>
                <w:rFonts w:ascii="Calibri" w:eastAsia="Times New Roman" w:hAnsi="Calibri" w:cs="Calibri"/>
                <w:color w:val="000000"/>
                <w:lang w:val="en-GB" w:eastAsia="en-US"/>
              </w:rPr>
              <w:br/>
              <w:t>provide the appropriate support</w:t>
            </w:r>
          </w:p>
        </w:tc>
        <w:tc>
          <w:tcPr>
            <w:tcW w:w="1540" w:type="dxa"/>
            <w:tcBorders>
              <w:top w:val="nil"/>
              <w:left w:val="nil"/>
              <w:bottom w:val="nil"/>
              <w:right w:val="single" w:sz="4" w:space="0" w:color="auto"/>
            </w:tcBorders>
            <w:shd w:val="clear" w:color="000000" w:fill="F2F2F2"/>
            <w:vAlign w:val="center"/>
            <w:hideMark/>
          </w:tcPr>
          <w:p w14:paraId="1EC0DF4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000000" w:fill="F2F2F2"/>
            <w:vAlign w:val="center"/>
            <w:hideMark/>
          </w:tcPr>
          <w:p w14:paraId="68438E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000000" w:fill="F2F2F2"/>
            <w:vAlign w:val="center"/>
            <w:hideMark/>
          </w:tcPr>
          <w:p w14:paraId="02CB06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Appropriate budget</w:t>
            </w:r>
            <w:r w:rsidRPr="002048AF">
              <w:rPr>
                <w:rFonts w:ascii="Calibri" w:eastAsia="Times New Roman" w:hAnsi="Calibri" w:cs="Calibri"/>
                <w:color w:val="000000"/>
                <w:lang w:val="en-GB" w:eastAsia="en-US"/>
              </w:rPr>
              <w:br/>
              <w:t xml:space="preserve">forecasts to be prepared. </w:t>
            </w:r>
            <w:r w:rsidRPr="002048AF">
              <w:rPr>
                <w:rFonts w:ascii="Calibri" w:eastAsia="Times New Roman" w:hAnsi="Calibri" w:cs="Calibri"/>
                <w:color w:val="000000"/>
                <w:lang w:val="en-GB" w:eastAsia="en-US"/>
              </w:rPr>
              <w:br/>
              <w:t xml:space="preserve">Mobilization of additional extrabudgetary resources as required </w:t>
            </w:r>
          </w:p>
        </w:tc>
      </w:tr>
      <w:tr w:rsidR="002048AF" w:rsidRPr="002048AF" w14:paraId="006DF574" w14:textId="77777777" w:rsidTr="000F5E63">
        <w:trPr>
          <w:trHeight w:val="1600"/>
        </w:trPr>
        <w:tc>
          <w:tcPr>
            <w:tcW w:w="1660" w:type="dxa"/>
            <w:tcBorders>
              <w:top w:val="nil"/>
              <w:left w:val="single" w:sz="4" w:space="0" w:color="auto"/>
              <w:bottom w:val="nil"/>
              <w:right w:val="nil"/>
            </w:tcBorders>
            <w:shd w:val="clear" w:color="auto" w:fill="auto"/>
            <w:hideMark/>
          </w:tcPr>
          <w:p w14:paraId="667009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Stakeholders/</w:t>
            </w:r>
            <w:r w:rsidRPr="002048AF">
              <w:rPr>
                <w:rFonts w:ascii="Calibri" w:eastAsia="Times New Roman" w:hAnsi="Calibri" w:cs="Calibri"/>
                <w:color w:val="000000"/>
                <w:lang w:val="en-GB" w:eastAsia="en-US"/>
              </w:rPr>
              <w:br/>
              <w:t>partners</w:t>
            </w:r>
          </w:p>
        </w:tc>
        <w:tc>
          <w:tcPr>
            <w:tcW w:w="2020" w:type="dxa"/>
            <w:tcBorders>
              <w:top w:val="nil"/>
              <w:left w:val="single" w:sz="4" w:space="0" w:color="auto"/>
              <w:bottom w:val="nil"/>
              <w:right w:val="single" w:sz="4" w:space="0" w:color="auto"/>
            </w:tcBorders>
            <w:shd w:val="clear" w:color="auto" w:fill="auto"/>
            <w:hideMark/>
          </w:tcPr>
          <w:p w14:paraId="733A44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commitment and timely communication by countries</w:t>
            </w:r>
          </w:p>
        </w:tc>
        <w:tc>
          <w:tcPr>
            <w:tcW w:w="1540" w:type="dxa"/>
            <w:tcBorders>
              <w:top w:val="nil"/>
              <w:left w:val="nil"/>
              <w:bottom w:val="nil"/>
              <w:right w:val="single" w:sz="4" w:space="0" w:color="auto"/>
            </w:tcBorders>
            <w:shd w:val="clear" w:color="auto" w:fill="auto"/>
            <w:noWrap/>
            <w:hideMark/>
          </w:tcPr>
          <w:p w14:paraId="1D64EB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1540" w:type="dxa"/>
            <w:tcBorders>
              <w:top w:val="nil"/>
              <w:left w:val="nil"/>
              <w:bottom w:val="nil"/>
              <w:right w:val="nil"/>
            </w:tcBorders>
            <w:shd w:val="clear" w:color="auto" w:fill="auto"/>
            <w:noWrap/>
            <w:hideMark/>
          </w:tcPr>
          <w:p w14:paraId="43BAE18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736B8F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collaboration with Member States to ensure appropriate level of involvement</w:t>
            </w:r>
          </w:p>
        </w:tc>
      </w:tr>
      <w:tr w:rsidR="002048AF" w:rsidRPr="002048AF" w14:paraId="413E564C" w14:textId="77777777" w:rsidTr="000F5E63">
        <w:trPr>
          <w:trHeight w:val="1920"/>
        </w:trPr>
        <w:tc>
          <w:tcPr>
            <w:tcW w:w="1660" w:type="dxa"/>
            <w:tcBorders>
              <w:top w:val="nil"/>
              <w:left w:val="single" w:sz="4" w:space="0" w:color="auto"/>
              <w:bottom w:val="nil"/>
              <w:right w:val="nil"/>
            </w:tcBorders>
            <w:shd w:val="clear" w:color="auto" w:fill="auto"/>
            <w:hideMark/>
          </w:tcPr>
          <w:p w14:paraId="156E1A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lastRenderedPageBreak/>
              <w:t> </w:t>
            </w:r>
          </w:p>
        </w:tc>
        <w:tc>
          <w:tcPr>
            <w:tcW w:w="2020" w:type="dxa"/>
            <w:tcBorders>
              <w:top w:val="nil"/>
              <w:left w:val="single" w:sz="4" w:space="0" w:color="auto"/>
              <w:bottom w:val="nil"/>
              <w:right w:val="single" w:sz="4" w:space="0" w:color="auto"/>
            </w:tcBorders>
            <w:shd w:val="clear" w:color="auto" w:fill="auto"/>
            <w:hideMark/>
          </w:tcPr>
          <w:p w14:paraId="3C01B61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Continuity with change of administrations </w:t>
            </w:r>
          </w:p>
        </w:tc>
        <w:tc>
          <w:tcPr>
            <w:tcW w:w="1540" w:type="dxa"/>
            <w:tcBorders>
              <w:top w:val="nil"/>
              <w:left w:val="nil"/>
              <w:bottom w:val="nil"/>
              <w:right w:val="single" w:sz="4" w:space="0" w:color="auto"/>
            </w:tcBorders>
            <w:shd w:val="clear" w:color="auto" w:fill="auto"/>
            <w:noWrap/>
            <w:hideMark/>
          </w:tcPr>
          <w:p w14:paraId="28B3568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1540" w:type="dxa"/>
            <w:tcBorders>
              <w:top w:val="nil"/>
              <w:left w:val="nil"/>
              <w:bottom w:val="nil"/>
              <w:right w:val="nil"/>
            </w:tcBorders>
            <w:shd w:val="clear" w:color="auto" w:fill="auto"/>
            <w:noWrap/>
            <w:hideMark/>
          </w:tcPr>
          <w:p w14:paraId="030B43D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235B3C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Regular communication to anticipate and take proactive measures to induct new focal points </w:t>
            </w:r>
          </w:p>
        </w:tc>
      </w:tr>
      <w:tr w:rsidR="002048AF" w:rsidRPr="002048AF" w14:paraId="465C6379" w14:textId="77777777" w:rsidTr="000F5E63">
        <w:trPr>
          <w:trHeight w:val="640"/>
        </w:trPr>
        <w:tc>
          <w:tcPr>
            <w:tcW w:w="1660" w:type="dxa"/>
            <w:tcBorders>
              <w:top w:val="nil"/>
              <w:left w:val="single" w:sz="4" w:space="0" w:color="auto"/>
              <w:bottom w:val="nil"/>
              <w:right w:val="single" w:sz="4" w:space="0" w:color="auto"/>
            </w:tcBorders>
            <w:shd w:val="clear" w:color="000000" w:fill="F2F2F2"/>
            <w:vAlign w:val="center"/>
            <w:hideMark/>
          </w:tcPr>
          <w:p w14:paraId="0F81884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Security</w:t>
            </w:r>
          </w:p>
        </w:tc>
        <w:tc>
          <w:tcPr>
            <w:tcW w:w="2020" w:type="dxa"/>
            <w:tcBorders>
              <w:top w:val="nil"/>
              <w:left w:val="nil"/>
              <w:bottom w:val="nil"/>
              <w:right w:val="single" w:sz="4" w:space="0" w:color="auto"/>
            </w:tcBorders>
            <w:shd w:val="clear" w:color="000000" w:fill="F2F2F2"/>
            <w:vAlign w:val="center"/>
            <w:hideMark/>
          </w:tcPr>
          <w:p w14:paraId="7755465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Security status in some regions </w:t>
            </w:r>
          </w:p>
        </w:tc>
        <w:tc>
          <w:tcPr>
            <w:tcW w:w="1540" w:type="dxa"/>
            <w:tcBorders>
              <w:top w:val="nil"/>
              <w:left w:val="nil"/>
              <w:bottom w:val="nil"/>
              <w:right w:val="single" w:sz="4" w:space="0" w:color="auto"/>
            </w:tcBorders>
            <w:shd w:val="clear" w:color="000000" w:fill="F2F2F2"/>
            <w:vAlign w:val="center"/>
            <w:hideMark/>
          </w:tcPr>
          <w:p w14:paraId="1D781C7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vAlign w:val="center"/>
            <w:hideMark/>
          </w:tcPr>
          <w:p w14:paraId="23E90F8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2020" w:type="dxa"/>
            <w:tcBorders>
              <w:top w:val="nil"/>
              <w:left w:val="single" w:sz="4" w:space="0" w:color="auto"/>
              <w:bottom w:val="nil"/>
              <w:right w:val="single" w:sz="4" w:space="0" w:color="auto"/>
            </w:tcBorders>
            <w:shd w:val="clear" w:color="000000" w:fill="F2F2F2"/>
            <w:vAlign w:val="center"/>
            <w:hideMark/>
          </w:tcPr>
          <w:p w14:paraId="3F0538A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Close follow up</w:t>
            </w:r>
          </w:p>
        </w:tc>
      </w:tr>
      <w:tr w:rsidR="002048AF" w:rsidRPr="002048AF" w14:paraId="719A1539" w14:textId="77777777" w:rsidTr="000F5E63">
        <w:trPr>
          <w:trHeight w:val="960"/>
        </w:trPr>
        <w:tc>
          <w:tcPr>
            <w:tcW w:w="1660" w:type="dxa"/>
            <w:tcBorders>
              <w:top w:val="nil"/>
              <w:left w:val="single" w:sz="4" w:space="0" w:color="auto"/>
              <w:bottom w:val="nil"/>
              <w:right w:val="single" w:sz="4" w:space="0" w:color="auto"/>
            </w:tcBorders>
            <w:shd w:val="clear" w:color="auto" w:fill="auto"/>
            <w:vAlign w:val="center"/>
            <w:hideMark/>
          </w:tcPr>
          <w:p w14:paraId="6160E0E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Internal processes </w:t>
            </w:r>
          </w:p>
        </w:tc>
        <w:tc>
          <w:tcPr>
            <w:tcW w:w="2020" w:type="dxa"/>
            <w:tcBorders>
              <w:top w:val="nil"/>
              <w:left w:val="nil"/>
              <w:bottom w:val="nil"/>
              <w:right w:val="single" w:sz="4" w:space="0" w:color="auto"/>
            </w:tcBorders>
            <w:shd w:val="clear" w:color="auto" w:fill="auto"/>
            <w:vAlign w:val="center"/>
            <w:hideMark/>
          </w:tcPr>
          <w:p w14:paraId="5CA04CB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recruitment of experts </w:t>
            </w:r>
          </w:p>
        </w:tc>
        <w:tc>
          <w:tcPr>
            <w:tcW w:w="1540" w:type="dxa"/>
            <w:tcBorders>
              <w:top w:val="nil"/>
              <w:left w:val="nil"/>
              <w:bottom w:val="nil"/>
              <w:right w:val="single" w:sz="4" w:space="0" w:color="auto"/>
            </w:tcBorders>
            <w:shd w:val="clear" w:color="auto" w:fill="auto"/>
            <w:vAlign w:val="center"/>
            <w:hideMark/>
          </w:tcPr>
          <w:p w14:paraId="0CAAEF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vAlign w:val="center"/>
            <w:hideMark/>
          </w:tcPr>
          <w:p w14:paraId="14A6792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High</w:t>
            </w:r>
          </w:p>
        </w:tc>
        <w:tc>
          <w:tcPr>
            <w:tcW w:w="2020" w:type="dxa"/>
            <w:tcBorders>
              <w:top w:val="nil"/>
              <w:left w:val="single" w:sz="4" w:space="0" w:color="auto"/>
              <w:bottom w:val="nil"/>
              <w:right w:val="single" w:sz="4" w:space="0" w:color="auto"/>
            </w:tcBorders>
            <w:shd w:val="clear" w:color="auto" w:fill="auto"/>
            <w:vAlign w:val="center"/>
            <w:hideMark/>
          </w:tcPr>
          <w:p w14:paraId="51818A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Timely planning and recruitment of experts </w:t>
            </w:r>
          </w:p>
        </w:tc>
      </w:tr>
      <w:tr w:rsidR="002048AF" w:rsidRPr="002048AF" w14:paraId="299552BF" w14:textId="77777777" w:rsidTr="000F5E63">
        <w:trPr>
          <w:trHeight w:val="2900"/>
        </w:trPr>
        <w:tc>
          <w:tcPr>
            <w:tcW w:w="1660" w:type="dxa"/>
            <w:tcBorders>
              <w:top w:val="nil"/>
              <w:left w:val="single" w:sz="4" w:space="0" w:color="auto"/>
              <w:bottom w:val="nil"/>
              <w:right w:val="single" w:sz="4" w:space="0" w:color="auto"/>
            </w:tcBorders>
            <w:shd w:val="clear" w:color="000000" w:fill="F2F2F2"/>
            <w:hideMark/>
          </w:tcPr>
          <w:p w14:paraId="3F2D194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Human resources</w:t>
            </w:r>
          </w:p>
        </w:tc>
        <w:tc>
          <w:tcPr>
            <w:tcW w:w="2020" w:type="dxa"/>
            <w:tcBorders>
              <w:top w:val="nil"/>
              <w:left w:val="nil"/>
              <w:bottom w:val="nil"/>
              <w:right w:val="single" w:sz="4" w:space="0" w:color="auto"/>
            </w:tcBorders>
            <w:shd w:val="clear" w:color="000000" w:fill="F2F2F2"/>
            <w:hideMark/>
          </w:tcPr>
          <w:p w14:paraId="402E9BA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Insufficient human</w:t>
            </w:r>
            <w:r w:rsidRPr="002048AF">
              <w:rPr>
                <w:rFonts w:ascii="Calibri" w:eastAsia="Times New Roman" w:hAnsi="Calibri" w:cs="Calibri"/>
                <w:color w:val="000000"/>
                <w:lang w:val="en-GB" w:eastAsia="en-US"/>
              </w:rPr>
              <w:br/>
              <w:t>resources to cope with</w:t>
            </w:r>
            <w:r w:rsidRPr="002048AF">
              <w:rPr>
                <w:rFonts w:ascii="Calibri" w:eastAsia="Times New Roman" w:hAnsi="Calibri" w:cs="Calibri"/>
                <w:color w:val="000000"/>
                <w:lang w:val="en-GB" w:eastAsia="en-US"/>
              </w:rPr>
              <w:br/>
              <w:t>demand. Lack of qualified experts in the areas concerned</w:t>
            </w:r>
          </w:p>
        </w:tc>
        <w:tc>
          <w:tcPr>
            <w:tcW w:w="1540" w:type="dxa"/>
            <w:tcBorders>
              <w:top w:val="nil"/>
              <w:left w:val="nil"/>
              <w:bottom w:val="nil"/>
              <w:right w:val="single" w:sz="4" w:space="0" w:color="auto"/>
            </w:tcBorders>
            <w:shd w:val="clear" w:color="000000" w:fill="F2F2F2"/>
            <w:hideMark/>
          </w:tcPr>
          <w:p w14:paraId="5716CC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000000" w:fill="F2F2F2"/>
            <w:hideMark/>
          </w:tcPr>
          <w:p w14:paraId="20BAF0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Low </w:t>
            </w:r>
          </w:p>
        </w:tc>
        <w:tc>
          <w:tcPr>
            <w:tcW w:w="2020" w:type="dxa"/>
            <w:tcBorders>
              <w:top w:val="nil"/>
              <w:left w:val="single" w:sz="4" w:space="0" w:color="auto"/>
              <w:bottom w:val="nil"/>
              <w:right w:val="single" w:sz="4" w:space="0" w:color="auto"/>
            </w:tcBorders>
            <w:shd w:val="clear" w:color="000000" w:fill="F2F2F2"/>
            <w:hideMark/>
          </w:tcPr>
          <w:p w14:paraId="3EA70C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Resource requirements anticipated, and continuous updating of expert data</w:t>
            </w:r>
            <w:r w:rsidRPr="002048AF">
              <w:rPr>
                <w:rFonts w:ascii="Calibri" w:eastAsia="Times New Roman" w:hAnsi="Calibri" w:cs="Calibri"/>
                <w:color w:val="000000"/>
                <w:lang w:val="en-GB" w:eastAsia="en-US"/>
              </w:rPr>
              <w:br/>
              <w:t>base, and recruitment procedures initiated as soon as possible</w:t>
            </w:r>
          </w:p>
        </w:tc>
      </w:tr>
      <w:tr w:rsidR="002048AF" w:rsidRPr="002048AF" w14:paraId="016C410B" w14:textId="77777777" w:rsidTr="000F5E63">
        <w:trPr>
          <w:trHeight w:val="1140"/>
        </w:trPr>
        <w:tc>
          <w:tcPr>
            <w:tcW w:w="1660" w:type="dxa"/>
            <w:tcBorders>
              <w:top w:val="nil"/>
              <w:left w:val="single" w:sz="4" w:space="0" w:color="auto"/>
              <w:bottom w:val="nil"/>
              <w:right w:val="single" w:sz="4" w:space="0" w:color="auto"/>
            </w:tcBorders>
            <w:shd w:val="clear" w:color="auto" w:fill="auto"/>
            <w:vAlign w:val="center"/>
            <w:hideMark/>
          </w:tcPr>
          <w:p w14:paraId="6094415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Environment</w:t>
            </w:r>
          </w:p>
        </w:tc>
        <w:tc>
          <w:tcPr>
            <w:tcW w:w="2020" w:type="dxa"/>
            <w:tcBorders>
              <w:top w:val="nil"/>
              <w:left w:val="nil"/>
              <w:bottom w:val="nil"/>
              <w:right w:val="single" w:sz="4" w:space="0" w:color="auto"/>
            </w:tcBorders>
            <w:shd w:val="clear" w:color="auto" w:fill="auto"/>
            <w:vAlign w:val="center"/>
            <w:hideMark/>
          </w:tcPr>
          <w:p w14:paraId="329BFC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Delays in country activities due to unforeseen local events</w:t>
            </w:r>
          </w:p>
        </w:tc>
        <w:tc>
          <w:tcPr>
            <w:tcW w:w="1540" w:type="dxa"/>
            <w:tcBorders>
              <w:top w:val="nil"/>
              <w:left w:val="nil"/>
              <w:bottom w:val="nil"/>
              <w:right w:val="single" w:sz="4" w:space="0" w:color="auto"/>
            </w:tcBorders>
            <w:shd w:val="clear" w:color="auto" w:fill="auto"/>
            <w:hideMark/>
          </w:tcPr>
          <w:p w14:paraId="2544D02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xml:space="preserve">Medium </w:t>
            </w:r>
          </w:p>
        </w:tc>
        <w:tc>
          <w:tcPr>
            <w:tcW w:w="1540" w:type="dxa"/>
            <w:tcBorders>
              <w:top w:val="nil"/>
              <w:left w:val="nil"/>
              <w:bottom w:val="nil"/>
              <w:right w:val="nil"/>
            </w:tcBorders>
            <w:shd w:val="clear" w:color="auto" w:fill="auto"/>
            <w:hideMark/>
          </w:tcPr>
          <w:p w14:paraId="5BF206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Medium</w:t>
            </w:r>
          </w:p>
        </w:tc>
        <w:tc>
          <w:tcPr>
            <w:tcW w:w="2020" w:type="dxa"/>
            <w:tcBorders>
              <w:top w:val="nil"/>
              <w:left w:val="single" w:sz="4" w:space="0" w:color="auto"/>
              <w:bottom w:val="nil"/>
              <w:right w:val="single" w:sz="4" w:space="0" w:color="auto"/>
            </w:tcBorders>
            <w:shd w:val="clear" w:color="auto" w:fill="auto"/>
            <w:hideMark/>
          </w:tcPr>
          <w:p w14:paraId="6EF67ED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Improved communication with partners</w:t>
            </w:r>
          </w:p>
        </w:tc>
      </w:tr>
      <w:tr w:rsidR="002048AF" w:rsidRPr="002048AF" w14:paraId="7D09F1E5" w14:textId="77777777" w:rsidTr="000F5E63">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3107F52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nil"/>
              <w:bottom w:val="single" w:sz="4" w:space="0" w:color="auto"/>
              <w:right w:val="single" w:sz="4" w:space="0" w:color="auto"/>
            </w:tcBorders>
            <w:shd w:val="clear" w:color="000000" w:fill="FFFFFF"/>
            <w:vAlign w:val="center"/>
            <w:hideMark/>
          </w:tcPr>
          <w:p w14:paraId="195393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single" w:sz="4" w:space="0" w:color="auto"/>
            </w:tcBorders>
            <w:shd w:val="clear" w:color="000000" w:fill="FFFFFF"/>
            <w:vAlign w:val="center"/>
            <w:hideMark/>
          </w:tcPr>
          <w:p w14:paraId="3660005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1540" w:type="dxa"/>
            <w:tcBorders>
              <w:top w:val="nil"/>
              <w:left w:val="nil"/>
              <w:bottom w:val="single" w:sz="4" w:space="0" w:color="auto"/>
              <w:right w:val="nil"/>
            </w:tcBorders>
            <w:shd w:val="clear" w:color="000000" w:fill="FFFFFF"/>
            <w:vAlign w:val="center"/>
            <w:hideMark/>
          </w:tcPr>
          <w:p w14:paraId="1BFA2C7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c>
          <w:tcPr>
            <w:tcW w:w="2020" w:type="dxa"/>
            <w:tcBorders>
              <w:top w:val="nil"/>
              <w:left w:val="single" w:sz="4" w:space="0" w:color="auto"/>
              <w:bottom w:val="single" w:sz="4" w:space="0" w:color="auto"/>
              <w:right w:val="single" w:sz="4" w:space="0" w:color="auto"/>
            </w:tcBorders>
            <w:shd w:val="clear" w:color="000000" w:fill="FFFFFF"/>
            <w:vAlign w:val="center"/>
            <w:hideMark/>
          </w:tcPr>
          <w:p w14:paraId="6788900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0000"/>
                <w:lang w:val="en-GB" w:eastAsia="en-US"/>
              </w:rPr>
            </w:pPr>
            <w:r w:rsidRPr="002048AF">
              <w:rPr>
                <w:rFonts w:ascii="Calibri" w:eastAsia="Times New Roman" w:hAnsi="Calibri" w:cs="Calibri"/>
                <w:color w:val="000000"/>
                <w:lang w:val="en-GB" w:eastAsia="en-US"/>
              </w:rPr>
              <w:t> </w:t>
            </w:r>
          </w:p>
        </w:tc>
      </w:tr>
    </w:tbl>
    <w:p w14:paraId="0191D57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color w:val="002060"/>
          <w:sz w:val="24"/>
          <w:szCs w:val="20"/>
          <w:lang w:val="en-GB" w:eastAsia="en-US"/>
        </w:rPr>
      </w:pPr>
    </w:p>
    <w:p w14:paraId="52B789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left"/>
        <w:textAlignment w:val="baseline"/>
        <w:rPr>
          <w:rFonts w:ascii="Calibri" w:eastAsia="Times New Roman" w:hAnsi="Calibri" w:cs="Calibri"/>
          <w:b/>
          <w:bCs/>
          <w:color w:val="002060"/>
          <w:sz w:val="24"/>
          <w:szCs w:val="20"/>
          <w:lang w:val="en-GB" w:eastAsia="en-US"/>
        </w:rPr>
      </w:pPr>
      <w:r w:rsidRPr="002048AF">
        <w:rPr>
          <w:rFonts w:ascii="Calibri" w:eastAsia="Times New Roman" w:hAnsi="Calibri" w:cs="Calibri"/>
          <w:b/>
          <w:bCs/>
          <w:color w:val="002060"/>
          <w:sz w:val="24"/>
          <w:szCs w:val="20"/>
          <w:lang w:val="en-GB" w:eastAsia="en-US"/>
        </w:rPr>
        <w:br w:type="page"/>
      </w:r>
    </w:p>
    <w:p w14:paraId="662C822F"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left"/>
        <w:textAlignment w:val="baseline"/>
        <w:rPr>
          <w:rFonts w:ascii="Calibri" w:eastAsia="Times New Roman" w:hAnsi="Calibri" w:cs="Calibri"/>
          <w:b/>
          <w:bCs/>
          <w:sz w:val="24"/>
          <w:szCs w:val="20"/>
          <w:lang w:val="en-GB" w:eastAsia="en-US"/>
        </w:rPr>
      </w:pPr>
      <w:r w:rsidRPr="002048AF">
        <w:rPr>
          <w:rFonts w:ascii="Calibri" w:eastAsia="Times New Roman" w:hAnsi="Calibri" w:cs="Calibri"/>
          <w:b/>
          <w:bCs/>
          <w:sz w:val="24"/>
          <w:szCs w:val="20"/>
          <w:lang w:val="en-GB" w:eastAsia="en-US"/>
        </w:rPr>
        <w:lastRenderedPageBreak/>
        <w:t>2026-2029 human resources allocation</w:t>
      </w:r>
    </w:p>
    <w:p w14:paraId="548B3EE8" w14:textId="77777777" w:rsidR="002048AF" w:rsidRPr="002048AF" w:rsidRDefault="002048AF" w:rsidP="002048AF">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Calibri"/>
          <w:sz w:val="24"/>
          <w:szCs w:val="20"/>
          <w:lang w:val="en-GB" w:eastAsia="en-US"/>
        </w:rPr>
      </w:pPr>
      <w:r w:rsidRPr="002048AF">
        <w:rPr>
          <w:rFonts w:ascii="Calibri" w:eastAsia="Times New Roman" w:hAnsi="Calibri" w:cs="Calibri"/>
          <w:sz w:val="24"/>
          <w:szCs w:val="20"/>
          <w:lang w:val="en-GB" w:eastAsia="en-US"/>
        </w:rPr>
        <w:t>Work/months</w:t>
      </w:r>
    </w:p>
    <w:tbl>
      <w:tblPr>
        <w:tblW w:w="6500" w:type="dxa"/>
        <w:jc w:val="center"/>
        <w:tblLook w:val="04A0" w:firstRow="1" w:lastRow="0" w:firstColumn="1" w:lastColumn="0" w:noHBand="0" w:noVBand="1"/>
      </w:tblPr>
      <w:tblGrid>
        <w:gridCol w:w="1300"/>
        <w:gridCol w:w="1300"/>
        <w:gridCol w:w="1300"/>
        <w:gridCol w:w="1300"/>
        <w:gridCol w:w="1300"/>
      </w:tblGrid>
      <w:tr w:rsidR="002048AF" w:rsidRPr="002048AF" w14:paraId="37FC1917"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7CF9317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Grade</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EEB33E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0336CC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FDFEC5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2028</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C7BE4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2029</w:t>
            </w:r>
          </w:p>
        </w:tc>
      </w:tr>
      <w:tr w:rsidR="002048AF" w:rsidRPr="002048AF" w14:paraId="5B731C5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D5B6A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E2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71C7C4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AD8B9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7434B8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BB575C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7F601E2F"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A1239E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58440AA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559FAF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7FEB6F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5,5</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71BD1F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4,8</w:t>
            </w:r>
          </w:p>
        </w:tc>
      </w:tr>
      <w:tr w:rsidR="002048AF" w:rsidRPr="002048AF" w14:paraId="62A371FB"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72F22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D1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5C180F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B7E3F2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54A965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975434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50DFB06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3588CF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723BC7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12,9</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101DC9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12,9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1F77C7D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13A9E8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13,1</w:t>
            </w:r>
          </w:p>
        </w:tc>
      </w:tr>
      <w:tr w:rsidR="002048AF" w:rsidRPr="002048AF" w14:paraId="4FFC86F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0801F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E3A3DB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13,8</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B5FAE2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00A8682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13,2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57B1830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11,9</w:t>
            </w:r>
          </w:p>
        </w:tc>
      </w:tr>
      <w:tr w:rsidR="002048AF" w:rsidRPr="002048AF" w14:paraId="2CC2F746"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25D2E53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6AF170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2613A1B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19,3</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A30B7F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A0E2C3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19,9</w:t>
            </w:r>
          </w:p>
        </w:tc>
      </w:tr>
      <w:tr w:rsidR="002048AF" w:rsidRPr="002048AF" w14:paraId="01329CE9"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4E95023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45838E6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62FB517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5E70738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9,9</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0DF31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8,9</w:t>
            </w:r>
          </w:p>
        </w:tc>
      </w:tr>
      <w:tr w:rsidR="002048AF" w:rsidRPr="002048AF" w14:paraId="1C651893"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DBA3FE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P1</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3D336A8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88A6C9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717486D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E64CEF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713FBBCD"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6D6C8B6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G7</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82BE91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79B1ED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4FB943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0,4</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627302C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0,6</w:t>
            </w:r>
          </w:p>
        </w:tc>
      </w:tr>
      <w:tr w:rsidR="002048AF" w:rsidRPr="002048AF" w14:paraId="60FDE468"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3514AA4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G6</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74D6052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5190269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14,7</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226750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863A00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11,2</w:t>
            </w:r>
          </w:p>
        </w:tc>
      </w:tr>
      <w:tr w:rsidR="002048AF" w:rsidRPr="002048AF" w14:paraId="1F2651F1"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073063C5"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G5</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67024F3"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77467AC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65E22CB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11,1</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30D965E2"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14,4</w:t>
            </w:r>
          </w:p>
        </w:tc>
      </w:tr>
      <w:tr w:rsidR="002048AF" w:rsidRPr="002048AF" w14:paraId="6329A85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C223EE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G4</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8D4E2A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4A08620F"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3EA6AC2C"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0,3</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B27DBD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0,2</w:t>
            </w:r>
          </w:p>
        </w:tc>
      </w:tr>
      <w:tr w:rsidR="002048AF" w:rsidRPr="002048AF" w14:paraId="3C68AF2C"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02CC8C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G3</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611F880E"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11B3746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2C855BC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1,6</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131F8CC9"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1,7</w:t>
            </w:r>
          </w:p>
        </w:tc>
      </w:tr>
      <w:tr w:rsidR="002048AF" w:rsidRPr="002048AF" w14:paraId="4F89040A"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1714EEA6"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G2</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19140A9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0E7ADE8"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3076FB4"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0F551EBD"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0,0</w:t>
            </w:r>
          </w:p>
        </w:tc>
      </w:tr>
      <w:tr w:rsidR="002048AF" w:rsidRPr="002048AF" w14:paraId="2118F8F0" w14:textId="77777777" w:rsidTr="000F5E63">
        <w:trPr>
          <w:trHeight w:val="320"/>
          <w:jc w:val="center"/>
        </w:trPr>
        <w:tc>
          <w:tcPr>
            <w:tcW w:w="1300" w:type="dxa"/>
            <w:tcBorders>
              <w:top w:val="single" w:sz="4" w:space="0" w:color="auto"/>
              <w:left w:val="single" w:sz="4" w:space="0" w:color="auto"/>
              <w:bottom w:val="single" w:sz="4" w:space="0" w:color="auto"/>
              <w:right w:val="single" w:sz="4" w:space="0" w:color="auto"/>
            </w:tcBorders>
            <w:shd w:val="clear" w:color="000000" w:fill="02385E"/>
            <w:noWrap/>
            <w:vAlign w:val="bottom"/>
            <w:hideMark/>
          </w:tcPr>
          <w:p w14:paraId="566CC321"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TOTAL</w:t>
            </w:r>
          </w:p>
        </w:tc>
        <w:tc>
          <w:tcPr>
            <w:tcW w:w="1300" w:type="dxa"/>
            <w:tcBorders>
              <w:top w:val="single" w:sz="4" w:space="0" w:color="auto"/>
              <w:left w:val="single" w:sz="4" w:space="0" w:color="auto"/>
              <w:bottom w:val="single" w:sz="4" w:space="0" w:color="auto"/>
              <w:right w:val="single" w:sz="4" w:space="0" w:color="auto"/>
            </w:tcBorders>
            <w:shd w:val="clear" w:color="000000" w:fill="70A288"/>
            <w:noWrap/>
            <w:vAlign w:val="bottom"/>
            <w:hideMark/>
          </w:tcPr>
          <w:p w14:paraId="2586BE7A"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90,5</w:t>
            </w:r>
          </w:p>
        </w:tc>
        <w:tc>
          <w:tcPr>
            <w:tcW w:w="1300" w:type="dxa"/>
            <w:tcBorders>
              <w:top w:val="single" w:sz="4" w:space="0" w:color="auto"/>
              <w:left w:val="nil"/>
              <w:bottom w:val="single" w:sz="4" w:space="0" w:color="auto"/>
              <w:right w:val="single" w:sz="4" w:space="0" w:color="auto"/>
            </w:tcBorders>
            <w:shd w:val="clear" w:color="000000" w:fill="DAB785"/>
            <w:noWrap/>
            <w:vAlign w:val="bottom"/>
            <w:hideMark/>
          </w:tcPr>
          <w:p w14:paraId="3D4620F7"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89,4</w:t>
            </w:r>
          </w:p>
        </w:tc>
        <w:tc>
          <w:tcPr>
            <w:tcW w:w="1300" w:type="dxa"/>
            <w:tcBorders>
              <w:top w:val="single" w:sz="4" w:space="0" w:color="auto"/>
              <w:left w:val="nil"/>
              <w:bottom w:val="single" w:sz="4" w:space="0" w:color="auto"/>
              <w:right w:val="single" w:sz="4" w:space="0" w:color="auto"/>
            </w:tcBorders>
            <w:shd w:val="clear" w:color="000000" w:fill="D6896F"/>
            <w:noWrap/>
            <w:vAlign w:val="bottom"/>
            <w:hideMark/>
          </w:tcPr>
          <w:p w14:paraId="466B8AFB"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90,2</w:t>
            </w:r>
          </w:p>
        </w:tc>
        <w:tc>
          <w:tcPr>
            <w:tcW w:w="1300" w:type="dxa"/>
            <w:tcBorders>
              <w:top w:val="single" w:sz="4" w:space="0" w:color="auto"/>
              <w:left w:val="single" w:sz="4" w:space="0" w:color="auto"/>
              <w:bottom w:val="single" w:sz="4" w:space="0" w:color="auto"/>
              <w:right w:val="single" w:sz="4" w:space="0" w:color="auto"/>
            </w:tcBorders>
            <w:shd w:val="clear" w:color="000000" w:fill="A63950"/>
            <w:noWrap/>
            <w:vAlign w:val="bottom"/>
            <w:hideMark/>
          </w:tcPr>
          <w:p w14:paraId="26BFA490" w14:textId="77777777" w:rsidR="002048AF" w:rsidRPr="002048AF" w:rsidRDefault="002048AF" w:rsidP="002048AF">
            <w:pPr>
              <w:tabs>
                <w:tab w:val="left" w:pos="1191"/>
                <w:tab w:val="left" w:pos="1588"/>
                <w:tab w:val="left" w:pos="1985"/>
              </w:tabs>
              <w:overflowPunct w:val="0"/>
              <w:autoSpaceDE w:val="0"/>
              <w:autoSpaceDN w:val="0"/>
              <w:bidi w:val="0"/>
              <w:adjustRightInd w:val="0"/>
              <w:spacing w:line="240" w:lineRule="auto"/>
              <w:jc w:val="center"/>
              <w:textAlignment w:val="baseline"/>
              <w:rPr>
                <w:rFonts w:ascii="Calibri" w:eastAsia="Times New Roman" w:hAnsi="Calibri" w:cs="Calibri"/>
                <w:b/>
                <w:bCs/>
                <w:color w:val="FFFFFF"/>
                <w:lang w:val="en-GB" w:eastAsia="en-US"/>
              </w:rPr>
            </w:pPr>
            <w:r w:rsidRPr="002048AF">
              <w:rPr>
                <w:rFonts w:ascii="Calibri" w:eastAsia="Times New Roman" w:hAnsi="Calibri" w:cs="Calibri"/>
                <w:b/>
                <w:bCs/>
                <w:color w:val="FFFFFF"/>
                <w:lang w:val="en-GB" w:eastAsia="en-US"/>
              </w:rPr>
              <w:t>87,7</w:t>
            </w:r>
          </w:p>
        </w:tc>
      </w:tr>
    </w:tbl>
    <w:p w14:paraId="59A724D7" w14:textId="647559A0"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1D40" w14:textId="77777777" w:rsidR="008A0E17" w:rsidRDefault="008A0E17" w:rsidP="006C3242">
      <w:pPr>
        <w:spacing w:before="0" w:line="240" w:lineRule="auto"/>
      </w:pPr>
      <w:r>
        <w:separator/>
      </w:r>
    </w:p>
  </w:endnote>
  <w:endnote w:type="continuationSeparator" w:id="0">
    <w:p w14:paraId="1A12F6D3" w14:textId="77777777" w:rsidR="008A0E17" w:rsidRDefault="008A0E1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02F" w:usb1="29D77CFB" w:usb2="00000012" w:usb3="00000000" w:csb0="00080001"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47C4D6DD" w14:textId="77777777" w:rsidTr="00031158">
      <w:tc>
        <w:tcPr>
          <w:tcW w:w="991" w:type="dxa"/>
          <w:tcBorders>
            <w:top w:val="single" w:sz="4" w:space="0" w:color="auto"/>
            <w:left w:val="nil"/>
            <w:bottom w:val="nil"/>
            <w:right w:val="nil"/>
          </w:tcBorders>
          <w:shd w:val="clear" w:color="auto" w:fill="FFFFFF" w:themeFill="background1"/>
          <w:hideMark/>
        </w:tcPr>
        <w:p w14:paraId="3EC6407D" w14:textId="77777777" w:rsidR="00AD1E92" w:rsidRPr="002048AF" w:rsidRDefault="00AD1E92" w:rsidP="00AD1E92">
          <w:pPr>
            <w:spacing w:before="60" w:after="40" w:line="260" w:lineRule="exact"/>
            <w:rPr>
              <w:position w:val="2"/>
              <w:sz w:val="18"/>
              <w:szCs w:val="18"/>
              <w:lang w:val="en-GB"/>
            </w:rPr>
          </w:pPr>
          <w:r w:rsidRPr="002048AF">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A4DCF7" w14:textId="77777777" w:rsidR="00AD1E92" w:rsidRPr="002048AF" w:rsidRDefault="00AD1E92" w:rsidP="00AD1E92">
          <w:pPr>
            <w:spacing w:before="60" w:after="40" w:line="260" w:lineRule="exact"/>
            <w:rPr>
              <w:position w:val="2"/>
              <w:sz w:val="18"/>
              <w:szCs w:val="18"/>
              <w:lang w:val="en-GB"/>
            </w:rPr>
          </w:pPr>
          <w:r w:rsidRPr="002048AF">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DBDDC9B" w14:textId="41FD55E4" w:rsidR="00AD1E92" w:rsidRPr="002048AF" w:rsidRDefault="002048AF" w:rsidP="00AD1E92">
          <w:pPr>
            <w:spacing w:before="60" w:after="40" w:line="260" w:lineRule="exact"/>
            <w:rPr>
              <w:position w:val="2"/>
              <w:sz w:val="18"/>
              <w:szCs w:val="18"/>
              <w:lang w:val="en-GB"/>
            </w:rPr>
          </w:pPr>
          <w:r w:rsidRPr="002048AF">
            <w:rPr>
              <w:sz w:val="18"/>
              <w:szCs w:val="18"/>
              <w:rtl/>
            </w:rPr>
            <w:t xml:space="preserve">السيد </w:t>
          </w:r>
          <w:r w:rsidR="00454438" w:rsidRPr="006541FC">
            <w:rPr>
              <w:sz w:val="18"/>
              <w:szCs w:val="18"/>
            </w:rPr>
            <w:t>Alassane Ba</w:t>
          </w:r>
          <w:r w:rsidRPr="002048AF">
            <w:rPr>
              <w:sz w:val="18"/>
              <w:szCs w:val="18"/>
              <w:rtl/>
            </w:rPr>
            <w:t>، ‏رئيس شعبة الميزانية والتحليل المالي، الاتحاد الدولي للاتصالات</w:t>
          </w:r>
        </w:p>
      </w:tc>
    </w:tr>
    <w:tr w:rsidR="00AD1E92" w:rsidRPr="00AD1E92" w14:paraId="5EC92B67" w14:textId="77777777" w:rsidTr="00031158">
      <w:tc>
        <w:tcPr>
          <w:tcW w:w="991" w:type="dxa"/>
        </w:tcPr>
        <w:p w14:paraId="6573AABC" w14:textId="77777777" w:rsidR="00AD1E92" w:rsidRPr="002048AF" w:rsidRDefault="00AD1E92" w:rsidP="00AD1E92">
          <w:pPr>
            <w:spacing w:before="60" w:after="40" w:line="260" w:lineRule="exact"/>
            <w:rPr>
              <w:position w:val="2"/>
              <w:sz w:val="18"/>
              <w:szCs w:val="18"/>
              <w:lang w:val="en-GB"/>
            </w:rPr>
          </w:pPr>
        </w:p>
      </w:tc>
      <w:tc>
        <w:tcPr>
          <w:tcW w:w="2411" w:type="dxa"/>
          <w:hideMark/>
        </w:tcPr>
        <w:p w14:paraId="2169CEF5" w14:textId="77777777" w:rsidR="00AD1E92" w:rsidRPr="002048AF" w:rsidRDefault="00AD1E92" w:rsidP="00AD1E92">
          <w:pPr>
            <w:spacing w:before="60" w:after="40" w:line="260" w:lineRule="exact"/>
            <w:rPr>
              <w:position w:val="2"/>
              <w:sz w:val="18"/>
              <w:szCs w:val="18"/>
              <w:lang w:val="en-GB"/>
            </w:rPr>
          </w:pPr>
          <w:r w:rsidRPr="002048AF">
            <w:rPr>
              <w:position w:val="2"/>
              <w:sz w:val="18"/>
              <w:szCs w:val="18"/>
              <w:rtl/>
              <w:lang w:val="fr-FR" w:bidi="ar-EG"/>
            </w:rPr>
            <w:t>رقم الهاتف:</w:t>
          </w:r>
        </w:p>
      </w:tc>
      <w:tc>
        <w:tcPr>
          <w:tcW w:w="6237" w:type="dxa"/>
        </w:tcPr>
        <w:p w14:paraId="73354C9D" w14:textId="707CF6B0" w:rsidR="00AD1E92" w:rsidRPr="002048AF" w:rsidRDefault="002048AF" w:rsidP="00AD1E92">
          <w:pPr>
            <w:spacing w:before="60" w:after="40" w:line="260" w:lineRule="exact"/>
            <w:rPr>
              <w:position w:val="2"/>
              <w:sz w:val="18"/>
              <w:szCs w:val="18"/>
              <w:lang w:val="en-GB"/>
            </w:rPr>
          </w:pPr>
          <w:r w:rsidRPr="002048AF">
            <w:rPr>
              <w:sz w:val="18"/>
              <w:szCs w:val="18"/>
            </w:rPr>
            <w:t>+41 22 730 5253</w:t>
          </w:r>
        </w:p>
      </w:tc>
    </w:tr>
    <w:tr w:rsidR="00AD1E92" w:rsidRPr="00AD1E92" w14:paraId="005351B9" w14:textId="77777777" w:rsidTr="00031158">
      <w:tc>
        <w:tcPr>
          <w:tcW w:w="991" w:type="dxa"/>
        </w:tcPr>
        <w:p w14:paraId="6692FEBC" w14:textId="77777777" w:rsidR="00AD1E92" w:rsidRPr="002048AF" w:rsidRDefault="00AD1E92" w:rsidP="00AD1E92">
          <w:pPr>
            <w:spacing w:before="60" w:after="40" w:line="260" w:lineRule="exact"/>
            <w:rPr>
              <w:position w:val="2"/>
              <w:sz w:val="18"/>
              <w:szCs w:val="18"/>
              <w:lang w:val="en-GB"/>
            </w:rPr>
          </w:pPr>
        </w:p>
      </w:tc>
      <w:tc>
        <w:tcPr>
          <w:tcW w:w="2411" w:type="dxa"/>
          <w:hideMark/>
        </w:tcPr>
        <w:p w14:paraId="304356DA" w14:textId="77777777" w:rsidR="00AD1E92" w:rsidRPr="002048AF" w:rsidRDefault="00AD1E92" w:rsidP="00AD1E92">
          <w:pPr>
            <w:spacing w:before="60" w:after="40" w:line="260" w:lineRule="exact"/>
            <w:rPr>
              <w:position w:val="2"/>
              <w:sz w:val="18"/>
              <w:szCs w:val="18"/>
              <w:lang w:val="en-GB"/>
            </w:rPr>
          </w:pPr>
          <w:r w:rsidRPr="002048AF">
            <w:rPr>
              <w:position w:val="2"/>
              <w:sz w:val="18"/>
              <w:szCs w:val="18"/>
              <w:rtl/>
              <w:lang w:val="fr-FR" w:bidi="ar-EG"/>
            </w:rPr>
            <w:t>البريد الإلكتروني:</w:t>
          </w:r>
        </w:p>
      </w:tc>
      <w:tc>
        <w:tcPr>
          <w:tcW w:w="6237" w:type="dxa"/>
        </w:tcPr>
        <w:p w14:paraId="2267B9E5" w14:textId="65B6A410" w:rsidR="00AD1E92" w:rsidRPr="002048AF" w:rsidRDefault="00BE5513" w:rsidP="00AD1E92">
          <w:pPr>
            <w:spacing w:before="60" w:after="40" w:line="260" w:lineRule="exact"/>
            <w:rPr>
              <w:position w:val="2"/>
              <w:sz w:val="18"/>
              <w:szCs w:val="18"/>
              <w:rtl/>
              <w:lang w:val="fr-FR" w:bidi="ar-EG"/>
            </w:rPr>
          </w:pPr>
          <w:hyperlink r:id="rId1" w:history="1">
            <w:r w:rsidR="002048AF" w:rsidRPr="002048AF">
              <w:rPr>
                <w:rStyle w:val="Hyperlink"/>
                <w:sz w:val="18"/>
                <w:szCs w:val="18"/>
              </w:rPr>
              <w:t>alassane.ba@itu.int</w:t>
            </w:r>
          </w:hyperlink>
          <w:hyperlink r:id="rId2" w:history="1"/>
        </w:p>
      </w:tc>
    </w:tr>
  </w:tbl>
  <w:p w14:paraId="1772DD48"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19E0" w14:textId="77777777" w:rsidR="008A0E17" w:rsidRDefault="008A0E17" w:rsidP="006C3242">
      <w:pPr>
        <w:spacing w:before="0" w:line="240" w:lineRule="auto"/>
      </w:pPr>
      <w:r>
        <w:separator/>
      </w:r>
    </w:p>
  </w:footnote>
  <w:footnote w:type="continuationSeparator" w:id="0">
    <w:p w14:paraId="2B388B92" w14:textId="77777777" w:rsidR="008A0E17" w:rsidRDefault="008A0E17" w:rsidP="006C3242">
      <w:pPr>
        <w:spacing w:before="0" w:line="240" w:lineRule="auto"/>
      </w:pPr>
      <w:r>
        <w:continuationSeparator/>
      </w:r>
    </w:p>
  </w:footnote>
  <w:footnote w:id="1">
    <w:p w14:paraId="1C6B7737" w14:textId="42EDEE9D" w:rsidR="002048AF" w:rsidRPr="000E3A69" w:rsidRDefault="002048AF" w:rsidP="00435FE5">
      <w:pPr>
        <w:pStyle w:val="FootnoteText"/>
        <w:rPr>
          <w:lang w:val="ar-SA" w:eastAsia="zh-TW" w:bidi="en-GB"/>
        </w:rPr>
      </w:pPr>
      <w:r w:rsidRPr="000E3A69">
        <w:rPr>
          <w:rStyle w:val="FootnoteReference"/>
          <w:rtl/>
        </w:rPr>
        <w:footnoteRef/>
      </w:r>
      <w:r w:rsidR="00C706B2">
        <w:rPr>
          <w:rtl/>
        </w:rPr>
        <w:tab/>
      </w:r>
      <w:r w:rsidRPr="000E3A69">
        <w:rPr>
          <w:rtl/>
        </w:rPr>
        <w:t xml:space="preserve">ويعد استخدام الطيف لموارد الترقيم الفضائية والأرضية والدولية من الأولويات </w:t>
      </w:r>
      <w:proofErr w:type="spellStart"/>
      <w:r w:rsidRPr="000E3A69">
        <w:rPr>
          <w:rtl/>
        </w:rPr>
        <w:t>المواضيعية</w:t>
      </w:r>
      <w:proofErr w:type="spellEnd"/>
      <w:r w:rsidRPr="000E3A69">
        <w:rPr>
          <w:rtl/>
        </w:rPr>
        <w:t xml:space="preserve"> لمكتب الاتصالات الراديوية ومكتب تقييس الاتصالات على التوالي.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99CF73B" w14:textId="4B32BB62"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2048AF">
          <w:rPr>
            <w:sz w:val="20"/>
            <w:szCs w:val="20"/>
            <w:lang w:val="es-ES_tradnl"/>
          </w:rPr>
          <w:t>40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353F1"/>
    <w:multiLevelType w:val="hybridMultilevel"/>
    <w:tmpl w:val="AB58C1DA"/>
    <w:lvl w:ilvl="0" w:tplc="901054BE">
      <w:start w:val="1"/>
      <w:numFmt w:val="bullet"/>
      <w:lvlText w:val="o"/>
      <w:lvlJc w:val="left"/>
      <w:pPr>
        <w:ind w:left="720" w:hanging="360"/>
      </w:pPr>
      <w:rPr>
        <w:rFonts w:ascii="Courier New" w:hAnsi="Courier New" w:hint="default"/>
      </w:rPr>
    </w:lvl>
    <w:lvl w:ilvl="1" w:tplc="66649150" w:tentative="1">
      <w:start w:val="1"/>
      <w:numFmt w:val="bullet"/>
      <w:lvlText w:val="o"/>
      <w:lvlJc w:val="left"/>
      <w:pPr>
        <w:ind w:left="1440" w:hanging="360"/>
      </w:pPr>
      <w:rPr>
        <w:rFonts w:ascii="Courier New" w:hAnsi="Courier New" w:hint="default"/>
      </w:rPr>
    </w:lvl>
    <w:lvl w:ilvl="2" w:tplc="4E685402" w:tentative="1">
      <w:start w:val="1"/>
      <w:numFmt w:val="bullet"/>
      <w:lvlText w:val=""/>
      <w:lvlJc w:val="left"/>
      <w:pPr>
        <w:ind w:left="2160" w:hanging="360"/>
      </w:pPr>
      <w:rPr>
        <w:rFonts w:ascii="Wingdings" w:hAnsi="Wingdings" w:hint="default"/>
      </w:rPr>
    </w:lvl>
    <w:lvl w:ilvl="3" w:tplc="20F0F6AC" w:tentative="1">
      <w:start w:val="1"/>
      <w:numFmt w:val="bullet"/>
      <w:lvlText w:val=""/>
      <w:lvlJc w:val="left"/>
      <w:pPr>
        <w:ind w:left="2880" w:hanging="360"/>
      </w:pPr>
      <w:rPr>
        <w:rFonts w:ascii="Symbol" w:hAnsi="Symbol" w:hint="default"/>
      </w:rPr>
    </w:lvl>
    <w:lvl w:ilvl="4" w:tplc="CFFEF5FE" w:tentative="1">
      <w:start w:val="1"/>
      <w:numFmt w:val="bullet"/>
      <w:lvlText w:val="o"/>
      <w:lvlJc w:val="left"/>
      <w:pPr>
        <w:ind w:left="3600" w:hanging="360"/>
      </w:pPr>
      <w:rPr>
        <w:rFonts w:ascii="Courier New" w:hAnsi="Courier New" w:hint="default"/>
      </w:rPr>
    </w:lvl>
    <w:lvl w:ilvl="5" w:tplc="B4D6E926" w:tentative="1">
      <w:start w:val="1"/>
      <w:numFmt w:val="bullet"/>
      <w:lvlText w:val=""/>
      <w:lvlJc w:val="left"/>
      <w:pPr>
        <w:ind w:left="4320" w:hanging="360"/>
      </w:pPr>
      <w:rPr>
        <w:rFonts w:ascii="Wingdings" w:hAnsi="Wingdings" w:hint="default"/>
      </w:rPr>
    </w:lvl>
    <w:lvl w:ilvl="6" w:tplc="D4EE5FDE" w:tentative="1">
      <w:start w:val="1"/>
      <w:numFmt w:val="bullet"/>
      <w:lvlText w:val=""/>
      <w:lvlJc w:val="left"/>
      <w:pPr>
        <w:ind w:left="5040" w:hanging="360"/>
      </w:pPr>
      <w:rPr>
        <w:rFonts w:ascii="Symbol" w:hAnsi="Symbol" w:hint="default"/>
      </w:rPr>
    </w:lvl>
    <w:lvl w:ilvl="7" w:tplc="4B86AE8A" w:tentative="1">
      <w:start w:val="1"/>
      <w:numFmt w:val="bullet"/>
      <w:lvlText w:val="o"/>
      <w:lvlJc w:val="left"/>
      <w:pPr>
        <w:ind w:left="5760" w:hanging="360"/>
      </w:pPr>
      <w:rPr>
        <w:rFonts w:ascii="Courier New" w:hAnsi="Courier New" w:hint="default"/>
      </w:rPr>
    </w:lvl>
    <w:lvl w:ilvl="8" w:tplc="70BC411E" w:tentative="1">
      <w:start w:val="1"/>
      <w:numFmt w:val="bullet"/>
      <w:lvlText w:val=""/>
      <w:lvlJc w:val="left"/>
      <w:pPr>
        <w:ind w:left="6480" w:hanging="360"/>
      </w:pPr>
      <w:rPr>
        <w:rFonts w:ascii="Wingdings" w:hAnsi="Wingdings" w:hint="default"/>
      </w:rPr>
    </w:lvl>
  </w:abstractNum>
  <w:abstractNum w:abstractNumId="11" w15:restartNumberingAfterBreak="0">
    <w:nsid w:val="068D10B0"/>
    <w:multiLevelType w:val="hybridMultilevel"/>
    <w:tmpl w:val="480E90F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B556C7"/>
    <w:multiLevelType w:val="hybridMultilevel"/>
    <w:tmpl w:val="472EFFF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DDDDD"/>
    <w:multiLevelType w:val="hybridMultilevel"/>
    <w:tmpl w:val="FFFFFFFF"/>
    <w:lvl w:ilvl="0" w:tplc="0A98C87C">
      <w:start w:val="1"/>
      <w:numFmt w:val="bullet"/>
      <w:lvlText w:val=""/>
      <w:lvlJc w:val="left"/>
      <w:pPr>
        <w:ind w:left="451" w:hanging="360"/>
      </w:pPr>
      <w:rPr>
        <w:rFonts w:ascii="Symbol" w:hAnsi="Symbol" w:hint="default"/>
      </w:rPr>
    </w:lvl>
    <w:lvl w:ilvl="1" w:tplc="DD3CE314">
      <w:start w:val="1"/>
      <w:numFmt w:val="bullet"/>
      <w:lvlText w:val="o"/>
      <w:lvlJc w:val="left"/>
      <w:pPr>
        <w:ind w:left="1171" w:hanging="360"/>
      </w:pPr>
      <w:rPr>
        <w:rFonts w:ascii="Courier New" w:hAnsi="Courier New" w:hint="default"/>
      </w:rPr>
    </w:lvl>
    <w:lvl w:ilvl="2" w:tplc="2144A266">
      <w:start w:val="1"/>
      <w:numFmt w:val="bullet"/>
      <w:lvlText w:val=""/>
      <w:lvlJc w:val="left"/>
      <w:pPr>
        <w:ind w:left="1891" w:hanging="360"/>
      </w:pPr>
      <w:rPr>
        <w:rFonts w:ascii="Wingdings" w:hAnsi="Wingdings" w:hint="default"/>
      </w:rPr>
    </w:lvl>
    <w:lvl w:ilvl="3" w:tplc="B06246F2">
      <w:start w:val="1"/>
      <w:numFmt w:val="bullet"/>
      <w:lvlText w:val=""/>
      <w:lvlJc w:val="left"/>
      <w:pPr>
        <w:ind w:left="2611" w:hanging="360"/>
      </w:pPr>
      <w:rPr>
        <w:rFonts w:ascii="Symbol" w:hAnsi="Symbol" w:hint="default"/>
      </w:rPr>
    </w:lvl>
    <w:lvl w:ilvl="4" w:tplc="0ABE8CEC">
      <w:start w:val="1"/>
      <w:numFmt w:val="bullet"/>
      <w:lvlText w:val="o"/>
      <w:lvlJc w:val="left"/>
      <w:pPr>
        <w:ind w:left="3331" w:hanging="360"/>
      </w:pPr>
      <w:rPr>
        <w:rFonts w:ascii="Courier New" w:hAnsi="Courier New" w:hint="default"/>
      </w:rPr>
    </w:lvl>
    <w:lvl w:ilvl="5" w:tplc="C3B8E968">
      <w:start w:val="1"/>
      <w:numFmt w:val="bullet"/>
      <w:lvlText w:val=""/>
      <w:lvlJc w:val="left"/>
      <w:pPr>
        <w:ind w:left="4051" w:hanging="360"/>
      </w:pPr>
      <w:rPr>
        <w:rFonts w:ascii="Wingdings" w:hAnsi="Wingdings" w:hint="default"/>
      </w:rPr>
    </w:lvl>
    <w:lvl w:ilvl="6" w:tplc="E998F7BA">
      <w:start w:val="1"/>
      <w:numFmt w:val="bullet"/>
      <w:lvlText w:val=""/>
      <w:lvlJc w:val="left"/>
      <w:pPr>
        <w:ind w:left="4771" w:hanging="360"/>
      </w:pPr>
      <w:rPr>
        <w:rFonts w:ascii="Symbol" w:hAnsi="Symbol" w:hint="default"/>
      </w:rPr>
    </w:lvl>
    <w:lvl w:ilvl="7" w:tplc="5414E592">
      <w:start w:val="1"/>
      <w:numFmt w:val="bullet"/>
      <w:lvlText w:val="o"/>
      <w:lvlJc w:val="left"/>
      <w:pPr>
        <w:ind w:left="5491" w:hanging="360"/>
      </w:pPr>
      <w:rPr>
        <w:rFonts w:ascii="Courier New" w:hAnsi="Courier New" w:hint="default"/>
      </w:rPr>
    </w:lvl>
    <w:lvl w:ilvl="8" w:tplc="B1D0FF88">
      <w:start w:val="1"/>
      <w:numFmt w:val="bullet"/>
      <w:lvlText w:val=""/>
      <w:lvlJc w:val="left"/>
      <w:pPr>
        <w:ind w:left="6211" w:hanging="360"/>
      </w:pPr>
      <w:rPr>
        <w:rFonts w:ascii="Wingdings" w:hAnsi="Wingdings" w:hint="default"/>
      </w:rPr>
    </w:lvl>
  </w:abstractNum>
  <w:abstractNum w:abstractNumId="15" w15:restartNumberingAfterBreak="0">
    <w:nsid w:val="373A6CBB"/>
    <w:multiLevelType w:val="hybridMultilevel"/>
    <w:tmpl w:val="CFEAC85A"/>
    <w:lvl w:ilvl="0" w:tplc="3410C45A">
      <w:start w:val="1"/>
      <w:numFmt w:val="bullet"/>
      <w:lvlText w:val=""/>
      <w:lvlJc w:val="left"/>
      <w:pPr>
        <w:ind w:left="720" w:hanging="360"/>
      </w:pPr>
      <w:rPr>
        <w:rFonts w:ascii="Symbol" w:hAnsi="Symbol" w:hint="default"/>
      </w:rPr>
    </w:lvl>
    <w:lvl w:ilvl="1" w:tplc="6D7A6CE4">
      <w:start w:val="1"/>
      <w:numFmt w:val="bullet"/>
      <w:lvlText w:val="o"/>
      <w:lvlJc w:val="left"/>
      <w:pPr>
        <w:ind w:left="1440" w:hanging="360"/>
      </w:pPr>
      <w:rPr>
        <w:rFonts w:ascii="Courier New" w:hAnsi="Courier New" w:hint="default"/>
      </w:rPr>
    </w:lvl>
    <w:lvl w:ilvl="2" w:tplc="F3C2F110" w:tentative="1">
      <w:start w:val="1"/>
      <w:numFmt w:val="bullet"/>
      <w:lvlText w:val=""/>
      <w:lvlJc w:val="left"/>
      <w:pPr>
        <w:ind w:left="2160" w:hanging="360"/>
      </w:pPr>
      <w:rPr>
        <w:rFonts w:ascii="Wingdings" w:hAnsi="Wingdings" w:hint="default"/>
      </w:rPr>
    </w:lvl>
    <w:lvl w:ilvl="3" w:tplc="8F2AC83C" w:tentative="1">
      <w:start w:val="1"/>
      <w:numFmt w:val="bullet"/>
      <w:lvlText w:val=""/>
      <w:lvlJc w:val="left"/>
      <w:pPr>
        <w:ind w:left="2880" w:hanging="360"/>
      </w:pPr>
      <w:rPr>
        <w:rFonts w:ascii="Symbol" w:hAnsi="Symbol" w:hint="default"/>
      </w:rPr>
    </w:lvl>
    <w:lvl w:ilvl="4" w:tplc="3416B9F6" w:tentative="1">
      <w:start w:val="1"/>
      <w:numFmt w:val="bullet"/>
      <w:lvlText w:val="o"/>
      <w:lvlJc w:val="left"/>
      <w:pPr>
        <w:ind w:left="3600" w:hanging="360"/>
      </w:pPr>
      <w:rPr>
        <w:rFonts w:ascii="Courier New" w:hAnsi="Courier New" w:hint="default"/>
      </w:rPr>
    </w:lvl>
    <w:lvl w:ilvl="5" w:tplc="9A40F612" w:tentative="1">
      <w:start w:val="1"/>
      <w:numFmt w:val="bullet"/>
      <w:lvlText w:val=""/>
      <w:lvlJc w:val="left"/>
      <w:pPr>
        <w:ind w:left="4320" w:hanging="360"/>
      </w:pPr>
      <w:rPr>
        <w:rFonts w:ascii="Wingdings" w:hAnsi="Wingdings" w:hint="default"/>
      </w:rPr>
    </w:lvl>
    <w:lvl w:ilvl="6" w:tplc="CFCC40BC" w:tentative="1">
      <w:start w:val="1"/>
      <w:numFmt w:val="bullet"/>
      <w:lvlText w:val=""/>
      <w:lvlJc w:val="left"/>
      <w:pPr>
        <w:ind w:left="5040" w:hanging="360"/>
      </w:pPr>
      <w:rPr>
        <w:rFonts w:ascii="Symbol" w:hAnsi="Symbol" w:hint="default"/>
      </w:rPr>
    </w:lvl>
    <w:lvl w:ilvl="7" w:tplc="BD40DFF0" w:tentative="1">
      <w:start w:val="1"/>
      <w:numFmt w:val="bullet"/>
      <w:lvlText w:val="o"/>
      <w:lvlJc w:val="left"/>
      <w:pPr>
        <w:ind w:left="5760" w:hanging="360"/>
      </w:pPr>
      <w:rPr>
        <w:rFonts w:ascii="Courier New" w:hAnsi="Courier New" w:hint="default"/>
      </w:rPr>
    </w:lvl>
    <w:lvl w:ilvl="8" w:tplc="AC50E866" w:tentative="1">
      <w:start w:val="1"/>
      <w:numFmt w:val="bullet"/>
      <w:lvlText w:val=""/>
      <w:lvlJc w:val="left"/>
      <w:pPr>
        <w:ind w:left="6480" w:hanging="360"/>
      </w:pPr>
      <w:rPr>
        <w:rFonts w:ascii="Wingdings" w:hAnsi="Wingdings" w:hint="default"/>
      </w:rPr>
    </w:lvl>
  </w:abstractNum>
  <w:abstractNum w:abstractNumId="16" w15:restartNumberingAfterBreak="0">
    <w:nsid w:val="51BD1683"/>
    <w:multiLevelType w:val="hybridMultilevel"/>
    <w:tmpl w:val="85A20DB2"/>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7" w15:restartNumberingAfterBreak="0">
    <w:nsid w:val="55ED1B97"/>
    <w:multiLevelType w:val="hybridMultilevel"/>
    <w:tmpl w:val="63809904"/>
    <w:lvl w:ilvl="0" w:tplc="7F926338">
      <w:start w:val="1"/>
      <w:numFmt w:val="decimal"/>
      <w:lvlText w:val="D%1."/>
      <w:lvlJc w:val="left"/>
      <w:pPr>
        <w:ind w:left="502" w:hanging="218"/>
      </w:pPr>
      <w:rPr>
        <w:rFonts w:hint="default"/>
      </w:rPr>
    </w:lvl>
    <w:lvl w:ilvl="1" w:tplc="60806942">
      <w:numFmt w:val="bullet"/>
      <w:lvlText w:val="•"/>
      <w:lvlJc w:val="left"/>
      <w:pPr>
        <w:ind w:left="1222" w:hanging="360"/>
      </w:pPr>
      <w:rPr>
        <w:rFonts w:ascii="Times New Roman" w:eastAsia="Times New Roman" w:hAnsi="Times New Roman" w:cs="Times New Roman"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8" w15:restartNumberingAfterBreak="0">
    <w:nsid w:val="5B807AC3"/>
    <w:multiLevelType w:val="hybridMultilevel"/>
    <w:tmpl w:val="3EA00664"/>
    <w:lvl w:ilvl="0" w:tplc="FFFFFFFF">
      <w:start w:val="1"/>
      <w:numFmt w:val="decimal"/>
      <w:lvlText w:val="D%1."/>
      <w:lvlJc w:val="left"/>
      <w:pPr>
        <w:ind w:left="502" w:hanging="218"/>
      </w:pPr>
      <w:rPr>
        <w:rFonts w:hint="default"/>
      </w:rPr>
    </w:lvl>
    <w:lvl w:ilvl="1" w:tplc="D8AA70EE">
      <w:start w:val="1"/>
      <w:numFmt w:val="bullet"/>
      <w:lvlText w:val=""/>
      <w:lvlJc w:val="left"/>
      <w:pPr>
        <w:ind w:left="720" w:hanging="360"/>
      </w:pPr>
      <w:rPr>
        <w:rFonts w:ascii="Symbol" w:hAnsi="Symbol"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5D6D69E8"/>
    <w:multiLevelType w:val="hybridMultilevel"/>
    <w:tmpl w:val="CB5627AA"/>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7358AC"/>
    <w:multiLevelType w:val="hybridMultilevel"/>
    <w:tmpl w:val="2104DF46"/>
    <w:lvl w:ilvl="0" w:tplc="D8AA70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2"/>
  </w:num>
  <w:num w:numId="12" w16cid:durableId="593443451">
    <w:abstractNumId w:val="17"/>
    <w:lvlOverride w:ilvl="0">
      <w:lvl w:ilvl="0" w:tplc="7F926338">
        <w:start w:val="1"/>
        <w:numFmt w:val="decimal"/>
        <w:lvlText w:val="D%1."/>
        <w:lvlJc w:val="left"/>
        <w:pPr>
          <w:ind w:left="644" w:hanging="218"/>
        </w:pPr>
        <w:rPr>
          <w:rFonts w:hint="default"/>
        </w:rPr>
      </w:lvl>
    </w:lvlOverride>
  </w:num>
  <w:num w:numId="13" w16cid:durableId="1259362720">
    <w:abstractNumId w:val="13"/>
    <w:lvlOverride w:ilvl="0">
      <w:lvl w:ilvl="0" w:tplc="D8AA70EE">
        <w:start w:val="1"/>
        <w:numFmt w:val="bullet"/>
        <w:lvlText w:val=""/>
        <w:lvlJc w:val="left"/>
        <w:pPr>
          <w:ind w:left="720" w:hanging="360"/>
        </w:pPr>
        <w:rPr>
          <w:rFonts w:ascii="Symbol" w:hAnsi="Symbol" w:hint="default"/>
        </w:rPr>
      </w:lvl>
    </w:lvlOverride>
  </w:num>
  <w:num w:numId="14" w16cid:durableId="984554052">
    <w:abstractNumId w:val="19"/>
    <w:lvlOverride w:ilvl="0">
      <w:lvl w:ilvl="0" w:tplc="D8AA70EE">
        <w:start w:val="1"/>
        <w:numFmt w:val="bullet"/>
        <w:lvlText w:val=""/>
        <w:lvlJc w:val="left"/>
        <w:pPr>
          <w:ind w:left="720" w:hanging="360"/>
        </w:pPr>
        <w:rPr>
          <w:rFonts w:ascii="Symbol" w:hAnsi="Symbol" w:hint="default"/>
        </w:rPr>
      </w:lvl>
    </w:lvlOverride>
  </w:num>
  <w:num w:numId="15" w16cid:durableId="27723369">
    <w:abstractNumId w:val="20"/>
    <w:lvlOverride w:ilvl="0">
      <w:lvl w:ilvl="0" w:tplc="D8AA70EE">
        <w:start w:val="1"/>
        <w:numFmt w:val="bullet"/>
        <w:lvlText w:val=""/>
        <w:lvlJc w:val="left"/>
        <w:pPr>
          <w:ind w:left="720" w:hanging="360"/>
        </w:pPr>
        <w:rPr>
          <w:rFonts w:ascii="Symbol" w:hAnsi="Symbol" w:hint="default"/>
          <w:color w:val="auto"/>
        </w:rPr>
      </w:lvl>
    </w:lvlOverride>
  </w:num>
  <w:num w:numId="16" w16cid:durableId="1077477614">
    <w:abstractNumId w:val="17"/>
  </w:num>
  <w:num w:numId="17" w16cid:durableId="1509101770">
    <w:abstractNumId w:val="13"/>
  </w:num>
  <w:num w:numId="18" w16cid:durableId="1539780943">
    <w:abstractNumId w:val="19"/>
  </w:num>
  <w:num w:numId="19" w16cid:durableId="1429739586">
    <w:abstractNumId w:val="20"/>
  </w:num>
  <w:num w:numId="20" w16cid:durableId="1518077416">
    <w:abstractNumId w:val="11"/>
  </w:num>
  <w:num w:numId="21" w16cid:durableId="1224179110">
    <w:abstractNumId w:val="16"/>
  </w:num>
  <w:num w:numId="22" w16cid:durableId="352077771">
    <w:abstractNumId w:val="18"/>
  </w:num>
  <w:num w:numId="23" w16cid:durableId="2031253759">
    <w:abstractNumId w:val="10"/>
  </w:num>
  <w:num w:numId="24" w16cid:durableId="354885020">
    <w:abstractNumId w:val="14"/>
  </w:num>
  <w:num w:numId="25" w16cid:durableId="588083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17"/>
    <w:rsid w:val="00014793"/>
    <w:rsid w:val="00020D91"/>
    <w:rsid w:val="00026D7C"/>
    <w:rsid w:val="0006468A"/>
    <w:rsid w:val="00090574"/>
    <w:rsid w:val="000C1C0E"/>
    <w:rsid w:val="000C548A"/>
    <w:rsid w:val="00151619"/>
    <w:rsid w:val="00153471"/>
    <w:rsid w:val="0018182E"/>
    <w:rsid w:val="0019128D"/>
    <w:rsid w:val="001C0169"/>
    <w:rsid w:val="001D1D50"/>
    <w:rsid w:val="001D6745"/>
    <w:rsid w:val="001E446E"/>
    <w:rsid w:val="002048AF"/>
    <w:rsid w:val="0021016E"/>
    <w:rsid w:val="002154EE"/>
    <w:rsid w:val="002276D2"/>
    <w:rsid w:val="0023283D"/>
    <w:rsid w:val="00245E93"/>
    <w:rsid w:val="0026373E"/>
    <w:rsid w:val="00271C43"/>
    <w:rsid w:val="00290728"/>
    <w:rsid w:val="002978F4"/>
    <w:rsid w:val="002B028D"/>
    <w:rsid w:val="002D695E"/>
    <w:rsid w:val="002E6541"/>
    <w:rsid w:val="00317741"/>
    <w:rsid w:val="00331FEF"/>
    <w:rsid w:val="00334924"/>
    <w:rsid w:val="003409BC"/>
    <w:rsid w:val="00352462"/>
    <w:rsid w:val="00357185"/>
    <w:rsid w:val="00383829"/>
    <w:rsid w:val="003971E3"/>
    <w:rsid w:val="003C4402"/>
    <w:rsid w:val="003F4B29"/>
    <w:rsid w:val="004200BD"/>
    <w:rsid w:val="0042686F"/>
    <w:rsid w:val="004317D8"/>
    <w:rsid w:val="00434183"/>
    <w:rsid w:val="00435FE5"/>
    <w:rsid w:val="00443869"/>
    <w:rsid w:val="00447F32"/>
    <w:rsid w:val="00454438"/>
    <w:rsid w:val="00457D22"/>
    <w:rsid w:val="00460CED"/>
    <w:rsid w:val="00497861"/>
    <w:rsid w:val="004A0B7B"/>
    <w:rsid w:val="004A0E16"/>
    <w:rsid w:val="004A6949"/>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86B82"/>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64663"/>
    <w:rsid w:val="00874F08"/>
    <w:rsid w:val="00882A17"/>
    <w:rsid w:val="008A0E17"/>
    <w:rsid w:val="008A7F84"/>
    <w:rsid w:val="008E6D58"/>
    <w:rsid w:val="0091702E"/>
    <w:rsid w:val="00923B0C"/>
    <w:rsid w:val="0094021C"/>
    <w:rsid w:val="0094065A"/>
    <w:rsid w:val="00952F86"/>
    <w:rsid w:val="00957084"/>
    <w:rsid w:val="00982B28"/>
    <w:rsid w:val="00983B35"/>
    <w:rsid w:val="00983DA5"/>
    <w:rsid w:val="00983FF6"/>
    <w:rsid w:val="009A7DAE"/>
    <w:rsid w:val="009C29A8"/>
    <w:rsid w:val="009D313F"/>
    <w:rsid w:val="00A15396"/>
    <w:rsid w:val="00A24359"/>
    <w:rsid w:val="00A47A5A"/>
    <w:rsid w:val="00A6683B"/>
    <w:rsid w:val="00A7423C"/>
    <w:rsid w:val="00A97F94"/>
    <w:rsid w:val="00AA7EA2"/>
    <w:rsid w:val="00AD1E92"/>
    <w:rsid w:val="00AE680F"/>
    <w:rsid w:val="00B03099"/>
    <w:rsid w:val="00B05BC8"/>
    <w:rsid w:val="00B319BC"/>
    <w:rsid w:val="00B37DB2"/>
    <w:rsid w:val="00B4138E"/>
    <w:rsid w:val="00B64B47"/>
    <w:rsid w:val="00B86CCF"/>
    <w:rsid w:val="00B93B7B"/>
    <w:rsid w:val="00BA04AF"/>
    <w:rsid w:val="00BC4B48"/>
    <w:rsid w:val="00BE5513"/>
    <w:rsid w:val="00C002DE"/>
    <w:rsid w:val="00C53BF8"/>
    <w:rsid w:val="00C56B5F"/>
    <w:rsid w:val="00C66157"/>
    <w:rsid w:val="00C674FE"/>
    <w:rsid w:val="00C67501"/>
    <w:rsid w:val="00C706B2"/>
    <w:rsid w:val="00C724D0"/>
    <w:rsid w:val="00C75633"/>
    <w:rsid w:val="00C85CB5"/>
    <w:rsid w:val="00CA08BA"/>
    <w:rsid w:val="00CE2EE1"/>
    <w:rsid w:val="00CE3349"/>
    <w:rsid w:val="00CE36E5"/>
    <w:rsid w:val="00CF27F5"/>
    <w:rsid w:val="00CF3FFD"/>
    <w:rsid w:val="00CF4342"/>
    <w:rsid w:val="00D10CCF"/>
    <w:rsid w:val="00D70398"/>
    <w:rsid w:val="00D77D0F"/>
    <w:rsid w:val="00D8311F"/>
    <w:rsid w:val="00D84440"/>
    <w:rsid w:val="00DA1CF0"/>
    <w:rsid w:val="00DC1E02"/>
    <w:rsid w:val="00DC24B4"/>
    <w:rsid w:val="00DC5FB0"/>
    <w:rsid w:val="00DF16DC"/>
    <w:rsid w:val="00E43176"/>
    <w:rsid w:val="00E45211"/>
    <w:rsid w:val="00E473C5"/>
    <w:rsid w:val="00E92863"/>
    <w:rsid w:val="00EB796D"/>
    <w:rsid w:val="00EE5CF2"/>
    <w:rsid w:val="00F03C95"/>
    <w:rsid w:val="00F058DC"/>
    <w:rsid w:val="00F24FC4"/>
    <w:rsid w:val="00F2676C"/>
    <w:rsid w:val="00F43D01"/>
    <w:rsid w:val="00F77022"/>
    <w:rsid w:val="00F83B9D"/>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59C8"/>
  <w15:chartTrackingRefBased/>
  <w15:docId w15:val="{C7E79504-FF22-4E55-B0C8-C4C8B045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uiPriority w:val="99"/>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C706B2"/>
    <w:pPr>
      <w:tabs>
        <w:tab w:val="clear" w:pos="794"/>
        <w:tab w:val="left" w:pos="283"/>
      </w:tabs>
      <w:spacing w:before="0" w:line="168" w:lineRule="auto"/>
      <w:textDirection w:val="tbRlV"/>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C706B2"/>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2048AF"/>
    <w:rPr>
      <w:rFonts w:ascii="Dubai" w:hAnsi="Dubai" w:cs="Dubai"/>
    </w:rPr>
  </w:style>
  <w:style w:type="numbering" w:customStyle="1" w:styleId="NoList1">
    <w:name w:val="No List1"/>
    <w:next w:val="NoList"/>
    <w:uiPriority w:val="99"/>
    <w:semiHidden/>
    <w:unhideWhenUsed/>
    <w:rsid w:val="002048AF"/>
  </w:style>
  <w:style w:type="paragraph" w:styleId="Index7">
    <w:name w:val="index 7"/>
    <w:basedOn w:val="Normal"/>
    <w:next w:val="Normal"/>
    <w:semiHidden/>
    <w:rsid w:val="002048AF"/>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Calibri" w:eastAsia="Times New Roman" w:hAnsi="Calibri" w:cs="Times New Roman"/>
      <w:sz w:val="24"/>
      <w:szCs w:val="20"/>
      <w:lang w:val="en-GB" w:eastAsia="en-US"/>
    </w:rPr>
  </w:style>
  <w:style w:type="paragraph" w:styleId="Index6">
    <w:name w:val="index 6"/>
    <w:basedOn w:val="Normal"/>
    <w:next w:val="Normal"/>
    <w:semiHidden/>
    <w:rsid w:val="002048AF"/>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Calibri" w:eastAsia="Times New Roman" w:hAnsi="Calibri" w:cs="Times New Roman"/>
      <w:sz w:val="24"/>
      <w:szCs w:val="20"/>
      <w:lang w:val="en-GB" w:eastAsia="en-US"/>
    </w:rPr>
  </w:style>
  <w:style w:type="paragraph" w:styleId="Index5">
    <w:name w:val="index 5"/>
    <w:basedOn w:val="Normal"/>
    <w:next w:val="Normal"/>
    <w:semiHidden/>
    <w:rsid w:val="002048AF"/>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Calibri" w:eastAsia="Times New Roman" w:hAnsi="Calibri" w:cs="Times New Roman"/>
      <w:sz w:val="24"/>
      <w:szCs w:val="20"/>
      <w:lang w:val="en-GB" w:eastAsia="en-US"/>
    </w:rPr>
  </w:style>
  <w:style w:type="paragraph" w:styleId="Index4">
    <w:name w:val="index 4"/>
    <w:basedOn w:val="Normal"/>
    <w:next w:val="Normal"/>
    <w:semiHidden/>
    <w:rsid w:val="002048AF"/>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Calibri" w:eastAsia="Times New Roman" w:hAnsi="Calibri" w:cs="Times New Roman"/>
      <w:sz w:val="24"/>
      <w:szCs w:val="20"/>
      <w:lang w:val="en-GB" w:eastAsia="en-US"/>
    </w:rPr>
  </w:style>
  <w:style w:type="paragraph" w:styleId="Index3">
    <w:name w:val="index 3"/>
    <w:basedOn w:val="Normal"/>
    <w:next w:val="Normal"/>
    <w:rsid w:val="002048AF"/>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Calibri" w:eastAsia="Times New Roman" w:hAnsi="Calibri" w:cs="Times New Roman"/>
      <w:sz w:val="24"/>
      <w:szCs w:val="20"/>
      <w:lang w:val="en-GB" w:eastAsia="en-US"/>
    </w:rPr>
  </w:style>
  <w:style w:type="paragraph" w:styleId="Index2">
    <w:name w:val="index 2"/>
    <w:basedOn w:val="Normal"/>
    <w:next w:val="Normal"/>
    <w:rsid w:val="002048AF"/>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Calibri" w:eastAsia="Times New Roman" w:hAnsi="Calibri" w:cs="Times New Roman"/>
      <w:sz w:val="24"/>
      <w:szCs w:val="20"/>
      <w:lang w:val="en-GB" w:eastAsia="en-US"/>
    </w:rPr>
  </w:style>
  <w:style w:type="paragraph" w:styleId="Index1">
    <w:name w:val="index 1"/>
    <w:basedOn w:val="Normal"/>
    <w:next w:val="Normal"/>
    <w:rsid w:val="002048A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character" w:styleId="LineNumber">
    <w:name w:val="line number"/>
    <w:basedOn w:val="DefaultParagraphFont"/>
    <w:rsid w:val="002048AF"/>
  </w:style>
  <w:style w:type="paragraph" w:styleId="IndexHeading">
    <w:name w:val="index heading"/>
    <w:basedOn w:val="Normal"/>
    <w:next w:val="Index1"/>
    <w:semiHidden/>
    <w:rsid w:val="002048A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styleId="NormalIndent">
    <w:name w:val="Normal Indent"/>
    <w:basedOn w:val="Normal"/>
    <w:rsid w:val="002048AF"/>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Calibri" w:eastAsia="Times New Roman" w:hAnsi="Calibri" w:cs="Times New Roman"/>
      <w:sz w:val="24"/>
      <w:szCs w:val="20"/>
      <w:lang w:val="en-GB" w:eastAsia="en-US"/>
    </w:rPr>
  </w:style>
  <w:style w:type="paragraph" w:customStyle="1" w:styleId="enumlev10">
    <w:name w:val="enumlev1"/>
    <w:basedOn w:val="Normal"/>
    <w:rsid w:val="002048AF"/>
    <w:pPr>
      <w:tabs>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Calibri" w:eastAsia="Times New Roman" w:hAnsi="Calibri" w:cs="Times New Roman"/>
      <w:sz w:val="24"/>
      <w:szCs w:val="20"/>
      <w:lang w:val="en-GB" w:eastAsia="en-US"/>
    </w:rPr>
  </w:style>
  <w:style w:type="paragraph" w:customStyle="1" w:styleId="enumlev20">
    <w:name w:val="enumlev2"/>
    <w:basedOn w:val="enumlev10"/>
    <w:rsid w:val="002048AF"/>
    <w:pPr>
      <w:ind w:left="1191" w:hanging="397"/>
    </w:pPr>
  </w:style>
  <w:style w:type="paragraph" w:customStyle="1" w:styleId="enumlev30">
    <w:name w:val="enumlev3"/>
    <w:basedOn w:val="enumlev20"/>
    <w:rsid w:val="002048AF"/>
    <w:pPr>
      <w:ind w:left="1588"/>
    </w:pPr>
  </w:style>
  <w:style w:type="paragraph" w:customStyle="1" w:styleId="Equation">
    <w:name w:val="Equation"/>
    <w:basedOn w:val="Normal"/>
    <w:rsid w:val="002048AF"/>
    <w:pPr>
      <w:tabs>
        <w:tab w:val="center" w:pos="4820"/>
        <w:tab w:val="right" w:pos="9639"/>
      </w:tabs>
      <w:overflowPunct w:val="0"/>
      <w:autoSpaceDE w:val="0"/>
      <w:autoSpaceDN w:val="0"/>
      <w:bidi w:val="0"/>
      <w:adjustRightInd w:val="0"/>
      <w:spacing w:line="240" w:lineRule="auto"/>
      <w:jc w:val="left"/>
      <w:textAlignment w:val="baseline"/>
    </w:pPr>
    <w:rPr>
      <w:rFonts w:ascii="Calibri" w:eastAsia="Times New Roman" w:hAnsi="Calibri" w:cs="Times New Roman"/>
      <w:sz w:val="24"/>
      <w:szCs w:val="20"/>
      <w:lang w:val="en-GB" w:eastAsia="en-US"/>
    </w:rPr>
  </w:style>
  <w:style w:type="paragraph" w:customStyle="1" w:styleId="toc0">
    <w:name w:val="toc 0"/>
    <w:basedOn w:val="Normal"/>
    <w:next w:val="TOC1"/>
    <w:rsid w:val="002048AF"/>
    <w:pPr>
      <w:tabs>
        <w:tab w:val="clear" w:pos="794"/>
        <w:tab w:val="right" w:pos="9781"/>
      </w:tabs>
      <w:overflowPunct w:val="0"/>
      <w:autoSpaceDE w:val="0"/>
      <w:autoSpaceDN w:val="0"/>
      <w:bidi w:val="0"/>
      <w:adjustRightInd w:val="0"/>
      <w:spacing w:line="240" w:lineRule="auto"/>
      <w:jc w:val="left"/>
      <w:textAlignment w:val="baseline"/>
    </w:pPr>
    <w:rPr>
      <w:rFonts w:ascii="Calibri" w:eastAsia="Times New Roman" w:hAnsi="Calibri" w:cs="Times New Roman"/>
      <w:b/>
      <w:sz w:val="24"/>
      <w:szCs w:val="20"/>
      <w:lang w:val="en-GB" w:eastAsia="en-US"/>
    </w:rPr>
  </w:style>
  <w:style w:type="paragraph" w:customStyle="1" w:styleId="AnnexNo0">
    <w:name w:val="Annex_No"/>
    <w:basedOn w:val="Normal"/>
    <w:next w:val="Annexref"/>
    <w:rsid w:val="002048AF"/>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Calibri" w:eastAsia="Times New Roman" w:hAnsi="Calibri" w:cs="Times New Roman"/>
      <w:caps/>
      <w:sz w:val="28"/>
      <w:szCs w:val="20"/>
      <w:lang w:val="en-GB" w:eastAsia="en-US"/>
    </w:rPr>
  </w:style>
  <w:style w:type="paragraph" w:customStyle="1" w:styleId="ASN1">
    <w:name w:val="ASN.1"/>
    <w:basedOn w:val="Normal"/>
    <w:rsid w:val="002048AF"/>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Times New Roman"/>
      <w:b/>
      <w:noProof/>
      <w:sz w:val="20"/>
      <w:szCs w:val="20"/>
      <w:lang w:val="en-GB" w:eastAsia="en-US"/>
    </w:rPr>
  </w:style>
  <w:style w:type="paragraph" w:customStyle="1" w:styleId="Title4">
    <w:name w:val="Title 4"/>
    <w:basedOn w:val="Title3"/>
    <w:next w:val="Heading1"/>
    <w:rsid w:val="002048AF"/>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textAlignment w:val="baseline"/>
    </w:pPr>
    <w:rPr>
      <w:rFonts w:ascii="Calibri" w:eastAsia="Times New Roman" w:hAnsi="Calibri" w:cs="Times New Roman Bold"/>
      <w:sz w:val="28"/>
      <w:szCs w:val="20"/>
      <w:lang w:val="en-GB" w:eastAsia="en-US"/>
    </w:rPr>
  </w:style>
  <w:style w:type="paragraph" w:customStyle="1" w:styleId="FirstFooter">
    <w:name w:val="FirstFooter"/>
    <w:basedOn w:val="Footer"/>
    <w:rsid w:val="002048AF"/>
    <w:pPr>
      <w:tabs>
        <w:tab w:val="clear" w:pos="794"/>
        <w:tab w:val="clear" w:pos="4153"/>
        <w:tab w:val="clear" w:pos="8306"/>
      </w:tabs>
      <w:spacing w:before="40"/>
    </w:pPr>
    <w:rPr>
      <w:rFonts w:ascii="Calibri" w:hAnsi="Calibri" w:cs="Times New Roman"/>
      <w:sz w:val="16"/>
      <w:lang w:val="fr-FR"/>
    </w:rPr>
  </w:style>
  <w:style w:type="paragraph" w:customStyle="1" w:styleId="Annexref">
    <w:name w:val="Annex_ref"/>
    <w:basedOn w:val="Normal"/>
    <w:next w:val="Annextitle0"/>
    <w:rsid w:val="002048AF"/>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Calibri" w:eastAsia="Times New Roman" w:hAnsi="Calibri" w:cs="Times New Roman"/>
      <w:sz w:val="24"/>
      <w:szCs w:val="20"/>
      <w:lang w:val="en-GB" w:eastAsia="en-US"/>
    </w:rPr>
  </w:style>
  <w:style w:type="paragraph" w:customStyle="1" w:styleId="Annextitle0">
    <w:name w:val="Annex_title"/>
    <w:basedOn w:val="Normal"/>
    <w:next w:val="Normalaftertitle"/>
    <w:rsid w:val="002048A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Calibri" w:eastAsia="Times New Roman" w:hAnsi="Calibri" w:cs="Times New Roman"/>
      <w:b/>
      <w:sz w:val="28"/>
      <w:szCs w:val="20"/>
      <w:lang w:val="en-GB" w:eastAsia="en-US"/>
    </w:rPr>
  </w:style>
  <w:style w:type="character" w:customStyle="1" w:styleId="Appdef">
    <w:name w:val="App_def"/>
    <w:basedOn w:val="DefaultParagraphFont"/>
    <w:rsid w:val="002048AF"/>
    <w:rPr>
      <w:rFonts w:ascii="Calibri" w:hAnsi="Calibri"/>
      <w:b/>
    </w:rPr>
  </w:style>
  <w:style w:type="character" w:customStyle="1" w:styleId="Appref">
    <w:name w:val="App_ref"/>
    <w:basedOn w:val="DefaultParagraphFont"/>
    <w:rsid w:val="002048AF"/>
    <w:rPr>
      <w:rFonts w:ascii="Calibri" w:hAnsi="Calibri"/>
    </w:rPr>
  </w:style>
  <w:style w:type="paragraph" w:customStyle="1" w:styleId="AppendixNo0">
    <w:name w:val="Appendix_No"/>
    <w:basedOn w:val="AnnexNo0"/>
    <w:next w:val="Annexref"/>
    <w:rsid w:val="002048AF"/>
  </w:style>
  <w:style w:type="paragraph" w:customStyle="1" w:styleId="Appendixref">
    <w:name w:val="Appendix_ref"/>
    <w:basedOn w:val="Annexref"/>
    <w:next w:val="Annextitle0"/>
    <w:rsid w:val="002048AF"/>
  </w:style>
  <w:style w:type="paragraph" w:customStyle="1" w:styleId="Appendixtitle0">
    <w:name w:val="Appendix_title"/>
    <w:basedOn w:val="Annextitle0"/>
    <w:next w:val="Normalaftertitle"/>
    <w:rsid w:val="002048AF"/>
  </w:style>
  <w:style w:type="character" w:customStyle="1" w:styleId="Artdef">
    <w:name w:val="Art_def"/>
    <w:basedOn w:val="DefaultParagraphFont"/>
    <w:rsid w:val="002048AF"/>
    <w:rPr>
      <w:rFonts w:ascii="Calibri" w:hAnsi="Calibri"/>
      <w:b/>
    </w:rPr>
  </w:style>
  <w:style w:type="paragraph" w:customStyle="1" w:styleId="Artheading">
    <w:name w:val="Art_heading"/>
    <w:basedOn w:val="Normal"/>
    <w:next w:val="Normalaftertitle"/>
    <w:rsid w:val="002048AF"/>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b/>
      <w:sz w:val="28"/>
      <w:szCs w:val="20"/>
      <w:lang w:val="en-GB" w:eastAsia="en-US"/>
    </w:rPr>
  </w:style>
  <w:style w:type="paragraph" w:customStyle="1" w:styleId="ArtNo">
    <w:name w:val="Art_No"/>
    <w:basedOn w:val="Normal"/>
    <w:next w:val="Arttitle"/>
    <w:rsid w:val="002048AF"/>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Calibri" w:eastAsia="Times New Roman" w:hAnsi="Calibri" w:cs="Times New Roman"/>
      <w:caps/>
      <w:sz w:val="28"/>
      <w:szCs w:val="20"/>
      <w:lang w:val="en-GB" w:eastAsia="en-US"/>
    </w:rPr>
  </w:style>
  <w:style w:type="paragraph" w:customStyle="1" w:styleId="Arttitle">
    <w:name w:val="Art_title"/>
    <w:basedOn w:val="Normal"/>
    <w:next w:val="Normalaftertitle"/>
    <w:rsid w:val="002048AF"/>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Calibri" w:eastAsia="Times New Roman" w:hAnsi="Calibri" w:cs="Times New Roman"/>
      <w:b/>
      <w:sz w:val="28"/>
      <w:szCs w:val="20"/>
      <w:lang w:val="en-GB" w:eastAsia="en-US"/>
    </w:rPr>
  </w:style>
  <w:style w:type="character" w:customStyle="1" w:styleId="Artref">
    <w:name w:val="Art_ref"/>
    <w:basedOn w:val="DefaultParagraphFont"/>
    <w:rsid w:val="002048AF"/>
  </w:style>
  <w:style w:type="paragraph" w:customStyle="1" w:styleId="ChapNo">
    <w:name w:val="Chap_No"/>
    <w:basedOn w:val="ArtNo"/>
    <w:next w:val="Chaptitle"/>
    <w:rsid w:val="002048AF"/>
    <w:rPr>
      <w:b/>
    </w:rPr>
  </w:style>
  <w:style w:type="paragraph" w:customStyle="1" w:styleId="Chaptitle">
    <w:name w:val="Chap_title"/>
    <w:basedOn w:val="Arttitle"/>
    <w:next w:val="Normalaftertitle"/>
    <w:rsid w:val="002048AF"/>
  </w:style>
  <w:style w:type="paragraph" w:customStyle="1" w:styleId="ddate">
    <w:name w:val="ddate"/>
    <w:basedOn w:val="Normal"/>
    <w:rsid w:val="002048A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paragraph" w:customStyle="1" w:styleId="dnum">
    <w:name w:val="dnum"/>
    <w:basedOn w:val="Normal"/>
    <w:rsid w:val="002048A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Calibri" w:eastAsia="Times New Roman" w:hAnsi="Calibri" w:cs="Times New Roman"/>
      <w:b/>
      <w:bCs/>
      <w:sz w:val="24"/>
      <w:szCs w:val="20"/>
      <w:lang w:val="en-GB" w:eastAsia="en-US"/>
    </w:rPr>
  </w:style>
  <w:style w:type="paragraph" w:customStyle="1" w:styleId="dorlang">
    <w:name w:val="dorlang"/>
    <w:basedOn w:val="Normal"/>
    <w:rsid w:val="002048AF"/>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Calibri" w:eastAsia="Times New Roman" w:hAnsi="Calibri" w:cs="Times New Roman"/>
      <w:b/>
      <w:bCs/>
      <w:sz w:val="24"/>
      <w:szCs w:val="20"/>
      <w:lang w:val="en-GB" w:eastAsia="en-US"/>
    </w:rPr>
  </w:style>
  <w:style w:type="character" w:styleId="EndnoteReference">
    <w:name w:val="endnote reference"/>
    <w:basedOn w:val="DefaultParagraphFont"/>
    <w:semiHidden/>
    <w:rsid w:val="002048AF"/>
    <w:rPr>
      <w:vertAlign w:val="superscript"/>
    </w:rPr>
  </w:style>
  <w:style w:type="paragraph" w:customStyle="1" w:styleId="Equationlegend">
    <w:name w:val="Equation_legend"/>
    <w:basedOn w:val="Normal"/>
    <w:rsid w:val="002048AF"/>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Calibri" w:eastAsia="Times New Roman" w:hAnsi="Calibri" w:cs="Times New Roman"/>
      <w:sz w:val="24"/>
      <w:szCs w:val="20"/>
      <w:lang w:val="en-GB" w:eastAsia="en-US"/>
    </w:rPr>
  </w:style>
  <w:style w:type="paragraph" w:customStyle="1" w:styleId="Figurelegend0">
    <w:name w:val="Figure_legend"/>
    <w:basedOn w:val="Normal"/>
    <w:rsid w:val="002048AF"/>
    <w:pPr>
      <w:keepNext/>
      <w:keepLines/>
      <w:tabs>
        <w:tab w:val="clear" w:pos="794"/>
      </w:tabs>
      <w:overflowPunct w:val="0"/>
      <w:autoSpaceDE w:val="0"/>
      <w:autoSpaceDN w:val="0"/>
      <w:bidi w:val="0"/>
      <w:adjustRightInd w:val="0"/>
      <w:spacing w:before="20" w:after="20" w:line="240" w:lineRule="auto"/>
      <w:jc w:val="left"/>
      <w:textAlignment w:val="baseline"/>
    </w:pPr>
    <w:rPr>
      <w:rFonts w:ascii="Calibri" w:eastAsia="Times New Roman" w:hAnsi="Calibri" w:cs="Times New Roman"/>
      <w:sz w:val="18"/>
      <w:szCs w:val="20"/>
      <w:lang w:val="en-GB" w:eastAsia="en-US"/>
    </w:rPr>
  </w:style>
  <w:style w:type="paragraph" w:customStyle="1" w:styleId="FigureNo0">
    <w:name w:val="Figure_No"/>
    <w:basedOn w:val="Normal"/>
    <w:next w:val="Figuretitle0"/>
    <w:rsid w:val="002048AF"/>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Calibri" w:eastAsia="Times New Roman" w:hAnsi="Calibri" w:cs="Times New Roman"/>
      <w:caps/>
      <w:sz w:val="24"/>
      <w:szCs w:val="20"/>
      <w:lang w:val="en-GB" w:eastAsia="en-US"/>
    </w:rPr>
  </w:style>
  <w:style w:type="paragraph" w:customStyle="1" w:styleId="Figuretitle0">
    <w:name w:val="Figure_title"/>
    <w:basedOn w:val="Tabletitle0"/>
    <w:next w:val="Normal"/>
    <w:rsid w:val="002048AF"/>
    <w:pPr>
      <w:keepNext w:val="0"/>
      <w:spacing w:after="480"/>
    </w:pPr>
  </w:style>
  <w:style w:type="paragraph" w:customStyle="1" w:styleId="Tabletitle0">
    <w:name w:val="Table_title"/>
    <w:basedOn w:val="Normal"/>
    <w:next w:val="Tabletext"/>
    <w:rsid w:val="002048AF"/>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b/>
      <w:sz w:val="24"/>
      <w:szCs w:val="20"/>
      <w:lang w:val="en-GB" w:eastAsia="en-US"/>
    </w:rPr>
  </w:style>
  <w:style w:type="paragraph" w:customStyle="1" w:styleId="Tabletext">
    <w:name w:val="Table_text"/>
    <w:basedOn w:val="Normal"/>
    <w:rsid w:val="002048A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Calibri" w:eastAsia="Times New Roman" w:hAnsi="Calibri" w:cs="Times New Roman"/>
      <w:szCs w:val="20"/>
      <w:lang w:val="en-GB" w:eastAsia="en-US"/>
    </w:rPr>
  </w:style>
  <w:style w:type="paragraph" w:customStyle="1" w:styleId="Figurewithouttitle">
    <w:name w:val="Figure_without_title"/>
    <w:basedOn w:val="FigureNo0"/>
    <w:next w:val="Normal"/>
    <w:rsid w:val="002048AF"/>
    <w:pPr>
      <w:keepNext w:val="0"/>
    </w:pPr>
  </w:style>
  <w:style w:type="paragraph" w:customStyle="1" w:styleId="Headingb0">
    <w:name w:val="Heading_b"/>
    <w:basedOn w:val="Normal"/>
    <w:next w:val="Normal"/>
    <w:rsid w:val="002048AF"/>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b/>
      <w:sz w:val="24"/>
      <w:szCs w:val="20"/>
      <w:lang w:val="en-GB" w:eastAsia="en-US"/>
    </w:rPr>
  </w:style>
  <w:style w:type="paragraph" w:customStyle="1" w:styleId="Headingi0">
    <w:name w:val="Heading_i"/>
    <w:basedOn w:val="Normal"/>
    <w:next w:val="Normal"/>
    <w:rsid w:val="002048AF"/>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Calibri" w:eastAsia="Times New Roman" w:hAnsi="Calibri" w:cs="Times New Roman"/>
      <w:i/>
      <w:sz w:val="24"/>
      <w:szCs w:val="20"/>
      <w:lang w:val="en-GB" w:eastAsia="en-US"/>
    </w:rPr>
  </w:style>
  <w:style w:type="paragraph" w:customStyle="1" w:styleId="PartNo0">
    <w:name w:val="Part_No"/>
    <w:basedOn w:val="AnnexNo0"/>
    <w:next w:val="Partref"/>
    <w:rsid w:val="002048AF"/>
  </w:style>
  <w:style w:type="paragraph" w:customStyle="1" w:styleId="Partref">
    <w:name w:val="Part_ref"/>
    <w:basedOn w:val="Annexref"/>
    <w:next w:val="Parttitle0"/>
    <w:rsid w:val="002048AF"/>
  </w:style>
  <w:style w:type="paragraph" w:customStyle="1" w:styleId="Parttitle0">
    <w:name w:val="Part_title"/>
    <w:basedOn w:val="Annextitle0"/>
    <w:next w:val="Normalaftertitle"/>
    <w:rsid w:val="002048AF"/>
  </w:style>
  <w:style w:type="paragraph" w:customStyle="1" w:styleId="Recref">
    <w:name w:val="Rec_ref"/>
    <w:basedOn w:val="Rectitle"/>
    <w:next w:val="Recdate"/>
    <w:rsid w:val="002048AF"/>
    <w:pPr>
      <w:tabs>
        <w:tab w:val="clear" w:pos="794"/>
      </w:tabs>
      <w:overflowPunct w:val="0"/>
      <w:autoSpaceDE w:val="0"/>
      <w:autoSpaceDN w:val="0"/>
      <w:bidi w:val="0"/>
      <w:adjustRightInd w:val="0"/>
      <w:spacing w:after="0" w:line="240" w:lineRule="auto"/>
      <w:textAlignment w:val="baseline"/>
    </w:pPr>
    <w:rPr>
      <w:rFonts w:ascii="Calibri" w:eastAsia="Times New Roman" w:hAnsi="Calibri" w:cs="Times New Roman"/>
      <w:b w:val="0"/>
      <w:bCs w:val="0"/>
      <w:i/>
      <w:sz w:val="24"/>
      <w:szCs w:val="20"/>
      <w:lang w:val="en-GB" w:eastAsia="en-US"/>
    </w:rPr>
  </w:style>
  <w:style w:type="paragraph" w:customStyle="1" w:styleId="Recdate">
    <w:name w:val="Rec_date"/>
    <w:basedOn w:val="Recref"/>
    <w:next w:val="Normalaftertitle"/>
    <w:rsid w:val="002048AF"/>
    <w:pPr>
      <w:jc w:val="right"/>
    </w:pPr>
    <w:rPr>
      <w:sz w:val="22"/>
    </w:rPr>
  </w:style>
  <w:style w:type="paragraph" w:customStyle="1" w:styleId="Questiondate">
    <w:name w:val="Question_date"/>
    <w:basedOn w:val="Recdate"/>
    <w:next w:val="Normalaftertitle"/>
    <w:rsid w:val="002048AF"/>
  </w:style>
  <w:style w:type="paragraph" w:customStyle="1" w:styleId="QuestionNo">
    <w:name w:val="Question_No"/>
    <w:basedOn w:val="RecNo"/>
    <w:next w:val="Questiontitle"/>
    <w:rsid w:val="002048AF"/>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Questiontitle">
    <w:name w:val="Question_title"/>
    <w:basedOn w:val="Rectitle"/>
    <w:next w:val="Questionref"/>
    <w:rsid w:val="002048AF"/>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Questionref">
    <w:name w:val="Question_ref"/>
    <w:basedOn w:val="Recref"/>
    <w:next w:val="Questiondate"/>
    <w:rsid w:val="002048AF"/>
  </w:style>
  <w:style w:type="character" w:customStyle="1" w:styleId="Recdef">
    <w:name w:val="Rec_def"/>
    <w:basedOn w:val="DefaultParagraphFont"/>
    <w:rsid w:val="002048AF"/>
    <w:rPr>
      <w:rFonts w:ascii="Calibri" w:hAnsi="Calibri"/>
      <w:b/>
    </w:rPr>
  </w:style>
  <w:style w:type="paragraph" w:customStyle="1" w:styleId="Reftext">
    <w:name w:val="Ref_text"/>
    <w:basedOn w:val="Normal"/>
    <w:rsid w:val="002048AF"/>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Calibri" w:eastAsia="Times New Roman" w:hAnsi="Calibri" w:cs="Times New Roman"/>
      <w:sz w:val="24"/>
      <w:szCs w:val="20"/>
      <w:lang w:val="en-GB" w:eastAsia="en-US"/>
    </w:rPr>
  </w:style>
  <w:style w:type="paragraph" w:customStyle="1" w:styleId="Repdate">
    <w:name w:val="Rep_date"/>
    <w:basedOn w:val="Recdate"/>
    <w:next w:val="Normalaftertitle"/>
    <w:rsid w:val="002048AF"/>
  </w:style>
  <w:style w:type="paragraph" w:customStyle="1" w:styleId="RepNo">
    <w:name w:val="Rep_No"/>
    <w:basedOn w:val="RecNo"/>
    <w:next w:val="Reptitle"/>
    <w:rsid w:val="002048AF"/>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Calibri" w:eastAsia="Times New Roman" w:hAnsi="Calibri" w:cs="Times New Roman"/>
      <w:caps/>
      <w:sz w:val="28"/>
      <w:szCs w:val="20"/>
      <w:lang w:val="en-GB" w:eastAsia="en-US"/>
    </w:rPr>
  </w:style>
  <w:style w:type="paragraph" w:customStyle="1" w:styleId="Reptitle">
    <w:name w:val="Rep_title"/>
    <w:basedOn w:val="Rectitle"/>
    <w:next w:val="Repref"/>
    <w:rsid w:val="002048AF"/>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Calibri" w:eastAsia="Times New Roman" w:hAnsi="Calibri" w:cs="Times New Roman"/>
      <w:bCs w:val="0"/>
      <w:szCs w:val="20"/>
      <w:lang w:val="en-GB" w:eastAsia="en-US"/>
    </w:rPr>
  </w:style>
  <w:style w:type="paragraph" w:customStyle="1" w:styleId="Repref">
    <w:name w:val="Rep_ref"/>
    <w:basedOn w:val="Recref"/>
    <w:next w:val="Repdate"/>
    <w:rsid w:val="002048AF"/>
  </w:style>
  <w:style w:type="paragraph" w:customStyle="1" w:styleId="Resdate">
    <w:name w:val="Res_date"/>
    <w:basedOn w:val="Recdate"/>
    <w:next w:val="Normalaftertitle"/>
    <w:rsid w:val="002048AF"/>
  </w:style>
  <w:style w:type="character" w:customStyle="1" w:styleId="Resdef">
    <w:name w:val="Res_def"/>
    <w:basedOn w:val="DefaultParagraphFont"/>
    <w:rsid w:val="002048AF"/>
    <w:rPr>
      <w:rFonts w:ascii="Calibri" w:hAnsi="Calibri"/>
      <w:b/>
    </w:rPr>
  </w:style>
  <w:style w:type="paragraph" w:customStyle="1" w:styleId="Resref">
    <w:name w:val="Res_ref"/>
    <w:basedOn w:val="Recref"/>
    <w:next w:val="Resdate"/>
    <w:rsid w:val="002048AF"/>
  </w:style>
  <w:style w:type="paragraph" w:customStyle="1" w:styleId="SectionNo0">
    <w:name w:val="Section_No"/>
    <w:basedOn w:val="AnnexNo0"/>
    <w:next w:val="Sectiontitle0"/>
    <w:rsid w:val="002048AF"/>
  </w:style>
  <w:style w:type="paragraph" w:customStyle="1" w:styleId="Sectiontitle0">
    <w:name w:val="Section_title"/>
    <w:basedOn w:val="Annextitle0"/>
    <w:next w:val="Normalaftertitle"/>
    <w:rsid w:val="002048AF"/>
  </w:style>
  <w:style w:type="paragraph" w:customStyle="1" w:styleId="SpecialFooter">
    <w:name w:val="Special Footer"/>
    <w:basedOn w:val="Footer"/>
    <w:rsid w:val="002048AF"/>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Calibri" w:hAnsi="Calibri" w:cs="Times New Roman"/>
      <w:sz w:val="16"/>
      <w:lang w:val="fr-FR"/>
    </w:rPr>
  </w:style>
  <w:style w:type="character" w:customStyle="1" w:styleId="Tablefreq">
    <w:name w:val="Table_freq"/>
    <w:basedOn w:val="DefaultParagraphFont"/>
    <w:rsid w:val="002048AF"/>
    <w:rPr>
      <w:rFonts w:ascii="Calibri" w:hAnsi="Calibri"/>
      <w:b/>
      <w:color w:val="auto"/>
    </w:rPr>
  </w:style>
  <w:style w:type="paragraph" w:customStyle="1" w:styleId="Tablehead0">
    <w:name w:val="Table_head"/>
    <w:basedOn w:val="Tabletext"/>
    <w:next w:val="Tabletext"/>
    <w:rsid w:val="002048AF"/>
    <w:pPr>
      <w:keepNext/>
      <w:spacing w:before="80" w:after="80"/>
      <w:jc w:val="center"/>
    </w:pPr>
    <w:rPr>
      <w:b/>
    </w:rPr>
  </w:style>
  <w:style w:type="paragraph" w:customStyle="1" w:styleId="Tablelegend0">
    <w:name w:val="Table_legend"/>
    <w:basedOn w:val="Tabletext"/>
    <w:rsid w:val="002048AF"/>
    <w:pPr>
      <w:spacing w:before="120"/>
    </w:pPr>
  </w:style>
  <w:style w:type="paragraph" w:customStyle="1" w:styleId="TableNo0">
    <w:name w:val="Table_No"/>
    <w:basedOn w:val="Normal"/>
    <w:next w:val="Tabletitle0"/>
    <w:rsid w:val="002048AF"/>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Calibri" w:eastAsia="Times New Roman" w:hAnsi="Calibri" w:cs="Times New Roman"/>
      <w:caps/>
      <w:sz w:val="24"/>
      <w:szCs w:val="20"/>
      <w:lang w:val="en-GB" w:eastAsia="en-US"/>
    </w:rPr>
  </w:style>
  <w:style w:type="paragraph" w:customStyle="1" w:styleId="Tableref">
    <w:name w:val="Table_ref"/>
    <w:basedOn w:val="Normal"/>
    <w:next w:val="Tabletitle0"/>
    <w:rsid w:val="002048AF"/>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Calibri" w:eastAsia="Times New Roman" w:hAnsi="Calibri" w:cs="Times New Roman"/>
      <w:sz w:val="24"/>
      <w:szCs w:val="20"/>
      <w:lang w:val="en-GB" w:eastAsia="en-US"/>
    </w:rPr>
  </w:style>
  <w:style w:type="character" w:customStyle="1" w:styleId="PageNumber1">
    <w:name w:val="Page Number1"/>
    <w:basedOn w:val="DefaultParagraphFont"/>
    <w:rsid w:val="002048AF"/>
    <w:rPr>
      <w:rFonts w:ascii="Calibri" w:hAnsi="Calibri"/>
    </w:rPr>
  </w:style>
  <w:style w:type="table" w:customStyle="1" w:styleId="TableGrid1">
    <w:name w:val="Table Grid1"/>
    <w:basedOn w:val="TableNormal"/>
    <w:next w:val="TableGrid"/>
    <w:uiPriority w:val="59"/>
    <w:rsid w:val="002048AF"/>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ittee">
    <w:name w:val="Committee"/>
    <w:basedOn w:val="Normal"/>
    <w:qFormat/>
    <w:rsid w:val="002048A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Bold"/>
      <w:b/>
      <w:caps/>
      <w:sz w:val="24"/>
      <w:szCs w:val="20"/>
      <w:lang w:val="en-GB" w:eastAsia="en-US"/>
    </w:rPr>
  </w:style>
  <w:style w:type="paragraph" w:customStyle="1" w:styleId="BDTLogo">
    <w:name w:val="BDT_Logo"/>
    <w:uiPriority w:val="99"/>
    <w:rsid w:val="002048AF"/>
    <w:pPr>
      <w:spacing w:after="0" w:line="240" w:lineRule="auto"/>
      <w:jc w:val="center"/>
    </w:pPr>
    <w:rPr>
      <w:rFonts w:ascii="Calibri" w:eastAsia="SimHei" w:hAnsi="Calibri" w:cs="Simplified Arabic"/>
      <w:szCs w:val="28"/>
      <w:lang w:val="en-GB" w:eastAsia="en-US"/>
    </w:rPr>
  </w:style>
  <w:style w:type="paragraph" w:customStyle="1" w:styleId="AppArtNo">
    <w:name w:val="App_Art_No"/>
    <w:basedOn w:val="ArtNo"/>
    <w:qFormat/>
    <w:rsid w:val="002048AF"/>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2048A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2048AF"/>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2048AF"/>
    <w:pPr>
      <w:tabs>
        <w:tab w:val="clear" w:pos="794"/>
        <w:tab w:val="left" w:pos="1871"/>
      </w:tabs>
      <w:bidi w:val="0"/>
      <w:spacing w:before="0" w:line="240" w:lineRule="auto"/>
      <w:jc w:val="left"/>
    </w:pPr>
    <w:rPr>
      <w:rFonts w:ascii="Calibri" w:eastAsia="Times New Roman" w:hAnsi="Calibri" w:cs="Times New Roman"/>
      <w:b/>
      <w:sz w:val="28"/>
      <w:szCs w:val="20"/>
      <w:lang w:eastAsia="en-US"/>
    </w:rPr>
  </w:style>
  <w:style w:type="character" w:customStyle="1" w:styleId="FollowedHyperlink1">
    <w:name w:val="FollowedHyperlink1"/>
    <w:basedOn w:val="DefaultParagraphFont"/>
    <w:semiHidden/>
    <w:unhideWhenUsed/>
    <w:rsid w:val="002048AF"/>
    <w:rPr>
      <w:color w:val="800080"/>
      <w:u w:val="single"/>
    </w:rPr>
  </w:style>
  <w:style w:type="character" w:styleId="UnresolvedMention">
    <w:name w:val="Unresolved Mention"/>
    <w:basedOn w:val="DefaultParagraphFont"/>
    <w:uiPriority w:val="99"/>
    <w:semiHidden/>
    <w:unhideWhenUsed/>
    <w:rsid w:val="002048AF"/>
    <w:rPr>
      <w:color w:val="605E5C"/>
      <w:shd w:val="clear" w:color="auto" w:fill="E1DFDD"/>
    </w:rPr>
  </w:style>
  <w:style w:type="paragraph" w:customStyle="1" w:styleId="Revision1">
    <w:name w:val="Revision1"/>
    <w:next w:val="Revision"/>
    <w:hidden/>
    <w:uiPriority w:val="99"/>
    <w:semiHidden/>
    <w:rsid w:val="002048AF"/>
    <w:pPr>
      <w:spacing w:after="0" w:line="240" w:lineRule="auto"/>
    </w:pPr>
    <w:rPr>
      <w:rFonts w:eastAsia="Times New Roman" w:cs="Times New Roman"/>
      <w:sz w:val="24"/>
      <w:szCs w:val="20"/>
      <w:lang w:val="en-GB" w:eastAsia="en-US"/>
    </w:rPr>
  </w:style>
  <w:style w:type="paragraph" w:styleId="NormalWeb">
    <w:name w:val="Normal (Web)"/>
    <w:basedOn w:val="Normal"/>
    <w:uiPriority w:val="99"/>
    <w:unhideWhenUsed/>
    <w:rsid w:val="002048AF"/>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ui-provider">
    <w:name w:val="ui-provider"/>
    <w:basedOn w:val="DefaultParagraphFont"/>
    <w:rsid w:val="002048AF"/>
  </w:style>
  <w:style w:type="paragraph" w:customStyle="1" w:styleId="AnnexNotitle">
    <w:name w:val="Annex_No &amp; title"/>
    <w:basedOn w:val="Normal"/>
    <w:next w:val="Normal"/>
    <w:rsid w:val="002048AF"/>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b/>
      <w:sz w:val="28"/>
      <w:szCs w:val="20"/>
      <w:lang w:val="en-GB" w:eastAsia="en-US"/>
    </w:rPr>
  </w:style>
  <w:style w:type="paragraph" w:customStyle="1" w:styleId="AppendixNotitle">
    <w:name w:val="Appendix_No &amp; title"/>
    <w:basedOn w:val="AnnexNotitle"/>
    <w:next w:val="Normal"/>
    <w:rsid w:val="002048AF"/>
  </w:style>
  <w:style w:type="paragraph" w:customStyle="1" w:styleId="Figure">
    <w:name w:val="Figure"/>
    <w:basedOn w:val="Normal"/>
    <w:next w:val="Normal"/>
    <w:qFormat/>
    <w:rsid w:val="002048AF"/>
    <w:pPr>
      <w:keepNext/>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FigureNotitle">
    <w:name w:val="Figure_No &amp; title"/>
    <w:basedOn w:val="Normal"/>
    <w:next w:val="Normal"/>
    <w:rsid w:val="002048AF"/>
    <w:pPr>
      <w:keepLines/>
      <w:tabs>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igureNoBR">
    <w:name w:val="Figure_No_BR"/>
    <w:basedOn w:val="Normal"/>
    <w:next w:val="Normal"/>
    <w:rsid w:val="002048AF"/>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titleBR">
    <w:name w:val="Table_title_BR"/>
    <w:basedOn w:val="Normal"/>
    <w:next w:val="Normal"/>
    <w:rsid w:val="002048AF"/>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FiguretitleBR">
    <w:name w:val="Figure_title_BR"/>
    <w:basedOn w:val="TabletitleBR"/>
    <w:next w:val="Normal"/>
    <w:rsid w:val="002048AF"/>
    <w:pPr>
      <w:keepNext w:val="0"/>
      <w:spacing w:after="480"/>
    </w:pPr>
  </w:style>
  <w:style w:type="paragraph" w:customStyle="1" w:styleId="Formal">
    <w:name w:val="Formal"/>
    <w:basedOn w:val="Normal"/>
    <w:rsid w:val="002048AF"/>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Times New Roman" w:hAnsi="Courier New" w:cs="Times New Roman"/>
      <w:noProof/>
      <w:sz w:val="20"/>
      <w:szCs w:val="20"/>
      <w:lang w:val="en-GB" w:eastAsia="en-US"/>
    </w:rPr>
  </w:style>
  <w:style w:type="paragraph" w:customStyle="1" w:styleId="Normalaftertitle0">
    <w:name w:val="Normal_after_title"/>
    <w:basedOn w:val="Normal"/>
    <w:next w:val="Normal"/>
    <w:rsid w:val="002048AF"/>
    <w:pPr>
      <w:tabs>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Times New Roman" w:hAnsi="Times New Roman" w:cs="Times New Roman"/>
      <w:sz w:val="24"/>
      <w:szCs w:val="20"/>
      <w:lang w:val="en-GB" w:eastAsia="en-US"/>
    </w:rPr>
  </w:style>
  <w:style w:type="paragraph" w:customStyle="1" w:styleId="RecNoBR">
    <w:name w:val="Rec_No_BR"/>
    <w:basedOn w:val="Normal"/>
    <w:next w:val="Normal"/>
    <w:rsid w:val="002048AF"/>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Times New Roman" w:cs="Times New Roman"/>
      <w:caps/>
      <w:sz w:val="28"/>
      <w:szCs w:val="20"/>
      <w:lang w:val="en-GB" w:eastAsia="en-US"/>
    </w:rPr>
  </w:style>
  <w:style w:type="paragraph" w:customStyle="1" w:styleId="QuestionNoBR">
    <w:name w:val="Question_No_BR"/>
    <w:basedOn w:val="RecNoBR"/>
    <w:next w:val="Normal"/>
    <w:rsid w:val="002048AF"/>
  </w:style>
  <w:style w:type="paragraph" w:customStyle="1" w:styleId="RepNoBR">
    <w:name w:val="Rep_No_BR"/>
    <w:basedOn w:val="RecNoBR"/>
    <w:next w:val="Normal"/>
    <w:rsid w:val="002048AF"/>
  </w:style>
  <w:style w:type="paragraph" w:customStyle="1" w:styleId="ResNoBR">
    <w:name w:val="Res_No_BR"/>
    <w:basedOn w:val="RecNoBR"/>
    <w:next w:val="Normal"/>
    <w:rsid w:val="002048AF"/>
  </w:style>
  <w:style w:type="paragraph" w:customStyle="1" w:styleId="Section10">
    <w:name w:val="Section_1"/>
    <w:basedOn w:val="Normal"/>
    <w:next w:val="Normal"/>
    <w:rsid w:val="002048AF"/>
    <w:pPr>
      <w:tabs>
        <w:tab w:val="clear" w:pos="794"/>
      </w:tabs>
      <w:overflowPunct w:val="0"/>
      <w:autoSpaceDE w:val="0"/>
      <w:autoSpaceDN w:val="0"/>
      <w:bidi w:val="0"/>
      <w:adjustRightInd w:val="0"/>
      <w:spacing w:before="624"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Section20">
    <w:name w:val="Section_2"/>
    <w:basedOn w:val="Normal"/>
    <w:next w:val="Normal"/>
    <w:rsid w:val="002048AF"/>
    <w:pPr>
      <w:tabs>
        <w:tab w:val="clear" w:pos="794"/>
      </w:tabs>
      <w:overflowPunct w:val="0"/>
      <w:autoSpaceDE w:val="0"/>
      <w:autoSpaceDN w:val="0"/>
      <w:bidi w:val="0"/>
      <w:adjustRightInd w:val="0"/>
      <w:spacing w:before="240" w:line="240" w:lineRule="auto"/>
      <w:jc w:val="center"/>
      <w:textAlignment w:val="baseline"/>
    </w:pPr>
    <w:rPr>
      <w:rFonts w:ascii="Times New Roman" w:eastAsia="Times New Roman" w:hAnsi="Times New Roman" w:cs="Times New Roman"/>
      <w:i/>
      <w:sz w:val="24"/>
      <w:szCs w:val="20"/>
      <w:lang w:val="en-GB" w:eastAsia="en-US"/>
    </w:rPr>
  </w:style>
  <w:style w:type="paragraph" w:customStyle="1" w:styleId="TableNotitle">
    <w:name w:val="Table_No &amp; title"/>
    <w:basedOn w:val="Normal"/>
    <w:next w:val="Tablehead0"/>
    <w:rsid w:val="002048AF"/>
    <w:pPr>
      <w:keepNext/>
      <w:keepLines/>
      <w:tabs>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Times New Roman" w:hAnsi="Times New Roman" w:cs="Times New Roman"/>
      <w:b/>
      <w:sz w:val="24"/>
      <w:szCs w:val="20"/>
      <w:lang w:val="en-GB" w:eastAsia="en-US"/>
    </w:rPr>
  </w:style>
  <w:style w:type="paragraph" w:customStyle="1" w:styleId="TableNoBR">
    <w:name w:val="Table_No_BR"/>
    <w:basedOn w:val="Normal"/>
    <w:next w:val="TabletitleBR"/>
    <w:rsid w:val="002048AF"/>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Tablefin">
    <w:name w:val="Table_fin"/>
    <w:basedOn w:val="Tabletext"/>
    <w:rsid w:val="002048AF"/>
    <w:rPr>
      <w:rFonts w:ascii="Times New Roman" w:hAnsi="Times New Roman"/>
    </w:rPr>
  </w:style>
  <w:style w:type="paragraph" w:styleId="CommentText">
    <w:name w:val="annotation text"/>
    <w:basedOn w:val="Normal"/>
    <w:link w:val="CommentTextChar"/>
    <w:unhideWhenUsed/>
    <w:rsid w:val="002048AF"/>
    <w:pPr>
      <w:tabs>
        <w:tab w:val="left" w:pos="1191"/>
        <w:tab w:val="left" w:pos="1588"/>
        <w:tab w:val="left" w:pos="1985"/>
      </w:tabs>
      <w:overflowPunct w:val="0"/>
      <w:autoSpaceDE w:val="0"/>
      <w:autoSpaceDN w:val="0"/>
      <w:bidi w:val="0"/>
      <w:adjustRightInd w:val="0"/>
      <w:spacing w:line="240" w:lineRule="auto"/>
      <w:jc w:val="left"/>
      <w:textAlignment w:val="baseline"/>
    </w:pPr>
    <w:rPr>
      <w:rFonts w:ascii="Calibri" w:eastAsia="Times New Roman" w:hAnsi="Calibri" w:cs="Times New Roman"/>
      <w:sz w:val="20"/>
      <w:szCs w:val="20"/>
      <w:lang w:val="en-GB" w:eastAsia="en-US"/>
    </w:rPr>
  </w:style>
  <w:style w:type="character" w:customStyle="1" w:styleId="CommentTextChar">
    <w:name w:val="Comment Text Char"/>
    <w:basedOn w:val="DefaultParagraphFont"/>
    <w:link w:val="CommentText"/>
    <w:rsid w:val="002048AF"/>
    <w:rPr>
      <w:rFonts w:ascii="Calibri" w:eastAsia="Times New Roman" w:hAnsi="Calibri" w:cs="Times New Roman"/>
      <w:sz w:val="20"/>
      <w:szCs w:val="20"/>
      <w:lang w:val="en-GB" w:eastAsia="en-US"/>
    </w:rPr>
  </w:style>
  <w:style w:type="character" w:styleId="CommentReference">
    <w:name w:val="annotation reference"/>
    <w:basedOn w:val="DefaultParagraphFont"/>
    <w:semiHidden/>
    <w:unhideWhenUsed/>
    <w:rsid w:val="002048AF"/>
    <w:rPr>
      <w:sz w:val="16"/>
      <w:szCs w:val="16"/>
    </w:rPr>
  </w:style>
  <w:style w:type="paragraph" w:styleId="CommentSubject">
    <w:name w:val="annotation subject"/>
    <w:basedOn w:val="CommentText"/>
    <w:next w:val="CommentText"/>
    <w:link w:val="CommentSubjectChar"/>
    <w:semiHidden/>
    <w:unhideWhenUsed/>
    <w:rsid w:val="002048AF"/>
    <w:rPr>
      <w:b/>
      <w:bCs/>
    </w:rPr>
  </w:style>
  <w:style w:type="character" w:customStyle="1" w:styleId="CommentSubjectChar">
    <w:name w:val="Comment Subject Char"/>
    <w:basedOn w:val="CommentTextChar"/>
    <w:link w:val="CommentSubject"/>
    <w:semiHidden/>
    <w:rsid w:val="002048AF"/>
    <w:rPr>
      <w:rFonts w:ascii="Calibri" w:eastAsia="Times New Roman" w:hAnsi="Calibri" w:cs="Times New Roman"/>
      <w:b/>
      <w:bCs/>
      <w:sz w:val="20"/>
      <w:szCs w:val="20"/>
      <w:lang w:val="en-GB" w:eastAsia="en-US"/>
    </w:rPr>
  </w:style>
  <w:style w:type="character" w:styleId="PageNumber">
    <w:name w:val="page number"/>
    <w:basedOn w:val="DefaultParagraphFont"/>
    <w:uiPriority w:val="99"/>
    <w:semiHidden/>
    <w:unhideWhenUsed/>
    <w:rsid w:val="002048AF"/>
  </w:style>
  <w:style w:type="character" w:styleId="FollowedHyperlink">
    <w:name w:val="FollowedHyperlink"/>
    <w:basedOn w:val="DefaultParagraphFont"/>
    <w:uiPriority w:val="99"/>
    <w:semiHidden/>
    <w:unhideWhenUsed/>
    <w:rsid w:val="002048AF"/>
    <w:rPr>
      <w:color w:val="954F72" w:themeColor="followedHyperlink"/>
      <w:u w:val="single"/>
    </w:rPr>
  </w:style>
  <w:style w:type="paragraph" w:styleId="Revision">
    <w:name w:val="Revision"/>
    <w:hidden/>
    <w:uiPriority w:val="99"/>
    <w:semiHidden/>
    <w:rsid w:val="002048AF"/>
    <w:pPr>
      <w:spacing w:after="0" w:line="240" w:lineRule="auto"/>
    </w:pPr>
    <w:rPr>
      <w:rFonts w:ascii="Dubai" w:hAnsi="Dubai" w:cs="Dubai"/>
    </w:rPr>
  </w:style>
  <w:style w:type="paragraph" w:customStyle="1" w:styleId="Heading20">
    <w:name w:val="Heading 2."/>
    <w:basedOn w:val="Normal"/>
    <w:qFormat/>
    <w:rsid w:val="0049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Convention-E.pdf" TargetMode="External"/><Relationship Id="rId5" Type="http://schemas.openxmlformats.org/officeDocument/2006/relationships/webSettings" Target="webSettings.xml"/><Relationship Id="rId15" Type="http://schemas.openxmlformats.org/officeDocument/2006/relationships/hyperlink" Target="https://datahub.itu.int/dashboards/?id=1" TargetMode="External"/><Relationship Id="rId10" Type="http://schemas.openxmlformats.org/officeDocument/2006/relationships/hyperlink" Target="https://www.itu.int/en/council/Documents/basic-texts-2023/RES-071-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itu-d/reports/statistics/2024/11/10/ff24-affordability-of-ict-services/"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lassane.b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9DEF8B88-DE8C-465C-B94D-E0DCF5F42FB2}"/>
</file>

<file path=customXml/itemProps3.xml><?xml version="1.0" encoding="utf-8"?>
<ds:datastoreItem xmlns:ds="http://schemas.openxmlformats.org/officeDocument/2006/customXml" ds:itemID="{DCD35D2A-8F43-46F2-878C-7026F6C1A315}"/>
</file>

<file path=customXml/itemProps4.xml><?xml version="1.0" encoding="utf-8"?>
<ds:datastoreItem xmlns:ds="http://schemas.openxmlformats.org/officeDocument/2006/customXml" ds:itemID="{E08BD826-41CF-460C-8441-845E9F01FC2A}"/>
</file>

<file path=docProps/app.xml><?xml version="1.0" encoding="utf-8"?>
<Properties xmlns="http://schemas.openxmlformats.org/officeDocument/2006/extended-properties" xmlns:vt="http://schemas.openxmlformats.org/officeDocument/2006/docPropsVTypes">
  <Template>PA_TDAG-25.dotx</Template>
  <TotalTime>4</TotalTime>
  <Pages>65</Pages>
  <Words>10526</Words>
  <Characters>60004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4</cp:revision>
  <dcterms:created xsi:type="dcterms:W3CDTF">2025-04-30T13:12:00Z</dcterms:created>
  <dcterms:modified xsi:type="dcterms:W3CDTF">2025-04-30T13:16:00Z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