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19549D9F">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670F9EE6"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F27083">
              <w:rPr>
                <w:b/>
                <w:bCs/>
                <w:lang w:val="en-US"/>
              </w:rPr>
              <w:t>TDAG-25/</w:t>
            </w:r>
            <w:bookmarkStart w:id="5" w:name="DocNo1"/>
            <w:bookmarkEnd w:id="5"/>
            <w:r w:rsidR="00F27083" w:rsidRPr="00F27083">
              <w:rPr>
                <w:b/>
                <w:bCs/>
                <w:lang w:val="en-US"/>
              </w:rPr>
              <w:t>31</w:t>
            </w:r>
            <w:r w:rsidRPr="00F27083">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5BA2ADA5" w:rsidR="005B718F" w:rsidRPr="00403C69" w:rsidRDefault="005B31C2" w:rsidP="005B718F">
            <w:pPr>
              <w:spacing w:before="0" w:line="240" w:lineRule="atLeast"/>
              <w:rPr>
                <w:rFonts w:cstheme="minorHAnsi"/>
                <w:szCs w:val="24"/>
              </w:rPr>
            </w:pPr>
            <w:r>
              <w:rPr>
                <w:b/>
                <w:bCs/>
                <w:szCs w:val="28"/>
              </w:rPr>
              <w:t>26 September</w:t>
            </w:r>
            <w:r w:rsidR="006B7FD6">
              <w:rPr>
                <w:b/>
                <w:bCs/>
                <w:szCs w:val="28"/>
              </w:rPr>
              <w:t xml:space="preserve"> 2024</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4ACA909E" w:rsidR="005B718F" w:rsidRPr="00403C69" w:rsidRDefault="005B718F" w:rsidP="005B718F">
            <w:pPr>
              <w:tabs>
                <w:tab w:val="left" w:pos="993"/>
              </w:tabs>
              <w:spacing w:before="0"/>
              <w:rPr>
                <w:rFonts w:cstheme="minorHAnsi"/>
                <w:b/>
                <w:szCs w:val="24"/>
              </w:rPr>
            </w:pPr>
            <w:r w:rsidRPr="00403C69">
              <w:rPr>
                <w:b/>
                <w:bCs/>
                <w:szCs w:val="24"/>
              </w:rPr>
              <w:t>English</w:t>
            </w:r>
            <w:r w:rsidR="006B7FD6">
              <w:rPr>
                <w:b/>
                <w:bCs/>
                <w:szCs w:val="24"/>
              </w:rPr>
              <w:t xml:space="preserve"> only</w:t>
            </w:r>
          </w:p>
        </w:tc>
      </w:tr>
      <w:tr w:rsidR="00423F10" w:rsidRPr="00403C69" w14:paraId="35F96F24" w14:textId="77777777" w:rsidTr="00D87035">
        <w:trPr>
          <w:cantSplit/>
          <w:trHeight w:val="23"/>
        </w:trPr>
        <w:tc>
          <w:tcPr>
            <w:tcW w:w="10031" w:type="dxa"/>
            <w:gridSpan w:val="4"/>
            <w:shd w:val="clear" w:color="auto" w:fill="auto"/>
          </w:tcPr>
          <w:p w14:paraId="59A8A61C" w14:textId="095F5697" w:rsidR="00423F10" w:rsidRPr="00403C69" w:rsidRDefault="00423F10" w:rsidP="00423F10">
            <w:pPr>
              <w:pStyle w:val="Source"/>
              <w:spacing w:before="240" w:after="240"/>
            </w:pPr>
            <w:bookmarkStart w:id="8" w:name="dbluepink" w:colFirst="0" w:colLast="0"/>
            <w:bookmarkStart w:id="9" w:name="dorlang" w:colFirst="1" w:colLast="1"/>
            <w:r w:rsidRPr="00143F31">
              <w:t>Telecommunication Standardization Advisory Group (TSAG)</w:t>
            </w:r>
          </w:p>
        </w:tc>
      </w:tr>
      <w:tr w:rsidR="00423F10" w:rsidRPr="00403C69" w14:paraId="7EDE1565" w14:textId="77777777" w:rsidTr="00913A6B">
        <w:trPr>
          <w:cantSplit/>
          <w:trHeight w:val="23"/>
        </w:trPr>
        <w:tc>
          <w:tcPr>
            <w:tcW w:w="10031" w:type="dxa"/>
            <w:gridSpan w:val="4"/>
            <w:shd w:val="clear" w:color="auto" w:fill="auto"/>
          </w:tcPr>
          <w:p w14:paraId="3D29924B" w14:textId="2EA5C7FC" w:rsidR="00423F10" w:rsidRPr="00423F10" w:rsidRDefault="00423F10" w:rsidP="00F37F94">
            <w:pPr>
              <w:pStyle w:val="Title1"/>
              <w:spacing w:before="120" w:after="120"/>
              <w:rPr>
                <w:caps w:val="0"/>
              </w:rPr>
            </w:pPr>
            <w:r w:rsidRPr="00423F10">
              <w:rPr>
                <w:caps w:val="0"/>
              </w:rPr>
              <w:t xml:space="preserve">Incoming LS – Liaison Statement on </w:t>
            </w:r>
            <w:r w:rsidR="00B3075F" w:rsidRPr="00B3075F">
              <w:rPr>
                <w:caps w:val="0"/>
              </w:rPr>
              <w:t xml:space="preserve">the Initial Submission of TSAG </w:t>
            </w:r>
            <w:r w:rsidR="00F37F94">
              <w:rPr>
                <w:caps w:val="0"/>
              </w:rPr>
              <w:br/>
            </w:r>
            <w:r w:rsidR="00B3075F" w:rsidRPr="00B3075F">
              <w:rPr>
                <w:caps w:val="0"/>
              </w:rPr>
              <w:t>to the Council Working Group on Strategic and Financial Planning</w:t>
            </w:r>
            <w:r w:rsidR="00CB7F84">
              <w:rPr>
                <w:caps w:val="0"/>
              </w:rPr>
              <w:br/>
            </w:r>
            <w:r w:rsidR="00CB7F84" w:rsidRPr="00CB7F84">
              <w:rPr>
                <w:caps w:val="0"/>
              </w:rPr>
              <w:t>[to CWG-SFP, ITU-T Study Groups, ISCG, TDAG, RAG]</w:t>
            </w:r>
          </w:p>
        </w:tc>
      </w:tr>
      <w:tr w:rsidR="008A75AD" w:rsidRPr="00403C69" w14:paraId="4FBA7816" w14:textId="77777777" w:rsidTr="002B452F">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E734C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6E09DE6A" w14:textId="04066350" w:rsidR="00847DA9" w:rsidRDefault="007732AD" w:rsidP="00847DA9">
            <w:pPr>
              <w:spacing w:after="120"/>
            </w:pPr>
            <w:r>
              <w:t>The attached is a liaison statement received for information from Telecommunication Standardization Advisory Group (TSAG) on</w:t>
            </w:r>
            <w:r w:rsidR="00B3075F">
              <w:t xml:space="preserve"> </w:t>
            </w:r>
            <w:r w:rsidR="00B3075F" w:rsidRPr="00B3075F">
              <w:t>the Initial Submission of TSAG to the Council Working Group on Strategic and Financial Planning</w:t>
            </w:r>
            <w:r w:rsidR="00847DA9">
              <w:t>.</w:t>
            </w:r>
          </w:p>
          <w:p w14:paraId="4489DB42" w14:textId="77777777" w:rsidR="007732AD" w:rsidRPr="00D9621A" w:rsidRDefault="007732AD" w:rsidP="007732AD">
            <w:pPr>
              <w:spacing w:after="120"/>
              <w:rPr>
                <w:b/>
                <w:bCs/>
                <w:szCs w:val="24"/>
              </w:rPr>
            </w:pPr>
            <w:r w:rsidRPr="005E090D">
              <w:rPr>
                <w:b/>
                <w:bCs/>
              </w:rPr>
              <w:t>Action required:</w:t>
            </w:r>
          </w:p>
          <w:p w14:paraId="6A9AF37B" w14:textId="77AD3F53" w:rsidR="00C77589" w:rsidRPr="00403C69" w:rsidRDefault="007732AD" w:rsidP="007732AD">
            <w:pPr>
              <w:spacing w:after="120"/>
            </w:pPr>
            <w:r>
              <w:t>T</w:t>
            </w:r>
            <w:r w:rsidRPr="00143F31">
              <w:t>DAG is invited to note this document and provide guidance as deemed appropriate.</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tbl>
      <w:tblPr>
        <w:tblW w:w="9639" w:type="dxa"/>
        <w:tblLayout w:type="fixed"/>
        <w:tblCellMar>
          <w:left w:w="57" w:type="dxa"/>
          <w:right w:w="57" w:type="dxa"/>
        </w:tblCellMar>
        <w:tblLook w:val="0000" w:firstRow="0" w:lastRow="0" w:firstColumn="0" w:lastColumn="0" w:noHBand="0" w:noVBand="0"/>
      </w:tblPr>
      <w:tblGrid>
        <w:gridCol w:w="1134"/>
        <w:gridCol w:w="441"/>
        <w:gridCol w:w="660"/>
        <w:gridCol w:w="2868"/>
        <w:gridCol w:w="368"/>
        <w:gridCol w:w="4168"/>
      </w:tblGrid>
      <w:tr w:rsidR="00EC4B5A" w:rsidRPr="00EC4B5A" w14:paraId="33D88D21" w14:textId="77777777" w:rsidTr="00703F1F">
        <w:trPr>
          <w:cantSplit/>
        </w:trPr>
        <w:tc>
          <w:tcPr>
            <w:tcW w:w="1134" w:type="dxa"/>
            <w:vMerge w:val="restart"/>
            <w:vAlign w:val="center"/>
          </w:tcPr>
          <w:p w14:paraId="4FD87C7A" w14:textId="77777777" w:rsidR="00EC4B5A" w:rsidRPr="00EC4B5A" w:rsidRDefault="00EC4B5A" w:rsidP="00703F1F">
            <w:pPr>
              <w:spacing w:before="0"/>
              <w:jc w:val="center"/>
              <w:rPr>
                <w:rFonts w:cstheme="minorHAnsi"/>
                <w:sz w:val="20"/>
              </w:rPr>
            </w:pPr>
            <w:bookmarkStart w:id="10" w:name="dsg" w:colFirst="1" w:colLast="1"/>
            <w:bookmarkStart w:id="11" w:name="dtableau"/>
            <w:r w:rsidRPr="00EC4B5A">
              <w:rPr>
                <w:rFonts w:cstheme="minorHAnsi"/>
                <w:noProof/>
              </w:rPr>
              <w:lastRenderedPageBreak/>
              <w:drawing>
                <wp:inline distT="0" distB="0" distL="0" distR="0" wp14:anchorId="5FF90C16" wp14:editId="758A5715">
                  <wp:extent cx="647700" cy="704850"/>
                  <wp:effectExtent l="0" t="0" r="0" b="0"/>
                  <wp:docPr id="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AI-generated content may be incorrect."/>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37" w:type="dxa"/>
            <w:gridSpan w:val="4"/>
            <w:vMerge w:val="restart"/>
          </w:tcPr>
          <w:p w14:paraId="3F2C2877" w14:textId="77777777" w:rsidR="00EC4B5A" w:rsidRPr="00EC4B5A" w:rsidRDefault="00EC4B5A" w:rsidP="00703F1F">
            <w:pPr>
              <w:rPr>
                <w:rFonts w:cstheme="minorHAnsi"/>
                <w:sz w:val="16"/>
                <w:szCs w:val="16"/>
              </w:rPr>
            </w:pPr>
            <w:r w:rsidRPr="00EC4B5A">
              <w:rPr>
                <w:rFonts w:cstheme="minorHAnsi"/>
                <w:sz w:val="16"/>
                <w:szCs w:val="16"/>
              </w:rPr>
              <w:t>INTERNATIONAL TELECOMMUNICATION UNION</w:t>
            </w:r>
          </w:p>
          <w:p w14:paraId="1C193666" w14:textId="77777777" w:rsidR="00EC4B5A" w:rsidRPr="00EC4B5A" w:rsidRDefault="00EC4B5A" w:rsidP="00703F1F">
            <w:pPr>
              <w:rPr>
                <w:rFonts w:cstheme="minorHAnsi"/>
                <w:b/>
                <w:bCs/>
                <w:sz w:val="26"/>
                <w:szCs w:val="26"/>
              </w:rPr>
            </w:pPr>
            <w:r w:rsidRPr="00EC4B5A">
              <w:rPr>
                <w:rFonts w:cstheme="minorHAnsi"/>
                <w:b/>
                <w:bCs/>
                <w:sz w:val="26"/>
                <w:szCs w:val="26"/>
              </w:rPr>
              <w:t>TELECOMMUNICATION</w:t>
            </w:r>
            <w:r w:rsidRPr="00EC4B5A">
              <w:rPr>
                <w:rFonts w:cstheme="minorHAnsi"/>
                <w:b/>
                <w:bCs/>
                <w:sz w:val="26"/>
                <w:szCs w:val="26"/>
              </w:rPr>
              <w:br/>
              <w:t>STANDARDIZATION SECTOR</w:t>
            </w:r>
          </w:p>
          <w:p w14:paraId="0E48A061" w14:textId="77777777" w:rsidR="00EC4B5A" w:rsidRPr="00EC4B5A" w:rsidRDefault="00EC4B5A" w:rsidP="00703F1F">
            <w:pPr>
              <w:rPr>
                <w:rFonts w:cstheme="minorHAnsi"/>
                <w:sz w:val="20"/>
              </w:rPr>
            </w:pPr>
            <w:r w:rsidRPr="00EC4B5A">
              <w:rPr>
                <w:rFonts w:cstheme="minorHAnsi"/>
                <w:sz w:val="20"/>
              </w:rPr>
              <w:t xml:space="preserve">STUDY PERIOD </w:t>
            </w:r>
            <w:bookmarkStart w:id="12" w:name="dstudyperiod"/>
            <w:r w:rsidRPr="00EC4B5A">
              <w:rPr>
                <w:rFonts w:cstheme="minorHAnsi"/>
                <w:sz w:val="20"/>
              </w:rPr>
              <w:t>2022-2024</w:t>
            </w:r>
            <w:bookmarkEnd w:id="12"/>
          </w:p>
        </w:tc>
        <w:tc>
          <w:tcPr>
            <w:tcW w:w="4168" w:type="dxa"/>
            <w:vAlign w:val="center"/>
          </w:tcPr>
          <w:p w14:paraId="133D5AFE" w14:textId="77777777" w:rsidR="00EC4B5A" w:rsidRPr="00EC4B5A" w:rsidRDefault="00EC4B5A" w:rsidP="00703F1F">
            <w:pPr>
              <w:pStyle w:val="Docnumber"/>
              <w:rPr>
                <w:rFonts w:asciiTheme="minorHAnsi" w:hAnsiTheme="minorHAnsi" w:cstheme="minorHAnsi"/>
              </w:rPr>
            </w:pPr>
            <w:r w:rsidRPr="00EC4B5A">
              <w:rPr>
                <w:rFonts w:asciiTheme="minorHAnsi" w:hAnsiTheme="minorHAnsi" w:cstheme="minorHAnsi"/>
              </w:rPr>
              <w:t>TSAG-LS55</w:t>
            </w:r>
          </w:p>
        </w:tc>
      </w:tr>
      <w:tr w:rsidR="00EC4B5A" w:rsidRPr="00EC4B5A" w14:paraId="37732B93" w14:textId="77777777" w:rsidTr="00703F1F">
        <w:trPr>
          <w:cantSplit/>
        </w:trPr>
        <w:tc>
          <w:tcPr>
            <w:tcW w:w="1134" w:type="dxa"/>
            <w:vMerge/>
          </w:tcPr>
          <w:p w14:paraId="15AAF013" w14:textId="77777777" w:rsidR="00EC4B5A" w:rsidRPr="00EC4B5A" w:rsidRDefault="00EC4B5A" w:rsidP="00703F1F">
            <w:pPr>
              <w:rPr>
                <w:rFonts w:cstheme="minorHAnsi"/>
                <w:smallCaps/>
                <w:sz w:val="20"/>
              </w:rPr>
            </w:pPr>
          </w:p>
        </w:tc>
        <w:tc>
          <w:tcPr>
            <w:tcW w:w="4337" w:type="dxa"/>
            <w:gridSpan w:val="4"/>
            <w:vMerge/>
          </w:tcPr>
          <w:p w14:paraId="59C8CE82" w14:textId="77777777" w:rsidR="00EC4B5A" w:rsidRPr="00EC4B5A" w:rsidRDefault="00EC4B5A" w:rsidP="00703F1F">
            <w:pPr>
              <w:rPr>
                <w:rFonts w:cstheme="minorHAnsi"/>
                <w:smallCaps/>
                <w:sz w:val="20"/>
              </w:rPr>
            </w:pPr>
          </w:p>
        </w:tc>
        <w:tc>
          <w:tcPr>
            <w:tcW w:w="4168" w:type="dxa"/>
          </w:tcPr>
          <w:p w14:paraId="07A7479E" w14:textId="77777777" w:rsidR="00EC4B5A" w:rsidRPr="00EC4B5A" w:rsidRDefault="00EC4B5A" w:rsidP="00703F1F">
            <w:pPr>
              <w:pStyle w:val="TSBHeaderRight14"/>
              <w:rPr>
                <w:rFonts w:asciiTheme="minorHAnsi" w:hAnsiTheme="minorHAnsi" w:cstheme="minorHAnsi"/>
              </w:rPr>
            </w:pPr>
            <w:r w:rsidRPr="00EC4B5A">
              <w:rPr>
                <w:rFonts w:asciiTheme="minorHAnsi" w:hAnsiTheme="minorHAnsi" w:cstheme="minorHAnsi"/>
              </w:rPr>
              <w:t>TSAG</w:t>
            </w:r>
          </w:p>
        </w:tc>
      </w:tr>
      <w:tr w:rsidR="00EC4B5A" w:rsidRPr="00EC4B5A" w14:paraId="0D7EE31A" w14:textId="77777777" w:rsidTr="00703F1F">
        <w:trPr>
          <w:cantSplit/>
        </w:trPr>
        <w:tc>
          <w:tcPr>
            <w:tcW w:w="1134" w:type="dxa"/>
            <w:vMerge/>
            <w:tcBorders>
              <w:bottom w:val="single" w:sz="12" w:space="0" w:color="auto"/>
            </w:tcBorders>
          </w:tcPr>
          <w:p w14:paraId="585B8290" w14:textId="77777777" w:rsidR="00EC4B5A" w:rsidRPr="00EC4B5A" w:rsidRDefault="00EC4B5A" w:rsidP="00703F1F">
            <w:pPr>
              <w:rPr>
                <w:rFonts w:cstheme="minorHAnsi"/>
                <w:b/>
                <w:bCs/>
                <w:sz w:val="26"/>
              </w:rPr>
            </w:pPr>
          </w:p>
        </w:tc>
        <w:tc>
          <w:tcPr>
            <w:tcW w:w="4337" w:type="dxa"/>
            <w:gridSpan w:val="4"/>
            <w:vMerge/>
            <w:tcBorders>
              <w:bottom w:val="single" w:sz="12" w:space="0" w:color="auto"/>
            </w:tcBorders>
          </w:tcPr>
          <w:p w14:paraId="49ACB830" w14:textId="77777777" w:rsidR="00EC4B5A" w:rsidRPr="00EC4B5A" w:rsidRDefault="00EC4B5A" w:rsidP="00703F1F">
            <w:pPr>
              <w:rPr>
                <w:rFonts w:cstheme="minorHAnsi"/>
                <w:b/>
                <w:bCs/>
                <w:sz w:val="26"/>
              </w:rPr>
            </w:pPr>
          </w:p>
        </w:tc>
        <w:tc>
          <w:tcPr>
            <w:tcW w:w="4168" w:type="dxa"/>
            <w:tcBorders>
              <w:bottom w:val="single" w:sz="12" w:space="0" w:color="auto"/>
            </w:tcBorders>
            <w:vAlign w:val="center"/>
          </w:tcPr>
          <w:p w14:paraId="0222D62B" w14:textId="77777777" w:rsidR="00EC4B5A" w:rsidRPr="00EC4B5A" w:rsidRDefault="00EC4B5A" w:rsidP="00703F1F">
            <w:pPr>
              <w:pStyle w:val="TSBHeaderRight14"/>
              <w:rPr>
                <w:rFonts w:asciiTheme="minorHAnsi" w:hAnsiTheme="minorHAnsi" w:cstheme="minorHAnsi"/>
              </w:rPr>
            </w:pPr>
            <w:r w:rsidRPr="00EC4B5A">
              <w:rPr>
                <w:rFonts w:asciiTheme="minorHAnsi" w:hAnsiTheme="minorHAnsi" w:cstheme="minorHAnsi"/>
              </w:rPr>
              <w:t>Original: English</w:t>
            </w:r>
          </w:p>
        </w:tc>
      </w:tr>
      <w:bookmarkEnd w:id="10"/>
      <w:tr w:rsidR="00EC4B5A" w:rsidRPr="00EC4B5A" w14:paraId="385BC18B" w14:textId="77777777" w:rsidTr="00703F1F">
        <w:trPr>
          <w:cantSplit/>
        </w:trPr>
        <w:tc>
          <w:tcPr>
            <w:tcW w:w="1575" w:type="dxa"/>
            <w:gridSpan w:val="2"/>
          </w:tcPr>
          <w:p w14:paraId="57DB07C1" w14:textId="77777777" w:rsidR="00EC4B5A" w:rsidRPr="00EC4B5A" w:rsidRDefault="00EC4B5A" w:rsidP="00703F1F">
            <w:pPr>
              <w:rPr>
                <w:rFonts w:cstheme="minorHAnsi"/>
                <w:b/>
                <w:bCs/>
              </w:rPr>
            </w:pPr>
            <w:r w:rsidRPr="00EC4B5A">
              <w:rPr>
                <w:rFonts w:cstheme="minorHAnsi"/>
                <w:b/>
                <w:bCs/>
              </w:rPr>
              <w:t>Question(s):</w:t>
            </w:r>
          </w:p>
        </w:tc>
        <w:tc>
          <w:tcPr>
            <w:tcW w:w="3896" w:type="dxa"/>
            <w:gridSpan w:val="3"/>
          </w:tcPr>
          <w:p w14:paraId="08C56782" w14:textId="77777777" w:rsidR="00EC4B5A" w:rsidRPr="00EC4B5A" w:rsidRDefault="00EC4B5A" w:rsidP="00703F1F">
            <w:pPr>
              <w:pStyle w:val="TSBHeaderQuestion"/>
              <w:rPr>
                <w:rFonts w:asciiTheme="minorHAnsi" w:hAnsiTheme="minorHAnsi" w:cstheme="minorHAnsi"/>
              </w:rPr>
            </w:pPr>
            <w:r w:rsidRPr="00EC4B5A">
              <w:rPr>
                <w:rFonts w:asciiTheme="minorHAnsi" w:hAnsiTheme="minorHAnsi" w:cstheme="minorHAnsi"/>
              </w:rPr>
              <w:t>RG-SOP</w:t>
            </w:r>
          </w:p>
        </w:tc>
        <w:tc>
          <w:tcPr>
            <w:tcW w:w="4168" w:type="dxa"/>
          </w:tcPr>
          <w:p w14:paraId="1820AB63" w14:textId="77777777" w:rsidR="00EC4B5A" w:rsidRPr="00EC4B5A" w:rsidRDefault="00EC4B5A" w:rsidP="00703F1F">
            <w:pPr>
              <w:pStyle w:val="VenueDate"/>
              <w:rPr>
                <w:rFonts w:asciiTheme="minorHAnsi" w:hAnsiTheme="minorHAnsi" w:cstheme="minorHAnsi"/>
              </w:rPr>
            </w:pPr>
            <w:r w:rsidRPr="00EC4B5A">
              <w:rPr>
                <w:rFonts w:asciiTheme="minorHAnsi" w:hAnsiTheme="minorHAnsi" w:cstheme="minorHAnsi"/>
              </w:rPr>
              <w:t>E-meeting, 4 September 2024</w:t>
            </w:r>
          </w:p>
        </w:tc>
      </w:tr>
      <w:tr w:rsidR="00EC4B5A" w:rsidRPr="00EC4B5A" w14:paraId="709ACBF7" w14:textId="77777777" w:rsidTr="00703F1F">
        <w:trPr>
          <w:cantSplit/>
        </w:trPr>
        <w:tc>
          <w:tcPr>
            <w:tcW w:w="9639" w:type="dxa"/>
            <w:gridSpan w:val="6"/>
          </w:tcPr>
          <w:p w14:paraId="331CBD66" w14:textId="77777777" w:rsidR="00EC4B5A" w:rsidRPr="00EC4B5A" w:rsidRDefault="00EC4B5A" w:rsidP="00703F1F">
            <w:pPr>
              <w:jc w:val="center"/>
              <w:rPr>
                <w:rFonts w:cstheme="minorHAnsi"/>
                <w:b/>
                <w:bCs/>
              </w:rPr>
            </w:pPr>
            <w:bookmarkStart w:id="13" w:name="ddoctype"/>
            <w:bookmarkStart w:id="14" w:name="dtitle" w:colFirst="0" w:colLast="0"/>
            <w:r w:rsidRPr="00EC4B5A">
              <w:rPr>
                <w:rFonts w:cstheme="minorHAnsi"/>
                <w:b/>
                <w:bCs/>
              </w:rPr>
              <w:t>LS</w:t>
            </w:r>
          </w:p>
        </w:tc>
      </w:tr>
      <w:tr w:rsidR="00EC4B5A" w:rsidRPr="00EC4B5A" w14:paraId="458C4F39" w14:textId="77777777" w:rsidTr="00703F1F">
        <w:trPr>
          <w:cantSplit/>
        </w:trPr>
        <w:tc>
          <w:tcPr>
            <w:tcW w:w="1575" w:type="dxa"/>
            <w:gridSpan w:val="2"/>
          </w:tcPr>
          <w:p w14:paraId="7D8FC1BB" w14:textId="77777777" w:rsidR="00EC4B5A" w:rsidRPr="00EC4B5A" w:rsidRDefault="00EC4B5A" w:rsidP="00703F1F">
            <w:pPr>
              <w:rPr>
                <w:rFonts w:cstheme="minorHAnsi"/>
                <w:b/>
                <w:bCs/>
              </w:rPr>
            </w:pPr>
            <w:bookmarkStart w:id="15" w:name="dsource" w:colFirst="1" w:colLast="1"/>
            <w:bookmarkEnd w:id="13"/>
            <w:bookmarkEnd w:id="14"/>
            <w:r w:rsidRPr="00EC4B5A">
              <w:rPr>
                <w:rFonts w:cstheme="minorHAnsi"/>
                <w:b/>
                <w:bCs/>
              </w:rPr>
              <w:t>Source:</w:t>
            </w:r>
          </w:p>
        </w:tc>
        <w:tc>
          <w:tcPr>
            <w:tcW w:w="8064" w:type="dxa"/>
            <w:gridSpan w:val="4"/>
          </w:tcPr>
          <w:p w14:paraId="0F081EA5" w14:textId="77777777" w:rsidR="00EC4B5A" w:rsidRPr="00EC4B5A" w:rsidRDefault="00EC4B5A" w:rsidP="00703F1F">
            <w:pPr>
              <w:pStyle w:val="LSSource"/>
              <w:rPr>
                <w:rFonts w:asciiTheme="minorHAnsi" w:hAnsiTheme="minorHAnsi" w:cstheme="minorHAnsi"/>
              </w:rPr>
            </w:pPr>
            <w:r w:rsidRPr="00EC4B5A">
              <w:rPr>
                <w:rFonts w:asciiTheme="minorHAnsi" w:hAnsiTheme="minorHAnsi" w:cstheme="minorHAnsi"/>
              </w:rPr>
              <w:t>Telecommunication Standardization Advisory Group (TSAG)</w:t>
            </w:r>
          </w:p>
        </w:tc>
      </w:tr>
      <w:tr w:rsidR="00EC4B5A" w:rsidRPr="00EC4B5A" w14:paraId="5F95E955" w14:textId="77777777" w:rsidTr="00703F1F">
        <w:trPr>
          <w:cantSplit/>
        </w:trPr>
        <w:tc>
          <w:tcPr>
            <w:tcW w:w="1575" w:type="dxa"/>
            <w:gridSpan w:val="2"/>
            <w:tcBorders>
              <w:bottom w:val="single" w:sz="8" w:space="0" w:color="auto"/>
            </w:tcBorders>
          </w:tcPr>
          <w:p w14:paraId="32C808C9" w14:textId="77777777" w:rsidR="00EC4B5A" w:rsidRPr="00EC4B5A" w:rsidRDefault="00EC4B5A" w:rsidP="00703F1F">
            <w:pPr>
              <w:rPr>
                <w:rFonts w:cstheme="minorHAnsi"/>
                <w:b/>
                <w:bCs/>
              </w:rPr>
            </w:pPr>
            <w:bookmarkStart w:id="16" w:name="dtitle1" w:colFirst="1" w:colLast="1"/>
            <w:bookmarkEnd w:id="15"/>
            <w:r w:rsidRPr="00EC4B5A">
              <w:rPr>
                <w:rFonts w:cstheme="minorHAnsi"/>
                <w:b/>
                <w:bCs/>
              </w:rPr>
              <w:t>Title:</w:t>
            </w:r>
          </w:p>
        </w:tc>
        <w:tc>
          <w:tcPr>
            <w:tcW w:w="8064" w:type="dxa"/>
            <w:gridSpan w:val="4"/>
            <w:tcBorders>
              <w:bottom w:val="single" w:sz="8" w:space="0" w:color="auto"/>
            </w:tcBorders>
          </w:tcPr>
          <w:p w14:paraId="3F05E102" w14:textId="77777777" w:rsidR="00EC4B5A" w:rsidRPr="00EC4B5A" w:rsidRDefault="00EC4B5A" w:rsidP="00703F1F">
            <w:pPr>
              <w:pStyle w:val="LSTitle"/>
              <w:rPr>
                <w:rFonts w:asciiTheme="minorHAnsi" w:hAnsiTheme="minorHAnsi" w:cstheme="minorHAnsi"/>
              </w:rPr>
            </w:pPr>
            <w:bookmarkStart w:id="17" w:name="_Hlk157014379"/>
            <w:r w:rsidRPr="00EC4B5A">
              <w:rPr>
                <w:rFonts w:asciiTheme="minorHAnsi" w:hAnsiTheme="minorHAnsi" w:cstheme="minorHAnsi"/>
              </w:rPr>
              <w:t xml:space="preserve">LS on the Initial Submission of TSAG to the Council Working Group on Strategic and Financial Planning </w:t>
            </w:r>
            <w:bookmarkEnd w:id="17"/>
            <w:r w:rsidRPr="00EC4B5A">
              <w:rPr>
                <w:rFonts w:asciiTheme="minorHAnsi" w:hAnsiTheme="minorHAnsi" w:cstheme="minorHAnsi"/>
              </w:rPr>
              <w:t>[to CWG-SFP, ITU-T Study Groups, ISCG, TDAG, RAG]</w:t>
            </w:r>
          </w:p>
        </w:tc>
      </w:tr>
      <w:bookmarkEnd w:id="11"/>
      <w:bookmarkEnd w:id="16"/>
      <w:tr w:rsidR="00EC4B5A" w:rsidRPr="00EC4B5A" w14:paraId="54E3204D" w14:textId="77777777" w:rsidTr="00703F1F">
        <w:trPr>
          <w:cantSplit/>
        </w:trPr>
        <w:tc>
          <w:tcPr>
            <w:tcW w:w="9639" w:type="dxa"/>
            <w:gridSpan w:val="6"/>
            <w:tcBorders>
              <w:top w:val="single" w:sz="12" w:space="0" w:color="auto"/>
            </w:tcBorders>
          </w:tcPr>
          <w:p w14:paraId="15255964" w14:textId="77777777" w:rsidR="00EC4B5A" w:rsidRPr="00EC4B5A" w:rsidRDefault="00EC4B5A" w:rsidP="00703F1F">
            <w:pPr>
              <w:jc w:val="center"/>
              <w:rPr>
                <w:rFonts w:cstheme="minorHAnsi"/>
                <w:b/>
              </w:rPr>
            </w:pPr>
            <w:r w:rsidRPr="00EC4B5A">
              <w:rPr>
                <w:rFonts w:cstheme="minorHAnsi"/>
                <w:b/>
              </w:rPr>
              <w:t>LIAISON STATEMENT</w:t>
            </w:r>
          </w:p>
        </w:tc>
      </w:tr>
      <w:tr w:rsidR="00EC4B5A" w:rsidRPr="00EC4B5A" w14:paraId="328E3E0A" w14:textId="77777777" w:rsidTr="00703F1F">
        <w:trPr>
          <w:cantSplit/>
        </w:trPr>
        <w:tc>
          <w:tcPr>
            <w:tcW w:w="2235" w:type="dxa"/>
            <w:gridSpan w:val="3"/>
          </w:tcPr>
          <w:p w14:paraId="285B150C" w14:textId="77777777" w:rsidR="00EC4B5A" w:rsidRPr="00EC4B5A" w:rsidRDefault="00EC4B5A" w:rsidP="00703F1F">
            <w:pPr>
              <w:rPr>
                <w:rFonts w:cstheme="minorHAnsi"/>
                <w:b/>
                <w:bCs/>
              </w:rPr>
            </w:pPr>
            <w:r w:rsidRPr="00EC4B5A">
              <w:rPr>
                <w:rFonts w:cstheme="minorHAnsi"/>
                <w:b/>
                <w:bCs/>
              </w:rPr>
              <w:t>For action to:</w:t>
            </w:r>
          </w:p>
        </w:tc>
        <w:tc>
          <w:tcPr>
            <w:tcW w:w="7404" w:type="dxa"/>
            <w:gridSpan w:val="3"/>
          </w:tcPr>
          <w:p w14:paraId="4943367D" w14:textId="77777777" w:rsidR="00EC4B5A" w:rsidRPr="00EC4B5A" w:rsidRDefault="00EC4B5A" w:rsidP="00703F1F">
            <w:pPr>
              <w:pStyle w:val="LSForAction"/>
              <w:rPr>
                <w:rFonts w:asciiTheme="minorHAnsi" w:hAnsiTheme="minorHAnsi" w:cstheme="minorHAnsi"/>
              </w:rPr>
            </w:pPr>
            <w:r w:rsidRPr="00EC4B5A">
              <w:rPr>
                <w:rFonts w:asciiTheme="minorHAnsi" w:hAnsiTheme="minorHAnsi" w:cstheme="minorHAnsi"/>
              </w:rPr>
              <w:t>CWG-SFP</w:t>
            </w:r>
          </w:p>
        </w:tc>
      </w:tr>
      <w:tr w:rsidR="00EC4B5A" w:rsidRPr="00EC4B5A" w14:paraId="03AB590D" w14:textId="77777777" w:rsidTr="00703F1F">
        <w:trPr>
          <w:cantSplit/>
        </w:trPr>
        <w:tc>
          <w:tcPr>
            <w:tcW w:w="2235" w:type="dxa"/>
            <w:gridSpan w:val="3"/>
          </w:tcPr>
          <w:p w14:paraId="15EEDD4D" w14:textId="77777777" w:rsidR="00EC4B5A" w:rsidRPr="00EC4B5A" w:rsidRDefault="00EC4B5A" w:rsidP="00703F1F">
            <w:pPr>
              <w:rPr>
                <w:rFonts w:cstheme="minorHAnsi"/>
                <w:b/>
                <w:bCs/>
              </w:rPr>
            </w:pPr>
            <w:r w:rsidRPr="00EC4B5A">
              <w:rPr>
                <w:rFonts w:cstheme="minorHAnsi"/>
                <w:b/>
                <w:bCs/>
              </w:rPr>
              <w:t>For information to:</w:t>
            </w:r>
          </w:p>
        </w:tc>
        <w:tc>
          <w:tcPr>
            <w:tcW w:w="7404" w:type="dxa"/>
            <w:gridSpan w:val="3"/>
          </w:tcPr>
          <w:p w14:paraId="07AC9A62" w14:textId="77777777" w:rsidR="00EC4B5A" w:rsidRPr="00EC4B5A" w:rsidRDefault="00EC4B5A" w:rsidP="00703F1F">
            <w:pPr>
              <w:pStyle w:val="LSForInfo"/>
              <w:rPr>
                <w:rFonts w:asciiTheme="minorHAnsi" w:hAnsiTheme="minorHAnsi" w:cstheme="minorHAnsi"/>
              </w:rPr>
            </w:pPr>
            <w:r w:rsidRPr="00EC4B5A">
              <w:rPr>
                <w:rFonts w:asciiTheme="minorHAnsi" w:hAnsiTheme="minorHAnsi" w:cstheme="minorHAnsi"/>
              </w:rPr>
              <w:t>ITU-T Study Groups, ISCG, TDAG, RAG</w:t>
            </w:r>
          </w:p>
        </w:tc>
      </w:tr>
      <w:tr w:rsidR="00EC4B5A" w:rsidRPr="00EC4B5A" w14:paraId="01461FBE" w14:textId="77777777" w:rsidTr="00703F1F">
        <w:trPr>
          <w:cantSplit/>
        </w:trPr>
        <w:tc>
          <w:tcPr>
            <w:tcW w:w="2235" w:type="dxa"/>
            <w:gridSpan w:val="3"/>
          </w:tcPr>
          <w:p w14:paraId="5F840B15" w14:textId="77777777" w:rsidR="00EC4B5A" w:rsidRPr="00EC4B5A" w:rsidRDefault="00EC4B5A" w:rsidP="00703F1F">
            <w:pPr>
              <w:rPr>
                <w:rFonts w:cstheme="minorHAnsi"/>
                <w:b/>
                <w:bCs/>
              </w:rPr>
            </w:pPr>
            <w:r w:rsidRPr="00EC4B5A">
              <w:rPr>
                <w:rFonts w:cstheme="minorHAnsi"/>
                <w:b/>
                <w:bCs/>
              </w:rPr>
              <w:t>Approval:</w:t>
            </w:r>
          </w:p>
        </w:tc>
        <w:tc>
          <w:tcPr>
            <w:tcW w:w="7404" w:type="dxa"/>
            <w:gridSpan w:val="3"/>
          </w:tcPr>
          <w:p w14:paraId="67AA09C8" w14:textId="77777777" w:rsidR="00EC4B5A" w:rsidRPr="00EC4B5A" w:rsidRDefault="00EC4B5A" w:rsidP="00703F1F">
            <w:pPr>
              <w:pStyle w:val="LSApproval"/>
              <w:rPr>
                <w:rFonts w:asciiTheme="minorHAnsi" w:hAnsiTheme="minorHAnsi" w:cstheme="minorHAnsi"/>
                <w:b/>
                <w:bCs/>
              </w:rPr>
            </w:pPr>
            <w:r w:rsidRPr="00EC4B5A">
              <w:rPr>
                <w:rFonts w:asciiTheme="minorHAnsi" w:hAnsiTheme="minorHAnsi" w:cstheme="minorHAnsi"/>
              </w:rPr>
              <w:t>TSAG Rapporteur Group on Strategic and Operational Planning (RG-SOP) e-meeting (4 September 2024)</w:t>
            </w:r>
          </w:p>
        </w:tc>
      </w:tr>
      <w:tr w:rsidR="00EC4B5A" w:rsidRPr="00EC4B5A" w14:paraId="5B5E6AFF" w14:textId="77777777" w:rsidTr="00703F1F">
        <w:trPr>
          <w:cantSplit/>
        </w:trPr>
        <w:tc>
          <w:tcPr>
            <w:tcW w:w="2235" w:type="dxa"/>
            <w:gridSpan w:val="3"/>
            <w:tcBorders>
              <w:bottom w:val="single" w:sz="12" w:space="0" w:color="auto"/>
            </w:tcBorders>
          </w:tcPr>
          <w:p w14:paraId="7A3C6694" w14:textId="77777777" w:rsidR="00EC4B5A" w:rsidRPr="00EC4B5A" w:rsidRDefault="00EC4B5A" w:rsidP="00703F1F">
            <w:pPr>
              <w:rPr>
                <w:rFonts w:cstheme="minorHAnsi"/>
                <w:b/>
                <w:bCs/>
              </w:rPr>
            </w:pPr>
            <w:r w:rsidRPr="00EC4B5A">
              <w:rPr>
                <w:rFonts w:cstheme="minorHAnsi"/>
                <w:b/>
                <w:bCs/>
              </w:rPr>
              <w:t>Deadline:</w:t>
            </w:r>
          </w:p>
        </w:tc>
        <w:tc>
          <w:tcPr>
            <w:tcW w:w="7404" w:type="dxa"/>
            <w:gridSpan w:val="3"/>
            <w:tcBorders>
              <w:bottom w:val="single" w:sz="12" w:space="0" w:color="auto"/>
            </w:tcBorders>
          </w:tcPr>
          <w:p w14:paraId="7A38428F" w14:textId="77777777" w:rsidR="00EC4B5A" w:rsidRPr="00EC4B5A" w:rsidRDefault="00EC4B5A" w:rsidP="00703F1F">
            <w:pPr>
              <w:pStyle w:val="LSDeadline"/>
              <w:rPr>
                <w:rFonts w:asciiTheme="minorHAnsi" w:hAnsiTheme="minorHAnsi" w:cstheme="minorHAnsi"/>
              </w:rPr>
            </w:pPr>
            <w:r w:rsidRPr="00EC4B5A">
              <w:rPr>
                <w:rFonts w:asciiTheme="minorHAnsi" w:hAnsiTheme="minorHAnsi" w:cstheme="minorHAnsi"/>
              </w:rPr>
              <w:t>-</w:t>
            </w:r>
          </w:p>
        </w:tc>
      </w:tr>
      <w:tr w:rsidR="00EC4B5A" w:rsidRPr="00F27083" w14:paraId="73DB4FC2" w14:textId="77777777" w:rsidTr="00703F1F">
        <w:trPr>
          <w:cantSplit/>
        </w:trPr>
        <w:tc>
          <w:tcPr>
            <w:tcW w:w="1575" w:type="dxa"/>
            <w:gridSpan w:val="2"/>
            <w:tcBorders>
              <w:top w:val="single" w:sz="8" w:space="0" w:color="auto"/>
              <w:bottom w:val="single" w:sz="8" w:space="0" w:color="auto"/>
            </w:tcBorders>
          </w:tcPr>
          <w:p w14:paraId="503BAD00" w14:textId="77777777" w:rsidR="00EC4B5A" w:rsidRPr="00EC4B5A" w:rsidRDefault="00EC4B5A" w:rsidP="00703F1F">
            <w:pPr>
              <w:rPr>
                <w:rFonts w:cstheme="minorHAnsi"/>
                <w:b/>
                <w:bCs/>
              </w:rPr>
            </w:pPr>
            <w:r w:rsidRPr="00EC4B5A">
              <w:rPr>
                <w:rFonts w:cstheme="minorHAnsi"/>
                <w:b/>
                <w:bCs/>
              </w:rPr>
              <w:t>Contact:</w:t>
            </w:r>
          </w:p>
        </w:tc>
        <w:tc>
          <w:tcPr>
            <w:tcW w:w="3528" w:type="dxa"/>
            <w:gridSpan w:val="2"/>
            <w:tcBorders>
              <w:top w:val="single" w:sz="8" w:space="0" w:color="auto"/>
              <w:left w:val="nil"/>
              <w:bottom w:val="single" w:sz="8" w:space="0" w:color="auto"/>
              <w:right w:val="nil"/>
            </w:tcBorders>
          </w:tcPr>
          <w:p w14:paraId="1C68B637" w14:textId="77777777" w:rsidR="00EC4B5A" w:rsidRPr="00EC4B5A" w:rsidRDefault="00EC4B5A" w:rsidP="00703F1F">
            <w:pPr>
              <w:spacing w:line="0" w:lineRule="atLeast"/>
              <w:rPr>
                <w:rFonts w:cstheme="minorHAnsi"/>
                <w:lang w:val="fr-FR"/>
              </w:rPr>
            </w:pPr>
            <w:proofErr w:type="spellStart"/>
            <w:r w:rsidRPr="00EC4B5A">
              <w:rPr>
                <w:rFonts w:cstheme="minorHAnsi"/>
                <w:bCs/>
                <w:lang w:val="fr-FR"/>
              </w:rPr>
              <w:t>Víctor</w:t>
            </w:r>
            <w:proofErr w:type="spellEnd"/>
            <w:r w:rsidRPr="00EC4B5A">
              <w:rPr>
                <w:rFonts w:cstheme="minorHAnsi"/>
                <w:bCs/>
                <w:lang w:val="fr-FR"/>
              </w:rPr>
              <w:t xml:space="preserve"> Manuel Martínez </w:t>
            </w:r>
            <w:proofErr w:type="spellStart"/>
            <w:r w:rsidRPr="00EC4B5A">
              <w:rPr>
                <w:rFonts w:cstheme="minorHAnsi"/>
                <w:bCs/>
                <w:lang w:val="fr-FR"/>
              </w:rPr>
              <w:t>Vanegas</w:t>
            </w:r>
            <w:proofErr w:type="spellEnd"/>
            <w:r w:rsidRPr="00EC4B5A">
              <w:rPr>
                <w:rFonts w:cstheme="minorHAnsi"/>
                <w:bCs/>
                <w:lang w:val="fr-FR"/>
              </w:rPr>
              <w:br/>
              <w:t>Rapporteur, RG-SOP</w:t>
            </w:r>
            <w:r w:rsidRPr="00EC4B5A">
              <w:rPr>
                <w:rFonts w:cstheme="minorHAnsi"/>
                <w:bCs/>
                <w:lang w:val="fr-FR"/>
              </w:rPr>
              <w:br/>
              <w:t>Mexico</w:t>
            </w:r>
          </w:p>
        </w:tc>
        <w:tc>
          <w:tcPr>
            <w:tcW w:w="4536" w:type="dxa"/>
            <w:gridSpan w:val="2"/>
            <w:tcBorders>
              <w:top w:val="single" w:sz="8" w:space="0" w:color="auto"/>
              <w:left w:val="nil"/>
              <w:bottom w:val="single" w:sz="8" w:space="0" w:color="auto"/>
              <w:right w:val="nil"/>
            </w:tcBorders>
          </w:tcPr>
          <w:p w14:paraId="78230DF4" w14:textId="77777777" w:rsidR="00EC4B5A" w:rsidRPr="00EC4B5A" w:rsidRDefault="00EC4B5A" w:rsidP="00703F1F">
            <w:pPr>
              <w:tabs>
                <w:tab w:val="left" w:pos="794"/>
              </w:tabs>
              <w:rPr>
                <w:rFonts w:cstheme="minorHAnsi"/>
                <w:lang w:val="fr-FR"/>
              </w:rPr>
            </w:pPr>
            <w:proofErr w:type="gramStart"/>
            <w:r w:rsidRPr="00EC4B5A">
              <w:rPr>
                <w:rFonts w:cstheme="minorHAnsi"/>
                <w:lang w:val="fr-FR"/>
              </w:rPr>
              <w:t>E-mail:</w:t>
            </w:r>
            <w:proofErr w:type="gramEnd"/>
            <w:r w:rsidRPr="00EC4B5A">
              <w:rPr>
                <w:rFonts w:cstheme="minorHAnsi"/>
                <w:lang w:val="fr-FR"/>
              </w:rPr>
              <w:tab/>
            </w:r>
            <w:hyperlink r:id="rId14" w:history="1">
              <w:r w:rsidRPr="00EC4B5A">
                <w:rPr>
                  <w:rStyle w:val="Hyperlink"/>
                  <w:rFonts w:cstheme="minorHAnsi"/>
                  <w:lang w:val="fr-FR"/>
                </w:rPr>
                <w:t>victor.martinezv@ift.org.mx</w:t>
              </w:r>
            </w:hyperlink>
            <w:r w:rsidRPr="00EC4B5A">
              <w:rPr>
                <w:rFonts w:cstheme="minorHAnsi"/>
                <w:lang w:val="fr-FR"/>
              </w:rPr>
              <w:t xml:space="preserve"> </w:t>
            </w:r>
          </w:p>
        </w:tc>
      </w:tr>
      <w:tr w:rsidR="00EC4B5A" w:rsidRPr="00F27083" w14:paraId="5893007D" w14:textId="77777777" w:rsidTr="00703F1F">
        <w:trPr>
          <w:cantSplit/>
        </w:trPr>
        <w:tc>
          <w:tcPr>
            <w:tcW w:w="1575" w:type="dxa"/>
            <w:gridSpan w:val="2"/>
            <w:tcBorders>
              <w:top w:val="single" w:sz="8" w:space="0" w:color="auto"/>
              <w:bottom w:val="single" w:sz="8" w:space="0" w:color="auto"/>
            </w:tcBorders>
          </w:tcPr>
          <w:p w14:paraId="3F8FCB13" w14:textId="77777777" w:rsidR="00EC4B5A" w:rsidRPr="00EC4B5A" w:rsidRDefault="00EC4B5A" w:rsidP="00703F1F">
            <w:pPr>
              <w:rPr>
                <w:rFonts w:cstheme="minorHAnsi"/>
                <w:b/>
                <w:bCs/>
              </w:rPr>
            </w:pPr>
            <w:r w:rsidRPr="00EC4B5A">
              <w:rPr>
                <w:rFonts w:cstheme="minorHAnsi"/>
                <w:b/>
                <w:bCs/>
              </w:rPr>
              <w:t>Contact:</w:t>
            </w:r>
          </w:p>
        </w:tc>
        <w:tc>
          <w:tcPr>
            <w:tcW w:w="3528" w:type="dxa"/>
            <w:gridSpan w:val="2"/>
            <w:tcBorders>
              <w:top w:val="single" w:sz="8" w:space="0" w:color="auto"/>
              <w:left w:val="nil"/>
              <w:bottom w:val="single" w:sz="8" w:space="0" w:color="auto"/>
              <w:right w:val="nil"/>
            </w:tcBorders>
          </w:tcPr>
          <w:p w14:paraId="0A6E6CA6" w14:textId="77777777" w:rsidR="00EC4B5A" w:rsidRPr="00EC4B5A" w:rsidRDefault="00EC4B5A" w:rsidP="00703F1F">
            <w:pPr>
              <w:spacing w:line="0" w:lineRule="atLeast"/>
              <w:rPr>
                <w:rFonts w:cstheme="minorHAnsi"/>
                <w:lang w:val="fr-FR"/>
              </w:rPr>
            </w:pPr>
            <w:r w:rsidRPr="00EC4B5A">
              <w:rPr>
                <w:rFonts w:cstheme="minorHAnsi"/>
                <w:bCs/>
                <w:lang w:val="fr-FR"/>
              </w:rPr>
              <w:t>Bruce Gracie</w:t>
            </w:r>
            <w:r w:rsidRPr="00EC4B5A">
              <w:rPr>
                <w:rFonts w:cstheme="minorHAnsi"/>
                <w:bCs/>
                <w:lang w:val="fr-FR"/>
              </w:rPr>
              <w:br/>
              <w:t>Associate rapporteur, RG-SOP</w:t>
            </w:r>
            <w:r w:rsidRPr="00EC4B5A">
              <w:rPr>
                <w:rFonts w:cstheme="minorHAnsi"/>
                <w:bCs/>
                <w:lang w:val="fr-FR"/>
              </w:rPr>
              <w:br/>
              <w:t>Canada</w:t>
            </w:r>
          </w:p>
        </w:tc>
        <w:tc>
          <w:tcPr>
            <w:tcW w:w="4536" w:type="dxa"/>
            <w:gridSpan w:val="2"/>
            <w:tcBorders>
              <w:top w:val="single" w:sz="8" w:space="0" w:color="auto"/>
              <w:left w:val="nil"/>
              <w:bottom w:val="single" w:sz="8" w:space="0" w:color="auto"/>
              <w:right w:val="nil"/>
            </w:tcBorders>
          </w:tcPr>
          <w:p w14:paraId="494AE07D" w14:textId="77777777" w:rsidR="00EC4B5A" w:rsidRPr="00EC4B5A" w:rsidRDefault="00EC4B5A" w:rsidP="00703F1F">
            <w:pPr>
              <w:tabs>
                <w:tab w:val="left" w:pos="794"/>
              </w:tabs>
              <w:rPr>
                <w:rFonts w:cstheme="minorHAnsi"/>
                <w:lang w:val="fr-FR"/>
              </w:rPr>
            </w:pPr>
            <w:proofErr w:type="gramStart"/>
            <w:r w:rsidRPr="00EC4B5A">
              <w:rPr>
                <w:rFonts w:cstheme="minorHAnsi"/>
                <w:lang w:val="fr-FR"/>
              </w:rPr>
              <w:t>E-mail:</w:t>
            </w:r>
            <w:proofErr w:type="gramEnd"/>
            <w:r w:rsidRPr="00EC4B5A">
              <w:rPr>
                <w:rFonts w:cstheme="minorHAnsi"/>
                <w:lang w:val="fr-FR"/>
              </w:rPr>
              <w:tab/>
            </w:r>
            <w:hyperlink r:id="rId15" w:history="1">
              <w:r w:rsidRPr="00EC4B5A">
                <w:rPr>
                  <w:rStyle w:val="Hyperlink"/>
                  <w:rFonts w:cstheme="minorHAnsi"/>
                  <w:lang w:val="fr-FR"/>
                </w:rPr>
                <w:t>bruce.gracie@ericsson.com</w:t>
              </w:r>
            </w:hyperlink>
            <w:r w:rsidRPr="00EC4B5A">
              <w:rPr>
                <w:rFonts w:cstheme="minorHAnsi"/>
                <w:lang w:val="fr-FR"/>
              </w:rPr>
              <w:t xml:space="preserve"> </w:t>
            </w:r>
            <w:r w:rsidRPr="00EC4B5A">
              <w:rPr>
                <w:rStyle w:val="Hyperlink"/>
                <w:rFonts w:cstheme="minorHAnsi"/>
                <w:bCs/>
                <w:lang w:val="fr-FR"/>
              </w:rPr>
              <w:t xml:space="preserve"> </w:t>
            </w:r>
          </w:p>
        </w:tc>
      </w:tr>
      <w:tr w:rsidR="00EC4B5A" w:rsidRPr="00F27083" w14:paraId="3B39794C" w14:textId="77777777" w:rsidTr="00703F1F">
        <w:trPr>
          <w:cantSplit/>
        </w:trPr>
        <w:tc>
          <w:tcPr>
            <w:tcW w:w="1575" w:type="dxa"/>
            <w:gridSpan w:val="2"/>
            <w:tcBorders>
              <w:top w:val="single" w:sz="8" w:space="0" w:color="auto"/>
              <w:bottom w:val="single" w:sz="8" w:space="0" w:color="auto"/>
            </w:tcBorders>
          </w:tcPr>
          <w:p w14:paraId="1A869687" w14:textId="77777777" w:rsidR="00EC4B5A" w:rsidRPr="00EC4B5A" w:rsidRDefault="00EC4B5A" w:rsidP="00703F1F">
            <w:pPr>
              <w:rPr>
                <w:rFonts w:cstheme="minorHAnsi"/>
                <w:b/>
                <w:bCs/>
              </w:rPr>
            </w:pPr>
            <w:r w:rsidRPr="00EC4B5A">
              <w:rPr>
                <w:rFonts w:cstheme="minorHAnsi"/>
                <w:b/>
                <w:bCs/>
              </w:rPr>
              <w:t>Contact:</w:t>
            </w:r>
          </w:p>
        </w:tc>
        <w:tc>
          <w:tcPr>
            <w:tcW w:w="3528" w:type="dxa"/>
            <w:gridSpan w:val="2"/>
            <w:tcBorders>
              <w:top w:val="single" w:sz="8" w:space="0" w:color="auto"/>
              <w:left w:val="nil"/>
              <w:bottom w:val="single" w:sz="8" w:space="0" w:color="auto"/>
              <w:right w:val="nil"/>
            </w:tcBorders>
          </w:tcPr>
          <w:p w14:paraId="384967B9" w14:textId="77777777" w:rsidR="00EC4B5A" w:rsidRPr="00EC4B5A" w:rsidRDefault="00EC4B5A" w:rsidP="00703F1F">
            <w:pPr>
              <w:spacing w:line="0" w:lineRule="atLeast"/>
              <w:rPr>
                <w:rFonts w:cstheme="minorHAnsi"/>
                <w:bCs/>
                <w:lang w:val="fr-FR"/>
              </w:rPr>
            </w:pPr>
            <w:r w:rsidRPr="00EC4B5A">
              <w:rPr>
                <w:rFonts w:cstheme="minorHAnsi"/>
                <w:bCs/>
                <w:lang w:val="fr-FR"/>
              </w:rPr>
              <w:t>Dao Tian</w:t>
            </w:r>
            <w:r w:rsidRPr="00EC4B5A">
              <w:rPr>
                <w:rFonts w:cstheme="minorHAnsi"/>
                <w:bCs/>
                <w:lang w:val="fr-FR"/>
              </w:rPr>
              <w:br/>
              <w:t>Associate rapporteur, RG-SOP</w:t>
            </w:r>
            <w:r w:rsidRPr="00EC4B5A">
              <w:rPr>
                <w:rFonts w:cstheme="minorHAnsi"/>
                <w:bCs/>
                <w:lang w:val="fr-FR"/>
              </w:rPr>
              <w:br/>
              <w:t>China</w:t>
            </w:r>
          </w:p>
        </w:tc>
        <w:tc>
          <w:tcPr>
            <w:tcW w:w="4536" w:type="dxa"/>
            <w:gridSpan w:val="2"/>
            <w:tcBorders>
              <w:top w:val="single" w:sz="8" w:space="0" w:color="auto"/>
              <w:left w:val="nil"/>
              <w:bottom w:val="single" w:sz="8" w:space="0" w:color="auto"/>
              <w:right w:val="nil"/>
            </w:tcBorders>
          </w:tcPr>
          <w:p w14:paraId="731D0443" w14:textId="77777777" w:rsidR="00EC4B5A" w:rsidRPr="00EC4B5A" w:rsidRDefault="00EC4B5A" w:rsidP="00703F1F">
            <w:pPr>
              <w:tabs>
                <w:tab w:val="left" w:pos="794"/>
              </w:tabs>
              <w:rPr>
                <w:rFonts w:cstheme="minorHAnsi"/>
                <w:bCs/>
                <w:lang w:val="fr-FR"/>
              </w:rPr>
            </w:pPr>
            <w:proofErr w:type="gramStart"/>
            <w:r w:rsidRPr="00EC4B5A">
              <w:rPr>
                <w:rFonts w:cstheme="minorHAnsi"/>
                <w:lang w:val="fr-FR"/>
              </w:rPr>
              <w:t>E-mail:</w:t>
            </w:r>
            <w:proofErr w:type="gramEnd"/>
            <w:r w:rsidRPr="00EC4B5A">
              <w:rPr>
                <w:rFonts w:cstheme="minorHAnsi"/>
                <w:lang w:val="fr-FR"/>
              </w:rPr>
              <w:tab/>
            </w:r>
            <w:hyperlink r:id="rId16" w:history="1">
              <w:r w:rsidRPr="00EC4B5A">
                <w:rPr>
                  <w:rStyle w:val="Hyperlink"/>
                  <w:rFonts w:cstheme="minorHAnsi"/>
                  <w:lang w:val="fr-FR"/>
                </w:rPr>
                <w:t>tian.dao@zte.com.cn</w:t>
              </w:r>
            </w:hyperlink>
          </w:p>
        </w:tc>
      </w:tr>
    </w:tbl>
    <w:p w14:paraId="26EF354C" w14:textId="77777777" w:rsidR="00EC4B5A" w:rsidRPr="00EC4B5A" w:rsidRDefault="00EC4B5A" w:rsidP="00EC4B5A">
      <w:pPr>
        <w:rPr>
          <w:rFonts w:cstheme="minorHAnsi"/>
          <w:lang w:val="fr-FR"/>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EC4B5A" w:rsidRPr="00EC4B5A" w14:paraId="6E5FF78D" w14:textId="77777777" w:rsidTr="00703F1F">
        <w:trPr>
          <w:cantSplit/>
        </w:trPr>
        <w:tc>
          <w:tcPr>
            <w:tcW w:w="1613" w:type="dxa"/>
          </w:tcPr>
          <w:p w14:paraId="41DC7289" w14:textId="77777777" w:rsidR="00EC4B5A" w:rsidRPr="00EC4B5A" w:rsidRDefault="00EC4B5A" w:rsidP="00703F1F">
            <w:pPr>
              <w:spacing w:after="60"/>
              <w:rPr>
                <w:rFonts w:cstheme="minorHAnsi"/>
                <w:b/>
              </w:rPr>
            </w:pPr>
            <w:r w:rsidRPr="00EC4B5A">
              <w:rPr>
                <w:rFonts w:cstheme="minorHAnsi"/>
                <w:b/>
              </w:rPr>
              <w:t>Abstract:</w:t>
            </w:r>
          </w:p>
        </w:tc>
        <w:tc>
          <w:tcPr>
            <w:tcW w:w="8026" w:type="dxa"/>
          </w:tcPr>
          <w:p w14:paraId="4122C803" w14:textId="77777777" w:rsidR="00EC4B5A" w:rsidRPr="00EC4B5A" w:rsidRDefault="00EC4B5A" w:rsidP="00703F1F">
            <w:pPr>
              <w:pStyle w:val="TSBHeaderSummary"/>
              <w:rPr>
                <w:rFonts w:asciiTheme="minorHAnsi" w:hAnsiTheme="minorHAnsi" w:cstheme="minorHAnsi"/>
              </w:rPr>
            </w:pPr>
            <w:r w:rsidRPr="00EC4B5A">
              <w:rPr>
                <w:rFonts w:asciiTheme="minorHAnsi" w:hAnsiTheme="minorHAnsi" w:cstheme="minorHAnsi"/>
              </w:rPr>
              <w:t>This liaison statement provides the initial submission from TSAG to support the work of the Council Working Group on Strategic and Financial Planning (CWG-SFP). The intention is to provide an elaboration of some of the points highlighted below for the second and subsequent meetings of the CWG as more information becomes available.</w:t>
            </w:r>
          </w:p>
        </w:tc>
      </w:tr>
    </w:tbl>
    <w:p w14:paraId="72A8BB9B" w14:textId="77777777" w:rsidR="00EC4B5A" w:rsidRPr="00EC4B5A" w:rsidRDefault="00EC4B5A" w:rsidP="00EC4B5A">
      <w:pPr>
        <w:spacing w:after="120"/>
        <w:rPr>
          <w:rFonts w:cstheme="minorHAnsi"/>
          <w:lang w:val="en-US"/>
        </w:rPr>
      </w:pPr>
      <w:r w:rsidRPr="00EC4B5A">
        <w:rPr>
          <w:rFonts w:cstheme="minorHAnsi"/>
          <w:lang w:val="en-US"/>
        </w:rPr>
        <w:t>Based on discussions undertaken in TSAG and in the TSAG Rapporteur Group on strategic and operational planning, the following proposals are highlighted for the consideration of the CWG-SFP.</w:t>
      </w:r>
    </w:p>
    <w:p w14:paraId="4E320BFD" w14:textId="77777777" w:rsidR="00EC4B5A" w:rsidRPr="00EC4B5A" w:rsidRDefault="00EC4B5A" w:rsidP="00EC4B5A">
      <w:pPr>
        <w:numPr>
          <w:ilvl w:val="0"/>
          <w:numId w:val="45"/>
        </w:numPr>
        <w:tabs>
          <w:tab w:val="clear" w:pos="1134"/>
          <w:tab w:val="clear" w:pos="1871"/>
          <w:tab w:val="clear" w:pos="2268"/>
        </w:tabs>
        <w:overflowPunct/>
        <w:autoSpaceDE/>
        <w:autoSpaceDN/>
        <w:adjustRightInd/>
        <w:spacing w:before="60" w:after="60"/>
        <w:ind w:left="714" w:hanging="357"/>
        <w:textAlignment w:val="auto"/>
        <w:rPr>
          <w:rFonts w:cstheme="minorHAnsi"/>
          <w:lang w:val="en-US"/>
        </w:rPr>
      </w:pPr>
      <w:r w:rsidRPr="00EC4B5A">
        <w:rPr>
          <w:rFonts w:cstheme="minorHAnsi"/>
          <w:lang w:val="en-US"/>
        </w:rPr>
        <w:t xml:space="preserve">There appears to be a need to reflect the linkage between strategic and operational planning in the Strategic Plan for the Union, 2028-2031. As outlined in Resolution 151 (Rev. Bucharest, 2022), Improvement of results-based management (RBM) in ITU, </w:t>
      </w:r>
      <w:r w:rsidRPr="00EC4B5A">
        <w:rPr>
          <w:rFonts w:cstheme="minorHAnsi"/>
          <w:i/>
          <w:iCs/>
          <w:lang w:val="en-US"/>
        </w:rPr>
        <w:t xml:space="preserve">recognizing d) </w:t>
      </w:r>
      <w:r w:rsidRPr="00EC4B5A">
        <w:rPr>
          <w:rFonts w:cstheme="minorHAnsi"/>
          <w:lang w:val="en-US"/>
        </w:rPr>
        <w:t xml:space="preserve">states “that linkage of the strategic, financial and operational plans of the Union is an integral part of RBM and effective monitoring mechanisms are needed to ensure that the ITU Council can monitor progress in this area”. The current version of the Strategic Plan, 2024-2027, does not address the issue of linkage in its narrative text. </w:t>
      </w:r>
    </w:p>
    <w:p w14:paraId="7102CB4A" w14:textId="77777777" w:rsidR="00EC4B5A" w:rsidRPr="00EC4B5A" w:rsidRDefault="00EC4B5A" w:rsidP="00EC4B5A">
      <w:pPr>
        <w:numPr>
          <w:ilvl w:val="0"/>
          <w:numId w:val="45"/>
        </w:numPr>
        <w:tabs>
          <w:tab w:val="clear" w:pos="1134"/>
          <w:tab w:val="clear" w:pos="1871"/>
          <w:tab w:val="clear" w:pos="2268"/>
        </w:tabs>
        <w:overflowPunct/>
        <w:autoSpaceDE/>
        <w:autoSpaceDN/>
        <w:adjustRightInd/>
        <w:spacing w:before="60" w:after="60"/>
        <w:ind w:left="714" w:hanging="357"/>
        <w:textAlignment w:val="auto"/>
        <w:rPr>
          <w:rFonts w:cstheme="minorHAnsi"/>
          <w:lang w:val="en-US"/>
        </w:rPr>
      </w:pPr>
      <w:r w:rsidRPr="00EC4B5A">
        <w:rPr>
          <w:rFonts w:cstheme="minorHAnsi"/>
          <w:lang w:val="en-US"/>
        </w:rPr>
        <w:lastRenderedPageBreak/>
        <w:t>It is proposed that in developing this narrative text on linkage, the concept of “Output” be included in the list of definitions in the body of the Strategic Plan, since “outputs” represent the fundamental link with the strategic plan in the ITU operational plans. Outputs are defined as “</w:t>
      </w:r>
      <w:r w:rsidRPr="00EC4B5A">
        <w:rPr>
          <w:rFonts w:cstheme="minorHAnsi"/>
        </w:rPr>
        <w:t>the final tangible results, deliverables, products and services achieved by the Union in the implementation of the operational plans. Outputs are cost objects and are represented in the applicable cost-accounting system by internal orders. Outputs will be defined and measured in operational plans for each Sector and the General Secretariat” (see Annex 3 to Resolution 71 (Rev. Bucharest, 2022), Glossary of terms).</w:t>
      </w:r>
    </w:p>
    <w:p w14:paraId="133DC2AF" w14:textId="77777777" w:rsidR="00EC4B5A" w:rsidRPr="00EC4B5A" w:rsidRDefault="00EC4B5A" w:rsidP="00EC4B5A">
      <w:pPr>
        <w:numPr>
          <w:ilvl w:val="0"/>
          <w:numId w:val="45"/>
        </w:numPr>
        <w:tabs>
          <w:tab w:val="clear" w:pos="1134"/>
          <w:tab w:val="clear" w:pos="1871"/>
          <w:tab w:val="clear" w:pos="2268"/>
        </w:tabs>
        <w:overflowPunct/>
        <w:autoSpaceDE/>
        <w:autoSpaceDN/>
        <w:adjustRightInd/>
        <w:spacing w:before="60" w:after="60"/>
        <w:ind w:left="714" w:hanging="357"/>
        <w:textAlignment w:val="auto"/>
        <w:rPr>
          <w:rFonts w:cstheme="minorHAnsi"/>
          <w:lang w:val="en-US"/>
        </w:rPr>
      </w:pPr>
      <w:r w:rsidRPr="00EC4B5A">
        <w:rPr>
          <w:rFonts w:cstheme="minorHAnsi"/>
          <w:lang w:val="en-US"/>
        </w:rPr>
        <w:t xml:space="preserve">While the introduction of the new concept of “thematic priorities” into the Strategic Plan for the Union, 2024-2027 is not disputed, the rationale for including Thematic Priority #2 (International Numbering Resources) as one of the five such thematic priorities is questioned. If the intent is to equally represent the 5 Thematic Priorities as fundamental precursors to the achievement of the concept of “one ITU”, it is suggested that TP#2 be reviewed along with the product and service offering on “development of international standards” to better reflect ITU work on “international standardization.”  We recognize that ITU’s work on standards development is reflected as a </w:t>
      </w:r>
      <w:proofErr w:type="gramStart"/>
      <w:r w:rsidRPr="00EC4B5A">
        <w:rPr>
          <w:rFonts w:cstheme="minorHAnsi"/>
          <w:lang w:val="en-US"/>
        </w:rPr>
        <w:t>cross cutting</w:t>
      </w:r>
      <w:proofErr w:type="gramEnd"/>
      <w:r w:rsidRPr="00EC4B5A">
        <w:rPr>
          <w:rFonts w:cstheme="minorHAnsi"/>
          <w:lang w:val="en-US"/>
        </w:rPr>
        <w:t xml:space="preserve"> element across several thematic priorities, but believe that TP#2 could be reviewed. Moreover, the activity associated with international numbering resources is repeated as Output #9 in the ITU-T Operational Plan, which is confusing in the attempt to understand the linkage between strategic and operational planning.</w:t>
      </w:r>
    </w:p>
    <w:p w14:paraId="43625D29" w14:textId="77777777" w:rsidR="00EC4B5A" w:rsidRPr="00EC4B5A" w:rsidRDefault="00EC4B5A" w:rsidP="00EC4B5A">
      <w:pPr>
        <w:numPr>
          <w:ilvl w:val="0"/>
          <w:numId w:val="45"/>
        </w:numPr>
        <w:tabs>
          <w:tab w:val="clear" w:pos="1134"/>
          <w:tab w:val="clear" w:pos="1871"/>
          <w:tab w:val="clear" w:pos="2268"/>
        </w:tabs>
        <w:overflowPunct/>
        <w:autoSpaceDE/>
        <w:autoSpaceDN/>
        <w:adjustRightInd/>
        <w:spacing w:before="60" w:after="60"/>
        <w:ind w:left="714" w:hanging="357"/>
        <w:textAlignment w:val="auto"/>
        <w:rPr>
          <w:rFonts w:cstheme="minorHAnsi"/>
          <w:lang w:val="en-US"/>
        </w:rPr>
      </w:pPr>
      <w:r w:rsidRPr="00EC4B5A">
        <w:rPr>
          <w:rFonts w:cstheme="minorHAnsi"/>
          <w:lang w:val="en-US"/>
        </w:rPr>
        <w:t xml:space="preserve"> One of the outcomes of the final July-August meeting of TSAG was agreement on an updated version of the Industry Engagement Action Plan. The measures or actions can be categorized into four pillars, one of which relates to “mapping of ITU-T strategic plan and indicators” (see Annex F of the TSAG Report). Within this pillar, Action Plan 1.3 addresses the following: “Identify the value propositions to enhance participation and retention of industry as Sector Members and Associates (including SMEs) in ITU-T. This action along with others will form the basis of future work, suggesting that there is justification for the inclusion of an additional Output in the ITU-T Operational Plan </w:t>
      </w:r>
      <w:proofErr w:type="gramStart"/>
      <w:r w:rsidRPr="00EC4B5A">
        <w:rPr>
          <w:rFonts w:cstheme="minorHAnsi"/>
          <w:lang w:val="en-US"/>
        </w:rPr>
        <w:t>on the subject of Industry</w:t>
      </w:r>
      <w:proofErr w:type="gramEnd"/>
      <w:r w:rsidRPr="00EC4B5A">
        <w:rPr>
          <w:rFonts w:cstheme="minorHAnsi"/>
          <w:lang w:val="en-US"/>
        </w:rPr>
        <w:t xml:space="preserve"> Engagement.</w:t>
      </w:r>
    </w:p>
    <w:p w14:paraId="1DC30005" w14:textId="6016ECBA" w:rsidR="00D83BF5" w:rsidRPr="0084734D" w:rsidRDefault="00D83BF5" w:rsidP="00A7027A">
      <w:pPr>
        <w:jc w:val="center"/>
        <w:rPr>
          <w:szCs w:val="24"/>
        </w:rPr>
      </w:pPr>
      <w:r w:rsidRPr="00403C69">
        <w:rPr>
          <w:szCs w:val="24"/>
        </w:rPr>
        <w:t>_______________</w:t>
      </w:r>
    </w:p>
    <w:sectPr w:rsidR="00D83BF5" w:rsidRPr="0084734D" w:rsidSect="0081159E">
      <w:headerReference w:type="even" r:id="rId17"/>
      <w:headerReference w:type="default" r:id="rId18"/>
      <w:footerReference w:type="even" r:id="rId19"/>
      <w:footerReference w:type="default" r:id="rId20"/>
      <w:headerReference w:type="first" r:id="rId21"/>
      <w:footerReference w:type="first" r:id="rId22"/>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361BB" w14:textId="77777777" w:rsidR="00FE399E" w:rsidRDefault="00FE399E">
      <w:r>
        <w:separator/>
      </w:r>
    </w:p>
    <w:p w14:paraId="07F8FC55" w14:textId="77777777" w:rsidR="00FE399E" w:rsidRDefault="00FE399E"/>
  </w:endnote>
  <w:endnote w:type="continuationSeparator" w:id="0">
    <w:p w14:paraId="534B37AD" w14:textId="77777777" w:rsidR="00FE399E" w:rsidRDefault="00FE399E">
      <w:r>
        <w:continuationSeparator/>
      </w:r>
    </w:p>
    <w:p w14:paraId="07A3D3AC" w14:textId="77777777" w:rsidR="00FE399E" w:rsidRDefault="00FE399E"/>
  </w:endnote>
  <w:endnote w:type="continuationNotice" w:id="1">
    <w:p w14:paraId="0FB9D5D3" w14:textId="77777777" w:rsidR="00FE399E" w:rsidRDefault="00FE399E">
      <w:pPr>
        <w:spacing w:before="0"/>
      </w:pPr>
    </w:p>
    <w:p w14:paraId="674CB4B3" w14:textId="77777777" w:rsidR="00FE399E" w:rsidRDefault="00FE3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2B798" w14:textId="77777777" w:rsidR="00F27083" w:rsidRDefault="00F27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F293" w14:textId="77777777" w:rsidR="00F27083" w:rsidRDefault="00F27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03740E" w14:paraId="65E77649" w14:textId="77777777" w:rsidTr="003447A8">
      <w:tc>
        <w:tcPr>
          <w:tcW w:w="1526" w:type="dxa"/>
          <w:tcBorders>
            <w:top w:val="single" w:sz="4" w:space="0" w:color="000000"/>
          </w:tcBorders>
          <w:shd w:val="clear" w:color="auto" w:fill="auto"/>
        </w:tcPr>
        <w:p w14:paraId="6D3E3B87" w14:textId="77777777" w:rsidR="003447A8" w:rsidRPr="004D495C" w:rsidRDefault="003447A8" w:rsidP="003447A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77E88D5" w14:textId="77777777" w:rsidR="003447A8" w:rsidRPr="004D495C" w:rsidRDefault="003447A8" w:rsidP="003447A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C53FE51" w14:textId="7297B6B8" w:rsidR="003447A8" w:rsidRPr="0003740E" w:rsidRDefault="00572ED6" w:rsidP="00BD3DA5">
          <w:pPr>
            <w:pStyle w:val="FirstFooter"/>
            <w:tabs>
              <w:tab w:val="left" w:pos="2302"/>
            </w:tabs>
            <w:rPr>
              <w:sz w:val="18"/>
              <w:szCs w:val="18"/>
            </w:rPr>
          </w:pPr>
          <w:r>
            <w:rPr>
              <w:sz w:val="18"/>
              <w:szCs w:val="18"/>
              <w:lang w:val="fr-FR"/>
            </w:rPr>
            <w:t xml:space="preserve">Mr </w:t>
          </w:r>
          <w:proofErr w:type="spellStart"/>
          <w:r w:rsidR="00BA6901" w:rsidRPr="00BA6901">
            <w:rPr>
              <w:sz w:val="18"/>
              <w:szCs w:val="18"/>
              <w:lang w:val="fr-FR"/>
            </w:rPr>
            <w:t>Víctor</w:t>
          </w:r>
          <w:proofErr w:type="spellEnd"/>
          <w:r w:rsidR="00BA6901" w:rsidRPr="00BA6901">
            <w:rPr>
              <w:sz w:val="18"/>
              <w:szCs w:val="18"/>
              <w:lang w:val="fr-FR"/>
            </w:rPr>
            <w:t xml:space="preserve"> Manuel Martínez </w:t>
          </w:r>
          <w:proofErr w:type="spellStart"/>
          <w:r w:rsidR="00BA6901" w:rsidRPr="00BA6901">
            <w:rPr>
              <w:sz w:val="18"/>
              <w:szCs w:val="18"/>
              <w:lang w:val="fr-FR"/>
            </w:rPr>
            <w:t>Vanegas</w:t>
          </w:r>
          <w:proofErr w:type="spellEnd"/>
          <w:r w:rsidR="00BD3DA5">
            <w:rPr>
              <w:sz w:val="18"/>
              <w:szCs w:val="18"/>
              <w:lang w:val="fr-FR"/>
            </w:rPr>
            <w:t xml:space="preserve">, </w:t>
          </w:r>
          <w:r w:rsidR="00BA6901" w:rsidRPr="00BA6901">
            <w:rPr>
              <w:sz w:val="18"/>
              <w:szCs w:val="18"/>
              <w:lang w:val="fr-FR"/>
            </w:rPr>
            <w:t>Rapporteur, RG-SOP</w:t>
          </w:r>
          <w:r w:rsidR="00BD3DA5">
            <w:rPr>
              <w:sz w:val="18"/>
              <w:szCs w:val="18"/>
              <w:lang w:val="fr-FR"/>
            </w:rPr>
            <w:t xml:space="preserve">, </w:t>
          </w:r>
          <w:r w:rsidR="00BA6901" w:rsidRPr="00BA6901">
            <w:rPr>
              <w:sz w:val="18"/>
              <w:szCs w:val="18"/>
            </w:rPr>
            <w:t>Mexico</w:t>
          </w:r>
        </w:p>
      </w:tc>
      <w:bookmarkStart w:id="18" w:name="OrgName"/>
      <w:bookmarkEnd w:id="18"/>
    </w:tr>
    <w:tr w:rsidR="003447A8" w:rsidRPr="004D495C" w14:paraId="1CC09AE7" w14:textId="77777777" w:rsidTr="003447A8">
      <w:tc>
        <w:tcPr>
          <w:tcW w:w="1526" w:type="dxa"/>
          <w:shd w:val="clear" w:color="auto" w:fill="auto"/>
        </w:tcPr>
        <w:p w14:paraId="7BB1BEC2" w14:textId="77777777" w:rsidR="003447A8" w:rsidRPr="0003740E" w:rsidRDefault="003447A8" w:rsidP="003447A8">
          <w:pPr>
            <w:pStyle w:val="FirstFooter"/>
            <w:tabs>
              <w:tab w:val="left" w:pos="1559"/>
              <w:tab w:val="left" w:pos="3828"/>
            </w:tabs>
            <w:rPr>
              <w:sz w:val="20"/>
            </w:rPr>
          </w:pPr>
        </w:p>
      </w:tc>
      <w:tc>
        <w:tcPr>
          <w:tcW w:w="2410" w:type="dxa"/>
          <w:shd w:val="clear" w:color="auto" w:fill="auto"/>
        </w:tcPr>
        <w:p w14:paraId="6CF01C6C" w14:textId="77777777" w:rsidR="003447A8" w:rsidRPr="004D495C" w:rsidRDefault="003447A8" w:rsidP="003447A8">
          <w:pPr>
            <w:pStyle w:val="FirstFooter"/>
            <w:tabs>
              <w:tab w:val="left" w:pos="2302"/>
            </w:tabs>
            <w:rPr>
              <w:sz w:val="18"/>
              <w:szCs w:val="18"/>
              <w:lang w:val="en-US"/>
            </w:rPr>
          </w:pPr>
          <w:r w:rsidRPr="004D495C">
            <w:rPr>
              <w:sz w:val="18"/>
              <w:szCs w:val="18"/>
              <w:lang w:val="en-US"/>
            </w:rPr>
            <w:t>Phone number:</w:t>
          </w:r>
        </w:p>
      </w:tc>
      <w:tc>
        <w:tcPr>
          <w:tcW w:w="5987" w:type="dxa"/>
        </w:tcPr>
        <w:p w14:paraId="527F567E" w14:textId="4C0039C6" w:rsidR="003447A8" w:rsidRPr="00235F37" w:rsidRDefault="00D009DE" w:rsidP="003447A8">
          <w:pPr>
            <w:pStyle w:val="FirstFooter"/>
            <w:tabs>
              <w:tab w:val="left" w:pos="2302"/>
            </w:tabs>
            <w:rPr>
              <w:sz w:val="18"/>
              <w:szCs w:val="18"/>
              <w:lang w:val="en-US"/>
            </w:rPr>
          </w:pPr>
          <w:r>
            <w:rPr>
              <w:sz w:val="18"/>
              <w:szCs w:val="18"/>
              <w:lang w:val="en-US"/>
            </w:rPr>
            <w:t>n/a</w:t>
          </w:r>
        </w:p>
      </w:tc>
      <w:bookmarkStart w:id="19" w:name="PhoneNo"/>
      <w:bookmarkEnd w:id="19"/>
    </w:tr>
    <w:tr w:rsidR="003447A8" w:rsidRPr="004D495C" w14:paraId="34A468D3" w14:textId="77777777" w:rsidTr="003447A8">
      <w:tc>
        <w:tcPr>
          <w:tcW w:w="1526" w:type="dxa"/>
          <w:shd w:val="clear" w:color="auto" w:fill="auto"/>
        </w:tcPr>
        <w:p w14:paraId="2403414C" w14:textId="77777777" w:rsidR="003447A8" w:rsidRPr="004D495C" w:rsidRDefault="003447A8" w:rsidP="003447A8">
          <w:pPr>
            <w:pStyle w:val="FirstFooter"/>
            <w:tabs>
              <w:tab w:val="left" w:pos="1559"/>
              <w:tab w:val="left" w:pos="3828"/>
            </w:tabs>
            <w:rPr>
              <w:sz w:val="20"/>
              <w:lang w:val="en-US"/>
            </w:rPr>
          </w:pPr>
        </w:p>
      </w:tc>
      <w:tc>
        <w:tcPr>
          <w:tcW w:w="2410" w:type="dxa"/>
          <w:shd w:val="clear" w:color="auto" w:fill="auto"/>
        </w:tcPr>
        <w:p w14:paraId="2BECCEFC" w14:textId="77777777" w:rsidR="003447A8" w:rsidRPr="004D495C" w:rsidRDefault="003447A8" w:rsidP="003447A8">
          <w:pPr>
            <w:pStyle w:val="FirstFooter"/>
            <w:tabs>
              <w:tab w:val="left" w:pos="2302"/>
            </w:tabs>
            <w:rPr>
              <w:sz w:val="18"/>
              <w:szCs w:val="18"/>
              <w:lang w:val="en-US"/>
            </w:rPr>
          </w:pPr>
          <w:r w:rsidRPr="004D495C">
            <w:rPr>
              <w:sz w:val="18"/>
              <w:szCs w:val="18"/>
              <w:lang w:val="en-US"/>
            </w:rPr>
            <w:t>E-mail:</w:t>
          </w:r>
        </w:p>
      </w:tc>
      <w:tc>
        <w:tcPr>
          <w:tcW w:w="5987" w:type="dxa"/>
        </w:tcPr>
        <w:p w14:paraId="36CD733D" w14:textId="36E8FBB1" w:rsidR="003447A8" w:rsidRPr="00235F37" w:rsidRDefault="00BD3DA5" w:rsidP="003447A8">
          <w:pPr>
            <w:pStyle w:val="FirstFooter"/>
            <w:tabs>
              <w:tab w:val="left" w:pos="2302"/>
            </w:tabs>
            <w:rPr>
              <w:sz w:val="18"/>
              <w:szCs w:val="18"/>
            </w:rPr>
          </w:pPr>
          <w:hyperlink r:id="rId1" w:history="1">
            <w:r w:rsidRPr="003A7B9E">
              <w:rPr>
                <w:rStyle w:val="Hyperlink"/>
                <w:sz w:val="18"/>
                <w:szCs w:val="18"/>
              </w:rPr>
              <w:t>victor.martinezv@ift.org.mx</w:t>
            </w:r>
          </w:hyperlink>
          <w:r>
            <w:rPr>
              <w:sz w:val="18"/>
              <w:szCs w:val="18"/>
            </w:rPr>
            <w:t xml:space="preserve"> </w:t>
          </w:r>
        </w:p>
      </w:tc>
      <w:bookmarkStart w:id="20" w:name="Email"/>
      <w:bookmarkEnd w:id="20"/>
    </w:tr>
    <w:tr w:rsidR="00126433" w:rsidRPr="00F27083" w14:paraId="43A647D3" w14:textId="77777777" w:rsidTr="005C4C3A">
      <w:tc>
        <w:tcPr>
          <w:tcW w:w="1526" w:type="dxa"/>
          <w:tcBorders>
            <w:top w:val="single" w:sz="4" w:space="0" w:color="000000"/>
          </w:tcBorders>
          <w:shd w:val="clear" w:color="auto" w:fill="auto"/>
        </w:tcPr>
        <w:p w14:paraId="3018F973" w14:textId="77777777" w:rsidR="00126433" w:rsidRPr="004D495C" w:rsidRDefault="00126433" w:rsidP="0012643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926782F" w14:textId="77777777" w:rsidR="00126433" w:rsidRPr="004D495C" w:rsidRDefault="00126433" w:rsidP="0012643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3DD80E2" w14:textId="25040B22" w:rsidR="00126433" w:rsidRPr="00D009DE" w:rsidRDefault="00D30ABC" w:rsidP="00D009DE">
          <w:pPr>
            <w:pStyle w:val="FirstFooter"/>
            <w:tabs>
              <w:tab w:val="left" w:pos="2302"/>
            </w:tabs>
            <w:rPr>
              <w:sz w:val="18"/>
              <w:szCs w:val="18"/>
              <w:lang w:val="fr-FR"/>
            </w:rPr>
          </w:pPr>
          <w:r>
            <w:rPr>
              <w:sz w:val="18"/>
              <w:szCs w:val="18"/>
              <w:lang w:val="fr-FR"/>
            </w:rPr>
            <w:t xml:space="preserve">Mr </w:t>
          </w:r>
          <w:r w:rsidR="00D009DE">
            <w:rPr>
              <w:sz w:val="18"/>
              <w:szCs w:val="18"/>
              <w:lang w:val="fr-FR"/>
            </w:rPr>
            <w:t>B</w:t>
          </w:r>
          <w:r w:rsidR="00D009DE" w:rsidRPr="00D009DE">
            <w:rPr>
              <w:sz w:val="18"/>
              <w:szCs w:val="18"/>
              <w:lang w:val="fr-FR"/>
            </w:rPr>
            <w:t>ruce Gracie</w:t>
          </w:r>
          <w:r w:rsidR="00D009DE">
            <w:rPr>
              <w:sz w:val="18"/>
              <w:szCs w:val="18"/>
              <w:lang w:val="fr-FR"/>
            </w:rPr>
            <w:t xml:space="preserve">, </w:t>
          </w:r>
          <w:r w:rsidR="00D009DE" w:rsidRPr="00D009DE">
            <w:rPr>
              <w:sz w:val="18"/>
              <w:szCs w:val="18"/>
              <w:lang w:val="fr-FR"/>
            </w:rPr>
            <w:t>Associate rapporteur, RG-SOP</w:t>
          </w:r>
          <w:r w:rsidR="00D009DE">
            <w:rPr>
              <w:sz w:val="18"/>
              <w:szCs w:val="18"/>
              <w:lang w:val="fr-FR"/>
            </w:rPr>
            <w:t xml:space="preserve">, </w:t>
          </w:r>
          <w:r w:rsidR="00D009DE" w:rsidRPr="00D009DE">
            <w:rPr>
              <w:sz w:val="18"/>
              <w:szCs w:val="18"/>
              <w:lang w:val="fr-FR"/>
            </w:rPr>
            <w:t>Canada</w:t>
          </w:r>
        </w:p>
      </w:tc>
    </w:tr>
    <w:tr w:rsidR="00126433" w:rsidRPr="004D495C" w14:paraId="475C4BAE" w14:textId="77777777" w:rsidTr="005C4C3A">
      <w:tc>
        <w:tcPr>
          <w:tcW w:w="1526" w:type="dxa"/>
          <w:shd w:val="clear" w:color="auto" w:fill="auto"/>
        </w:tcPr>
        <w:p w14:paraId="5D1E4ECE" w14:textId="77777777" w:rsidR="00126433" w:rsidRPr="00D009DE" w:rsidRDefault="00126433" w:rsidP="00126433">
          <w:pPr>
            <w:pStyle w:val="FirstFooter"/>
            <w:tabs>
              <w:tab w:val="left" w:pos="1559"/>
              <w:tab w:val="left" w:pos="3828"/>
            </w:tabs>
            <w:rPr>
              <w:sz w:val="20"/>
              <w:lang w:val="fr-FR"/>
            </w:rPr>
          </w:pPr>
        </w:p>
      </w:tc>
      <w:tc>
        <w:tcPr>
          <w:tcW w:w="2410" w:type="dxa"/>
          <w:shd w:val="clear" w:color="auto" w:fill="auto"/>
        </w:tcPr>
        <w:p w14:paraId="6EC216EA" w14:textId="77777777" w:rsidR="00126433" w:rsidRPr="004D495C" w:rsidRDefault="00126433" w:rsidP="00126433">
          <w:pPr>
            <w:pStyle w:val="FirstFooter"/>
            <w:tabs>
              <w:tab w:val="left" w:pos="2302"/>
            </w:tabs>
            <w:rPr>
              <w:sz w:val="18"/>
              <w:szCs w:val="18"/>
              <w:lang w:val="en-US"/>
            </w:rPr>
          </w:pPr>
          <w:r w:rsidRPr="004D495C">
            <w:rPr>
              <w:sz w:val="18"/>
              <w:szCs w:val="18"/>
              <w:lang w:val="en-US"/>
            </w:rPr>
            <w:t>Phone number:</w:t>
          </w:r>
        </w:p>
      </w:tc>
      <w:tc>
        <w:tcPr>
          <w:tcW w:w="5987" w:type="dxa"/>
        </w:tcPr>
        <w:p w14:paraId="26F6064C" w14:textId="66248C0A" w:rsidR="00126433" w:rsidRPr="00235F37" w:rsidRDefault="00D009DE" w:rsidP="00126433">
          <w:pPr>
            <w:pStyle w:val="FirstFooter"/>
            <w:tabs>
              <w:tab w:val="left" w:pos="2302"/>
            </w:tabs>
            <w:rPr>
              <w:sz w:val="18"/>
              <w:szCs w:val="18"/>
              <w:lang w:val="en-US"/>
            </w:rPr>
          </w:pPr>
          <w:r>
            <w:rPr>
              <w:sz w:val="18"/>
              <w:szCs w:val="18"/>
              <w:lang w:val="en-US"/>
            </w:rPr>
            <w:t>n/a</w:t>
          </w:r>
        </w:p>
      </w:tc>
    </w:tr>
    <w:tr w:rsidR="00126433" w:rsidRPr="004D495C" w14:paraId="077E9822" w14:textId="77777777" w:rsidTr="00857F34">
      <w:tc>
        <w:tcPr>
          <w:tcW w:w="1526" w:type="dxa"/>
          <w:tcBorders>
            <w:bottom w:val="single" w:sz="4" w:space="0" w:color="auto"/>
          </w:tcBorders>
          <w:shd w:val="clear" w:color="auto" w:fill="auto"/>
        </w:tcPr>
        <w:p w14:paraId="3AD02349" w14:textId="77777777" w:rsidR="00126433" w:rsidRPr="004D495C" w:rsidRDefault="00126433" w:rsidP="00126433">
          <w:pPr>
            <w:pStyle w:val="FirstFooter"/>
            <w:tabs>
              <w:tab w:val="left" w:pos="1559"/>
              <w:tab w:val="left" w:pos="3828"/>
            </w:tabs>
            <w:rPr>
              <w:sz w:val="20"/>
              <w:lang w:val="en-US"/>
            </w:rPr>
          </w:pPr>
        </w:p>
      </w:tc>
      <w:tc>
        <w:tcPr>
          <w:tcW w:w="2410" w:type="dxa"/>
          <w:tcBorders>
            <w:bottom w:val="single" w:sz="4" w:space="0" w:color="auto"/>
          </w:tcBorders>
          <w:shd w:val="clear" w:color="auto" w:fill="auto"/>
        </w:tcPr>
        <w:p w14:paraId="5DE66F86" w14:textId="77777777" w:rsidR="00126433" w:rsidRPr="004D495C" w:rsidRDefault="00126433" w:rsidP="00126433">
          <w:pPr>
            <w:pStyle w:val="FirstFooter"/>
            <w:tabs>
              <w:tab w:val="left" w:pos="2302"/>
            </w:tabs>
            <w:rPr>
              <w:sz w:val="18"/>
              <w:szCs w:val="18"/>
              <w:lang w:val="en-US"/>
            </w:rPr>
          </w:pPr>
          <w:r w:rsidRPr="004D495C">
            <w:rPr>
              <w:sz w:val="18"/>
              <w:szCs w:val="18"/>
              <w:lang w:val="en-US"/>
            </w:rPr>
            <w:t>E-mail:</w:t>
          </w:r>
        </w:p>
      </w:tc>
      <w:tc>
        <w:tcPr>
          <w:tcW w:w="5987" w:type="dxa"/>
          <w:tcBorders>
            <w:bottom w:val="single" w:sz="4" w:space="0" w:color="auto"/>
          </w:tcBorders>
        </w:tcPr>
        <w:p w14:paraId="6C5156DF" w14:textId="2376F676" w:rsidR="00126433" w:rsidRPr="00235F37" w:rsidRDefault="00572ED6" w:rsidP="00126433">
          <w:pPr>
            <w:pStyle w:val="FirstFooter"/>
            <w:tabs>
              <w:tab w:val="left" w:pos="2302"/>
            </w:tabs>
            <w:rPr>
              <w:sz w:val="18"/>
              <w:szCs w:val="18"/>
            </w:rPr>
          </w:pPr>
          <w:hyperlink r:id="rId2" w:history="1">
            <w:r w:rsidRPr="003A7B9E">
              <w:rPr>
                <w:rStyle w:val="Hyperlink"/>
                <w:sz w:val="18"/>
                <w:szCs w:val="18"/>
              </w:rPr>
              <w:t>bruce.gracie@ericsson.com</w:t>
            </w:r>
          </w:hyperlink>
          <w:r>
            <w:rPr>
              <w:sz w:val="18"/>
              <w:szCs w:val="18"/>
            </w:rPr>
            <w:t xml:space="preserve"> </w:t>
          </w:r>
        </w:p>
      </w:tc>
    </w:tr>
    <w:tr w:rsidR="00857F34" w:rsidRPr="003205E9" w14:paraId="50BC5BF9" w14:textId="77777777" w:rsidTr="00857F34">
      <w:tc>
        <w:tcPr>
          <w:tcW w:w="1526" w:type="dxa"/>
          <w:tcBorders>
            <w:top w:val="single" w:sz="4" w:space="0" w:color="auto"/>
          </w:tcBorders>
          <w:shd w:val="clear" w:color="auto" w:fill="auto"/>
        </w:tcPr>
        <w:p w14:paraId="6B82E77C" w14:textId="77777777" w:rsidR="00857F34" w:rsidRPr="00857F34" w:rsidRDefault="00857F34" w:rsidP="00857F34">
          <w:pPr>
            <w:pStyle w:val="FirstFooter"/>
            <w:tabs>
              <w:tab w:val="left" w:pos="1559"/>
              <w:tab w:val="left" w:pos="3828"/>
            </w:tabs>
            <w:rPr>
              <w:sz w:val="20"/>
              <w:lang w:val="en-US"/>
            </w:rPr>
          </w:pPr>
          <w:r w:rsidRPr="00857F34">
            <w:rPr>
              <w:sz w:val="20"/>
              <w:lang w:val="en-US"/>
            </w:rPr>
            <w:t>Contact:</w:t>
          </w:r>
        </w:p>
      </w:tc>
      <w:tc>
        <w:tcPr>
          <w:tcW w:w="2410" w:type="dxa"/>
          <w:tcBorders>
            <w:top w:val="single" w:sz="4" w:space="0" w:color="auto"/>
          </w:tcBorders>
          <w:shd w:val="clear" w:color="auto" w:fill="auto"/>
        </w:tcPr>
        <w:p w14:paraId="17F77B62" w14:textId="77777777" w:rsidR="00857F34" w:rsidRPr="004D495C" w:rsidRDefault="00857F34" w:rsidP="00857F34">
          <w:pPr>
            <w:pStyle w:val="FirstFooter"/>
            <w:tabs>
              <w:tab w:val="left" w:pos="2302"/>
            </w:tabs>
            <w:rPr>
              <w:sz w:val="18"/>
              <w:szCs w:val="18"/>
              <w:lang w:val="en-US"/>
            </w:rPr>
          </w:pPr>
          <w:r w:rsidRPr="004D495C">
            <w:rPr>
              <w:sz w:val="18"/>
              <w:szCs w:val="18"/>
              <w:lang w:val="en-US"/>
            </w:rPr>
            <w:t>Name/Organization/Entity:</w:t>
          </w:r>
        </w:p>
      </w:tc>
      <w:tc>
        <w:tcPr>
          <w:tcW w:w="5987" w:type="dxa"/>
          <w:tcBorders>
            <w:top w:val="single" w:sz="4" w:space="0" w:color="auto"/>
          </w:tcBorders>
        </w:tcPr>
        <w:p w14:paraId="0C45117B" w14:textId="5FE2DA5B" w:rsidR="00857F34" w:rsidRPr="003205E9" w:rsidRDefault="00D30ABC" w:rsidP="0060767D">
          <w:pPr>
            <w:pStyle w:val="FirstFooter"/>
            <w:tabs>
              <w:tab w:val="left" w:pos="2302"/>
            </w:tabs>
            <w:rPr>
              <w:sz w:val="18"/>
              <w:szCs w:val="18"/>
            </w:rPr>
          </w:pPr>
          <w:r>
            <w:rPr>
              <w:sz w:val="18"/>
              <w:szCs w:val="18"/>
            </w:rPr>
            <w:t xml:space="preserve">Mr </w:t>
          </w:r>
          <w:r w:rsidR="0060767D" w:rsidRPr="00D30ABC">
            <w:rPr>
              <w:sz w:val="18"/>
              <w:szCs w:val="18"/>
            </w:rPr>
            <w:t xml:space="preserve">Dao Tian, Associate rapporteur, RG-SOP, </w:t>
          </w:r>
          <w:r w:rsidRPr="00D30ABC">
            <w:rPr>
              <w:sz w:val="18"/>
              <w:szCs w:val="18"/>
            </w:rPr>
            <w:t>China (People's Republic of)</w:t>
          </w:r>
        </w:p>
      </w:tc>
    </w:tr>
    <w:tr w:rsidR="00857F34" w:rsidRPr="00235F37" w14:paraId="0CFA4A46" w14:textId="77777777" w:rsidTr="00857F34">
      <w:tc>
        <w:tcPr>
          <w:tcW w:w="1526" w:type="dxa"/>
          <w:shd w:val="clear" w:color="auto" w:fill="auto"/>
        </w:tcPr>
        <w:p w14:paraId="65213373" w14:textId="77777777" w:rsidR="00857F34" w:rsidRPr="00857F34" w:rsidRDefault="00857F34" w:rsidP="00857F34">
          <w:pPr>
            <w:pStyle w:val="FirstFooter"/>
            <w:tabs>
              <w:tab w:val="left" w:pos="1559"/>
              <w:tab w:val="left" w:pos="3828"/>
            </w:tabs>
            <w:rPr>
              <w:sz w:val="20"/>
              <w:lang w:val="en-US"/>
            </w:rPr>
          </w:pPr>
        </w:p>
      </w:tc>
      <w:tc>
        <w:tcPr>
          <w:tcW w:w="2410" w:type="dxa"/>
          <w:shd w:val="clear" w:color="auto" w:fill="auto"/>
        </w:tcPr>
        <w:p w14:paraId="45BFB45E" w14:textId="77777777" w:rsidR="00857F34" w:rsidRPr="004D495C" w:rsidRDefault="00857F34" w:rsidP="00857F34">
          <w:pPr>
            <w:pStyle w:val="FirstFooter"/>
            <w:tabs>
              <w:tab w:val="left" w:pos="2302"/>
            </w:tabs>
            <w:rPr>
              <w:sz w:val="18"/>
              <w:szCs w:val="18"/>
              <w:lang w:val="en-US"/>
            </w:rPr>
          </w:pPr>
          <w:r w:rsidRPr="004D495C">
            <w:rPr>
              <w:sz w:val="18"/>
              <w:szCs w:val="18"/>
              <w:lang w:val="en-US"/>
            </w:rPr>
            <w:t>Phone number:</w:t>
          </w:r>
        </w:p>
      </w:tc>
      <w:tc>
        <w:tcPr>
          <w:tcW w:w="5987" w:type="dxa"/>
        </w:tcPr>
        <w:p w14:paraId="66776212" w14:textId="20DD7811" w:rsidR="00857F34" w:rsidRPr="00857F34" w:rsidRDefault="0060767D" w:rsidP="00857F34">
          <w:pPr>
            <w:pStyle w:val="FirstFooter"/>
            <w:tabs>
              <w:tab w:val="left" w:pos="2302"/>
            </w:tabs>
            <w:rPr>
              <w:sz w:val="18"/>
              <w:szCs w:val="18"/>
            </w:rPr>
          </w:pPr>
          <w:r>
            <w:rPr>
              <w:sz w:val="18"/>
              <w:szCs w:val="18"/>
            </w:rPr>
            <w:t>n/a</w:t>
          </w:r>
        </w:p>
      </w:tc>
    </w:tr>
    <w:tr w:rsidR="00857F34" w:rsidRPr="00235F37" w14:paraId="5991A4A3" w14:textId="77777777" w:rsidTr="00857F34">
      <w:tc>
        <w:tcPr>
          <w:tcW w:w="1526" w:type="dxa"/>
          <w:shd w:val="clear" w:color="auto" w:fill="auto"/>
        </w:tcPr>
        <w:p w14:paraId="79000AF6" w14:textId="77777777" w:rsidR="00857F34" w:rsidRPr="004D495C" w:rsidRDefault="00857F34" w:rsidP="00857F34">
          <w:pPr>
            <w:pStyle w:val="FirstFooter"/>
            <w:tabs>
              <w:tab w:val="left" w:pos="1559"/>
              <w:tab w:val="left" w:pos="3828"/>
            </w:tabs>
            <w:rPr>
              <w:sz w:val="20"/>
              <w:lang w:val="en-US"/>
            </w:rPr>
          </w:pPr>
        </w:p>
      </w:tc>
      <w:tc>
        <w:tcPr>
          <w:tcW w:w="2410" w:type="dxa"/>
          <w:shd w:val="clear" w:color="auto" w:fill="auto"/>
        </w:tcPr>
        <w:p w14:paraId="11B16DAA" w14:textId="77777777" w:rsidR="00857F34" w:rsidRPr="004D495C" w:rsidRDefault="00857F34" w:rsidP="00857F34">
          <w:pPr>
            <w:pStyle w:val="FirstFooter"/>
            <w:tabs>
              <w:tab w:val="left" w:pos="2302"/>
            </w:tabs>
            <w:rPr>
              <w:sz w:val="18"/>
              <w:szCs w:val="18"/>
              <w:lang w:val="en-US"/>
            </w:rPr>
          </w:pPr>
          <w:r w:rsidRPr="004D495C">
            <w:rPr>
              <w:sz w:val="18"/>
              <w:szCs w:val="18"/>
              <w:lang w:val="en-US"/>
            </w:rPr>
            <w:t>E-mail:</w:t>
          </w:r>
        </w:p>
      </w:tc>
      <w:tc>
        <w:tcPr>
          <w:tcW w:w="5987" w:type="dxa"/>
        </w:tcPr>
        <w:p w14:paraId="5EC8D49E" w14:textId="44B171AB" w:rsidR="00857F34" w:rsidRPr="00235F37" w:rsidRDefault="00BE3113" w:rsidP="00857F34">
          <w:pPr>
            <w:pStyle w:val="FirstFooter"/>
            <w:tabs>
              <w:tab w:val="left" w:pos="2302"/>
            </w:tabs>
            <w:rPr>
              <w:sz w:val="18"/>
              <w:szCs w:val="18"/>
            </w:rPr>
          </w:pPr>
          <w:hyperlink r:id="rId3" w:history="1">
            <w:r w:rsidRPr="003A7B9E">
              <w:rPr>
                <w:rStyle w:val="Hyperlink"/>
                <w:sz w:val="18"/>
                <w:szCs w:val="18"/>
              </w:rPr>
              <w:t>tian.dao@zte.com.cn</w:t>
            </w:r>
          </w:hyperlink>
          <w:r>
            <w:rPr>
              <w:sz w:val="18"/>
              <w:szCs w:val="18"/>
            </w:rPr>
            <w:t xml:space="preserve"> </w:t>
          </w:r>
        </w:p>
      </w:tc>
    </w:tr>
  </w:tbl>
  <w:p w14:paraId="3FF320CD" w14:textId="77777777" w:rsidR="003447A8" w:rsidRDefault="0034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5CA6D" w14:textId="77777777" w:rsidR="00FE399E" w:rsidRPr="0054377E" w:rsidRDefault="00FE399E" w:rsidP="0054377E">
      <w:pPr>
        <w:spacing w:before="0"/>
      </w:pPr>
      <w:r w:rsidRPr="0054377E">
        <w:rPr>
          <w:b/>
        </w:rPr>
        <w:t>_______________</w:t>
      </w:r>
    </w:p>
  </w:footnote>
  <w:footnote w:type="continuationSeparator" w:id="0">
    <w:p w14:paraId="6F721CD3" w14:textId="77777777" w:rsidR="00FE399E" w:rsidRDefault="00FE399E" w:rsidP="0054377E">
      <w:pPr>
        <w:spacing w:before="0"/>
      </w:pPr>
      <w:r>
        <w:continuationSeparator/>
      </w:r>
    </w:p>
    <w:p w14:paraId="07C8C3F7" w14:textId="77777777" w:rsidR="00FE399E" w:rsidRDefault="00FE399E"/>
  </w:footnote>
  <w:footnote w:type="continuationNotice" w:id="1">
    <w:p w14:paraId="2F5953C1" w14:textId="77777777" w:rsidR="00FE399E" w:rsidRDefault="00FE399E">
      <w:pPr>
        <w:spacing w:before="0"/>
      </w:pPr>
    </w:p>
    <w:p w14:paraId="10EEE11E" w14:textId="77777777" w:rsidR="00FE399E" w:rsidRDefault="00FE3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B4482" w14:textId="77777777" w:rsidR="00F27083" w:rsidRDefault="00F27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3C7616C7"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sidRPr="00F27083">
      <w:rPr>
        <w:sz w:val="22"/>
        <w:szCs w:val="22"/>
        <w:lang w:val="es-ES_tradnl"/>
      </w:rPr>
      <w:t>TDAG-25/</w:t>
    </w:r>
    <w:r w:rsidR="00F27083">
      <w:rPr>
        <w:sz w:val="22"/>
        <w:szCs w:val="22"/>
        <w:lang w:val="es-ES_tradnl"/>
      </w:rPr>
      <w:t>31</w:t>
    </w:r>
    <w:r w:rsidRPr="00F27083">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BA99B" w14:textId="77777777" w:rsidR="00F27083" w:rsidRDefault="00F27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0"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1"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38"/>
  </w:num>
  <w:num w:numId="4" w16cid:durableId="1830174465">
    <w:abstractNumId w:val="3"/>
  </w:num>
  <w:num w:numId="5" w16cid:durableId="1479105461">
    <w:abstractNumId w:val="30"/>
  </w:num>
  <w:num w:numId="6" w16cid:durableId="869954702">
    <w:abstractNumId w:val="36"/>
  </w:num>
  <w:num w:numId="7" w16cid:durableId="444734477">
    <w:abstractNumId w:val="4"/>
  </w:num>
  <w:num w:numId="8" w16cid:durableId="362947223">
    <w:abstractNumId w:val="13"/>
  </w:num>
  <w:num w:numId="9" w16cid:durableId="458111764">
    <w:abstractNumId w:val="6"/>
  </w:num>
  <w:num w:numId="10" w16cid:durableId="1195534353">
    <w:abstractNumId w:val="12"/>
  </w:num>
  <w:num w:numId="11" w16cid:durableId="1826580952">
    <w:abstractNumId w:val="28"/>
  </w:num>
  <w:num w:numId="12" w16cid:durableId="1514690498">
    <w:abstractNumId w:val="35"/>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2"/>
  </w:num>
  <w:num w:numId="18" w16cid:durableId="1354573477">
    <w:abstractNumId w:val="33"/>
  </w:num>
  <w:num w:numId="19" w16cid:durableId="435754545">
    <w:abstractNumId w:val="17"/>
  </w:num>
  <w:num w:numId="20" w16cid:durableId="1066875134">
    <w:abstractNumId w:val="27"/>
  </w:num>
  <w:num w:numId="21" w16cid:durableId="1689939216">
    <w:abstractNumId w:val="26"/>
  </w:num>
  <w:num w:numId="22" w16cid:durableId="1257783837">
    <w:abstractNumId w:val="43"/>
  </w:num>
  <w:num w:numId="23" w16cid:durableId="970285242">
    <w:abstractNumId w:val="22"/>
  </w:num>
  <w:num w:numId="24" w16cid:durableId="1876889861">
    <w:abstractNumId w:val="16"/>
  </w:num>
  <w:num w:numId="25" w16cid:durableId="138228398">
    <w:abstractNumId w:val="19"/>
  </w:num>
  <w:num w:numId="26" w16cid:durableId="1871145006">
    <w:abstractNumId w:val="20"/>
  </w:num>
  <w:num w:numId="27" w16cid:durableId="1946108508">
    <w:abstractNumId w:val="23"/>
  </w:num>
  <w:num w:numId="28" w16cid:durableId="1629045729">
    <w:abstractNumId w:val="10"/>
  </w:num>
  <w:num w:numId="29" w16cid:durableId="2010906637">
    <w:abstractNumId w:val="24"/>
  </w:num>
  <w:num w:numId="30" w16cid:durableId="290525213">
    <w:abstractNumId w:val="41"/>
  </w:num>
  <w:num w:numId="31" w16cid:durableId="191966975">
    <w:abstractNumId w:val="25"/>
  </w:num>
  <w:num w:numId="32" w16cid:durableId="2014406757">
    <w:abstractNumId w:val="31"/>
  </w:num>
  <w:num w:numId="33" w16cid:durableId="648558829">
    <w:abstractNumId w:val="18"/>
  </w:num>
  <w:num w:numId="34" w16cid:durableId="2071807613">
    <w:abstractNumId w:val="9"/>
  </w:num>
  <w:num w:numId="35" w16cid:durableId="271744889">
    <w:abstractNumId w:val="34"/>
  </w:num>
  <w:num w:numId="36" w16cid:durableId="1457527817">
    <w:abstractNumId w:val="21"/>
  </w:num>
  <w:num w:numId="37" w16cid:durableId="1066101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2"/>
  </w:num>
  <w:num w:numId="39" w16cid:durableId="359361948">
    <w:abstractNumId w:val="37"/>
  </w:num>
  <w:num w:numId="40" w16cid:durableId="1037706265">
    <w:abstractNumId w:val="7"/>
  </w:num>
  <w:num w:numId="41" w16cid:durableId="447436251">
    <w:abstractNumId w:val="44"/>
  </w:num>
  <w:num w:numId="42" w16cid:durableId="655766109">
    <w:abstractNumId w:val="15"/>
  </w:num>
  <w:num w:numId="43" w16cid:durableId="577523632">
    <w:abstractNumId w:val="14"/>
  </w:num>
  <w:num w:numId="44" w16cid:durableId="1138063662">
    <w:abstractNumId w:val="40"/>
  </w:num>
  <w:num w:numId="45" w16cid:durableId="15646841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32ED"/>
    <w:rsid w:val="000041EA"/>
    <w:rsid w:val="00004EB7"/>
    <w:rsid w:val="00005A53"/>
    <w:rsid w:val="00005FBD"/>
    <w:rsid w:val="00011ECB"/>
    <w:rsid w:val="000150B0"/>
    <w:rsid w:val="00015E52"/>
    <w:rsid w:val="00022A29"/>
    <w:rsid w:val="00025926"/>
    <w:rsid w:val="00025965"/>
    <w:rsid w:val="000355FD"/>
    <w:rsid w:val="0003589F"/>
    <w:rsid w:val="0003740E"/>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592"/>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433"/>
    <w:rsid w:val="00126F2E"/>
    <w:rsid w:val="00127FC6"/>
    <w:rsid w:val="001424DC"/>
    <w:rsid w:val="00143A87"/>
    <w:rsid w:val="00144E69"/>
    <w:rsid w:val="00146F6F"/>
    <w:rsid w:val="0014714E"/>
    <w:rsid w:val="00147DA1"/>
    <w:rsid w:val="00152957"/>
    <w:rsid w:val="00162056"/>
    <w:rsid w:val="001655E8"/>
    <w:rsid w:val="00166196"/>
    <w:rsid w:val="001664A7"/>
    <w:rsid w:val="00167327"/>
    <w:rsid w:val="00167A9D"/>
    <w:rsid w:val="00170C5A"/>
    <w:rsid w:val="0017171C"/>
    <w:rsid w:val="00171758"/>
    <w:rsid w:val="0017500F"/>
    <w:rsid w:val="00176991"/>
    <w:rsid w:val="00180444"/>
    <w:rsid w:val="001832B9"/>
    <w:rsid w:val="0018417C"/>
    <w:rsid w:val="00185737"/>
    <w:rsid w:val="00187BD9"/>
    <w:rsid w:val="0019060A"/>
    <w:rsid w:val="00190B55"/>
    <w:rsid w:val="00191F5C"/>
    <w:rsid w:val="00192A1B"/>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D78D5"/>
    <w:rsid w:val="001E0384"/>
    <w:rsid w:val="001E24AF"/>
    <w:rsid w:val="001E252D"/>
    <w:rsid w:val="001E43DC"/>
    <w:rsid w:val="002009EA"/>
    <w:rsid w:val="00202CA0"/>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5F37"/>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B7240"/>
    <w:rsid w:val="002C12ED"/>
    <w:rsid w:val="002C49BA"/>
    <w:rsid w:val="002C4B75"/>
    <w:rsid w:val="002C6B70"/>
    <w:rsid w:val="002C73F6"/>
    <w:rsid w:val="002C7D5E"/>
    <w:rsid w:val="002D58BE"/>
    <w:rsid w:val="002D5CE8"/>
    <w:rsid w:val="002E4D1D"/>
    <w:rsid w:val="002E51E0"/>
    <w:rsid w:val="002E5411"/>
    <w:rsid w:val="002E7A84"/>
    <w:rsid w:val="002F1BD0"/>
    <w:rsid w:val="003013EE"/>
    <w:rsid w:val="003024DE"/>
    <w:rsid w:val="00304031"/>
    <w:rsid w:val="00304346"/>
    <w:rsid w:val="00311808"/>
    <w:rsid w:val="00311851"/>
    <w:rsid w:val="00311CD5"/>
    <w:rsid w:val="00316725"/>
    <w:rsid w:val="00316A69"/>
    <w:rsid w:val="003205E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6083"/>
    <w:rsid w:val="003572D4"/>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2C81"/>
    <w:rsid w:val="004131D4"/>
    <w:rsid w:val="0041348E"/>
    <w:rsid w:val="00414895"/>
    <w:rsid w:val="004208C6"/>
    <w:rsid w:val="00421605"/>
    <w:rsid w:val="00423F10"/>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3B17"/>
    <w:rsid w:val="004552B4"/>
    <w:rsid w:val="00460CF8"/>
    <w:rsid w:val="00462253"/>
    <w:rsid w:val="00462CB2"/>
    <w:rsid w:val="004631CC"/>
    <w:rsid w:val="00467DB2"/>
    <w:rsid w:val="00472FC1"/>
    <w:rsid w:val="004755BA"/>
    <w:rsid w:val="004765FF"/>
    <w:rsid w:val="00481E58"/>
    <w:rsid w:val="00483F59"/>
    <w:rsid w:val="0048520E"/>
    <w:rsid w:val="00486163"/>
    <w:rsid w:val="00492075"/>
    <w:rsid w:val="0049304E"/>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704A"/>
    <w:rsid w:val="004F051F"/>
    <w:rsid w:val="004F3D95"/>
    <w:rsid w:val="004F660E"/>
    <w:rsid w:val="004F7270"/>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23C2"/>
    <w:rsid w:val="00533CBA"/>
    <w:rsid w:val="005358B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2ED6"/>
    <w:rsid w:val="00575A45"/>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31C2"/>
    <w:rsid w:val="005B41B7"/>
    <w:rsid w:val="005B44F5"/>
    <w:rsid w:val="005B6D88"/>
    <w:rsid w:val="005B718F"/>
    <w:rsid w:val="005C099A"/>
    <w:rsid w:val="005C116F"/>
    <w:rsid w:val="005C13B5"/>
    <w:rsid w:val="005C26D1"/>
    <w:rsid w:val="005C3173"/>
    <w:rsid w:val="005C31A5"/>
    <w:rsid w:val="005C3248"/>
    <w:rsid w:val="005C3F17"/>
    <w:rsid w:val="005C4740"/>
    <w:rsid w:val="005D0BEA"/>
    <w:rsid w:val="005D48F2"/>
    <w:rsid w:val="005D4916"/>
    <w:rsid w:val="005E0641"/>
    <w:rsid w:val="005E0D2B"/>
    <w:rsid w:val="005E10C9"/>
    <w:rsid w:val="005E47A7"/>
    <w:rsid w:val="005E61DD"/>
    <w:rsid w:val="005E6321"/>
    <w:rsid w:val="005F5413"/>
    <w:rsid w:val="00600B9C"/>
    <w:rsid w:val="006023DF"/>
    <w:rsid w:val="0060693B"/>
    <w:rsid w:val="0060767D"/>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8E1"/>
    <w:rsid w:val="00665B75"/>
    <w:rsid w:val="00667F38"/>
    <w:rsid w:val="0067199F"/>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B7FD6"/>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2149"/>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1CEF"/>
    <w:rsid w:val="00764FA3"/>
    <w:rsid w:val="007654FE"/>
    <w:rsid w:val="00765BA5"/>
    <w:rsid w:val="007664D4"/>
    <w:rsid w:val="00770D7E"/>
    <w:rsid w:val="007732AD"/>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5CD5"/>
    <w:rsid w:val="007D714B"/>
    <w:rsid w:val="007E065B"/>
    <w:rsid w:val="007E0A1D"/>
    <w:rsid w:val="007E28A9"/>
    <w:rsid w:val="007E713F"/>
    <w:rsid w:val="007E7819"/>
    <w:rsid w:val="007E799D"/>
    <w:rsid w:val="007F1179"/>
    <w:rsid w:val="007F236E"/>
    <w:rsid w:val="007F2668"/>
    <w:rsid w:val="007F26E3"/>
    <w:rsid w:val="007F3732"/>
    <w:rsid w:val="007F535C"/>
    <w:rsid w:val="007F54EB"/>
    <w:rsid w:val="007F735C"/>
    <w:rsid w:val="0080005F"/>
    <w:rsid w:val="00800972"/>
    <w:rsid w:val="00804475"/>
    <w:rsid w:val="0081159E"/>
    <w:rsid w:val="00811633"/>
    <w:rsid w:val="00814643"/>
    <w:rsid w:val="00814C00"/>
    <w:rsid w:val="00821CEF"/>
    <w:rsid w:val="00823BDC"/>
    <w:rsid w:val="00832828"/>
    <w:rsid w:val="00833049"/>
    <w:rsid w:val="008334AF"/>
    <w:rsid w:val="0083645A"/>
    <w:rsid w:val="0083797D"/>
    <w:rsid w:val="00837AB9"/>
    <w:rsid w:val="00840B0F"/>
    <w:rsid w:val="00840FD0"/>
    <w:rsid w:val="0084590A"/>
    <w:rsid w:val="00845C0D"/>
    <w:rsid w:val="00847DA9"/>
    <w:rsid w:val="008529D3"/>
    <w:rsid w:val="00854840"/>
    <w:rsid w:val="00854B10"/>
    <w:rsid w:val="0085555B"/>
    <w:rsid w:val="00855FDC"/>
    <w:rsid w:val="00857AC8"/>
    <w:rsid w:val="00857F34"/>
    <w:rsid w:val="00860F8A"/>
    <w:rsid w:val="0086299C"/>
    <w:rsid w:val="00863578"/>
    <w:rsid w:val="00863FC4"/>
    <w:rsid w:val="00867B8E"/>
    <w:rsid w:val="00870A87"/>
    <w:rsid w:val="008711AE"/>
    <w:rsid w:val="00872FC8"/>
    <w:rsid w:val="00874817"/>
    <w:rsid w:val="00877397"/>
    <w:rsid w:val="00877D80"/>
    <w:rsid w:val="008801D3"/>
    <w:rsid w:val="00880325"/>
    <w:rsid w:val="008806F3"/>
    <w:rsid w:val="00881DBB"/>
    <w:rsid w:val="00882996"/>
    <w:rsid w:val="00883866"/>
    <w:rsid w:val="0088404A"/>
    <w:rsid w:val="008845D0"/>
    <w:rsid w:val="0089151A"/>
    <w:rsid w:val="00893B2C"/>
    <w:rsid w:val="00894F96"/>
    <w:rsid w:val="008A0BFE"/>
    <w:rsid w:val="008A2753"/>
    <w:rsid w:val="008A29D0"/>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8F4D50"/>
    <w:rsid w:val="009006A0"/>
    <w:rsid w:val="00900E22"/>
    <w:rsid w:val="009023DF"/>
    <w:rsid w:val="0090293E"/>
    <w:rsid w:val="0091016B"/>
    <w:rsid w:val="00910408"/>
    <w:rsid w:val="00910B26"/>
    <w:rsid w:val="00912004"/>
    <w:rsid w:val="00920D25"/>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37F9"/>
    <w:rsid w:val="00980AD1"/>
    <w:rsid w:val="00980AD6"/>
    <w:rsid w:val="009828A4"/>
    <w:rsid w:val="00985001"/>
    <w:rsid w:val="00985C9E"/>
    <w:rsid w:val="00986EBB"/>
    <w:rsid w:val="009907F3"/>
    <w:rsid w:val="00990A55"/>
    <w:rsid w:val="00992F9A"/>
    <w:rsid w:val="00993257"/>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3B28"/>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D65"/>
    <w:rsid w:val="00A81102"/>
    <w:rsid w:val="00A81F59"/>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28D"/>
    <w:rsid w:val="00AC1A8E"/>
    <w:rsid w:val="00AC4C17"/>
    <w:rsid w:val="00AC4DB5"/>
    <w:rsid w:val="00AC62B6"/>
    <w:rsid w:val="00AD0AEB"/>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75F"/>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4017"/>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6901"/>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3DA5"/>
    <w:rsid w:val="00BD50BD"/>
    <w:rsid w:val="00BD618D"/>
    <w:rsid w:val="00BD62C6"/>
    <w:rsid w:val="00BE3113"/>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B7F8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D009DE"/>
    <w:rsid w:val="00D00E2A"/>
    <w:rsid w:val="00D0135C"/>
    <w:rsid w:val="00D0723D"/>
    <w:rsid w:val="00D107E7"/>
    <w:rsid w:val="00D10D23"/>
    <w:rsid w:val="00D12A27"/>
    <w:rsid w:val="00D14CE0"/>
    <w:rsid w:val="00D217E0"/>
    <w:rsid w:val="00D233CB"/>
    <w:rsid w:val="00D27D0F"/>
    <w:rsid w:val="00D30ABC"/>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198B"/>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48F"/>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4B5A"/>
    <w:rsid w:val="00EC6B65"/>
    <w:rsid w:val="00ED29AB"/>
    <w:rsid w:val="00ED335C"/>
    <w:rsid w:val="00ED44A8"/>
    <w:rsid w:val="00ED5AAF"/>
    <w:rsid w:val="00EE3198"/>
    <w:rsid w:val="00EE4646"/>
    <w:rsid w:val="00EE5CC1"/>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083"/>
    <w:rsid w:val="00F277F9"/>
    <w:rsid w:val="00F339E3"/>
    <w:rsid w:val="00F340C8"/>
    <w:rsid w:val="00F349CB"/>
    <w:rsid w:val="00F354F7"/>
    <w:rsid w:val="00F357E0"/>
    <w:rsid w:val="00F37F94"/>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1D7B"/>
    <w:rsid w:val="00FA4CD4"/>
    <w:rsid w:val="00FA579C"/>
    <w:rsid w:val="00FA668B"/>
    <w:rsid w:val="00FB20E0"/>
    <w:rsid w:val="00FB34B9"/>
    <w:rsid w:val="00FC0BEF"/>
    <w:rsid w:val="00FC24DA"/>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21ED"/>
    <w:rsid w:val="00FF220A"/>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Docnumber">
    <w:name w:val="Docnumber"/>
    <w:basedOn w:val="Normal"/>
    <w:link w:val="DocnumberChar"/>
    <w:rsid w:val="00AC128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32"/>
    </w:rPr>
  </w:style>
  <w:style w:type="character" w:customStyle="1" w:styleId="DocnumberChar">
    <w:name w:val="Docnumber Char"/>
    <w:link w:val="Docnumber"/>
    <w:rsid w:val="00AC128D"/>
    <w:rPr>
      <w:rFonts w:ascii="Times New Roman" w:eastAsia="SimSun" w:hAnsi="Times New Roman"/>
      <w:b/>
      <w:sz w:val="32"/>
      <w:lang w:val="en-GB" w:eastAsia="en-US"/>
    </w:rPr>
  </w:style>
  <w:style w:type="paragraph" w:customStyle="1" w:styleId="LSDeadline">
    <w:name w:val="LSDeadline"/>
    <w:basedOn w:val="LSTitle"/>
    <w:next w:val="Normal"/>
    <w:rsid w:val="00AC128D"/>
    <w:rPr>
      <w:bCs w:val="0"/>
    </w:rPr>
  </w:style>
  <w:style w:type="paragraph" w:customStyle="1" w:styleId="LSForAction">
    <w:name w:val="LSForAction"/>
    <w:basedOn w:val="LSTitle"/>
    <w:next w:val="Normal"/>
    <w:rsid w:val="00AC12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AC128D"/>
  </w:style>
  <w:style w:type="paragraph" w:customStyle="1" w:styleId="LSSource">
    <w:name w:val="LSSource"/>
    <w:basedOn w:val="LSTitle"/>
    <w:next w:val="Normal"/>
    <w:rsid w:val="00AC128D"/>
    <w:rPr>
      <w:bCs w:val="0"/>
    </w:rPr>
  </w:style>
  <w:style w:type="paragraph" w:customStyle="1" w:styleId="LSTitle">
    <w:name w:val="LSTitle"/>
    <w:basedOn w:val="Normal"/>
    <w:next w:val="Normal"/>
    <w:rsid w:val="00AC128D"/>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VenueDate">
    <w:name w:val="VenueDate"/>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szCs w:val="24"/>
      <w:lang w:eastAsia="ja-JP"/>
    </w:rPr>
  </w:style>
  <w:style w:type="paragraph" w:customStyle="1" w:styleId="TSBHeaderQuestion">
    <w:name w:val="TSBHeaderQuestion"/>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LSTitle"/>
    <w:next w:val="Normal"/>
    <w:rsid w:val="00AC128D"/>
    <w:rPr>
      <w:bCs w:val="0"/>
    </w:rPr>
  </w:style>
  <w:style w:type="paragraph" w:customStyle="1" w:styleId="TSBHeaderRight14">
    <w:name w:val="TSBHeaderRight14"/>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ian.dao@zte.com.c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ruce.gracie@ericsson.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tor.martinezv@ift.org.mx"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tian.dao@zte.com.cn" TargetMode="External"/><Relationship Id="rId2" Type="http://schemas.openxmlformats.org/officeDocument/2006/relationships/hyperlink" Target="mailto:bruce.gracie@ericsson.com" TargetMode="External"/><Relationship Id="rId1" Type="http://schemas.openxmlformats.org/officeDocument/2006/relationships/hyperlink" Target="mailto:victor.martinezv@ift.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2.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768</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cp:lastModifiedBy>
  <cp:revision>84</cp:revision>
  <cp:lastPrinted>2019-01-16T07:57:00Z</cp:lastPrinted>
  <dcterms:created xsi:type="dcterms:W3CDTF">2025-02-11T10:46:00Z</dcterms:created>
  <dcterms:modified xsi:type="dcterms:W3CDTF">2025-03-27T08:59:00Z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