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25ADD06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7E724E4A" w:rsidR="005B718F" w:rsidRPr="00403C69" w:rsidRDefault="005B718F" w:rsidP="005B718F">
            <w:pPr>
              <w:tabs>
                <w:tab w:val="left" w:pos="851"/>
              </w:tabs>
              <w:spacing w:before="0" w:line="240" w:lineRule="atLeast"/>
              <w:rPr>
                <w:rFonts w:cstheme="minorHAnsi"/>
                <w:szCs w:val="24"/>
              </w:rPr>
            </w:pPr>
            <w:r w:rsidRPr="00F11631">
              <w:rPr>
                <w:b/>
                <w:bCs/>
                <w:lang w:val="en-US"/>
              </w:rPr>
              <w:t xml:space="preserve">Document </w:t>
            </w:r>
            <w:bookmarkStart w:id="4" w:name="DocRef1"/>
            <w:bookmarkEnd w:id="4"/>
            <w:r w:rsidRPr="00F11631">
              <w:rPr>
                <w:b/>
                <w:bCs/>
                <w:lang w:val="en-US"/>
              </w:rPr>
              <w:t>TDAG-25/</w:t>
            </w:r>
            <w:bookmarkStart w:id="5" w:name="DocNo1"/>
            <w:bookmarkEnd w:id="5"/>
            <w:r w:rsidR="00F11631" w:rsidRPr="00F11631">
              <w:rPr>
                <w:b/>
                <w:bCs/>
                <w:lang w:val="en-US"/>
              </w:rPr>
              <w:t>30</w:t>
            </w:r>
            <w:r w:rsidRPr="00F11631">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60ECB71C" w:rsidR="005B718F" w:rsidRPr="00403C69" w:rsidRDefault="006B7FD6" w:rsidP="005B718F">
            <w:pPr>
              <w:spacing w:before="0" w:line="240" w:lineRule="atLeast"/>
              <w:rPr>
                <w:rFonts w:cstheme="minorHAnsi"/>
                <w:szCs w:val="24"/>
              </w:rPr>
            </w:pPr>
            <w:r>
              <w:rPr>
                <w:b/>
                <w:bCs/>
                <w:szCs w:val="28"/>
              </w:rPr>
              <w:t>9 August 2024</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095F5697" w:rsidR="00423F10" w:rsidRPr="00403C69" w:rsidRDefault="00423F10" w:rsidP="00423F10">
            <w:pPr>
              <w:pStyle w:val="Source"/>
              <w:spacing w:before="240" w:after="240"/>
            </w:pPr>
            <w:bookmarkStart w:id="8" w:name="dbluepink" w:colFirst="0" w:colLast="0"/>
            <w:bookmarkStart w:id="9" w:name="dorlang" w:colFirst="1" w:colLast="1"/>
            <w:r w:rsidRPr="00143F31">
              <w:t>Telecommunication Standardization Advisory Group (TSAG)</w:t>
            </w:r>
          </w:p>
        </w:tc>
      </w:tr>
      <w:tr w:rsidR="00423F10" w:rsidRPr="00403C69" w14:paraId="7EDE1565" w14:textId="77777777" w:rsidTr="00913A6B">
        <w:trPr>
          <w:cantSplit/>
          <w:trHeight w:val="23"/>
        </w:trPr>
        <w:tc>
          <w:tcPr>
            <w:tcW w:w="10031" w:type="dxa"/>
            <w:gridSpan w:val="4"/>
            <w:shd w:val="clear" w:color="auto" w:fill="auto"/>
          </w:tcPr>
          <w:p w14:paraId="3D29924B" w14:textId="77CEAF86" w:rsidR="00423F10" w:rsidRPr="00423F10" w:rsidRDefault="00423F10" w:rsidP="00423F10">
            <w:pPr>
              <w:pStyle w:val="Title1"/>
              <w:spacing w:before="120" w:after="120"/>
              <w:rPr>
                <w:caps w:val="0"/>
              </w:rPr>
            </w:pPr>
            <w:r w:rsidRPr="00423F10">
              <w:rPr>
                <w:caps w:val="0"/>
              </w:rPr>
              <w:t xml:space="preserve">Incoming LS – Liaison Statement on </w:t>
            </w:r>
            <w:r w:rsidR="00126433" w:rsidRPr="00126433">
              <w:rPr>
                <w:caps w:val="0"/>
              </w:rPr>
              <w:t xml:space="preserve">A-Series Supplement 7 </w:t>
            </w:r>
            <w:r w:rsidR="00A43B28">
              <w:rPr>
                <w:caps w:val="0"/>
              </w:rPr>
              <w:br/>
            </w:r>
            <w:r w:rsidR="00126433">
              <w:rPr>
                <w:caps w:val="0"/>
              </w:rPr>
              <w:t>“</w:t>
            </w:r>
            <w:r w:rsidR="00126433" w:rsidRPr="00126433">
              <w:rPr>
                <w:caps w:val="0"/>
              </w:rPr>
              <w:t>WTSA preparation guideline on Resolutions</w:t>
            </w:r>
            <w:r w:rsidR="00126433">
              <w:rPr>
                <w:caps w:val="0"/>
              </w:rPr>
              <w:t>”</w:t>
            </w:r>
            <w:r w:rsidR="0006285A">
              <w:rPr>
                <w:caps w:val="0"/>
              </w:rPr>
              <w:t xml:space="preserve"> </w:t>
            </w:r>
            <w:r w:rsidR="00D0453A" w:rsidRPr="00D0453A">
              <w:rPr>
                <w:caps w:val="0"/>
              </w:rPr>
              <w:t>[to ISCG, TDAG, RAG]</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49330782" w:rsidR="00847DA9" w:rsidRDefault="007732AD" w:rsidP="00847DA9">
            <w:pPr>
              <w:spacing w:after="120"/>
            </w:pPr>
            <w:r>
              <w:t xml:space="preserve">The attached is a liaison statement received for information from Telecommunication Standardization Advisory Group (TSAG) on </w:t>
            </w:r>
            <w:r w:rsidR="00126433" w:rsidRPr="00126433">
              <w:t>A-Series Supplement 7 “WTSA preparation guideline on Resolutions”</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870A87" w:rsidRPr="00870A87" w14:paraId="597C7F6C" w14:textId="77777777" w:rsidTr="005C4C3A">
        <w:trPr>
          <w:cantSplit/>
        </w:trPr>
        <w:tc>
          <w:tcPr>
            <w:tcW w:w="1134" w:type="dxa"/>
            <w:vMerge w:val="restart"/>
            <w:vAlign w:val="center"/>
          </w:tcPr>
          <w:p w14:paraId="142FC3E9" w14:textId="77777777" w:rsidR="00870A87" w:rsidRPr="00870A87" w:rsidRDefault="00870A87" w:rsidP="005C4C3A">
            <w:pPr>
              <w:spacing w:before="0"/>
              <w:jc w:val="center"/>
              <w:rPr>
                <w:rFonts w:cstheme="minorHAnsi"/>
                <w:sz w:val="20"/>
              </w:rPr>
            </w:pPr>
            <w:bookmarkStart w:id="10" w:name="dsg" w:colFirst="1" w:colLast="1"/>
            <w:bookmarkStart w:id="11" w:name="dtableau"/>
            <w:r w:rsidRPr="00870A87">
              <w:rPr>
                <w:rFonts w:cstheme="minorHAnsi"/>
                <w:noProof/>
              </w:rPr>
              <w:lastRenderedPageBreak/>
              <w:drawing>
                <wp:inline distT="0" distB="0" distL="0" distR="0" wp14:anchorId="406817A3" wp14:editId="21B4A4EE">
                  <wp:extent cx="647700" cy="704850"/>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077B88E8" w14:textId="77777777" w:rsidR="00870A87" w:rsidRPr="00870A87" w:rsidRDefault="00870A87" w:rsidP="005C4C3A">
            <w:pPr>
              <w:rPr>
                <w:rFonts w:cstheme="minorHAnsi"/>
                <w:sz w:val="16"/>
                <w:szCs w:val="16"/>
              </w:rPr>
            </w:pPr>
            <w:r w:rsidRPr="00870A87">
              <w:rPr>
                <w:rFonts w:cstheme="minorHAnsi"/>
                <w:sz w:val="16"/>
                <w:szCs w:val="16"/>
              </w:rPr>
              <w:t>INTERNATIONAL TELECOMMUNICATION UNION</w:t>
            </w:r>
          </w:p>
          <w:p w14:paraId="293FD5CB" w14:textId="77777777" w:rsidR="00870A87" w:rsidRPr="00870A87" w:rsidRDefault="00870A87" w:rsidP="005C4C3A">
            <w:pPr>
              <w:rPr>
                <w:rFonts w:cstheme="minorHAnsi"/>
                <w:b/>
                <w:bCs/>
                <w:sz w:val="26"/>
                <w:szCs w:val="26"/>
              </w:rPr>
            </w:pPr>
            <w:r w:rsidRPr="00870A87">
              <w:rPr>
                <w:rFonts w:cstheme="minorHAnsi"/>
                <w:b/>
                <w:bCs/>
                <w:sz w:val="26"/>
                <w:szCs w:val="26"/>
              </w:rPr>
              <w:t>TELECOMMUNICATION</w:t>
            </w:r>
            <w:r w:rsidRPr="00870A87">
              <w:rPr>
                <w:rFonts w:cstheme="minorHAnsi"/>
                <w:b/>
                <w:bCs/>
                <w:sz w:val="26"/>
                <w:szCs w:val="26"/>
              </w:rPr>
              <w:br/>
              <w:t>STANDARDIZATION SECTOR</w:t>
            </w:r>
          </w:p>
          <w:p w14:paraId="10F9985A" w14:textId="77777777" w:rsidR="00870A87" w:rsidRPr="00870A87" w:rsidRDefault="00870A87" w:rsidP="005C4C3A">
            <w:pPr>
              <w:rPr>
                <w:rFonts w:cstheme="minorHAnsi"/>
                <w:sz w:val="20"/>
              </w:rPr>
            </w:pPr>
            <w:r w:rsidRPr="00870A87">
              <w:rPr>
                <w:rFonts w:cstheme="minorHAnsi"/>
                <w:sz w:val="20"/>
              </w:rPr>
              <w:t xml:space="preserve">STUDY PERIOD </w:t>
            </w:r>
            <w:bookmarkStart w:id="12" w:name="dstudyperiod"/>
            <w:r w:rsidRPr="00870A87">
              <w:rPr>
                <w:rFonts w:cstheme="minorHAnsi"/>
                <w:sz w:val="20"/>
              </w:rPr>
              <w:t>2022-2024</w:t>
            </w:r>
            <w:bookmarkEnd w:id="12"/>
          </w:p>
        </w:tc>
        <w:tc>
          <w:tcPr>
            <w:tcW w:w="4168" w:type="dxa"/>
            <w:vAlign w:val="center"/>
          </w:tcPr>
          <w:p w14:paraId="525672BC" w14:textId="77777777" w:rsidR="00870A87" w:rsidRPr="00870A87" w:rsidRDefault="00870A87" w:rsidP="005C4C3A">
            <w:pPr>
              <w:pStyle w:val="Docnumber"/>
              <w:rPr>
                <w:rFonts w:asciiTheme="minorHAnsi" w:hAnsiTheme="minorHAnsi" w:cstheme="minorHAnsi"/>
              </w:rPr>
            </w:pPr>
            <w:r w:rsidRPr="00870A87">
              <w:rPr>
                <w:rFonts w:asciiTheme="minorHAnsi" w:hAnsiTheme="minorHAnsi" w:cstheme="minorHAnsi"/>
              </w:rPr>
              <w:t>TSAG-LS51</w:t>
            </w:r>
          </w:p>
        </w:tc>
      </w:tr>
      <w:tr w:rsidR="00870A87" w:rsidRPr="00870A87" w14:paraId="66158F8C" w14:textId="77777777" w:rsidTr="005C4C3A">
        <w:trPr>
          <w:cantSplit/>
        </w:trPr>
        <w:tc>
          <w:tcPr>
            <w:tcW w:w="1134" w:type="dxa"/>
            <w:vMerge/>
          </w:tcPr>
          <w:p w14:paraId="18312602" w14:textId="77777777" w:rsidR="00870A87" w:rsidRPr="00870A87" w:rsidRDefault="00870A87" w:rsidP="005C4C3A">
            <w:pPr>
              <w:rPr>
                <w:rFonts w:cstheme="minorHAnsi"/>
                <w:smallCaps/>
                <w:sz w:val="20"/>
              </w:rPr>
            </w:pPr>
          </w:p>
        </w:tc>
        <w:tc>
          <w:tcPr>
            <w:tcW w:w="4337" w:type="dxa"/>
            <w:gridSpan w:val="4"/>
            <w:vMerge/>
          </w:tcPr>
          <w:p w14:paraId="308BD10D" w14:textId="77777777" w:rsidR="00870A87" w:rsidRPr="00870A87" w:rsidRDefault="00870A87" w:rsidP="005C4C3A">
            <w:pPr>
              <w:rPr>
                <w:rFonts w:cstheme="minorHAnsi"/>
                <w:smallCaps/>
                <w:sz w:val="20"/>
              </w:rPr>
            </w:pPr>
          </w:p>
        </w:tc>
        <w:tc>
          <w:tcPr>
            <w:tcW w:w="4168" w:type="dxa"/>
          </w:tcPr>
          <w:p w14:paraId="7EDFADA5" w14:textId="77777777" w:rsidR="00870A87" w:rsidRPr="00870A87" w:rsidRDefault="00870A87" w:rsidP="005C4C3A">
            <w:pPr>
              <w:pStyle w:val="TSBHeaderRight14"/>
              <w:rPr>
                <w:rFonts w:asciiTheme="minorHAnsi" w:hAnsiTheme="minorHAnsi" w:cstheme="minorHAnsi"/>
              </w:rPr>
            </w:pPr>
            <w:r w:rsidRPr="00870A87">
              <w:rPr>
                <w:rFonts w:asciiTheme="minorHAnsi" w:hAnsiTheme="minorHAnsi" w:cstheme="minorHAnsi"/>
              </w:rPr>
              <w:t>TSAG</w:t>
            </w:r>
          </w:p>
        </w:tc>
      </w:tr>
      <w:tr w:rsidR="00870A87" w:rsidRPr="00870A87" w14:paraId="5A694165" w14:textId="77777777" w:rsidTr="005C4C3A">
        <w:trPr>
          <w:cantSplit/>
        </w:trPr>
        <w:tc>
          <w:tcPr>
            <w:tcW w:w="1134" w:type="dxa"/>
            <w:vMerge/>
            <w:tcBorders>
              <w:bottom w:val="single" w:sz="12" w:space="0" w:color="auto"/>
            </w:tcBorders>
          </w:tcPr>
          <w:p w14:paraId="6430CA65" w14:textId="77777777" w:rsidR="00870A87" w:rsidRPr="00870A87" w:rsidRDefault="00870A87" w:rsidP="005C4C3A">
            <w:pPr>
              <w:rPr>
                <w:rFonts w:cstheme="minorHAnsi"/>
                <w:b/>
                <w:bCs/>
                <w:sz w:val="26"/>
              </w:rPr>
            </w:pPr>
          </w:p>
        </w:tc>
        <w:tc>
          <w:tcPr>
            <w:tcW w:w="4337" w:type="dxa"/>
            <w:gridSpan w:val="4"/>
            <w:vMerge/>
            <w:tcBorders>
              <w:bottom w:val="single" w:sz="12" w:space="0" w:color="auto"/>
            </w:tcBorders>
          </w:tcPr>
          <w:p w14:paraId="3ED16B0B" w14:textId="77777777" w:rsidR="00870A87" w:rsidRPr="00870A87" w:rsidRDefault="00870A87" w:rsidP="005C4C3A">
            <w:pPr>
              <w:rPr>
                <w:rFonts w:cstheme="minorHAnsi"/>
                <w:b/>
                <w:bCs/>
                <w:sz w:val="26"/>
              </w:rPr>
            </w:pPr>
          </w:p>
        </w:tc>
        <w:tc>
          <w:tcPr>
            <w:tcW w:w="4168" w:type="dxa"/>
            <w:tcBorders>
              <w:bottom w:val="single" w:sz="12" w:space="0" w:color="auto"/>
            </w:tcBorders>
            <w:vAlign w:val="center"/>
          </w:tcPr>
          <w:p w14:paraId="0304637C" w14:textId="77777777" w:rsidR="00870A87" w:rsidRPr="00870A87" w:rsidRDefault="00870A87" w:rsidP="005C4C3A">
            <w:pPr>
              <w:pStyle w:val="TSBHeaderRight14"/>
              <w:rPr>
                <w:rFonts w:asciiTheme="minorHAnsi" w:hAnsiTheme="minorHAnsi" w:cstheme="minorHAnsi"/>
              </w:rPr>
            </w:pPr>
            <w:r w:rsidRPr="00870A87">
              <w:rPr>
                <w:rFonts w:asciiTheme="minorHAnsi" w:hAnsiTheme="minorHAnsi" w:cstheme="minorHAnsi"/>
              </w:rPr>
              <w:t>Original: English</w:t>
            </w:r>
          </w:p>
        </w:tc>
      </w:tr>
      <w:bookmarkEnd w:id="10"/>
      <w:tr w:rsidR="00870A87" w:rsidRPr="00870A87" w14:paraId="70B619C1" w14:textId="77777777" w:rsidTr="005C4C3A">
        <w:trPr>
          <w:cantSplit/>
        </w:trPr>
        <w:tc>
          <w:tcPr>
            <w:tcW w:w="1575" w:type="dxa"/>
            <w:gridSpan w:val="2"/>
          </w:tcPr>
          <w:p w14:paraId="12FEA620" w14:textId="77777777" w:rsidR="00870A87" w:rsidRPr="00870A87" w:rsidRDefault="00870A87" w:rsidP="005C4C3A">
            <w:pPr>
              <w:rPr>
                <w:rFonts w:cstheme="minorHAnsi"/>
                <w:b/>
                <w:bCs/>
              </w:rPr>
            </w:pPr>
            <w:r w:rsidRPr="00870A87">
              <w:rPr>
                <w:rFonts w:cstheme="minorHAnsi"/>
                <w:b/>
                <w:bCs/>
              </w:rPr>
              <w:t>Question(s):</w:t>
            </w:r>
          </w:p>
        </w:tc>
        <w:tc>
          <w:tcPr>
            <w:tcW w:w="3896" w:type="dxa"/>
            <w:gridSpan w:val="3"/>
          </w:tcPr>
          <w:p w14:paraId="4E37C95B" w14:textId="77777777" w:rsidR="00870A87" w:rsidRPr="00870A87" w:rsidRDefault="00870A87" w:rsidP="005C4C3A">
            <w:pPr>
              <w:pStyle w:val="TSBHeaderQuestion"/>
              <w:rPr>
                <w:rFonts w:asciiTheme="minorHAnsi" w:hAnsiTheme="minorHAnsi" w:cstheme="minorHAnsi"/>
              </w:rPr>
            </w:pPr>
            <w:r w:rsidRPr="00870A87">
              <w:rPr>
                <w:rFonts w:asciiTheme="minorHAnsi" w:hAnsiTheme="minorHAnsi" w:cstheme="minorHAnsi"/>
              </w:rPr>
              <w:t>RG-WTSA</w:t>
            </w:r>
          </w:p>
        </w:tc>
        <w:tc>
          <w:tcPr>
            <w:tcW w:w="4168" w:type="dxa"/>
          </w:tcPr>
          <w:p w14:paraId="4D347695" w14:textId="77777777" w:rsidR="00870A87" w:rsidRPr="00870A87" w:rsidRDefault="00870A87" w:rsidP="005C4C3A">
            <w:pPr>
              <w:pStyle w:val="VenueDate"/>
              <w:rPr>
                <w:rFonts w:asciiTheme="minorHAnsi" w:hAnsiTheme="minorHAnsi" w:cstheme="minorHAnsi"/>
              </w:rPr>
            </w:pPr>
            <w:r w:rsidRPr="00870A87">
              <w:rPr>
                <w:rFonts w:asciiTheme="minorHAnsi" w:hAnsiTheme="minorHAnsi" w:cstheme="minorHAnsi"/>
              </w:rPr>
              <w:t>Geneva, 29 July – 2 August 2024</w:t>
            </w:r>
          </w:p>
        </w:tc>
      </w:tr>
      <w:tr w:rsidR="00870A87" w:rsidRPr="00870A87" w14:paraId="443E26A0" w14:textId="77777777" w:rsidTr="005C4C3A">
        <w:trPr>
          <w:cantSplit/>
        </w:trPr>
        <w:tc>
          <w:tcPr>
            <w:tcW w:w="9639" w:type="dxa"/>
            <w:gridSpan w:val="6"/>
          </w:tcPr>
          <w:p w14:paraId="1506E2F9" w14:textId="77777777" w:rsidR="00870A87" w:rsidRPr="00870A87" w:rsidRDefault="00870A87" w:rsidP="005C4C3A">
            <w:pPr>
              <w:jc w:val="center"/>
              <w:rPr>
                <w:rFonts w:cstheme="minorHAnsi"/>
                <w:b/>
                <w:bCs/>
              </w:rPr>
            </w:pPr>
            <w:bookmarkStart w:id="13" w:name="ddoctype"/>
            <w:bookmarkStart w:id="14" w:name="dtitle" w:colFirst="0" w:colLast="0"/>
            <w:r w:rsidRPr="00870A87">
              <w:rPr>
                <w:rFonts w:cstheme="minorHAnsi"/>
                <w:b/>
                <w:bCs/>
              </w:rPr>
              <w:t>LS</w:t>
            </w:r>
          </w:p>
        </w:tc>
      </w:tr>
      <w:tr w:rsidR="00870A87" w:rsidRPr="00870A87" w14:paraId="1157E0CB" w14:textId="77777777" w:rsidTr="005C4C3A">
        <w:trPr>
          <w:cantSplit/>
        </w:trPr>
        <w:tc>
          <w:tcPr>
            <w:tcW w:w="1575" w:type="dxa"/>
            <w:gridSpan w:val="2"/>
          </w:tcPr>
          <w:p w14:paraId="1F5C9C7F" w14:textId="77777777" w:rsidR="00870A87" w:rsidRPr="00870A87" w:rsidRDefault="00870A87" w:rsidP="005C4C3A">
            <w:pPr>
              <w:rPr>
                <w:rFonts w:cstheme="minorHAnsi"/>
                <w:b/>
                <w:bCs/>
              </w:rPr>
            </w:pPr>
            <w:bookmarkStart w:id="15" w:name="dsource" w:colFirst="1" w:colLast="1"/>
            <w:bookmarkEnd w:id="13"/>
            <w:bookmarkEnd w:id="14"/>
            <w:r w:rsidRPr="00870A87">
              <w:rPr>
                <w:rFonts w:cstheme="minorHAnsi"/>
                <w:b/>
                <w:bCs/>
              </w:rPr>
              <w:t>Source:</w:t>
            </w:r>
          </w:p>
        </w:tc>
        <w:tc>
          <w:tcPr>
            <w:tcW w:w="8064" w:type="dxa"/>
            <w:gridSpan w:val="4"/>
          </w:tcPr>
          <w:p w14:paraId="3EEC7BD8" w14:textId="77777777" w:rsidR="00870A87" w:rsidRPr="00870A87" w:rsidRDefault="00870A87" w:rsidP="005C4C3A">
            <w:pPr>
              <w:pStyle w:val="LSSource"/>
              <w:rPr>
                <w:rFonts w:asciiTheme="minorHAnsi" w:hAnsiTheme="minorHAnsi" w:cstheme="minorHAnsi"/>
              </w:rPr>
            </w:pPr>
            <w:r w:rsidRPr="00870A87">
              <w:rPr>
                <w:rFonts w:asciiTheme="minorHAnsi" w:hAnsiTheme="minorHAnsi" w:cstheme="minorHAnsi"/>
              </w:rPr>
              <w:t>Telecommunication Standardization Advisory Group (TSAG)</w:t>
            </w:r>
          </w:p>
        </w:tc>
      </w:tr>
      <w:tr w:rsidR="00870A87" w:rsidRPr="00870A87" w14:paraId="14C836A8" w14:textId="77777777" w:rsidTr="005C4C3A">
        <w:trPr>
          <w:cantSplit/>
        </w:trPr>
        <w:tc>
          <w:tcPr>
            <w:tcW w:w="1575" w:type="dxa"/>
            <w:gridSpan w:val="2"/>
            <w:tcBorders>
              <w:bottom w:val="single" w:sz="8" w:space="0" w:color="auto"/>
            </w:tcBorders>
          </w:tcPr>
          <w:p w14:paraId="73577E9F" w14:textId="77777777" w:rsidR="00870A87" w:rsidRPr="00870A87" w:rsidRDefault="00870A87" w:rsidP="005C4C3A">
            <w:pPr>
              <w:rPr>
                <w:rFonts w:cstheme="minorHAnsi"/>
                <w:b/>
                <w:bCs/>
              </w:rPr>
            </w:pPr>
            <w:bookmarkStart w:id="16" w:name="dtitle1" w:colFirst="1" w:colLast="1"/>
            <w:bookmarkEnd w:id="15"/>
            <w:r w:rsidRPr="00870A87">
              <w:rPr>
                <w:rFonts w:cstheme="minorHAnsi"/>
                <w:b/>
                <w:bCs/>
              </w:rPr>
              <w:t>Title:</w:t>
            </w:r>
          </w:p>
        </w:tc>
        <w:tc>
          <w:tcPr>
            <w:tcW w:w="8064" w:type="dxa"/>
            <w:gridSpan w:val="4"/>
            <w:tcBorders>
              <w:bottom w:val="single" w:sz="8" w:space="0" w:color="auto"/>
            </w:tcBorders>
          </w:tcPr>
          <w:p w14:paraId="7EA18069" w14:textId="77777777" w:rsidR="00870A87" w:rsidRPr="00870A87" w:rsidRDefault="00870A87" w:rsidP="005C4C3A">
            <w:pPr>
              <w:pStyle w:val="LSTitle"/>
              <w:rPr>
                <w:rFonts w:asciiTheme="minorHAnsi" w:hAnsiTheme="minorHAnsi" w:cstheme="minorHAnsi"/>
              </w:rPr>
            </w:pPr>
            <w:bookmarkStart w:id="17" w:name="_Hlk157014379"/>
            <w:r w:rsidRPr="00870A87">
              <w:rPr>
                <w:rFonts w:asciiTheme="minorHAnsi" w:hAnsiTheme="minorHAnsi" w:cstheme="minorHAnsi"/>
              </w:rPr>
              <w:t xml:space="preserve">LS on A-Series Supplement 7 "WTSA preparation guideline on Resolutions" </w:t>
            </w:r>
            <w:bookmarkEnd w:id="17"/>
            <w:r w:rsidRPr="00870A87">
              <w:rPr>
                <w:rFonts w:asciiTheme="minorHAnsi" w:hAnsiTheme="minorHAnsi" w:cstheme="minorHAnsi"/>
              </w:rPr>
              <w:t>[to ISCG, TDAG, RAG]</w:t>
            </w:r>
          </w:p>
        </w:tc>
      </w:tr>
      <w:bookmarkEnd w:id="11"/>
      <w:bookmarkEnd w:id="16"/>
      <w:tr w:rsidR="00870A87" w:rsidRPr="00870A87" w14:paraId="021C13F0" w14:textId="77777777" w:rsidTr="005C4C3A">
        <w:trPr>
          <w:cantSplit/>
        </w:trPr>
        <w:tc>
          <w:tcPr>
            <w:tcW w:w="9639" w:type="dxa"/>
            <w:gridSpan w:val="6"/>
            <w:tcBorders>
              <w:top w:val="single" w:sz="12" w:space="0" w:color="auto"/>
            </w:tcBorders>
          </w:tcPr>
          <w:p w14:paraId="5FE57DE8" w14:textId="77777777" w:rsidR="00870A87" w:rsidRPr="00870A87" w:rsidRDefault="00870A87" w:rsidP="005C4C3A">
            <w:pPr>
              <w:jc w:val="center"/>
              <w:rPr>
                <w:rFonts w:cstheme="minorHAnsi"/>
                <w:b/>
              </w:rPr>
            </w:pPr>
            <w:r w:rsidRPr="00870A87">
              <w:rPr>
                <w:rFonts w:cstheme="minorHAnsi"/>
                <w:b/>
              </w:rPr>
              <w:t>LIAISON STATEMENT</w:t>
            </w:r>
          </w:p>
        </w:tc>
      </w:tr>
      <w:tr w:rsidR="00870A87" w:rsidRPr="00870A87" w14:paraId="4CD040DF" w14:textId="77777777" w:rsidTr="005C4C3A">
        <w:trPr>
          <w:cantSplit/>
        </w:trPr>
        <w:tc>
          <w:tcPr>
            <w:tcW w:w="2235" w:type="dxa"/>
            <w:gridSpan w:val="3"/>
          </w:tcPr>
          <w:p w14:paraId="0A358BD3" w14:textId="77777777" w:rsidR="00870A87" w:rsidRPr="00870A87" w:rsidRDefault="00870A87" w:rsidP="005C4C3A">
            <w:pPr>
              <w:rPr>
                <w:rFonts w:cstheme="minorHAnsi"/>
                <w:b/>
                <w:bCs/>
              </w:rPr>
            </w:pPr>
            <w:r w:rsidRPr="00870A87">
              <w:rPr>
                <w:rFonts w:cstheme="minorHAnsi"/>
                <w:b/>
                <w:bCs/>
              </w:rPr>
              <w:t>For action to:</w:t>
            </w:r>
          </w:p>
        </w:tc>
        <w:tc>
          <w:tcPr>
            <w:tcW w:w="7404" w:type="dxa"/>
            <w:gridSpan w:val="3"/>
          </w:tcPr>
          <w:p w14:paraId="4341C285" w14:textId="77777777" w:rsidR="00870A87" w:rsidRPr="00870A87" w:rsidRDefault="00870A87" w:rsidP="005C4C3A">
            <w:pPr>
              <w:pStyle w:val="LSForAction"/>
              <w:rPr>
                <w:rFonts w:asciiTheme="minorHAnsi" w:hAnsiTheme="minorHAnsi" w:cstheme="minorHAnsi"/>
              </w:rPr>
            </w:pPr>
            <w:r w:rsidRPr="00870A87">
              <w:rPr>
                <w:rFonts w:asciiTheme="minorHAnsi" w:hAnsiTheme="minorHAnsi" w:cstheme="minorHAnsi"/>
              </w:rPr>
              <w:t>ISCG</w:t>
            </w:r>
          </w:p>
        </w:tc>
      </w:tr>
      <w:tr w:rsidR="00870A87" w:rsidRPr="00870A87" w14:paraId="3F108133" w14:textId="77777777" w:rsidTr="005C4C3A">
        <w:trPr>
          <w:cantSplit/>
        </w:trPr>
        <w:tc>
          <w:tcPr>
            <w:tcW w:w="2235" w:type="dxa"/>
            <w:gridSpan w:val="3"/>
          </w:tcPr>
          <w:p w14:paraId="6C559063" w14:textId="77777777" w:rsidR="00870A87" w:rsidRPr="00870A87" w:rsidRDefault="00870A87" w:rsidP="005C4C3A">
            <w:pPr>
              <w:rPr>
                <w:rFonts w:cstheme="minorHAnsi"/>
                <w:b/>
                <w:bCs/>
              </w:rPr>
            </w:pPr>
            <w:r w:rsidRPr="00870A87">
              <w:rPr>
                <w:rFonts w:cstheme="minorHAnsi"/>
                <w:b/>
                <w:bCs/>
              </w:rPr>
              <w:t>For information to:</w:t>
            </w:r>
          </w:p>
        </w:tc>
        <w:tc>
          <w:tcPr>
            <w:tcW w:w="7404" w:type="dxa"/>
            <w:gridSpan w:val="3"/>
          </w:tcPr>
          <w:p w14:paraId="29911CF4" w14:textId="77777777" w:rsidR="00870A87" w:rsidRPr="00870A87" w:rsidRDefault="00870A87" w:rsidP="005C4C3A">
            <w:pPr>
              <w:pStyle w:val="LSForInfo"/>
              <w:rPr>
                <w:rFonts w:asciiTheme="minorHAnsi" w:hAnsiTheme="minorHAnsi" w:cstheme="minorHAnsi"/>
              </w:rPr>
            </w:pPr>
            <w:r w:rsidRPr="00870A87">
              <w:rPr>
                <w:rFonts w:asciiTheme="minorHAnsi" w:hAnsiTheme="minorHAnsi" w:cstheme="minorHAnsi"/>
              </w:rPr>
              <w:t>RAG, TDAG</w:t>
            </w:r>
          </w:p>
        </w:tc>
      </w:tr>
      <w:tr w:rsidR="00870A87" w:rsidRPr="00870A87" w14:paraId="29C84A7E" w14:textId="77777777" w:rsidTr="005C4C3A">
        <w:trPr>
          <w:cantSplit/>
        </w:trPr>
        <w:tc>
          <w:tcPr>
            <w:tcW w:w="2235" w:type="dxa"/>
            <w:gridSpan w:val="3"/>
          </w:tcPr>
          <w:p w14:paraId="77396315" w14:textId="77777777" w:rsidR="00870A87" w:rsidRPr="00870A87" w:rsidRDefault="00870A87" w:rsidP="005C4C3A">
            <w:pPr>
              <w:rPr>
                <w:rFonts w:cstheme="minorHAnsi"/>
                <w:b/>
                <w:bCs/>
              </w:rPr>
            </w:pPr>
            <w:r w:rsidRPr="00870A87">
              <w:rPr>
                <w:rFonts w:cstheme="minorHAnsi"/>
                <w:b/>
                <w:bCs/>
              </w:rPr>
              <w:t>Approval:</w:t>
            </w:r>
          </w:p>
        </w:tc>
        <w:tc>
          <w:tcPr>
            <w:tcW w:w="7404" w:type="dxa"/>
            <w:gridSpan w:val="3"/>
          </w:tcPr>
          <w:p w14:paraId="6F9B097F" w14:textId="77777777" w:rsidR="00870A87" w:rsidRPr="00870A87" w:rsidRDefault="00870A87" w:rsidP="005C4C3A">
            <w:pPr>
              <w:pStyle w:val="LSApproval"/>
              <w:rPr>
                <w:rFonts w:asciiTheme="minorHAnsi" w:hAnsiTheme="minorHAnsi" w:cstheme="minorHAnsi"/>
                <w:b/>
                <w:bCs/>
              </w:rPr>
            </w:pPr>
            <w:r w:rsidRPr="00870A87">
              <w:rPr>
                <w:rFonts w:asciiTheme="minorHAnsi" w:hAnsiTheme="minorHAnsi" w:cstheme="minorHAnsi"/>
              </w:rPr>
              <w:t>TSAG meeting (Geneva, 2 August 2024)</w:t>
            </w:r>
          </w:p>
        </w:tc>
      </w:tr>
      <w:tr w:rsidR="00870A87" w:rsidRPr="00870A87" w14:paraId="672A387C" w14:textId="77777777" w:rsidTr="005C4C3A">
        <w:trPr>
          <w:cantSplit/>
        </w:trPr>
        <w:tc>
          <w:tcPr>
            <w:tcW w:w="2235" w:type="dxa"/>
            <w:gridSpan w:val="3"/>
            <w:tcBorders>
              <w:bottom w:val="single" w:sz="12" w:space="0" w:color="auto"/>
            </w:tcBorders>
          </w:tcPr>
          <w:p w14:paraId="03DE9945" w14:textId="77777777" w:rsidR="00870A87" w:rsidRPr="00870A87" w:rsidRDefault="00870A87" w:rsidP="005C4C3A">
            <w:pPr>
              <w:rPr>
                <w:rFonts w:cstheme="minorHAnsi"/>
                <w:b/>
                <w:bCs/>
              </w:rPr>
            </w:pPr>
            <w:r w:rsidRPr="00870A87">
              <w:rPr>
                <w:rFonts w:cstheme="minorHAnsi"/>
                <w:b/>
                <w:bCs/>
              </w:rPr>
              <w:t>Deadline:</w:t>
            </w:r>
          </w:p>
        </w:tc>
        <w:tc>
          <w:tcPr>
            <w:tcW w:w="7404" w:type="dxa"/>
            <w:gridSpan w:val="3"/>
            <w:tcBorders>
              <w:bottom w:val="single" w:sz="12" w:space="0" w:color="auto"/>
            </w:tcBorders>
          </w:tcPr>
          <w:p w14:paraId="0DAAA936" w14:textId="77777777" w:rsidR="00870A87" w:rsidRPr="00870A87" w:rsidRDefault="00870A87" w:rsidP="005C4C3A">
            <w:pPr>
              <w:pStyle w:val="LSDeadline"/>
              <w:rPr>
                <w:rFonts w:asciiTheme="minorHAnsi" w:hAnsiTheme="minorHAnsi" w:cstheme="minorHAnsi"/>
              </w:rPr>
            </w:pPr>
            <w:r w:rsidRPr="00870A87">
              <w:rPr>
                <w:rFonts w:asciiTheme="minorHAnsi" w:hAnsiTheme="minorHAnsi" w:cstheme="minorHAnsi"/>
              </w:rPr>
              <w:t>–</w:t>
            </w:r>
          </w:p>
        </w:tc>
      </w:tr>
      <w:tr w:rsidR="00870A87" w:rsidRPr="00870A87" w14:paraId="087D739F" w14:textId="77777777" w:rsidTr="005C4C3A">
        <w:trPr>
          <w:cantSplit/>
        </w:trPr>
        <w:tc>
          <w:tcPr>
            <w:tcW w:w="1575" w:type="dxa"/>
            <w:gridSpan w:val="2"/>
            <w:tcBorders>
              <w:top w:val="single" w:sz="8" w:space="0" w:color="auto"/>
              <w:bottom w:val="single" w:sz="8" w:space="0" w:color="auto"/>
            </w:tcBorders>
          </w:tcPr>
          <w:p w14:paraId="59C5CBE8" w14:textId="77777777" w:rsidR="00870A87" w:rsidRPr="00870A87" w:rsidRDefault="00870A87" w:rsidP="005C4C3A">
            <w:pPr>
              <w:rPr>
                <w:rFonts w:cstheme="minorHAnsi"/>
                <w:b/>
                <w:bCs/>
              </w:rPr>
            </w:pPr>
            <w:r w:rsidRPr="00870A87">
              <w:rPr>
                <w:rFonts w:cstheme="minorHAnsi"/>
                <w:b/>
                <w:bCs/>
              </w:rPr>
              <w:t>Contact:</w:t>
            </w:r>
          </w:p>
        </w:tc>
        <w:tc>
          <w:tcPr>
            <w:tcW w:w="3528" w:type="dxa"/>
            <w:gridSpan w:val="2"/>
            <w:tcBorders>
              <w:top w:val="single" w:sz="8" w:space="0" w:color="auto"/>
              <w:left w:val="nil"/>
              <w:bottom w:val="single" w:sz="8" w:space="0" w:color="auto"/>
              <w:right w:val="nil"/>
            </w:tcBorders>
          </w:tcPr>
          <w:p w14:paraId="142C5B7A" w14:textId="77777777" w:rsidR="00870A87" w:rsidRPr="00870A87" w:rsidRDefault="00870A87" w:rsidP="005C4C3A">
            <w:pPr>
              <w:spacing w:line="0" w:lineRule="atLeast"/>
              <w:rPr>
                <w:rFonts w:cstheme="minorHAnsi"/>
              </w:rPr>
            </w:pPr>
            <w:proofErr w:type="spellStart"/>
            <w:r w:rsidRPr="00870A87">
              <w:rPr>
                <w:rFonts w:cstheme="minorHAnsi"/>
                <w:lang w:val="en-US"/>
              </w:rPr>
              <w:t>Mr</w:t>
            </w:r>
            <w:proofErr w:type="spellEnd"/>
            <w:r w:rsidRPr="00870A87">
              <w:rPr>
                <w:rFonts w:cstheme="minorHAnsi"/>
                <w:lang w:val="en-US"/>
              </w:rPr>
              <w:t xml:space="preserve"> Mihail Ion</w:t>
            </w:r>
            <w:r w:rsidRPr="00870A87">
              <w:rPr>
                <w:rFonts w:cstheme="minorHAnsi"/>
                <w:lang w:val="en-US"/>
              </w:rPr>
              <w:br/>
              <w:t>Romania, WP1 chairman</w:t>
            </w:r>
          </w:p>
        </w:tc>
        <w:tc>
          <w:tcPr>
            <w:tcW w:w="4536" w:type="dxa"/>
            <w:gridSpan w:val="2"/>
            <w:tcBorders>
              <w:top w:val="single" w:sz="8" w:space="0" w:color="auto"/>
              <w:left w:val="nil"/>
              <w:bottom w:val="single" w:sz="8" w:space="0" w:color="auto"/>
              <w:right w:val="nil"/>
            </w:tcBorders>
          </w:tcPr>
          <w:p w14:paraId="04BE02C8" w14:textId="77777777" w:rsidR="00870A87" w:rsidRPr="00870A87" w:rsidRDefault="00870A87" w:rsidP="005C4C3A">
            <w:pPr>
              <w:tabs>
                <w:tab w:val="left" w:pos="794"/>
              </w:tabs>
              <w:rPr>
                <w:rFonts w:cstheme="minorHAnsi"/>
              </w:rPr>
            </w:pPr>
            <w:r w:rsidRPr="00870A87">
              <w:rPr>
                <w:rFonts w:cstheme="minorHAnsi"/>
              </w:rPr>
              <w:t>E-mail:</w:t>
            </w:r>
            <w:r w:rsidRPr="00870A87">
              <w:rPr>
                <w:rFonts w:cstheme="minorHAnsi"/>
              </w:rPr>
              <w:tab/>
            </w:r>
            <w:hyperlink r:id="rId14" w:history="1">
              <w:r w:rsidRPr="00870A87">
                <w:rPr>
                  <w:rStyle w:val="Hyperlink"/>
                  <w:rFonts w:cstheme="minorHAnsi"/>
                </w:rPr>
                <w:t>mihail.ion@ancom.ro</w:t>
              </w:r>
            </w:hyperlink>
            <w:r w:rsidRPr="00870A87">
              <w:rPr>
                <w:rFonts w:cstheme="minorHAnsi"/>
              </w:rPr>
              <w:t xml:space="preserve"> </w:t>
            </w:r>
          </w:p>
        </w:tc>
      </w:tr>
      <w:tr w:rsidR="00870A87" w:rsidRPr="00F11631" w14:paraId="3123CCE0" w14:textId="77777777" w:rsidTr="005C4C3A">
        <w:trPr>
          <w:cantSplit/>
        </w:trPr>
        <w:tc>
          <w:tcPr>
            <w:tcW w:w="1575" w:type="dxa"/>
            <w:gridSpan w:val="2"/>
            <w:tcBorders>
              <w:top w:val="single" w:sz="8" w:space="0" w:color="auto"/>
              <w:bottom w:val="single" w:sz="8" w:space="0" w:color="auto"/>
            </w:tcBorders>
          </w:tcPr>
          <w:p w14:paraId="4FC960BE" w14:textId="77777777" w:rsidR="00870A87" w:rsidRPr="00870A87" w:rsidRDefault="00870A87" w:rsidP="005C4C3A">
            <w:pPr>
              <w:rPr>
                <w:rFonts w:cstheme="minorHAnsi"/>
                <w:b/>
                <w:bCs/>
              </w:rPr>
            </w:pPr>
            <w:r w:rsidRPr="00870A87">
              <w:rPr>
                <w:rFonts w:cstheme="minorHAnsi"/>
                <w:b/>
                <w:bCs/>
              </w:rPr>
              <w:t>Contact:</w:t>
            </w:r>
          </w:p>
        </w:tc>
        <w:tc>
          <w:tcPr>
            <w:tcW w:w="3528" w:type="dxa"/>
            <w:gridSpan w:val="2"/>
            <w:tcBorders>
              <w:top w:val="single" w:sz="8" w:space="0" w:color="auto"/>
              <w:left w:val="nil"/>
              <w:bottom w:val="single" w:sz="8" w:space="0" w:color="auto"/>
              <w:right w:val="nil"/>
            </w:tcBorders>
          </w:tcPr>
          <w:p w14:paraId="7B914BE3" w14:textId="77777777" w:rsidR="00870A87" w:rsidRPr="00870A87" w:rsidRDefault="00870A87" w:rsidP="005C4C3A">
            <w:pPr>
              <w:spacing w:line="0" w:lineRule="atLeast"/>
              <w:rPr>
                <w:rFonts w:cstheme="minorHAnsi"/>
                <w:highlight w:val="yellow"/>
                <w:lang w:val="fr-FR"/>
              </w:rPr>
            </w:pPr>
            <w:r w:rsidRPr="00870A87">
              <w:rPr>
                <w:rFonts w:cstheme="minorHAnsi"/>
                <w:bCs/>
                <w:lang w:val="fr-FR"/>
              </w:rPr>
              <w:t>Fang Li</w:t>
            </w:r>
            <w:r w:rsidRPr="00870A87">
              <w:rPr>
                <w:rFonts w:cstheme="minorHAnsi"/>
                <w:bCs/>
                <w:lang w:val="fr-FR"/>
              </w:rPr>
              <w:br/>
              <w:t>CAICT, MIIT, China</w:t>
            </w:r>
            <w:r w:rsidRPr="00870A87">
              <w:rPr>
                <w:rFonts w:cstheme="minorHAnsi"/>
                <w:bCs/>
                <w:lang w:val="fr-FR"/>
              </w:rPr>
              <w:br/>
              <w:t>Rapporteur, TSAG RG-WTSA</w:t>
            </w:r>
          </w:p>
        </w:tc>
        <w:tc>
          <w:tcPr>
            <w:tcW w:w="4536" w:type="dxa"/>
            <w:gridSpan w:val="2"/>
            <w:tcBorders>
              <w:top w:val="single" w:sz="8" w:space="0" w:color="auto"/>
              <w:left w:val="nil"/>
              <w:bottom w:val="single" w:sz="8" w:space="0" w:color="auto"/>
              <w:right w:val="nil"/>
            </w:tcBorders>
          </w:tcPr>
          <w:p w14:paraId="10192EC4" w14:textId="77777777" w:rsidR="00870A87" w:rsidRPr="00870A87" w:rsidRDefault="00870A87" w:rsidP="005C4C3A">
            <w:pPr>
              <w:tabs>
                <w:tab w:val="left" w:pos="794"/>
              </w:tabs>
              <w:rPr>
                <w:rFonts w:cstheme="minorHAnsi"/>
                <w:lang w:val="de-DE"/>
              </w:rPr>
            </w:pPr>
            <w:r w:rsidRPr="00870A87">
              <w:rPr>
                <w:rFonts w:cstheme="minorHAnsi"/>
                <w:bCs/>
                <w:lang w:val="de-DE"/>
              </w:rPr>
              <w:t xml:space="preserve">E-mail: </w:t>
            </w:r>
            <w:r w:rsidRPr="00870A87">
              <w:fldChar w:fldCharType="begin"/>
            </w:r>
            <w:r w:rsidRPr="00870A87">
              <w:rPr>
                <w:rFonts w:cstheme="minorHAnsi"/>
                <w:lang w:val="fr-FR"/>
              </w:rPr>
              <w:instrText>HYPERLINK "mailto:lifang@caict.ac.cn"</w:instrText>
            </w:r>
            <w:r w:rsidRPr="00870A87">
              <w:fldChar w:fldCharType="separate"/>
            </w:r>
            <w:r w:rsidRPr="00870A87">
              <w:rPr>
                <w:rStyle w:val="Hyperlink"/>
                <w:rFonts w:cstheme="minorHAnsi"/>
                <w:lang w:val="de-DE"/>
              </w:rPr>
              <w:t>lifang@caict.ac.cn</w:t>
            </w:r>
            <w:r w:rsidRPr="00870A87">
              <w:rPr>
                <w:rStyle w:val="Hyperlink"/>
                <w:rFonts w:cstheme="minorHAnsi"/>
                <w:lang w:val="de-DE"/>
              </w:rPr>
              <w:fldChar w:fldCharType="end"/>
            </w:r>
            <w:r w:rsidRPr="00870A87">
              <w:rPr>
                <w:rStyle w:val="Hyperlink"/>
                <w:rFonts w:cstheme="minorHAnsi"/>
                <w:bCs/>
                <w:lang w:val="de-DE"/>
              </w:rPr>
              <w:t xml:space="preserve"> </w:t>
            </w:r>
          </w:p>
        </w:tc>
      </w:tr>
    </w:tbl>
    <w:p w14:paraId="457785A4" w14:textId="77777777" w:rsidR="00870A87" w:rsidRPr="00870A87" w:rsidRDefault="00870A87" w:rsidP="00870A87">
      <w:pPr>
        <w:rPr>
          <w:rFonts w:cstheme="minorHAns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870A87" w:rsidRPr="00870A87" w14:paraId="5438436A" w14:textId="77777777" w:rsidTr="005C4C3A">
        <w:trPr>
          <w:cantSplit/>
        </w:trPr>
        <w:tc>
          <w:tcPr>
            <w:tcW w:w="1613" w:type="dxa"/>
          </w:tcPr>
          <w:p w14:paraId="154EBD5F" w14:textId="77777777" w:rsidR="00870A87" w:rsidRPr="00870A87" w:rsidRDefault="00870A87" w:rsidP="005C4C3A">
            <w:pPr>
              <w:spacing w:after="60"/>
              <w:rPr>
                <w:rFonts w:cstheme="minorHAnsi"/>
                <w:b/>
              </w:rPr>
            </w:pPr>
            <w:r w:rsidRPr="00870A87">
              <w:rPr>
                <w:rFonts w:cstheme="minorHAnsi"/>
                <w:b/>
              </w:rPr>
              <w:t>Abstract:</w:t>
            </w:r>
          </w:p>
        </w:tc>
        <w:tc>
          <w:tcPr>
            <w:tcW w:w="8026" w:type="dxa"/>
          </w:tcPr>
          <w:p w14:paraId="08C3A25B" w14:textId="77777777" w:rsidR="00870A87" w:rsidRPr="00870A87" w:rsidRDefault="00870A87" w:rsidP="005C4C3A">
            <w:pPr>
              <w:pStyle w:val="TSBHeaderSummary"/>
              <w:rPr>
                <w:rFonts w:asciiTheme="minorHAnsi" w:hAnsiTheme="minorHAnsi" w:cstheme="minorHAnsi"/>
              </w:rPr>
            </w:pPr>
            <w:r w:rsidRPr="00870A87">
              <w:rPr>
                <w:rFonts w:asciiTheme="minorHAnsi" w:hAnsiTheme="minorHAnsi" w:cstheme="minorHAnsi"/>
              </w:rPr>
              <w:t xml:space="preserve">This liaison statement informs ISCG (cc RAG and TSAG) of agreed A-Series Supplement 7 (ex </w:t>
            </w:r>
            <w:proofErr w:type="spellStart"/>
            <w:proofErr w:type="gramStart"/>
            <w:r w:rsidRPr="00870A87">
              <w:rPr>
                <w:rFonts w:asciiTheme="minorHAnsi" w:hAnsiTheme="minorHAnsi" w:cstheme="minorHAnsi"/>
              </w:rPr>
              <w:t>A.SupWTSAGL</w:t>
            </w:r>
            <w:proofErr w:type="spellEnd"/>
            <w:proofErr w:type="gramEnd"/>
            <w:r w:rsidRPr="00870A87">
              <w:rPr>
                <w:rFonts w:asciiTheme="minorHAnsi" w:hAnsiTheme="minorHAnsi" w:cstheme="minorHAnsi"/>
              </w:rPr>
              <w:t>) "WTSA preparation guideline on Resolutions" for information, and requests ISCG to study effective mechanisms to streamline ITU Resolutions of ITU Conferences and Assemblies.</w:t>
            </w:r>
          </w:p>
        </w:tc>
      </w:tr>
    </w:tbl>
    <w:p w14:paraId="0D7F28DB" w14:textId="77777777" w:rsidR="00870A87" w:rsidRPr="00870A87" w:rsidRDefault="00870A87" w:rsidP="00870A87">
      <w:pPr>
        <w:spacing w:after="120"/>
        <w:rPr>
          <w:rFonts w:cstheme="minorHAnsi"/>
          <w:highlight w:val="yellow"/>
        </w:rPr>
      </w:pPr>
      <w:r w:rsidRPr="00870A87">
        <w:rPr>
          <w:rFonts w:cstheme="minorHAnsi"/>
        </w:rPr>
        <w:t>TSAG thanks ISCG for your liaison reply (</w:t>
      </w:r>
      <w:hyperlink r:id="rId15" w:history="1">
        <w:r w:rsidRPr="00870A87">
          <w:rPr>
            <w:rStyle w:val="Hyperlink"/>
            <w:rFonts w:cstheme="minorHAnsi"/>
          </w:rPr>
          <w:t>ISCG-LS7</w:t>
        </w:r>
      </w:hyperlink>
      <w:r w:rsidRPr="00870A87">
        <w:rPr>
          <w:rFonts w:cstheme="minorHAnsi"/>
        </w:rPr>
        <w:t>) LS/r on draft analysis of operational parts of WTSA/PP/WTDC/Council/ITU-R Resolutions.</w:t>
      </w:r>
    </w:p>
    <w:p w14:paraId="624F09E3" w14:textId="77777777" w:rsidR="00870A87" w:rsidRPr="00870A87" w:rsidRDefault="00870A87" w:rsidP="00870A87">
      <w:pPr>
        <w:spacing w:after="120"/>
        <w:rPr>
          <w:rFonts w:cstheme="minorHAnsi"/>
        </w:rPr>
      </w:pPr>
      <w:r w:rsidRPr="00870A87">
        <w:rPr>
          <w:rFonts w:cstheme="minorHAnsi"/>
        </w:rPr>
        <w:t xml:space="preserve">TSAG </w:t>
      </w:r>
      <w:r w:rsidRPr="00870A87">
        <w:rPr>
          <w:rFonts w:cstheme="minorHAnsi"/>
          <w:lang w:val="en-US"/>
        </w:rPr>
        <w:t xml:space="preserve">is pleased to inform you that </w:t>
      </w:r>
      <w:bookmarkStart w:id="18" w:name="_Hlk136507683"/>
      <w:r w:rsidRPr="00870A87">
        <w:rPr>
          <w:rFonts w:cstheme="minorHAnsi"/>
        </w:rPr>
        <w:t xml:space="preserve">TSAG July/Aug 2024 meeting approved </w:t>
      </w:r>
      <w:proofErr w:type="spellStart"/>
      <w:r w:rsidRPr="00870A87">
        <w:rPr>
          <w:rFonts w:cstheme="minorHAnsi"/>
        </w:rPr>
        <w:t>A.SupWTSAGL</w:t>
      </w:r>
      <w:proofErr w:type="spellEnd"/>
      <w:r w:rsidRPr="00870A87">
        <w:rPr>
          <w:rFonts w:cstheme="minorHAnsi"/>
        </w:rPr>
        <w:t xml:space="preserve"> "WTSA preparation guideline on Resolutions" in </w:t>
      </w:r>
      <w:bookmarkStart w:id="19" w:name="_Hlk173932447"/>
      <w:r w:rsidRPr="00870A87">
        <w:fldChar w:fldCharType="begin"/>
      </w:r>
      <w:r w:rsidRPr="00870A87">
        <w:rPr>
          <w:rFonts w:cstheme="minorHAnsi"/>
        </w:rPr>
        <w:instrText>HYPERLINK "https://www.itu.int/md/meetingdoc.asp?lang=en&amp;parent=T22-TSAG-240729-TD-GEN-0612"</w:instrText>
      </w:r>
      <w:r w:rsidRPr="00870A87">
        <w:fldChar w:fldCharType="separate"/>
      </w:r>
      <w:r w:rsidRPr="00870A87">
        <w:rPr>
          <w:rStyle w:val="Hyperlink"/>
          <w:rFonts w:cstheme="minorHAnsi"/>
        </w:rPr>
        <w:t>TSAG-TD612R3</w:t>
      </w:r>
      <w:r w:rsidRPr="00870A87">
        <w:rPr>
          <w:rStyle w:val="Hyperlink"/>
          <w:rFonts w:cstheme="minorHAnsi"/>
        </w:rPr>
        <w:fldChar w:fldCharType="end"/>
      </w:r>
      <w:bookmarkEnd w:id="19"/>
      <w:r w:rsidRPr="00870A87">
        <w:rPr>
          <w:rFonts w:cstheme="minorHAnsi"/>
        </w:rPr>
        <w:t>.</w:t>
      </w:r>
      <w:bookmarkEnd w:id="18"/>
    </w:p>
    <w:p w14:paraId="0D3B2960" w14:textId="77777777" w:rsidR="00870A87" w:rsidRPr="00870A87" w:rsidRDefault="00870A87" w:rsidP="00870A87">
      <w:pPr>
        <w:spacing w:after="120"/>
        <w:rPr>
          <w:rFonts w:cstheme="minorHAnsi"/>
          <w:lang w:val="en-US"/>
        </w:rPr>
      </w:pPr>
      <w:r w:rsidRPr="00870A87">
        <w:rPr>
          <w:rFonts w:cstheme="minorHAnsi"/>
          <w:lang w:val="en-US"/>
        </w:rPr>
        <w:t xml:space="preserve">TSAG highlighted again the importance of </w:t>
      </w:r>
      <w:r w:rsidRPr="00870A87">
        <w:rPr>
          <w:rFonts w:cstheme="minorHAnsi"/>
        </w:rPr>
        <w:t xml:space="preserve">streamlining ITU Resolutions and </w:t>
      </w:r>
      <w:r w:rsidRPr="00870A87">
        <w:rPr>
          <w:rFonts w:cstheme="minorHAnsi"/>
          <w:lang w:val="en-US"/>
        </w:rPr>
        <w:t xml:space="preserve">recognized discussions and efforts of TSAG, TDAG and ISCG to develop guidelines on </w:t>
      </w:r>
      <w:r w:rsidRPr="00870A87">
        <w:rPr>
          <w:rFonts w:cstheme="minorHAnsi"/>
        </w:rPr>
        <w:t>streamlining ITU Resolutions</w:t>
      </w:r>
      <w:r w:rsidRPr="00870A87">
        <w:rPr>
          <w:rFonts w:cstheme="minorHAnsi"/>
          <w:lang w:val="en-US"/>
        </w:rPr>
        <w:t xml:space="preserve"> over several past cycles</w:t>
      </w:r>
      <w:r w:rsidRPr="00870A87">
        <w:rPr>
          <w:rFonts w:cstheme="minorHAnsi"/>
        </w:rPr>
        <w:t>. TSAG noted serious concerns</w:t>
      </w:r>
      <w:r w:rsidRPr="00870A87">
        <w:rPr>
          <w:rFonts w:cstheme="minorHAnsi"/>
          <w:lang w:val="en-US"/>
        </w:rPr>
        <w:t xml:space="preserve"> </w:t>
      </w:r>
      <w:r w:rsidRPr="00870A87">
        <w:rPr>
          <w:rFonts w:cstheme="minorHAnsi"/>
        </w:rPr>
        <w:t xml:space="preserve">shared by TSAG delegates </w:t>
      </w:r>
      <w:r w:rsidRPr="00870A87">
        <w:rPr>
          <w:rFonts w:cstheme="minorHAnsi"/>
          <w:lang w:val="en-US"/>
        </w:rPr>
        <w:t>on the substantial overhead caused by inflation of Resolutions among ITU high level Conferences and Assemblies, and regrets that little streamlining progress has been achieved in putting TSAG, TDAG and ISCG guidelines into practice.</w:t>
      </w:r>
    </w:p>
    <w:p w14:paraId="31AF0E89" w14:textId="77777777" w:rsidR="00870A87" w:rsidRPr="00870A87" w:rsidRDefault="00870A87" w:rsidP="00870A87">
      <w:pPr>
        <w:spacing w:after="120"/>
        <w:rPr>
          <w:rFonts w:cstheme="minorHAnsi"/>
        </w:rPr>
      </w:pPr>
      <w:r w:rsidRPr="00870A87">
        <w:rPr>
          <w:rFonts w:cstheme="minorHAnsi"/>
          <w:lang w:val="en-US"/>
        </w:rPr>
        <w:t xml:space="preserve">Recognizing streamlining of ITU Resolutions cross all ITU Sectors needs highest level of consensus and commitment of ITU Membership, pursuit to PP Resolution 191, TSAG would like to escalate this issue common to all ITU Sectors to ISCG, to invite ITU membership to make proposals to ITU Council and Plenipotentiary Conference on </w:t>
      </w:r>
      <w:r w:rsidRPr="00870A87">
        <w:rPr>
          <w:rFonts w:cstheme="minorHAnsi"/>
        </w:rPr>
        <w:t>effective mechanisms to streamline ITU Resolutions of ITU Conferences and Assemblies.</w:t>
      </w:r>
    </w:p>
    <w:p w14:paraId="23CD5C43" w14:textId="77777777" w:rsidR="00870A87" w:rsidRPr="00870A87" w:rsidRDefault="00870A87" w:rsidP="00870A87">
      <w:pPr>
        <w:pStyle w:val="Headingb"/>
        <w:keepNext/>
        <w:spacing w:before="120" w:after="120"/>
        <w:rPr>
          <w:rFonts w:cstheme="minorHAnsi"/>
          <w:lang w:val="en-GB"/>
        </w:rPr>
      </w:pPr>
      <w:r w:rsidRPr="00870A87">
        <w:rPr>
          <w:rFonts w:cstheme="minorHAnsi"/>
          <w:lang w:val="en-GB"/>
        </w:rPr>
        <w:lastRenderedPageBreak/>
        <w:t>Annex (1):</w:t>
      </w:r>
    </w:p>
    <w:p w14:paraId="18593C8D" w14:textId="77777777" w:rsidR="00870A87" w:rsidRPr="00870A87" w:rsidRDefault="00870A87" w:rsidP="00870A87">
      <w:pPr>
        <w:spacing w:after="120"/>
        <w:ind w:left="567" w:hanging="567"/>
        <w:rPr>
          <w:rFonts w:cstheme="minorHAnsi"/>
        </w:rPr>
      </w:pPr>
      <w:r w:rsidRPr="00870A87">
        <w:rPr>
          <w:rFonts w:cstheme="minorHAnsi"/>
        </w:rPr>
        <w:t>1.</w:t>
      </w:r>
      <w:r w:rsidRPr="00870A87">
        <w:rPr>
          <w:rFonts w:cstheme="minorHAnsi"/>
        </w:rPr>
        <w:tab/>
        <w:t>A-Series Suppl. 7 (2024) "</w:t>
      </w:r>
      <w:r w:rsidRPr="00870A87">
        <w:rPr>
          <w:rFonts w:cstheme="minorHAnsi"/>
          <w:i/>
          <w:iCs/>
        </w:rPr>
        <w:t>WTSA preparation guideline on Resolutions</w:t>
      </w:r>
      <w:r w:rsidRPr="00870A87">
        <w:rPr>
          <w:rFonts w:cstheme="minorHAnsi"/>
        </w:rPr>
        <w:t>" (Prepublication draft)</w:t>
      </w:r>
    </w:p>
    <w:p w14:paraId="1DC30005" w14:textId="584107D3" w:rsidR="00D83BF5" w:rsidRPr="0084734D" w:rsidRDefault="00D83BF5" w:rsidP="00A7027A">
      <w:pPr>
        <w:jc w:val="center"/>
        <w:rPr>
          <w:szCs w:val="24"/>
        </w:rPr>
      </w:pPr>
      <w:r w:rsidRPr="00403C69">
        <w:rPr>
          <w:szCs w:val="24"/>
        </w:rPr>
        <w:t>_______________</w:t>
      </w:r>
    </w:p>
    <w:sectPr w:rsidR="00D83BF5" w:rsidRPr="0084734D" w:rsidSect="0081159E">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61BB" w14:textId="77777777" w:rsidR="00FE399E" w:rsidRDefault="00FE399E">
      <w:r>
        <w:separator/>
      </w:r>
    </w:p>
    <w:p w14:paraId="07F8FC55" w14:textId="77777777" w:rsidR="00FE399E" w:rsidRDefault="00FE399E"/>
  </w:endnote>
  <w:endnote w:type="continuationSeparator" w:id="0">
    <w:p w14:paraId="534B37AD" w14:textId="77777777" w:rsidR="00FE399E" w:rsidRDefault="00FE399E">
      <w:r>
        <w:continuationSeparator/>
      </w:r>
    </w:p>
    <w:p w14:paraId="07A3D3AC" w14:textId="77777777" w:rsidR="00FE399E" w:rsidRDefault="00FE399E"/>
  </w:endnote>
  <w:endnote w:type="continuationNotice" w:id="1">
    <w:p w14:paraId="0FB9D5D3" w14:textId="77777777" w:rsidR="00FE399E" w:rsidRDefault="00FE399E">
      <w:pPr>
        <w:spacing w:before="0"/>
      </w:pPr>
    </w:p>
    <w:p w14:paraId="674CB4B3" w14:textId="77777777" w:rsidR="00FE399E" w:rsidRDefault="00FE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7258" w14:textId="77777777" w:rsidR="00F11631" w:rsidRDefault="00F11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62E5" w14:textId="77777777" w:rsidR="00F11631" w:rsidRDefault="00F1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03740E"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3447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3447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5FDEF7AF" w:rsidR="003447A8" w:rsidRPr="0003740E" w:rsidRDefault="0003740E" w:rsidP="0003740E">
          <w:pPr>
            <w:pStyle w:val="FirstFooter"/>
            <w:tabs>
              <w:tab w:val="left" w:pos="2302"/>
            </w:tabs>
            <w:rPr>
              <w:sz w:val="18"/>
              <w:szCs w:val="18"/>
            </w:rPr>
          </w:pPr>
          <w:r w:rsidRPr="0003740E">
            <w:rPr>
              <w:sz w:val="18"/>
              <w:szCs w:val="18"/>
            </w:rPr>
            <w:t xml:space="preserve">Mr Mihail </w:t>
          </w:r>
          <w:proofErr w:type="spellStart"/>
          <w:r w:rsidRPr="0003740E">
            <w:rPr>
              <w:sz w:val="18"/>
              <w:szCs w:val="18"/>
            </w:rPr>
            <w:t>Ion</w:t>
          </w:r>
          <w:r>
            <w:rPr>
              <w:sz w:val="18"/>
              <w:szCs w:val="18"/>
            </w:rPr>
            <w:t>m</w:t>
          </w:r>
          <w:proofErr w:type="spellEnd"/>
          <w:r>
            <w:rPr>
              <w:sz w:val="18"/>
              <w:szCs w:val="18"/>
            </w:rPr>
            <w:t xml:space="preserve">, </w:t>
          </w:r>
          <w:r w:rsidRPr="0003740E">
            <w:rPr>
              <w:sz w:val="18"/>
              <w:szCs w:val="18"/>
            </w:rPr>
            <w:t>Romania, WP1 chairman</w:t>
          </w:r>
          <w:r>
            <w:rPr>
              <w:sz w:val="18"/>
              <w:szCs w:val="18"/>
            </w:rPr>
            <w:t xml:space="preserve">, </w:t>
          </w:r>
        </w:p>
      </w:tc>
      <w:bookmarkStart w:id="20" w:name="OrgName"/>
      <w:bookmarkEnd w:id="20"/>
    </w:tr>
    <w:tr w:rsidR="003447A8" w:rsidRPr="004D495C" w14:paraId="1CC09AE7" w14:textId="77777777" w:rsidTr="003447A8">
      <w:tc>
        <w:tcPr>
          <w:tcW w:w="1526" w:type="dxa"/>
          <w:shd w:val="clear" w:color="auto" w:fill="auto"/>
        </w:tcPr>
        <w:p w14:paraId="7BB1BEC2" w14:textId="77777777" w:rsidR="003447A8" w:rsidRPr="0003740E" w:rsidRDefault="003447A8" w:rsidP="003447A8">
          <w:pPr>
            <w:pStyle w:val="FirstFooter"/>
            <w:tabs>
              <w:tab w:val="left" w:pos="1559"/>
              <w:tab w:val="left" w:pos="3828"/>
            </w:tabs>
            <w:rPr>
              <w:sz w:val="20"/>
            </w:rPr>
          </w:pPr>
        </w:p>
      </w:tc>
      <w:tc>
        <w:tcPr>
          <w:tcW w:w="2410" w:type="dxa"/>
          <w:shd w:val="clear" w:color="auto" w:fill="auto"/>
        </w:tcPr>
        <w:p w14:paraId="6CF01C6C" w14:textId="77777777" w:rsidR="003447A8" w:rsidRPr="004D495C" w:rsidRDefault="003447A8" w:rsidP="003447A8">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713FAFFA" w:rsidR="003447A8" w:rsidRPr="00235F37" w:rsidRDefault="003205E9" w:rsidP="003447A8">
          <w:pPr>
            <w:pStyle w:val="FirstFooter"/>
            <w:tabs>
              <w:tab w:val="left" w:pos="2302"/>
            </w:tabs>
            <w:rPr>
              <w:sz w:val="18"/>
              <w:szCs w:val="18"/>
              <w:lang w:val="en-US"/>
            </w:rPr>
          </w:pPr>
          <w:r>
            <w:rPr>
              <w:sz w:val="18"/>
              <w:szCs w:val="18"/>
              <w:lang w:val="en-US"/>
            </w:rPr>
            <w:t>n/a</w:t>
          </w:r>
        </w:p>
      </w:tc>
      <w:bookmarkStart w:id="21" w:name="PhoneNo"/>
      <w:bookmarkEnd w:id="21"/>
    </w:tr>
    <w:tr w:rsidR="003447A8" w:rsidRPr="004D495C" w14:paraId="34A468D3" w14:textId="77777777" w:rsidTr="003447A8">
      <w:tc>
        <w:tcPr>
          <w:tcW w:w="1526" w:type="dxa"/>
          <w:shd w:val="clear" w:color="auto" w:fill="auto"/>
        </w:tcPr>
        <w:p w14:paraId="2403414C"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3447A8">
          <w:pPr>
            <w:pStyle w:val="FirstFooter"/>
            <w:tabs>
              <w:tab w:val="left" w:pos="2302"/>
            </w:tabs>
            <w:rPr>
              <w:sz w:val="18"/>
              <w:szCs w:val="18"/>
              <w:lang w:val="en-US"/>
            </w:rPr>
          </w:pPr>
          <w:r w:rsidRPr="004D495C">
            <w:rPr>
              <w:sz w:val="18"/>
              <w:szCs w:val="18"/>
              <w:lang w:val="en-US"/>
            </w:rPr>
            <w:t>E-mail:</w:t>
          </w:r>
        </w:p>
      </w:tc>
      <w:tc>
        <w:tcPr>
          <w:tcW w:w="5987" w:type="dxa"/>
        </w:tcPr>
        <w:p w14:paraId="36CD733D" w14:textId="7B5C3269" w:rsidR="003447A8" w:rsidRPr="00235F37" w:rsidRDefault="007F3732" w:rsidP="003447A8">
          <w:pPr>
            <w:pStyle w:val="FirstFooter"/>
            <w:tabs>
              <w:tab w:val="left" w:pos="2302"/>
            </w:tabs>
            <w:rPr>
              <w:sz w:val="18"/>
              <w:szCs w:val="18"/>
            </w:rPr>
          </w:pPr>
          <w:hyperlink r:id="rId1" w:history="1">
            <w:r w:rsidRPr="00657F26">
              <w:rPr>
                <w:rStyle w:val="Hyperlink"/>
                <w:sz w:val="18"/>
                <w:szCs w:val="18"/>
              </w:rPr>
              <w:t>mihail.ion@ancom.ro</w:t>
            </w:r>
          </w:hyperlink>
          <w:r>
            <w:rPr>
              <w:sz w:val="18"/>
              <w:szCs w:val="18"/>
            </w:rPr>
            <w:t xml:space="preserve"> </w:t>
          </w:r>
        </w:p>
      </w:tc>
      <w:bookmarkStart w:id="22" w:name="Email"/>
      <w:bookmarkEnd w:id="22"/>
    </w:tr>
    <w:tr w:rsidR="00126433" w:rsidRPr="003205E9" w14:paraId="43A647D3" w14:textId="77777777" w:rsidTr="005C4C3A">
      <w:tc>
        <w:tcPr>
          <w:tcW w:w="1526" w:type="dxa"/>
          <w:tcBorders>
            <w:top w:val="single" w:sz="4" w:space="0" w:color="000000"/>
          </w:tcBorders>
          <w:shd w:val="clear" w:color="auto" w:fill="auto"/>
        </w:tcPr>
        <w:p w14:paraId="3018F973" w14:textId="77777777" w:rsidR="00126433" w:rsidRPr="004D495C" w:rsidRDefault="00126433" w:rsidP="0012643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926782F" w14:textId="77777777" w:rsidR="00126433" w:rsidRPr="004D495C" w:rsidRDefault="00126433" w:rsidP="0012643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3DD80E2" w14:textId="10731063" w:rsidR="00126433" w:rsidRPr="003205E9" w:rsidRDefault="000032ED" w:rsidP="006658E1">
          <w:pPr>
            <w:pStyle w:val="FirstFooter"/>
            <w:tabs>
              <w:tab w:val="left" w:pos="2302"/>
            </w:tabs>
            <w:rPr>
              <w:sz w:val="18"/>
              <w:szCs w:val="18"/>
            </w:rPr>
          </w:pPr>
          <w:r>
            <w:rPr>
              <w:sz w:val="18"/>
              <w:szCs w:val="18"/>
            </w:rPr>
            <w:t xml:space="preserve">Ms </w:t>
          </w:r>
          <w:r w:rsidR="006658E1" w:rsidRPr="003205E9">
            <w:rPr>
              <w:sz w:val="18"/>
              <w:szCs w:val="18"/>
            </w:rPr>
            <w:t xml:space="preserve">Fang Li, CAICT, MIIT, </w:t>
          </w:r>
          <w:r w:rsidR="0080005F" w:rsidRPr="003205E9">
            <w:rPr>
              <w:sz w:val="18"/>
              <w:szCs w:val="18"/>
            </w:rPr>
            <w:t>China (People's Republic of)</w:t>
          </w:r>
          <w:r w:rsidR="006658E1" w:rsidRPr="003205E9">
            <w:rPr>
              <w:sz w:val="18"/>
              <w:szCs w:val="18"/>
            </w:rPr>
            <w:t>, Rapporteur, TSAG RG-WTSA</w:t>
          </w:r>
        </w:p>
      </w:tc>
    </w:tr>
    <w:tr w:rsidR="00126433" w:rsidRPr="004D495C" w14:paraId="475C4BAE" w14:textId="77777777" w:rsidTr="005C4C3A">
      <w:tc>
        <w:tcPr>
          <w:tcW w:w="1526" w:type="dxa"/>
          <w:shd w:val="clear" w:color="auto" w:fill="auto"/>
        </w:tcPr>
        <w:p w14:paraId="5D1E4ECE" w14:textId="77777777" w:rsidR="00126433" w:rsidRPr="003205E9" w:rsidRDefault="00126433" w:rsidP="00126433">
          <w:pPr>
            <w:pStyle w:val="FirstFooter"/>
            <w:tabs>
              <w:tab w:val="left" w:pos="1559"/>
              <w:tab w:val="left" w:pos="3828"/>
            </w:tabs>
            <w:rPr>
              <w:sz w:val="20"/>
            </w:rPr>
          </w:pPr>
        </w:p>
      </w:tc>
      <w:tc>
        <w:tcPr>
          <w:tcW w:w="2410" w:type="dxa"/>
          <w:shd w:val="clear" w:color="auto" w:fill="auto"/>
        </w:tcPr>
        <w:p w14:paraId="6EC216EA" w14:textId="77777777" w:rsidR="00126433" w:rsidRPr="004D495C" w:rsidRDefault="00126433" w:rsidP="00126433">
          <w:pPr>
            <w:pStyle w:val="FirstFooter"/>
            <w:tabs>
              <w:tab w:val="left" w:pos="2302"/>
            </w:tabs>
            <w:rPr>
              <w:sz w:val="18"/>
              <w:szCs w:val="18"/>
              <w:lang w:val="en-US"/>
            </w:rPr>
          </w:pPr>
          <w:r w:rsidRPr="004D495C">
            <w:rPr>
              <w:sz w:val="18"/>
              <w:szCs w:val="18"/>
              <w:lang w:val="en-US"/>
            </w:rPr>
            <w:t>Phone number:</w:t>
          </w:r>
        </w:p>
      </w:tc>
      <w:tc>
        <w:tcPr>
          <w:tcW w:w="5987" w:type="dxa"/>
        </w:tcPr>
        <w:p w14:paraId="26F6064C" w14:textId="55926CE7" w:rsidR="00126433" w:rsidRPr="00235F37" w:rsidRDefault="003205E9" w:rsidP="00126433">
          <w:pPr>
            <w:pStyle w:val="FirstFooter"/>
            <w:tabs>
              <w:tab w:val="left" w:pos="2302"/>
            </w:tabs>
            <w:rPr>
              <w:sz w:val="18"/>
              <w:szCs w:val="18"/>
              <w:lang w:val="en-US"/>
            </w:rPr>
          </w:pPr>
          <w:r>
            <w:rPr>
              <w:sz w:val="18"/>
              <w:szCs w:val="18"/>
              <w:lang w:val="en-US"/>
            </w:rPr>
            <w:t>n/a</w:t>
          </w:r>
        </w:p>
      </w:tc>
    </w:tr>
    <w:tr w:rsidR="00126433" w:rsidRPr="004D495C" w14:paraId="077E9822" w14:textId="77777777" w:rsidTr="005C4C3A">
      <w:tc>
        <w:tcPr>
          <w:tcW w:w="1526" w:type="dxa"/>
          <w:shd w:val="clear" w:color="auto" w:fill="auto"/>
        </w:tcPr>
        <w:p w14:paraId="3AD02349" w14:textId="77777777" w:rsidR="00126433" w:rsidRPr="004D495C" w:rsidRDefault="00126433" w:rsidP="00126433">
          <w:pPr>
            <w:pStyle w:val="FirstFooter"/>
            <w:tabs>
              <w:tab w:val="left" w:pos="1559"/>
              <w:tab w:val="left" w:pos="3828"/>
            </w:tabs>
            <w:rPr>
              <w:sz w:val="20"/>
              <w:lang w:val="en-US"/>
            </w:rPr>
          </w:pPr>
        </w:p>
      </w:tc>
      <w:tc>
        <w:tcPr>
          <w:tcW w:w="2410" w:type="dxa"/>
          <w:shd w:val="clear" w:color="auto" w:fill="auto"/>
        </w:tcPr>
        <w:p w14:paraId="5DE66F86" w14:textId="77777777" w:rsidR="00126433" w:rsidRPr="004D495C" w:rsidRDefault="00126433" w:rsidP="00126433">
          <w:pPr>
            <w:pStyle w:val="FirstFooter"/>
            <w:tabs>
              <w:tab w:val="left" w:pos="2302"/>
            </w:tabs>
            <w:rPr>
              <w:sz w:val="18"/>
              <w:szCs w:val="18"/>
              <w:lang w:val="en-US"/>
            </w:rPr>
          </w:pPr>
          <w:r w:rsidRPr="004D495C">
            <w:rPr>
              <w:sz w:val="18"/>
              <w:szCs w:val="18"/>
              <w:lang w:val="en-US"/>
            </w:rPr>
            <w:t>E-mail:</w:t>
          </w:r>
        </w:p>
      </w:tc>
      <w:tc>
        <w:tcPr>
          <w:tcW w:w="5987" w:type="dxa"/>
        </w:tcPr>
        <w:p w14:paraId="6C5156DF" w14:textId="692DC667" w:rsidR="00126433" w:rsidRPr="00235F37" w:rsidRDefault="003205E9" w:rsidP="00126433">
          <w:pPr>
            <w:pStyle w:val="FirstFooter"/>
            <w:tabs>
              <w:tab w:val="left" w:pos="2302"/>
            </w:tabs>
            <w:rPr>
              <w:sz w:val="18"/>
              <w:szCs w:val="18"/>
            </w:rPr>
          </w:pPr>
          <w:hyperlink r:id="rId2" w:history="1">
            <w:r w:rsidRPr="00657F26">
              <w:rPr>
                <w:rStyle w:val="Hyperlink"/>
                <w:sz w:val="18"/>
                <w:szCs w:val="18"/>
              </w:rPr>
              <w:t>lifang@caict.ac.cn</w:t>
            </w:r>
          </w:hyperlink>
          <w:r>
            <w:rPr>
              <w:sz w:val="18"/>
              <w:szCs w:val="18"/>
            </w:rPr>
            <w:t xml:space="preserve"> </w:t>
          </w:r>
        </w:p>
      </w:tc>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CA6D" w14:textId="77777777" w:rsidR="00FE399E" w:rsidRPr="0054377E" w:rsidRDefault="00FE399E" w:rsidP="0054377E">
      <w:pPr>
        <w:spacing w:before="0"/>
      </w:pPr>
      <w:r w:rsidRPr="0054377E">
        <w:rPr>
          <w:b/>
        </w:rPr>
        <w:t>_______________</w:t>
      </w:r>
    </w:p>
  </w:footnote>
  <w:footnote w:type="continuationSeparator" w:id="0">
    <w:p w14:paraId="6F721CD3" w14:textId="77777777" w:rsidR="00FE399E" w:rsidRDefault="00FE399E" w:rsidP="0054377E">
      <w:pPr>
        <w:spacing w:before="0"/>
      </w:pPr>
      <w:r>
        <w:continuationSeparator/>
      </w:r>
    </w:p>
    <w:p w14:paraId="07C8C3F7" w14:textId="77777777" w:rsidR="00FE399E" w:rsidRDefault="00FE399E"/>
  </w:footnote>
  <w:footnote w:type="continuationNotice" w:id="1">
    <w:p w14:paraId="2F5953C1" w14:textId="77777777" w:rsidR="00FE399E" w:rsidRDefault="00FE399E">
      <w:pPr>
        <w:spacing w:before="0"/>
      </w:pPr>
    </w:p>
    <w:p w14:paraId="10EEE11E" w14:textId="77777777" w:rsidR="00FE399E" w:rsidRDefault="00FE3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C853" w14:textId="77777777" w:rsidR="00F11631" w:rsidRDefault="00F11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04DCCCEA"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F11631">
      <w:rPr>
        <w:sz w:val="22"/>
        <w:szCs w:val="22"/>
        <w:lang w:val="es-ES_tradnl"/>
      </w:rPr>
      <w:t>TDAG-25/</w:t>
    </w:r>
    <w:r w:rsidR="00F11631">
      <w:rPr>
        <w:sz w:val="22"/>
        <w:szCs w:val="22"/>
        <w:lang w:val="es-ES_tradnl"/>
      </w:rPr>
      <w:t>30</w:t>
    </w:r>
    <w:r w:rsidRPr="00F11631">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D2EC" w14:textId="77777777" w:rsidR="00F11631" w:rsidRDefault="00F11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1"/>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2"/>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0"/>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3"/>
  </w:num>
  <w:num w:numId="42" w16cid:durableId="655766109">
    <w:abstractNumId w:val="15"/>
  </w:num>
  <w:num w:numId="43" w16cid:durableId="577523632">
    <w:abstractNumId w:val="14"/>
  </w:num>
  <w:num w:numId="44" w16cid:durableId="11380636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619C"/>
    <w:rsid w:val="0005747E"/>
    <w:rsid w:val="000604E5"/>
    <w:rsid w:val="000617DF"/>
    <w:rsid w:val="0006285A"/>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4CFB"/>
    <w:rsid w:val="001A1FFD"/>
    <w:rsid w:val="001A25C8"/>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21CEF"/>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7FE3"/>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135C"/>
    <w:rsid w:val="00D0453A"/>
    <w:rsid w:val="00D0723D"/>
    <w:rsid w:val="00D107E7"/>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631"/>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7D1"/>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itu-t/ls/ls.aspx?isn=304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hail.ion@ancom.ro"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ifang@caict.ac.cn" TargetMode="External"/><Relationship Id="rId1" Type="http://schemas.openxmlformats.org/officeDocument/2006/relationships/hyperlink" Target="mailto:mihail.ion@an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391</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70</cp:revision>
  <cp:lastPrinted>2019-01-16T07:57:00Z</cp:lastPrinted>
  <dcterms:created xsi:type="dcterms:W3CDTF">2025-02-11T10:46:00Z</dcterms:created>
  <dcterms:modified xsi:type="dcterms:W3CDTF">2025-03-27T08:58:00Z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