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2126"/>
        <w:gridCol w:w="1242"/>
      </w:tblGrid>
      <w:tr w:rsidR="00526DAF" w:rsidRPr="002B62D4" w14:paraId="5736F9B6" w14:textId="77777777" w:rsidTr="00F94A92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Pr="002B62D4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 w:rsidRPr="002B62D4">
              <w:rPr>
                <w:sz w:val="32"/>
                <w:szCs w:val="32"/>
              </w:rPr>
              <w:drawing>
                <wp:inline distT="0" distB="0" distL="0" distR="0" wp14:anchorId="03000A14" wp14:editId="6C6DDBA4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779239F" w14:textId="4AD0E9E9" w:rsidR="002C6B70" w:rsidRPr="002B62D4" w:rsidRDefault="00F82FF6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2B62D4">
              <w:rPr>
                <w:b/>
                <w:bCs/>
                <w:sz w:val="32"/>
                <w:szCs w:val="32"/>
              </w:rPr>
              <w:t>Консультативная группа по развитию электросвязи (КГРЭ)</w:t>
            </w:r>
          </w:p>
          <w:p w14:paraId="2DCF59CB" w14:textId="4D721D6E" w:rsidR="00526DAF" w:rsidRPr="002B62D4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 w:rsidRPr="002B62D4">
              <w:rPr>
                <w:b/>
                <w:bCs/>
                <w:sz w:val="26"/>
                <w:szCs w:val="26"/>
              </w:rPr>
              <w:t>32</w:t>
            </w:r>
            <w:r w:rsidR="00F82FF6" w:rsidRPr="002B62D4">
              <w:rPr>
                <w:b/>
                <w:bCs/>
                <w:sz w:val="26"/>
                <w:szCs w:val="26"/>
              </w:rPr>
              <w:t>-е собрание</w:t>
            </w:r>
            <w:r w:rsidRPr="002B62D4">
              <w:rPr>
                <w:b/>
                <w:bCs/>
                <w:sz w:val="26"/>
                <w:szCs w:val="26"/>
              </w:rPr>
              <w:t xml:space="preserve">, </w:t>
            </w:r>
            <w:r w:rsidR="00F82FF6" w:rsidRPr="002B62D4">
              <w:rPr>
                <w:b/>
                <w:bCs/>
                <w:sz w:val="26"/>
                <w:szCs w:val="26"/>
              </w:rPr>
              <w:t>Женева</w:t>
            </w:r>
            <w:r w:rsidRPr="002B62D4">
              <w:rPr>
                <w:b/>
                <w:bCs/>
                <w:sz w:val="26"/>
                <w:szCs w:val="26"/>
              </w:rPr>
              <w:t xml:space="preserve">, </w:t>
            </w:r>
            <w:r w:rsidR="00F82FF6" w:rsidRPr="002B62D4">
              <w:rPr>
                <w:b/>
                <w:bCs/>
                <w:sz w:val="26"/>
                <w:szCs w:val="26"/>
              </w:rPr>
              <w:t>Швейцария</w:t>
            </w:r>
            <w:r w:rsidRPr="002B62D4">
              <w:rPr>
                <w:b/>
                <w:bCs/>
                <w:sz w:val="26"/>
                <w:szCs w:val="26"/>
              </w:rPr>
              <w:t>, 12</w:t>
            </w:r>
            <w:r w:rsidR="00F82FF6" w:rsidRPr="002B62D4">
              <w:rPr>
                <w:b/>
                <w:bCs/>
                <w:sz w:val="26"/>
                <w:szCs w:val="26"/>
              </w:rPr>
              <w:t>–16 мая</w:t>
            </w:r>
            <w:r w:rsidRPr="002B62D4">
              <w:rPr>
                <w:b/>
                <w:bCs/>
                <w:sz w:val="26"/>
                <w:szCs w:val="26"/>
              </w:rPr>
              <w:t xml:space="preserve"> 2025</w:t>
            </w:r>
            <w:r w:rsidR="00F82FF6" w:rsidRPr="002B62D4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242" w:type="dxa"/>
          </w:tcPr>
          <w:p w14:paraId="06B48AA1" w14:textId="516DD633" w:rsidR="00526DAF" w:rsidRPr="002B62D4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2B62D4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2B62D4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2B62D4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2B62D4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2B62D4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2B62D4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1DEAA56A" w:rsidR="005B718F" w:rsidRPr="002B62D4" w:rsidRDefault="00F97287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2B62D4">
              <w:rPr>
                <w:b/>
                <w:bCs/>
              </w:rPr>
              <w:t>Документ</w:t>
            </w:r>
            <w:r w:rsidR="005B718F" w:rsidRPr="002B62D4">
              <w:rPr>
                <w:b/>
                <w:bCs/>
              </w:rPr>
              <w:t xml:space="preserve"> </w:t>
            </w:r>
            <w:bookmarkStart w:id="4" w:name="DocRef1"/>
            <w:bookmarkEnd w:id="4"/>
            <w:r w:rsidR="005B718F" w:rsidRPr="002B62D4">
              <w:rPr>
                <w:b/>
                <w:bCs/>
              </w:rPr>
              <w:t>TDAG-25/</w:t>
            </w:r>
            <w:bookmarkStart w:id="5" w:name="DocNo1"/>
            <w:bookmarkEnd w:id="5"/>
            <w:r w:rsidR="0099768B" w:rsidRPr="002B62D4">
              <w:rPr>
                <w:b/>
                <w:bCs/>
              </w:rPr>
              <w:t>27</w:t>
            </w:r>
            <w:r w:rsidR="005B718F" w:rsidRPr="002B62D4">
              <w:rPr>
                <w:b/>
                <w:bCs/>
              </w:rPr>
              <w:t>-</w:t>
            </w:r>
            <w:r w:rsidRPr="002B62D4">
              <w:rPr>
                <w:b/>
                <w:bCs/>
              </w:rPr>
              <w:t>R</w:t>
            </w:r>
          </w:p>
        </w:tc>
      </w:tr>
      <w:tr w:rsidR="005B718F" w:rsidRPr="002B62D4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2B62D4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57D7ED55" w:rsidR="005B718F" w:rsidRPr="002B62D4" w:rsidRDefault="0076212D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2B62D4">
              <w:rPr>
                <w:b/>
                <w:bCs/>
                <w:szCs w:val="28"/>
              </w:rPr>
              <w:t xml:space="preserve">1 </w:t>
            </w:r>
            <w:r w:rsidR="00F97287" w:rsidRPr="002B62D4">
              <w:rPr>
                <w:b/>
                <w:bCs/>
                <w:szCs w:val="28"/>
              </w:rPr>
              <w:t>апреля</w:t>
            </w:r>
            <w:r w:rsidR="0099768B" w:rsidRPr="002B62D4">
              <w:rPr>
                <w:b/>
                <w:bCs/>
                <w:szCs w:val="28"/>
              </w:rPr>
              <w:t xml:space="preserve"> 2025</w:t>
            </w:r>
            <w:r w:rsidR="00F97287" w:rsidRPr="002B62D4">
              <w:rPr>
                <w:b/>
                <w:bCs/>
                <w:szCs w:val="28"/>
              </w:rPr>
              <w:t xml:space="preserve"> года</w:t>
            </w:r>
          </w:p>
        </w:tc>
      </w:tr>
      <w:bookmarkEnd w:id="6"/>
      <w:bookmarkEnd w:id="7"/>
      <w:tr w:rsidR="005B718F" w:rsidRPr="002B62D4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2B62D4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0072AECA" w:rsidR="005B718F" w:rsidRPr="002B62D4" w:rsidRDefault="00F97287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B62D4">
              <w:rPr>
                <w:b/>
                <w:bCs/>
                <w:szCs w:val="24"/>
              </w:rPr>
              <w:t>Оригинал</w:t>
            </w:r>
            <w:r w:rsidR="005B718F" w:rsidRPr="002B62D4">
              <w:rPr>
                <w:b/>
                <w:bCs/>
                <w:szCs w:val="24"/>
              </w:rPr>
              <w:t xml:space="preserve">: </w:t>
            </w:r>
            <w:r w:rsidRPr="002B62D4">
              <w:rPr>
                <w:b/>
                <w:bCs/>
                <w:szCs w:val="24"/>
              </w:rPr>
              <w:t>английский</w:t>
            </w:r>
          </w:p>
        </w:tc>
      </w:tr>
      <w:tr w:rsidR="003D1814" w:rsidRPr="002B62D4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2D364C71" w:rsidR="003D1814" w:rsidRPr="002B62D4" w:rsidRDefault="00F97287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2B62D4">
              <w:t xml:space="preserve">Директор Бюро развития электросвязи </w:t>
            </w:r>
          </w:p>
        </w:tc>
      </w:tr>
      <w:tr w:rsidR="003D1814" w:rsidRPr="002B62D4" w14:paraId="7EDE1565" w14:textId="77777777" w:rsidTr="002B452F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6EAC95E8" w:rsidR="003D1814" w:rsidRPr="002B62D4" w:rsidRDefault="00FC7E75" w:rsidP="0076212D">
            <w:pPr>
              <w:pStyle w:val="Title1"/>
              <w:spacing w:before="120" w:after="120"/>
              <w:rPr>
                <w:caps/>
              </w:rPr>
            </w:pPr>
            <w:r w:rsidRPr="002B62D4">
              <w:rPr>
                <w:szCs w:val="28"/>
              </w:rPr>
              <w:t xml:space="preserve">Отчет о работе Группы экспертов по регламенту международной </w:t>
            </w:r>
            <w:r w:rsidR="00F94A92" w:rsidRPr="002B62D4">
              <w:rPr>
                <w:szCs w:val="28"/>
              </w:rPr>
              <w:br/>
            </w:r>
            <w:r w:rsidRPr="002B62D4">
              <w:rPr>
                <w:szCs w:val="28"/>
              </w:rPr>
              <w:t>электросвязи (ГЭ</w:t>
            </w:r>
            <w:r w:rsidR="00F94A92" w:rsidRPr="002B62D4">
              <w:rPr>
                <w:szCs w:val="28"/>
              </w:rPr>
              <w:t>­</w:t>
            </w:r>
            <w:r w:rsidRPr="002B62D4">
              <w:rPr>
                <w:szCs w:val="28"/>
              </w:rPr>
              <w:t>РМЭ) для КГРЭ</w:t>
            </w:r>
          </w:p>
        </w:tc>
      </w:tr>
      <w:tr w:rsidR="008A75AD" w:rsidRPr="002B62D4" w14:paraId="4FBA7816" w14:textId="77777777" w:rsidTr="002B452F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Pr="002B62D4" w:rsidRDefault="008A75AD" w:rsidP="00FA1D7B">
            <w:pPr>
              <w:pStyle w:val="Title1"/>
              <w:spacing w:before="120" w:after="120"/>
              <w:jc w:val="left"/>
              <w:rPr>
                <w:caps/>
                <w:szCs w:val="28"/>
              </w:rPr>
            </w:pPr>
          </w:p>
        </w:tc>
      </w:tr>
      <w:tr w:rsidR="00C77589" w:rsidRPr="002B62D4" w14:paraId="557B967D" w14:textId="77777777" w:rsidTr="00E734CF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5A64D54" w:rsidR="00C77589" w:rsidRPr="002B62D4" w:rsidRDefault="00EA2C18" w:rsidP="0099768B">
            <w:pPr>
              <w:spacing w:after="120"/>
              <w:rPr>
                <w:b/>
                <w:bCs/>
                <w:szCs w:val="24"/>
              </w:rPr>
            </w:pPr>
            <w:r w:rsidRPr="002B62D4">
              <w:rPr>
                <w:b/>
                <w:bCs/>
                <w:szCs w:val="24"/>
              </w:rPr>
              <w:t>Резюме</w:t>
            </w:r>
          </w:p>
          <w:p w14:paraId="11B50DBA" w14:textId="73063B75" w:rsidR="004E06A4" w:rsidRPr="002B62D4" w:rsidRDefault="005A68AF" w:rsidP="0099768B">
            <w:pPr>
              <w:spacing w:after="120"/>
            </w:pPr>
            <w:r w:rsidRPr="002B62D4">
              <w:t>В настоящем отчете о ходе работы представлены основные результаты третьего и четвертого собраний</w:t>
            </w:r>
            <w:r w:rsidR="00F94A92" w:rsidRPr="002B62D4">
              <w:t> </w:t>
            </w:r>
            <w:r w:rsidRPr="002B62D4">
              <w:t>ГЭ-РМЭ, состоявшихся 30 сентября – 1 октября 2024 года и 20–21 февраля 2025 года, соответственно. Эти собрания организуются в соответствии с Резолюцией 146 (Пересм. Бухарест, 2022</w:t>
            </w:r>
            <w:r w:rsidR="00F94A92" w:rsidRPr="002B62D4">
              <w:t> </w:t>
            </w:r>
            <w:r w:rsidRPr="002B62D4">
              <w:t>г.) ПК и Резолюцией 1379 (Изм. 2023 г.) Совета.</w:t>
            </w:r>
          </w:p>
          <w:p w14:paraId="7B6C3B3F" w14:textId="07F1975D" w:rsidR="00C77589" w:rsidRPr="002B62D4" w:rsidRDefault="005A68AF" w:rsidP="0099768B">
            <w:pPr>
              <w:spacing w:after="120"/>
              <w:rPr>
                <w:b/>
                <w:bCs/>
                <w:szCs w:val="24"/>
              </w:rPr>
            </w:pPr>
            <w:r w:rsidRPr="002B62D4">
              <w:rPr>
                <w:b/>
                <w:bCs/>
              </w:rPr>
              <w:t>Необходимые действия</w:t>
            </w:r>
          </w:p>
          <w:p w14:paraId="186CDD77" w14:textId="5123EABE" w:rsidR="00411911" w:rsidRPr="002B62D4" w:rsidRDefault="005A68AF" w:rsidP="0099768B">
            <w:pPr>
              <w:spacing w:after="120"/>
              <w:rPr>
                <w:iCs/>
              </w:rPr>
            </w:pPr>
            <w:r w:rsidRPr="002B62D4">
              <w:rPr>
                <w:iCs/>
              </w:rPr>
              <w:t xml:space="preserve">В соответствии с Резолюцией 146 (Пересм. Бухарест, 2022 г.), в которой </w:t>
            </w:r>
            <w:r w:rsidR="00EA2C18" w:rsidRPr="002B62D4">
              <w:rPr>
                <w:iCs/>
              </w:rPr>
              <w:t>"</w:t>
            </w:r>
            <w:r w:rsidRPr="002B62D4">
              <w:rPr>
                <w:i/>
              </w:rPr>
              <w:t>поручается Директорам Бюро, каждому в сфере своей компетенции, с использованием рекомендаций соответствующей Консультативной группы, вносить вклад в деятельность ГЭ-РМЭ, признавая, что Сектор стандартизации электросвязи МСЭ проводит основную часть работы, относящейся к Регламенту международной электросвязи</w:t>
            </w:r>
            <w:r w:rsidR="00EA2C18" w:rsidRPr="002B62D4">
              <w:rPr>
                <w:iCs/>
              </w:rPr>
              <w:t>"</w:t>
            </w:r>
            <w:r w:rsidR="00EA2C18" w:rsidRPr="002B62D4">
              <w:rPr>
                <w:i/>
              </w:rPr>
              <w:t>.</w:t>
            </w:r>
          </w:p>
          <w:p w14:paraId="0229C904" w14:textId="69F162F2" w:rsidR="00C77589" w:rsidRPr="002B62D4" w:rsidRDefault="005A68AF" w:rsidP="0099768B">
            <w:pPr>
              <w:spacing w:after="120"/>
              <w:rPr>
                <w:szCs w:val="24"/>
              </w:rPr>
            </w:pPr>
            <w:r w:rsidRPr="002B62D4">
              <w:t>КГРЭ предлагается принять данный документ к сведению.</w:t>
            </w:r>
          </w:p>
          <w:p w14:paraId="18114BF0" w14:textId="7D902B72" w:rsidR="00C77589" w:rsidRPr="002B62D4" w:rsidRDefault="000D0F90" w:rsidP="0099768B">
            <w:pPr>
              <w:spacing w:after="120"/>
              <w:rPr>
                <w:b/>
                <w:bCs/>
                <w:szCs w:val="24"/>
              </w:rPr>
            </w:pPr>
            <w:r w:rsidRPr="002B62D4">
              <w:rPr>
                <w:b/>
                <w:bCs/>
                <w:szCs w:val="24"/>
              </w:rPr>
              <w:t xml:space="preserve">Справочные </w:t>
            </w:r>
            <w:r w:rsidR="00EA2C18" w:rsidRPr="002B62D4">
              <w:rPr>
                <w:b/>
                <w:bCs/>
                <w:szCs w:val="24"/>
              </w:rPr>
              <w:t>материалы</w:t>
            </w:r>
          </w:p>
          <w:p w14:paraId="1E41D397" w14:textId="51E2D00F" w:rsidR="00935641" w:rsidRPr="002B62D4" w:rsidRDefault="000D0F90" w:rsidP="0099768B">
            <w:pPr>
              <w:spacing w:after="120"/>
            </w:pPr>
            <w:hyperlink r:id="rId13" w:history="1">
              <w:r w:rsidRPr="002B62D4">
                <w:rPr>
                  <w:rStyle w:val="Hyperlink"/>
                </w:rPr>
                <w:t>Резолюция</w:t>
              </w:r>
              <w:r w:rsidR="00935641" w:rsidRPr="002B62D4">
                <w:rPr>
                  <w:rStyle w:val="Hyperlink"/>
                </w:rPr>
                <w:t xml:space="preserve"> 146 (</w:t>
              </w:r>
              <w:r w:rsidRPr="002B62D4">
                <w:rPr>
                  <w:rStyle w:val="Hyperlink"/>
                </w:rPr>
                <w:t>Пересм</w:t>
              </w:r>
              <w:r w:rsidR="00935641" w:rsidRPr="002B62D4">
                <w:rPr>
                  <w:rStyle w:val="Hyperlink"/>
                </w:rPr>
                <w:t xml:space="preserve">. </w:t>
              </w:r>
              <w:r w:rsidRPr="002B62D4">
                <w:rPr>
                  <w:rStyle w:val="Hyperlink"/>
                </w:rPr>
                <w:t>Бухарест</w:t>
              </w:r>
              <w:r w:rsidR="00935641" w:rsidRPr="002B62D4">
                <w:rPr>
                  <w:rStyle w:val="Hyperlink"/>
                </w:rPr>
                <w:t>, 2022</w:t>
              </w:r>
              <w:r w:rsidRPr="002B62D4">
                <w:rPr>
                  <w:rStyle w:val="Hyperlink"/>
                </w:rPr>
                <w:t xml:space="preserve"> г.</w:t>
              </w:r>
              <w:r w:rsidR="00935641" w:rsidRPr="002B62D4">
                <w:rPr>
                  <w:rStyle w:val="Hyperlink"/>
                </w:rPr>
                <w:t>)</w:t>
              </w:r>
            </w:hyperlink>
            <w:r w:rsidR="00935641" w:rsidRPr="002B62D4">
              <w:t xml:space="preserve">: </w:t>
            </w:r>
            <w:r w:rsidRPr="002B62D4">
              <w:t>Регулярное рассмотрение Регламента международной</w:t>
            </w:r>
            <w:r w:rsidR="00AF32B1" w:rsidRPr="002B62D4">
              <w:t> </w:t>
            </w:r>
            <w:r w:rsidRPr="002B62D4">
              <w:t>электросвязи.</w:t>
            </w:r>
          </w:p>
          <w:p w14:paraId="6A9AF37B" w14:textId="1FCF00F1" w:rsidR="00C77589" w:rsidRPr="002B62D4" w:rsidRDefault="000D0F90" w:rsidP="0099768B">
            <w:pPr>
              <w:spacing w:after="120"/>
            </w:pPr>
            <w:hyperlink r:id="rId14" w:history="1">
              <w:r w:rsidRPr="002B62D4">
                <w:rPr>
                  <w:rStyle w:val="Hyperlink"/>
                  <w:rFonts w:cs="Calibri"/>
                  <w:bCs/>
                </w:rPr>
                <w:t>Резолюция</w:t>
              </w:r>
              <w:r w:rsidR="00935641" w:rsidRPr="002B62D4">
                <w:rPr>
                  <w:rStyle w:val="Hyperlink"/>
                  <w:rFonts w:cs="Calibri"/>
                  <w:bCs/>
                </w:rPr>
                <w:t xml:space="preserve"> 1379 (</w:t>
              </w:r>
              <w:r w:rsidRPr="002B62D4">
                <w:rPr>
                  <w:rStyle w:val="Hyperlink"/>
                  <w:rFonts w:cs="Calibri"/>
                  <w:bCs/>
                </w:rPr>
                <w:t>Изм</w:t>
              </w:r>
              <w:r w:rsidR="00935641" w:rsidRPr="002B62D4">
                <w:rPr>
                  <w:rStyle w:val="Hyperlink"/>
                  <w:rFonts w:cs="Calibri"/>
                  <w:bCs/>
                </w:rPr>
                <w:t>. 2023</w:t>
              </w:r>
              <w:r w:rsidRPr="002B62D4">
                <w:rPr>
                  <w:rStyle w:val="Hyperlink"/>
                  <w:rFonts w:cs="Calibri"/>
                  <w:bCs/>
                </w:rPr>
                <w:t xml:space="preserve"> г.</w:t>
              </w:r>
              <w:r w:rsidR="00EA2C18" w:rsidRPr="002B62D4">
                <w:rPr>
                  <w:rStyle w:val="Hyperlink"/>
                  <w:rFonts w:cs="Calibri"/>
                  <w:bCs/>
                </w:rPr>
                <w:t>) Совета</w:t>
              </w:r>
            </w:hyperlink>
            <w:r w:rsidR="00935641" w:rsidRPr="002B62D4">
              <w:rPr>
                <w:rFonts w:cs="Calibri"/>
                <w:bCs/>
              </w:rPr>
              <w:t xml:space="preserve">: </w:t>
            </w:r>
            <w:r w:rsidRPr="002B62D4">
              <w:rPr>
                <w:rFonts w:cs="Calibri"/>
                <w:bCs/>
              </w:rPr>
              <w:t>Группа экспертов по Регламенту международной электросвязи</w:t>
            </w:r>
            <w:r w:rsidR="00AF32B1" w:rsidRPr="002B62D4">
              <w:rPr>
                <w:rFonts w:cs="Calibri"/>
                <w:bCs/>
              </w:rPr>
              <w:t> </w:t>
            </w:r>
            <w:r w:rsidRPr="002B62D4">
              <w:rPr>
                <w:rFonts w:cs="Calibri"/>
                <w:bCs/>
              </w:rPr>
              <w:t>(ГЭ-РМЭ)</w:t>
            </w:r>
          </w:p>
        </w:tc>
      </w:tr>
      <w:bookmarkEnd w:id="8"/>
      <w:bookmarkEnd w:id="9"/>
    </w:tbl>
    <w:p w14:paraId="295EAF1B" w14:textId="77777777" w:rsidR="001E252D" w:rsidRPr="002B62D4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Pr="002B62D4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2B62D4">
        <w:rPr>
          <w:szCs w:val="24"/>
        </w:rPr>
        <w:br w:type="page"/>
      </w:r>
    </w:p>
    <w:p w14:paraId="5FE80D6C" w14:textId="4FA4C29A" w:rsidR="00473F8C" w:rsidRPr="002B62D4" w:rsidRDefault="00AF32B1" w:rsidP="00AF32B1">
      <w:pPr>
        <w:pStyle w:val="Heading1"/>
        <w:spacing w:line="260" w:lineRule="exact"/>
      </w:pPr>
      <w:r w:rsidRPr="002B62D4">
        <w:lastRenderedPageBreak/>
        <w:t>1</w:t>
      </w:r>
      <w:r w:rsidRPr="002B62D4">
        <w:tab/>
      </w:r>
      <w:r w:rsidR="00EA2C18" w:rsidRPr="002B62D4">
        <w:t>Базовая</w:t>
      </w:r>
      <w:r w:rsidR="000D0F90" w:rsidRPr="002B62D4">
        <w:t xml:space="preserve"> информация</w:t>
      </w:r>
    </w:p>
    <w:p w14:paraId="6457C12C" w14:textId="17F730E7" w:rsidR="00473F8C" w:rsidRPr="002B62D4" w:rsidRDefault="00D84859" w:rsidP="00AF32B1">
      <w:pPr>
        <w:spacing w:line="260" w:lineRule="exact"/>
      </w:pPr>
      <w:r w:rsidRPr="002B62D4">
        <w:t xml:space="preserve">Цель настоящего документа – представить </w:t>
      </w:r>
      <w:r w:rsidR="00305DF3" w:rsidRPr="002B62D4">
        <w:t xml:space="preserve">информацию о </w:t>
      </w:r>
      <w:r w:rsidRPr="002B62D4">
        <w:t>состояни</w:t>
      </w:r>
      <w:r w:rsidR="00305DF3" w:rsidRPr="002B62D4">
        <w:t>и</w:t>
      </w:r>
      <w:r w:rsidRPr="002B62D4">
        <w:t xml:space="preserve"> работы Группы экспертов по Регламенту международной электросвязи (ГЭ-РМЭ)</w:t>
      </w:r>
      <w:r w:rsidRPr="002B62D4">
        <w:rPr>
          <w:position w:val="6"/>
          <w:sz w:val="16"/>
          <w:szCs w:val="16"/>
        </w:rPr>
        <w:footnoteReference w:id="2"/>
      </w:r>
      <w:r w:rsidRPr="002B62D4">
        <w:t xml:space="preserve"> в соответствии с поручением Полномочной конференции МСЭ (Бухарест, 26 сентября – 14 октября 2022 г.) после утверждения Резолюции 146 (Пересм. Бухарест, 2022 г.) о регулярном рассмотрении РМЭ. В настоящем отчете первоочередное внимание уделяется основным результатам третьего и четвертого собраний ГЭ-РМЭ.</w:t>
      </w:r>
    </w:p>
    <w:p w14:paraId="1940EF1E" w14:textId="63227970" w:rsidR="009B37FF" w:rsidRPr="002B62D4" w:rsidRDefault="00AF32B1" w:rsidP="00AF32B1">
      <w:pPr>
        <w:pStyle w:val="Heading1"/>
        <w:spacing w:line="260" w:lineRule="exact"/>
      </w:pPr>
      <w:r w:rsidRPr="002B62D4">
        <w:t>2</w:t>
      </w:r>
      <w:r w:rsidRPr="002B62D4">
        <w:tab/>
      </w:r>
      <w:r w:rsidR="00D84859" w:rsidRPr="002B62D4">
        <w:t>Регулярное рассмотрение РМЭ</w:t>
      </w:r>
    </w:p>
    <w:p w14:paraId="6B21FF9A" w14:textId="3C99AFCE" w:rsidR="009B37FF" w:rsidRPr="002B62D4" w:rsidRDefault="000F3BFA" w:rsidP="00AF32B1">
      <w:pPr>
        <w:spacing w:line="260" w:lineRule="exact"/>
      </w:pPr>
      <w:r w:rsidRPr="002B62D4">
        <w:t>В Резолюции 146 (Пересм. Бухарест, 2022 г.) Генеральному секретарю поручается вновь созвать Группу экспертов по Регламенту международной электросвязи (ГЭ-РМЭ), открытую для Государств-Членов и Членов Секторов МСЭ, с кругом ведения и методами работы, которые устанавливает Совет МСЭ, и представить отчет ГЭ</w:t>
      </w:r>
      <w:r w:rsidR="00EA2C18" w:rsidRPr="002B62D4">
        <w:t>-</w:t>
      </w:r>
      <w:r w:rsidRPr="002B62D4">
        <w:t>РМЭ по результатам рассмотрения Совету для рассмотрения, опубликования и последующего представления Полномочной конференции 2026 года.</w:t>
      </w:r>
    </w:p>
    <w:p w14:paraId="6B870760" w14:textId="09602A59" w:rsidR="00FF220A" w:rsidRPr="002B62D4" w:rsidRDefault="000F3BFA" w:rsidP="00AF32B1">
      <w:pPr>
        <w:spacing w:line="260" w:lineRule="exact"/>
        <w:rPr>
          <w:rFonts w:cstheme="minorHAnsi"/>
          <w:iCs/>
          <w:szCs w:val="24"/>
        </w:rPr>
      </w:pPr>
      <w:r w:rsidRPr="002B62D4">
        <w:t xml:space="preserve">Важно подчеркнуть, что в этой резолюции </w:t>
      </w:r>
      <w:r w:rsidR="00AF32B1" w:rsidRPr="002B62D4">
        <w:t>"</w:t>
      </w:r>
      <w:r w:rsidRPr="002B62D4">
        <w:rPr>
          <w:i/>
          <w:iCs/>
        </w:rPr>
        <w:t xml:space="preserve">поручается Директорам Бюро 1) каждому в сфере своей компетенции, с использованием рекомендаций соответствующей Консультативной группы, вносить вклад в деятельность ГЭ-РМЭ, признавая, что Сектор стандартизации электросвязи МСЭ проводит основную часть работы, относящейся к РМЭ; 2) представить результаты своей работы ГЭ-РМЭ; </w:t>
      </w:r>
      <w:r w:rsidR="009B37FF" w:rsidRPr="002B62D4">
        <w:rPr>
          <w:i/>
          <w:iCs/>
        </w:rPr>
        <w:t xml:space="preserve">3) </w:t>
      </w:r>
      <w:r w:rsidRPr="002B62D4">
        <w:rPr>
          <w:i/>
          <w:iCs/>
        </w:rPr>
        <w:t>рассмотреть вопрос о предоставлении стипендий, при наличии ресурсов, для развивающихся</w:t>
      </w:r>
      <w:r w:rsidRPr="002B62D4">
        <w:rPr>
          <w:position w:val="6"/>
          <w:sz w:val="16"/>
          <w:szCs w:val="16"/>
        </w:rPr>
        <w:footnoteReference w:id="3"/>
      </w:r>
      <w:r w:rsidRPr="002B62D4">
        <w:rPr>
          <w:i/>
          <w:iCs/>
        </w:rPr>
        <w:t xml:space="preserve"> и наименее развитых стран, в соответствии со списком, установленным Организацией Объединенных Наций, чтобы расширить их участие в работе Группы экспертов</w:t>
      </w:r>
      <w:r w:rsidR="00AF32B1" w:rsidRPr="002B62D4">
        <w:rPr>
          <w:iCs/>
        </w:rPr>
        <w:t>"</w:t>
      </w:r>
      <w:r w:rsidRPr="002B62D4">
        <w:rPr>
          <w:iCs/>
        </w:rPr>
        <w:t>.</w:t>
      </w:r>
    </w:p>
    <w:p w14:paraId="572A5863" w14:textId="32C7E8BA" w:rsidR="002B39DC" w:rsidRPr="002B62D4" w:rsidRDefault="00AF32B1" w:rsidP="00AF32B1">
      <w:pPr>
        <w:pStyle w:val="Heading1"/>
        <w:spacing w:line="260" w:lineRule="exact"/>
        <w:rPr>
          <w:rFonts w:eastAsia="Calibri" w:cs="Calibri"/>
        </w:rPr>
      </w:pPr>
      <w:r w:rsidRPr="002B62D4">
        <w:t>3</w:t>
      </w:r>
      <w:r w:rsidRPr="002B62D4">
        <w:tab/>
      </w:r>
      <w:r w:rsidR="000F3BFA" w:rsidRPr="002B62D4">
        <w:t>Мероприятия</w:t>
      </w:r>
    </w:p>
    <w:p w14:paraId="2BCCDA47" w14:textId="5711151E" w:rsidR="002B39DC" w:rsidRPr="002B62D4" w:rsidRDefault="000F3BFA" w:rsidP="00AF32B1">
      <w:pPr>
        <w:spacing w:line="260" w:lineRule="exact"/>
      </w:pPr>
      <w:r w:rsidRPr="002B62D4">
        <w:t>ГЭ-РМЭ провела свое третье и четвертое собрания в штаб-квартире МСЭ в Женеве, Швейцария, 30</w:t>
      </w:r>
      <w:r w:rsidR="00AF32B1" w:rsidRPr="002B62D4">
        <w:t> </w:t>
      </w:r>
      <w:r w:rsidRPr="002B62D4">
        <w:t>сентября – 1 октября 2024 года и 20–21 февраля 2025 года, соответственно. Отчеты</w:t>
      </w:r>
      <w:r w:rsidR="00EA2C18" w:rsidRPr="002B62D4">
        <w:t xml:space="preserve"> о </w:t>
      </w:r>
      <w:hyperlink r:id="rId15" w:history="1">
        <w:r w:rsidRPr="002B62D4">
          <w:rPr>
            <w:rStyle w:val="Hyperlink"/>
            <w:rFonts w:eastAsia="Calibri" w:cs="Calibri"/>
            <w:szCs w:val="24"/>
          </w:rPr>
          <w:t>третье</w:t>
        </w:r>
      </w:hyperlink>
      <w:r w:rsidR="00EA2C18" w:rsidRPr="002B62D4">
        <w:rPr>
          <w:rStyle w:val="Hyperlink"/>
          <w:rFonts w:eastAsia="Calibri" w:cs="Calibri"/>
          <w:szCs w:val="24"/>
        </w:rPr>
        <w:t>м</w:t>
      </w:r>
      <w:r w:rsidRPr="002B62D4">
        <w:t xml:space="preserve"> и </w:t>
      </w:r>
      <w:hyperlink r:id="rId16" w:history="1">
        <w:r w:rsidRPr="002B62D4">
          <w:rPr>
            <w:rStyle w:val="Hyperlink"/>
            <w:rFonts w:eastAsia="Calibri" w:cs="Calibri"/>
            <w:szCs w:val="24"/>
          </w:rPr>
          <w:t>четверто</w:t>
        </w:r>
        <w:r w:rsidR="00EA2C18" w:rsidRPr="002B62D4">
          <w:rPr>
            <w:rStyle w:val="Hyperlink"/>
            <w:rFonts w:eastAsia="Calibri" w:cs="Calibri"/>
            <w:szCs w:val="24"/>
          </w:rPr>
          <w:t>м</w:t>
        </w:r>
      </w:hyperlink>
      <w:r w:rsidRPr="002B62D4">
        <w:t xml:space="preserve"> собрани</w:t>
      </w:r>
      <w:r w:rsidR="00EA2C18" w:rsidRPr="002B62D4">
        <w:t>ях</w:t>
      </w:r>
      <w:r w:rsidRPr="002B62D4">
        <w:t xml:space="preserve"> ГЭ-РМЭ были утверждены Группой.</w:t>
      </w:r>
    </w:p>
    <w:p w14:paraId="1835AD0B" w14:textId="7A79890E" w:rsidR="002B39DC" w:rsidRPr="002B62D4" w:rsidRDefault="00F25223" w:rsidP="00AF32B1">
      <w:pPr>
        <w:spacing w:line="260" w:lineRule="exact"/>
      </w:pPr>
      <w:r w:rsidRPr="002B62D4">
        <w:t xml:space="preserve">На </w:t>
      </w:r>
      <w:r w:rsidRPr="002B62D4">
        <w:rPr>
          <w:b/>
          <w:bCs/>
        </w:rPr>
        <w:t>третьем собрании</w:t>
      </w:r>
      <w:r w:rsidRPr="002B62D4">
        <w:t xml:space="preserve"> ГЭ-РМЭ Группа обсудила </w:t>
      </w:r>
      <w:hyperlink r:id="rId17" w:history="1">
        <w:r w:rsidRPr="002B62D4">
          <w:rPr>
            <w:rStyle w:val="Hyperlink"/>
            <w:rFonts w:eastAsia="Calibri" w:cs="Calibri"/>
            <w:szCs w:val="24"/>
          </w:rPr>
          <w:t>полученные вклады</w:t>
        </w:r>
      </w:hyperlink>
      <w:r w:rsidRPr="002B62D4">
        <w:t>, в том числе касающиеся новых тенденций, которые могут оказать воздействие на РМЭ, эмпирических данных о текущем использовании РМЭ, формата и содержания заключительного отчета Группы Совету 2026 года, а также другие вклады общего характера</w:t>
      </w:r>
      <w:r w:rsidR="007304EB" w:rsidRPr="002B62D4">
        <w:t>.</w:t>
      </w:r>
    </w:p>
    <w:p w14:paraId="3E0601DC" w14:textId="5954CB99" w:rsidR="002B39DC" w:rsidRPr="002B62D4" w:rsidRDefault="007304EB" w:rsidP="00AF32B1">
      <w:pPr>
        <w:spacing w:line="260" w:lineRule="exact"/>
      </w:pPr>
      <w:r w:rsidRPr="002B62D4">
        <w:t xml:space="preserve">На </w:t>
      </w:r>
      <w:r w:rsidRPr="002B62D4">
        <w:rPr>
          <w:b/>
          <w:bCs/>
        </w:rPr>
        <w:t>четвертом собрании</w:t>
      </w:r>
      <w:r w:rsidRPr="002B62D4">
        <w:t xml:space="preserve"> ГЭ-РМЭ Группа обсудила </w:t>
      </w:r>
      <w:hyperlink r:id="rId18" w:history="1">
        <w:r w:rsidRPr="002B62D4">
          <w:rPr>
            <w:rStyle w:val="Hyperlink"/>
            <w:rFonts w:eastAsia="Calibri" w:cs="Calibri"/>
            <w:szCs w:val="24"/>
          </w:rPr>
          <w:t>полученные вклады</w:t>
        </w:r>
      </w:hyperlink>
      <w:r w:rsidRPr="002B62D4">
        <w:t>, и собрание согласовало план Заключительного отчета Совету 2026 года, содержащийся в Приложении 1 к отчету о четвертом собрании. Группа также обратилась с просьбой к руководству и Секретариату подготовить первый проект заключительного отчета не позднее чем за месяц до следующего собрания ГЭ-РМЭ. Два</w:t>
      </w:r>
      <w:r w:rsidR="00AF32B1" w:rsidRPr="002B62D4">
        <w:t> </w:t>
      </w:r>
      <w:r w:rsidRPr="002B62D4">
        <w:t xml:space="preserve">заявления – от </w:t>
      </w:r>
      <w:r w:rsidR="00B2467C" w:rsidRPr="002B62D4">
        <w:t xml:space="preserve">компании Hill </w:t>
      </w:r>
      <w:r w:rsidRPr="002B62D4">
        <w:t>и Канады, соответственно, – также прилагаются в качестве Приложений 2 и 3 к отчету о четвертом собрании.</w:t>
      </w:r>
    </w:p>
    <w:p w14:paraId="4CD24F29" w14:textId="76F745CA" w:rsidR="002B39DC" w:rsidRPr="002B62D4" w:rsidRDefault="00A36C83" w:rsidP="00AF32B1">
      <w:pPr>
        <w:spacing w:line="260" w:lineRule="exact"/>
        <w:rPr>
          <w:rFonts w:eastAsia="Calibri"/>
          <w:lang w:eastAsia="zh-CN"/>
        </w:rPr>
      </w:pPr>
      <w:bookmarkStart w:id="10" w:name="_Hlk38891878"/>
      <w:r w:rsidRPr="002B62D4">
        <w:t>Учитывая повестку дня работы и полученные вклады по данным собраниям ГЭ-РМЭ, не было выявлено каких-либо конкретных вопросов, требующих действий со стороны БРЭ.</w:t>
      </w:r>
    </w:p>
    <w:p w14:paraId="4F456200" w14:textId="1F2A5BE8" w:rsidR="002602E5" w:rsidRPr="002B62D4" w:rsidRDefault="00AF32B1" w:rsidP="00AF32B1">
      <w:pPr>
        <w:pStyle w:val="Heading1"/>
        <w:spacing w:line="260" w:lineRule="exact"/>
        <w:rPr>
          <w:lang w:eastAsia="zh-CN"/>
        </w:rPr>
      </w:pPr>
      <w:r w:rsidRPr="002B62D4">
        <w:rPr>
          <w:lang w:eastAsia="zh-CN"/>
        </w:rPr>
        <w:t>4</w:t>
      </w:r>
      <w:r w:rsidRPr="002B62D4">
        <w:rPr>
          <w:lang w:eastAsia="zh-CN"/>
        </w:rPr>
        <w:tab/>
      </w:r>
      <w:r w:rsidR="00A36C83" w:rsidRPr="002B62D4">
        <w:rPr>
          <w:lang w:eastAsia="zh-CN"/>
        </w:rPr>
        <w:t>Дальнейшие шаги</w:t>
      </w:r>
    </w:p>
    <w:p w14:paraId="359D32BA" w14:textId="78838CB7" w:rsidR="00A36C83" w:rsidRPr="002B62D4" w:rsidRDefault="00A36C83" w:rsidP="00AF32B1">
      <w:pPr>
        <w:spacing w:line="260" w:lineRule="exact"/>
        <w:rPr>
          <w:b/>
          <w:bCs/>
          <w:lang w:eastAsia="zh-CN"/>
        </w:rPr>
      </w:pPr>
      <w:r w:rsidRPr="002B62D4">
        <w:rPr>
          <w:b/>
          <w:bCs/>
          <w:lang w:eastAsia="zh-CN"/>
        </w:rPr>
        <w:t>Отчет о ходе работы Совету 2025 года</w:t>
      </w:r>
      <w:r w:rsidRPr="002B62D4">
        <w:rPr>
          <w:lang w:eastAsia="zh-CN"/>
        </w:rPr>
        <w:t xml:space="preserve">: в соответствии с прошлой практикой собрание решило, что отчеты о третьем и четвертом собраниях Группы, состоявшихся в сентябре-октябре 2024 года и феврале 2025 года, соответственно, будут представлены Председателем в кратком документе с включением в него соответствующих гиперссылок и </w:t>
      </w:r>
      <w:r w:rsidR="00B2467C" w:rsidRPr="002B62D4">
        <w:rPr>
          <w:lang w:eastAsia="zh-CN"/>
        </w:rPr>
        <w:t>направлены</w:t>
      </w:r>
      <w:r w:rsidRPr="002B62D4">
        <w:rPr>
          <w:lang w:eastAsia="zh-CN"/>
        </w:rPr>
        <w:t xml:space="preserve"> в качестве отчета о ходе работы для рассмотрения Советом в 2025 году.</w:t>
      </w:r>
    </w:p>
    <w:p w14:paraId="5618EA8E" w14:textId="2CE8E761" w:rsidR="002602E5" w:rsidRPr="002B62D4" w:rsidRDefault="00A36C83" w:rsidP="00AF32B1">
      <w:pPr>
        <w:spacing w:line="260" w:lineRule="exact"/>
        <w:rPr>
          <w:lang w:eastAsia="zh-CN"/>
        </w:rPr>
      </w:pPr>
      <w:r w:rsidRPr="002B62D4">
        <w:rPr>
          <w:b/>
          <w:bCs/>
          <w:lang w:eastAsia="zh-CN"/>
        </w:rPr>
        <w:t>Заключительный отчет</w:t>
      </w:r>
      <w:r w:rsidRPr="002B62D4">
        <w:rPr>
          <w:lang w:eastAsia="zh-CN"/>
        </w:rPr>
        <w:t>: руководящий состав и Секретариат подготовят первый проект заключительного отчета не позднее чем за месяц до следующего собрания ГЭ-РМЭ.</w:t>
      </w:r>
    </w:p>
    <w:p w14:paraId="2DFAAF10" w14:textId="77777777" w:rsidR="00A36C83" w:rsidRPr="002B62D4" w:rsidRDefault="00A36C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 w:cstheme="minorHAnsi"/>
          <w:szCs w:val="24"/>
          <w:lang w:eastAsia="zh-CN"/>
        </w:rPr>
      </w:pPr>
      <w:r w:rsidRPr="002B62D4">
        <w:rPr>
          <w:rFonts w:eastAsia="Calibri" w:cstheme="minorHAnsi"/>
          <w:szCs w:val="24"/>
          <w:lang w:eastAsia="zh-CN"/>
        </w:rPr>
        <w:br w:type="page"/>
      </w:r>
    </w:p>
    <w:p w14:paraId="02FF933F" w14:textId="77777777" w:rsidR="003F3625" w:rsidRPr="002B62D4" w:rsidRDefault="002F6558" w:rsidP="003F3625">
      <w:pPr>
        <w:pStyle w:val="AnnexNo"/>
      </w:pPr>
      <w:r w:rsidRPr="002B62D4">
        <w:lastRenderedPageBreak/>
        <w:t>Annex 1</w:t>
      </w:r>
    </w:p>
    <w:p w14:paraId="690BB8F0" w14:textId="5DC8FF86" w:rsidR="008849B6" w:rsidRPr="002B62D4" w:rsidRDefault="002F6558" w:rsidP="003F3625">
      <w:pPr>
        <w:pStyle w:val="Annextitle"/>
      </w:pPr>
      <w:r w:rsidRPr="002B62D4">
        <w:t>Agenda and contributions of the Third EG-ITRs meeting (30 Sept.-1 Oct. 2024)</w:t>
      </w:r>
    </w:p>
    <w:bookmarkEnd w:id="10"/>
    <w:p w14:paraId="41B90E04" w14:textId="394D391E" w:rsidR="009B37FF" w:rsidRPr="002B62D4" w:rsidRDefault="009B37FF" w:rsidP="00FF220A">
      <w:pPr>
        <w:rPr>
          <w:szCs w:val="24"/>
        </w:rPr>
      </w:pPr>
    </w:p>
    <w:tbl>
      <w:tblPr>
        <w:tblpPr w:leftFromText="180" w:rightFromText="180" w:vertAnchor="page" w:horzAnchor="margin" w:tblpY="3316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3F3625" w:rsidRPr="002B62D4" w14:paraId="519F0F9C" w14:textId="77777777" w:rsidTr="003F362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255A5C9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1" w:name="_Hlk133421428"/>
            <w:bookmarkStart w:id="12" w:name="_Hlk133421839"/>
            <w:bookmarkStart w:id="13" w:name="_Hlk133421856"/>
            <w:bookmarkStart w:id="14" w:name="_Hlk133422370"/>
            <w:bookmarkStart w:id="15" w:name="_Hlk133586559"/>
          </w:p>
        </w:tc>
        <w:tc>
          <w:tcPr>
            <w:tcW w:w="5245" w:type="dxa"/>
          </w:tcPr>
          <w:p w14:paraId="36616651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</w:rPr>
            </w:pPr>
            <w:r w:rsidRPr="002B62D4">
              <w:rPr>
                <w:bCs/>
              </w:rPr>
              <w:t xml:space="preserve">Revision 3 to </w:t>
            </w:r>
            <w:r w:rsidRPr="002B62D4">
              <w:rPr>
                <w:bCs/>
              </w:rPr>
              <w:br/>
              <w:t>Document EG-ITRs-3/1-E</w:t>
            </w:r>
          </w:p>
        </w:tc>
      </w:tr>
      <w:tr w:rsidR="003F3625" w:rsidRPr="002B62D4" w14:paraId="676BBFB0" w14:textId="77777777" w:rsidTr="003F3625">
        <w:trPr>
          <w:cantSplit/>
        </w:trPr>
        <w:tc>
          <w:tcPr>
            <w:tcW w:w="3969" w:type="dxa"/>
            <w:vMerge/>
          </w:tcPr>
          <w:p w14:paraId="5E26B9DF" w14:textId="77777777" w:rsidR="003F3625" w:rsidRPr="002B62D4" w:rsidRDefault="003F3625" w:rsidP="003F36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EB596ED" w14:textId="77777777" w:rsidR="003F3625" w:rsidRPr="002B62D4" w:rsidRDefault="003F3625" w:rsidP="003F3625">
            <w:pPr>
              <w:tabs>
                <w:tab w:val="left" w:pos="851"/>
              </w:tabs>
              <w:spacing w:before="0"/>
              <w:jc w:val="right"/>
              <w:rPr>
                <w:bCs/>
              </w:rPr>
            </w:pPr>
            <w:r w:rsidRPr="002B62D4">
              <w:rPr>
                <w:bCs/>
              </w:rPr>
              <w:t>30 September 2024</w:t>
            </w:r>
          </w:p>
        </w:tc>
      </w:tr>
      <w:tr w:rsidR="003F3625" w:rsidRPr="002B62D4" w14:paraId="4A89EAD8" w14:textId="77777777" w:rsidTr="003F3625">
        <w:trPr>
          <w:cantSplit/>
          <w:trHeight w:val="23"/>
        </w:trPr>
        <w:tc>
          <w:tcPr>
            <w:tcW w:w="3969" w:type="dxa"/>
            <w:vMerge/>
          </w:tcPr>
          <w:p w14:paraId="2BA5A89E" w14:textId="77777777" w:rsidR="003F3625" w:rsidRPr="002B62D4" w:rsidRDefault="003F3625" w:rsidP="003F36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D427B89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</w:rPr>
            </w:pPr>
            <w:r w:rsidRPr="002B62D4">
              <w:rPr>
                <w:bCs/>
              </w:rPr>
              <w:t>English only</w:t>
            </w:r>
          </w:p>
        </w:tc>
      </w:tr>
      <w:tr w:rsidR="003F3625" w:rsidRPr="002B62D4" w14:paraId="2A2F8874" w14:textId="77777777" w:rsidTr="003F3625">
        <w:trPr>
          <w:cantSplit/>
          <w:trHeight w:val="668"/>
        </w:trPr>
        <w:tc>
          <w:tcPr>
            <w:tcW w:w="3969" w:type="dxa"/>
          </w:tcPr>
          <w:p w14:paraId="28034387" w14:textId="77777777" w:rsidR="003F3625" w:rsidRPr="002B62D4" w:rsidRDefault="003F3625" w:rsidP="003F36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0424A77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</w:rPr>
            </w:pPr>
          </w:p>
        </w:tc>
      </w:tr>
    </w:tbl>
    <w:bookmarkEnd w:id="12"/>
    <w:bookmarkEnd w:id="13"/>
    <w:bookmarkEnd w:id="14"/>
    <w:bookmarkEnd w:id="15"/>
    <w:p w14:paraId="6C5DCC8D" w14:textId="1317B5E9" w:rsidR="0044268E" w:rsidRPr="002B62D4" w:rsidRDefault="0044268E" w:rsidP="0044268E">
      <w:pPr>
        <w:pStyle w:val="TitleAgenda"/>
      </w:pPr>
      <w:r w:rsidRPr="002B62D4">
        <w:t>AGENDA</w:t>
      </w:r>
    </w:p>
    <w:p w14:paraId="657D340F" w14:textId="77777777" w:rsidR="0044268E" w:rsidRPr="002B62D4" w:rsidRDefault="0044268E" w:rsidP="0044268E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2B62D4">
        <w:t xml:space="preserve">EXPERT GROUP ON </w:t>
      </w:r>
      <w:r w:rsidRPr="002B62D4">
        <w:br/>
        <w:t>INTERNATIONAL TELECOMMUNICATION REGULATIONS</w:t>
      </w:r>
    </w:p>
    <w:p w14:paraId="0F430097" w14:textId="77777777" w:rsidR="0044268E" w:rsidRPr="002B62D4" w:rsidRDefault="0044268E" w:rsidP="0044268E">
      <w:pPr>
        <w:pStyle w:val="Meetingdate"/>
      </w:pPr>
      <w:r w:rsidRPr="002B62D4">
        <w:t>Monday, 30 September 2024, 0930 – 1230 and 1430 – 1730 hours</w:t>
      </w:r>
      <w:r w:rsidRPr="002B62D4">
        <w:br/>
        <w:t>Tuesday, 1 October 2024, 0930 – 1230 and 1430 – 1730 hours</w:t>
      </w:r>
    </w:p>
    <w:p w14:paraId="187A4BDE" w14:textId="77777777" w:rsidR="0044268E" w:rsidRPr="002B62D4" w:rsidRDefault="0044268E" w:rsidP="0044268E">
      <w:pPr>
        <w:pStyle w:val="Meetingroom"/>
      </w:pPr>
      <w:r w:rsidRPr="002B62D4">
        <w:t>Room Popov, ITU Headquarters, Geneva</w:t>
      </w:r>
    </w:p>
    <w:tbl>
      <w:tblPr>
        <w:tblStyle w:val="TableGrid"/>
        <w:tblW w:w="100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44268E" w:rsidRPr="002B62D4" w14:paraId="14424A66" w14:textId="77777777" w:rsidTr="003E362C">
        <w:trPr>
          <w:cantSplit/>
          <w:jc w:val="center"/>
        </w:trPr>
        <w:tc>
          <w:tcPr>
            <w:tcW w:w="852" w:type="dxa"/>
          </w:tcPr>
          <w:p w14:paraId="26BD412B" w14:textId="77777777" w:rsidR="0044268E" w:rsidRPr="002B62D4" w:rsidRDefault="0044268E" w:rsidP="003E362C">
            <w:pPr>
              <w:pStyle w:val="Tablehead"/>
            </w:pPr>
            <w:r w:rsidRPr="002B62D4">
              <w:t>Item</w:t>
            </w:r>
          </w:p>
        </w:tc>
        <w:tc>
          <w:tcPr>
            <w:tcW w:w="6974" w:type="dxa"/>
          </w:tcPr>
          <w:p w14:paraId="4579C6F8" w14:textId="77777777" w:rsidR="0044268E" w:rsidRPr="002B62D4" w:rsidRDefault="0044268E" w:rsidP="003E362C">
            <w:pPr>
              <w:pStyle w:val="Tablehead"/>
            </w:pPr>
          </w:p>
        </w:tc>
        <w:tc>
          <w:tcPr>
            <w:tcW w:w="2268" w:type="dxa"/>
          </w:tcPr>
          <w:p w14:paraId="6BD2E258" w14:textId="77777777" w:rsidR="0044268E" w:rsidRPr="002B62D4" w:rsidRDefault="0044268E" w:rsidP="003E362C">
            <w:pPr>
              <w:pStyle w:val="Tablehead"/>
            </w:pPr>
            <w:r w:rsidRPr="002B62D4">
              <w:t>Documents</w:t>
            </w:r>
          </w:p>
        </w:tc>
      </w:tr>
      <w:tr w:rsidR="0044268E" w:rsidRPr="002B62D4" w14:paraId="6C45B721" w14:textId="77777777" w:rsidTr="003E362C">
        <w:trPr>
          <w:cantSplit/>
          <w:jc w:val="center"/>
        </w:trPr>
        <w:tc>
          <w:tcPr>
            <w:tcW w:w="852" w:type="dxa"/>
          </w:tcPr>
          <w:p w14:paraId="4E2CEB6B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1</w:t>
            </w:r>
          </w:p>
        </w:tc>
        <w:tc>
          <w:tcPr>
            <w:tcW w:w="6974" w:type="dxa"/>
          </w:tcPr>
          <w:p w14:paraId="2C5042D6" w14:textId="77777777" w:rsidR="0044268E" w:rsidRPr="002B62D4" w:rsidRDefault="0044268E" w:rsidP="003E362C">
            <w:pPr>
              <w:pStyle w:val="Tabletext"/>
            </w:pPr>
            <w:r w:rsidRPr="002B62D4">
              <w:t>Introductory remarks</w:t>
            </w:r>
          </w:p>
        </w:tc>
        <w:tc>
          <w:tcPr>
            <w:tcW w:w="2268" w:type="dxa"/>
          </w:tcPr>
          <w:p w14:paraId="1E20D2DA" w14:textId="77777777" w:rsidR="0044268E" w:rsidRPr="002B62D4" w:rsidRDefault="0044268E" w:rsidP="003E362C">
            <w:pPr>
              <w:pStyle w:val="Tabletext"/>
              <w:jc w:val="center"/>
            </w:pPr>
          </w:p>
        </w:tc>
      </w:tr>
      <w:tr w:rsidR="0044268E" w:rsidRPr="002B62D4" w14:paraId="0518FF3B" w14:textId="77777777" w:rsidTr="003E362C">
        <w:trPr>
          <w:cantSplit/>
          <w:jc w:val="center"/>
        </w:trPr>
        <w:tc>
          <w:tcPr>
            <w:tcW w:w="852" w:type="dxa"/>
          </w:tcPr>
          <w:p w14:paraId="498F6732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2</w:t>
            </w:r>
          </w:p>
        </w:tc>
        <w:tc>
          <w:tcPr>
            <w:tcW w:w="6974" w:type="dxa"/>
          </w:tcPr>
          <w:p w14:paraId="1D76CCE5" w14:textId="77777777" w:rsidR="0044268E" w:rsidRPr="002B62D4" w:rsidRDefault="0044268E" w:rsidP="003E362C">
            <w:pPr>
              <w:pStyle w:val="Tabletext"/>
            </w:pPr>
            <w:r w:rsidRPr="002B62D4">
              <w:t>Adoption of the Agenda and allocation of documents</w:t>
            </w:r>
          </w:p>
        </w:tc>
        <w:tc>
          <w:tcPr>
            <w:tcW w:w="2268" w:type="dxa"/>
          </w:tcPr>
          <w:p w14:paraId="719F3DF6" w14:textId="77777777" w:rsidR="0044268E" w:rsidRPr="002B62D4" w:rsidRDefault="0044268E" w:rsidP="003E362C">
            <w:pPr>
              <w:pStyle w:val="Tabletext"/>
              <w:jc w:val="center"/>
            </w:pPr>
            <w:r w:rsidRPr="002B62D4">
              <w:t>EG-ITRs-3/1(Rev.3)</w:t>
            </w:r>
          </w:p>
        </w:tc>
      </w:tr>
      <w:tr w:rsidR="0044268E" w:rsidRPr="002B62D4" w14:paraId="6CEA0045" w14:textId="77777777" w:rsidTr="003E362C">
        <w:trPr>
          <w:cantSplit/>
          <w:jc w:val="center"/>
        </w:trPr>
        <w:tc>
          <w:tcPr>
            <w:tcW w:w="852" w:type="dxa"/>
          </w:tcPr>
          <w:p w14:paraId="2B042D76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3</w:t>
            </w:r>
          </w:p>
        </w:tc>
        <w:tc>
          <w:tcPr>
            <w:tcW w:w="6974" w:type="dxa"/>
          </w:tcPr>
          <w:p w14:paraId="5A50D617" w14:textId="77777777" w:rsidR="0044268E" w:rsidRPr="002B62D4" w:rsidRDefault="0044268E" w:rsidP="003E362C">
            <w:pPr>
              <w:pStyle w:val="Tabletext"/>
            </w:pPr>
            <w:r w:rsidRPr="002B62D4">
              <w:t>Discussion on contributions received on new trends which may impact the ITRs</w:t>
            </w:r>
          </w:p>
        </w:tc>
        <w:tc>
          <w:tcPr>
            <w:tcW w:w="2268" w:type="dxa"/>
          </w:tcPr>
          <w:p w14:paraId="6A322278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19" w:history="1">
              <w:r w:rsidRPr="002B62D4">
                <w:rPr>
                  <w:rStyle w:val="Hyperlink"/>
                  <w:rFonts w:cs="Calibri"/>
                </w:rPr>
                <w:t>EG-ITRs-3/2</w:t>
              </w:r>
            </w:hyperlink>
          </w:p>
          <w:p w14:paraId="206147F0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0" w:history="1">
              <w:r w:rsidRPr="002B62D4">
                <w:rPr>
                  <w:rStyle w:val="Hyperlink"/>
                  <w:rFonts w:cs="Calibri"/>
                </w:rPr>
                <w:t>EG-ITRs-3/6</w:t>
              </w:r>
            </w:hyperlink>
          </w:p>
          <w:p w14:paraId="4F117CB5" w14:textId="77777777" w:rsidR="0044268E" w:rsidRPr="002B62D4" w:rsidRDefault="0044268E" w:rsidP="003E362C">
            <w:pPr>
              <w:pStyle w:val="Tabletext"/>
              <w:jc w:val="center"/>
            </w:pPr>
            <w:hyperlink r:id="rId21" w:history="1">
              <w:r w:rsidRPr="002B62D4">
                <w:rPr>
                  <w:rStyle w:val="Hyperlink"/>
                  <w:rFonts w:cs="Calibri"/>
                </w:rPr>
                <w:t>EG-ITRs-3/11</w:t>
              </w:r>
            </w:hyperlink>
          </w:p>
        </w:tc>
      </w:tr>
      <w:tr w:rsidR="0044268E" w:rsidRPr="002B62D4" w14:paraId="625E8491" w14:textId="77777777" w:rsidTr="003E362C">
        <w:trPr>
          <w:cantSplit/>
          <w:jc w:val="center"/>
        </w:trPr>
        <w:tc>
          <w:tcPr>
            <w:tcW w:w="852" w:type="dxa"/>
          </w:tcPr>
          <w:p w14:paraId="68195312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4</w:t>
            </w:r>
          </w:p>
        </w:tc>
        <w:tc>
          <w:tcPr>
            <w:tcW w:w="6974" w:type="dxa"/>
          </w:tcPr>
          <w:p w14:paraId="2E94CB0F" w14:textId="77777777" w:rsidR="0044268E" w:rsidRPr="002B62D4" w:rsidRDefault="0044268E" w:rsidP="003E362C">
            <w:pPr>
              <w:pStyle w:val="Tabletext"/>
            </w:pPr>
            <w:r w:rsidRPr="002B62D4">
              <w:t>Discussion on contributions received on empirical data on the current use of the ITRs</w:t>
            </w:r>
          </w:p>
        </w:tc>
        <w:tc>
          <w:tcPr>
            <w:tcW w:w="2268" w:type="dxa"/>
          </w:tcPr>
          <w:p w14:paraId="1D3EB90C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2" w:history="1">
              <w:r w:rsidRPr="002B62D4">
                <w:rPr>
                  <w:rStyle w:val="Hyperlink"/>
                  <w:rFonts w:cs="Calibri"/>
                </w:rPr>
                <w:t>EG-ITRs-3/7</w:t>
              </w:r>
            </w:hyperlink>
          </w:p>
          <w:p w14:paraId="0A4DB67D" w14:textId="77777777" w:rsidR="0044268E" w:rsidRPr="002B62D4" w:rsidRDefault="0044268E" w:rsidP="003E362C">
            <w:pPr>
              <w:pStyle w:val="Tabletext"/>
              <w:jc w:val="center"/>
            </w:pPr>
            <w:hyperlink r:id="rId23" w:history="1">
              <w:r w:rsidRPr="002B62D4">
                <w:rPr>
                  <w:rStyle w:val="Hyperlink"/>
                  <w:rFonts w:cs="Calibri"/>
                </w:rPr>
                <w:t>EG-ITRs-3/9</w:t>
              </w:r>
            </w:hyperlink>
          </w:p>
        </w:tc>
      </w:tr>
      <w:tr w:rsidR="0044268E" w:rsidRPr="002B62D4" w14:paraId="59E2AE6F" w14:textId="77777777" w:rsidTr="003E362C">
        <w:trPr>
          <w:cantSplit/>
          <w:jc w:val="center"/>
        </w:trPr>
        <w:tc>
          <w:tcPr>
            <w:tcW w:w="852" w:type="dxa"/>
          </w:tcPr>
          <w:p w14:paraId="5F10A07E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5</w:t>
            </w:r>
          </w:p>
        </w:tc>
        <w:tc>
          <w:tcPr>
            <w:tcW w:w="6974" w:type="dxa"/>
          </w:tcPr>
          <w:p w14:paraId="1BE9D83E" w14:textId="77777777" w:rsidR="0044268E" w:rsidRPr="002B62D4" w:rsidRDefault="0044268E" w:rsidP="003E362C">
            <w:pPr>
              <w:pStyle w:val="Tabletext"/>
            </w:pPr>
            <w:r w:rsidRPr="002B62D4">
              <w:t>Discussion on general contributions received</w:t>
            </w:r>
          </w:p>
        </w:tc>
        <w:tc>
          <w:tcPr>
            <w:tcW w:w="2268" w:type="dxa"/>
          </w:tcPr>
          <w:p w14:paraId="75198D86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4" w:history="1">
              <w:r w:rsidRPr="002B62D4">
                <w:rPr>
                  <w:rStyle w:val="Hyperlink"/>
                  <w:rFonts w:cs="Calibri"/>
                </w:rPr>
                <w:t>EG-ITRs-3/3</w:t>
              </w:r>
            </w:hyperlink>
          </w:p>
          <w:p w14:paraId="70574710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5" w:history="1">
              <w:r w:rsidRPr="002B62D4">
                <w:rPr>
                  <w:rStyle w:val="Hyperlink"/>
                  <w:rFonts w:cs="Calibri"/>
                </w:rPr>
                <w:t>EG-ITRs-3/5</w:t>
              </w:r>
            </w:hyperlink>
          </w:p>
          <w:p w14:paraId="5F4E148A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6" w:history="1">
              <w:r w:rsidRPr="002B62D4">
                <w:rPr>
                  <w:rStyle w:val="Hyperlink"/>
                  <w:rFonts w:cs="Calibri"/>
                </w:rPr>
                <w:t>EG-ITRs-3/8</w:t>
              </w:r>
            </w:hyperlink>
          </w:p>
          <w:p w14:paraId="5176E958" w14:textId="77777777" w:rsidR="0044268E" w:rsidRPr="002B62D4" w:rsidRDefault="0044268E" w:rsidP="003E362C">
            <w:pPr>
              <w:pStyle w:val="Tabletext"/>
              <w:jc w:val="center"/>
            </w:pPr>
            <w:hyperlink r:id="rId27" w:history="1">
              <w:r w:rsidRPr="002B62D4">
                <w:rPr>
                  <w:rStyle w:val="Hyperlink"/>
                  <w:rFonts w:cs="Calibri"/>
                </w:rPr>
                <w:t>EG-ITRs-3/10</w:t>
              </w:r>
            </w:hyperlink>
          </w:p>
        </w:tc>
      </w:tr>
      <w:tr w:rsidR="0044268E" w:rsidRPr="002B62D4" w14:paraId="024A801D" w14:textId="77777777" w:rsidTr="003E362C">
        <w:trPr>
          <w:cantSplit/>
          <w:jc w:val="center"/>
        </w:trPr>
        <w:tc>
          <w:tcPr>
            <w:tcW w:w="852" w:type="dxa"/>
          </w:tcPr>
          <w:p w14:paraId="684AAD84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6</w:t>
            </w:r>
          </w:p>
        </w:tc>
        <w:tc>
          <w:tcPr>
            <w:tcW w:w="6974" w:type="dxa"/>
          </w:tcPr>
          <w:p w14:paraId="13EF8EF3" w14:textId="77777777" w:rsidR="0044268E" w:rsidRPr="002B62D4" w:rsidRDefault="0044268E" w:rsidP="003E362C">
            <w:pPr>
              <w:pStyle w:val="Tabletext"/>
            </w:pPr>
            <w:r w:rsidRPr="002B62D4">
              <w:t>Format and Content of Final Report</w:t>
            </w:r>
          </w:p>
        </w:tc>
        <w:tc>
          <w:tcPr>
            <w:tcW w:w="2268" w:type="dxa"/>
          </w:tcPr>
          <w:p w14:paraId="684BCCA1" w14:textId="77777777" w:rsidR="0044268E" w:rsidRPr="002B62D4" w:rsidRDefault="0044268E" w:rsidP="003E362C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8" w:history="1">
              <w:r w:rsidRPr="002B62D4">
                <w:rPr>
                  <w:rStyle w:val="Hyperlink"/>
                  <w:rFonts w:cs="Calibri"/>
                </w:rPr>
                <w:t>EG-ITRs-3/4</w:t>
              </w:r>
            </w:hyperlink>
          </w:p>
          <w:p w14:paraId="3EF619D9" w14:textId="77777777" w:rsidR="0044268E" w:rsidRPr="002B62D4" w:rsidRDefault="0044268E" w:rsidP="003E362C">
            <w:pPr>
              <w:pStyle w:val="Tabletext"/>
              <w:jc w:val="center"/>
              <w:rPr>
                <w:rFonts w:cs="Calibri"/>
              </w:rPr>
            </w:pPr>
            <w:hyperlink r:id="rId29" w:history="1">
              <w:r w:rsidRPr="002B62D4">
                <w:rPr>
                  <w:rStyle w:val="Hyperlink"/>
                  <w:rFonts w:cs="Calibri"/>
                </w:rPr>
                <w:t>EG-ITRs-3/10</w:t>
              </w:r>
            </w:hyperlink>
          </w:p>
        </w:tc>
      </w:tr>
      <w:tr w:rsidR="0044268E" w:rsidRPr="002B62D4" w14:paraId="2EE511AC" w14:textId="77777777" w:rsidTr="003E362C">
        <w:trPr>
          <w:cantSplit/>
          <w:jc w:val="center"/>
        </w:trPr>
        <w:tc>
          <w:tcPr>
            <w:tcW w:w="852" w:type="dxa"/>
          </w:tcPr>
          <w:p w14:paraId="7F2189AF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7</w:t>
            </w:r>
          </w:p>
        </w:tc>
        <w:tc>
          <w:tcPr>
            <w:tcW w:w="6974" w:type="dxa"/>
          </w:tcPr>
          <w:p w14:paraId="44AC04C6" w14:textId="77777777" w:rsidR="0044268E" w:rsidRPr="002B62D4" w:rsidRDefault="0044268E" w:rsidP="003E362C">
            <w:pPr>
              <w:pStyle w:val="Tabletext"/>
            </w:pPr>
            <w:r w:rsidRPr="002B62D4">
              <w:t>Next steps</w:t>
            </w:r>
          </w:p>
        </w:tc>
        <w:tc>
          <w:tcPr>
            <w:tcW w:w="2268" w:type="dxa"/>
          </w:tcPr>
          <w:p w14:paraId="163FF6A0" w14:textId="77777777" w:rsidR="0044268E" w:rsidRPr="002B62D4" w:rsidRDefault="0044268E" w:rsidP="003E362C">
            <w:pPr>
              <w:pStyle w:val="Tabletext"/>
              <w:jc w:val="center"/>
            </w:pPr>
          </w:p>
        </w:tc>
      </w:tr>
      <w:tr w:rsidR="0044268E" w:rsidRPr="002B62D4" w14:paraId="5A21E250" w14:textId="77777777" w:rsidTr="003E362C">
        <w:trPr>
          <w:cantSplit/>
          <w:jc w:val="center"/>
        </w:trPr>
        <w:tc>
          <w:tcPr>
            <w:tcW w:w="852" w:type="dxa"/>
          </w:tcPr>
          <w:p w14:paraId="24E3BA25" w14:textId="77777777" w:rsidR="0044268E" w:rsidRPr="002B62D4" w:rsidRDefault="0044268E" w:rsidP="003E362C">
            <w:pPr>
              <w:pStyle w:val="Tabletext"/>
              <w:jc w:val="center"/>
              <w:rPr>
                <w:b/>
              </w:rPr>
            </w:pPr>
            <w:r w:rsidRPr="002B62D4">
              <w:rPr>
                <w:b/>
              </w:rPr>
              <w:t>8</w:t>
            </w:r>
          </w:p>
        </w:tc>
        <w:tc>
          <w:tcPr>
            <w:tcW w:w="6974" w:type="dxa"/>
          </w:tcPr>
          <w:p w14:paraId="4F68DBEE" w14:textId="77777777" w:rsidR="0044268E" w:rsidRPr="002B62D4" w:rsidRDefault="0044268E" w:rsidP="003E362C">
            <w:pPr>
              <w:pStyle w:val="Tabletext"/>
            </w:pPr>
            <w:r w:rsidRPr="002B62D4">
              <w:t>Any other business</w:t>
            </w:r>
          </w:p>
        </w:tc>
        <w:tc>
          <w:tcPr>
            <w:tcW w:w="2268" w:type="dxa"/>
          </w:tcPr>
          <w:p w14:paraId="04CA2609" w14:textId="77777777" w:rsidR="0044268E" w:rsidRPr="002B62D4" w:rsidRDefault="0044268E" w:rsidP="003E362C">
            <w:pPr>
              <w:pStyle w:val="Tabletext"/>
              <w:jc w:val="center"/>
            </w:pPr>
          </w:p>
        </w:tc>
      </w:tr>
    </w:tbl>
    <w:bookmarkEnd w:id="11"/>
    <w:p w14:paraId="3D2B85FB" w14:textId="22A5AAEB" w:rsidR="0044268E" w:rsidRPr="002B62D4" w:rsidRDefault="002B62D4" w:rsidP="3E878637">
      <w:pPr>
        <w:pStyle w:val="Signature"/>
      </w:pPr>
      <w:r w:rsidRPr="002B62D4">
        <w:t>Shahira SELIM</w:t>
      </w:r>
      <w:r w:rsidRPr="002B62D4">
        <w:br/>
        <w:t>Chair</w:t>
      </w:r>
    </w:p>
    <w:p w14:paraId="1231CCFC" w14:textId="08A93DF8" w:rsidR="0044268E" w:rsidRPr="002B62D4" w:rsidRDefault="0099768B" w:rsidP="3E878637">
      <w:r w:rsidRPr="002B62D4">
        <w:br w:type="page"/>
      </w:r>
    </w:p>
    <w:p w14:paraId="0C8F23D2" w14:textId="322CC435" w:rsidR="003F3625" w:rsidRPr="002B62D4" w:rsidRDefault="0044268E" w:rsidP="003F3625">
      <w:pPr>
        <w:pStyle w:val="AnnexNo"/>
      </w:pPr>
      <w:r w:rsidRPr="002B62D4">
        <w:lastRenderedPageBreak/>
        <w:t>Anne</w:t>
      </w:r>
      <w:r w:rsidR="009A0E45" w:rsidRPr="002B62D4">
        <w:t>x 2</w:t>
      </w:r>
    </w:p>
    <w:p w14:paraId="62B1B9EA" w14:textId="391F9B21" w:rsidR="00D83BF5" w:rsidRPr="002B62D4" w:rsidRDefault="008B5072" w:rsidP="003F3625">
      <w:pPr>
        <w:pStyle w:val="Annextitle"/>
      </w:pPr>
      <w:r w:rsidRPr="002B62D4">
        <w:t>Agenda and contributions of the Fourth EG-ITRs meeting (20-21 February 2025)</w:t>
      </w:r>
    </w:p>
    <w:p w14:paraId="6F4431D2" w14:textId="77777777" w:rsidR="003F3625" w:rsidRPr="002B62D4" w:rsidRDefault="003F3625" w:rsidP="003F3625"/>
    <w:tbl>
      <w:tblPr>
        <w:tblpPr w:leftFromText="180" w:rightFromText="180" w:vertAnchor="page" w:horzAnchor="margin" w:tblpY="3076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3F3625" w:rsidRPr="002B62D4" w14:paraId="0E2F4123" w14:textId="77777777" w:rsidTr="003F362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B95551F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AEF6CD7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</w:rPr>
            </w:pPr>
            <w:r w:rsidRPr="002B62D4">
              <w:rPr>
                <w:bCs/>
              </w:rPr>
              <w:t>Revision 1 to</w:t>
            </w:r>
            <w:r w:rsidRPr="002B62D4">
              <w:rPr>
                <w:bCs/>
              </w:rPr>
              <w:br/>
              <w:t>Document EG-ITRs-4/1</w:t>
            </w:r>
          </w:p>
        </w:tc>
      </w:tr>
      <w:tr w:rsidR="003F3625" w:rsidRPr="002B62D4" w14:paraId="747B3EA7" w14:textId="77777777" w:rsidTr="003F3625">
        <w:trPr>
          <w:cantSplit/>
        </w:trPr>
        <w:tc>
          <w:tcPr>
            <w:tcW w:w="3969" w:type="dxa"/>
            <w:vMerge/>
          </w:tcPr>
          <w:p w14:paraId="45E284B3" w14:textId="77777777" w:rsidR="003F3625" w:rsidRPr="002B62D4" w:rsidRDefault="003F3625" w:rsidP="003F36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E09AE95" w14:textId="77777777" w:rsidR="003F3625" w:rsidRPr="002B62D4" w:rsidRDefault="003F3625" w:rsidP="003F3625">
            <w:pPr>
              <w:tabs>
                <w:tab w:val="left" w:pos="851"/>
              </w:tabs>
              <w:spacing w:before="0"/>
              <w:jc w:val="right"/>
              <w:rPr>
                <w:bCs/>
              </w:rPr>
            </w:pPr>
            <w:r w:rsidRPr="002B62D4">
              <w:rPr>
                <w:bCs/>
              </w:rPr>
              <w:t>17 February 2025</w:t>
            </w:r>
          </w:p>
        </w:tc>
      </w:tr>
      <w:tr w:rsidR="003F3625" w:rsidRPr="002B62D4" w14:paraId="1DA3EA78" w14:textId="77777777" w:rsidTr="003F3625">
        <w:trPr>
          <w:cantSplit/>
          <w:trHeight w:val="23"/>
        </w:trPr>
        <w:tc>
          <w:tcPr>
            <w:tcW w:w="3969" w:type="dxa"/>
            <w:vMerge/>
          </w:tcPr>
          <w:p w14:paraId="371F732C" w14:textId="77777777" w:rsidR="003F3625" w:rsidRPr="002B62D4" w:rsidRDefault="003F3625" w:rsidP="003F36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C92250B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</w:rPr>
            </w:pPr>
            <w:r w:rsidRPr="002B62D4">
              <w:rPr>
                <w:bCs/>
              </w:rPr>
              <w:t>English only</w:t>
            </w:r>
          </w:p>
        </w:tc>
      </w:tr>
      <w:tr w:rsidR="003F3625" w:rsidRPr="002B62D4" w14:paraId="6E937E8B" w14:textId="77777777" w:rsidTr="003F3625">
        <w:trPr>
          <w:cantSplit/>
          <w:trHeight w:val="23"/>
        </w:trPr>
        <w:tc>
          <w:tcPr>
            <w:tcW w:w="3969" w:type="dxa"/>
          </w:tcPr>
          <w:p w14:paraId="3466BE68" w14:textId="77777777" w:rsidR="003F3625" w:rsidRPr="002B62D4" w:rsidRDefault="003F3625" w:rsidP="003F36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4A37A30" w14:textId="77777777" w:rsidR="003F3625" w:rsidRPr="002B62D4" w:rsidRDefault="003F3625" w:rsidP="003F36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2C94C048" w14:textId="77777777" w:rsidR="008B5072" w:rsidRPr="002B62D4" w:rsidRDefault="008B5072" w:rsidP="008B5072">
      <w:pPr>
        <w:pStyle w:val="TitleAgenda"/>
      </w:pPr>
      <w:r w:rsidRPr="002B62D4">
        <w:t>DRAFT AGENDA</w:t>
      </w:r>
    </w:p>
    <w:p w14:paraId="61A15588" w14:textId="77777777" w:rsidR="008B5072" w:rsidRPr="002B62D4" w:rsidRDefault="008B5072" w:rsidP="008B5072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 w:rsidRPr="002B62D4">
        <w:t xml:space="preserve">EXPERT GROUP ON </w:t>
      </w:r>
      <w:r w:rsidRPr="002B62D4">
        <w:br/>
        <w:t>INTERNATIONAL TELECOMMUNICATION REGULATIONS</w:t>
      </w:r>
    </w:p>
    <w:p w14:paraId="055B3846" w14:textId="77777777" w:rsidR="008B5072" w:rsidRPr="002B62D4" w:rsidRDefault="008B5072" w:rsidP="008B5072">
      <w:pPr>
        <w:pStyle w:val="Meetingdate"/>
      </w:pPr>
      <w:r w:rsidRPr="002B62D4">
        <w:t>Thursday, 20 February 2025, 1430 – 1730 hours</w:t>
      </w:r>
      <w:r w:rsidRPr="002B62D4">
        <w:br/>
        <w:t>and</w:t>
      </w:r>
      <w:r w:rsidRPr="002B62D4">
        <w:br/>
        <w:t>Friday, 21 February 2025, 0900 – 1200 and 1430 – 1730 hours</w:t>
      </w:r>
    </w:p>
    <w:p w14:paraId="178A7E32" w14:textId="77777777" w:rsidR="008B5072" w:rsidRPr="002B62D4" w:rsidRDefault="008B5072" w:rsidP="008B5072">
      <w:pPr>
        <w:pStyle w:val="Meetingroom"/>
      </w:pPr>
      <w:r w:rsidRPr="002B62D4">
        <w:t>Room A, ITU Headquarters, Geneva</w:t>
      </w:r>
    </w:p>
    <w:tbl>
      <w:tblPr>
        <w:tblStyle w:val="TableGrid"/>
        <w:tblW w:w="903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5"/>
        <w:gridCol w:w="1660"/>
      </w:tblGrid>
      <w:tr w:rsidR="008B5072" w:rsidRPr="002B62D4" w14:paraId="32AB1E57" w14:textId="77777777" w:rsidTr="003E362C">
        <w:trPr>
          <w:cantSplit/>
          <w:jc w:val="center"/>
        </w:trPr>
        <w:tc>
          <w:tcPr>
            <w:tcW w:w="846" w:type="dxa"/>
          </w:tcPr>
          <w:p w14:paraId="3717F073" w14:textId="77777777" w:rsidR="008B5072" w:rsidRPr="002B62D4" w:rsidRDefault="008B5072" w:rsidP="003E362C">
            <w:pPr>
              <w:pStyle w:val="Tablehead"/>
            </w:pPr>
            <w:r w:rsidRPr="002B62D4">
              <w:t>Item</w:t>
            </w:r>
          </w:p>
        </w:tc>
        <w:tc>
          <w:tcPr>
            <w:tcW w:w="6525" w:type="dxa"/>
          </w:tcPr>
          <w:p w14:paraId="2C702CAB" w14:textId="77777777" w:rsidR="008B5072" w:rsidRPr="002B62D4" w:rsidRDefault="008B5072" w:rsidP="003E362C">
            <w:pPr>
              <w:pStyle w:val="Tablehead"/>
            </w:pPr>
          </w:p>
        </w:tc>
        <w:tc>
          <w:tcPr>
            <w:tcW w:w="1660" w:type="dxa"/>
          </w:tcPr>
          <w:p w14:paraId="666E5B22" w14:textId="77777777" w:rsidR="008B5072" w:rsidRPr="002B62D4" w:rsidRDefault="008B5072" w:rsidP="003E362C">
            <w:pPr>
              <w:pStyle w:val="Tablehead"/>
            </w:pPr>
            <w:r w:rsidRPr="002B62D4">
              <w:t>Documents</w:t>
            </w:r>
          </w:p>
        </w:tc>
      </w:tr>
      <w:tr w:rsidR="008B5072" w:rsidRPr="002B62D4" w14:paraId="3472413E" w14:textId="77777777" w:rsidTr="003E362C">
        <w:trPr>
          <w:cantSplit/>
          <w:jc w:val="center"/>
        </w:trPr>
        <w:tc>
          <w:tcPr>
            <w:tcW w:w="846" w:type="dxa"/>
          </w:tcPr>
          <w:p w14:paraId="69B7B42A" w14:textId="77777777" w:rsidR="008B5072" w:rsidRPr="002B62D4" w:rsidRDefault="008B5072" w:rsidP="003E362C">
            <w:pPr>
              <w:pStyle w:val="Tabletext"/>
              <w:jc w:val="center"/>
              <w:rPr>
                <w:b/>
                <w:bCs/>
              </w:rPr>
            </w:pPr>
            <w:r w:rsidRPr="002B62D4">
              <w:rPr>
                <w:b/>
              </w:rPr>
              <w:t>1</w:t>
            </w:r>
          </w:p>
        </w:tc>
        <w:tc>
          <w:tcPr>
            <w:tcW w:w="6525" w:type="dxa"/>
          </w:tcPr>
          <w:p w14:paraId="478790D0" w14:textId="77777777" w:rsidR="008B5072" w:rsidRPr="002B62D4" w:rsidRDefault="008B5072" w:rsidP="003E362C">
            <w:pPr>
              <w:pStyle w:val="Tabletext"/>
              <w:rPr>
                <w:highlight w:val="yellow"/>
              </w:rPr>
            </w:pPr>
            <w:r w:rsidRPr="002B62D4">
              <w:t>Introductory remarks</w:t>
            </w:r>
          </w:p>
        </w:tc>
        <w:tc>
          <w:tcPr>
            <w:tcW w:w="1660" w:type="dxa"/>
            <w:vAlign w:val="bottom"/>
          </w:tcPr>
          <w:p w14:paraId="36CB686F" w14:textId="77777777" w:rsidR="008B5072" w:rsidRPr="002B62D4" w:rsidRDefault="008B5072" w:rsidP="003E362C">
            <w:pPr>
              <w:pStyle w:val="Tabletext"/>
              <w:jc w:val="center"/>
            </w:pPr>
          </w:p>
        </w:tc>
      </w:tr>
      <w:tr w:rsidR="008B5072" w:rsidRPr="002B62D4" w14:paraId="72CA0B98" w14:textId="77777777" w:rsidTr="003E362C">
        <w:trPr>
          <w:cantSplit/>
          <w:jc w:val="center"/>
        </w:trPr>
        <w:tc>
          <w:tcPr>
            <w:tcW w:w="846" w:type="dxa"/>
          </w:tcPr>
          <w:p w14:paraId="1E3DB5FA" w14:textId="77777777" w:rsidR="008B5072" w:rsidRPr="002B62D4" w:rsidRDefault="008B5072" w:rsidP="003E362C">
            <w:pPr>
              <w:pStyle w:val="Tabletext"/>
              <w:jc w:val="center"/>
              <w:rPr>
                <w:b/>
                <w:bCs/>
              </w:rPr>
            </w:pPr>
            <w:r w:rsidRPr="002B62D4">
              <w:rPr>
                <w:b/>
              </w:rPr>
              <w:t>2</w:t>
            </w:r>
          </w:p>
        </w:tc>
        <w:tc>
          <w:tcPr>
            <w:tcW w:w="6525" w:type="dxa"/>
          </w:tcPr>
          <w:p w14:paraId="407AF21D" w14:textId="77777777" w:rsidR="008B5072" w:rsidRPr="002B62D4" w:rsidRDefault="008B5072" w:rsidP="003E362C">
            <w:pPr>
              <w:pStyle w:val="Tabletext"/>
            </w:pPr>
            <w:r w:rsidRPr="002B62D4">
              <w:t>Adoption of the Agenda and allocation of documents</w:t>
            </w:r>
          </w:p>
        </w:tc>
        <w:tc>
          <w:tcPr>
            <w:tcW w:w="1660" w:type="dxa"/>
            <w:vAlign w:val="bottom"/>
          </w:tcPr>
          <w:p w14:paraId="47A72883" w14:textId="77777777" w:rsidR="008B5072" w:rsidRPr="002B62D4" w:rsidRDefault="008B5072" w:rsidP="003E362C">
            <w:pPr>
              <w:pStyle w:val="Tabletext"/>
              <w:jc w:val="center"/>
            </w:pPr>
            <w:r w:rsidRPr="002B62D4">
              <w:t>EG-ITRs-4/1</w:t>
            </w:r>
          </w:p>
        </w:tc>
      </w:tr>
      <w:tr w:rsidR="008B5072" w:rsidRPr="002B62D4" w14:paraId="62F36631" w14:textId="77777777" w:rsidTr="003E362C">
        <w:trPr>
          <w:cantSplit/>
          <w:jc w:val="center"/>
        </w:trPr>
        <w:tc>
          <w:tcPr>
            <w:tcW w:w="846" w:type="dxa"/>
          </w:tcPr>
          <w:p w14:paraId="4C2BB689" w14:textId="77777777" w:rsidR="008B5072" w:rsidRPr="002B62D4" w:rsidRDefault="008B5072" w:rsidP="003E362C">
            <w:pPr>
              <w:pStyle w:val="Tabletext"/>
              <w:jc w:val="center"/>
              <w:rPr>
                <w:b/>
                <w:bCs/>
              </w:rPr>
            </w:pPr>
            <w:r w:rsidRPr="002B62D4">
              <w:rPr>
                <w:b/>
                <w:bCs/>
              </w:rPr>
              <w:t>3</w:t>
            </w:r>
          </w:p>
        </w:tc>
        <w:tc>
          <w:tcPr>
            <w:tcW w:w="6525" w:type="dxa"/>
          </w:tcPr>
          <w:p w14:paraId="44068A66" w14:textId="77777777" w:rsidR="008B5072" w:rsidRPr="002B62D4" w:rsidRDefault="008B5072" w:rsidP="003E362C">
            <w:pPr>
              <w:pStyle w:val="Tabletext"/>
            </w:pPr>
            <w:r w:rsidRPr="002B62D4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Introduction/Discussion of general contributions from Member States and Sector Members</w:t>
            </w:r>
          </w:p>
        </w:tc>
        <w:tc>
          <w:tcPr>
            <w:tcW w:w="1660" w:type="dxa"/>
            <w:vAlign w:val="bottom"/>
          </w:tcPr>
          <w:p w14:paraId="49F842B8" w14:textId="77777777" w:rsidR="008B5072" w:rsidRPr="002B62D4" w:rsidRDefault="008B5072" w:rsidP="003E362C">
            <w:pPr>
              <w:pStyle w:val="Tabletext"/>
              <w:jc w:val="center"/>
            </w:pPr>
            <w:hyperlink r:id="rId30" w:history="1">
              <w:r w:rsidRPr="002B62D4">
                <w:rPr>
                  <w:rStyle w:val="Hyperlink"/>
                </w:rPr>
                <w:t>EG-ITRs-4/2</w:t>
              </w:r>
            </w:hyperlink>
          </w:p>
          <w:p w14:paraId="54247A9D" w14:textId="77777777" w:rsidR="008B5072" w:rsidRPr="002B62D4" w:rsidRDefault="008B5072" w:rsidP="003E362C">
            <w:pPr>
              <w:pStyle w:val="Tabletext"/>
              <w:jc w:val="center"/>
            </w:pPr>
            <w:hyperlink r:id="rId31" w:history="1">
              <w:r w:rsidRPr="002B62D4">
                <w:rPr>
                  <w:rStyle w:val="Hyperlink"/>
                </w:rPr>
                <w:t>EG-ITRs-4/6</w:t>
              </w:r>
            </w:hyperlink>
          </w:p>
          <w:p w14:paraId="1680B6D9" w14:textId="77777777" w:rsidR="008B5072" w:rsidRPr="002B62D4" w:rsidRDefault="008B5072" w:rsidP="003E362C">
            <w:pPr>
              <w:pStyle w:val="Tabletext"/>
              <w:jc w:val="center"/>
            </w:pPr>
            <w:hyperlink r:id="rId32" w:history="1">
              <w:r w:rsidRPr="002B62D4">
                <w:rPr>
                  <w:rStyle w:val="Hyperlink"/>
                </w:rPr>
                <w:t>EG-ITRs-4/7</w:t>
              </w:r>
            </w:hyperlink>
          </w:p>
        </w:tc>
      </w:tr>
      <w:tr w:rsidR="008B5072" w:rsidRPr="002B62D4" w14:paraId="754A4079" w14:textId="77777777" w:rsidTr="003E362C">
        <w:trPr>
          <w:cantSplit/>
          <w:jc w:val="center"/>
        </w:trPr>
        <w:tc>
          <w:tcPr>
            <w:tcW w:w="846" w:type="dxa"/>
          </w:tcPr>
          <w:p w14:paraId="2EA44AF5" w14:textId="77777777" w:rsidR="008B5072" w:rsidRPr="002B62D4" w:rsidRDefault="008B5072" w:rsidP="003E362C">
            <w:pPr>
              <w:pStyle w:val="Tabletext"/>
              <w:jc w:val="center"/>
              <w:rPr>
                <w:b/>
                <w:bCs/>
              </w:rPr>
            </w:pPr>
            <w:r w:rsidRPr="002B62D4">
              <w:rPr>
                <w:b/>
                <w:bCs/>
              </w:rPr>
              <w:t>4</w:t>
            </w:r>
          </w:p>
        </w:tc>
        <w:tc>
          <w:tcPr>
            <w:tcW w:w="6525" w:type="dxa"/>
          </w:tcPr>
          <w:p w14:paraId="6FDC54B8" w14:textId="77777777" w:rsidR="008B5072" w:rsidRPr="002B62D4" w:rsidRDefault="008B5072" w:rsidP="003E362C">
            <w:pPr>
              <w:pStyle w:val="Tabletext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2B62D4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Introduction/Discussion of contributions from Member States and Sector Members on the Final Report</w:t>
            </w:r>
          </w:p>
        </w:tc>
        <w:tc>
          <w:tcPr>
            <w:tcW w:w="1660" w:type="dxa"/>
            <w:vAlign w:val="bottom"/>
          </w:tcPr>
          <w:p w14:paraId="72AB0E20" w14:textId="77777777" w:rsidR="008B5072" w:rsidRPr="002B62D4" w:rsidRDefault="008B5072" w:rsidP="003E362C">
            <w:pPr>
              <w:pStyle w:val="Tabletext"/>
              <w:jc w:val="center"/>
            </w:pPr>
            <w:hyperlink r:id="rId33" w:history="1">
              <w:r w:rsidRPr="002B62D4">
                <w:rPr>
                  <w:rStyle w:val="Hyperlink"/>
                </w:rPr>
                <w:t>EG-ITRs-4/3</w:t>
              </w:r>
            </w:hyperlink>
          </w:p>
          <w:p w14:paraId="2749E86C" w14:textId="77777777" w:rsidR="008B5072" w:rsidRPr="002B62D4" w:rsidRDefault="008B5072" w:rsidP="003E362C">
            <w:pPr>
              <w:pStyle w:val="Tabletext"/>
              <w:jc w:val="center"/>
            </w:pPr>
            <w:hyperlink r:id="rId34" w:history="1">
              <w:r w:rsidRPr="002B62D4">
                <w:rPr>
                  <w:rStyle w:val="Hyperlink"/>
                </w:rPr>
                <w:t>EG-ITRs-4/4</w:t>
              </w:r>
            </w:hyperlink>
          </w:p>
          <w:p w14:paraId="59664861" w14:textId="77777777" w:rsidR="008B5072" w:rsidRPr="002B62D4" w:rsidRDefault="008B5072" w:rsidP="003E362C">
            <w:pPr>
              <w:pStyle w:val="Tabletext"/>
              <w:jc w:val="center"/>
            </w:pPr>
            <w:hyperlink r:id="rId35" w:history="1">
              <w:r w:rsidRPr="002B62D4">
                <w:rPr>
                  <w:rStyle w:val="Hyperlink"/>
                </w:rPr>
                <w:t>EG-ITRs-4/5</w:t>
              </w:r>
            </w:hyperlink>
          </w:p>
          <w:p w14:paraId="43F3A693" w14:textId="77777777" w:rsidR="008B5072" w:rsidRPr="002B62D4" w:rsidRDefault="008B5072" w:rsidP="003E362C">
            <w:pPr>
              <w:pStyle w:val="Tabletext"/>
              <w:jc w:val="center"/>
            </w:pPr>
            <w:hyperlink r:id="rId36" w:history="1">
              <w:r w:rsidRPr="002B62D4">
                <w:rPr>
                  <w:rStyle w:val="Hyperlink"/>
                </w:rPr>
                <w:t>EG-ITRs-4/8</w:t>
              </w:r>
            </w:hyperlink>
          </w:p>
        </w:tc>
      </w:tr>
      <w:tr w:rsidR="008B5072" w:rsidRPr="002B62D4" w14:paraId="06285130" w14:textId="77777777" w:rsidTr="003E362C">
        <w:trPr>
          <w:cantSplit/>
          <w:jc w:val="center"/>
        </w:trPr>
        <w:tc>
          <w:tcPr>
            <w:tcW w:w="846" w:type="dxa"/>
          </w:tcPr>
          <w:p w14:paraId="3C985173" w14:textId="77777777" w:rsidR="008B5072" w:rsidRPr="002B62D4" w:rsidRDefault="008B5072" w:rsidP="003E362C">
            <w:pPr>
              <w:pStyle w:val="Tabletext"/>
              <w:jc w:val="center"/>
              <w:rPr>
                <w:b/>
                <w:bCs/>
              </w:rPr>
            </w:pPr>
            <w:r w:rsidRPr="002B62D4">
              <w:rPr>
                <w:b/>
                <w:bCs/>
              </w:rPr>
              <w:t>5</w:t>
            </w:r>
          </w:p>
        </w:tc>
        <w:tc>
          <w:tcPr>
            <w:tcW w:w="6525" w:type="dxa"/>
          </w:tcPr>
          <w:p w14:paraId="3A798D68" w14:textId="77777777" w:rsidR="008B5072" w:rsidRPr="002B62D4" w:rsidRDefault="008B5072" w:rsidP="003E362C">
            <w:pPr>
              <w:pStyle w:val="Tabletext"/>
            </w:pPr>
            <w:r w:rsidRPr="002B62D4"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on next steps</w:t>
            </w:r>
          </w:p>
        </w:tc>
        <w:tc>
          <w:tcPr>
            <w:tcW w:w="1660" w:type="dxa"/>
            <w:vAlign w:val="bottom"/>
          </w:tcPr>
          <w:p w14:paraId="6432A672" w14:textId="77777777" w:rsidR="008B5072" w:rsidRPr="002B62D4" w:rsidRDefault="008B5072" w:rsidP="003E362C">
            <w:pPr>
              <w:pStyle w:val="Tabletext"/>
              <w:jc w:val="center"/>
            </w:pPr>
          </w:p>
        </w:tc>
      </w:tr>
      <w:tr w:rsidR="008B5072" w:rsidRPr="002B62D4" w14:paraId="1B934012" w14:textId="77777777" w:rsidTr="003E362C">
        <w:trPr>
          <w:cantSplit/>
          <w:jc w:val="center"/>
        </w:trPr>
        <w:tc>
          <w:tcPr>
            <w:tcW w:w="846" w:type="dxa"/>
          </w:tcPr>
          <w:p w14:paraId="53BF55E2" w14:textId="77777777" w:rsidR="008B5072" w:rsidRPr="002B62D4" w:rsidRDefault="008B5072" w:rsidP="003E362C">
            <w:pPr>
              <w:pStyle w:val="Tabletext"/>
              <w:jc w:val="center"/>
              <w:rPr>
                <w:b/>
                <w:bCs/>
              </w:rPr>
            </w:pPr>
            <w:r w:rsidRPr="002B62D4">
              <w:rPr>
                <w:b/>
              </w:rPr>
              <w:t>6</w:t>
            </w:r>
          </w:p>
        </w:tc>
        <w:tc>
          <w:tcPr>
            <w:tcW w:w="6525" w:type="dxa"/>
          </w:tcPr>
          <w:p w14:paraId="6E4EA8D3" w14:textId="77777777" w:rsidR="008B5072" w:rsidRPr="002B62D4" w:rsidRDefault="008B5072" w:rsidP="003E362C">
            <w:pPr>
              <w:pStyle w:val="Tabletext"/>
            </w:pPr>
            <w:r w:rsidRPr="002B62D4">
              <w:t>Any other business</w:t>
            </w:r>
          </w:p>
        </w:tc>
        <w:tc>
          <w:tcPr>
            <w:tcW w:w="1660" w:type="dxa"/>
            <w:vAlign w:val="bottom"/>
          </w:tcPr>
          <w:p w14:paraId="5AAF8BCE" w14:textId="77777777" w:rsidR="008B5072" w:rsidRPr="002B62D4" w:rsidRDefault="008B5072" w:rsidP="003E362C">
            <w:pPr>
              <w:pStyle w:val="Tabletext"/>
              <w:jc w:val="center"/>
            </w:pPr>
          </w:p>
        </w:tc>
      </w:tr>
    </w:tbl>
    <w:p w14:paraId="7B0DAB08" w14:textId="6D94AFFA" w:rsidR="008B5072" w:rsidRPr="002B62D4" w:rsidRDefault="008B5072" w:rsidP="003F3625">
      <w:pPr>
        <w:pStyle w:val="Signature"/>
      </w:pPr>
      <w:r w:rsidRPr="002B62D4">
        <w:t>Shahira SELIM</w:t>
      </w:r>
      <w:r w:rsidRPr="002B62D4">
        <w:br/>
        <w:t>Chair</w:t>
      </w:r>
    </w:p>
    <w:p w14:paraId="48E3F189" w14:textId="77777777" w:rsidR="00115D56" w:rsidRPr="002B62D4" w:rsidRDefault="00115D56" w:rsidP="00115D56">
      <w:pPr>
        <w:spacing w:before="720"/>
        <w:jc w:val="center"/>
      </w:pPr>
      <w:r w:rsidRPr="002B62D4">
        <w:t>______________</w:t>
      </w:r>
    </w:p>
    <w:sectPr w:rsidR="00115D56" w:rsidRPr="002B62D4" w:rsidSect="00884DDF">
      <w:headerReference w:type="default" r:id="rId37"/>
      <w:footerReference w:type="first" r:id="rId38"/>
      <w:pgSz w:w="11907" w:h="16840" w:code="9"/>
      <w:pgMar w:top="1418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B793" w14:textId="77777777" w:rsidR="00367D0E" w:rsidRDefault="00367D0E">
      <w:r>
        <w:separator/>
      </w:r>
    </w:p>
    <w:p w14:paraId="14E27B0B" w14:textId="77777777" w:rsidR="00367D0E" w:rsidRDefault="00367D0E"/>
  </w:endnote>
  <w:endnote w:type="continuationSeparator" w:id="0">
    <w:p w14:paraId="6EB16CB3" w14:textId="77777777" w:rsidR="00367D0E" w:rsidRDefault="00367D0E">
      <w:r>
        <w:continuationSeparator/>
      </w:r>
    </w:p>
    <w:p w14:paraId="27A3EF50" w14:textId="77777777" w:rsidR="00367D0E" w:rsidRDefault="00367D0E"/>
  </w:endnote>
  <w:endnote w:type="continuationNotice" w:id="1">
    <w:p w14:paraId="17BEBBA6" w14:textId="77777777" w:rsidR="00367D0E" w:rsidRDefault="00367D0E">
      <w:pPr>
        <w:spacing w:before="0"/>
      </w:pPr>
    </w:p>
    <w:p w14:paraId="0B319345" w14:textId="77777777" w:rsidR="00367D0E" w:rsidRDefault="00367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3577"/>
      <w:gridCol w:w="4820"/>
    </w:tblGrid>
    <w:tr w:rsidR="003447A8" w:rsidRPr="00F94A92" w14:paraId="65E77649" w14:textId="77777777" w:rsidTr="000D0F9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E8117B9" w:rsidR="003447A8" w:rsidRPr="009E14A3" w:rsidRDefault="000D0F90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3447A8" w:rsidRPr="009E14A3">
            <w:rPr>
              <w:sz w:val="18"/>
              <w:szCs w:val="18"/>
              <w:lang w:val="en-US"/>
            </w:rPr>
            <w:t>:</w:t>
          </w:r>
        </w:p>
      </w:tc>
      <w:tc>
        <w:tcPr>
          <w:tcW w:w="3577" w:type="dxa"/>
          <w:tcBorders>
            <w:top w:val="single" w:sz="4" w:space="0" w:color="000000"/>
          </w:tcBorders>
          <w:shd w:val="clear" w:color="auto" w:fill="auto"/>
        </w:tcPr>
        <w:p w14:paraId="077E88D5" w14:textId="65A8D422" w:rsidR="003447A8" w:rsidRPr="009E14A3" w:rsidRDefault="000D0F90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</w:t>
          </w:r>
          <w:r w:rsidR="003447A8" w:rsidRPr="009E14A3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</w:rPr>
            <w:t>организация</w:t>
          </w:r>
          <w:r w:rsidR="003447A8" w:rsidRPr="009E14A3">
            <w:rPr>
              <w:sz w:val="18"/>
              <w:szCs w:val="18"/>
              <w:lang w:val="en-US"/>
            </w:rPr>
            <w:t>/</w:t>
          </w:r>
          <w:r>
            <w:rPr>
              <w:sz w:val="18"/>
              <w:szCs w:val="18"/>
            </w:rPr>
            <w:t>объединение</w:t>
          </w:r>
          <w:r w:rsidR="003447A8" w:rsidRPr="009E14A3">
            <w:rPr>
              <w:sz w:val="18"/>
              <w:szCs w:val="18"/>
              <w:lang w:val="en-US"/>
            </w:rPr>
            <w:t>:</w:t>
          </w:r>
          <w:r w:rsidR="00CA0BF6" w:rsidRPr="009E14A3">
            <w:rPr>
              <w:sz w:val="18"/>
              <w:szCs w:val="18"/>
              <w:lang w:val="en-US"/>
            </w:rPr>
            <w:t xml:space="preserve">  </w:t>
          </w:r>
        </w:p>
      </w:tc>
      <w:tc>
        <w:tcPr>
          <w:tcW w:w="4820" w:type="dxa"/>
          <w:tcBorders>
            <w:top w:val="single" w:sz="4" w:space="0" w:color="000000"/>
          </w:tcBorders>
        </w:tcPr>
        <w:p w14:paraId="1C53FE51" w14:textId="3F20EE8F" w:rsidR="003447A8" w:rsidRPr="00F94A92" w:rsidRDefault="000D0F90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F94A92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жа</w:t>
          </w:r>
          <w:r w:rsidRPr="00F94A9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Кармен</w:t>
          </w:r>
          <w:r w:rsidRPr="00F94A9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Прадо</w:t>
          </w:r>
          <w:r w:rsidRPr="00F94A92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Вагнер</w:t>
          </w:r>
          <w:r w:rsidRPr="00F94A92">
            <w:rPr>
              <w:sz w:val="18"/>
              <w:szCs w:val="18"/>
            </w:rPr>
            <w:t xml:space="preserve"> (</w:t>
          </w:r>
          <w:r w:rsidR="00B27F13" w:rsidRPr="009E14A3">
            <w:rPr>
              <w:sz w:val="18"/>
              <w:szCs w:val="18"/>
              <w:lang w:val="en-US"/>
            </w:rPr>
            <w:t>Ms</w:t>
          </w:r>
          <w:r w:rsidR="00B27F13" w:rsidRPr="00F94A92">
            <w:rPr>
              <w:sz w:val="18"/>
              <w:szCs w:val="18"/>
            </w:rPr>
            <w:t xml:space="preserve"> </w:t>
          </w:r>
          <w:r w:rsidR="00B27F13" w:rsidRPr="009E14A3">
            <w:rPr>
              <w:sz w:val="18"/>
              <w:szCs w:val="18"/>
              <w:lang w:val="en-US"/>
            </w:rPr>
            <w:t>Carmen</w:t>
          </w:r>
          <w:r w:rsidR="00B27F13" w:rsidRPr="00F94A92">
            <w:rPr>
              <w:sz w:val="18"/>
              <w:szCs w:val="18"/>
            </w:rPr>
            <w:t xml:space="preserve"> </w:t>
          </w:r>
          <w:r w:rsidR="00B27F13" w:rsidRPr="009E14A3">
            <w:rPr>
              <w:sz w:val="18"/>
              <w:szCs w:val="18"/>
              <w:lang w:val="en-US"/>
            </w:rPr>
            <w:t>Prado</w:t>
          </w:r>
          <w:r w:rsidR="00B27F13" w:rsidRPr="00F94A92">
            <w:rPr>
              <w:sz w:val="18"/>
              <w:szCs w:val="18"/>
            </w:rPr>
            <w:t>-</w:t>
          </w:r>
          <w:r w:rsidR="00B27F13" w:rsidRPr="009E14A3">
            <w:rPr>
              <w:sz w:val="18"/>
              <w:szCs w:val="18"/>
              <w:lang w:val="en-US"/>
            </w:rPr>
            <w:t>Wagner</w:t>
          </w:r>
          <w:r w:rsidRPr="00F94A92">
            <w:rPr>
              <w:sz w:val="18"/>
              <w:szCs w:val="18"/>
            </w:rPr>
            <w:t>)</w:t>
          </w:r>
          <w:r w:rsidR="00B27F13" w:rsidRPr="00F94A92">
            <w:rPr>
              <w:sz w:val="18"/>
              <w:szCs w:val="18"/>
            </w:rPr>
            <w:t xml:space="preserve">, </w:t>
          </w:r>
          <w:r w:rsidRPr="00F94A92">
            <w:rPr>
              <w:sz w:val="18"/>
              <w:szCs w:val="18"/>
            </w:rPr>
            <w:t xml:space="preserve">старший сотрудник </w:t>
          </w:r>
          <w:r>
            <w:rPr>
              <w:sz w:val="18"/>
              <w:szCs w:val="18"/>
            </w:rPr>
            <w:t>О</w:t>
          </w:r>
          <w:r w:rsidRPr="00F94A92">
            <w:rPr>
              <w:sz w:val="18"/>
              <w:szCs w:val="18"/>
            </w:rPr>
            <w:t>тдела регуляторной и рыночной среды (</w:t>
          </w:r>
          <w:r>
            <w:rPr>
              <w:sz w:val="18"/>
              <w:szCs w:val="18"/>
              <w:lang w:val="en-US"/>
            </w:rPr>
            <w:t>RME</w:t>
          </w:r>
          <w:r w:rsidRPr="00F94A92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Бюро</w:t>
          </w:r>
          <w:r w:rsidRPr="00F94A9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</w:t>
          </w:r>
          <w:r w:rsidRPr="00F94A9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электросвязи</w:t>
          </w:r>
          <w:r w:rsidRPr="00F94A92">
            <w:rPr>
              <w:sz w:val="18"/>
              <w:szCs w:val="18"/>
            </w:rPr>
            <w:t xml:space="preserve"> </w:t>
          </w:r>
        </w:p>
      </w:tc>
      <w:bookmarkStart w:id="16" w:name="OrgName"/>
      <w:bookmarkEnd w:id="16"/>
    </w:tr>
    <w:tr w:rsidR="003447A8" w:rsidRPr="009E14A3" w14:paraId="1CC09AE7" w14:textId="77777777" w:rsidTr="000D0F90">
      <w:tc>
        <w:tcPr>
          <w:tcW w:w="1526" w:type="dxa"/>
          <w:shd w:val="clear" w:color="auto" w:fill="auto"/>
        </w:tcPr>
        <w:p w14:paraId="7BB1BEC2" w14:textId="77777777" w:rsidR="003447A8" w:rsidRPr="00F94A92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577" w:type="dxa"/>
          <w:shd w:val="clear" w:color="auto" w:fill="auto"/>
        </w:tcPr>
        <w:p w14:paraId="6CF01C6C" w14:textId="5BE47BD6" w:rsidR="003447A8" w:rsidRPr="009E14A3" w:rsidRDefault="000D0F90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Тел</w:t>
          </w:r>
          <w:r w:rsidR="003447A8" w:rsidRPr="009E14A3">
            <w:rPr>
              <w:sz w:val="18"/>
              <w:szCs w:val="18"/>
              <w:lang w:val="en-US"/>
            </w:rPr>
            <w:t>:</w:t>
          </w:r>
        </w:p>
      </w:tc>
      <w:tc>
        <w:tcPr>
          <w:tcW w:w="4820" w:type="dxa"/>
        </w:tcPr>
        <w:p w14:paraId="527F567E" w14:textId="7C4B24D3" w:rsidR="003447A8" w:rsidRPr="009E14A3" w:rsidRDefault="004A2343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E14A3">
            <w:rPr>
              <w:sz w:val="18"/>
              <w:szCs w:val="18"/>
              <w:lang w:val="en-US"/>
            </w:rPr>
            <w:t>+41</w:t>
          </w:r>
          <w:r w:rsidR="003C2A2A">
            <w:rPr>
              <w:sz w:val="18"/>
              <w:szCs w:val="18"/>
              <w:lang w:val="en-US"/>
            </w:rPr>
            <w:t xml:space="preserve"> </w:t>
          </w:r>
          <w:r w:rsidRPr="009E14A3">
            <w:rPr>
              <w:sz w:val="18"/>
              <w:szCs w:val="18"/>
              <w:lang w:val="en-US"/>
            </w:rPr>
            <w:t>22 730 6350</w:t>
          </w:r>
        </w:p>
      </w:tc>
      <w:bookmarkStart w:id="17" w:name="PhoneNo"/>
      <w:bookmarkEnd w:id="17"/>
    </w:tr>
    <w:tr w:rsidR="003447A8" w:rsidRPr="009E14A3" w14:paraId="34A468D3" w14:textId="77777777" w:rsidTr="000D0F90">
      <w:tc>
        <w:tcPr>
          <w:tcW w:w="1526" w:type="dxa"/>
          <w:shd w:val="clear" w:color="auto" w:fill="auto"/>
        </w:tcPr>
        <w:p w14:paraId="2403414C" w14:textId="77777777" w:rsidR="003447A8" w:rsidRPr="009E14A3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577" w:type="dxa"/>
          <w:shd w:val="clear" w:color="auto" w:fill="auto"/>
        </w:tcPr>
        <w:p w14:paraId="2BECCEFC" w14:textId="18EEAAD3" w:rsidR="003447A8" w:rsidRPr="009E14A3" w:rsidRDefault="000D0F90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 почта</w:t>
          </w:r>
          <w:r w:rsidR="003447A8" w:rsidRPr="009E14A3">
            <w:rPr>
              <w:sz w:val="18"/>
              <w:szCs w:val="18"/>
              <w:lang w:val="en-US"/>
            </w:rPr>
            <w:t>:</w:t>
          </w:r>
        </w:p>
      </w:tc>
      <w:tc>
        <w:tcPr>
          <w:tcW w:w="4820" w:type="dxa"/>
        </w:tcPr>
        <w:p w14:paraId="36CD733D" w14:textId="6D6CC115" w:rsidR="003447A8" w:rsidRPr="009E14A3" w:rsidRDefault="00745D97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9E14A3">
              <w:rPr>
                <w:rStyle w:val="Hyperlink"/>
                <w:sz w:val="18"/>
                <w:szCs w:val="18"/>
                <w:lang w:val="en-US"/>
              </w:rPr>
              <w:t>carmen.prado@itu.int</w:t>
            </w:r>
          </w:hyperlink>
        </w:p>
      </w:tc>
      <w:bookmarkStart w:id="18" w:name="Email"/>
      <w:bookmarkEnd w:id="18"/>
    </w:tr>
  </w:tbl>
  <w:p w14:paraId="3FF320CD" w14:textId="77777777" w:rsidR="003447A8" w:rsidRPr="009E14A3" w:rsidRDefault="003447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4E07" w14:textId="77777777" w:rsidR="00367D0E" w:rsidRPr="0054377E" w:rsidRDefault="00367D0E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2B0F357B" w14:textId="77777777" w:rsidR="00367D0E" w:rsidRDefault="00367D0E" w:rsidP="0054377E">
      <w:pPr>
        <w:spacing w:before="0"/>
      </w:pPr>
      <w:r>
        <w:continuationSeparator/>
      </w:r>
    </w:p>
    <w:p w14:paraId="01836BB5" w14:textId="77777777" w:rsidR="00367D0E" w:rsidRDefault="00367D0E"/>
  </w:footnote>
  <w:footnote w:type="continuationNotice" w:id="1">
    <w:p w14:paraId="6A24D49A" w14:textId="77777777" w:rsidR="00367D0E" w:rsidRDefault="00367D0E">
      <w:pPr>
        <w:spacing w:before="0"/>
      </w:pPr>
    </w:p>
    <w:p w14:paraId="21FCF605" w14:textId="77777777" w:rsidR="00367D0E" w:rsidRDefault="00367D0E"/>
  </w:footnote>
  <w:footnote w:id="2">
    <w:p w14:paraId="4BFD389A" w14:textId="65B3513F" w:rsidR="00D84859" w:rsidRPr="00AF32B1" w:rsidRDefault="00D84859" w:rsidP="00D84859">
      <w:pPr>
        <w:pStyle w:val="FootnoteText"/>
        <w:spacing w:before="0"/>
        <w:rPr>
          <w:lang w:val="en-GB"/>
        </w:rPr>
      </w:pPr>
      <w:r w:rsidRPr="00115D56">
        <w:rPr>
          <w:rStyle w:val="FootnoteReference"/>
          <w:szCs w:val="16"/>
        </w:rPr>
        <w:footnoteRef/>
      </w:r>
      <w:r w:rsidR="00AF32B1">
        <w:rPr>
          <w:lang w:val="en-US"/>
        </w:rPr>
        <w:tab/>
      </w:r>
      <w:hyperlink r:id="rId1" w:history="1">
        <w:r w:rsidR="00AF32B1" w:rsidRPr="00CD4342">
          <w:rPr>
            <w:rStyle w:val="Hyperlink"/>
          </w:rPr>
          <w:t>https://www.itu.int/en/council/Pages/eg-itrs.aspx</w:t>
        </w:r>
      </w:hyperlink>
      <w:r w:rsidR="00AF32B1">
        <w:rPr>
          <w:lang w:val="en-GB"/>
        </w:rPr>
        <w:t>.</w:t>
      </w:r>
    </w:p>
  </w:footnote>
  <w:footnote w:id="3">
    <w:p w14:paraId="6219E0A5" w14:textId="2B40CA76" w:rsidR="000F3BFA" w:rsidRPr="00AF32B1" w:rsidRDefault="000F3BFA" w:rsidP="000F3BFA">
      <w:pPr>
        <w:pStyle w:val="FootnoteText"/>
        <w:spacing w:before="0"/>
        <w:rPr>
          <w:lang w:val="en-GB"/>
        </w:rPr>
      </w:pPr>
      <w:r w:rsidRPr="00115D56">
        <w:rPr>
          <w:rStyle w:val="FootnoteReference"/>
          <w:szCs w:val="16"/>
        </w:rPr>
        <w:footnoteRef/>
      </w:r>
      <w:r w:rsidR="00AF32B1" w:rsidRPr="00AF32B1">
        <w:tab/>
      </w:r>
      <w:r w:rsidRPr="000F3BFA"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03B4921C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TDAG-25</w:t>
    </w:r>
    <w:r w:rsidRPr="00FF089C">
      <w:rPr>
        <w:szCs w:val="22"/>
        <w:lang w:val="es-ES_tradnl"/>
      </w:rPr>
      <w:t>/</w:t>
    </w:r>
    <w:r w:rsidR="0099768B">
      <w:rPr>
        <w:szCs w:val="22"/>
        <w:lang w:val="es-ES_tradnl"/>
      </w:rPr>
      <w:t>27</w:t>
    </w:r>
    <w:r w:rsidRPr="00FF089C">
      <w:rPr>
        <w:szCs w:val="22"/>
        <w:lang w:val="es-ES_tradnl"/>
      </w:rPr>
      <w:t>-</w:t>
    </w:r>
    <w:r w:rsidR="000D0F90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D0F90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58517"/>
    <w:multiLevelType w:val="hybridMultilevel"/>
    <w:tmpl w:val="E54881D8"/>
    <w:lvl w:ilvl="0" w:tplc="CD248076">
      <w:start w:val="1"/>
      <w:numFmt w:val="decimal"/>
      <w:lvlText w:val="%1."/>
      <w:lvlJc w:val="left"/>
      <w:pPr>
        <w:ind w:left="720" w:hanging="360"/>
      </w:pPr>
    </w:lvl>
    <w:lvl w:ilvl="1" w:tplc="A140C412">
      <w:start w:val="1"/>
      <w:numFmt w:val="lowerLetter"/>
      <w:lvlText w:val="%2."/>
      <w:lvlJc w:val="left"/>
      <w:pPr>
        <w:ind w:left="1440" w:hanging="360"/>
      </w:pPr>
    </w:lvl>
    <w:lvl w:ilvl="2" w:tplc="5D748958">
      <w:start w:val="1"/>
      <w:numFmt w:val="lowerRoman"/>
      <w:lvlText w:val="%3."/>
      <w:lvlJc w:val="right"/>
      <w:pPr>
        <w:ind w:left="2160" w:hanging="180"/>
      </w:pPr>
    </w:lvl>
    <w:lvl w:ilvl="3" w:tplc="92E846F8">
      <w:start w:val="1"/>
      <w:numFmt w:val="decimal"/>
      <w:lvlText w:val="%4."/>
      <w:lvlJc w:val="left"/>
      <w:pPr>
        <w:ind w:left="2880" w:hanging="360"/>
      </w:pPr>
    </w:lvl>
    <w:lvl w:ilvl="4" w:tplc="27461DE4">
      <w:start w:val="1"/>
      <w:numFmt w:val="lowerLetter"/>
      <w:lvlText w:val="%5."/>
      <w:lvlJc w:val="left"/>
      <w:pPr>
        <w:ind w:left="3600" w:hanging="360"/>
      </w:pPr>
    </w:lvl>
    <w:lvl w:ilvl="5" w:tplc="07C4596E">
      <w:start w:val="1"/>
      <w:numFmt w:val="lowerRoman"/>
      <w:lvlText w:val="%6."/>
      <w:lvlJc w:val="right"/>
      <w:pPr>
        <w:ind w:left="4320" w:hanging="180"/>
      </w:pPr>
    </w:lvl>
    <w:lvl w:ilvl="6" w:tplc="2D8CBB64">
      <w:start w:val="1"/>
      <w:numFmt w:val="decimal"/>
      <w:lvlText w:val="%7."/>
      <w:lvlJc w:val="left"/>
      <w:pPr>
        <w:ind w:left="5040" w:hanging="360"/>
      </w:pPr>
    </w:lvl>
    <w:lvl w:ilvl="7" w:tplc="5ACE1964">
      <w:start w:val="1"/>
      <w:numFmt w:val="lowerLetter"/>
      <w:lvlText w:val="%8."/>
      <w:lvlJc w:val="left"/>
      <w:pPr>
        <w:ind w:left="5760" w:hanging="360"/>
      </w:pPr>
    </w:lvl>
    <w:lvl w:ilvl="8" w:tplc="5E52E4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637CA4"/>
    <w:multiLevelType w:val="hybridMultilevel"/>
    <w:tmpl w:val="179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916217">
    <w:abstractNumId w:val="23"/>
  </w:num>
  <w:num w:numId="2" w16cid:durableId="2048336415">
    <w:abstractNumId w:val="0"/>
  </w:num>
  <w:num w:numId="3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20630542">
    <w:abstractNumId w:val="40"/>
  </w:num>
  <w:num w:numId="5" w16cid:durableId="1830174465">
    <w:abstractNumId w:val="3"/>
  </w:num>
  <w:num w:numId="6" w16cid:durableId="1479105461">
    <w:abstractNumId w:val="31"/>
  </w:num>
  <w:num w:numId="7" w16cid:durableId="869954702">
    <w:abstractNumId w:val="38"/>
  </w:num>
  <w:num w:numId="8" w16cid:durableId="444734477">
    <w:abstractNumId w:val="4"/>
  </w:num>
  <w:num w:numId="9" w16cid:durableId="362947223">
    <w:abstractNumId w:val="13"/>
  </w:num>
  <w:num w:numId="10" w16cid:durableId="458111764">
    <w:abstractNumId w:val="6"/>
  </w:num>
  <w:num w:numId="11" w16cid:durableId="1195534353">
    <w:abstractNumId w:val="12"/>
  </w:num>
  <w:num w:numId="12" w16cid:durableId="1826580952">
    <w:abstractNumId w:val="29"/>
  </w:num>
  <w:num w:numId="13" w16cid:durableId="1514690498">
    <w:abstractNumId w:val="37"/>
  </w:num>
  <w:num w:numId="14" w16cid:durableId="1235118698">
    <w:abstractNumId w:val="2"/>
  </w:num>
  <w:num w:numId="15" w16cid:durableId="509291828">
    <w:abstractNumId w:val="5"/>
  </w:num>
  <w:num w:numId="16" w16cid:durableId="383218916">
    <w:abstractNumId w:val="11"/>
  </w:num>
  <w:num w:numId="17" w16cid:durableId="1227569663">
    <w:abstractNumId w:val="8"/>
  </w:num>
  <w:num w:numId="18" w16cid:durableId="810974550">
    <w:abstractNumId w:val="43"/>
  </w:num>
  <w:num w:numId="19" w16cid:durableId="1354573477">
    <w:abstractNumId w:val="34"/>
  </w:num>
  <w:num w:numId="20" w16cid:durableId="435754545">
    <w:abstractNumId w:val="17"/>
  </w:num>
  <w:num w:numId="21" w16cid:durableId="1066875134">
    <w:abstractNumId w:val="28"/>
  </w:num>
  <w:num w:numId="22" w16cid:durableId="1689939216">
    <w:abstractNumId w:val="27"/>
  </w:num>
  <w:num w:numId="23" w16cid:durableId="1257783837">
    <w:abstractNumId w:val="44"/>
  </w:num>
  <w:num w:numId="24" w16cid:durableId="970285242">
    <w:abstractNumId w:val="22"/>
  </w:num>
  <w:num w:numId="25" w16cid:durableId="1876889861">
    <w:abstractNumId w:val="16"/>
  </w:num>
  <w:num w:numId="26" w16cid:durableId="138228398">
    <w:abstractNumId w:val="19"/>
  </w:num>
  <w:num w:numId="27" w16cid:durableId="1871145006">
    <w:abstractNumId w:val="20"/>
  </w:num>
  <w:num w:numId="28" w16cid:durableId="1946108508">
    <w:abstractNumId w:val="24"/>
  </w:num>
  <w:num w:numId="29" w16cid:durableId="1629045729">
    <w:abstractNumId w:val="10"/>
  </w:num>
  <w:num w:numId="30" w16cid:durableId="2010906637">
    <w:abstractNumId w:val="25"/>
  </w:num>
  <w:num w:numId="31" w16cid:durableId="290525213">
    <w:abstractNumId w:val="42"/>
  </w:num>
  <w:num w:numId="32" w16cid:durableId="191966975">
    <w:abstractNumId w:val="26"/>
  </w:num>
  <w:num w:numId="33" w16cid:durableId="2014406757">
    <w:abstractNumId w:val="32"/>
  </w:num>
  <w:num w:numId="34" w16cid:durableId="648558829">
    <w:abstractNumId w:val="18"/>
  </w:num>
  <w:num w:numId="35" w16cid:durableId="2071807613">
    <w:abstractNumId w:val="9"/>
  </w:num>
  <w:num w:numId="36" w16cid:durableId="271744889">
    <w:abstractNumId w:val="36"/>
  </w:num>
  <w:num w:numId="37" w16cid:durableId="1457527817">
    <w:abstractNumId w:val="21"/>
  </w:num>
  <w:num w:numId="38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3069455">
    <w:abstractNumId w:val="33"/>
  </w:num>
  <w:num w:numId="40" w16cid:durableId="359361948">
    <w:abstractNumId w:val="39"/>
  </w:num>
  <w:num w:numId="41" w16cid:durableId="1037706265">
    <w:abstractNumId w:val="7"/>
  </w:num>
  <w:num w:numId="42" w16cid:durableId="447436251">
    <w:abstractNumId w:val="45"/>
  </w:num>
  <w:num w:numId="43" w16cid:durableId="655766109">
    <w:abstractNumId w:val="15"/>
  </w:num>
  <w:num w:numId="44" w16cid:durableId="577523632">
    <w:abstractNumId w:val="14"/>
  </w:num>
  <w:num w:numId="45" w16cid:durableId="1138063662">
    <w:abstractNumId w:val="41"/>
  </w:num>
  <w:num w:numId="46" w16cid:durableId="510082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0B4C"/>
    <w:rsid w:val="000355FD"/>
    <w:rsid w:val="0003589F"/>
    <w:rsid w:val="00050191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06BC"/>
    <w:rsid w:val="000617DF"/>
    <w:rsid w:val="0006550B"/>
    <w:rsid w:val="0007000B"/>
    <w:rsid w:val="00072A3E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2EB5"/>
    <w:rsid w:val="0009581F"/>
    <w:rsid w:val="00095901"/>
    <w:rsid w:val="000962F3"/>
    <w:rsid w:val="00097074"/>
    <w:rsid w:val="000A3B54"/>
    <w:rsid w:val="000A59AE"/>
    <w:rsid w:val="000B738A"/>
    <w:rsid w:val="000C03F4"/>
    <w:rsid w:val="000C17EA"/>
    <w:rsid w:val="000C2592"/>
    <w:rsid w:val="000C42BA"/>
    <w:rsid w:val="000C4FD1"/>
    <w:rsid w:val="000D0F90"/>
    <w:rsid w:val="000D1759"/>
    <w:rsid w:val="000D38EB"/>
    <w:rsid w:val="000D4875"/>
    <w:rsid w:val="000D6891"/>
    <w:rsid w:val="000D6E8D"/>
    <w:rsid w:val="000E71F8"/>
    <w:rsid w:val="000F29EC"/>
    <w:rsid w:val="000F38EA"/>
    <w:rsid w:val="000F3BF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5D56"/>
    <w:rsid w:val="00116B95"/>
    <w:rsid w:val="00117233"/>
    <w:rsid w:val="00123B68"/>
    <w:rsid w:val="00124AF4"/>
    <w:rsid w:val="00124CAA"/>
    <w:rsid w:val="00125E69"/>
    <w:rsid w:val="00126F2E"/>
    <w:rsid w:val="00127FC6"/>
    <w:rsid w:val="00136490"/>
    <w:rsid w:val="00140589"/>
    <w:rsid w:val="001424DC"/>
    <w:rsid w:val="00143A87"/>
    <w:rsid w:val="00144E69"/>
    <w:rsid w:val="001456D0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9798A"/>
    <w:rsid w:val="001A1FFD"/>
    <w:rsid w:val="001A3858"/>
    <w:rsid w:val="001A4BD2"/>
    <w:rsid w:val="001B2ED3"/>
    <w:rsid w:val="001B643A"/>
    <w:rsid w:val="001B6675"/>
    <w:rsid w:val="001B7EA3"/>
    <w:rsid w:val="001B7F1C"/>
    <w:rsid w:val="001C3B5F"/>
    <w:rsid w:val="001C61EA"/>
    <w:rsid w:val="001C7BDB"/>
    <w:rsid w:val="001D058F"/>
    <w:rsid w:val="001D2025"/>
    <w:rsid w:val="001D520B"/>
    <w:rsid w:val="001D78D5"/>
    <w:rsid w:val="001E0384"/>
    <w:rsid w:val="001E24AF"/>
    <w:rsid w:val="001E252D"/>
    <w:rsid w:val="001E29F6"/>
    <w:rsid w:val="001E43DC"/>
    <w:rsid w:val="002009EA"/>
    <w:rsid w:val="00202CA0"/>
    <w:rsid w:val="00207A5D"/>
    <w:rsid w:val="002154A6"/>
    <w:rsid w:val="00215F1F"/>
    <w:rsid w:val="002162CD"/>
    <w:rsid w:val="00216478"/>
    <w:rsid w:val="00220634"/>
    <w:rsid w:val="00221C1D"/>
    <w:rsid w:val="002223B0"/>
    <w:rsid w:val="002226B9"/>
    <w:rsid w:val="002227BB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1D1"/>
    <w:rsid w:val="00251A53"/>
    <w:rsid w:val="0025489C"/>
    <w:rsid w:val="002602E5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87819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9DC"/>
    <w:rsid w:val="002B3C84"/>
    <w:rsid w:val="002B5490"/>
    <w:rsid w:val="002B62D4"/>
    <w:rsid w:val="002C12ED"/>
    <w:rsid w:val="002C49BA"/>
    <w:rsid w:val="002C4B75"/>
    <w:rsid w:val="002C6B70"/>
    <w:rsid w:val="002C73F6"/>
    <w:rsid w:val="002C7D5E"/>
    <w:rsid w:val="002D58BE"/>
    <w:rsid w:val="002D5CE8"/>
    <w:rsid w:val="002E4D1D"/>
    <w:rsid w:val="002E51E0"/>
    <w:rsid w:val="002E5411"/>
    <w:rsid w:val="002E7A84"/>
    <w:rsid w:val="002F1BD0"/>
    <w:rsid w:val="002F6558"/>
    <w:rsid w:val="003013EE"/>
    <w:rsid w:val="00304031"/>
    <w:rsid w:val="00305DF3"/>
    <w:rsid w:val="00311808"/>
    <w:rsid w:val="00311851"/>
    <w:rsid w:val="00311CD5"/>
    <w:rsid w:val="00316725"/>
    <w:rsid w:val="00316A69"/>
    <w:rsid w:val="00317784"/>
    <w:rsid w:val="00317D91"/>
    <w:rsid w:val="003231C6"/>
    <w:rsid w:val="00323E49"/>
    <w:rsid w:val="003247A5"/>
    <w:rsid w:val="00325939"/>
    <w:rsid w:val="00325D7A"/>
    <w:rsid w:val="003273BC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42B9"/>
    <w:rsid w:val="00356083"/>
    <w:rsid w:val="003572D4"/>
    <w:rsid w:val="00361609"/>
    <w:rsid w:val="00364098"/>
    <w:rsid w:val="00366978"/>
    <w:rsid w:val="00367D0E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4BD7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2A2A"/>
    <w:rsid w:val="003C6136"/>
    <w:rsid w:val="003D0F8B"/>
    <w:rsid w:val="003D1814"/>
    <w:rsid w:val="003D39F2"/>
    <w:rsid w:val="003D5A63"/>
    <w:rsid w:val="003D6425"/>
    <w:rsid w:val="003D66A7"/>
    <w:rsid w:val="003D7EE8"/>
    <w:rsid w:val="003F0A6C"/>
    <w:rsid w:val="003F0F49"/>
    <w:rsid w:val="003F1363"/>
    <w:rsid w:val="003F3625"/>
    <w:rsid w:val="00403C69"/>
    <w:rsid w:val="00405EC2"/>
    <w:rsid w:val="00406278"/>
    <w:rsid w:val="00406297"/>
    <w:rsid w:val="00411911"/>
    <w:rsid w:val="00412C81"/>
    <w:rsid w:val="004131D4"/>
    <w:rsid w:val="0041348E"/>
    <w:rsid w:val="00414895"/>
    <w:rsid w:val="00417852"/>
    <w:rsid w:val="004208C6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268E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02EF"/>
    <w:rsid w:val="00472FC1"/>
    <w:rsid w:val="00473F8C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2343"/>
    <w:rsid w:val="004A3FF4"/>
    <w:rsid w:val="004A7674"/>
    <w:rsid w:val="004A783D"/>
    <w:rsid w:val="004B13CB"/>
    <w:rsid w:val="004B1D6C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752D"/>
    <w:rsid w:val="004D7763"/>
    <w:rsid w:val="004E06A4"/>
    <w:rsid w:val="004E0767"/>
    <w:rsid w:val="004E27DE"/>
    <w:rsid w:val="004E2F10"/>
    <w:rsid w:val="004E3276"/>
    <w:rsid w:val="004E4F74"/>
    <w:rsid w:val="004E5959"/>
    <w:rsid w:val="004E6C78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1469"/>
    <w:rsid w:val="00533CBA"/>
    <w:rsid w:val="005358BC"/>
    <w:rsid w:val="00536513"/>
    <w:rsid w:val="00536DB4"/>
    <w:rsid w:val="005379D7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A68AF"/>
    <w:rsid w:val="005A6AC9"/>
    <w:rsid w:val="005B0278"/>
    <w:rsid w:val="005B25C3"/>
    <w:rsid w:val="005B2DD6"/>
    <w:rsid w:val="005B2F1C"/>
    <w:rsid w:val="005B386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23F2"/>
    <w:rsid w:val="005D2F38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65E2"/>
    <w:rsid w:val="00637E99"/>
    <w:rsid w:val="006422AD"/>
    <w:rsid w:val="006430DA"/>
    <w:rsid w:val="0064322F"/>
    <w:rsid w:val="006449A5"/>
    <w:rsid w:val="00644F99"/>
    <w:rsid w:val="006463EE"/>
    <w:rsid w:val="0064799D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0FEC"/>
    <w:rsid w:val="00685313"/>
    <w:rsid w:val="00690B44"/>
    <w:rsid w:val="006912F3"/>
    <w:rsid w:val="00691A23"/>
    <w:rsid w:val="00696E7A"/>
    <w:rsid w:val="006A0D14"/>
    <w:rsid w:val="006A47E5"/>
    <w:rsid w:val="006A4DC5"/>
    <w:rsid w:val="006A6E9B"/>
    <w:rsid w:val="006A747C"/>
    <w:rsid w:val="006A7B22"/>
    <w:rsid w:val="006B1038"/>
    <w:rsid w:val="006B502E"/>
    <w:rsid w:val="006B5AA9"/>
    <w:rsid w:val="006B73C2"/>
    <w:rsid w:val="006B7C2A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1771"/>
    <w:rsid w:val="00712149"/>
    <w:rsid w:val="007149F9"/>
    <w:rsid w:val="0071531C"/>
    <w:rsid w:val="0071541F"/>
    <w:rsid w:val="007167D5"/>
    <w:rsid w:val="00720DD1"/>
    <w:rsid w:val="007265FE"/>
    <w:rsid w:val="00730009"/>
    <w:rsid w:val="007304EB"/>
    <w:rsid w:val="00733A30"/>
    <w:rsid w:val="007372E2"/>
    <w:rsid w:val="007379E5"/>
    <w:rsid w:val="00743072"/>
    <w:rsid w:val="00745AEE"/>
    <w:rsid w:val="00745D97"/>
    <w:rsid w:val="00747028"/>
    <w:rsid w:val="007479EA"/>
    <w:rsid w:val="00747A98"/>
    <w:rsid w:val="00750F10"/>
    <w:rsid w:val="0075242F"/>
    <w:rsid w:val="00752BB0"/>
    <w:rsid w:val="00756ADC"/>
    <w:rsid w:val="00761CEF"/>
    <w:rsid w:val="0076212D"/>
    <w:rsid w:val="0076502E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59E1"/>
    <w:rsid w:val="007D714B"/>
    <w:rsid w:val="007E065B"/>
    <w:rsid w:val="007E0A1D"/>
    <w:rsid w:val="007E172A"/>
    <w:rsid w:val="007E27FE"/>
    <w:rsid w:val="007E28A9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049"/>
    <w:rsid w:val="008334AF"/>
    <w:rsid w:val="0083645A"/>
    <w:rsid w:val="008374F5"/>
    <w:rsid w:val="0083797D"/>
    <w:rsid w:val="00837AB9"/>
    <w:rsid w:val="00840B0F"/>
    <w:rsid w:val="00840FD0"/>
    <w:rsid w:val="0084590A"/>
    <w:rsid w:val="00845C0D"/>
    <w:rsid w:val="008529D3"/>
    <w:rsid w:val="00854840"/>
    <w:rsid w:val="00854B10"/>
    <w:rsid w:val="0085550B"/>
    <w:rsid w:val="0085555B"/>
    <w:rsid w:val="00855FDC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849B6"/>
    <w:rsid w:val="00884DDF"/>
    <w:rsid w:val="0089151A"/>
    <w:rsid w:val="00893B2C"/>
    <w:rsid w:val="00894F96"/>
    <w:rsid w:val="008A0BFE"/>
    <w:rsid w:val="008A2753"/>
    <w:rsid w:val="008A3933"/>
    <w:rsid w:val="008A3D22"/>
    <w:rsid w:val="008A7165"/>
    <w:rsid w:val="008A75AD"/>
    <w:rsid w:val="008B12A2"/>
    <w:rsid w:val="008B20A4"/>
    <w:rsid w:val="008B3713"/>
    <w:rsid w:val="008B43F2"/>
    <w:rsid w:val="008B507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1B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2D60"/>
    <w:rsid w:val="0091016B"/>
    <w:rsid w:val="00910408"/>
    <w:rsid w:val="00910B26"/>
    <w:rsid w:val="00912004"/>
    <w:rsid w:val="009238B9"/>
    <w:rsid w:val="009274B4"/>
    <w:rsid w:val="00934743"/>
    <w:rsid w:val="00934EA2"/>
    <w:rsid w:val="00935641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3D8"/>
    <w:rsid w:val="00996913"/>
    <w:rsid w:val="00996ACA"/>
    <w:rsid w:val="00997678"/>
    <w:rsid w:val="0099768B"/>
    <w:rsid w:val="009A04EC"/>
    <w:rsid w:val="009A0E45"/>
    <w:rsid w:val="009A234F"/>
    <w:rsid w:val="009A291A"/>
    <w:rsid w:val="009B28F2"/>
    <w:rsid w:val="009B2B8A"/>
    <w:rsid w:val="009B37FF"/>
    <w:rsid w:val="009B5126"/>
    <w:rsid w:val="009B71C3"/>
    <w:rsid w:val="009B75FF"/>
    <w:rsid w:val="009B772A"/>
    <w:rsid w:val="009C39A2"/>
    <w:rsid w:val="009C4D44"/>
    <w:rsid w:val="009C56E5"/>
    <w:rsid w:val="009C6F7B"/>
    <w:rsid w:val="009C7346"/>
    <w:rsid w:val="009D3343"/>
    <w:rsid w:val="009D3429"/>
    <w:rsid w:val="009E14A3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15B3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011"/>
    <w:rsid w:val="00A31315"/>
    <w:rsid w:val="00A31D2D"/>
    <w:rsid w:val="00A32267"/>
    <w:rsid w:val="00A32291"/>
    <w:rsid w:val="00A33D45"/>
    <w:rsid w:val="00A34772"/>
    <w:rsid w:val="00A35D6D"/>
    <w:rsid w:val="00A36C83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4C7B"/>
    <w:rsid w:val="00AE1227"/>
    <w:rsid w:val="00AF17A2"/>
    <w:rsid w:val="00AF2081"/>
    <w:rsid w:val="00AF2664"/>
    <w:rsid w:val="00AF32B1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67C"/>
    <w:rsid w:val="00B247C3"/>
    <w:rsid w:val="00B27180"/>
    <w:rsid w:val="00B27237"/>
    <w:rsid w:val="00B27EA8"/>
    <w:rsid w:val="00B27F13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56E14"/>
    <w:rsid w:val="00B639E9"/>
    <w:rsid w:val="00B653C2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A87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24E"/>
    <w:rsid w:val="00BC0382"/>
    <w:rsid w:val="00BC1DBF"/>
    <w:rsid w:val="00BC31AC"/>
    <w:rsid w:val="00BC401E"/>
    <w:rsid w:val="00BC6455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16B7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7447"/>
    <w:rsid w:val="00C90579"/>
    <w:rsid w:val="00C976EE"/>
    <w:rsid w:val="00C97C68"/>
    <w:rsid w:val="00CA0BF6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247A"/>
    <w:rsid w:val="00CC41F6"/>
    <w:rsid w:val="00CC4AC5"/>
    <w:rsid w:val="00CD2733"/>
    <w:rsid w:val="00CD2A68"/>
    <w:rsid w:val="00CD2BC1"/>
    <w:rsid w:val="00CD3139"/>
    <w:rsid w:val="00CD4117"/>
    <w:rsid w:val="00CD7952"/>
    <w:rsid w:val="00CD7BC2"/>
    <w:rsid w:val="00CD7EC4"/>
    <w:rsid w:val="00CE5ACA"/>
    <w:rsid w:val="00CE5E47"/>
    <w:rsid w:val="00CE7A25"/>
    <w:rsid w:val="00CF020F"/>
    <w:rsid w:val="00CF04A2"/>
    <w:rsid w:val="00CF1854"/>
    <w:rsid w:val="00CF269A"/>
    <w:rsid w:val="00CF2A29"/>
    <w:rsid w:val="00CF2B5B"/>
    <w:rsid w:val="00CF3074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36A3F"/>
    <w:rsid w:val="00D42CDE"/>
    <w:rsid w:val="00D42FEE"/>
    <w:rsid w:val="00D43147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4859"/>
    <w:rsid w:val="00D8609B"/>
    <w:rsid w:val="00D864B0"/>
    <w:rsid w:val="00D87035"/>
    <w:rsid w:val="00D87E9C"/>
    <w:rsid w:val="00D91F0E"/>
    <w:rsid w:val="00D925C2"/>
    <w:rsid w:val="00D936BC"/>
    <w:rsid w:val="00D93C5E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4F03"/>
    <w:rsid w:val="00DC574F"/>
    <w:rsid w:val="00DC6EEA"/>
    <w:rsid w:val="00DD08B4"/>
    <w:rsid w:val="00DD44AF"/>
    <w:rsid w:val="00DD603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942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A95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8EB"/>
    <w:rsid w:val="00E83BBB"/>
    <w:rsid w:val="00E84088"/>
    <w:rsid w:val="00E90BE9"/>
    <w:rsid w:val="00E976C1"/>
    <w:rsid w:val="00EA025D"/>
    <w:rsid w:val="00EA07F0"/>
    <w:rsid w:val="00EA12E5"/>
    <w:rsid w:val="00EA2136"/>
    <w:rsid w:val="00EA2C18"/>
    <w:rsid w:val="00EA36A2"/>
    <w:rsid w:val="00EA3D99"/>
    <w:rsid w:val="00EA66A4"/>
    <w:rsid w:val="00EB00F7"/>
    <w:rsid w:val="00EB078E"/>
    <w:rsid w:val="00EB0E5E"/>
    <w:rsid w:val="00EB2238"/>
    <w:rsid w:val="00EB4C45"/>
    <w:rsid w:val="00EB784B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E6DD6"/>
    <w:rsid w:val="00EF33D5"/>
    <w:rsid w:val="00EF481F"/>
    <w:rsid w:val="00EF5942"/>
    <w:rsid w:val="00F000EA"/>
    <w:rsid w:val="00F02766"/>
    <w:rsid w:val="00F03EB7"/>
    <w:rsid w:val="00F04067"/>
    <w:rsid w:val="00F0520E"/>
    <w:rsid w:val="00F05BD4"/>
    <w:rsid w:val="00F06771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5223"/>
    <w:rsid w:val="00F25E44"/>
    <w:rsid w:val="00F25E6D"/>
    <w:rsid w:val="00F277F9"/>
    <w:rsid w:val="00F339E3"/>
    <w:rsid w:val="00F340C8"/>
    <w:rsid w:val="00F349CB"/>
    <w:rsid w:val="00F354F7"/>
    <w:rsid w:val="00F357E0"/>
    <w:rsid w:val="00F43219"/>
    <w:rsid w:val="00F43F95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4C6E"/>
    <w:rsid w:val="00F76603"/>
    <w:rsid w:val="00F772D4"/>
    <w:rsid w:val="00F808C6"/>
    <w:rsid w:val="00F82FF6"/>
    <w:rsid w:val="00F83F60"/>
    <w:rsid w:val="00F8476E"/>
    <w:rsid w:val="00F848EE"/>
    <w:rsid w:val="00F84DF8"/>
    <w:rsid w:val="00F91898"/>
    <w:rsid w:val="00F922B6"/>
    <w:rsid w:val="00F94A92"/>
    <w:rsid w:val="00F94FEF"/>
    <w:rsid w:val="00F971FB"/>
    <w:rsid w:val="00F97287"/>
    <w:rsid w:val="00FA1D7B"/>
    <w:rsid w:val="00FA4CD4"/>
    <w:rsid w:val="00FA579C"/>
    <w:rsid w:val="00FA668B"/>
    <w:rsid w:val="00FB1B62"/>
    <w:rsid w:val="00FB20E0"/>
    <w:rsid w:val="00FB34B9"/>
    <w:rsid w:val="00FC0BEF"/>
    <w:rsid w:val="00FC24DA"/>
    <w:rsid w:val="00FC4678"/>
    <w:rsid w:val="00FC6545"/>
    <w:rsid w:val="00FC7E75"/>
    <w:rsid w:val="00FD0183"/>
    <w:rsid w:val="00FD037B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915"/>
    <w:rsid w:val="00FF7C84"/>
    <w:rsid w:val="0FE1A54A"/>
    <w:rsid w:val="211153D7"/>
    <w:rsid w:val="3C39A62A"/>
    <w:rsid w:val="3E878637"/>
    <w:rsid w:val="4E906FB9"/>
    <w:rsid w:val="5C4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A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94A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94A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94A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94A92"/>
    <w:pPr>
      <w:outlineLvl w:val="3"/>
    </w:pPr>
  </w:style>
  <w:style w:type="paragraph" w:styleId="Heading5">
    <w:name w:val="heading 5"/>
    <w:basedOn w:val="Heading4"/>
    <w:next w:val="Normal"/>
    <w:qFormat/>
    <w:rsid w:val="00F94A92"/>
    <w:pPr>
      <w:outlineLvl w:val="4"/>
    </w:pPr>
  </w:style>
  <w:style w:type="paragraph" w:styleId="Heading6">
    <w:name w:val="heading 6"/>
    <w:basedOn w:val="Heading4"/>
    <w:next w:val="Normal"/>
    <w:qFormat/>
    <w:rsid w:val="00F94A92"/>
    <w:pPr>
      <w:outlineLvl w:val="5"/>
    </w:pPr>
  </w:style>
  <w:style w:type="paragraph" w:styleId="Heading7">
    <w:name w:val="heading 7"/>
    <w:basedOn w:val="Heading6"/>
    <w:next w:val="Normal"/>
    <w:qFormat/>
    <w:rsid w:val="00F94A92"/>
    <w:pPr>
      <w:outlineLvl w:val="6"/>
    </w:pPr>
  </w:style>
  <w:style w:type="paragraph" w:styleId="Heading8">
    <w:name w:val="heading 8"/>
    <w:basedOn w:val="Heading6"/>
    <w:next w:val="Normal"/>
    <w:qFormat/>
    <w:rsid w:val="00F94A92"/>
    <w:pPr>
      <w:outlineLvl w:val="7"/>
    </w:pPr>
  </w:style>
  <w:style w:type="paragraph" w:styleId="Heading9">
    <w:name w:val="heading 9"/>
    <w:basedOn w:val="Heading6"/>
    <w:next w:val="Normal"/>
    <w:qFormat/>
    <w:rsid w:val="00F94A9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94A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4A92"/>
  </w:style>
  <w:style w:type="paragraph" w:customStyle="1" w:styleId="Agendaitem">
    <w:name w:val="Agenda_item"/>
    <w:basedOn w:val="Normal"/>
    <w:next w:val="Normal"/>
    <w:qFormat/>
    <w:rsid w:val="00F94A92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F94A9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94A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94A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94A9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94A9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F94A92"/>
  </w:style>
  <w:style w:type="paragraph" w:customStyle="1" w:styleId="ApptoAnnex">
    <w:name w:val="App_to_Annex"/>
    <w:basedOn w:val="AppendixNo"/>
    <w:next w:val="Normal"/>
    <w:qFormat/>
    <w:rsid w:val="00F94A92"/>
  </w:style>
  <w:style w:type="paragraph" w:customStyle="1" w:styleId="Appendixref">
    <w:name w:val="Appendix_ref"/>
    <w:basedOn w:val="Annexref"/>
    <w:next w:val="Annextitle"/>
    <w:rsid w:val="00F94A92"/>
  </w:style>
  <w:style w:type="paragraph" w:customStyle="1" w:styleId="Appendixtitle">
    <w:name w:val="Appendix_title"/>
    <w:basedOn w:val="Annextitle"/>
    <w:next w:val="Normal"/>
    <w:rsid w:val="00F94A92"/>
  </w:style>
  <w:style w:type="character" w:customStyle="1" w:styleId="Artdef">
    <w:name w:val="Art_def"/>
    <w:basedOn w:val="DefaultParagraphFont"/>
    <w:rsid w:val="00F94A9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F94A92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F94A92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94A92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F94A92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F94A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94A92"/>
    <w:rPr>
      <w:b/>
    </w:rPr>
  </w:style>
  <w:style w:type="paragraph" w:customStyle="1" w:styleId="Chaptitle">
    <w:name w:val="Chap_title"/>
    <w:basedOn w:val="Arttitle"/>
    <w:next w:val="Normal"/>
    <w:rsid w:val="00F94A92"/>
  </w:style>
  <w:style w:type="paragraph" w:customStyle="1" w:styleId="enumlev1">
    <w:name w:val="enumlev1"/>
    <w:basedOn w:val="Normal"/>
    <w:link w:val="enumlev1Char"/>
    <w:qFormat/>
    <w:rsid w:val="00F94A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94A92"/>
    <w:pPr>
      <w:ind w:left="1871" w:hanging="737"/>
    </w:pPr>
  </w:style>
  <w:style w:type="paragraph" w:customStyle="1" w:styleId="enumlev3">
    <w:name w:val="enumlev3"/>
    <w:basedOn w:val="enumlev2"/>
    <w:rsid w:val="00F94A92"/>
    <w:pPr>
      <w:ind w:left="2268" w:hanging="397"/>
    </w:pPr>
  </w:style>
  <w:style w:type="paragraph" w:customStyle="1" w:styleId="Equation">
    <w:name w:val="Equation"/>
    <w:basedOn w:val="Normal"/>
    <w:rsid w:val="00F94A92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94A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F94A92"/>
    <w:pPr>
      <w:ind w:left="1134"/>
    </w:pPr>
  </w:style>
  <w:style w:type="paragraph" w:customStyle="1" w:styleId="Figure">
    <w:name w:val="Figure"/>
    <w:basedOn w:val="Normal"/>
    <w:next w:val="Normal"/>
    <w:rsid w:val="00F94A92"/>
    <w:pPr>
      <w:keepNext/>
      <w:keepLines/>
      <w:jc w:val="center"/>
    </w:pPr>
  </w:style>
  <w:style w:type="paragraph" w:customStyle="1" w:styleId="Figurelegend">
    <w:name w:val="Figure_legend"/>
    <w:basedOn w:val="Normal"/>
    <w:rsid w:val="00F94A9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94A9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94A92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F94A92"/>
    <w:pPr>
      <w:keepNext w:val="0"/>
    </w:pPr>
  </w:style>
  <w:style w:type="paragraph" w:styleId="Footer">
    <w:name w:val="footer"/>
    <w:basedOn w:val="Normal"/>
    <w:link w:val="FooterChar"/>
    <w:rsid w:val="00F94A9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94A92"/>
    <w:rPr>
      <w:rFonts w:ascii="Calibri" w:hAnsi="Calibri"/>
      <w:caps/>
      <w:noProof/>
      <w:sz w:val="16"/>
      <w:lang w:val="ru-RU" w:eastAsia="en-US"/>
    </w:rPr>
  </w:style>
  <w:style w:type="paragraph" w:customStyle="1" w:styleId="FirstFooter">
    <w:name w:val="FirstFooter"/>
    <w:basedOn w:val="Footer"/>
    <w:rsid w:val="00F94A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94A92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F94A92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F94A92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F94A9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94A92"/>
    <w:rPr>
      <w:rFonts w:ascii="Calibri" w:hAnsi="Calibri"/>
      <w:sz w:val="18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94A92"/>
    <w:pPr>
      <w:spacing w:before="280"/>
    </w:pPr>
  </w:style>
  <w:style w:type="paragraph" w:customStyle="1" w:styleId="Section1">
    <w:name w:val="Section_1"/>
    <w:basedOn w:val="Normal"/>
    <w:rsid w:val="00F94A9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94A92"/>
    <w:rPr>
      <w:b w:val="0"/>
      <w:i/>
    </w:rPr>
  </w:style>
  <w:style w:type="paragraph" w:customStyle="1" w:styleId="Section3">
    <w:name w:val="Section_3"/>
    <w:basedOn w:val="Section1"/>
    <w:rsid w:val="00F94A92"/>
    <w:rPr>
      <w:b w:val="0"/>
    </w:rPr>
  </w:style>
  <w:style w:type="paragraph" w:customStyle="1" w:styleId="SectionNo">
    <w:name w:val="Section_No"/>
    <w:basedOn w:val="AnnexNo"/>
    <w:next w:val="Normal"/>
    <w:rsid w:val="00F94A92"/>
  </w:style>
  <w:style w:type="paragraph" w:customStyle="1" w:styleId="Sectiontitle">
    <w:name w:val="Section_title"/>
    <w:basedOn w:val="Annextitle"/>
    <w:next w:val="Normalaftertitle"/>
    <w:rsid w:val="00F94A92"/>
  </w:style>
  <w:style w:type="paragraph" w:customStyle="1" w:styleId="Source">
    <w:name w:val="Source"/>
    <w:basedOn w:val="Normal"/>
    <w:next w:val="Normal"/>
    <w:rsid w:val="00F94A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94A92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94A92"/>
  </w:style>
  <w:style w:type="character" w:customStyle="1" w:styleId="Tablefreq">
    <w:name w:val="Table_freq"/>
    <w:basedOn w:val="DefaultParagraphFont"/>
    <w:rsid w:val="00F94A92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F94A92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F94A92"/>
    <w:rPr>
      <w:sz w:val="20"/>
    </w:rPr>
  </w:style>
  <w:style w:type="paragraph" w:customStyle="1" w:styleId="TableNo">
    <w:name w:val="Table_No"/>
    <w:basedOn w:val="Normal"/>
    <w:next w:val="Normal"/>
    <w:rsid w:val="00F94A9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F94A9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F94A92"/>
    <w:rPr>
      <w:lang w:val="en-US"/>
    </w:rPr>
  </w:style>
  <w:style w:type="paragraph" w:customStyle="1" w:styleId="Proposal">
    <w:name w:val="Proposal"/>
    <w:basedOn w:val="Normal"/>
    <w:next w:val="Normal"/>
    <w:rsid w:val="00F94A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F94A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F94A92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F94A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F94A92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F94A9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94A92"/>
    <w:pPr>
      <w:spacing w:before="120"/>
    </w:pPr>
  </w:style>
  <w:style w:type="paragraph" w:styleId="TOC3">
    <w:name w:val="toc 3"/>
    <w:basedOn w:val="TOC2"/>
    <w:rsid w:val="00F94A92"/>
  </w:style>
  <w:style w:type="paragraph" w:styleId="TOC4">
    <w:name w:val="toc 4"/>
    <w:basedOn w:val="TOC3"/>
    <w:rsid w:val="00F94A92"/>
  </w:style>
  <w:style w:type="paragraph" w:styleId="TOC5">
    <w:name w:val="toc 5"/>
    <w:basedOn w:val="TOC4"/>
    <w:rsid w:val="00F94A92"/>
  </w:style>
  <w:style w:type="paragraph" w:styleId="TOC6">
    <w:name w:val="toc 6"/>
    <w:basedOn w:val="TOC4"/>
    <w:rsid w:val="00F94A92"/>
  </w:style>
  <w:style w:type="paragraph" w:styleId="TOC7">
    <w:name w:val="toc 7"/>
    <w:basedOn w:val="TOC4"/>
    <w:rsid w:val="00F94A92"/>
  </w:style>
  <w:style w:type="paragraph" w:styleId="TOC8">
    <w:name w:val="toc 8"/>
    <w:basedOn w:val="TOC4"/>
    <w:rsid w:val="00F94A92"/>
  </w:style>
  <w:style w:type="paragraph" w:customStyle="1" w:styleId="Title1">
    <w:name w:val="Title 1"/>
    <w:basedOn w:val="Source"/>
    <w:next w:val="Normal"/>
    <w:rsid w:val="00F94A9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F94A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94A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94A92"/>
    <w:rPr>
      <w:b/>
    </w:rPr>
  </w:style>
  <w:style w:type="paragraph" w:customStyle="1" w:styleId="Tabletext">
    <w:name w:val="Table_text"/>
    <w:basedOn w:val="Normal"/>
    <w:rsid w:val="00F94A9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F94A92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F94A9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F94A92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94A9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F94A92"/>
  </w:style>
  <w:style w:type="paragraph" w:customStyle="1" w:styleId="PartNo">
    <w:name w:val="Part_No"/>
    <w:basedOn w:val="AnnexNo"/>
    <w:next w:val="Normal"/>
    <w:rsid w:val="00F94A92"/>
  </w:style>
  <w:style w:type="paragraph" w:customStyle="1" w:styleId="Partref">
    <w:name w:val="Part_ref"/>
    <w:basedOn w:val="Annexref"/>
    <w:next w:val="Normal"/>
    <w:rsid w:val="00F94A92"/>
  </w:style>
  <w:style w:type="paragraph" w:customStyle="1" w:styleId="Parttitle">
    <w:name w:val="Part_title"/>
    <w:basedOn w:val="Annextitle"/>
    <w:next w:val="Normalaftertitle"/>
    <w:rsid w:val="00F94A92"/>
  </w:style>
  <w:style w:type="paragraph" w:customStyle="1" w:styleId="Recdate">
    <w:name w:val="Rec_date"/>
    <w:basedOn w:val="Normal"/>
    <w:next w:val="Normalaftertitle"/>
    <w:rsid w:val="00F94A92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F94A9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94A92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F94A92"/>
  </w:style>
  <w:style w:type="paragraph" w:customStyle="1" w:styleId="Restitle">
    <w:name w:val="Res_title"/>
    <w:basedOn w:val="Rectitle"/>
    <w:next w:val="Normal"/>
    <w:rsid w:val="00F94A92"/>
  </w:style>
  <w:style w:type="paragraph" w:customStyle="1" w:styleId="AppArtNo">
    <w:name w:val="App_Art_No"/>
    <w:basedOn w:val="ArtNo"/>
    <w:qFormat/>
    <w:rsid w:val="00F94A92"/>
  </w:style>
  <w:style w:type="paragraph" w:customStyle="1" w:styleId="AppArttitle">
    <w:name w:val="App_Art_title"/>
    <w:basedOn w:val="Arttitle"/>
    <w:qFormat/>
    <w:rsid w:val="00F94A92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F94A92"/>
  </w:style>
  <w:style w:type="paragraph" w:customStyle="1" w:styleId="OpinionNo">
    <w:name w:val="Opinion_No"/>
    <w:basedOn w:val="RecNo"/>
    <w:next w:val="Opiniontitle"/>
    <w:qFormat/>
    <w:rsid w:val="00F94A92"/>
  </w:style>
  <w:style w:type="paragraph" w:customStyle="1" w:styleId="Volumetitle">
    <w:name w:val="Volume_title"/>
    <w:basedOn w:val="Normal"/>
    <w:qFormat/>
    <w:rsid w:val="00F94A92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F94A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A92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F94A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F94A92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94A92"/>
    <w:rPr>
      <w:rFonts w:ascii="Calibri" w:hAnsi="Calibri"/>
      <w:sz w:val="22"/>
      <w:lang w:val="ru-RU" w:eastAsia="en-US"/>
    </w:rPr>
  </w:style>
  <w:style w:type="table" w:styleId="TableGrid">
    <w:name w:val="Table Grid"/>
    <w:basedOn w:val="TableNormal"/>
    <w:uiPriority w:val="59"/>
    <w:rsid w:val="00F94A92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94A92"/>
    <w:rPr>
      <w:color w:val="800080" w:themeColor="followedHyperlink"/>
      <w:u w:val="single"/>
    </w:rPr>
  </w:style>
  <w:style w:type="paragraph" w:customStyle="1" w:styleId="Default">
    <w:name w:val="Default"/>
    <w:rsid w:val="00F94A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F94A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F94A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4A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4A92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4A92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F94A92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A92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F94A9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F94A92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4A9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94A92"/>
    <w:rPr>
      <w:color w:val="605E5C"/>
      <w:shd w:val="clear" w:color="auto" w:fill="E1DFDD"/>
    </w:rPr>
  </w:style>
  <w:style w:type="paragraph" w:customStyle="1" w:styleId="BodyAA">
    <w:name w:val="Body A A"/>
    <w:rsid w:val="007E172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Signature">
    <w:name w:val="Signature"/>
    <w:basedOn w:val="Normal"/>
    <w:link w:val="SignatureChar"/>
    <w:unhideWhenUsed/>
    <w:rsid w:val="0044268E"/>
    <w:pPr>
      <w:tabs>
        <w:tab w:val="clear" w:pos="1134"/>
        <w:tab w:val="clear" w:pos="1871"/>
        <w:tab w:val="clear" w:pos="2268"/>
        <w:tab w:val="center" w:pos="6804"/>
      </w:tabs>
      <w:spacing w:before="840"/>
    </w:pPr>
    <w:rPr>
      <w:rFonts w:eastAsia="Calibri"/>
      <w:szCs w:val="24"/>
    </w:rPr>
  </w:style>
  <w:style w:type="character" w:customStyle="1" w:styleId="SignatureChar">
    <w:name w:val="Signature Char"/>
    <w:basedOn w:val="DefaultParagraphFont"/>
    <w:link w:val="Signature"/>
    <w:rsid w:val="0044268E"/>
    <w:rPr>
      <w:rFonts w:ascii="Calibri" w:eastAsia="Calibri" w:hAnsi="Calibri"/>
      <w:sz w:val="24"/>
      <w:szCs w:val="24"/>
      <w:lang w:val="en-GB" w:eastAsia="en-US"/>
    </w:rPr>
  </w:style>
  <w:style w:type="paragraph" w:customStyle="1" w:styleId="TitleAgenda">
    <w:name w:val="Title_Agenda"/>
    <w:basedOn w:val="Normal"/>
    <w:rsid w:val="0044268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44268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44268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44268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character" w:customStyle="1" w:styleId="HeadingbChar">
    <w:name w:val="Heading_b Char"/>
    <w:basedOn w:val="DefaultParagraphFont"/>
    <w:link w:val="Headingb"/>
    <w:locked/>
    <w:rsid w:val="00F94A92"/>
    <w:rPr>
      <w:rFonts w:ascii="Calibri" w:hAnsi="Calibri" w:cs="Times New Roman Bold"/>
      <w:b/>
      <w:sz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146-r.pdf" TargetMode="External"/><Relationship Id="rId18" Type="http://schemas.openxmlformats.org/officeDocument/2006/relationships/hyperlink" Target="https://www.itu.int/md/S25-EGITRS4-C/en" TargetMode="External"/><Relationship Id="rId26" Type="http://schemas.openxmlformats.org/officeDocument/2006/relationships/hyperlink" Target="https://www.itu.int/md/S24-EGITRS3-C-0008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4-EGITRS3-C-0011/en" TargetMode="External"/><Relationship Id="rId34" Type="http://schemas.openxmlformats.org/officeDocument/2006/relationships/hyperlink" Target="https://www.itu.int/md/S25-EGITRS4-C-0004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S24-EGITRS3-C/en" TargetMode="External"/><Relationship Id="rId25" Type="http://schemas.openxmlformats.org/officeDocument/2006/relationships/hyperlink" Target="https://www.itu.int/md/S24-EGITRS3-C-0005/en" TargetMode="External"/><Relationship Id="rId33" Type="http://schemas.openxmlformats.org/officeDocument/2006/relationships/hyperlink" Target="https://www.itu.int/md/S25-EGITRS4-C-0003/en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EGITRS4-C-0009/en" TargetMode="External"/><Relationship Id="rId20" Type="http://schemas.openxmlformats.org/officeDocument/2006/relationships/hyperlink" Target="https://www.itu.int/md/S24-EGITRS3-C-0006/en" TargetMode="External"/><Relationship Id="rId29" Type="http://schemas.openxmlformats.org/officeDocument/2006/relationships/hyperlink" Target="https://www.itu.int/md/S24-EGITRS3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24-EGITRS3-C-0003/en" TargetMode="External"/><Relationship Id="rId32" Type="http://schemas.openxmlformats.org/officeDocument/2006/relationships/hyperlink" Target="https://www.itu.int/md/S25-EGITRS4-C-0007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EGITRS3-C-0012/en" TargetMode="External"/><Relationship Id="rId23" Type="http://schemas.openxmlformats.org/officeDocument/2006/relationships/hyperlink" Target="https://www.itu.int/md/S24-EGITRS3-C-0009/en" TargetMode="External"/><Relationship Id="rId28" Type="http://schemas.openxmlformats.org/officeDocument/2006/relationships/hyperlink" Target="https://www.itu.int/md/S24-EGITRS3-C-0004/en" TargetMode="External"/><Relationship Id="rId36" Type="http://schemas.openxmlformats.org/officeDocument/2006/relationships/hyperlink" Target="https://www.itu.int/md/S25-EGITRS4-C-000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EGITRS3-C-0002/en" TargetMode="External"/><Relationship Id="rId31" Type="http://schemas.openxmlformats.org/officeDocument/2006/relationships/hyperlink" Target="https://www.itu.int/md/S25-EGITRS4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21/en" TargetMode="External"/><Relationship Id="rId22" Type="http://schemas.openxmlformats.org/officeDocument/2006/relationships/hyperlink" Target="https://www.itu.int/md/S24-EGITRS3-C-0007/en" TargetMode="External"/><Relationship Id="rId27" Type="http://schemas.openxmlformats.org/officeDocument/2006/relationships/hyperlink" Target="https://www.itu.int/md/S24-EGITRS3-C-0010/en" TargetMode="External"/><Relationship Id="rId30" Type="http://schemas.openxmlformats.org/officeDocument/2006/relationships/hyperlink" Target="https://www.itu.int/md/S25-EGITRS4-C-0002/en" TargetMode="External"/><Relationship Id="rId35" Type="http://schemas.openxmlformats.org/officeDocument/2006/relationships/hyperlink" Target="https://www.itu.int/md/S25-EGITRS4-C-0005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men.prado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22058-3749-478A-938B-72E4D965902D}"/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PR_TDAG25.docx</Template>
  <TotalTime>137</TotalTime>
  <Pages>4</Pages>
  <Words>858</Words>
  <Characters>7080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7923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SV</cp:lastModifiedBy>
  <cp:revision>9</cp:revision>
  <cp:lastPrinted>2019-01-16T07:57:00Z</cp:lastPrinted>
  <dcterms:created xsi:type="dcterms:W3CDTF">2025-04-30T14:23:00Z</dcterms:created>
  <dcterms:modified xsi:type="dcterms:W3CDTF">2025-05-02T14:57:00Z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