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ED6D97" w14:paraId="3F0E9EC4" w14:textId="77777777" w:rsidTr="00E24DE9">
        <w:trPr>
          <w:cantSplit/>
          <w:trHeight w:val="1134"/>
        </w:trPr>
        <w:tc>
          <w:tcPr>
            <w:tcW w:w="1985" w:type="dxa"/>
          </w:tcPr>
          <w:p w14:paraId="1C6881CD" w14:textId="419D18F9" w:rsidR="00921A30" w:rsidRPr="00ED6D97" w:rsidRDefault="00AC2BF7" w:rsidP="001E5219">
            <w:pPr>
              <w:tabs>
                <w:tab w:val="clear" w:pos="1191"/>
                <w:tab w:val="clear" w:pos="1588"/>
                <w:tab w:val="clear" w:pos="1985"/>
              </w:tabs>
              <w:spacing w:after="40"/>
              <w:rPr>
                <w:b/>
                <w:bCs/>
                <w:sz w:val="32"/>
                <w:szCs w:val="32"/>
                <w:lang w:val="fr-FR"/>
              </w:rPr>
            </w:pPr>
            <w:r w:rsidRPr="00ED6D97">
              <w:rPr>
                <w:b/>
                <w:bCs/>
                <w:sz w:val="32"/>
                <w:szCs w:val="32"/>
                <w:lang w:val="fr-FR"/>
              </w:rPr>
              <w:drawing>
                <wp:inline distT="0" distB="0" distL="0" distR="0" wp14:anchorId="7DECAEFB" wp14:editId="7D2FA55A">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ED6D97" w:rsidRDefault="00921A30" w:rsidP="004037AF">
            <w:pPr>
              <w:tabs>
                <w:tab w:val="clear" w:pos="1191"/>
                <w:tab w:val="clear" w:pos="1588"/>
                <w:tab w:val="clear" w:pos="1985"/>
              </w:tabs>
              <w:spacing w:before="240" w:after="240"/>
              <w:ind w:left="34"/>
              <w:rPr>
                <w:b/>
                <w:bCs/>
                <w:sz w:val="32"/>
                <w:szCs w:val="32"/>
                <w:lang w:val="fr-FR"/>
              </w:rPr>
            </w:pPr>
            <w:r w:rsidRPr="00ED6D97">
              <w:rPr>
                <w:b/>
                <w:bCs/>
                <w:sz w:val="32"/>
                <w:szCs w:val="32"/>
                <w:lang w:val="fr-FR"/>
              </w:rPr>
              <w:t xml:space="preserve">Groupe consultatif pour le développement </w:t>
            </w:r>
            <w:r w:rsidRPr="00ED6D97">
              <w:rPr>
                <w:b/>
                <w:bCs/>
                <w:sz w:val="32"/>
                <w:szCs w:val="32"/>
                <w:lang w:val="fr-FR"/>
              </w:rPr>
              <w:br/>
              <w:t>des télécommunications (GCDT)</w:t>
            </w:r>
          </w:p>
          <w:p w14:paraId="5F5F590A" w14:textId="7427F64C" w:rsidR="00921A30" w:rsidRPr="00ED6D97" w:rsidRDefault="00921A30" w:rsidP="001011EB">
            <w:pPr>
              <w:tabs>
                <w:tab w:val="clear" w:pos="1191"/>
                <w:tab w:val="clear" w:pos="1588"/>
                <w:tab w:val="clear" w:pos="1985"/>
              </w:tabs>
              <w:spacing w:after="120"/>
              <w:ind w:left="34"/>
              <w:rPr>
                <w:rFonts w:ascii="Verdana" w:hAnsi="Verdana"/>
                <w:sz w:val="28"/>
                <w:szCs w:val="28"/>
                <w:lang w:val="fr-FR"/>
              </w:rPr>
            </w:pPr>
            <w:r w:rsidRPr="00ED6D97">
              <w:rPr>
                <w:b/>
                <w:bCs/>
                <w:sz w:val="26"/>
                <w:szCs w:val="26"/>
                <w:lang w:val="fr-FR"/>
              </w:rPr>
              <w:t>32ème réunion, Genève, Suisse, 12-16 mai 2025</w:t>
            </w:r>
          </w:p>
        </w:tc>
        <w:tc>
          <w:tcPr>
            <w:tcW w:w="1666" w:type="dxa"/>
          </w:tcPr>
          <w:p w14:paraId="67E7B4C4" w14:textId="0F52E4CC" w:rsidR="00921A30" w:rsidRPr="00ED6D97" w:rsidRDefault="00921A30" w:rsidP="00946023">
            <w:pPr>
              <w:spacing w:before="240" w:after="120"/>
              <w:ind w:right="142"/>
              <w:jc w:val="right"/>
              <w:rPr>
                <w:lang w:val="fr-FR"/>
              </w:rPr>
            </w:pPr>
            <w:r w:rsidRPr="00ED6D97">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ED6D97" w14:paraId="3C13197B" w14:textId="77777777" w:rsidTr="0009076F">
        <w:trPr>
          <w:cantSplit/>
        </w:trPr>
        <w:tc>
          <w:tcPr>
            <w:tcW w:w="6379" w:type="dxa"/>
            <w:gridSpan w:val="2"/>
            <w:tcBorders>
              <w:top w:val="single" w:sz="12" w:space="0" w:color="auto"/>
            </w:tcBorders>
          </w:tcPr>
          <w:p w14:paraId="2EED9DB2" w14:textId="77777777" w:rsidR="00683C32" w:rsidRPr="00ED6D97"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ED6D97" w:rsidRDefault="00683C32" w:rsidP="00107E85">
            <w:pPr>
              <w:spacing w:before="0"/>
              <w:rPr>
                <w:b/>
                <w:bCs/>
                <w:sz w:val="20"/>
                <w:lang w:val="fr-FR"/>
              </w:rPr>
            </w:pPr>
          </w:p>
        </w:tc>
      </w:tr>
      <w:tr w:rsidR="00683C32" w:rsidRPr="00ED6D97" w14:paraId="0BB3FBC4" w14:textId="77777777" w:rsidTr="0009076F">
        <w:trPr>
          <w:cantSplit/>
        </w:trPr>
        <w:tc>
          <w:tcPr>
            <w:tcW w:w="6379" w:type="dxa"/>
            <w:gridSpan w:val="2"/>
          </w:tcPr>
          <w:p w14:paraId="43C54B3D" w14:textId="77777777" w:rsidR="00683C32" w:rsidRPr="00ED6D97" w:rsidRDefault="00683C32" w:rsidP="00400CCF">
            <w:pPr>
              <w:pStyle w:val="Committee"/>
              <w:spacing w:before="0"/>
              <w:rPr>
                <w:b w:val="0"/>
                <w:szCs w:val="24"/>
                <w:lang w:val="fr-FR"/>
              </w:rPr>
            </w:pPr>
          </w:p>
        </w:tc>
        <w:tc>
          <w:tcPr>
            <w:tcW w:w="3509" w:type="dxa"/>
            <w:gridSpan w:val="2"/>
          </w:tcPr>
          <w:p w14:paraId="02E44EE9" w14:textId="52C1D1B1" w:rsidR="00683C32" w:rsidRPr="00ED6D97" w:rsidRDefault="0096201B" w:rsidP="00E25345">
            <w:pPr>
              <w:spacing w:before="0"/>
              <w:jc w:val="both"/>
              <w:rPr>
                <w:bCs/>
                <w:szCs w:val="24"/>
                <w:lang w:val="fr-FR"/>
              </w:rPr>
            </w:pPr>
            <w:r w:rsidRPr="00ED6D97">
              <w:rPr>
                <w:b/>
                <w:bCs/>
                <w:lang w:val="fr-FR"/>
              </w:rPr>
              <w:t xml:space="preserve">Document </w:t>
            </w:r>
            <w:bookmarkStart w:id="0" w:name="DocRef1"/>
            <w:bookmarkEnd w:id="0"/>
            <w:r w:rsidRPr="00ED6D97">
              <w:rPr>
                <w:b/>
                <w:bCs/>
                <w:lang w:val="fr-FR"/>
              </w:rPr>
              <w:t>TDAG</w:t>
            </w:r>
            <w:r w:rsidR="003242AB" w:rsidRPr="00ED6D97">
              <w:rPr>
                <w:b/>
                <w:bCs/>
                <w:lang w:val="fr-FR"/>
              </w:rPr>
              <w:t>-</w:t>
            </w:r>
            <w:r w:rsidR="00B648C7" w:rsidRPr="00ED6D97">
              <w:rPr>
                <w:b/>
                <w:bCs/>
                <w:lang w:val="fr-FR"/>
              </w:rPr>
              <w:t>2</w:t>
            </w:r>
            <w:bookmarkStart w:id="1" w:name="DocNo1"/>
            <w:bookmarkEnd w:id="1"/>
            <w:r w:rsidR="001C48D3" w:rsidRPr="00ED6D97">
              <w:rPr>
                <w:b/>
                <w:bCs/>
                <w:lang w:val="fr-FR"/>
              </w:rPr>
              <w:t>5</w:t>
            </w:r>
            <w:r w:rsidR="0009076F" w:rsidRPr="00ED6D97">
              <w:rPr>
                <w:b/>
                <w:bCs/>
                <w:lang w:val="fr-FR"/>
              </w:rPr>
              <w:t>/</w:t>
            </w:r>
            <w:r w:rsidR="006356A5" w:rsidRPr="00ED6D97">
              <w:rPr>
                <w:b/>
                <w:bCs/>
                <w:lang w:val="fr-FR"/>
              </w:rPr>
              <w:t>27</w:t>
            </w:r>
            <w:r w:rsidRPr="00ED6D97">
              <w:rPr>
                <w:b/>
                <w:bCs/>
                <w:lang w:val="fr-FR"/>
              </w:rPr>
              <w:t>-</w:t>
            </w:r>
            <w:r w:rsidR="00E25345" w:rsidRPr="00ED6D97">
              <w:rPr>
                <w:b/>
                <w:bCs/>
                <w:lang w:val="fr-FR"/>
              </w:rPr>
              <w:t>F</w:t>
            </w:r>
          </w:p>
        </w:tc>
      </w:tr>
      <w:tr w:rsidR="00683C32" w:rsidRPr="00ED6D97" w14:paraId="24D04936" w14:textId="77777777" w:rsidTr="0009076F">
        <w:trPr>
          <w:cantSplit/>
        </w:trPr>
        <w:tc>
          <w:tcPr>
            <w:tcW w:w="6379" w:type="dxa"/>
            <w:gridSpan w:val="2"/>
          </w:tcPr>
          <w:p w14:paraId="12CE4DBF" w14:textId="77777777" w:rsidR="00683C32" w:rsidRPr="00ED6D97" w:rsidRDefault="00683C32" w:rsidP="00400CCF">
            <w:pPr>
              <w:spacing w:before="0"/>
              <w:rPr>
                <w:b/>
                <w:bCs/>
                <w:smallCaps/>
                <w:szCs w:val="24"/>
                <w:lang w:val="fr-FR"/>
              </w:rPr>
            </w:pPr>
          </w:p>
        </w:tc>
        <w:tc>
          <w:tcPr>
            <w:tcW w:w="3509" w:type="dxa"/>
            <w:gridSpan w:val="2"/>
          </w:tcPr>
          <w:p w14:paraId="0F89640F" w14:textId="3FAAAAD0" w:rsidR="00683C32" w:rsidRPr="00ED6D97" w:rsidRDefault="006356A5" w:rsidP="00B648C7">
            <w:pPr>
              <w:spacing w:before="0"/>
              <w:rPr>
                <w:b/>
                <w:szCs w:val="24"/>
                <w:lang w:val="fr-FR"/>
              </w:rPr>
            </w:pPr>
            <w:bookmarkStart w:id="2" w:name="CreationDate"/>
            <w:bookmarkEnd w:id="2"/>
            <w:r w:rsidRPr="00ED6D97">
              <w:rPr>
                <w:b/>
                <w:bCs/>
                <w:szCs w:val="28"/>
                <w:lang w:val="fr-FR"/>
              </w:rPr>
              <w:t>1er avril</w:t>
            </w:r>
            <w:r w:rsidR="001C48D3" w:rsidRPr="00ED6D97">
              <w:rPr>
                <w:b/>
                <w:bCs/>
                <w:szCs w:val="28"/>
                <w:lang w:val="fr-FR"/>
              </w:rPr>
              <w:t xml:space="preserve"> 2025</w:t>
            </w:r>
          </w:p>
        </w:tc>
      </w:tr>
      <w:tr w:rsidR="00683C32" w:rsidRPr="00ED6D97" w14:paraId="7B96545F" w14:textId="77777777" w:rsidTr="0009076F">
        <w:trPr>
          <w:cantSplit/>
        </w:trPr>
        <w:tc>
          <w:tcPr>
            <w:tcW w:w="6379" w:type="dxa"/>
            <w:gridSpan w:val="2"/>
          </w:tcPr>
          <w:p w14:paraId="65956FD3" w14:textId="77777777" w:rsidR="00683C32" w:rsidRPr="00ED6D97" w:rsidRDefault="00683C32" w:rsidP="00400CCF">
            <w:pPr>
              <w:spacing w:before="0"/>
              <w:rPr>
                <w:b/>
                <w:bCs/>
                <w:smallCaps/>
                <w:szCs w:val="24"/>
                <w:lang w:val="fr-FR"/>
              </w:rPr>
            </w:pPr>
          </w:p>
        </w:tc>
        <w:tc>
          <w:tcPr>
            <w:tcW w:w="3509" w:type="dxa"/>
            <w:gridSpan w:val="2"/>
          </w:tcPr>
          <w:p w14:paraId="30EFD39F" w14:textId="33ACFB79" w:rsidR="00514D2F" w:rsidRPr="00ED6D97" w:rsidRDefault="0096201B" w:rsidP="001011EB">
            <w:pPr>
              <w:spacing w:before="0"/>
              <w:rPr>
                <w:szCs w:val="24"/>
                <w:lang w:val="fr-FR"/>
              </w:rPr>
            </w:pPr>
            <w:r w:rsidRPr="00ED6D97">
              <w:rPr>
                <w:b/>
                <w:lang w:val="fr-FR"/>
              </w:rPr>
              <w:t>Original:</w:t>
            </w:r>
            <w:bookmarkStart w:id="3" w:name="Original"/>
            <w:bookmarkEnd w:id="3"/>
            <w:r w:rsidR="00CE0422" w:rsidRPr="00ED6D97">
              <w:rPr>
                <w:b/>
                <w:lang w:val="fr-FR"/>
              </w:rPr>
              <w:t xml:space="preserve"> </w:t>
            </w:r>
            <w:r w:rsidR="001011EB" w:rsidRPr="00ED6D97">
              <w:rPr>
                <w:b/>
                <w:lang w:val="fr-FR"/>
              </w:rPr>
              <w:t>anglais</w:t>
            </w:r>
          </w:p>
        </w:tc>
      </w:tr>
      <w:tr w:rsidR="006356A5" w:rsidRPr="00ED6D97" w14:paraId="31656E31" w14:textId="77777777" w:rsidTr="00107E85">
        <w:trPr>
          <w:cantSplit/>
          <w:trHeight w:val="852"/>
        </w:trPr>
        <w:tc>
          <w:tcPr>
            <w:tcW w:w="9888" w:type="dxa"/>
            <w:gridSpan w:val="4"/>
          </w:tcPr>
          <w:p w14:paraId="512FCA01" w14:textId="33424FCA" w:rsidR="006356A5" w:rsidRPr="00ED6D97" w:rsidRDefault="006356A5" w:rsidP="006356A5">
            <w:pPr>
              <w:pStyle w:val="Source"/>
              <w:rPr>
                <w:lang w:val="fr-FR"/>
              </w:rPr>
            </w:pPr>
            <w:bookmarkStart w:id="4" w:name="Source"/>
            <w:bookmarkEnd w:id="4"/>
            <w:r w:rsidRPr="00ED6D97">
              <w:rPr>
                <w:bCs/>
                <w:color w:val="000000"/>
                <w:lang w:val="fr-FR"/>
              </w:rPr>
              <w:t>Directeur du Bureau de développement des télécommunications</w:t>
            </w:r>
          </w:p>
        </w:tc>
      </w:tr>
      <w:tr w:rsidR="006356A5" w:rsidRPr="00ED6D97" w14:paraId="2CBD3A36" w14:textId="77777777" w:rsidTr="00B51571">
        <w:trPr>
          <w:cantSplit/>
        </w:trPr>
        <w:tc>
          <w:tcPr>
            <w:tcW w:w="9888" w:type="dxa"/>
            <w:gridSpan w:val="4"/>
            <w:vAlign w:val="center"/>
          </w:tcPr>
          <w:p w14:paraId="1B4121DF" w14:textId="01782C04" w:rsidR="006356A5" w:rsidRPr="00ED6D97" w:rsidRDefault="006356A5" w:rsidP="006356A5">
            <w:pPr>
              <w:pStyle w:val="Title1"/>
              <w:rPr>
                <w:lang w:val="fr-FR"/>
              </w:rPr>
            </w:pPr>
            <w:bookmarkStart w:id="5" w:name="Title"/>
            <w:bookmarkEnd w:id="5"/>
            <w:r w:rsidRPr="00ED6D97">
              <w:rPr>
                <w:color w:val="000000"/>
                <w:lang w:val="fr-FR"/>
              </w:rPr>
              <w:t>Rapport sur les travaux du Groupe d'experts sur le Règlement des télécommunications internationales (EG-RTI) au GCDT</w:t>
            </w:r>
          </w:p>
        </w:tc>
      </w:tr>
      <w:tr w:rsidR="00A721F4" w:rsidRPr="00ED6D97" w14:paraId="23A30231" w14:textId="77777777" w:rsidTr="00A721F4">
        <w:trPr>
          <w:cantSplit/>
        </w:trPr>
        <w:tc>
          <w:tcPr>
            <w:tcW w:w="9888" w:type="dxa"/>
            <w:gridSpan w:val="4"/>
            <w:tcBorders>
              <w:bottom w:val="single" w:sz="4" w:space="0" w:color="auto"/>
            </w:tcBorders>
          </w:tcPr>
          <w:p w14:paraId="726EE70E" w14:textId="77777777" w:rsidR="00A721F4" w:rsidRPr="00ED6D97" w:rsidRDefault="00A721F4" w:rsidP="0030353C">
            <w:pPr>
              <w:rPr>
                <w:lang w:val="fr-FR"/>
              </w:rPr>
            </w:pPr>
          </w:p>
        </w:tc>
      </w:tr>
      <w:tr w:rsidR="00A721F4" w:rsidRPr="00ED6D9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ED6D97" w:rsidRDefault="001011EB" w:rsidP="00EA0C51">
            <w:pPr>
              <w:spacing w:after="120"/>
              <w:rPr>
                <w:b/>
                <w:bCs/>
                <w:szCs w:val="24"/>
                <w:lang w:val="fr-FR"/>
              </w:rPr>
            </w:pPr>
            <w:r w:rsidRPr="00ED6D97">
              <w:rPr>
                <w:b/>
                <w:bCs/>
                <w:szCs w:val="24"/>
                <w:lang w:val="fr-FR"/>
              </w:rPr>
              <w:t>Résumé</w:t>
            </w:r>
            <w:r w:rsidR="00A721F4" w:rsidRPr="00ED6D97">
              <w:rPr>
                <w:b/>
                <w:bCs/>
                <w:szCs w:val="24"/>
                <w:lang w:val="fr-FR"/>
              </w:rPr>
              <w:t>:</w:t>
            </w:r>
          </w:p>
          <w:p w14:paraId="4082D7E8" w14:textId="69F12735" w:rsidR="00A721F4" w:rsidRPr="00ED6D97" w:rsidRDefault="00D2765B" w:rsidP="00EA0C51">
            <w:pPr>
              <w:spacing w:after="120"/>
              <w:rPr>
                <w:szCs w:val="24"/>
                <w:lang w:val="fr-FR"/>
              </w:rPr>
            </w:pPr>
            <w:r w:rsidRPr="00ED6D97">
              <w:rPr>
                <w:color w:val="000000"/>
                <w:lang w:val="fr-FR"/>
              </w:rPr>
              <w:t>Le présent rapport rend compte des principaux résultats des première et deuxième réunions du Groupe EG-RTI, tenues respectivement les 30 septembre et 1er octobre 2025 et les 20 et 21</w:t>
            </w:r>
            <w:r w:rsidRPr="00ED6D97">
              <w:rPr>
                <w:color w:val="000000"/>
                <w:lang w:val="fr-FR"/>
              </w:rPr>
              <w:t> </w:t>
            </w:r>
            <w:r w:rsidRPr="00ED6D97">
              <w:rPr>
                <w:color w:val="000000"/>
                <w:lang w:val="fr-FR"/>
              </w:rPr>
              <w:t>février</w:t>
            </w:r>
            <w:r w:rsidRPr="00ED6D97">
              <w:rPr>
                <w:color w:val="000000"/>
                <w:lang w:val="fr-FR"/>
              </w:rPr>
              <w:t> </w:t>
            </w:r>
            <w:r w:rsidRPr="00ED6D97">
              <w:rPr>
                <w:color w:val="000000"/>
                <w:lang w:val="fr-FR"/>
              </w:rPr>
              <w:t>2025. Ces réunions ont été organisées conformément à la Résolution 146 (Rév.</w:t>
            </w:r>
            <w:r w:rsidRPr="00ED6D97">
              <w:rPr>
                <w:color w:val="000000"/>
                <w:lang w:val="fr-FR"/>
              </w:rPr>
              <w:t> </w:t>
            </w:r>
            <w:r w:rsidRPr="00ED6D97">
              <w:rPr>
                <w:color w:val="000000"/>
                <w:lang w:val="fr-FR"/>
              </w:rPr>
              <w:t>Bucarest,</w:t>
            </w:r>
            <w:r w:rsidRPr="00ED6D97">
              <w:rPr>
                <w:color w:val="000000"/>
                <w:lang w:val="fr-FR"/>
              </w:rPr>
              <w:t> </w:t>
            </w:r>
            <w:r w:rsidRPr="00ED6D97">
              <w:rPr>
                <w:color w:val="000000"/>
                <w:lang w:val="fr-FR"/>
              </w:rPr>
              <w:t>2022) de la Conférence de plénipotentiaires et à la Résolution 1379 (Mod. 2023).</w:t>
            </w:r>
          </w:p>
          <w:p w14:paraId="76A1C541" w14:textId="23209CDB" w:rsidR="00A721F4" w:rsidRPr="00ED6D97" w:rsidRDefault="001011EB" w:rsidP="00EA0C51">
            <w:pPr>
              <w:spacing w:after="120"/>
              <w:rPr>
                <w:b/>
                <w:bCs/>
                <w:szCs w:val="24"/>
                <w:lang w:val="fr-FR"/>
              </w:rPr>
            </w:pPr>
            <w:r w:rsidRPr="00ED6D97">
              <w:rPr>
                <w:b/>
                <w:bCs/>
                <w:lang w:val="fr-FR"/>
              </w:rPr>
              <w:t>Suite à donner</w:t>
            </w:r>
            <w:r w:rsidR="00A721F4" w:rsidRPr="00ED6D97">
              <w:rPr>
                <w:b/>
                <w:bCs/>
                <w:lang w:val="fr-FR"/>
              </w:rPr>
              <w:t>:</w:t>
            </w:r>
          </w:p>
          <w:p w14:paraId="088DF53A" w14:textId="49B616DD" w:rsidR="00D2765B" w:rsidRPr="00ED6D97" w:rsidRDefault="00D2765B" w:rsidP="00D2765B">
            <w:pPr>
              <w:spacing w:after="120"/>
              <w:rPr>
                <w:iCs/>
                <w:lang w:val="fr-FR"/>
              </w:rPr>
            </w:pPr>
            <w:r w:rsidRPr="00ED6D97">
              <w:rPr>
                <w:color w:val="000000"/>
                <w:lang w:val="fr-FR"/>
              </w:rPr>
              <w:t>En vertu de la Résolution 146 (Rév. Bucarest, 2022), les Directeurs des Bureaux sont chargés, "</w:t>
            </w:r>
            <w:r w:rsidRPr="00ED6D97">
              <w:rPr>
                <w:i/>
                <w:iCs/>
                <w:color w:val="000000"/>
                <w:lang w:val="fr-FR"/>
              </w:rPr>
              <w:t>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w:t>
            </w:r>
            <w:r w:rsidRPr="00ED6D97">
              <w:rPr>
                <w:color w:val="000000"/>
                <w:lang w:val="fr-FR"/>
              </w:rPr>
              <w:t>".</w:t>
            </w:r>
          </w:p>
          <w:p w14:paraId="371956FC" w14:textId="49057189" w:rsidR="00A721F4" w:rsidRPr="00ED6D97" w:rsidRDefault="00D2765B" w:rsidP="00D2765B">
            <w:pPr>
              <w:spacing w:after="120"/>
              <w:rPr>
                <w:szCs w:val="24"/>
                <w:lang w:val="fr-FR"/>
              </w:rPr>
            </w:pPr>
            <w:r w:rsidRPr="00ED6D97">
              <w:rPr>
                <w:color w:val="000000"/>
                <w:lang w:val="fr-FR"/>
              </w:rPr>
              <w:t>Le GCDT est invité à prendre note du présent document.</w:t>
            </w:r>
          </w:p>
          <w:p w14:paraId="622ACB80" w14:textId="39EE560D" w:rsidR="00A721F4" w:rsidRPr="00ED6D97" w:rsidRDefault="00A721F4" w:rsidP="00EA0C51">
            <w:pPr>
              <w:spacing w:after="120"/>
              <w:rPr>
                <w:b/>
                <w:bCs/>
                <w:szCs w:val="24"/>
                <w:lang w:val="fr-FR"/>
              </w:rPr>
            </w:pPr>
            <w:r w:rsidRPr="00ED6D97">
              <w:rPr>
                <w:b/>
                <w:bCs/>
                <w:szCs w:val="24"/>
                <w:lang w:val="fr-FR"/>
              </w:rPr>
              <w:t>R</w:t>
            </w:r>
            <w:r w:rsidR="001011EB" w:rsidRPr="00ED6D97">
              <w:rPr>
                <w:b/>
                <w:bCs/>
                <w:szCs w:val="24"/>
                <w:lang w:val="fr-FR"/>
              </w:rPr>
              <w:t>é</w:t>
            </w:r>
            <w:r w:rsidRPr="00ED6D97">
              <w:rPr>
                <w:b/>
                <w:bCs/>
                <w:szCs w:val="24"/>
                <w:lang w:val="fr-FR"/>
              </w:rPr>
              <w:t>f</w:t>
            </w:r>
            <w:r w:rsidR="001011EB" w:rsidRPr="00ED6D97">
              <w:rPr>
                <w:b/>
                <w:bCs/>
                <w:szCs w:val="24"/>
                <w:lang w:val="fr-FR"/>
              </w:rPr>
              <w:t>é</w:t>
            </w:r>
            <w:r w:rsidRPr="00ED6D97">
              <w:rPr>
                <w:b/>
                <w:bCs/>
                <w:szCs w:val="24"/>
                <w:lang w:val="fr-FR"/>
              </w:rPr>
              <w:t>rences:</w:t>
            </w:r>
          </w:p>
          <w:p w14:paraId="1D8A3C55" w14:textId="5D6046A3" w:rsidR="00D2765B" w:rsidRPr="00ED6D97" w:rsidRDefault="00D2765B" w:rsidP="00D2765B">
            <w:pPr>
              <w:spacing w:after="120"/>
              <w:rPr>
                <w:lang w:val="fr-FR"/>
              </w:rPr>
            </w:pPr>
            <w:r w:rsidRPr="00ED6D97">
              <w:rPr>
                <w:color w:val="000000"/>
                <w:lang w:val="fr-FR"/>
              </w:rPr>
              <w:t xml:space="preserve">Résolution </w:t>
            </w:r>
            <w:hyperlink r:id="rId13" w:history="1">
              <w:r w:rsidRPr="00ED6D97">
                <w:rPr>
                  <w:rStyle w:val="Hyperlink"/>
                  <w:lang w:val="fr-FR"/>
                </w:rPr>
                <w:t>1</w:t>
              </w:r>
              <w:r w:rsidRPr="00ED6D97">
                <w:rPr>
                  <w:rStyle w:val="Hyperlink"/>
                  <w:lang w:val="fr-FR"/>
                </w:rPr>
                <w:t>4</w:t>
              </w:r>
              <w:r w:rsidRPr="00ED6D97">
                <w:rPr>
                  <w:rStyle w:val="Hyperlink"/>
                  <w:lang w:val="fr-FR"/>
                </w:rPr>
                <w:t>6</w:t>
              </w:r>
            </w:hyperlink>
            <w:r w:rsidRPr="00ED6D97">
              <w:rPr>
                <w:color w:val="000000"/>
                <w:lang w:val="fr-FR"/>
              </w:rPr>
              <w:t xml:space="preserve"> (Rév. Bucarest, 2022) de la Conférence de plénipotentiaires – Examen périodique du Règlement des télécommunications internationales</w:t>
            </w:r>
          </w:p>
          <w:p w14:paraId="1ECDD20E" w14:textId="3CE707B9" w:rsidR="00A721F4" w:rsidRPr="00ED6D97" w:rsidRDefault="00D2765B" w:rsidP="00D2765B">
            <w:pPr>
              <w:spacing w:after="120"/>
              <w:rPr>
                <w:szCs w:val="24"/>
                <w:lang w:val="fr-FR"/>
              </w:rPr>
            </w:pPr>
            <w:r w:rsidRPr="00ED6D97">
              <w:rPr>
                <w:lang w:val="fr-FR"/>
              </w:rPr>
              <w:t xml:space="preserve">Résolution </w:t>
            </w:r>
            <w:hyperlink r:id="rId14" w:history="1">
              <w:r w:rsidRPr="00ED6D97">
                <w:rPr>
                  <w:rStyle w:val="Hyperlink"/>
                  <w:lang w:val="fr-FR"/>
                </w:rPr>
                <w:t>13</w:t>
              </w:r>
              <w:r w:rsidRPr="00ED6D97">
                <w:rPr>
                  <w:rStyle w:val="Hyperlink"/>
                  <w:lang w:val="fr-FR"/>
                </w:rPr>
                <w:t>7</w:t>
              </w:r>
              <w:r w:rsidRPr="00ED6D97">
                <w:rPr>
                  <w:rStyle w:val="Hyperlink"/>
                  <w:lang w:val="fr-FR"/>
                </w:rPr>
                <w:t>9</w:t>
              </w:r>
            </w:hyperlink>
            <w:r w:rsidRPr="00ED6D97">
              <w:rPr>
                <w:lang w:val="fr-FR"/>
              </w:rPr>
              <w:t xml:space="preserve"> (Mod. 2023) du Conseil </w:t>
            </w:r>
            <w:r w:rsidRPr="00ED6D97">
              <w:rPr>
                <w:lang w:val="fr-FR"/>
              </w:rPr>
              <w:t>–</w:t>
            </w:r>
            <w:r w:rsidRPr="00ED6D97">
              <w:rPr>
                <w:lang w:val="fr-FR"/>
              </w:rPr>
              <w:t xml:space="preserve"> G</w:t>
            </w:r>
            <w:r w:rsidRPr="00ED6D97">
              <w:rPr>
                <w:color w:val="000000"/>
                <w:lang w:val="fr-FR"/>
              </w:rPr>
              <w:t>roupe d'experts sur le Règlement des télécommunications internationales (EG-RTI)</w:t>
            </w:r>
          </w:p>
        </w:tc>
      </w:tr>
    </w:tbl>
    <w:p w14:paraId="72F5CF96" w14:textId="77777777" w:rsidR="00923CF1" w:rsidRPr="00ED6D97" w:rsidRDefault="00923CF1" w:rsidP="007A7D3C">
      <w:pPr>
        <w:rPr>
          <w:lang w:val="fr-FR"/>
        </w:rPr>
      </w:pPr>
    </w:p>
    <w:p w14:paraId="5B29B2A3" w14:textId="77777777" w:rsidR="00923CF1" w:rsidRPr="00ED6D97" w:rsidRDefault="00923CF1">
      <w:pPr>
        <w:tabs>
          <w:tab w:val="clear" w:pos="794"/>
          <w:tab w:val="clear" w:pos="1191"/>
          <w:tab w:val="clear" w:pos="1588"/>
          <w:tab w:val="clear" w:pos="1985"/>
        </w:tabs>
        <w:overflowPunct/>
        <w:autoSpaceDE/>
        <w:autoSpaceDN/>
        <w:adjustRightInd/>
        <w:spacing w:before="0"/>
        <w:textAlignment w:val="auto"/>
        <w:rPr>
          <w:lang w:val="fr-FR"/>
        </w:rPr>
      </w:pPr>
      <w:r w:rsidRPr="00ED6D97">
        <w:rPr>
          <w:lang w:val="fr-FR"/>
        </w:rPr>
        <w:br w:type="page"/>
      </w:r>
    </w:p>
    <w:p w14:paraId="5C16A0D7" w14:textId="1F5D00C4" w:rsidR="00D2765B" w:rsidRPr="00ED6D97" w:rsidRDefault="00D2765B" w:rsidP="00D2765B">
      <w:pPr>
        <w:pStyle w:val="Heading1"/>
        <w:rPr>
          <w:lang w:val="fr-FR"/>
        </w:rPr>
      </w:pPr>
      <w:r w:rsidRPr="00ED6D97">
        <w:rPr>
          <w:lang w:val="fr-FR"/>
        </w:rPr>
        <w:lastRenderedPageBreak/>
        <w:t>1</w:t>
      </w:r>
      <w:r w:rsidRPr="00ED6D97">
        <w:rPr>
          <w:lang w:val="fr-FR"/>
        </w:rPr>
        <w:tab/>
      </w:r>
      <w:r w:rsidRPr="00ED6D97">
        <w:rPr>
          <w:lang w:val="fr-FR"/>
        </w:rPr>
        <w:t>Considérations générales</w:t>
      </w:r>
    </w:p>
    <w:p w14:paraId="6B2536F6" w14:textId="6ADBE3D0" w:rsidR="00D2765B" w:rsidRPr="00D2765B" w:rsidRDefault="00D2765B" w:rsidP="00D2765B">
      <w:pPr>
        <w:rPr>
          <w:lang w:val="fr-FR"/>
        </w:rPr>
      </w:pPr>
      <w:r w:rsidRPr="00D2765B">
        <w:rPr>
          <w:lang w:val="fr-FR"/>
        </w:rPr>
        <w:t>Le présent document a pour objet de présenter l'état d'avancement des travaux du Groupe d'experts sur le Règlement des télécommunications internationales (EG-RTI)</w:t>
      </w:r>
      <w:r w:rsidRPr="00D2765B">
        <w:rPr>
          <w:rStyle w:val="FootnoteReference"/>
          <w:lang w:val="fr-FR"/>
        </w:rPr>
        <w:footnoteReference w:id="1"/>
      </w:r>
      <w:r w:rsidRPr="00D2765B">
        <w:rPr>
          <w:lang w:val="fr-FR"/>
        </w:rPr>
        <w:t>, conformément à la décision prise par la Conférence de plénipotentiaires de l'UIT (Bucarest, 26 septembre – 14</w:t>
      </w:r>
      <w:r w:rsidRPr="00ED6D97">
        <w:rPr>
          <w:lang w:val="fr-FR"/>
        </w:rPr>
        <w:t> </w:t>
      </w:r>
      <w:r w:rsidRPr="00D2765B">
        <w:rPr>
          <w:lang w:val="fr-FR"/>
        </w:rPr>
        <w:t>octobre 2022) à la suite de l'approbation de la Résolution 146 (Rév. Bucarest, 2022) relative à l'examen périodique du RTI. Le présent rapport est axé sur les principaux résultats des troisième et quatrième réunions du Groupe EG-RTI.</w:t>
      </w:r>
    </w:p>
    <w:p w14:paraId="0DBA79ED" w14:textId="060E561D" w:rsidR="00D2765B" w:rsidRPr="00ED6D97" w:rsidRDefault="00D2765B" w:rsidP="00D2765B">
      <w:pPr>
        <w:pStyle w:val="Heading1"/>
        <w:rPr>
          <w:lang w:val="fr-FR"/>
        </w:rPr>
      </w:pPr>
      <w:r w:rsidRPr="00ED6D97">
        <w:rPr>
          <w:lang w:val="fr-FR"/>
        </w:rPr>
        <w:t>2</w:t>
      </w:r>
      <w:r w:rsidRPr="00ED6D97">
        <w:rPr>
          <w:lang w:val="fr-FR"/>
        </w:rPr>
        <w:tab/>
      </w:r>
      <w:r w:rsidRPr="00ED6D97">
        <w:rPr>
          <w:lang w:val="fr-FR"/>
        </w:rPr>
        <w:t>Examen périodique du RTI</w:t>
      </w:r>
    </w:p>
    <w:p w14:paraId="45E424A2" w14:textId="77777777" w:rsidR="00D2765B" w:rsidRPr="00D2765B" w:rsidRDefault="00D2765B" w:rsidP="00D2765B">
      <w:pPr>
        <w:rPr>
          <w:lang w:val="fr-FR"/>
        </w:rPr>
      </w:pPr>
      <w:r w:rsidRPr="00D2765B">
        <w:rPr>
          <w:lang w:val="fr-FR"/>
        </w:rPr>
        <w:t xml:space="preserve">Aux termes de la Résolution 146, le Secrétaire général est chargé de convoquer à nouveau un Groupe d'experts sur le RTI, ouvert à la participation des États Membres et des Membres de Secteur de l'UIT, dont le mandat et les méthodes de travail seront définis par le Conseil de l'UIT, et de soumettre le rapport du Groupe d'experts sur le RTI concernant les résultats de l'examen au Conseil pour qu'il l'examine, le publie et le transmette ensuite à la Conférence de plénipotentiaires de 2026. </w:t>
      </w:r>
    </w:p>
    <w:p w14:paraId="5C5E22C8" w14:textId="36CEF3DC" w:rsidR="00D2765B" w:rsidRPr="00D2765B" w:rsidRDefault="00D2765B" w:rsidP="00D2765B">
      <w:pPr>
        <w:rPr>
          <w:iCs/>
          <w:lang w:val="fr-FR"/>
        </w:rPr>
      </w:pPr>
      <w:r w:rsidRPr="00D2765B">
        <w:rPr>
          <w:lang w:val="fr-FR"/>
        </w:rPr>
        <w:t>Il est important de souligner qu'aux termes de cette Résolution, les Directeurs des Bureaux sont chargés, "</w:t>
      </w:r>
      <w:r w:rsidRPr="00D2765B">
        <w:rPr>
          <w:i/>
          <w:iCs/>
          <w:lang w:val="fr-FR"/>
        </w:rPr>
        <w:t>1) 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 2) de soumettre les résultats de leurs travaux au Groupe d'experts sur le RTI; 3)</w:t>
      </w:r>
      <w:r w:rsidR="00A6015A" w:rsidRPr="00ED6D97">
        <w:rPr>
          <w:i/>
          <w:iCs/>
          <w:lang w:val="fr-FR"/>
        </w:rPr>
        <w:t> </w:t>
      </w:r>
      <w:r w:rsidRPr="00D2765B">
        <w:rPr>
          <w:i/>
          <w:iCs/>
          <w:lang w:val="fr-FR"/>
        </w:rPr>
        <w:t>d'étudier la possibilité d'accorder des bourses, lorsque des ressources sont disponibles, aux pays classés par l'ONU comme pays en développement</w:t>
      </w:r>
      <w:r w:rsidRPr="00D2765B">
        <w:rPr>
          <w:rStyle w:val="FootnoteReference"/>
          <w:lang w:val="fr-FR"/>
        </w:rPr>
        <w:footnoteReference w:id="2"/>
      </w:r>
      <w:r w:rsidRPr="00D2765B">
        <w:rPr>
          <w:i/>
          <w:iCs/>
          <w:lang w:val="fr-FR"/>
        </w:rPr>
        <w:t xml:space="preserve"> ou pays les moins avancés, afin d'accroître leur participation aux travaux du Groupe d'experts</w:t>
      </w:r>
      <w:r w:rsidRPr="00D2765B">
        <w:rPr>
          <w:lang w:val="fr-FR"/>
        </w:rPr>
        <w:t>".</w:t>
      </w:r>
    </w:p>
    <w:p w14:paraId="22693AE2" w14:textId="67037F26" w:rsidR="00D2765B" w:rsidRPr="00ED6D97" w:rsidRDefault="00A6015A" w:rsidP="00D2765B">
      <w:pPr>
        <w:pStyle w:val="Heading1"/>
        <w:rPr>
          <w:lang w:val="fr-FR"/>
        </w:rPr>
      </w:pPr>
      <w:r w:rsidRPr="00ED6D97">
        <w:rPr>
          <w:lang w:val="fr-FR"/>
        </w:rPr>
        <w:t>3</w:t>
      </w:r>
      <w:r w:rsidRPr="00ED6D97">
        <w:rPr>
          <w:lang w:val="fr-FR"/>
        </w:rPr>
        <w:tab/>
      </w:r>
      <w:r w:rsidR="00D2765B" w:rsidRPr="00ED6D97">
        <w:rPr>
          <w:lang w:val="fr-FR"/>
        </w:rPr>
        <w:t>Activités</w:t>
      </w:r>
    </w:p>
    <w:p w14:paraId="3A04BCFB" w14:textId="147A3610" w:rsidR="00D2765B" w:rsidRPr="00D2765B" w:rsidRDefault="00D2765B" w:rsidP="00D2765B">
      <w:pPr>
        <w:rPr>
          <w:lang w:val="fr-FR"/>
        </w:rPr>
      </w:pPr>
      <w:r w:rsidRPr="00D2765B">
        <w:rPr>
          <w:lang w:val="fr-FR"/>
        </w:rPr>
        <w:t xml:space="preserve">Le Groupe EG-RTI a tenu ses troisième et quatrième réunions au siège de l'UIT, à Genève (Suisse), respectivement du 30 septembre au 1er octobre 2024 et les 20 et 21 février 2025. Les rapports des </w:t>
      </w:r>
      <w:hyperlink r:id="rId15" w:history="1">
        <w:r w:rsidRPr="00D2765B">
          <w:rPr>
            <w:rStyle w:val="Hyperlink"/>
            <w:lang w:val="fr-FR"/>
          </w:rPr>
          <w:t>troisièm</w:t>
        </w:r>
        <w:r w:rsidRPr="00D2765B">
          <w:rPr>
            <w:rStyle w:val="Hyperlink"/>
            <w:lang w:val="fr-FR"/>
          </w:rPr>
          <w:t>e</w:t>
        </w:r>
      </w:hyperlink>
      <w:r w:rsidRPr="00D2765B">
        <w:rPr>
          <w:lang w:val="fr-FR"/>
        </w:rPr>
        <w:t xml:space="preserve"> et </w:t>
      </w:r>
      <w:hyperlink r:id="rId16" w:history="1">
        <w:r w:rsidRPr="00D2765B">
          <w:rPr>
            <w:rStyle w:val="Hyperlink"/>
            <w:lang w:val="fr-FR"/>
          </w:rPr>
          <w:t>qu</w:t>
        </w:r>
        <w:r w:rsidRPr="00D2765B">
          <w:rPr>
            <w:rStyle w:val="Hyperlink"/>
            <w:lang w:val="fr-FR"/>
          </w:rPr>
          <w:t>a</w:t>
        </w:r>
        <w:r w:rsidRPr="00D2765B">
          <w:rPr>
            <w:rStyle w:val="Hyperlink"/>
            <w:lang w:val="fr-FR"/>
          </w:rPr>
          <w:t>trième</w:t>
        </w:r>
      </w:hyperlink>
      <w:r w:rsidRPr="00D2765B">
        <w:rPr>
          <w:lang w:val="fr-FR"/>
        </w:rPr>
        <w:t xml:space="preserve"> réunions ont été approuvés par le Groupe.</w:t>
      </w:r>
    </w:p>
    <w:p w14:paraId="62D2AA98" w14:textId="62C500C8" w:rsidR="00D2765B" w:rsidRPr="00D2765B" w:rsidRDefault="00D2765B" w:rsidP="00D2765B">
      <w:pPr>
        <w:rPr>
          <w:lang w:val="fr-FR"/>
        </w:rPr>
      </w:pPr>
      <w:r w:rsidRPr="00D2765B">
        <w:rPr>
          <w:lang w:val="fr-FR"/>
        </w:rPr>
        <w:t xml:space="preserve">À sa </w:t>
      </w:r>
      <w:r w:rsidRPr="00D2765B">
        <w:rPr>
          <w:b/>
          <w:bCs/>
          <w:lang w:val="fr-FR"/>
        </w:rPr>
        <w:t>troisième réunion</w:t>
      </w:r>
      <w:r w:rsidRPr="00D2765B">
        <w:rPr>
          <w:lang w:val="fr-FR"/>
        </w:rPr>
        <w:t xml:space="preserve">, le Groupe EG-RTI a examiné les </w:t>
      </w:r>
      <w:hyperlink r:id="rId17" w:history="1">
        <w:r w:rsidRPr="00D2765B">
          <w:rPr>
            <w:rStyle w:val="Hyperlink"/>
            <w:lang w:val="fr-FR"/>
          </w:rPr>
          <w:t>contributions</w:t>
        </w:r>
        <w:r w:rsidRPr="00D2765B">
          <w:rPr>
            <w:rStyle w:val="Hyperlink"/>
            <w:lang w:val="fr-FR"/>
          </w:rPr>
          <w:t xml:space="preserve"> </w:t>
        </w:r>
        <w:r w:rsidRPr="00D2765B">
          <w:rPr>
            <w:rStyle w:val="Hyperlink"/>
            <w:lang w:val="fr-FR"/>
          </w:rPr>
          <w:t>reçues</w:t>
        </w:r>
      </w:hyperlink>
      <w:r w:rsidRPr="00D2765B">
        <w:rPr>
          <w:lang w:val="fr-FR"/>
        </w:rPr>
        <w:t xml:space="preserve">, y compris celles portant sur les nouvelles tendances susceptibles d'avoir des incidences sur le RTI, sur des données empiriques relatives à l'utilisation actuelle du RTI et sur le format et le contenu du rapport final du Groupe à la session de 2026 du Conseil, ainsi que d'autres contributions générales. </w:t>
      </w:r>
    </w:p>
    <w:p w14:paraId="46E77903" w14:textId="226058D5" w:rsidR="00D2765B" w:rsidRPr="00D2765B" w:rsidRDefault="00D2765B" w:rsidP="00D2765B">
      <w:pPr>
        <w:rPr>
          <w:lang w:val="fr-FR"/>
        </w:rPr>
      </w:pPr>
      <w:r w:rsidRPr="00D2765B">
        <w:rPr>
          <w:lang w:val="fr-FR"/>
        </w:rPr>
        <w:t xml:space="preserve">À sa </w:t>
      </w:r>
      <w:r w:rsidRPr="00D2765B">
        <w:rPr>
          <w:b/>
          <w:bCs/>
          <w:lang w:val="fr-FR"/>
        </w:rPr>
        <w:t>quatrième réunion</w:t>
      </w:r>
      <w:r w:rsidRPr="00D2765B">
        <w:rPr>
          <w:lang w:val="fr-FR"/>
        </w:rPr>
        <w:t xml:space="preserve">, le Groupe EG-RTI a examiné les </w:t>
      </w:r>
      <w:hyperlink r:id="rId18" w:history="1">
        <w:r w:rsidRPr="00D2765B">
          <w:rPr>
            <w:rStyle w:val="Hyperlink"/>
            <w:lang w:val="fr-FR"/>
          </w:rPr>
          <w:t>contributions</w:t>
        </w:r>
        <w:r w:rsidRPr="00D2765B">
          <w:rPr>
            <w:rStyle w:val="Hyperlink"/>
            <w:lang w:val="fr-FR"/>
          </w:rPr>
          <w:t xml:space="preserve"> </w:t>
        </w:r>
        <w:r w:rsidRPr="00D2765B">
          <w:rPr>
            <w:rStyle w:val="Hyperlink"/>
            <w:lang w:val="fr-FR"/>
          </w:rPr>
          <w:t>reçues</w:t>
        </w:r>
      </w:hyperlink>
      <w:r w:rsidRPr="00D2765B">
        <w:rPr>
          <w:lang w:val="fr-FR"/>
        </w:rPr>
        <w:t xml:space="preserve"> et approuvé une ébauche de structure pour le rapport final qu'il soumettra à la session de 2026 du Conseil, laquelle est reproduite dans l'Annexe 1 du rapport de sa quatrième réunion. Le Groupe a en outre demandé que l'équipe de direction et le secrétariat élaborent un avant-projet de rapport final au moins un mois avant sa prochaine réunion. Deux déclarations, prononcées par les représentants de Hill et du Canada, sont également jointes (Annexes 2 et 3) au rapport de la quatrième réunion.</w:t>
      </w:r>
    </w:p>
    <w:p w14:paraId="391A423B" w14:textId="77777777" w:rsidR="00D2765B" w:rsidRPr="00D2765B" w:rsidRDefault="00D2765B" w:rsidP="00D2765B">
      <w:pPr>
        <w:rPr>
          <w:lang w:val="fr-FR"/>
        </w:rPr>
      </w:pPr>
      <w:r w:rsidRPr="00D2765B">
        <w:rPr>
          <w:lang w:val="fr-FR"/>
        </w:rPr>
        <w:lastRenderedPageBreak/>
        <w:t xml:space="preserve">Compte tenu du programme de travail et des contributions reçues pour ces réunions du Groupe EG-RTI, aucune question particulière ne nécessitait l'intervention du BDT.  </w:t>
      </w:r>
      <w:bookmarkStart w:id="6" w:name="_Hlk38891878"/>
    </w:p>
    <w:p w14:paraId="3F6B989E" w14:textId="6ACD991B" w:rsidR="00D2765B" w:rsidRPr="00ED6D97" w:rsidRDefault="00A6015A" w:rsidP="00A6015A">
      <w:pPr>
        <w:pStyle w:val="Heading1"/>
        <w:rPr>
          <w:lang w:val="fr-FR"/>
        </w:rPr>
      </w:pPr>
      <w:r w:rsidRPr="00ED6D97">
        <w:rPr>
          <w:lang w:val="fr-FR"/>
        </w:rPr>
        <w:t>4</w:t>
      </w:r>
      <w:r w:rsidRPr="00ED6D97">
        <w:rPr>
          <w:lang w:val="fr-FR"/>
        </w:rPr>
        <w:tab/>
      </w:r>
      <w:r w:rsidR="00D2765B" w:rsidRPr="00ED6D97">
        <w:rPr>
          <w:lang w:val="fr-FR"/>
        </w:rPr>
        <w:t>Prochaines étapes</w:t>
      </w:r>
    </w:p>
    <w:p w14:paraId="1DCAAE4E" w14:textId="56ADFA08" w:rsidR="00D2765B" w:rsidRPr="00D2765B" w:rsidRDefault="00D2765B" w:rsidP="00D2765B">
      <w:pPr>
        <w:rPr>
          <w:lang w:val="fr-FR"/>
        </w:rPr>
      </w:pPr>
      <w:r w:rsidRPr="00D2765B">
        <w:rPr>
          <w:b/>
          <w:bCs/>
          <w:lang w:val="fr-FR"/>
        </w:rPr>
        <w:t>Rapport d'activité à la session de 2025 du Conseil</w:t>
      </w:r>
      <w:r w:rsidRPr="00D2765B">
        <w:rPr>
          <w:lang w:val="fr-FR"/>
        </w:rPr>
        <w:t xml:space="preserve">: </w:t>
      </w:r>
      <w:r w:rsidR="00A6015A" w:rsidRPr="00ED6D97">
        <w:rPr>
          <w:lang w:val="fr-FR"/>
        </w:rPr>
        <w:t>c</w:t>
      </w:r>
      <w:r w:rsidRPr="00D2765B">
        <w:rPr>
          <w:lang w:val="fr-FR"/>
        </w:rPr>
        <w:t>onformément à la pratique établie, les participants sont convenus que les rapports des première et deuxième réunions du Groupe, respectivement tenues en septembre-octobre 2024 et en février 2025, seraient présentés, via un lien hypertexte, dans un document concis élaboré par le Président et soumis sous la forme de rapport d'activité qui sera adressé au Conseil à sa session de 2025.</w:t>
      </w:r>
    </w:p>
    <w:p w14:paraId="038DB610" w14:textId="43660D7A" w:rsidR="00D2765B" w:rsidRPr="00D2765B" w:rsidRDefault="00D2765B" w:rsidP="00D2765B">
      <w:pPr>
        <w:rPr>
          <w:lang w:val="fr-FR"/>
        </w:rPr>
      </w:pPr>
      <w:r w:rsidRPr="00D2765B">
        <w:rPr>
          <w:b/>
          <w:bCs/>
          <w:lang w:val="fr-FR"/>
        </w:rPr>
        <w:t>Rapport final</w:t>
      </w:r>
      <w:r w:rsidRPr="00D2765B">
        <w:rPr>
          <w:lang w:val="fr-FR"/>
        </w:rPr>
        <w:t xml:space="preserve">: </w:t>
      </w:r>
      <w:r w:rsidR="00A6015A" w:rsidRPr="00ED6D97">
        <w:rPr>
          <w:lang w:val="fr-FR"/>
        </w:rPr>
        <w:t>l</w:t>
      </w:r>
      <w:r w:rsidRPr="00D2765B">
        <w:rPr>
          <w:lang w:val="fr-FR"/>
        </w:rPr>
        <w:t>'équipe de direction et le secrétariat élaboreront un avant-projet de rapport final au moins un mois avant la prochaine réunion du Groupe EG-RTI.</w:t>
      </w:r>
    </w:p>
    <w:p w14:paraId="6E8E417A" w14:textId="77777777" w:rsidR="00D2765B" w:rsidRPr="00D2765B" w:rsidRDefault="00D2765B" w:rsidP="00D2765B">
      <w:pPr>
        <w:rPr>
          <w:lang w:val="fr-FR"/>
        </w:rPr>
      </w:pPr>
      <w:r w:rsidRPr="00D2765B">
        <w:rPr>
          <w:lang w:val="fr-FR"/>
        </w:rPr>
        <w:br w:type="page"/>
      </w:r>
    </w:p>
    <w:p w14:paraId="69EDD941" w14:textId="298B73CC" w:rsidR="00D2765B" w:rsidRPr="00ED6D97" w:rsidRDefault="00D2765B" w:rsidP="00A6015A">
      <w:pPr>
        <w:pStyle w:val="Annextitle"/>
        <w:rPr>
          <w:lang w:val="fr-FR"/>
        </w:rPr>
      </w:pPr>
      <w:r w:rsidRPr="00ED6D97">
        <w:rPr>
          <w:lang w:val="fr-FR"/>
        </w:rPr>
        <w:lastRenderedPageBreak/>
        <w:t xml:space="preserve">Annexe 1 – Ordre du jour et contributions de la troisième réunion </w:t>
      </w:r>
      <w:r w:rsidR="00A6015A" w:rsidRPr="00ED6D97">
        <w:rPr>
          <w:lang w:val="fr-FR"/>
        </w:rPr>
        <w:br/>
      </w:r>
      <w:r w:rsidRPr="00ED6D97">
        <w:rPr>
          <w:lang w:val="fr-FR"/>
        </w:rPr>
        <w:t>du Groupe EG-RTI (30 sept</w:t>
      </w:r>
      <w:r w:rsidR="00A6015A" w:rsidRPr="00ED6D97">
        <w:rPr>
          <w:lang w:val="fr-FR"/>
        </w:rPr>
        <w:t xml:space="preserve">embre – </w:t>
      </w:r>
      <w:r w:rsidRPr="00ED6D97">
        <w:rPr>
          <w:lang w:val="fr-FR"/>
        </w:rPr>
        <w:t>1er oct</w:t>
      </w:r>
      <w:r w:rsidR="00A6015A" w:rsidRPr="00ED6D97">
        <w:rPr>
          <w:lang w:val="fr-FR"/>
        </w:rPr>
        <w:t>obre</w:t>
      </w:r>
      <w:r w:rsidRPr="00ED6D97">
        <w:rPr>
          <w:lang w:val="fr-FR"/>
        </w:rPr>
        <w:t xml:space="preserve"> 2024)</w:t>
      </w:r>
    </w:p>
    <w:bookmarkEnd w:i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50"/>
      </w:tblGrid>
      <w:tr w:rsidR="00A6015A" w:rsidRPr="00ED6D97" w14:paraId="53354748" w14:textId="77777777" w:rsidTr="00A6015A">
        <w:tc>
          <w:tcPr>
            <w:tcW w:w="6379" w:type="dxa"/>
          </w:tcPr>
          <w:p w14:paraId="7F74DE6E" w14:textId="77777777" w:rsidR="00A6015A" w:rsidRPr="00ED6D97" w:rsidRDefault="00A6015A" w:rsidP="00A6015A">
            <w:pPr>
              <w:rPr>
                <w:lang w:val="fr-FR"/>
              </w:rPr>
            </w:pPr>
          </w:p>
        </w:tc>
        <w:tc>
          <w:tcPr>
            <w:tcW w:w="3250" w:type="dxa"/>
          </w:tcPr>
          <w:p w14:paraId="41862B3B" w14:textId="520F774A" w:rsidR="00A6015A" w:rsidRPr="00ED6D97" w:rsidRDefault="00A6015A" w:rsidP="00A6015A">
            <w:pPr>
              <w:rPr>
                <w:lang w:val="fr-FR"/>
              </w:rPr>
            </w:pPr>
            <w:r w:rsidRPr="00ED6D97">
              <w:rPr>
                <w:lang w:val="fr-FR"/>
              </w:rPr>
              <w:t>Révision 3 du</w:t>
            </w:r>
            <w:r w:rsidRPr="00ED6D97">
              <w:rPr>
                <w:lang w:val="fr-FR"/>
              </w:rPr>
              <w:br/>
            </w:r>
            <w:r w:rsidRPr="00ED6D97">
              <w:rPr>
                <w:lang w:val="fr-FR"/>
              </w:rPr>
              <w:t>Document EG-ITRs-3/1-F</w:t>
            </w:r>
          </w:p>
        </w:tc>
      </w:tr>
      <w:tr w:rsidR="00A6015A" w:rsidRPr="00ED6D97" w14:paraId="02DAE4A4" w14:textId="77777777" w:rsidTr="00A6015A">
        <w:tc>
          <w:tcPr>
            <w:tcW w:w="6379" w:type="dxa"/>
          </w:tcPr>
          <w:p w14:paraId="3DFC6E9F" w14:textId="77777777" w:rsidR="00A6015A" w:rsidRPr="00ED6D97" w:rsidRDefault="00A6015A" w:rsidP="00A6015A">
            <w:pPr>
              <w:rPr>
                <w:lang w:val="fr-FR"/>
              </w:rPr>
            </w:pPr>
          </w:p>
        </w:tc>
        <w:tc>
          <w:tcPr>
            <w:tcW w:w="3250" w:type="dxa"/>
          </w:tcPr>
          <w:p w14:paraId="182C9EF5" w14:textId="74E5E5DF" w:rsidR="00A6015A" w:rsidRPr="00ED6D97" w:rsidRDefault="00A6015A" w:rsidP="00A6015A">
            <w:pPr>
              <w:rPr>
                <w:lang w:val="fr-FR"/>
              </w:rPr>
            </w:pPr>
            <w:r w:rsidRPr="00ED6D97">
              <w:rPr>
                <w:lang w:val="fr-FR"/>
              </w:rPr>
              <w:t>30 septembre 2024</w:t>
            </w:r>
          </w:p>
        </w:tc>
      </w:tr>
      <w:tr w:rsidR="00A6015A" w:rsidRPr="00ED6D97" w14:paraId="67E4C38C" w14:textId="77777777" w:rsidTr="00A6015A">
        <w:tc>
          <w:tcPr>
            <w:tcW w:w="6379" w:type="dxa"/>
          </w:tcPr>
          <w:p w14:paraId="22820D92" w14:textId="77777777" w:rsidR="00A6015A" w:rsidRPr="00ED6D97" w:rsidRDefault="00A6015A" w:rsidP="00A6015A">
            <w:pPr>
              <w:rPr>
                <w:lang w:val="fr-FR"/>
              </w:rPr>
            </w:pPr>
          </w:p>
        </w:tc>
        <w:tc>
          <w:tcPr>
            <w:tcW w:w="3250" w:type="dxa"/>
          </w:tcPr>
          <w:p w14:paraId="724F5109" w14:textId="2CA1E1BF" w:rsidR="00A6015A" w:rsidRPr="00ED6D97" w:rsidRDefault="00A6015A" w:rsidP="00A6015A">
            <w:pPr>
              <w:rPr>
                <w:lang w:val="fr-FR"/>
              </w:rPr>
            </w:pPr>
            <w:r w:rsidRPr="00ED6D97">
              <w:rPr>
                <w:lang w:val="fr-FR"/>
              </w:rPr>
              <w:t>En anglais uniquement</w:t>
            </w:r>
          </w:p>
        </w:tc>
      </w:tr>
    </w:tbl>
    <w:p w14:paraId="09BF390E" w14:textId="77777777" w:rsidR="00D2765B" w:rsidRPr="00ED6D97" w:rsidRDefault="00D2765B" w:rsidP="00A6015A">
      <w:pPr>
        <w:pStyle w:val="AnnexNo"/>
        <w:rPr>
          <w:lang w:val="fr-FR"/>
        </w:rPr>
      </w:pPr>
      <w:bookmarkStart w:id="7" w:name="_Hlk133421428"/>
      <w:r w:rsidRPr="00ED6D97">
        <w:rPr>
          <w:lang w:val="fr-FR"/>
        </w:rPr>
        <w:t>ORDRE DU JOUR</w:t>
      </w:r>
    </w:p>
    <w:p w14:paraId="07FC7A13" w14:textId="76D1E8A9" w:rsidR="00D2765B" w:rsidRPr="00ED6D97" w:rsidRDefault="00D2765B" w:rsidP="00A6015A">
      <w:pPr>
        <w:pStyle w:val="Annextitle"/>
        <w:spacing w:after="120"/>
        <w:rPr>
          <w:lang w:val="fr-FR"/>
        </w:rPr>
      </w:pPr>
      <w:r w:rsidRPr="00ED6D97">
        <w:rPr>
          <w:lang w:val="fr-FR"/>
        </w:rPr>
        <w:t xml:space="preserve">Réunion du Groupe d'experts sur le Règlement </w:t>
      </w:r>
      <w:r w:rsidR="00A6015A" w:rsidRPr="00ED6D97">
        <w:rPr>
          <w:lang w:val="fr-FR"/>
        </w:rPr>
        <w:br/>
      </w:r>
      <w:r w:rsidRPr="00ED6D97">
        <w:rPr>
          <w:lang w:val="fr-FR"/>
        </w:rPr>
        <w:t>des télécommunications internationales</w:t>
      </w:r>
    </w:p>
    <w:p w14:paraId="7BE3CFEA" w14:textId="78160F74" w:rsidR="00D2765B" w:rsidRPr="00D2765B" w:rsidRDefault="00D2765B" w:rsidP="00A6015A">
      <w:pPr>
        <w:jc w:val="center"/>
        <w:rPr>
          <w:bCs/>
          <w:lang w:val="fr-FR"/>
        </w:rPr>
      </w:pPr>
      <w:r w:rsidRPr="00D2765B">
        <w:rPr>
          <w:bCs/>
          <w:lang w:val="fr-FR"/>
        </w:rPr>
        <w:t>Lundi 30 septembre 2024, 9 h 30-12 h 30 et 14 h 30-17 h 30</w:t>
      </w:r>
    </w:p>
    <w:p w14:paraId="6DAC39DE" w14:textId="39AA3303" w:rsidR="00D2765B" w:rsidRPr="00D2765B" w:rsidRDefault="00D2765B" w:rsidP="00A6015A">
      <w:pPr>
        <w:spacing w:before="0"/>
        <w:jc w:val="center"/>
        <w:rPr>
          <w:bCs/>
          <w:lang w:val="fr-FR"/>
        </w:rPr>
      </w:pPr>
      <w:r w:rsidRPr="00D2765B">
        <w:rPr>
          <w:bCs/>
          <w:lang w:val="fr-FR"/>
        </w:rPr>
        <w:t>Mardi 1er octobre 2024, 9 h 30-12 h 30 et 14 h 30-17 h 30</w:t>
      </w:r>
    </w:p>
    <w:p w14:paraId="0334EF37" w14:textId="77777777" w:rsidR="00D2765B" w:rsidRPr="00ED6D97" w:rsidRDefault="00D2765B" w:rsidP="00A6015A">
      <w:pPr>
        <w:pStyle w:val="Annextitle"/>
        <w:rPr>
          <w:sz w:val="24"/>
          <w:szCs w:val="24"/>
          <w:lang w:val="fr-FR"/>
        </w:rPr>
      </w:pPr>
      <w:r w:rsidRPr="00ED6D97">
        <w:rPr>
          <w:sz w:val="24"/>
          <w:szCs w:val="24"/>
          <w:lang w:val="fr-FR"/>
        </w:rPr>
        <w:t>Salle Popov, siège de l'UIT, Genève</w:t>
      </w:r>
    </w:p>
    <w:tbl>
      <w:tblPr>
        <w:tblStyle w:val="TableGrid"/>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974"/>
        <w:gridCol w:w="2268"/>
      </w:tblGrid>
      <w:tr w:rsidR="00D2765B" w:rsidRPr="00ED6D97" w14:paraId="00E251EE" w14:textId="77777777" w:rsidTr="002A0EC4">
        <w:trPr>
          <w:cantSplit/>
          <w:jc w:val="center"/>
        </w:trPr>
        <w:tc>
          <w:tcPr>
            <w:tcW w:w="852" w:type="dxa"/>
          </w:tcPr>
          <w:p w14:paraId="20C9C44F" w14:textId="77777777" w:rsidR="00D2765B" w:rsidRPr="00ED6D97" w:rsidRDefault="00D2765B" w:rsidP="00A6015A">
            <w:pPr>
              <w:pStyle w:val="Tablehead"/>
              <w:rPr>
                <w:lang w:val="fr-FR"/>
              </w:rPr>
            </w:pPr>
            <w:r w:rsidRPr="00ED6D97">
              <w:rPr>
                <w:lang w:val="fr-FR"/>
              </w:rPr>
              <w:t>Point</w:t>
            </w:r>
          </w:p>
        </w:tc>
        <w:tc>
          <w:tcPr>
            <w:tcW w:w="6974" w:type="dxa"/>
          </w:tcPr>
          <w:p w14:paraId="777CCE6F" w14:textId="77777777" w:rsidR="00D2765B" w:rsidRPr="00ED6D97" w:rsidRDefault="00D2765B" w:rsidP="00A6015A">
            <w:pPr>
              <w:pStyle w:val="Tablehead"/>
              <w:rPr>
                <w:lang w:val="fr-FR"/>
              </w:rPr>
            </w:pPr>
          </w:p>
        </w:tc>
        <w:tc>
          <w:tcPr>
            <w:tcW w:w="2268" w:type="dxa"/>
          </w:tcPr>
          <w:p w14:paraId="0A0870F6" w14:textId="77777777" w:rsidR="00D2765B" w:rsidRPr="00ED6D97" w:rsidRDefault="00D2765B" w:rsidP="00A6015A">
            <w:pPr>
              <w:pStyle w:val="Tablehead"/>
              <w:rPr>
                <w:lang w:val="fr-FR"/>
              </w:rPr>
            </w:pPr>
            <w:r w:rsidRPr="00ED6D97">
              <w:rPr>
                <w:lang w:val="fr-FR"/>
              </w:rPr>
              <w:t>Documents</w:t>
            </w:r>
          </w:p>
        </w:tc>
      </w:tr>
      <w:tr w:rsidR="00D2765B" w:rsidRPr="00ED6D97" w14:paraId="111B055B" w14:textId="77777777" w:rsidTr="002A0EC4">
        <w:trPr>
          <w:cantSplit/>
          <w:jc w:val="center"/>
        </w:trPr>
        <w:tc>
          <w:tcPr>
            <w:tcW w:w="852" w:type="dxa"/>
          </w:tcPr>
          <w:p w14:paraId="056DD2A8" w14:textId="77777777" w:rsidR="00D2765B" w:rsidRPr="00ED6D97" w:rsidRDefault="00D2765B" w:rsidP="00A6015A">
            <w:pPr>
              <w:pStyle w:val="Tabletext"/>
              <w:jc w:val="center"/>
              <w:rPr>
                <w:b/>
                <w:bCs/>
                <w:lang w:val="fr-FR"/>
              </w:rPr>
            </w:pPr>
            <w:r w:rsidRPr="00ED6D97">
              <w:rPr>
                <w:b/>
                <w:bCs/>
                <w:lang w:val="fr-FR"/>
              </w:rPr>
              <w:t>1</w:t>
            </w:r>
          </w:p>
        </w:tc>
        <w:tc>
          <w:tcPr>
            <w:tcW w:w="6974" w:type="dxa"/>
          </w:tcPr>
          <w:p w14:paraId="61373D8A" w14:textId="77777777" w:rsidR="00D2765B" w:rsidRPr="00ED6D97" w:rsidRDefault="00D2765B" w:rsidP="00A6015A">
            <w:pPr>
              <w:pStyle w:val="Tabletext"/>
              <w:rPr>
                <w:lang w:val="fr-FR"/>
              </w:rPr>
            </w:pPr>
            <w:r w:rsidRPr="00ED6D97">
              <w:rPr>
                <w:lang w:val="fr-FR"/>
              </w:rPr>
              <w:t>Remarques liminaires</w:t>
            </w:r>
          </w:p>
        </w:tc>
        <w:tc>
          <w:tcPr>
            <w:tcW w:w="2268" w:type="dxa"/>
          </w:tcPr>
          <w:p w14:paraId="1F40B98C" w14:textId="77777777" w:rsidR="00D2765B" w:rsidRPr="00ED6D97" w:rsidRDefault="00D2765B" w:rsidP="00A6015A">
            <w:pPr>
              <w:pStyle w:val="Tabletext"/>
              <w:jc w:val="center"/>
              <w:rPr>
                <w:lang w:val="fr-FR"/>
              </w:rPr>
            </w:pPr>
          </w:p>
        </w:tc>
      </w:tr>
      <w:tr w:rsidR="00D2765B" w:rsidRPr="00ED6D97" w14:paraId="4FBD7395" w14:textId="77777777" w:rsidTr="002A0EC4">
        <w:trPr>
          <w:cantSplit/>
          <w:jc w:val="center"/>
        </w:trPr>
        <w:tc>
          <w:tcPr>
            <w:tcW w:w="852" w:type="dxa"/>
          </w:tcPr>
          <w:p w14:paraId="54A93133" w14:textId="77777777" w:rsidR="00D2765B" w:rsidRPr="00ED6D97" w:rsidRDefault="00D2765B" w:rsidP="00A6015A">
            <w:pPr>
              <w:pStyle w:val="Tabletext"/>
              <w:jc w:val="center"/>
              <w:rPr>
                <w:b/>
                <w:bCs/>
                <w:lang w:val="fr-FR"/>
              </w:rPr>
            </w:pPr>
            <w:r w:rsidRPr="00ED6D97">
              <w:rPr>
                <w:b/>
                <w:bCs/>
                <w:lang w:val="fr-FR"/>
              </w:rPr>
              <w:t>2</w:t>
            </w:r>
          </w:p>
        </w:tc>
        <w:tc>
          <w:tcPr>
            <w:tcW w:w="6974" w:type="dxa"/>
          </w:tcPr>
          <w:p w14:paraId="79D153C1" w14:textId="77777777" w:rsidR="00D2765B" w:rsidRPr="00ED6D97" w:rsidRDefault="00D2765B" w:rsidP="00A6015A">
            <w:pPr>
              <w:pStyle w:val="Tabletext"/>
              <w:rPr>
                <w:lang w:val="fr-FR"/>
              </w:rPr>
            </w:pPr>
            <w:r w:rsidRPr="00ED6D97">
              <w:rPr>
                <w:lang w:val="fr-FR"/>
              </w:rPr>
              <w:t>Adoption de l'ordre du jour et attribution des documents</w:t>
            </w:r>
          </w:p>
        </w:tc>
        <w:tc>
          <w:tcPr>
            <w:tcW w:w="2268" w:type="dxa"/>
          </w:tcPr>
          <w:p w14:paraId="6E871855" w14:textId="2D2A294A" w:rsidR="00D2765B" w:rsidRPr="00ED6D97" w:rsidRDefault="00ED6D97" w:rsidP="00A6015A">
            <w:pPr>
              <w:pStyle w:val="Tabletext"/>
              <w:jc w:val="center"/>
              <w:rPr>
                <w:lang w:val="fr-FR"/>
              </w:rPr>
            </w:pPr>
            <w:hyperlink r:id="rId19" w:history="1">
              <w:r w:rsidR="00D2765B" w:rsidRPr="00ED6D97">
                <w:rPr>
                  <w:rStyle w:val="Hyperlink"/>
                  <w:lang w:val="fr-FR"/>
                </w:rPr>
                <w:t>EG-ITRs-3/1</w:t>
              </w:r>
              <w:r w:rsidR="00D2765B" w:rsidRPr="00ED6D97">
                <w:rPr>
                  <w:rStyle w:val="Hyperlink"/>
                  <w:lang w:val="fr-FR"/>
                </w:rPr>
                <w:t>(</w:t>
              </w:r>
              <w:r w:rsidR="00D2765B" w:rsidRPr="00ED6D97">
                <w:rPr>
                  <w:rStyle w:val="Hyperlink"/>
                  <w:lang w:val="fr-FR"/>
                </w:rPr>
                <w:t>Rév.3)</w:t>
              </w:r>
            </w:hyperlink>
          </w:p>
        </w:tc>
      </w:tr>
      <w:tr w:rsidR="00D2765B" w:rsidRPr="00ED6D97" w14:paraId="0D6B3102" w14:textId="77777777" w:rsidTr="002A0EC4">
        <w:trPr>
          <w:cantSplit/>
          <w:jc w:val="center"/>
        </w:trPr>
        <w:tc>
          <w:tcPr>
            <w:tcW w:w="852" w:type="dxa"/>
          </w:tcPr>
          <w:p w14:paraId="3207FAF7" w14:textId="77777777" w:rsidR="00D2765B" w:rsidRPr="00ED6D97" w:rsidRDefault="00D2765B" w:rsidP="00A6015A">
            <w:pPr>
              <w:pStyle w:val="Tabletext"/>
              <w:jc w:val="center"/>
              <w:rPr>
                <w:b/>
                <w:bCs/>
                <w:lang w:val="fr-FR"/>
              </w:rPr>
            </w:pPr>
            <w:r w:rsidRPr="00ED6D97">
              <w:rPr>
                <w:b/>
                <w:bCs/>
                <w:lang w:val="fr-FR"/>
              </w:rPr>
              <w:t>3</w:t>
            </w:r>
          </w:p>
        </w:tc>
        <w:tc>
          <w:tcPr>
            <w:tcW w:w="6974" w:type="dxa"/>
          </w:tcPr>
          <w:p w14:paraId="7733956B" w14:textId="24815B01" w:rsidR="00D2765B" w:rsidRPr="00ED6D97" w:rsidRDefault="00D2765B" w:rsidP="00A6015A">
            <w:pPr>
              <w:pStyle w:val="Tabletext"/>
              <w:rPr>
                <w:lang w:val="fr-FR"/>
              </w:rPr>
            </w:pPr>
            <w:r w:rsidRPr="00ED6D97">
              <w:rPr>
                <w:lang w:val="fr-FR"/>
              </w:rPr>
              <w:t>Examen des contributions reçues sur les nouvelles tendances susceptibles d</w:t>
            </w:r>
            <w:r w:rsidR="00A6015A" w:rsidRPr="00ED6D97">
              <w:rPr>
                <w:lang w:val="fr-FR"/>
              </w:rPr>
              <w:t>'</w:t>
            </w:r>
            <w:r w:rsidRPr="00ED6D97">
              <w:rPr>
                <w:lang w:val="fr-FR"/>
              </w:rPr>
              <w:t>avoir une incidence sur le RTI</w:t>
            </w:r>
          </w:p>
        </w:tc>
        <w:tc>
          <w:tcPr>
            <w:tcW w:w="2268" w:type="dxa"/>
          </w:tcPr>
          <w:p w14:paraId="10F812D9" w14:textId="77777777" w:rsidR="00D2765B" w:rsidRPr="00ED6D97" w:rsidRDefault="00D2765B" w:rsidP="00A6015A">
            <w:pPr>
              <w:pStyle w:val="Tabletext"/>
              <w:jc w:val="center"/>
              <w:rPr>
                <w:u w:val="single"/>
                <w:lang w:val="fr-FR"/>
              </w:rPr>
            </w:pPr>
            <w:hyperlink r:id="rId20" w:history="1">
              <w:r w:rsidRPr="00ED6D97">
                <w:rPr>
                  <w:rStyle w:val="Hyperlink"/>
                  <w:lang w:val="fr-FR"/>
                </w:rPr>
                <w:t>EG-ITRs-3/2</w:t>
              </w:r>
            </w:hyperlink>
          </w:p>
          <w:p w14:paraId="17F7D4BE" w14:textId="77777777" w:rsidR="00D2765B" w:rsidRPr="00ED6D97" w:rsidRDefault="00D2765B" w:rsidP="00A6015A">
            <w:pPr>
              <w:pStyle w:val="Tabletext"/>
              <w:jc w:val="center"/>
              <w:rPr>
                <w:u w:val="single"/>
                <w:lang w:val="fr-FR"/>
              </w:rPr>
            </w:pPr>
            <w:hyperlink r:id="rId21" w:history="1">
              <w:r w:rsidRPr="00ED6D97">
                <w:rPr>
                  <w:rStyle w:val="Hyperlink"/>
                  <w:lang w:val="fr-FR"/>
                </w:rPr>
                <w:t>EG-ITRs-3/6</w:t>
              </w:r>
            </w:hyperlink>
          </w:p>
          <w:p w14:paraId="19A9428F" w14:textId="77777777" w:rsidR="00D2765B" w:rsidRPr="00ED6D97" w:rsidRDefault="00D2765B" w:rsidP="00A6015A">
            <w:pPr>
              <w:pStyle w:val="Tabletext"/>
              <w:jc w:val="center"/>
              <w:rPr>
                <w:lang w:val="fr-FR"/>
              </w:rPr>
            </w:pPr>
            <w:hyperlink r:id="rId22" w:history="1">
              <w:r w:rsidRPr="00ED6D97">
                <w:rPr>
                  <w:rStyle w:val="Hyperlink"/>
                  <w:lang w:val="fr-FR"/>
                </w:rPr>
                <w:t>EG-ITRs-3/11</w:t>
              </w:r>
            </w:hyperlink>
          </w:p>
        </w:tc>
      </w:tr>
      <w:tr w:rsidR="00D2765B" w:rsidRPr="00ED6D97" w14:paraId="35C9A9F8" w14:textId="77777777" w:rsidTr="002A0EC4">
        <w:trPr>
          <w:cantSplit/>
          <w:jc w:val="center"/>
        </w:trPr>
        <w:tc>
          <w:tcPr>
            <w:tcW w:w="852" w:type="dxa"/>
          </w:tcPr>
          <w:p w14:paraId="6443D106" w14:textId="77777777" w:rsidR="00D2765B" w:rsidRPr="00ED6D97" w:rsidRDefault="00D2765B" w:rsidP="00A6015A">
            <w:pPr>
              <w:pStyle w:val="Tabletext"/>
              <w:jc w:val="center"/>
              <w:rPr>
                <w:b/>
                <w:bCs/>
                <w:lang w:val="fr-FR"/>
              </w:rPr>
            </w:pPr>
            <w:r w:rsidRPr="00ED6D97">
              <w:rPr>
                <w:b/>
                <w:bCs/>
                <w:lang w:val="fr-FR"/>
              </w:rPr>
              <w:t>4</w:t>
            </w:r>
          </w:p>
        </w:tc>
        <w:tc>
          <w:tcPr>
            <w:tcW w:w="6974" w:type="dxa"/>
          </w:tcPr>
          <w:p w14:paraId="18B6AEF8" w14:textId="6AA43A09" w:rsidR="00D2765B" w:rsidRPr="00ED6D97" w:rsidRDefault="00D2765B" w:rsidP="00A6015A">
            <w:pPr>
              <w:pStyle w:val="Tabletext"/>
              <w:rPr>
                <w:lang w:val="fr-FR"/>
              </w:rPr>
            </w:pPr>
            <w:r w:rsidRPr="00ED6D97">
              <w:rPr>
                <w:lang w:val="fr-FR"/>
              </w:rPr>
              <w:t>Examen des contributions reçues sur les données empiriques relatives à l</w:t>
            </w:r>
            <w:r w:rsidR="00A6015A" w:rsidRPr="00ED6D97">
              <w:rPr>
                <w:lang w:val="fr-FR"/>
              </w:rPr>
              <w:t>'</w:t>
            </w:r>
            <w:r w:rsidRPr="00ED6D97">
              <w:rPr>
                <w:lang w:val="fr-FR"/>
              </w:rPr>
              <w:t>utilisation actuelle du RTI</w:t>
            </w:r>
          </w:p>
        </w:tc>
        <w:tc>
          <w:tcPr>
            <w:tcW w:w="2268" w:type="dxa"/>
          </w:tcPr>
          <w:p w14:paraId="33632720" w14:textId="77777777" w:rsidR="00D2765B" w:rsidRPr="00ED6D97" w:rsidRDefault="00D2765B" w:rsidP="00A6015A">
            <w:pPr>
              <w:pStyle w:val="Tabletext"/>
              <w:jc w:val="center"/>
              <w:rPr>
                <w:u w:val="single"/>
                <w:lang w:val="fr-FR"/>
              </w:rPr>
            </w:pPr>
            <w:hyperlink r:id="rId23" w:history="1">
              <w:r w:rsidRPr="00ED6D97">
                <w:rPr>
                  <w:rStyle w:val="Hyperlink"/>
                  <w:lang w:val="fr-FR"/>
                </w:rPr>
                <w:t>EG-ITRs-3/7</w:t>
              </w:r>
            </w:hyperlink>
          </w:p>
          <w:p w14:paraId="7DE0D7F4" w14:textId="77777777" w:rsidR="00D2765B" w:rsidRPr="00ED6D97" w:rsidRDefault="00D2765B" w:rsidP="00A6015A">
            <w:pPr>
              <w:pStyle w:val="Tabletext"/>
              <w:jc w:val="center"/>
              <w:rPr>
                <w:lang w:val="fr-FR"/>
              </w:rPr>
            </w:pPr>
            <w:hyperlink r:id="rId24" w:history="1">
              <w:r w:rsidRPr="00ED6D97">
                <w:rPr>
                  <w:rStyle w:val="Hyperlink"/>
                  <w:lang w:val="fr-FR"/>
                </w:rPr>
                <w:t>EG-ITRs-3/9</w:t>
              </w:r>
            </w:hyperlink>
          </w:p>
        </w:tc>
      </w:tr>
      <w:tr w:rsidR="00D2765B" w:rsidRPr="00ED6D97" w14:paraId="25248B5C" w14:textId="77777777" w:rsidTr="002A0EC4">
        <w:trPr>
          <w:cantSplit/>
          <w:jc w:val="center"/>
        </w:trPr>
        <w:tc>
          <w:tcPr>
            <w:tcW w:w="852" w:type="dxa"/>
          </w:tcPr>
          <w:p w14:paraId="148A7287" w14:textId="77777777" w:rsidR="00D2765B" w:rsidRPr="00ED6D97" w:rsidRDefault="00D2765B" w:rsidP="00A6015A">
            <w:pPr>
              <w:pStyle w:val="Tabletext"/>
              <w:jc w:val="center"/>
              <w:rPr>
                <w:b/>
                <w:bCs/>
                <w:lang w:val="fr-FR"/>
              </w:rPr>
            </w:pPr>
            <w:r w:rsidRPr="00ED6D97">
              <w:rPr>
                <w:b/>
                <w:bCs/>
                <w:lang w:val="fr-FR"/>
              </w:rPr>
              <w:t>5</w:t>
            </w:r>
          </w:p>
        </w:tc>
        <w:tc>
          <w:tcPr>
            <w:tcW w:w="6974" w:type="dxa"/>
          </w:tcPr>
          <w:p w14:paraId="1E5859F2" w14:textId="77777777" w:rsidR="00D2765B" w:rsidRPr="00ED6D97" w:rsidRDefault="00D2765B" w:rsidP="00A6015A">
            <w:pPr>
              <w:pStyle w:val="Tabletext"/>
              <w:rPr>
                <w:lang w:val="fr-FR"/>
              </w:rPr>
            </w:pPr>
            <w:r w:rsidRPr="00ED6D97">
              <w:rPr>
                <w:lang w:val="fr-FR"/>
              </w:rPr>
              <w:t>Examen des contributions générales reçues</w:t>
            </w:r>
          </w:p>
        </w:tc>
        <w:tc>
          <w:tcPr>
            <w:tcW w:w="2268" w:type="dxa"/>
          </w:tcPr>
          <w:p w14:paraId="3E7F5588" w14:textId="77777777" w:rsidR="00D2765B" w:rsidRPr="00ED6D97" w:rsidRDefault="00D2765B" w:rsidP="00A6015A">
            <w:pPr>
              <w:pStyle w:val="Tabletext"/>
              <w:jc w:val="center"/>
              <w:rPr>
                <w:u w:val="single"/>
                <w:lang w:val="fr-FR"/>
              </w:rPr>
            </w:pPr>
            <w:hyperlink r:id="rId25" w:history="1">
              <w:r w:rsidRPr="00ED6D97">
                <w:rPr>
                  <w:rStyle w:val="Hyperlink"/>
                  <w:lang w:val="fr-FR"/>
                </w:rPr>
                <w:t>EG-ITRs-3/3</w:t>
              </w:r>
            </w:hyperlink>
          </w:p>
          <w:p w14:paraId="36011A39" w14:textId="77777777" w:rsidR="00D2765B" w:rsidRPr="00ED6D97" w:rsidRDefault="00D2765B" w:rsidP="00A6015A">
            <w:pPr>
              <w:pStyle w:val="Tabletext"/>
              <w:jc w:val="center"/>
              <w:rPr>
                <w:u w:val="single"/>
                <w:lang w:val="fr-FR"/>
              </w:rPr>
            </w:pPr>
            <w:hyperlink r:id="rId26" w:history="1">
              <w:r w:rsidRPr="00ED6D97">
                <w:rPr>
                  <w:rStyle w:val="Hyperlink"/>
                  <w:lang w:val="fr-FR"/>
                </w:rPr>
                <w:t>EG-ITRs-3/5</w:t>
              </w:r>
            </w:hyperlink>
          </w:p>
          <w:p w14:paraId="6357D20C" w14:textId="77777777" w:rsidR="00D2765B" w:rsidRPr="00ED6D97" w:rsidRDefault="00D2765B" w:rsidP="00A6015A">
            <w:pPr>
              <w:pStyle w:val="Tabletext"/>
              <w:jc w:val="center"/>
              <w:rPr>
                <w:u w:val="single"/>
                <w:lang w:val="fr-FR"/>
              </w:rPr>
            </w:pPr>
            <w:hyperlink r:id="rId27" w:history="1">
              <w:r w:rsidRPr="00ED6D97">
                <w:rPr>
                  <w:rStyle w:val="Hyperlink"/>
                  <w:lang w:val="fr-FR"/>
                </w:rPr>
                <w:t>EG-ITRs-3/8</w:t>
              </w:r>
            </w:hyperlink>
          </w:p>
          <w:p w14:paraId="3B22124B" w14:textId="77777777" w:rsidR="00D2765B" w:rsidRPr="00ED6D97" w:rsidRDefault="00D2765B" w:rsidP="00A6015A">
            <w:pPr>
              <w:pStyle w:val="Tabletext"/>
              <w:jc w:val="center"/>
              <w:rPr>
                <w:lang w:val="fr-FR"/>
              </w:rPr>
            </w:pPr>
            <w:hyperlink r:id="rId28" w:history="1">
              <w:r w:rsidRPr="00ED6D97">
                <w:rPr>
                  <w:rStyle w:val="Hyperlink"/>
                  <w:lang w:val="fr-FR"/>
                </w:rPr>
                <w:t>EG-ITRs-3/10</w:t>
              </w:r>
            </w:hyperlink>
          </w:p>
        </w:tc>
      </w:tr>
      <w:tr w:rsidR="00D2765B" w:rsidRPr="00ED6D97" w14:paraId="35AD7381" w14:textId="77777777" w:rsidTr="002A0EC4">
        <w:trPr>
          <w:cantSplit/>
          <w:jc w:val="center"/>
        </w:trPr>
        <w:tc>
          <w:tcPr>
            <w:tcW w:w="852" w:type="dxa"/>
          </w:tcPr>
          <w:p w14:paraId="0603002C" w14:textId="77777777" w:rsidR="00D2765B" w:rsidRPr="00ED6D97" w:rsidRDefault="00D2765B" w:rsidP="00A6015A">
            <w:pPr>
              <w:pStyle w:val="Tabletext"/>
              <w:jc w:val="center"/>
              <w:rPr>
                <w:b/>
                <w:bCs/>
                <w:lang w:val="fr-FR"/>
              </w:rPr>
            </w:pPr>
            <w:r w:rsidRPr="00ED6D97">
              <w:rPr>
                <w:b/>
                <w:bCs/>
                <w:lang w:val="fr-FR"/>
              </w:rPr>
              <w:t>6</w:t>
            </w:r>
          </w:p>
        </w:tc>
        <w:tc>
          <w:tcPr>
            <w:tcW w:w="6974" w:type="dxa"/>
          </w:tcPr>
          <w:p w14:paraId="3C2A50DB" w14:textId="77777777" w:rsidR="00D2765B" w:rsidRPr="00ED6D97" w:rsidRDefault="00D2765B" w:rsidP="00A6015A">
            <w:pPr>
              <w:pStyle w:val="Tabletext"/>
              <w:rPr>
                <w:lang w:val="fr-FR"/>
              </w:rPr>
            </w:pPr>
            <w:r w:rsidRPr="00ED6D97">
              <w:rPr>
                <w:lang w:val="fr-FR"/>
              </w:rPr>
              <w:t>Format et contenu du Rapport final</w:t>
            </w:r>
          </w:p>
        </w:tc>
        <w:tc>
          <w:tcPr>
            <w:tcW w:w="2268" w:type="dxa"/>
          </w:tcPr>
          <w:p w14:paraId="3E6CB63A" w14:textId="77777777" w:rsidR="00D2765B" w:rsidRPr="00ED6D97" w:rsidRDefault="00D2765B" w:rsidP="00A6015A">
            <w:pPr>
              <w:pStyle w:val="Tabletext"/>
              <w:jc w:val="center"/>
              <w:rPr>
                <w:u w:val="single"/>
                <w:lang w:val="fr-FR"/>
              </w:rPr>
            </w:pPr>
            <w:hyperlink r:id="rId29" w:history="1">
              <w:r w:rsidRPr="00ED6D97">
                <w:rPr>
                  <w:rStyle w:val="Hyperlink"/>
                  <w:lang w:val="fr-FR"/>
                </w:rPr>
                <w:t>EG-ITRs-3/4</w:t>
              </w:r>
            </w:hyperlink>
          </w:p>
          <w:p w14:paraId="6B97B2A6" w14:textId="77777777" w:rsidR="00D2765B" w:rsidRPr="00ED6D97" w:rsidRDefault="00D2765B" w:rsidP="00A6015A">
            <w:pPr>
              <w:pStyle w:val="Tabletext"/>
              <w:jc w:val="center"/>
              <w:rPr>
                <w:lang w:val="fr-FR"/>
              </w:rPr>
            </w:pPr>
            <w:hyperlink r:id="rId30" w:history="1">
              <w:r w:rsidRPr="00ED6D97">
                <w:rPr>
                  <w:rStyle w:val="Hyperlink"/>
                  <w:lang w:val="fr-FR"/>
                </w:rPr>
                <w:t>EG-ITRs-3/10</w:t>
              </w:r>
            </w:hyperlink>
          </w:p>
        </w:tc>
      </w:tr>
      <w:tr w:rsidR="00D2765B" w:rsidRPr="00ED6D97" w14:paraId="141A6A8D" w14:textId="77777777" w:rsidTr="002A0EC4">
        <w:trPr>
          <w:cantSplit/>
          <w:jc w:val="center"/>
        </w:trPr>
        <w:tc>
          <w:tcPr>
            <w:tcW w:w="852" w:type="dxa"/>
          </w:tcPr>
          <w:p w14:paraId="5A34F69A" w14:textId="77777777" w:rsidR="00D2765B" w:rsidRPr="00ED6D97" w:rsidRDefault="00D2765B" w:rsidP="00A6015A">
            <w:pPr>
              <w:pStyle w:val="Tabletext"/>
              <w:jc w:val="center"/>
              <w:rPr>
                <w:b/>
                <w:bCs/>
                <w:lang w:val="fr-FR"/>
              </w:rPr>
            </w:pPr>
            <w:r w:rsidRPr="00ED6D97">
              <w:rPr>
                <w:b/>
                <w:bCs/>
                <w:lang w:val="fr-FR"/>
              </w:rPr>
              <w:t>7</w:t>
            </w:r>
          </w:p>
        </w:tc>
        <w:tc>
          <w:tcPr>
            <w:tcW w:w="6974" w:type="dxa"/>
          </w:tcPr>
          <w:p w14:paraId="3CE54A83" w14:textId="77777777" w:rsidR="00D2765B" w:rsidRPr="00ED6D97" w:rsidRDefault="00D2765B" w:rsidP="00A6015A">
            <w:pPr>
              <w:pStyle w:val="Tabletext"/>
              <w:rPr>
                <w:lang w:val="fr-FR"/>
              </w:rPr>
            </w:pPr>
            <w:r w:rsidRPr="00ED6D97">
              <w:rPr>
                <w:lang w:val="fr-FR"/>
              </w:rPr>
              <w:t>Prochaines étapes</w:t>
            </w:r>
          </w:p>
        </w:tc>
        <w:tc>
          <w:tcPr>
            <w:tcW w:w="2268" w:type="dxa"/>
          </w:tcPr>
          <w:p w14:paraId="436851E4" w14:textId="77777777" w:rsidR="00D2765B" w:rsidRPr="00ED6D97" w:rsidRDefault="00D2765B" w:rsidP="00A6015A">
            <w:pPr>
              <w:pStyle w:val="Tabletext"/>
              <w:jc w:val="center"/>
              <w:rPr>
                <w:lang w:val="fr-FR"/>
              </w:rPr>
            </w:pPr>
          </w:p>
        </w:tc>
      </w:tr>
      <w:tr w:rsidR="00D2765B" w:rsidRPr="00ED6D97" w14:paraId="4AD6FC40" w14:textId="77777777" w:rsidTr="002A0EC4">
        <w:trPr>
          <w:cantSplit/>
          <w:jc w:val="center"/>
        </w:trPr>
        <w:tc>
          <w:tcPr>
            <w:tcW w:w="852" w:type="dxa"/>
          </w:tcPr>
          <w:p w14:paraId="54766B14" w14:textId="77777777" w:rsidR="00D2765B" w:rsidRPr="00ED6D97" w:rsidRDefault="00D2765B" w:rsidP="00A6015A">
            <w:pPr>
              <w:pStyle w:val="Tabletext"/>
              <w:jc w:val="center"/>
              <w:rPr>
                <w:b/>
                <w:bCs/>
                <w:lang w:val="fr-FR"/>
              </w:rPr>
            </w:pPr>
            <w:r w:rsidRPr="00ED6D97">
              <w:rPr>
                <w:b/>
                <w:bCs/>
                <w:lang w:val="fr-FR"/>
              </w:rPr>
              <w:t>8</w:t>
            </w:r>
          </w:p>
        </w:tc>
        <w:tc>
          <w:tcPr>
            <w:tcW w:w="6974" w:type="dxa"/>
          </w:tcPr>
          <w:p w14:paraId="5DF6BF85" w14:textId="77777777" w:rsidR="00D2765B" w:rsidRPr="00ED6D97" w:rsidRDefault="00D2765B" w:rsidP="00A6015A">
            <w:pPr>
              <w:pStyle w:val="Tabletext"/>
              <w:rPr>
                <w:lang w:val="fr-FR"/>
              </w:rPr>
            </w:pPr>
            <w:r w:rsidRPr="00ED6D97">
              <w:rPr>
                <w:lang w:val="fr-FR"/>
              </w:rPr>
              <w:t>Divers</w:t>
            </w:r>
          </w:p>
        </w:tc>
        <w:tc>
          <w:tcPr>
            <w:tcW w:w="2268" w:type="dxa"/>
          </w:tcPr>
          <w:p w14:paraId="5E1E48AD" w14:textId="77777777" w:rsidR="00D2765B" w:rsidRPr="00ED6D97" w:rsidRDefault="00D2765B" w:rsidP="00A6015A">
            <w:pPr>
              <w:pStyle w:val="Tabletext"/>
              <w:jc w:val="center"/>
              <w:rPr>
                <w:lang w:val="fr-FR"/>
              </w:rPr>
            </w:pPr>
          </w:p>
        </w:tc>
      </w:tr>
    </w:tbl>
    <w:p w14:paraId="3497F034" w14:textId="4116C01C" w:rsidR="00D2765B" w:rsidRPr="00D2765B" w:rsidRDefault="00D2765B" w:rsidP="00A6015A">
      <w:pPr>
        <w:spacing w:before="840"/>
        <w:rPr>
          <w:lang w:val="fr-FR"/>
        </w:rPr>
      </w:pPr>
      <w:r w:rsidRPr="00D2765B">
        <w:rPr>
          <w:lang w:val="fr-FR"/>
        </w:rPr>
        <w:t>Mme Shahira Selim</w:t>
      </w:r>
      <w:r w:rsidR="00A6015A" w:rsidRPr="00ED6D97">
        <w:rPr>
          <w:lang w:val="fr-FR"/>
        </w:rPr>
        <w:br/>
      </w:r>
      <w:r w:rsidRPr="00D2765B">
        <w:rPr>
          <w:lang w:val="fr-FR"/>
        </w:rPr>
        <w:t>Présidente</w:t>
      </w:r>
      <w:bookmarkEnd w:id="7"/>
    </w:p>
    <w:p w14:paraId="43E6C345" w14:textId="77777777" w:rsidR="00D2765B" w:rsidRPr="00D2765B" w:rsidRDefault="00D2765B" w:rsidP="00D2765B">
      <w:pPr>
        <w:rPr>
          <w:lang w:val="fr-FR"/>
        </w:rPr>
      </w:pPr>
      <w:r w:rsidRPr="00D2765B">
        <w:rPr>
          <w:lang w:val="fr-FR"/>
        </w:rPr>
        <w:br w:type="page"/>
      </w:r>
    </w:p>
    <w:p w14:paraId="06DE19BE" w14:textId="0D259E30" w:rsidR="00D2765B" w:rsidRPr="00ED6D97" w:rsidRDefault="00D2765B" w:rsidP="00A6015A">
      <w:pPr>
        <w:pStyle w:val="Annextitle"/>
        <w:rPr>
          <w:lang w:val="fr-FR"/>
        </w:rPr>
      </w:pPr>
      <w:r w:rsidRPr="00ED6D97">
        <w:rPr>
          <w:lang w:val="fr-FR"/>
        </w:rPr>
        <w:lastRenderedPageBreak/>
        <w:t xml:space="preserve">Annexe 2 – Ordre du jour et contributions de la quatrième réunion </w:t>
      </w:r>
      <w:r w:rsidR="00F457BF" w:rsidRPr="00ED6D97">
        <w:rPr>
          <w:lang w:val="fr-FR"/>
        </w:rPr>
        <w:br/>
      </w:r>
      <w:r w:rsidRPr="00ED6D97">
        <w:rPr>
          <w:lang w:val="fr-FR"/>
        </w:rPr>
        <w:t>du Groupe EG-RTI (20 et21 février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50"/>
      </w:tblGrid>
      <w:tr w:rsidR="00F457BF" w:rsidRPr="00ED6D97" w14:paraId="0AE9156A" w14:textId="77777777" w:rsidTr="00675492">
        <w:tc>
          <w:tcPr>
            <w:tcW w:w="6379" w:type="dxa"/>
          </w:tcPr>
          <w:p w14:paraId="136E2A93" w14:textId="77777777" w:rsidR="00F457BF" w:rsidRPr="00ED6D97" w:rsidRDefault="00F457BF" w:rsidP="00675492">
            <w:pPr>
              <w:rPr>
                <w:lang w:val="fr-FR"/>
              </w:rPr>
            </w:pPr>
          </w:p>
        </w:tc>
        <w:tc>
          <w:tcPr>
            <w:tcW w:w="3250" w:type="dxa"/>
          </w:tcPr>
          <w:p w14:paraId="0463FCE2" w14:textId="29F478C2" w:rsidR="00F457BF" w:rsidRPr="00ED6D97" w:rsidRDefault="00F457BF" w:rsidP="00675492">
            <w:pPr>
              <w:rPr>
                <w:lang w:val="fr-FR"/>
              </w:rPr>
            </w:pPr>
            <w:r w:rsidRPr="00ED6D97">
              <w:rPr>
                <w:lang w:val="fr-FR"/>
              </w:rPr>
              <w:t xml:space="preserve">Révision </w:t>
            </w:r>
            <w:r w:rsidRPr="00ED6D97">
              <w:rPr>
                <w:lang w:val="fr-FR"/>
              </w:rPr>
              <w:t>1</w:t>
            </w:r>
            <w:r w:rsidRPr="00ED6D97">
              <w:rPr>
                <w:lang w:val="fr-FR"/>
              </w:rPr>
              <w:t xml:space="preserve"> du</w:t>
            </w:r>
            <w:r w:rsidRPr="00ED6D97">
              <w:rPr>
                <w:lang w:val="fr-FR"/>
              </w:rPr>
              <w:br/>
              <w:t>Document EG-ITRs-</w:t>
            </w:r>
            <w:r w:rsidR="00ED6D97" w:rsidRPr="00ED6D97">
              <w:rPr>
                <w:lang w:val="fr-FR"/>
              </w:rPr>
              <w:t>4</w:t>
            </w:r>
            <w:r w:rsidRPr="00ED6D97">
              <w:rPr>
                <w:lang w:val="fr-FR"/>
              </w:rPr>
              <w:t>/1-F</w:t>
            </w:r>
          </w:p>
        </w:tc>
      </w:tr>
      <w:tr w:rsidR="00F457BF" w:rsidRPr="00ED6D97" w14:paraId="15544964" w14:textId="77777777" w:rsidTr="00675492">
        <w:tc>
          <w:tcPr>
            <w:tcW w:w="6379" w:type="dxa"/>
          </w:tcPr>
          <w:p w14:paraId="2AE73689" w14:textId="77777777" w:rsidR="00F457BF" w:rsidRPr="00ED6D97" w:rsidRDefault="00F457BF" w:rsidP="00675492">
            <w:pPr>
              <w:rPr>
                <w:lang w:val="fr-FR"/>
              </w:rPr>
            </w:pPr>
          </w:p>
        </w:tc>
        <w:tc>
          <w:tcPr>
            <w:tcW w:w="3250" w:type="dxa"/>
          </w:tcPr>
          <w:p w14:paraId="0323F400" w14:textId="71E97116" w:rsidR="00F457BF" w:rsidRPr="00ED6D97" w:rsidRDefault="00F457BF" w:rsidP="00675492">
            <w:pPr>
              <w:rPr>
                <w:lang w:val="fr-FR"/>
              </w:rPr>
            </w:pPr>
            <w:r w:rsidRPr="00ED6D97">
              <w:rPr>
                <w:lang w:val="fr-FR"/>
              </w:rPr>
              <w:t>17 février 2025</w:t>
            </w:r>
          </w:p>
        </w:tc>
      </w:tr>
      <w:tr w:rsidR="00F457BF" w:rsidRPr="00ED6D97" w14:paraId="0E1FD32A" w14:textId="77777777" w:rsidTr="00675492">
        <w:tc>
          <w:tcPr>
            <w:tcW w:w="6379" w:type="dxa"/>
          </w:tcPr>
          <w:p w14:paraId="5D904D4E" w14:textId="77777777" w:rsidR="00F457BF" w:rsidRPr="00ED6D97" w:rsidRDefault="00F457BF" w:rsidP="00675492">
            <w:pPr>
              <w:rPr>
                <w:lang w:val="fr-FR"/>
              </w:rPr>
            </w:pPr>
          </w:p>
        </w:tc>
        <w:tc>
          <w:tcPr>
            <w:tcW w:w="3250" w:type="dxa"/>
          </w:tcPr>
          <w:p w14:paraId="03F2A13A" w14:textId="77777777" w:rsidR="00F457BF" w:rsidRPr="00ED6D97" w:rsidRDefault="00F457BF" w:rsidP="00675492">
            <w:pPr>
              <w:rPr>
                <w:lang w:val="fr-FR"/>
              </w:rPr>
            </w:pPr>
            <w:r w:rsidRPr="00ED6D97">
              <w:rPr>
                <w:lang w:val="fr-FR"/>
              </w:rPr>
              <w:t>En anglais uniquement</w:t>
            </w:r>
          </w:p>
        </w:tc>
      </w:tr>
    </w:tbl>
    <w:p w14:paraId="6C1813CC" w14:textId="308F2CCC" w:rsidR="00D2765B" w:rsidRPr="00ED6D97" w:rsidRDefault="00D2765B" w:rsidP="00F457BF">
      <w:pPr>
        <w:pStyle w:val="AnnexNo"/>
        <w:rPr>
          <w:lang w:val="fr-FR"/>
        </w:rPr>
      </w:pPr>
      <w:r w:rsidRPr="00ED6D97">
        <w:rPr>
          <w:lang w:val="fr-FR"/>
        </w:rPr>
        <w:t>PROJET D'ORDRE DU JOUR</w:t>
      </w:r>
    </w:p>
    <w:p w14:paraId="72BC71AB" w14:textId="412F75BA" w:rsidR="00D2765B" w:rsidRPr="00ED6D97" w:rsidRDefault="00D2765B" w:rsidP="00F457BF">
      <w:pPr>
        <w:pStyle w:val="Annextitle"/>
        <w:spacing w:after="120"/>
        <w:rPr>
          <w:lang w:val="fr-FR"/>
        </w:rPr>
      </w:pPr>
      <w:r w:rsidRPr="00ED6D97">
        <w:rPr>
          <w:lang w:val="fr-FR"/>
        </w:rPr>
        <w:t xml:space="preserve">Réunion du Groupe d'experts sur le Règlement </w:t>
      </w:r>
      <w:r w:rsidR="00F457BF" w:rsidRPr="00ED6D97">
        <w:rPr>
          <w:lang w:val="fr-FR"/>
        </w:rPr>
        <w:br/>
      </w:r>
      <w:r w:rsidRPr="00ED6D97">
        <w:rPr>
          <w:lang w:val="fr-FR"/>
        </w:rPr>
        <w:t>des télécommunications internationales</w:t>
      </w:r>
    </w:p>
    <w:p w14:paraId="34048BC9" w14:textId="37D4527B" w:rsidR="00D2765B" w:rsidRPr="00D2765B" w:rsidRDefault="00D2765B" w:rsidP="00F457BF">
      <w:pPr>
        <w:jc w:val="center"/>
        <w:rPr>
          <w:bCs/>
          <w:lang w:val="fr-FR"/>
        </w:rPr>
      </w:pPr>
      <w:r w:rsidRPr="00D2765B">
        <w:rPr>
          <w:bCs/>
          <w:lang w:val="fr-FR"/>
        </w:rPr>
        <w:t>Jeudi 20 février 2025, 14 h 30-17 h 30</w:t>
      </w:r>
      <w:r w:rsidR="00F457BF" w:rsidRPr="00ED6D97">
        <w:rPr>
          <w:bCs/>
          <w:lang w:val="fr-FR"/>
        </w:rPr>
        <w:br/>
        <w:t>V</w:t>
      </w:r>
      <w:r w:rsidRPr="00D2765B">
        <w:rPr>
          <w:bCs/>
          <w:lang w:val="fr-FR"/>
        </w:rPr>
        <w:t>endredi 21 février 2025, 9 heures-12 heures et 14 h 30-17 h 30</w:t>
      </w:r>
    </w:p>
    <w:p w14:paraId="2D736F3E" w14:textId="77777777" w:rsidR="00D2765B" w:rsidRPr="00ED6D97" w:rsidRDefault="00D2765B" w:rsidP="00F457BF">
      <w:pPr>
        <w:pStyle w:val="Annextitle"/>
        <w:rPr>
          <w:sz w:val="24"/>
          <w:szCs w:val="24"/>
          <w:lang w:val="fr-FR"/>
        </w:rPr>
      </w:pPr>
      <w:r w:rsidRPr="00ED6D97">
        <w:rPr>
          <w:sz w:val="24"/>
          <w:szCs w:val="24"/>
          <w:lang w:val="fr-FR"/>
        </w:rPr>
        <w:t>Salle C1, siège de l'UIT, Genève</w:t>
      </w:r>
    </w:p>
    <w:tbl>
      <w:tblPr>
        <w:tblStyle w:val="TableGrid"/>
        <w:tblW w:w="10100" w:type="dxa"/>
        <w:jc w:val="center"/>
        <w:tblLayout w:type="fixed"/>
        <w:tblLook w:val="01E0" w:firstRow="1" w:lastRow="1" w:firstColumn="1" w:lastColumn="1" w:noHBand="0" w:noVBand="0"/>
      </w:tblPr>
      <w:tblGrid>
        <w:gridCol w:w="851"/>
        <w:gridCol w:w="7023"/>
        <w:gridCol w:w="2226"/>
      </w:tblGrid>
      <w:tr w:rsidR="00D2765B" w:rsidRPr="00ED6D97" w14:paraId="4011EDF3" w14:textId="77777777" w:rsidTr="002A0EC4">
        <w:trPr>
          <w:cantSplit/>
          <w:jc w:val="center"/>
        </w:trPr>
        <w:tc>
          <w:tcPr>
            <w:tcW w:w="851" w:type="dxa"/>
          </w:tcPr>
          <w:p w14:paraId="407F7377" w14:textId="77777777" w:rsidR="00D2765B" w:rsidRPr="00ED6D97" w:rsidRDefault="00D2765B" w:rsidP="00F457BF">
            <w:pPr>
              <w:pStyle w:val="Tablehead"/>
              <w:rPr>
                <w:lang w:val="fr-FR"/>
              </w:rPr>
            </w:pPr>
            <w:r w:rsidRPr="00ED6D97">
              <w:rPr>
                <w:lang w:val="fr-FR"/>
              </w:rPr>
              <w:t>Point</w:t>
            </w:r>
          </w:p>
        </w:tc>
        <w:tc>
          <w:tcPr>
            <w:tcW w:w="7023" w:type="dxa"/>
          </w:tcPr>
          <w:p w14:paraId="747D832E" w14:textId="77777777" w:rsidR="00D2765B" w:rsidRPr="00ED6D97" w:rsidRDefault="00D2765B" w:rsidP="00F457BF">
            <w:pPr>
              <w:pStyle w:val="Tablehead"/>
              <w:rPr>
                <w:lang w:val="fr-FR"/>
              </w:rPr>
            </w:pPr>
          </w:p>
        </w:tc>
        <w:tc>
          <w:tcPr>
            <w:tcW w:w="2226" w:type="dxa"/>
          </w:tcPr>
          <w:p w14:paraId="0E1E6B95" w14:textId="77777777" w:rsidR="00D2765B" w:rsidRPr="00ED6D97" w:rsidRDefault="00D2765B" w:rsidP="00F457BF">
            <w:pPr>
              <w:pStyle w:val="Tablehead"/>
              <w:rPr>
                <w:lang w:val="fr-FR"/>
              </w:rPr>
            </w:pPr>
            <w:r w:rsidRPr="00ED6D97">
              <w:rPr>
                <w:lang w:val="fr-FR"/>
              </w:rPr>
              <w:t>Documents</w:t>
            </w:r>
          </w:p>
        </w:tc>
      </w:tr>
      <w:tr w:rsidR="00D2765B" w:rsidRPr="00ED6D97" w14:paraId="552C6267" w14:textId="77777777" w:rsidTr="002A0EC4">
        <w:trPr>
          <w:cantSplit/>
          <w:jc w:val="center"/>
        </w:trPr>
        <w:tc>
          <w:tcPr>
            <w:tcW w:w="851" w:type="dxa"/>
          </w:tcPr>
          <w:p w14:paraId="0AE24D4F" w14:textId="77777777" w:rsidR="00D2765B" w:rsidRPr="00ED6D97" w:rsidRDefault="00D2765B" w:rsidP="00F457BF">
            <w:pPr>
              <w:pStyle w:val="Tabletext"/>
              <w:jc w:val="center"/>
              <w:rPr>
                <w:b/>
                <w:bCs/>
                <w:lang w:val="fr-FR"/>
              </w:rPr>
            </w:pPr>
            <w:r w:rsidRPr="00ED6D97">
              <w:rPr>
                <w:b/>
                <w:bCs/>
                <w:lang w:val="fr-FR"/>
              </w:rPr>
              <w:t>1</w:t>
            </w:r>
          </w:p>
        </w:tc>
        <w:tc>
          <w:tcPr>
            <w:tcW w:w="7023" w:type="dxa"/>
          </w:tcPr>
          <w:p w14:paraId="26BC94DC" w14:textId="77777777" w:rsidR="00D2765B" w:rsidRPr="00ED6D97" w:rsidRDefault="00D2765B" w:rsidP="00F457BF">
            <w:pPr>
              <w:pStyle w:val="Tabletext"/>
              <w:rPr>
                <w:lang w:val="fr-FR"/>
              </w:rPr>
            </w:pPr>
            <w:r w:rsidRPr="00ED6D97">
              <w:rPr>
                <w:lang w:val="fr-FR"/>
              </w:rPr>
              <w:t>Remarques liminaires</w:t>
            </w:r>
          </w:p>
        </w:tc>
        <w:tc>
          <w:tcPr>
            <w:tcW w:w="2226" w:type="dxa"/>
            <w:vAlign w:val="bottom"/>
          </w:tcPr>
          <w:p w14:paraId="2BA78880" w14:textId="77777777" w:rsidR="00D2765B" w:rsidRPr="00ED6D97" w:rsidRDefault="00D2765B" w:rsidP="00F457BF">
            <w:pPr>
              <w:pStyle w:val="Tabletext"/>
              <w:jc w:val="center"/>
              <w:rPr>
                <w:lang w:val="fr-FR"/>
              </w:rPr>
            </w:pPr>
          </w:p>
        </w:tc>
      </w:tr>
      <w:tr w:rsidR="00D2765B" w:rsidRPr="00ED6D97" w14:paraId="18528C18" w14:textId="77777777" w:rsidTr="002A0EC4">
        <w:trPr>
          <w:cantSplit/>
          <w:jc w:val="center"/>
        </w:trPr>
        <w:tc>
          <w:tcPr>
            <w:tcW w:w="851" w:type="dxa"/>
          </w:tcPr>
          <w:p w14:paraId="22C7E356" w14:textId="77777777" w:rsidR="00D2765B" w:rsidRPr="00ED6D97" w:rsidRDefault="00D2765B" w:rsidP="00F457BF">
            <w:pPr>
              <w:pStyle w:val="Tabletext"/>
              <w:jc w:val="center"/>
              <w:rPr>
                <w:b/>
                <w:bCs/>
                <w:lang w:val="fr-FR"/>
              </w:rPr>
            </w:pPr>
            <w:r w:rsidRPr="00ED6D97">
              <w:rPr>
                <w:b/>
                <w:bCs/>
                <w:lang w:val="fr-FR"/>
              </w:rPr>
              <w:t>2</w:t>
            </w:r>
          </w:p>
        </w:tc>
        <w:tc>
          <w:tcPr>
            <w:tcW w:w="7023" w:type="dxa"/>
          </w:tcPr>
          <w:p w14:paraId="69690C84" w14:textId="77777777" w:rsidR="00D2765B" w:rsidRPr="00ED6D97" w:rsidRDefault="00D2765B" w:rsidP="00F457BF">
            <w:pPr>
              <w:pStyle w:val="Tabletext"/>
              <w:rPr>
                <w:lang w:val="fr-FR"/>
              </w:rPr>
            </w:pPr>
            <w:r w:rsidRPr="00ED6D97">
              <w:rPr>
                <w:lang w:val="fr-FR"/>
              </w:rPr>
              <w:t>Adoption de l'ordre du jour et attribution des documents</w:t>
            </w:r>
          </w:p>
        </w:tc>
        <w:tc>
          <w:tcPr>
            <w:tcW w:w="2226" w:type="dxa"/>
            <w:vAlign w:val="bottom"/>
          </w:tcPr>
          <w:p w14:paraId="7E121F95" w14:textId="708C6869" w:rsidR="00D2765B" w:rsidRPr="00ED6D97" w:rsidRDefault="00ED6D97" w:rsidP="00F457BF">
            <w:pPr>
              <w:pStyle w:val="Tabletext"/>
              <w:jc w:val="center"/>
              <w:rPr>
                <w:lang w:val="fr-FR"/>
              </w:rPr>
            </w:pPr>
            <w:hyperlink r:id="rId31" w:history="1">
              <w:r w:rsidR="00D2765B" w:rsidRPr="00ED6D97">
                <w:rPr>
                  <w:rStyle w:val="Hyperlink"/>
                  <w:lang w:val="fr-FR"/>
                </w:rPr>
                <w:t>EG-ITRs-4/1</w:t>
              </w:r>
            </w:hyperlink>
          </w:p>
        </w:tc>
      </w:tr>
      <w:tr w:rsidR="00D2765B" w:rsidRPr="00ED6D97" w14:paraId="2C3F8B49" w14:textId="77777777" w:rsidTr="002A0EC4">
        <w:trPr>
          <w:cantSplit/>
          <w:jc w:val="center"/>
        </w:trPr>
        <w:tc>
          <w:tcPr>
            <w:tcW w:w="851" w:type="dxa"/>
          </w:tcPr>
          <w:p w14:paraId="31D53D07" w14:textId="77777777" w:rsidR="00D2765B" w:rsidRPr="00ED6D97" w:rsidRDefault="00D2765B" w:rsidP="00F457BF">
            <w:pPr>
              <w:pStyle w:val="Tabletext"/>
              <w:jc w:val="center"/>
              <w:rPr>
                <w:b/>
                <w:bCs/>
                <w:lang w:val="fr-FR"/>
              </w:rPr>
            </w:pPr>
            <w:r w:rsidRPr="00ED6D97">
              <w:rPr>
                <w:b/>
                <w:bCs/>
                <w:lang w:val="fr-FR"/>
              </w:rPr>
              <w:t>3</w:t>
            </w:r>
          </w:p>
        </w:tc>
        <w:tc>
          <w:tcPr>
            <w:tcW w:w="7023" w:type="dxa"/>
          </w:tcPr>
          <w:p w14:paraId="5C92F3E2" w14:textId="77777777" w:rsidR="00D2765B" w:rsidRPr="00ED6D97" w:rsidRDefault="00D2765B" w:rsidP="00F457BF">
            <w:pPr>
              <w:pStyle w:val="Tabletext"/>
              <w:rPr>
                <w:lang w:val="fr-FR"/>
              </w:rPr>
            </w:pPr>
            <w:r w:rsidRPr="00ED6D97">
              <w:rPr>
                <w:lang w:val="fr-FR"/>
              </w:rPr>
              <w:t>Présentation/examen des contributions des États Membres et des Membres de Secteur</w:t>
            </w:r>
          </w:p>
        </w:tc>
        <w:tc>
          <w:tcPr>
            <w:tcW w:w="2226" w:type="dxa"/>
            <w:vAlign w:val="bottom"/>
          </w:tcPr>
          <w:p w14:paraId="0CA303BD" w14:textId="77777777" w:rsidR="00D2765B" w:rsidRPr="00ED6D97" w:rsidRDefault="00D2765B" w:rsidP="00F457BF">
            <w:pPr>
              <w:pStyle w:val="Tabletext"/>
              <w:jc w:val="center"/>
              <w:rPr>
                <w:lang w:val="fr-FR"/>
              </w:rPr>
            </w:pPr>
            <w:hyperlink r:id="rId32" w:history="1">
              <w:r w:rsidRPr="00ED6D97">
                <w:rPr>
                  <w:rStyle w:val="Hyperlink"/>
                  <w:lang w:val="fr-FR"/>
                </w:rPr>
                <w:t>EG-ITR</w:t>
              </w:r>
              <w:r w:rsidRPr="00ED6D97">
                <w:rPr>
                  <w:rStyle w:val="Hyperlink"/>
                  <w:lang w:val="fr-FR"/>
                </w:rPr>
                <w:t>s</w:t>
              </w:r>
              <w:r w:rsidRPr="00ED6D97">
                <w:rPr>
                  <w:rStyle w:val="Hyperlink"/>
                  <w:lang w:val="fr-FR"/>
                </w:rPr>
                <w:t>-4/2</w:t>
              </w:r>
            </w:hyperlink>
          </w:p>
          <w:p w14:paraId="64D32CF2" w14:textId="77777777" w:rsidR="00D2765B" w:rsidRPr="00ED6D97" w:rsidRDefault="00D2765B" w:rsidP="00F457BF">
            <w:pPr>
              <w:pStyle w:val="Tabletext"/>
              <w:jc w:val="center"/>
              <w:rPr>
                <w:lang w:val="fr-FR"/>
              </w:rPr>
            </w:pPr>
            <w:hyperlink r:id="rId33" w:history="1">
              <w:r w:rsidRPr="00ED6D97">
                <w:rPr>
                  <w:rStyle w:val="Hyperlink"/>
                  <w:lang w:val="fr-FR"/>
                </w:rPr>
                <w:t>EG-ITRs-4/6</w:t>
              </w:r>
            </w:hyperlink>
          </w:p>
          <w:p w14:paraId="14701E1A" w14:textId="77777777" w:rsidR="00D2765B" w:rsidRPr="00ED6D97" w:rsidRDefault="00D2765B" w:rsidP="00F457BF">
            <w:pPr>
              <w:pStyle w:val="Tabletext"/>
              <w:jc w:val="center"/>
              <w:rPr>
                <w:lang w:val="fr-FR"/>
              </w:rPr>
            </w:pPr>
            <w:hyperlink r:id="rId34" w:history="1">
              <w:r w:rsidRPr="00ED6D97">
                <w:rPr>
                  <w:rStyle w:val="Hyperlink"/>
                  <w:lang w:val="fr-FR"/>
                </w:rPr>
                <w:t>EG-ITRs-4/7</w:t>
              </w:r>
            </w:hyperlink>
          </w:p>
        </w:tc>
      </w:tr>
      <w:tr w:rsidR="00D2765B" w:rsidRPr="00ED6D97" w14:paraId="366ADF14" w14:textId="77777777" w:rsidTr="002A0EC4">
        <w:trPr>
          <w:cantSplit/>
          <w:jc w:val="center"/>
        </w:trPr>
        <w:tc>
          <w:tcPr>
            <w:tcW w:w="851" w:type="dxa"/>
          </w:tcPr>
          <w:p w14:paraId="1CCF4012" w14:textId="77777777" w:rsidR="00D2765B" w:rsidRPr="00ED6D97" w:rsidRDefault="00D2765B" w:rsidP="00F457BF">
            <w:pPr>
              <w:pStyle w:val="Tabletext"/>
              <w:jc w:val="center"/>
              <w:rPr>
                <w:b/>
                <w:bCs/>
                <w:lang w:val="fr-FR"/>
              </w:rPr>
            </w:pPr>
            <w:r w:rsidRPr="00ED6D97">
              <w:rPr>
                <w:b/>
                <w:bCs/>
                <w:lang w:val="fr-FR"/>
              </w:rPr>
              <w:t>4</w:t>
            </w:r>
          </w:p>
        </w:tc>
        <w:tc>
          <w:tcPr>
            <w:tcW w:w="7023" w:type="dxa"/>
          </w:tcPr>
          <w:p w14:paraId="55D9B021" w14:textId="77777777" w:rsidR="00D2765B" w:rsidRPr="00ED6D97" w:rsidRDefault="00D2765B" w:rsidP="00F457BF">
            <w:pPr>
              <w:pStyle w:val="Tabletext"/>
              <w:rPr>
                <w:lang w:val="fr-FR"/>
              </w:rPr>
            </w:pPr>
            <w:r w:rsidRPr="00ED6D97">
              <w:rPr>
                <w:lang w:val="fr-FR"/>
              </w:rPr>
              <w:t>Présentation/examen des contributions des États Membres et des Membres de Secteur</w:t>
            </w:r>
          </w:p>
        </w:tc>
        <w:tc>
          <w:tcPr>
            <w:tcW w:w="2226" w:type="dxa"/>
            <w:vAlign w:val="bottom"/>
          </w:tcPr>
          <w:p w14:paraId="1B46C7AB" w14:textId="77777777" w:rsidR="00D2765B" w:rsidRPr="00ED6D97" w:rsidRDefault="00D2765B" w:rsidP="00F457BF">
            <w:pPr>
              <w:pStyle w:val="Tabletext"/>
              <w:jc w:val="center"/>
              <w:rPr>
                <w:lang w:val="fr-FR"/>
              </w:rPr>
            </w:pPr>
            <w:hyperlink r:id="rId35" w:history="1">
              <w:r w:rsidRPr="00ED6D97">
                <w:rPr>
                  <w:rStyle w:val="Hyperlink"/>
                  <w:lang w:val="fr-FR"/>
                </w:rPr>
                <w:t>EG-ITRs-4/3</w:t>
              </w:r>
            </w:hyperlink>
          </w:p>
          <w:p w14:paraId="0566B142" w14:textId="77777777" w:rsidR="00D2765B" w:rsidRPr="00ED6D97" w:rsidRDefault="00D2765B" w:rsidP="00F457BF">
            <w:pPr>
              <w:pStyle w:val="Tabletext"/>
              <w:jc w:val="center"/>
              <w:rPr>
                <w:lang w:val="fr-FR"/>
              </w:rPr>
            </w:pPr>
            <w:hyperlink r:id="rId36" w:history="1">
              <w:r w:rsidRPr="00ED6D97">
                <w:rPr>
                  <w:rStyle w:val="Hyperlink"/>
                  <w:lang w:val="fr-FR"/>
                </w:rPr>
                <w:t>EG-ITRs-4/4</w:t>
              </w:r>
            </w:hyperlink>
          </w:p>
          <w:p w14:paraId="4FAAE50D" w14:textId="77777777" w:rsidR="00D2765B" w:rsidRPr="00ED6D97" w:rsidRDefault="00D2765B" w:rsidP="00F457BF">
            <w:pPr>
              <w:pStyle w:val="Tabletext"/>
              <w:jc w:val="center"/>
              <w:rPr>
                <w:lang w:val="fr-FR"/>
              </w:rPr>
            </w:pPr>
            <w:hyperlink r:id="rId37" w:history="1">
              <w:r w:rsidRPr="00ED6D97">
                <w:rPr>
                  <w:rStyle w:val="Hyperlink"/>
                  <w:lang w:val="fr-FR"/>
                </w:rPr>
                <w:t>EG-ITRs-4/5</w:t>
              </w:r>
            </w:hyperlink>
          </w:p>
          <w:p w14:paraId="6A2206C7" w14:textId="77777777" w:rsidR="00D2765B" w:rsidRPr="00ED6D97" w:rsidRDefault="00D2765B" w:rsidP="00F457BF">
            <w:pPr>
              <w:pStyle w:val="Tabletext"/>
              <w:jc w:val="center"/>
              <w:rPr>
                <w:lang w:val="fr-FR"/>
              </w:rPr>
            </w:pPr>
            <w:hyperlink r:id="rId38" w:history="1">
              <w:r w:rsidRPr="00ED6D97">
                <w:rPr>
                  <w:rStyle w:val="Hyperlink"/>
                  <w:lang w:val="fr-FR"/>
                </w:rPr>
                <w:t>EG-ITRs-4/8</w:t>
              </w:r>
            </w:hyperlink>
          </w:p>
        </w:tc>
      </w:tr>
      <w:tr w:rsidR="00D2765B" w:rsidRPr="00ED6D97" w14:paraId="460B98CF" w14:textId="77777777" w:rsidTr="002A0EC4">
        <w:trPr>
          <w:cantSplit/>
          <w:jc w:val="center"/>
        </w:trPr>
        <w:tc>
          <w:tcPr>
            <w:tcW w:w="851" w:type="dxa"/>
          </w:tcPr>
          <w:p w14:paraId="3CFCD37D" w14:textId="77777777" w:rsidR="00D2765B" w:rsidRPr="00ED6D97" w:rsidRDefault="00D2765B" w:rsidP="00F457BF">
            <w:pPr>
              <w:pStyle w:val="Tabletext"/>
              <w:jc w:val="center"/>
              <w:rPr>
                <w:b/>
                <w:bCs/>
                <w:lang w:val="fr-FR"/>
              </w:rPr>
            </w:pPr>
            <w:r w:rsidRPr="00ED6D97">
              <w:rPr>
                <w:b/>
                <w:bCs/>
                <w:lang w:val="fr-FR"/>
              </w:rPr>
              <w:t>5</w:t>
            </w:r>
          </w:p>
        </w:tc>
        <w:tc>
          <w:tcPr>
            <w:tcW w:w="7023" w:type="dxa"/>
          </w:tcPr>
          <w:p w14:paraId="4A4A385A" w14:textId="77777777" w:rsidR="00D2765B" w:rsidRPr="00ED6D97" w:rsidRDefault="00D2765B" w:rsidP="00F457BF">
            <w:pPr>
              <w:pStyle w:val="Tabletext"/>
              <w:rPr>
                <w:lang w:val="fr-FR"/>
              </w:rPr>
            </w:pPr>
            <w:r w:rsidRPr="00ED6D97">
              <w:rPr>
                <w:lang w:val="fr-FR"/>
              </w:rPr>
              <w:t>Examen des prochaines étapes</w:t>
            </w:r>
          </w:p>
        </w:tc>
        <w:tc>
          <w:tcPr>
            <w:tcW w:w="2226" w:type="dxa"/>
            <w:vAlign w:val="bottom"/>
          </w:tcPr>
          <w:p w14:paraId="1C60BBA6" w14:textId="77777777" w:rsidR="00D2765B" w:rsidRPr="00ED6D97" w:rsidRDefault="00D2765B" w:rsidP="00F457BF">
            <w:pPr>
              <w:pStyle w:val="Tabletext"/>
              <w:jc w:val="center"/>
              <w:rPr>
                <w:lang w:val="fr-FR"/>
              </w:rPr>
            </w:pPr>
          </w:p>
        </w:tc>
      </w:tr>
      <w:tr w:rsidR="00D2765B" w:rsidRPr="00ED6D97" w14:paraId="0B0FE29E" w14:textId="77777777" w:rsidTr="002A0EC4">
        <w:trPr>
          <w:cantSplit/>
          <w:jc w:val="center"/>
        </w:trPr>
        <w:tc>
          <w:tcPr>
            <w:tcW w:w="851" w:type="dxa"/>
          </w:tcPr>
          <w:p w14:paraId="45F21E4E" w14:textId="77777777" w:rsidR="00D2765B" w:rsidRPr="00ED6D97" w:rsidRDefault="00D2765B" w:rsidP="00F457BF">
            <w:pPr>
              <w:pStyle w:val="Tabletext"/>
              <w:jc w:val="center"/>
              <w:rPr>
                <w:b/>
                <w:bCs/>
                <w:lang w:val="fr-FR"/>
              </w:rPr>
            </w:pPr>
            <w:r w:rsidRPr="00ED6D97">
              <w:rPr>
                <w:b/>
                <w:bCs/>
                <w:lang w:val="fr-FR"/>
              </w:rPr>
              <w:t>6</w:t>
            </w:r>
          </w:p>
        </w:tc>
        <w:tc>
          <w:tcPr>
            <w:tcW w:w="7023" w:type="dxa"/>
          </w:tcPr>
          <w:p w14:paraId="74817FC2" w14:textId="77777777" w:rsidR="00D2765B" w:rsidRPr="00ED6D97" w:rsidRDefault="00D2765B" w:rsidP="00F457BF">
            <w:pPr>
              <w:pStyle w:val="Tabletext"/>
              <w:rPr>
                <w:lang w:val="fr-FR"/>
              </w:rPr>
            </w:pPr>
            <w:r w:rsidRPr="00ED6D97">
              <w:rPr>
                <w:lang w:val="fr-FR"/>
              </w:rPr>
              <w:t>Divers</w:t>
            </w:r>
          </w:p>
        </w:tc>
        <w:tc>
          <w:tcPr>
            <w:tcW w:w="2226" w:type="dxa"/>
            <w:vAlign w:val="bottom"/>
          </w:tcPr>
          <w:p w14:paraId="270F251F" w14:textId="77777777" w:rsidR="00D2765B" w:rsidRPr="00ED6D97" w:rsidRDefault="00D2765B" w:rsidP="00F457BF">
            <w:pPr>
              <w:pStyle w:val="Tabletext"/>
              <w:jc w:val="center"/>
              <w:rPr>
                <w:lang w:val="fr-FR"/>
              </w:rPr>
            </w:pPr>
          </w:p>
        </w:tc>
      </w:tr>
    </w:tbl>
    <w:p w14:paraId="7B757E64" w14:textId="3D1A9E16" w:rsidR="00D2765B" w:rsidRPr="00D2765B" w:rsidRDefault="00D2765B" w:rsidP="00F457BF">
      <w:pPr>
        <w:spacing w:before="840"/>
        <w:rPr>
          <w:lang w:val="fr-FR"/>
        </w:rPr>
      </w:pPr>
      <w:r w:rsidRPr="00D2765B">
        <w:rPr>
          <w:lang w:val="fr-FR"/>
        </w:rPr>
        <w:t>Mme Shahira Selim</w:t>
      </w:r>
      <w:r w:rsidR="00F457BF" w:rsidRPr="00ED6D97">
        <w:rPr>
          <w:lang w:val="fr-FR"/>
        </w:rPr>
        <w:br/>
      </w:r>
      <w:r w:rsidRPr="00D2765B">
        <w:rPr>
          <w:lang w:val="fr-FR"/>
        </w:rPr>
        <w:t>Présidente</w:t>
      </w:r>
    </w:p>
    <w:sectPr w:rsidR="00D2765B" w:rsidRPr="00D2765B" w:rsidSect="00473791">
      <w:headerReference w:type="default" r:id="rId39"/>
      <w:footerReference w:type="first" r:id="rId4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2765B" w:rsidRPr="009C2903" w14:paraId="5C2B0E2D" w14:textId="77777777" w:rsidTr="005539C3">
      <w:tc>
        <w:tcPr>
          <w:tcW w:w="1526" w:type="dxa"/>
          <w:tcBorders>
            <w:top w:val="single" w:sz="4" w:space="0" w:color="000000" w:themeColor="text1"/>
          </w:tcBorders>
        </w:tcPr>
        <w:p w14:paraId="176205BE" w14:textId="77777777" w:rsidR="00D2765B" w:rsidRPr="00BA0009" w:rsidRDefault="00D2765B" w:rsidP="00D2765B">
          <w:pPr>
            <w:pStyle w:val="FirstFooter"/>
            <w:tabs>
              <w:tab w:val="left" w:pos="1559"/>
              <w:tab w:val="left" w:pos="3828"/>
            </w:tabs>
            <w:rPr>
              <w:sz w:val="18"/>
              <w:szCs w:val="18"/>
            </w:rPr>
          </w:pPr>
          <w:bookmarkStart w:id="8" w:name="Email"/>
          <w:bookmarkEnd w:id="8"/>
          <w:r w:rsidRPr="00E62753">
            <w:rPr>
              <w:sz w:val="18"/>
              <w:szCs w:val="18"/>
            </w:rPr>
            <w:t>Contact:</w:t>
          </w:r>
        </w:p>
      </w:tc>
      <w:tc>
        <w:tcPr>
          <w:tcW w:w="2410" w:type="dxa"/>
          <w:tcBorders>
            <w:top w:val="single" w:sz="4" w:space="0" w:color="000000" w:themeColor="text1"/>
          </w:tcBorders>
        </w:tcPr>
        <w:p w14:paraId="26830CB6" w14:textId="77777777" w:rsidR="00D2765B" w:rsidRPr="00CB110F" w:rsidRDefault="00D2765B" w:rsidP="00D2765B">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0C8B6EEC" w14:textId="22AC1956" w:rsidR="00D2765B" w:rsidRPr="00D2765B" w:rsidRDefault="00D2765B" w:rsidP="00D2765B">
          <w:pPr>
            <w:pStyle w:val="FirstFooter"/>
            <w:rPr>
              <w:sz w:val="18"/>
              <w:szCs w:val="18"/>
              <w:highlight w:val="yellow"/>
            </w:rPr>
          </w:pPr>
          <w:r w:rsidRPr="00D2765B">
            <w:rPr>
              <w:sz w:val="18"/>
              <w:szCs w:val="18"/>
            </w:rPr>
            <w:t>Mme Carmen Prado-Wagner, Responsable principale, Division de l'environnement réglementaire et commercial (RME), Bureau de développement des télécommunications</w:t>
          </w:r>
        </w:p>
      </w:tc>
    </w:tr>
    <w:tr w:rsidR="00D2765B" w:rsidRPr="00CB110F" w14:paraId="298FE8EB" w14:textId="77777777" w:rsidTr="005539C3">
      <w:tc>
        <w:tcPr>
          <w:tcW w:w="1526" w:type="dxa"/>
        </w:tcPr>
        <w:p w14:paraId="7ACBC842" w14:textId="77777777" w:rsidR="00D2765B" w:rsidRPr="009C2903" w:rsidRDefault="00D2765B" w:rsidP="00D2765B">
          <w:pPr>
            <w:pStyle w:val="FirstFooter"/>
            <w:tabs>
              <w:tab w:val="left" w:pos="1559"/>
              <w:tab w:val="left" w:pos="3828"/>
            </w:tabs>
            <w:rPr>
              <w:sz w:val="20"/>
            </w:rPr>
          </w:pPr>
        </w:p>
      </w:tc>
      <w:tc>
        <w:tcPr>
          <w:tcW w:w="2410" w:type="dxa"/>
        </w:tcPr>
        <w:p w14:paraId="76CE8C1A" w14:textId="77777777" w:rsidR="00D2765B" w:rsidRPr="00CB110F" w:rsidRDefault="00D2765B" w:rsidP="00D2765B">
          <w:pPr>
            <w:pStyle w:val="FirstFooter"/>
            <w:tabs>
              <w:tab w:val="left" w:pos="2302"/>
            </w:tabs>
            <w:rPr>
              <w:sz w:val="18"/>
              <w:szCs w:val="18"/>
              <w:lang w:val="en-US"/>
            </w:rPr>
          </w:pPr>
          <w:r w:rsidRPr="00E62753">
            <w:rPr>
              <w:sz w:val="18"/>
              <w:szCs w:val="18"/>
              <w:lang w:val="fr-CH"/>
            </w:rPr>
            <w:t>Numéro de téléphone:</w:t>
          </w:r>
        </w:p>
      </w:tc>
      <w:tc>
        <w:tcPr>
          <w:tcW w:w="5919" w:type="dxa"/>
        </w:tcPr>
        <w:p w14:paraId="6CE1B2A9" w14:textId="2FD651CD" w:rsidR="00D2765B" w:rsidRPr="00D2765B" w:rsidRDefault="00D2765B" w:rsidP="00D2765B">
          <w:pPr>
            <w:pStyle w:val="FirstFooter"/>
            <w:tabs>
              <w:tab w:val="left" w:pos="2302"/>
            </w:tabs>
            <w:rPr>
              <w:sz w:val="18"/>
              <w:szCs w:val="18"/>
              <w:highlight w:val="yellow"/>
              <w:lang w:val="en-US"/>
            </w:rPr>
          </w:pPr>
          <w:r w:rsidRPr="00D2765B">
            <w:rPr>
              <w:sz w:val="18"/>
              <w:szCs w:val="18"/>
            </w:rPr>
            <w:t>+41 22 730 6350</w:t>
          </w:r>
        </w:p>
      </w:tc>
    </w:tr>
    <w:tr w:rsidR="001B030A" w:rsidRPr="00CB110F" w14:paraId="336F05F8" w14:textId="77777777" w:rsidTr="005539C3">
      <w:tc>
        <w:tcPr>
          <w:tcW w:w="1526" w:type="dxa"/>
        </w:tcPr>
        <w:p w14:paraId="10E74C07" w14:textId="77777777" w:rsidR="001B030A" w:rsidRPr="00CB110F" w:rsidRDefault="001B030A" w:rsidP="001B030A">
          <w:pPr>
            <w:pStyle w:val="FirstFooter"/>
            <w:tabs>
              <w:tab w:val="left" w:pos="1559"/>
              <w:tab w:val="left" w:pos="3828"/>
            </w:tabs>
            <w:rPr>
              <w:sz w:val="20"/>
              <w:lang w:val="en-US"/>
            </w:rPr>
          </w:pPr>
        </w:p>
      </w:tc>
      <w:tc>
        <w:tcPr>
          <w:tcW w:w="2410" w:type="dxa"/>
        </w:tcPr>
        <w:p w14:paraId="145C550E"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3537A984" w14:textId="528CF2B3" w:rsidR="001B030A" w:rsidRPr="00B80715" w:rsidRDefault="00D2765B" w:rsidP="001B030A">
          <w:pPr>
            <w:pStyle w:val="FirstFooter"/>
            <w:tabs>
              <w:tab w:val="left" w:pos="2302"/>
            </w:tabs>
            <w:rPr>
              <w:sz w:val="18"/>
              <w:szCs w:val="18"/>
              <w:lang w:val="en-US"/>
            </w:rPr>
          </w:pPr>
          <w:hyperlink r:id="rId1" w:history="1">
            <w:r w:rsidRPr="00E166B4">
              <w:rPr>
                <w:rStyle w:val="Hyperlink"/>
                <w:sz w:val="18"/>
                <w:szCs w:val="18"/>
                <w:lang w:val="en-US"/>
              </w:rPr>
              <w:t>carmen.prado@itu.int</w:t>
            </w:r>
          </w:hyperlink>
        </w:p>
      </w:tc>
    </w:tr>
  </w:tbl>
  <w:p w14:paraId="4830D301"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657ECEF7" w14:textId="00DD77B8" w:rsidR="00D2765B" w:rsidRPr="0099768B" w:rsidRDefault="00D2765B" w:rsidP="00D2765B">
      <w:pPr>
        <w:pStyle w:val="FootnoteText"/>
        <w:spacing w:before="0"/>
        <w:rPr>
          <w:sz w:val="20"/>
        </w:rPr>
      </w:pPr>
      <w:r w:rsidRPr="0099768B">
        <w:rPr>
          <w:rStyle w:val="FootnoteReference"/>
          <w:sz w:val="20"/>
          <w:lang w:val="fr-FR"/>
        </w:rPr>
        <w:footnoteRef/>
      </w:r>
      <w:r w:rsidR="00A6015A">
        <w:rPr>
          <w:lang w:val="fr-FR"/>
        </w:rPr>
        <w:tab/>
      </w:r>
      <w:hyperlink r:id="rId1" w:anchor="/fr" w:history="1">
        <w:r w:rsidR="00A6015A" w:rsidRPr="00114334">
          <w:rPr>
            <w:rStyle w:val="Hyperlink"/>
            <w:lang w:val="fr-FR"/>
          </w:rPr>
          <w:t>https://www.itu.int/en/council/Page</w:t>
        </w:r>
        <w:r w:rsidR="00A6015A" w:rsidRPr="00114334">
          <w:rPr>
            <w:rStyle w:val="Hyperlink"/>
            <w:lang w:val="fr-FR"/>
          </w:rPr>
          <w:t>s</w:t>
        </w:r>
        <w:r w:rsidR="00A6015A" w:rsidRPr="00114334">
          <w:rPr>
            <w:rStyle w:val="Hyperlink"/>
            <w:lang w:val="fr-FR"/>
          </w:rPr>
          <w:t>/eg-itrs.aspx</w:t>
        </w:r>
      </w:hyperlink>
      <w:r w:rsidR="00A6015A" w:rsidRPr="00A6015A">
        <w:t>.</w:t>
      </w:r>
    </w:p>
  </w:footnote>
  <w:footnote w:id="2">
    <w:p w14:paraId="4CD6D7AF" w14:textId="3607E4B3" w:rsidR="00D2765B" w:rsidRPr="002A1A71" w:rsidRDefault="00D2765B" w:rsidP="00D2765B">
      <w:pPr>
        <w:pStyle w:val="FootnoteText"/>
        <w:spacing w:before="0"/>
        <w:rPr>
          <w:sz w:val="20"/>
          <w:lang w:val="fr-FR"/>
        </w:rPr>
      </w:pPr>
      <w:r w:rsidRPr="0099768B">
        <w:rPr>
          <w:rStyle w:val="FootnoteReference"/>
          <w:sz w:val="20"/>
          <w:lang w:val="fr-FR"/>
        </w:rPr>
        <w:footnoteRef/>
      </w:r>
      <w:r w:rsidR="00A6015A">
        <w:rPr>
          <w:lang w:val="fr-FR"/>
        </w:rPr>
        <w:tab/>
      </w:r>
      <w:r>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BFBB5D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D2765B">
      <w:rPr>
        <w:sz w:val="22"/>
        <w:szCs w:val="22"/>
        <w:lang w:val="de-CH"/>
      </w:rPr>
      <w:t>27</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357019">
    <w:abstractNumId w:val="0"/>
  </w:num>
  <w:num w:numId="2" w16cid:durableId="5100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0EC4"/>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463FA"/>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6A5"/>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C49D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2CFD"/>
    <w:rsid w:val="00A53E7C"/>
    <w:rsid w:val="00A60087"/>
    <w:rsid w:val="00A6015A"/>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2765B"/>
    <w:rsid w:val="00D35BDD"/>
    <w:rsid w:val="00D63006"/>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D6D97"/>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457BF"/>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46-F.pdf" TargetMode="External"/><Relationship Id="rId18" Type="http://schemas.openxmlformats.org/officeDocument/2006/relationships/hyperlink" Target="https://www.itu.int/md/S25-EGITRS4-C/en" TargetMode="External"/><Relationship Id="rId26" Type="http://schemas.openxmlformats.org/officeDocument/2006/relationships/hyperlink" Target="https://www.itu.int/md/S24-EGITRS3-C-0005/en" TargetMode="External"/><Relationship Id="rId39" Type="http://schemas.openxmlformats.org/officeDocument/2006/relationships/header" Target="header1.xml"/><Relationship Id="rId21" Type="http://schemas.openxmlformats.org/officeDocument/2006/relationships/hyperlink" Target="https://www.itu.int/md/S24-EGITRS3-C-0006/en" TargetMode="External"/><Relationship Id="rId34" Type="http://schemas.openxmlformats.org/officeDocument/2006/relationships/hyperlink" Target="https://www.itu.int/md/S25-EGITRS4-C-0007/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EGITRS4-C-0009/en" TargetMode="External"/><Relationship Id="rId20" Type="http://schemas.openxmlformats.org/officeDocument/2006/relationships/hyperlink" Target="https://www.itu.int/md/S24-EGITRS3-C-0002/en" TargetMode="External"/><Relationship Id="rId29" Type="http://schemas.openxmlformats.org/officeDocument/2006/relationships/hyperlink" Target="https://www.itu.int/md/S24-EGITRS3-C-000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24-EGITRS3-C-0009/en" TargetMode="External"/><Relationship Id="rId32" Type="http://schemas.openxmlformats.org/officeDocument/2006/relationships/hyperlink" Target="https://www.itu.int/md/S25-EGITRS4-C-0002/en" TargetMode="External"/><Relationship Id="rId37" Type="http://schemas.openxmlformats.org/officeDocument/2006/relationships/hyperlink" Target="https://www.itu.int/md/S25-EGITRS4-C-0005/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EGITRS3-C-0012/en" TargetMode="External"/><Relationship Id="rId23" Type="http://schemas.openxmlformats.org/officeDocument/2006/relationships/hyperlink" Target="https://www.itu.int/md/S24-EGITRS3-C-0007/en" TargetMode="External"/><Relationship Id="rId28" Type="http://schemas.openxmlformats.org/officeDocument/2006/relationships/hyperlink" Target="https://www.itu.int/md/S24-EGITRS3-C-0010/en" TargetMode="External"/><Relationship Id="rId36" Type="http://schemas.openxmlformats.org/officeDocument/2006/relationships/hyperlink" Target="https://www.itu.int/md/S25-EGITRS4-C-0004/en" TargetMode="External"/><Relationship Id="rId10" Type="http://schemas.openxmlformats.org/officeDocument/2006/relationships/endnotes" Target="endnotes.xml"/><Relationship Id="rId19" Type="http://schemas.openxmlformats.org/officeDocument/2006/relationships/hyperlink" Target="https://www.itu.int/md/S24-EGITRS3-C-0001/en" TargetMode="External"/><Relationship Id="rId31" Type="http://schemas.openxmlformats.org/officeDocument/2006/relationships/hyperlink" Target="https://www.itu.int/md/S25-EGITRS4-C-000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21/en" TargetMode="External"/><Relationship Id="rId22" Type="http://schemas.openxmlformats.org/officeDocument/2006/relationships/hyperlink" Target="https://www.itu.int/md/S24-EGITRS3-C-0011/en" TargetMode="External"/><Relationship Id="rId27" Type="http://schemas.openxmlformats.org/officeDocument/2006/relationships/hyperlink" Target="https://www.itu.int/md/S24-EGITRS3-C-0008/en" TargetMode="External"/><Relationship Id="rId30" Type="http://schemas.openxmlformats.org/officeDocument/2006/relationships/hyperlink" Target="https://www.itu.int/md/S24-EGITRS3-C-0010/en" TargetMode="External"/><Relationship Id="rId35" Type="http://schemas.openxmlformats.org/officeDocument/2006/relationships/hyperlink" Target="https://www.itu.int/md/S25-EGITRS4-C-0003/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4-EGITRS3-C/en" TargetMode="External"/><Relationship Id="rId25" Type="http://schemas.openxmlformats.org/officeDocument/2006/relationships/hyperlink" Target="https://www.itu.int/md/S24-EGITRS3-C-0003/en" TargetMode="External"/><Relationship Id="rId33" Type="http://schemas.openxmlformats.org/officeDocument/2006/relationships/hyperlink" Target="https://www.itu.int/md/S25-EGITRS4-C-0006/en" TargetMode="External"/><Relationship Id="rId38" Type="http://schemas.openxmlformats.org/officeDocument/2006/relationships/hyperlink" Target="https://www.itu.int/md/S25-EGITRS4-C-000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rmen.prad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6" ma:contentTypeDescription="Create a new document." ma:contentTypeScope="" ma:versionID="8d19e94cc8f313a2753b8e875c6c6465">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95f25f00cda8fb3a6ea1b2cf923cfbbd"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87F7-DB15-48FE-BB40-E4CDED220886}"/>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1099</Words>
  <Characters>7704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2025-04-25T10:16:00Z</dcterms:created>
  <dcterms:modified xsi:type="dcterms:W3CDTF">2025-04-25T13:48:00Z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