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215A5C49" w14:textId="77777777" w:rsidTr="00AD1E92">
        <w:trPr>
          <w:cantSplit/>
          <w:trHeight w:val="1310"/>
          <w:jc w:val="center"/>
        </w:trPr>
        <w:tc>
          <w:tcPr>
            <w:tcW w:w="1699" w:type="dxa"/>
            <w:tcBorders>
              <w:bottom w:val="single" w:sz="12" w:space="0" w:color="auto"/>
            </w:tcBorders>
            <w:vAlign w:val="center"/>
          </w:tcPr>
          <w:p w14:paraId="3A2DF1DB"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2D062329" wp14:editId="5F7FAC97">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0FA43AE0"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2A734E76"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2495C95B"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400D0EBF" wp14:editId="4FFB92D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35A2F4E" w14:textId="77777777" w:rsidTr="00AD1E92">
        <w:trPr>
          <w:cantSplit/>
          <w:jc w:val="center"/>
        </w:trPr>
        <w:tc>
          <w:tcPr>
            <w:tcW w:w="6660" w:type="dxa"/>
            <w:gridSpan w:val="2"/>
            <w:tcBorders>
              <w:top w:val="single" w:sz="12" w:space="0" w:color="auto"/>
            </w:tcBorders>
          </w:tcPr>
          <w:p w14:paraId="22932726"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0251B35A" w14:textId="77777777" w:rsidR="00CA08BA" w:rsidRPr="00C85CB5" w:rsidRDefault="00CA08BA" w:rsidP="00B93B7B">
            <w:pPr>
              <w:spacing w:before="20" w:after="20" w:line="300" w:lineRule="exact"/>
              <w:rPr>
                <w:b/>
                <w:bCs/>
                <w:highlight w:val="yellow"/>
                <w:rtl/>
                <w:lang w:bidi="ar-EG"/>
              </w:rPr>
            </w:pPr>
          </w:p>
        </w:tc>
      </w:tr>
      <w:tr w:rsidR="00783A69" w:rsidRPr="00783A69" w14:paraId="64744277" w14:textId="77777777" w:rsidTr="00AD1E92">
        <w:trPr>
          <w:cantSplit/>
          <w:jc w:val="center"/>
        </w:trPr>
        <w:tc>
          <w:tcPr>
            <w:tcW w:w="6660" w:type="dxa"/>
            <w:gridSpan w:val="2"/>
          </w:tcPr>
          <w:p w14:paraId="05D5923E" w14:textId="77777777" w:rsidR="00783A69" w:rsidRPr="00783A69" w:rsidRDefault="00783A69" w:rsidP="00B93B7B">
            <w:pPr>
              <w:spacing w:before="20" w:after="20" w:line="300" w:lineRule="exact"/>
              <w:rPr>
                <w:b/>
                <w:bCs/>
                <w:rtl/>
                <w:lang w:bidi="ar-EG"/>
              </w:rPr>
            </w:pPr>
          </w:p>
        </w:tc>
        <w:tc>
          <w:tcPr>
            <w:tcW w:w="2979" w:type="dxa"/>
            <w:gridSpan w:val="2"/>
          </w:tcPr>
          <w:p w14:paraId="6D5802E7" w14:textId="3F6C108B"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655782">
              <w:rPr>
                <w:b/>
                <w:bCs/>
                <w:lang w:bidi="ar-EG"/>
              </w:rPr>
              <w:t>27</w:t>
            </w:r>
            <w:r w:rsidRPr="00153471">
              <w:rPr>
                <w:b/>
                <w:bCs/>
                <w:lang w:bidi="ar-EG"/>
              </w:rPr>
              <w:t>-A</w:t>
            </w:r>
          </w:p>
        </w:tc>
      </w:tr>
      <w:tr w:rsidR="00783A69" w:rsidRPr="00783A69" w14:paraId="6A3E7563" w14:textId="77777777" w:rsidTr="00AD1E92">
        <w:trPr>
          <w:cantSplit/>
          <w:jc w:val="center"/>
        </w:trPr>
        <w:tc>
          <w:tcPr>
            <w:tcW w:w="6660" w:type="dxa"/>
            <w:gridSpan w:val="2"/>
          </w:tcPr>
          <w:p w14:paraId="5B26B475" w14:textId="77777777" w:rsidR="00783A69" w:rsidRPr="00783A69" w:rsidRDefault="00783A69" w:rsidP="00B93B7B">
            <w:pPr>
              <w:spacing w:before="20" w:after="20" w:line="300" w:lineRule="exact"/>
              <w:rPr>
                <w:b/>
                <w:bCs/>
              </w:rPr>
            </w:pPr>
          </w:p>
        </w:tc>
        <w:tc>
          <w:tcPr>
            <w:tcW w:w="2979" w:type="dxa"/>
            <w:gridSpan w:val="2"/>
          </w:tcPr>
          <w:p w14:paraId="76E5D58D" w14:textId="1BB350E1" w:rsidR="00783A69" w:rsidRPr="00C85CB5" w:rsidRDefault="00655782" w:rsidP="00B319BC">
            <w:pPr>
              <w:spacing w:before="20" w:after="20" w:line="300" w:lineRule="exact"/>
              <w:rPr>
                <w:b/>
                <w:bCs/>
                <w:highlight w:val="yellow"/>
                <w:rtl/>
              </w:rPr>
            </w:pPr>
            <w:r>
              <w:rPr>
                <w:b/>
                <w:bCs/>
                <w:lang w:bidi="ar-EG"/>
              </w:rPr>
              <w:t>1</w:t>
            </w:r>
            <w:r w:rsidR="00783A69" w:rsidRPr="006B266A">
              <w:rPr>
                <w:rFonts w:hint="cs"/>
                <w:b/>
                <w:bCs/>
                <w:rtl/>
                <w:lang w:bidi="ar-EG"/>
              </w:rPr>
              <w:t xml:space="preserve"> </w:t>
            </w:r>
            <w:r>
              <w:rPr>
                <w:rFonts w:hint="cs"/>
                <w:b/>
                <w:bCs/>
                <w:rtl/>
                <w:lang w:bidi="ar-EG"/>
              </w:rPr>
              <w:t>أبريل</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0B89D658" w14:textId="77777777" w:rsidTr="00AD1E92">
        <w:trPr>
          <w:cantSplit/>
          <w:jc w:val="center"/>
        </w:trPr>
        <w:tc>
          <w:tcPr>
            <w:tcW w:w="6660" w:type="dxa"/>
            <w:gridSpan w:val="2"/>
          </w:tcPr>
          <w:p w14:paraId="792A37D8" w14:textId="77777777" w:rsidR="00783A69" w:rsidRPr="00783A69" w:rsidRDefault="00783A69" w:rsidP="00B93B7B">
            <w:pPr>
              <w:spacing w:before="20" w:after="20" w:line="300" w:lineRule="exact"/>
              <w:rPr>
                <w:b/>
                <w:bCs/>
                <w:lang w:bidi="ar-EG"/>
              </w:rPr>
            </w:pPr>
          </w:p>
        </w:tc>
        <w:tc>
          <w:tcPr>
            <w:tcW w:w="2979" w:type="dxa"/>
            <w:gridSpan w:val="2"/>
          </w:tcPr>
          <w:p w14:paraId="63AD5459"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45381D90" w14:textId="77777777" w:rsidTr="00EE5CF2">
        <w:trPr>
          <w:cantSplit/>
          <w:jc w:val="center"/>
        </w:trPr>
        <w:tc>
          <w:tcPr>
            <w:tcW w:w="9639" w:type="dxa"/>
            <w:gridSpan w:val="4"/>
          </w:tcPr>
          <w:p w14:paraId="41F092AF" w14:textId="07752365" w:rsidR="00783A69" w:rsidRPr="00655782" w:rsidRDefault="00655782" w:rsidP="00655782">
            <w:pPr>
              <w:pStyle w:val="Source"/>
            </w:pPr>
            <w:r w:rsidRPr="00655782">
              <w:rPr>
                <w:rtl/>
                <w:lang w:bidi="ar-EG"/>
              </w:rPr>
              <w:t>مدير مكتب تنمية الاتصالات</w:t>
            </w:r>
          </w:p>
        </w:tc>
      </w:tr>
      <w:tr w:rsidR="00783A69" w:rsidRPr="00783A69" w14:paraId="7D3DBAE1" w14:textId="77777777" w:rsidTr="00EE5CF2">
        <w:trPr>
          <w:cantSplit/>
          <w:jc w:val="center"/>
        </w:trPr>
        <w:tc>
          <w:tcPr>
            <w:tcW w:w="9639" w:type="dxa"/>
            <w:gridSpan w:val="4"/>
          </w:tcPr>
          <w:p w14:paraId="14D2FCED" w14:textId="131953FC" w:rsidR="00783A69" w:rsidRPr="00655782" w:rsidRDefault="00655782" w:rsidP="00655782">
            <w:pPr>
              <w:pStyle w:val="Title1"/>
            </w:pPr>
            <w:r w:rsidRPr="00655782">
              <w:rPr>
                <w:rtl/>
                <w:lang w:bidi="ar-EG"/>
              </w:rPr>
              <w:t>تقرير عن عمل فريق الخبراء المعني بلوائح الاتصالات الدولية (</w:t>
            </w:r>
            <w:r w:rsidRPr="00655782">
              <w:rPr>
                <w:lang w:bidi="ar-EG"/>
              </w:rPr>
              <w:t>EG-ITR</w:t>
            </w:r>
            <w:r w:rsidRPr="00655782">
              <w:rPr>
                <w:rtl/>
                <w:lang w:bidi="ar-EG"/>
              </w:rPr>
              <w:t xml:space="preserve">) </w:t>
            </w:r>
            <w:r>
              <w:rPr>
                <w:lang w:bidi="ar-EG"/>
              </w:rPr>
              <w:br/>
            </w:r>
            <w:r w:rsidRPr="00655782">
              <w:rPr>
                <w:rtl/>
                <w:lang w:bidi="ar-EG"/>
              </w:rPr>
              <w:t>إلى الفريق الاستشاري لتنمية الاتصالات</w:t>
            </w:r>
          </w:p>
        </w:tc>
      </w:tr>
    </w:tbl>
    <w:p w14:paraId="44373F13"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06132BA3"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167BA721"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20C74DB2" w14:textId="1B1ED6A7" w:rsidR="00783A69" w:rsidRPr="006F74E3" w:rsidRDefault="00655782" w:rsidP="006F74E3">
            <w:pPr>
              <w:rPr>
                <w:rtl/>
              </w:rPr>
            </w:pPr>
            <w:r w:rsidRPr="006F74E3">
              <w:rPr>
                <w:rtl/>
              </w:rPr>
              <w:t>يعرض هذا التقرير المرحلي النتائج الرئيسية للاجتماعين الثالث والرابع لفريق الخبراء المعني بلوائح الاتصالات الدولية اللذين عقدا في الفترة من ‎30 ‏سبتمبر إلى 1 أكتوبر ‎2024 ‏ومن ‎20 إلى21 ‏فبراير ‎2025 ‏على التوالي.‎ ونُظم هذان الاجتماعان وفقاً للقرار 146 (المرا</w:t>
            </w:r>
            <w:r w:rsidR="006F74E3">
              <w:rPr>
                <w:rFonts w:hint="cs"/>
                <w:rtl/>
              </w:rPr>
              <w:t>جَ</w:t>
            </w:r>
            <w:r w:rsidRPr="006F74E3">
              <w:rPr>
                <w:rtl/>
              </w:rPr>
              <w:t>ع في بوخارست، 2022) لمؤتمر المندوبين المفوضين وقرار المجلس 1379 (المعد</w:t>
            </w:r>
            <w:r w:rsidR="006F74E3">
              <w:rPr>
                <w:rFonts w:hint="cs"/>
                <w:rtl/>
              </w:rPr>
              <w:t>ّ</w:t>
            </w:r>
            <w:r w:rsidRPr="006F74E3">
              <w:rPr>
                <w:rtl/>
              </w:rPr>
              <w:t>ل في عام 2023).</w:t>
            </w:r>
          </w:p>
          <w:p w14:paraId="18FC5BB1" w14:textId="77777777" w:rsidR="00783A69" w:rsidRPr="006F74E3" w:rsidRDefault="00783A69" w:rsidP="006F74E3">
            <w:pPr>
              <w:rPr>
                <w:b/>
                <w:bCs/>
                <w:rtl/>
              </w:rPr>
            </w:pPr>
            <w:r w:rsidRPr="006F74E3">
              <w:rPr>
                <w:rFonts w:hint="cs"/>
                <w:b/>
                <w:bCs/>
                <w:rtl/>
              </w:rPr>
              <w:t>الإجراء المطلوب</w:t>
            </w:r>
            <w:r w:rsidR="005874F2" w:rsidRPr="006F74E3">
              <w:rPr>
                <w:rFonts w:hint="cs"/>
                <w:b/>
                <w:bCs/>
                <w:rtl/>
              </w:rPr>
              <w:t>:</w:t>
            </w:r>
          </w:p>
          <w:p w14:paraId="0243FD42" w14:textId="21ABC571" w:rsidR="00655782" w:rsidRPr="006F74E3" w:rsidRDefault="00655782" w:rsidP="006F74E3">
            <w:pPr>
              <w:rPr>
                <w:rtl/>
                <w:lang w:bidi="ar-EG"/>
              </w:rPr>
            </w:pPr>
            <w:r w:rsidRPr="006F74E3">
              <w:rPr>
                <w:rtl/>
                <w:lang w:bidi="ar-EG"/>
              </w:rPr>
              <w:t xml:space="preserve">وفقاً للقرار </w:t>
            </w:r>
            <w:r w:rsidRPr="006F74E3">
              <w:rPr>
                <w:cs/>
                <w:lang w:bidi="ar-EG"/>
              </w:rPr>
              <w:t>‎</w:t>
            </w:r>
            <w:r w:rsidRPr="006F74E3">
              <w:rPr>
                <w:lang w:bidi="ar-EG"/>
              </w:rPr>
              <w:t>146</w:t>
            </w:r>
            <w:r w:rsidRPr="006F74E3">
              <w:rPr>
                <w:rtl/>
                <w:lang w:bidi="ar-EG"/>
              </w:rPr>
              <w:t xml:space="preserve"> (‏المراجَع في بوخارست، </w:t>
            </w:r>
            <w:r w:rsidRPr="006F74E3">
              <w:rPr>
                <w:cs/>
                <w:lang w:bidi="ar-EG"/>
              </w:rPr>
              <w:t>‎</w:t>
            </w:r>
            <w:r w:rsidRPr="006F74E3">
              <w:rPr>
                <w:lang w:bidi="ar-EG"/>
              </w:rPr>
              <w:t>2022</w:t>
            </w:r>
            <w:r w:rsidRPr="006F74E3">
              <w:rPr>
                <w:rtl/>
                <w:lang w:bidi="ar-EG"/>
              </w:rPr>
              <w:t>) الذي "</w:t>
            </w:r>
            <w:r w:rsidR="007B4563">
              <w:rPr>
                <w:rFonts w:hint="cs"/>
                <w:rtl/>
                <w:lang w:bidi="ar-EG"/>
              </w:rPr>
              <w:t> </w:t>
            </w:r>
            <w:r w:rsidRPr="006F74E3">
              <w:rPr>
                <w:i/>
                <w:iCs/>
                <w:rtl/>
                <w:lang w:bidi="ar-EG"/>
              </w:rPr>
              <w:t xml:space="preserve">يكلف مديري المكاتب، كل في مجال اختصاصه، وبمشورة من الفريق الاستشاري ذي الصلة، بالمساهمة في أنشطة فريق الخبراء علماً بأن عمل قطاع تقييس الاتصالات بالاتحاد </w:t>
            </w:r>
            <w:r w:rsidRPr="006F74E3">
              <w:rPr>
                <w:i/>
                <w:iCs/>
                <w:lang w:bidi="ar-EG"/>
              </w:rPr>
              <w:t>ITU-T</w:t>
            </w:r>
            <w:r w:rsidR="006F74E3" w:rsidRPr="006F74E3">
              <w:rPr>
                <w:i/>
                <w:iCs/>
                <w:lang w:bidi="ar-EG"/>
              </w:rPr>
              <w:t>)</w:t>
            </w:r>
            <w:r w:rsidRPr="006F74E3">
              <w:rPr>
                <w:i/>
                <w:iCs/>
                <w:rtl/>
                <w:lang w:bidi="ar-EG"/>
              </w:rPr>
              <w:t>) هو الأقرب صلة بلوائح الاتصالات الدولية."</w:t>
            </w:r>
          </w:p>
          <w:p w14:paraId="2456475B" w14:textId="05577BF6" w:rsidR="004F0F62" w:rsidRPr="006F74E3" w:rsidRDefault="00655782" w:rsidP="006F74E3">
            <w:pPr>
              <w:rPr>
                <w:rtl/>
              </w:rPr>
            </w:pPr>
            <w:r w:rsidRPr="006F74E3">
              <w:rPr>
                <w:rtl/>
                <w:lang w:bidi="ar-EG"/>
              </w:rPr>
              <w:t>يُدعى الفريق الاستشاري لتنمية الاتصالات (</w:t>
            </w:r>
            <w:r w:rsidRPr="006F74E3">
              <w:rPr>
                <w:lang w:bidi="ar-EG"/>
              </w:rPr>
              <w:t>TDAG</w:t>
            </w:r>
            <w:r w:rsidRPr="006F74E3">
              <w:rPr>
                <w:rtl/>
                <w:lang w:bidi="ar-EG"/>
              </w:rPr>
              <w:t>) إلى أخذ العلم بهذه الوثيقة.</w:t>
            </w:r>
          </w:p>
          <w:p w14:paraId="1CFC2E6D"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770C1ACC" w14:textId="69BF094A" w:rsidR="00655782" w:rsidRPr="006F74E3" w:rsidRDefault="00303F3D" w:rsidP="006F74E3">
            <w:pPr>
              <w:rPr>
                <w:rtl/>
                <w:lang w:val="en-GB" w:bidi="ar-EG"/>
              </w:rPr>
            </w:pPr>
            <w:hyperlink r:id="rId10" w:history="1">
              <w:r w:rsidR="00655782" w:rsidRPr="006F74E3">
                <w:rPr>
                  <w:rStyle w:val="Hyperlink"/>
                  <w:rtl/>
                  <w:lang w:val="en-GB" w:bidi="ar-EG"/>
                </w:rPr>
                <w:t xml:space="preserve">القرار </w:t>
              </w:r>
              <w:r w:rsidR="00655782" w:rsidRPr="006F74E3">
                <w:rPr>
                  <w:rStyle w:val="Hyperlink"/>
                  <w:lang w:val="en-GB" w:bidi="ar-EG"/>
                </w:rPr>
                <w:t>146</w:t>
              </w:r>
              <w:r w:rsidR="00655782" w:rsidRPr="006F74E3">
                <w:rPr>
                  <w:rStyle w:val="Hyperlink"/>
                  <w:rtl/>
                  <w:lang w:val="en-GB" w:bidi="ar-EG"/>
                </w:rPr>
                <w:t xml:space="preserve"> (المراجَع في بوخارست، 2022)</w:t>
              </w:r>
            </w:hyperlink>
            <w:r w:rsidR="00655782" w:rsidRPr="006F74E3">
              <w:rPr>
                <w:rtl/>
                <w:lang w:val="en-GB" w:bidi="ar-EG"/>
              </w:rPr>
              <w:t>: الاستعراض الدوري للوائح الاتصالات الدولية.</w:t>
            </w:r>
          </w:p>
          <w:p w14:paraId="118DC033" w14:textId="407A65E4" w:rsidR="00783A69" w:rsidRPr="00153471" w:rsidRDefault="00303F3D" w:rsidP="00303F3D">
            <w:pPr>
              <w:spacing w:after="120"/>
              <w:rPr>
                <w:rtl/>
              </w:rPr>
            </w:pPr>
            <w:hyperlink r:id="rId11" w:history="1">
              <w:r w:rsidR="00655782" w:rsidRPr="006F74E3">
                <w:rPr>
                  <w:rStyle w:val="Hyperlink"/>
                  <w:rtl/>
                  <w:lang w:val="en-GB" w:bidi="ar-EG"/>
                </w:rPr>
                <w:t>قرار المجلس 1379 (المعدّل في 2023)</w:t>
              </w:r>
            </w:hyperlink>
            <w:r w:rsidR="00655782" w:rsidRPr="006F74E3">
              <w:rPr>
                <w:rtl/>
                <w:lang w:val="en-GB" w:bidi="ar-EG"/>
              </w:rPr>
              <w:t>: (</w:t>
            </w:r>
            <w:r w:rsidR="00655782" w:rsidRPr="006F74E3">
              <w:rPr>
                <w:lang w:val="en-GB" w:bidi="ar-EG"/>
              </w:rPr>
              <w:t>EG-ITR</w:t>
            </w:r>
            <w:r w:rsidR="00655782" w:rsidRPr="006F74E3">
              <w:rPr>
                <w:rtl/>
                <w:lang w:val="en-GB" w:bidi="ar-EG"/>
              </w:rPr>
              <w:t>) فريق الخبراء المعني بلوائح الاتصالات الدولية</w:t>
            </w:r>
          </w:p>
        </w:tc>
      </w:tr>
    </w:tbl>
    <w:p w14:paraId="287DCE27" w14:textId="77777777" w:rsidR="00882A17" w:rsidRDefault="00882A17" w:rsidP="00303F3D">
      <w:pPr>
        <w:rPr>
          <w:lang w:bidi="ar-EG"/>
        </w:rPr>
      </w:pPr>
      <w:r>
        <w:rPr>
          <w:rtl/>
          <w:lang w:bidi="ar-EG"/>
        </w:rPr>
        <w:br w:type="page"/>
      </w:r>
    </w:p>
    <w:p w14:paraId="42BF692C" w14:textId="77777777" w:rsidR="00655782" w:rsidRPr="006F74E3" w:rsidRDefault="00655782" w:rsidP="006F74E3">
      <w:pPr>
        <w:pStyle w:val="Heading1"/>
      </w:pPr>
      <w:r w:rsidRPr="006F74E3">
        <w:rPr>
          <w:rtl/>
        </w:rPr>
        <w:lastRenderedPageBreak/>
        <w:t>1</w:t>
      </w:r>
      <w:r w:rsidRPr="006F74E3">
        <w:rPr>
          <w:rtl/>
        </w:rPr>
        <w:tab/>
        <w:t>خلفية</w:t>
      </w:r>
    </w:p>
    <w:p w14:paraId="4432A7D5" w14:textId="5861762C" w:rsidR="00655782" w:rsidRPr="006F74E3" w:rsidRDefault="00655782" w:rsidP="006F74E3">
      <w:r w:rsidRPr="006F74E3">
        <w:rPr>
          <w:rtl/>
        </w:rPr>
        <w:t xml:space="preserve">الغرض من هذه الوثيقة عرض حالة عمل فريق الخبراء المعني بلوائح الاتصالات الدولية </w:t>
      </w:r>
      <w:r w:rsidRPr="006F74E3">
        <w:t>(‎EG-ITR)</w:t>
      </w:r>
      <w:r w:rsidRPr="006F74E3">
        <w:rPr>
          <w:rStyle w:val="FootnoteReference"/>
          <w:rtl/>
        </w:rPr>
        <w:footnoteReference w:id="1"/>
      </w:r>
      <w:r w:rsidRPr="006F74E3">
        <w:rPr>
          <w:rStyle w:val="FootnoteReference"/>
          <w:rtl/>
        </w:rPr>
        <w:t>‏</w:t>
      </w:r>
      <w:r w:rsidRPr="006F74E3">
        <w:rPr>
          <w:rFonts w:hint="cs"/>
          <w:rtl/>
        </w:rPr>
        <w:t xml:space="preserve"> </w:t>
      </w:r>
      <w:r w:rsidRPr="006F74E3">
        <w:rPr>
          <w:rtl/>
        </w:rPr>
        <w:t xml:space="preserve">على النحو الذي كلفه به مؤتمر المندوبين المفوضين للاتحاد (بوخارست، ‎26 ‏سبتمبر إلى ‎14 ‏أكتوبر ‎2022) ‏بعد الموافقة على القرار ‎146 (‏المراجَع </w:t>
      </w:r>
      <w:r w:rsidR="002A0EEF" w:rsidRPr="006F74E3">
        <w:rPr>
          <w:rtl/>
        </w:rPr>
        <w:t>في</w:t>
      </w:r>
      <w:r w:rsidR="002A0EEF">
        <w:rPr>
          <w:rFonts w:hint="cs"/>
          <w:rtl/>
        </w:rPr>
        <w:t> </w:t>
      </w:r>
      <w:r w:rsidRPr="006F74E3">
        <w:rPr>
          <w:rtl/>
        </w:rPr>
        <w:t>بوخارست، ‎2022) ‏بشأن الاستعراض الدوري للوائح الاتصالات الدولية‎. ويركز هذا التقرير على النتائج الرئيسية للاجتماعين الثالث والرابع للفريق.</w:t>
      </w:r>
    </w:p>
    <w:p w14:paraId="665D70F7" w14:textId="77777777" w:rsidR="00655782" w:rsidRPr="006F74E3" w:rsidRDefault="00655782" w:rsidP="006F74E3">
      <w:pPr>
        <w:pStyle w:val="Heading1"/>
      </w:pPr>
      <w:r w:rsidRPr="006F74E3">
        <w:rPr>
          <w:rtl/>
        </w:rPr>
        <w:t>2</w:t>
      </w:r>
      <w:r w:rsidRPr="006F74E3">
        <w:rPr>
          <w:rtl/>
        </w:rPr>
        <w:tab/>
        <w:t>الاستعراض الدوري للوائح الاتصالات الدولية</w:t>
      </w:r>
    </w:p>
    <w:p w14:paraId="29C3A4B9" w14:textId="2258F1A9" w:rsidR="00655782" w:rsidRPr="006F74E3" w:rsidRDefault="00655782" w:rsidP="006F74E3">
      <w:pPr>
        <w:rPr>
          <w:lang w:bidi="ar-EG"/>
        </w:rPr>
      </w:pPr>
      <w:r w:rsidRPr="006F74E3">
        <w:rPr>
          <w:rtl/>
        </w:rPr>
        <w:t xml:space="preserve">يكلف القرار ‎146 (‏المراجَع في بوخارست، ‎2022) ‏الأمين العام بمعاودة الدعوة لاجتماع فريق خبراء معني بلوائح الاتصالات الدولية </w:t>
      </w:r>
      <w:r w:rsidRPr="006F74E3">
        <w:t>(EG-ITR)</w:t>
      </w:r>
      <w:r w:rsidRPr="006F74E3">
        <w:rPr>
          <w:rtl/>
        </w:rPr>
        <w:t>، يكون مفتوحاً للدول الأعضاء وأعضاء القطاعات في الاتحاد، ويحدد مجلس الاتحاد اختصاصاته وأساليب عمله، وبتقديم تقرير فريق الخبراء المعني بلوائح الاتصالات الدولية بشأن نتائج الاستعراض إلى المجلس للنظر فيه ونشره وتقديمه بعد ذلك إلى مؤتمر المندوبين المفوضين لعام 2026.</w:t>
      </w:r>
    </w:p>
    <w:p w14:paraId="519323C0" w14:textId="00D80875" w:rsidR="00655782" w:rsidRPr="00303F3D" w:rsidRDefault="00655782" w:rsidP="006F74E3">
      <w:pPr>
        <w:rPr>
          <w:spacing w:val="-2"/>
        </w:rPr>
      </w:pPr>
      <w:r w:rsidRPr="00303F3D">
        <w:rPr>
          <w:spacing w:val="-2"/>
          <w:rtl/>
        </w:rPr>
        <w:t>ومن المهم تأكيد أن هذا القرار "</w:t>
      </w:r>
      <w:r w:rsidR="00BB3741" w:rsidRPr="00303F3D">
        <w:rPr>
          <w:rFonts w:hint="eastAsia"/>
          <w:spacing w:val="-2"/>
          <w:rtl/>
          <w:lang w:bidi="ar-EG"/>
        </w:rPr>
        <w:t> </w:t>
      </w:r>
      <w:r w:rsidRPr="00303F3D">
        <w:rPr>
          <w:i/>
          <w:iCs/>
          <w:spacing w:val="-2"/>
          <w:rtl/>
        </w:rPr>
        <w:t xml:space="preserve">يكلف مديري المكاتب </w:t>
      </w:r>
      <w:r w:rsidRPr="00303F3D">
        <w:rPr>
          <w:i/>
          <w:iCs/>
          <w:spacing w:val="-2"/>
        </w:rPr>
        <w:t>(1</w:t>
      </w:r>
      <w:r w:rsidRPr="00303F3D">
        <w:rPr>
          <w:i/>
          <w:iCs/>
          <w:spacing w:val="-2"/>
          <w:rtl/>
        </w:rPr>
        <w:t xml:space="preserve"> كل في مجال اختصاصه، وبمشورة من الفريق الاستشاري ذي الصلة، بالمساهمة في أنشطة فريق الخبراء علماً بأن عمل قطاع تقييس الاتصالات بالاتحاد </w:t>
      </w:r>
      <w:r w:rsidRPr="00303F3D">
        <w:rPr>
          <w:i/>
          <w:iCs/>
          <w:spacing w:val="-2"/>
        </w:rPr>
        <w:t>ITU-T)</w:t>
      </w:r>
      <w:r w:rsidRPr="00303F3D">
        <w:rPr>
          <w:i/>
          <w:iCs/>
          <w:spacing w:val="-2"/>
          <w:rtl/>
        </w:rPr>
        <w:t>) هو الأقرب صلة بلوائح الاتصالات الدولية." و2) بتقديم نتائج عملهم إلى فريق الخبراء المعني بلوائح الاتصالات الدولية؛ و3) بالنظر في تقديم منح، حسب الموارد المتاحة، إلى البلدان النامية</w:t>
      </w:r>
      <w:r w:rsidRPr="00303F3D">
        <w:rPr>
          <w:rStyle w:val="FootnoteReference"/>
          <w:i/>
          <w:iCs/>
          <w:spacing w:val="-2"/>
          <w:rtl/>
        </w:rPr>
        <w:footnoteReference w:id="2"/>
      </w:r>
      <w:r w:rsidRPr="00303F3D">
        <w:rPr>
          <w:i/>
          <w:iCs/>
          <w:spacing w:val="-2"/>
          <w:rtl/>
        </w:rPr>
        <w:t xml:space="preserve"> وأقل البلدان نمواً وفقاً للقائمة التي وضعتها الأمم المتحدة من أجل توسيع مشاركتها في فريق الخبراء</w:t>
      </w:r>
      <w:r w:rsidRPr="00303F3D">
        <w:rPr>
          <w:spacing w:val="-2"/>
          <w:rtl/>
        </w:rPr>
        <w:t>".</w:t>
      </w:r>
    </w:p>
    <w:p w14:paraId="14CF4EB9" w14:textId="77777777" w:rsidR="00655782" w:rsidRPr="006F74E3" w:rsidRDefault="00655782" w:rsidP="006F74E3">
      <w:pPr>
        <w:pStyle w:val="Heading1"/>
      </w:pPr>
      <w:r w:rsidRPr="006F74E3">
        <w:rPr>
          <w:rtl/>
        </w:rPr>
        <w:t>3</w:t>
      </w:r>
      <w:r w:rsidRPr="006F74E3">
        <w:rPr>
          <w:rtl/>
        </w:rPr>
        <w:tab/>
        <w:t>الأنشطة</w:t>
      </w:r>
    </w:p>
    <w:p w14:paraId="700BDE1B" w14:textId="3DBD0A0D" w:rsidR="00655782" w:rsidRPr="006F74E3" w:rsidRDefault="00655782" w:rsidP="006F74E3">
      <w:r w:rsidRPr="006F74E3">
        <w:rPr>
          <w:rtl/>
        </w:rPr>
        <w:t>عقد فريق الخبراء المعني بلوائح الاتصالات الدولية اجتماعيه الثالث والرابع في مقر الاتحاد بجنيف، سويسرا، الفترة من ‎30</w:t>
      </w:r>
      <w:r w:rsidR="008407C3">
        <w:rPr>
          <w:rFonts w:hint="cs"/>
          <w:rtl/>
        </w:rPr>
        <w:t> </w:t>
      </w:r>
      <w:r w:rsidRPr="006F74E3">
        <w:rPr>
          <w:rtl/>
        </w:rPr>
        <w:t xml:space="preserve">‏سبتمبر إلى 1 أكتوبر ‎2024 ‏ومن ‎20 إلى21 ‏فبراير ‎2025 على التوالي. ووافق الفريق على تقريرَي الاجتماعين </w:t>
      </w:r>
      <w:hyperlink r:id="rId12" w:history="1">
        <w:r w:rsidRPr="008407C3">
          <w:rPr>
            <w:rStyle w:val="Hyperlink"/>
            <w:rtl/>
          </w:rPr>
          <w:t>الثالث</w:t>
        </w:r>
      </w:hyperlink>
      <w:r w:rsidRPr="006F74E3">
        <w:rPr>
          <w:rtl/>
        </w:rPr>
        <w:t xml:space="preserve"> و</w:t>
      </w:r>
      <w:hyperlink r:id="rId13" w:history="1">
        <w:r w:rsidRPr="008407C3">
          <w:rPr>
            <w:rStyle w:val="Hyperlink"/>
            <w:rtl/>
          </w:rPr>
          <w:t>الرابع</w:t>
        </w:r>
      </w:hyperlink>
      <w:r w:rsidRPr="006F74E3">
        <w:rPr>
          <w:rtl/>
        </w:rPr>
        <w:t>.</w:t>
      </w:r>
    </w:p>
    <w:p w14:paraId="125495EA" w14:textId="5791B99A" w:rsidR="00655782" w:rsidRPr="00303F3D" w:rsidRDefault="00655782" w:rsidP="006F74E3">
      <w:pPr>
        <w:rPr>
          <w:spacing w:val="-4"/>
        </w:rPr>
      </w:pPr>
      <w:r w:rsidRPr="00303F3D">
        <w:rPr>
          <w:spacing w:val="-4"/>
          <w:rtl/>
        </w:rPr>
        <w:t xml:space="preserve">وفي </w:t>
      </w:r>
      <w:r w:rsidRPr="00303F3D">
        <w:rPr>
          <w:b/>
          <w:bCs/>
          <w:spacing w:val="-4"/>
          <w:rtl/>
        </w:rPr>
        <w:t>الاجتماع الثالث</w:t>
      </w:r>
      <w:r w:rsidRPr="00303F3D">
        <w:rPr>
          <w:spacing w:val="-4"/>
          <w:rtl/>
        </w:rPr>
        <w:t xml:space="preserve"> لفريق الخبراء المعني بلوائح الاتصالات الدولية، تباحث الفريق بشأن </w:t>
      </w:r>
      <w:hyperlink r:id="rId14" w:history="1">
        <w:r w:rsidRPr="00303F3D">
          <w:rPr>
            <w:rStyle w:val="Hyperlink"/>
            <w:spacing w:val="-4"/>
            <w:rtl/>
          </w:rPr>
          <w:t>المساهمات الواردة</w:t>
        </w:r>
      </w:hyperlink>
      <w:r w:rsidRPr="00303F3D">
        <w:rPr>
          <w:spacing w:val="-4"/>
          <w:rtl/>
        </w:rPr>
        <w:t>، بما في ذلك المساهمات المتعلقة بالاتجاهات الجديدة التي قد تؤثر على لوائح الاتصالات الدولية، والبيانات التجريبية بشأن الاستخدام الحالي للوائح الاتصالات الدولية، وشكل ومحتوى التقرير النهائي للفريق المقدَّم إلى المجلس في دورته لعام 2026، والمساهمات العامة الأخرى.</w:t>
      </w:r>
    </w:p>
    <w:p w14:paraId="5207FF42" w14:textId="04B61008" w:rsidR="00655782" w:rsidRPr="006F74E3" w:rsidRDefault="00655782" w:rsidP="006F74E3">
      <w:r w:rsidRPr="006F74E3">
        <w:rPr>
          <w:rtl/>
        </w:rPr>
        <w:t xml:space="preserve">وفي </w:t>
      </w:r>
      <w:r w:rsidRPr="00712686">
        <w:rPr>
          <w:b/>
          <w:bCs/>
          <w:rtl/>
        </w:rPr>
        <w:t>الاجتماع الرابع</w:t>
      </w:r>
      <w:r w:rsidRPr="006F74E3">
        <w:rPr>
          <w:rtl/>
        </w:rPr>
        <w:t xml:space="preserve"> لفريق الخبراء المعني بلوائح الاتصالات الدولية، تباحث الفريق بشأن </w:t>
      </w:r>
      <w:hyperlink r:id="rId15" w:history="1">
        <w:r w:rsidRPr="00712686">
          <w:rPr>
            <w:rStyle w:val="Hyperlink"/>
            <w:rtl/>
          </w:rPr>
          <w:t>المساهمات الواردة</w:t>
        </w:r>
      </w:hyperlink>
      <w:r w:rsidRPr="006F74E3">
        <w:rPr>
          <w:rtl/>
        </w:rPr>
        <w:t>، ووافق الاجتماع على الخطوط العريضة للتقرير النهائي المقدَّم إلى المجلس في دورته لعام 2026 على النحو الوارد في الملحق 1 بتقرير الاجتماع الرابع. وطلب الفريق أيضاً أن يقوم فريق الإدارة والأمانة بإعداد مشروع نسخة أولى من التقرير النهائي قبل شهر واحد على الأقل من الاجتماع المقبل لفريق الخبراء المعني بلوائح الاتصالات الدولية. كما أرفق بيانان من شركة هيل (</w:t>
      </w:r>
      <w:r w:rsidRPr="006F74E3">
        <w:t>Hill</w:t>
      </w:r>
      <w:r w:rsidRPr="006F74E3">
        <w:rPr>
          <w:rtl/>
        </w:rPr>
        <w:t>) وكندا على التوالي كالملحقين 2 و3 بتقرير الاجتماع الرابع.</w:t>
      </w:r>
    </w:p>
    <w:p w14:paraId="528C2233" w14:textId="2DFF65A1" w:rsidR="00303F3D" w:rsidRPr="006F74E3" w:rsidRDefault="00655782" w:rsidP="00303F3D">
      <w:r w:rsidRPr="006F74E3">
        <w:rPr>
          <w:rtl/>
        </w:rPr>
        <w:t>‏وبالنظر إلى جدول أعمال العمل والمساهمات الواردة إلى اجتماعات فريق الخبراء المعني بلوائح الاتصالات الدولية، لم تكن هناك أي قضايا محددة تتطلب تدخل مكتب تنمية الاتصالات.‎</w:t>
      </w:r>
    </w:p>
    <w:p w14:paraId="6496919F" w14:textId="77777777" w:rsidR="00655782" w:rsidRPr="006F74E3" w:rsidRDefault="00655782" w:rsidP="006F74E3">
      <w:pPr>
        <w:pStyle w:val="Heading1"/>
      </w:pPr>
      <w:r w:rsidRPr="006F74E3">
        <w:rPr>
          <w:rtl/>
        </w:rPr>
        <w:t>4</w:t>
      </w:r>
      <w:r w:rsidRPr="006F74E3">
        <w:rPr>
          <w:rtl/>
        </w:rPr>
        <w:tab/>
        <w:t>الخطوات التالية</w:t>
      </w:r>
    </w:p>
    <w:p w14:paraId="0BB2DFEB" w14:textId="1B972F6A" w:rsidR="007E6CE0" w:rsidRDefault="00655782" w:rsidP="006F74E3">
      <w:pPr>
        <w:rPr>
          <w:rtl/>
        </w:rPr>
      </w:pPr>
      <w:r w:rsidRPr="00303F3D">
        <w:rPr>
          <w:b/>
          <w:bCs/>
          <w:rtl/>
        </w:rPr>
        <w:t>التقرير المرحلي المقدَّم إلى المجلس في دورته لعام 2025</w:t>
      </w:r>
      <w:r w:rsidRPr="00303F3D">
        <w:t>:</w:t>
      </w:r>
      <w:r w:rsidRPr="00303F3D">
        <w:rPr>
          <w:rtl/>
        </w:rPr>
        <w:t xml:space="preserve"> تماشياً مع العرف السابق، اتفق الاجتماع على قيام الرئيس بعرض تقريري الاجتماعين الثالث والرابع للفريق اللذين عقدا في الفترة من ‏سبتمبر إلى أكتوبر ‎2024 ‏وفبراير ‎2025 ‏على التوالي، والمحال إليهما بروابط في وثيقة قصيرة وتقديمهما كتقرير مرحلي إلى المجلس في دورته لعام ‎2025.</w:t>
      </w:r>
      <w:r w:rsidRPr="006F74E3">
        <w:rPr>
          <w:rtl/>
        </w:rPr>
        <w:t xml:space="preserve"> </w:t>
      </w:r>
    </w:p>
    <w:p w14:paraId="4B85B578" w14:textId="5E089E6F" w:rsidR="006F74E3" w:rsidRDefault="00655782" w:rsidP="006F74E3">
      <w:r w:rsidRPr="007E6CE0">
        <w:rPr>
          <w:b/>
          <w:bCs/>
          <w:rtl/>
        </w:rPr>
        <w:t>التقرير النهائي</w:t>
      </w:r>
      <w:r w:rsidRPr="00303F3D">
        <w:rPr>
          <w:rtl/>
        </w:rPr>
        <w:t>:</w:t>
      </w:r>
      <w:r w:rsidRPr="006F74E3">
        <w:rPr>
          <w:rtl/>
        </w:rPr>
        <w:t xml:space="preserve"> سيقوم يقوم فريق الإدارة والأمانة بإعداد مشروع نسخة أولى من التقرير النهائي قبل شهر واحد على الأقل من الاجتماع المقبل لفريق الخبراء المعني بلوائح الاتصالات الدولية.</w:t>
      </w:r>
    </w:p>
    <w:p w14:paraId="7F5D5CC5" w14:textId="3F12B3BA" w:rsidR="006F74E3" w:rsidRPr="006F74E3" w:rsidRDefault="006F74E3" w:rsidP="006F74E3">
      <w:pPr>
        <w:rPr>
          <w:rtl/>
        </w:rPr>
      </w:pPr>
      <w:r w:rsidRPr="006F74E3">
        <w:rPr>
          <w:rtl/>
        </w:rPr>
        <w:br w:type="page"/>
      </w:r>
    </w:p>
    <w:p w14:paraId="71738EC7" w14:textId="77777777" w:rsidR="00655782" w:rsidRPr="00655782" w:rsidRDefault="00655782" w:rsidP="00655782">
      <w:pPr>
        <w:tabs>
          <w:tab w:val="clear" w:pos="794"/>
          <w:tab w:val="left" w:pos="1134"/>
          <w:tab w:val="left" w:pos="1871"/>
          <w:tab w:val="left" w:pos="2268"/>
        </w:tabs>
        <w:overflowPunct w:val="0"/>
        <w:autoSpaceDE w:val="0"/>
        <w:autoSpaceDN w:val="0"/>
        <w:bidi w:val="0"/>
        <w:adjustRightInd w:val="0"/>
        <w:snapToGrid w:val="0"/>
        <w:spacing w:after="120" w:line="240" w:lineRule="auto"/>
        <w:textAlignment w:val="baseline"/>
        <w:rPr>
          <w:rFonts w:ascii="Calibri" w:eastAsia="Batang" w:hAnsi="Calibri" w:cs="Times New Roman"/>
          <w:sz w:val="24"/>
          <w:szCs w:val="20"/>
          <w:lang w:eastAsia="en-US"/>
        </w:rPr>
      </w:pPr>
      <w:r w:rsidRPr="00655782">
        <w:rPr>
          <w:rFonts w:ascii="Calibri" w:eastAsia="Batang" w:hAnsi="Calibri" w:cs="Times New Roman"/>
          <w:b/>
          <w:bCs/>
          <w:sz w:val="24"/>
          <w:szCs w:val="20"/>
          <w:lang w:eastAsia="en-US"/>
        </w:rPr>
        <w:lastRenderedPageBreak/>
        <w:t>Annex 1 – Agenda and contributions of the Third EG-ITRs meeting (30 Sept.-1 Oct. 2024)</w:t>
      </w:r>
    </w:p>
    <w:p w14:paraId="793968A4" w14:textId="77777777" w:rsidR="00655782" w:rsidRPr="00655782" w:rsidRDefault="00655782" w:rsidP="00655782">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Batang" w:hAnsi="Calibri" w:cs="Times New Roman"/>
          <w:sz w:val="24"/>
          <w:szCs w:val="24"/>
          <w:lang w:eastAsia="en-US"/>
        </w:rPr>
      </w:pPr>
    </w:p>
    <w:p w14:paraId="2A7061A0" w14:textId="77777777" w:rsidR="00655782" w:rsidRPr="00655782" w:rsidRDefault="00655782" w:rsidP="00655782">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Batang" w:hAnsi="Calibri" w:cs="Times New Roman"/>
          <w:sz w:val="24"/>
          <w:szCs w:val="24"/>
          <w:lang w:eastAsia="en-US"/>
        </w:rPr>
      </w:pPr>
    </w:p>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655782" w:rsidRPr="00655782" w14:paraId="67722036" w14:textId="77777777" w:rsidTr="00CB03C5">
        <w:trPr>
          <w:cantSplit/>
          <w:trHeight w:val="23"/>
        </w:trPr>
        <w:tc>
          <w:tcPr>
            <w:tcW w:w="3969" w:type="dxa"/>
            <w:vMerge w:val="restart"/>
            <w:tcMar>
              <w:left w:w="0" w:type="dxa"/>
            </w:tcMar>
          </w:tcPr>
          <w:p w14:paraId="345E0F51"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rPr>
                <w:rFonts w:ascii="Calibri" w:eastAsia="Batang" w:hAnsi="Calibri" w:cs="Times New Roman"/>
                <w:b/>
                <w:sz w:val="24"/>
                <w:szCs w:val="20"/>
                <w:lang w:val="en-GB" w:eastAsia="en-US"/>
              </w:rPr>
            </w:pPr>
            <w:bookmarkStart w:id="1" w:name="_Hlk133421839"/>
            <w:bookmarkStart w:id="2" w:name="_Hlk133421856"/>
            <w:bookmarkStart w:id="3" w:name="_Hlk133422370"/>
            <w:bookmarkStart w:id="4" w:name="_Hlk133586559"/>
          </w:p>
        </w:tc>
        <w:tc>
          <w:tcPr>
            <w:tcW w:w="5245" w:type="dxa"/>
          </w:tcPr>
          <w:p w14:paraId="177E6840"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before="0" w:line="240" w:lineRule="atLeast"/>
              <w:jc w:val="right"/>
              <w:textAlignment w:val="baseline"/>
              <w:rPr>
                <w:rFonts w:ascii="Calibri" w:eastAsia="Batang" w:hAnsi="Calibri" w:cs="Times New Roman"/>
                <w:bCs/>
                <w:sz w:val="24"/>
                <w:szCs w:val="20"/>
                <w:lang w:val="en-GB" w:eastAsia="en-US"/>
              </w:rPr>
            </w:pPr>
            <w:r w:rsidRPr="00655782">
              <w:rPr>
                <w:rFonts w:ascii="Calibri" w:eastAsia="Batang" w:hAnsi="Calibri" w:cs="Times New Roman"/>
                <w:bCs/>
                <w:sz w:val="24"/>
                <w:szCs w:val="20"/>
                <w:lang w:val="en-GB" w:eastAsia="en-US"/>
              </w:rPr>
              <w:t xml:space="preserve">Revision 3 to </w:t>
            </w:r>
            <w:r w:rsidRPr="00655782">
              <w:rPr>
                <w:rFonts w:ascii="Calibri" w:eastAsia="Batang" w:hAnsi="Calibri" w:cs="Times New Roman"/>
                <w:bCs/>
                <w:sz w:val="24"/>
                <w:szCs w:val="20"/>
                <w:lang w:val="en-GB" w:eastAsia="en-US"/>
              </w:rPr>
              <w:br/>
              <w:t>Document EG-ITRs-3/1-E</w:t>
            </w:r>
          </w:p>
        </w:tc>
      </w:tr>
      <w:tr w:rsidR="00655782" w:rsidRPr="00655782" w14:paraId="72FF4DBA" w14:textId="77777777" w:rsidTr="00CB03C5">
        <w:trPr>
          <w:cantSplit/>
        </w:trPr>
        <w:tc>
          <w:tcPr>
            <w:tcW w:w="3969" w:type="dxa"/>
            <w:vMerge/>
          </w:tcPr>
          <w:p w14:paraId="204AA3F7"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line="240" w:lineRule="atLeast"/>
              <w:jc w:val="left"/>
              <w:textAlignment w:val="baseline"/>
              <w:rPr>
                <w:rFonts w:ascii="Calibri" w:eastAsia="Batang" w:hAnsi="Calibri" w:cs="Times New Roman"/>
                <w:b/>
                <w:sz w:val="24"/>
                <w:szCs w:val="20"/>
                <w:lang w:val="en-GB" w:eastAsia="en-US"/>
              </w:rPr>
            </w:pPr>
          </w:p>
        </w:tc>
        <w:tc>
          <w:tcPr>
            <w:tcW w:w="5245" w:type="dxa"/>
          </w:tcPr>
          <w:p w14:paraId="6A81073B"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before="0" w:line="240" w:lineRule="auto"/>
              <w:jc w:val="right"/>
              <w:textAlignment w:val="baseline"/>
              <w:rPr>
                <w:rFonts w:ascii="Calibri" w:eastAsia="Batang" w:hAnsi="Calibri" w:cs="Times New Roman"/>
                <w:bCs/>
                <w:sz w:val="24"/>
                <w:szCs w:val="20"/>
                <w:lang w:val="en-GB" w:eastAsia="en-US"/>
              </w:rPr>
            </w:pPr>
            <w:r w:rsidRPr="00655782">
              <w:rPr>
                <w:rFonts w:ascii="Calibri" w:eastAsia="Batang" w:hAnsi="Calibri" w:cs="Times New Roman"/>
                <w:bCs/>
                <w:sz w:val="24"/>
                <w:szCs w:val="20"/>
                <w:lang w:val="en-GB" w:eastAsia="en-US"/>
              </w:rPr>
              <w:t>30 September 2024</w:t>
            </w:r>
          </w:p>
        </w:tc>
      </w:tr>
      <w:tr w:rsidR="00655782" w:rsidRPr="00655782" w14:paraId="7269F814" w14:textId="77777777" w:rsidTr="00CB03C5">
        <w:trPr>
          <w:cantSplit/>
          <w:trHeight w:val="23"/>
        </w:trPr>
        <w:tc>
          <w:tcPr>
            <w:tcW w:w="3969" w:type="dxa"/>
            <w:vMerge/>
          </w:tcPr>
          <w:p w14:paraId="4755DCF8"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line="240" w:lineRule="atLeast"/>
              <w:jc w:val="left"/>
              <w:textAlignment w:val="baseline"/>
              <w:rPr>
                <w:rFonts w:ascii="Calibri" w:eastAsia="Batang" w:hAnsi="Calibri" w:cs="Times New Roman"/>
                <w:b/>
                <w:sz w:val="24"/>
                <w:szCs w:val="20"/>
                <w:lang w:val="en-GB" w:eastAsia="en-US"/>
              </w:rPr>
            </w:pPr>
          </w:p>
        </w:tc>
        <w:tc>
          <w:tcPr>
            <w:tcW w:w="5245" w:type="dxa"/>
          </w:tcPr>
          <w:p w14:paraId="440AEE6F"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before="0" w:line="240" w:lineRule="atLeast"/>
              <w:jc w:val="right"/>
              <w:textAlignment w:val="baseline"/>
              <w:rPr>
                <w:rFonts w:ascii="Calibri" w:eastAsia="Batang" w:hAnsi="Calibri" w:cs="Times New Roman"/>
                <w:bCs/>
                <w:sz w:val="24"/>
                <w:szCs w:val="20"/>
                <w:lang w:val="en-GB" w:eastAsia="en-US"/>
              </w:rPr>
            </w:pPr>
            <w:r w:rsidRPr="00655782">
              <w:rPr>
                <w:rFonts w:ascii="Calibri" w:eastAsia="Batang" w:hAnsi="Calibri" w:cs="Times New Roman"/>
                <w:bCs/>
                <w:sz w:val="24"/>
                <w:szCs w:val="20"/>
                <w:lang w:val="en-GB" w:eastAsia="en-US"/>
              </w:rPr>
              <w:t>English only</w:t>
            </w:r>
          </w:p>
        </w:tc>
      </w:tr>
      <w:tr w:rsidR="00655782" w:rsidRPr="00655782" w14:paraId="6C9D664F" w14:textId="77777777" w:rsidTr="00CB03C5">
        <w:trPr>
          <w:cantSplit/>
          <w:trHeight w:val="668"/>
        </w:trPr>
        <w:tc>
          <w:tcPr>
            <w:tcW w:w="3969" w:type="dxa"/>
          </w:tcPr>
          <w:p w14:paraId="665F1CB6"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line="240" w:lineRule="atLeast"/>
              <w:jc w:val="left"/>
              <w:textAlignment w:val="baseline"/>
              <w:rPr>
                <w:rFonts w:ascii="Calibri" w:eastAsia="Batang" w:hAnsi="Calibri" w:cs="Times New Roman"/>
                <w:b/>
                <w:sz w:val="24"/>
                <w:szCs w:val="20"/>
                <w:lang w:val="en-GB" w:eastAsia="en-US"/>
              </w:rPr>
            </w:pPr>
          </w:p>
        </w:tc>
        <w:tc>
          <w:tcPr>
            <w:tcW w:w="5245" w:type="dxa"/>
          </w:tcPr>
          <w:p w14:paraId="69DD5F49"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before="0" w:line="240" w:lineRule="atLeast"/>
              <w:jc w:val="right"/>
              <w:textAlignment w:val="baseline"/>
              <w:rPr>
                <w:rFonts w:ascii="Calibri" w:eastAsia="Batang" w:hAnsi="Calibri" w:cs="Times New Roman"/>
                <w:bCs/>
                <w:sz w:val="24"/>
                <w:szCs w:val="20"/>
                <w:lang w:val="en-GB" w:eastAsia="en-US"/>
              </w:rPr>
            </w:pPr>
          </w:p>
        </w:tc>
      </w:tr>
    </w:tbl>
    <w:p w14:paraId="6D6AC907" w14:textId="77777777" w:rsidR="00655782" w:rsidRPr="00655782" w:rsidRDefault="00655782" w:rsidP="00655782">
      <w:pPr>
        <w:tabs>
          <w:tab w:val="left" w:pos="1191"/>
          <w:tab w:val="left" w:pos="1588"/>
          <w:tab w:val="left" w:pos="1985"/>
        </w:tabs>
        <w:overflowPunct w:val="0"/>
        <w:autoSpaceDE w:val="0"/>
        <w:autoSpaceDN w:val="0"/>
        <w:bidi w:val="0"/>
        <w:adjustRightInd w:val="0"/>
        <w:spacing w:before="720" w:line="240" w:lineRule="auto"/>
        <w:jc w:val="center"/>
        <w:textAlignment w:val="baseline"/>
        <w:rPr>
          <w:rFonts w:ascii="Calibri" w:eastAsia="SimSun" w:hAnsi="Calibri" w:cs="Calibri"/>
          <w:bCs/>
          <w:sz w:val="28"/>
          <w:szCs w:val="28"/>
          <w:lang w:val="en-GB" w:eastAsia="en-US"/>
        </w:rPr>
      </w:pPr>
      <w:bookmarkStart w:id="5" w:name="_Hlk133421428"/>
      <w:bookmarkEnd w:id="1"/>
      <w:bookmarkEnd w:id="2"/>
      <w:bookmarkEnd w:id="3"/>
      <w:bookmarkEnd w:id="4"/>
      <w:r w:rsidRPr="00655782">
        <w:rPr>
          <w:rFonts w:ascii="Calibri" w:eastAsia="SimSun" w:hAnsi="Calibri" w:cs="Calibri"/>
          <w:bCs/>
          <w:sz w:val="28"/>
          <w:szCs w:val="28"/>
          <w:lang w:val="en-GB" w:eastAsia="en-US"/>
        </w:rPr>
        <w:t>AGENDA</w:t>
      </w:r>
    </w:p>
    <w:p w14:paraId="34AEF3C6" w14:textId="77777777" w:rsidR="00655782" w:rsidRPr="00655782" w:rsidRDefault="00655782" w:rsidP="00655782">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Calibri" w:hAnsi="Calibri" w:cs="Calibri"/>
          <w:b/>
          <w:kern w:val="2"/>
          <w:lang w:val="en-GB" w:eastAsia="en-US"/>
          <w14:ligatures w14:val="standardContextual"/>
        </w:rPr>
      </w:pPr>
      <w:r w:rsidRPr="00655782">
        <w:rPr>
          <w:rFonts w:ascii="Calibri" w:eastAsia="SimSun" w:hAnsi="Calibri" w:cs="Calibri"/>
          <w:b/>
          <w:sz w:val="28"/>
          <w:szCs w:val="28"/>
          <w:lang w:val="en-GB" w:eastAsia="en-US"/>
        </w:rPr>
        <w:t xml:space="preserve">EXPERT GROUP ON </w:t>
      </w:r>
      <w:r w:rsidRPr="00655782">
        <w:rPr>
          <w:rFonts w:ascii="Calibri" w:eastAsia="SimSun" w:hAnsi="Calibri" w:cs="Calibri"/>
          <w:b/>
          <w:sz w:val="28"/>
          <w:szCs w:val="28"/>
          <w:lang w:val="en-GB" w:eastAsia="en-US"/>
        </w:rPr>
        <w:br/>
        <w:t>INTERNATIONAL TELECOMMUNICATION REGULATIONS</w:t>
      </w:r>
    </w:p>
    <w:p w14:paraId="36CAD1DD" w14:textId="77777777" w:rsidR="00655782" w:rsidRPr="00655782" w:rsidRDefault="00655782" w:rsidP="00655782">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SimSun" w:hAnsi="Calibri" w:cs="Calibri"/>
          <w:bCs/>
          <w:sz w:val="24"/>
          <w:szCs w:val="20"/>
          <w:lang w:val="en-GB" w:eastAsia="en-US"/>
        </w:rPr>
      </w:pPr>
      <w:r w:rsidRPr="00655782">
        <w:rPr>
          <w:rFonts w:ascii="Calibri" w:eastAsia="SimSun" w:hAnsi="Calibri" w:cs="Calibri"/>
          <w:bCs/>
          <w:sz w:val="24"/>
          <w:szCs w:val="20"/>
          <w:lang w:val="en-GB" w:eastAsia="en-US"/>
        </w:rPr>
        <w:t>Monday, 30 September 2024, 0930 – 1230 and 1430 – 1730 hours</w:t>
      </w:r>
      <w:r w:rsidRPr="00655782">
        <w:rPr>
          <w:rFonts w:ascii="Calibri" w:eastAsia="SimSun" w:hAnsi="Calibri" w:cs="Calibri"/>
          <w:bCs/>
          <w:sz w:val="24"/>
          <w:szCs w:val="20"/>
          <w:lang w:val="en-GB" w:eastAsia="en-US"/>
        </w:rPr>
        <w:br/>
        <w:t>Tuesday, 1 October 2024, 0930 – 1230 and 1430 – 1730 hours</w:t>
      </w:r>
    </w:p>
    <w:p w14:paraId="1DE1EA72" w14:textId="77777777" w:rsidR="00655782" w:rsidRPr="00655782" w:rsidRDefault="00655782" w:rsidP="00655782">
      <w:pPr>
        <w:tabs>
          <w:tab w:val="clear" w:pos="794"/>
        </w:tabs>
        <w:bidi w:val="0"/>
        <w:spacing w:after="240" w:line="259" w:lineRule="auto"/>
        <w:jc w:val="center"/>
        <w:rPr>
          <w:rFonts w:ascii="Calibri" w:eastAsia="Calibri" w:hAnsi="Calibri" w:cs="Times New Roman"/>
          <w:b/>
          <w:kern w:val="2"/>
          <w:sz w:val="24"/>
          <w:szCs w:val="24"/>
          <w:lang w:val="en-GB" w:eastAsia="en-US"/>
          <w14:ligatures w14:val="standardContextual"/>
        </w:rPr>
      </w:pPr>
      <w:r w:rsidRPr="00655782">
        <w:rPr>
          <w:rFonts w:ascii="Calibri" w:eastAsia="Calibri" w:hAnsi="Calibri" w:cs="Times New Roman"/>
          <w:b/>
          <w:kern w:val="2"/>
          <w:sz w:val="24"/>
          <w:szCs w:val="24"/>
          <w:lang w:val="en-GB" w:eastAsia="en-US"/>
          <w14:ligatures w14:val="standardContextual"/>
        </w:rPr>
        <w:t>Room Popov, ITU Headquarters, Geneva</w:t>
      </w:r>
    </w:p>
    <w:tbl>
      <w:tblPr>
        <w:tblStyle w:val="TableGrid1"/>
        <w:tblW w:w="100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2"/>
        <w:gridCol w:w="6974"/>
        <w:gridCol w:w="2268"/>
      </w:tblGrid>
      <w:tr w:rsidR="00655782" w:rsidRPr="00655782" w14:paraId="738BF905" w14:textId="77777777" w:rsidTr="00CB03C5">
        <w:trPr>
          <w:cantSplit/>
          <w:jc w:val="center"/>
        </w:trPr>
        <w:tc>
          <w:tcPr>
            <w:tcW w:w="852" w:type="dxa"/>
          </w:tcPr>
          <w:p w14:paraId="7EEBE51C" w14:textId="77777777" w:rsidR="00655782" w:rsidRPr="00655782" w:rsidRDefault="00655782" w:rsidP="00655782">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rPr>
                <w:rFonts w:ascii="Calibri" w:hAnsi="Calibri" w:cs="Times New Roman Bold"/>
                <w:b/>
                <w:lang w:val="en-GB" w:eastAsia="en-US"/>
              </w:rPr>
            </w:pPr>
            <w:r w:rsidRPr="00655782">
              <w:rPr>
                <w:rFonts w:ascii="Calibri" w:hAnsi="Calibri" w:cs="Times New Roman Bold"/>
                <w:b/>
                <w:lang w:val="en-GB" w:eastAsia="en-US"/>
              </w:rPr>
              <w:t>Item</w:t>
            </w:r>
          </w:p>
        </w:tc>
        <w:tc>
          <w:tcPr>
            <w:tcW w:w="6974" w:type="dxa"/>
          </w:tcPr>
          <w:p w14:paraId="3AC1713D" w14:textId="77777777" w:rsidR="00655782" w:rsidRPr="00655782" w:rsidRDefault="00655782" w:rsidP="00655782">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rPr>
                <w:rFonts w:ascii="Calibri" w:hAnsi="Calibri" w:cs="Times New Roman Bold"/>
                <w:b/>
                <w:lang w:val="en-GB" w:eastAsia="en-US"/>
              </w:rPr>
            </w:pPr>
          </w:p>
        </w:tc>
        <w:tc>
          <w:tcPr>
            <w:tcW w:w="2268" w:type="dxa"/>
          </w:tcPr>
          <w:p w14:paraId="2A21F3A0" w14:textId="77777777" w:rsidR="00655782" w:rsidRPr="00655782" w:rsidRDefault="00655782" w:rsidP="00655782">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rPr>
                <w:rFonts w:ascii="Calibri" w:hAnsi="Calibri" w:cs="Times New Roman Bold"/>
                <w:b/>
                <w:lang w:val="en-GB" w:eastAsia="en-US"/>
              </w:rPr>
            </w:pPr>
            <w:r w:rsidRPr="00655782">
              <w:rPr>
                <w:rFonts w:ascii="Calibri" w:hAnsi="Calibri" w:cs="Times New Roman Bold"/>
                <w:b/>
                <w:lang w:val="en-GB" w:eastAsia="en-US"/>
              </w:rPr>
              <w:t>Documents</w:t>
            </w:r>
          </w:p>
        </w:tc>
      </w:tr>
      <w:tr w:rsidR="00655782" w:rsidRPr="00655782" w14:paraId="0A990317" w14:textId="77777777" w:rsidTr="00CB03C5">
        <w:trPr>
          <w:cantSplit/>
          <w:jc w:val="center"/>
        </w:trPr>
        <w:tc>
          <w:tcPr>
            <w:tcW w:w="852" w:type="dxa"/>
          </w:tcPr>
          <w:p w14:paraId="5BDD21FC"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lang w:val="en-GB" w:eastAsia="en-US"/>
              </w:rPr>
            </w:pPr>
            <w:r w:rsidRPr="00655782">
              <w:rPr>
                <w:rFonts w:ascii="Calibri" w:hAnsi="Calibri" w:cs="Times New Roman"/>
                <w:b/>
                <w:lang w:val="en-GB" w:eastAsia="en-US"/>
              </w:rPr>
              <w:t>1</w:t>
            </w:r>
          </w:p>
        </w:tc>
        <w:tc>
          <w:tcPr>
            <w:tcW w:w="6974" w:type="dxa"/>
          </w:tcPr>
          <w:p w14:paraId="4D6DB369"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hAnsi="Calibri" w:cs="Times New Roman"/>
                <w:lang w:val="en-GB" w:eastAsia="en-US"/>
              </w:rPr>
              <w:t>Introductory remarks</w:t>
            </w:r>
          </w:p>
        </w:tc>
        <w:tc>
          <w:tcPr>
            <w:tcW w:w="2268" w:type="dxa"/>
          </w:tcPr>
          <w:p w14:paraId="0488AE72"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p>
        </w:tc>
      </w:tr>
      <w:tr w:rsidR="00655782" w:rsidRPr="00655782" w14:paraId="77793F80" w14:textId="77777777" w:rsidTr="00CB03C5">
        <w:trPr>
          <w:cantSplit/>
          <w:jc w:val="center"/>
        </w:trPr>
        <w:tc>
          <w:tcPr>
            <w:tcW w:w="852" w:type="dxa"/>
          </w:tcPr>
          <w:p w14:paraId="2B183B42"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lang w:val="en-GB" w:eastAsia="en-US"/>
              </w:rPr>
            </w:pPr>
            <w:r w:rsidRPr="00655782">
              <w:rPr>
                <w:rFonts w:ascii="Calibri" w:hAnsi="Calibri" w:cs="Times New Roman"/>
                <w:b/>
                <w:lang w:val="en-GB" w:eastAsia="en-US"/>
              </w:rPr>
              <w:t>2</w:t>
            </w:r>
          </w:p>
        </w:tc>
        <w:tc>
          <w:tcPr>
            <w:tcW w:w="6974" w:type="dxa"/>
          </w:tcPr>
          <w:p w14:paraId="5BA62BC4"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hAnsi="Calibri" w:cs="Times New Roman"/>
                <w:lang w:val="en-GB" w:eastAsia="en-US"/>
              </w:rPr>
              <w:t>Adoption of the Agenda and allocation of documents</w:t>
            </w:r>
          </w:p>
        </w:tc>
        <w:tc>
          <w:tcPr>
            <w:tcW w:w="2268" w:type="dxa"/>
          </w:tcPr>
          <w:p w14:paraId="10E9E169"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r w:rsidRPr="00655782">
              <w:rPr>
                <w:rFonts w:ascii="Calibri" w:hAnsi="Calibri" w:cs="Times New Roman"/>
                <w:lang w:val="en-GB" w:eastAsia="en-US"/>
              </w:rPr>
              <w:t>EG-ITRs-3/1(Rev.3)</w:t>
            </w:r>
          </w:p>
        </w:tc>
      </w:tr>
      <w:tr w:rsidR="00655782" w:rsidRPr="00655782" w14:paraId="026D5797" w14:textId="77777777" w:rsidTr="00CB03C5">
        <w:trPr>
          <w:cantSplit/>
          <w:jc w:val="center"/>
        </w:trPr>
        <w:tc>
          <w:tcPr>
            <w:tcW w:w="852" w:type="dxa"/>
          </w:tcPr>
          <w:p w14:paraId="018600D9"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lang w:val="en-GB" w:eastAsia="en-US"/>
              </w:rPr>
            </w:pPr>
            <w:r w:rsidRPr="00655782">
              <w:rPr>
                <w:rFonts w:ascii="Calibri" w:hAnsi="Calibri" w:cs="Times New Roman"/>
                <w:b/>
                <w:lang w:val="en-GB" w:eastAsia="en-US"/>
              </w:rPr>
              <w:t>3</w:t>
            </w:r>
          </w:p>
        </w:tc>
        <w:tc>
          <w:tcPr>
            <w:tcW w:w="6974" w:type="dxa"/>
          </w:tcPr>
          <w:p w14:paraId="0CDB3550"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hAnsi="Calibri" w:cs="Times New Roman"/>
                <w:lang w:val="en-GB" w:eastAsia="en-US"/>
              </w:rPr>
              <w:t>Discussion on contributions received on new trends which may impact the ITRs</w:t>
            </w:r>
          </w:p>
        </w:tc>
        <w:tc>
          <w:tcPr>
            <w:tcW w:w="2268" w:type="dxa"/>
          </w:tcPr>
          <w:p w14:paraId="5099058B"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Calibri"/>
                <w:color w:val="0000FF"/>
                <w:u w:val="single"/>
                <w:lang w:val="en-GB" w:eastAsia="en-US"/>
              </w:rPr>
            </w:pPr>
            <w:hyperlink r:id="rId16" w:history="1">
              <w:r w:rsidR="00655782" w:rsidRPr="00655782">
                <w:rPr>
                  <w:rFonts w:ascii="Calibri" w:hAnsi="Calibri" w:cs="Calibri"/>
                  <w:color w:val="0000FF"/>
                  <w:u w:val="single"/>
                  <w:lang w:val="en-GB" w:eastAsia="en-US"/>
                </w:rPr>
                <w:t>EG-ITRs-3/2</w:t>
              </w:r>
            </w:hyperlink>
          </w:p>
          <w:p w14:paraId="197695C7"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Calibri"/>
                <w:color w:val="0000FF"/>
                <w:u w:val="single"/>
                <w:lang w:val="en-GB" w:eastAsia="en-US"/>
              </w:rPr>
            </w:pPr>
            <w:hyperlink r:id="rId17" w:history="1">
              <w:r w:rsidR="00655782" w:rsidRPr="00655782">
                <w:rPr>
                  <w:rFonts w:ascii="Calibri" w:hAnsi="Calibri" w:cs="Calibri"/>
                  <w:color w:val="0000FF"/>
                  <w:u w:val="single"/>
                  <w:lang w:val="en-GB" w:eastAsia="en-US"/>
                </w:rPr>
                <w:t>EG-ITRs-3/6</w:t>
              </w:r>
            </w:hyperlink>
          </w:p>
          <w:p w14:paraId="755CC137"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hyperlink r:id="rId18" w:history="1">
              <w:r w:rsidR="00655782" w:rsidRPr="00655782">
                <w:rPr>
                  <w:rFonts w:ascii="Calibri" w:hAnsi="Calibri" w:cs="Calibri"/>
                  <w:color w:val="0000FF"/>
                  <w:u w:val="single"/>
                  <w:lang w:val="en-GB" w:eastAsia="en-US"/>
                </w:rPr>
                <w:t>EG-ITRs-3/11</w:t>
              </w:r>
            </w:hyperlink>
          </w:p>
        </w:tc>
      </w:tr>
      <w:tr w:rsidR="00655782" w:rsidRPr="00655782" w14:paraId="06672BE3" w14:textId="77777777" w:rsidTr="00CB03C5">
        <w:trPr>
          <w:cantSplit/>
          <w:jc w:val="center"/>
        </w:trPr>
        <w:tc>
          <w:tcPr>
            <w:tcW w:w="852" w:type="dxa"/>
          </w:tcPr>
          <w:p w14:paraId="37C5F208"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lang w:val="en-GB" w:eastAsia="en-US"/>
              </w:rPr>
            </w:pPr>
            <w:r w:rsidRPr="00655782">
              <w:rPr>
                <w:rFonts w:ascii="Calibri" w:hAnsi="Calibri" w:cs="Times New Roman"/>
                <w:b/>
                <w:lang w:val="en-GB" w:eastAsia="en-US"/>
              </w:rPr>
              <w:t>4</w:t>
            </w:r>
          </w:p>
        </w:tc>
        <w:tc>
          <w:tcPr>
            <w:tcW w:w="6974" w:type="dxa"/>
          </w:tcPr>
          <w:p w14:paraId="3FE2DCE6"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hAnsi="Calibri" w:cs="Times New Roman"/>
                <w:lang w:val="en-GB" w:eastAsia="en-US"/>
              </w:rPr>
              <w:t>Discussion on contributions received on empirical data on the current use of the ITRs</w:t>
            </w:r>
          </w:p>
        </w:tc>
        <w:tc>
          <w:tcPr>
            <w:tcW w:w="2268" w:type="dxa"/>
          </w:tcPr>
          <w:p w14:paraId="7D4132AD"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Calibri"/>
                <w:color w:val="0000FF"/>
                <w:u w:val="single"/>
                <w:lang w:val="en-GB" w:eastAsia="en-US"/>
              </w:rPr>
            </w:pPr>
            <w:hyperlink r:id="rId19" w:history="1">
              <w:r w:rsidR="00655782" w:rsidRPr="00655782">
                <w:rPr>
                  <w:rFonts w:ascii="Calibri" w:hAnsi="Calibri" w:cs="Calibri"/>
                  <w:color w:val="0000FF"/>
                  <w:u w:val="single"/>
                  <w:lang w:val="en-GB" w:eastAsia="en-US"/>
                </w:rPr>
                <w:t>EG-ITRs-3/7</w:t>
              </w:r>
            </w:hyperlink>
          </w:p>
          <w:p w14:paraId="49420FDB"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hyperlink r:id="rId20" w:history="1">
              <w:r w:rsidR="00655782" w:rsidRPr="00655782">
                <w:rPr>
                  <w:rFonts w:ascii="Calibri" w:hAnsi="Calibri" w:cs="Calibri"/>
                  <w:color w:val="0000FF"/>
                  <w:u w:val="single"/>
                  <w:lang w:val="en-GB" w:eastAsia="en-US"/>
                </w:rPr>
                <w:t>EG-ITRs-3/9</w:t>
              </w:r>
            </w:hyperlink>
          </w:p>
        </w:tc>
      </w:tr>
      <w:tr w:rsidR="00655782" w:rsidRPr="00655782" w14:paraId="02CCBC03" w14:textId="77777777" w:rsidTr="00CB03C5">
        <w:trPr>
          <w:cantSplit/>
          <w:jc w:val="center"/>
        </w:trPr>
        <w:tc>
          <w:tcPr>
            <w:tcW w:w="852" w:type="dxa"/>
          </w:tcPr>
          <w:p w14:paraId="3F0B6973"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lang w:val="en-GB" w:eastAsia="en-US"/>
              </w:rPr>
            </w:pPr>
            <w:r w:rsidRPr="00655782">
              <w:rPr>
                <w:rFonts w:ascii="Calibri" w:hAnsi="Calibri" w:cs="Times New Roman"/>
                <w:b/>
                <w:lang w:val="en-GB" w:eastAsia="en-US"/>
              </w:rPr>
              <w:t>5</w:t>
            </w:r>
          </w:p>
        </w:tc>
        <w:tc>
          <w:tcPr>
            <w:tcW w:w="6974" w:type="dxa"/>
          </w:tcPr>
          <w:p w14:paraId="33D92D48"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hAnsi="Calibri" w:cs="Times New Roman"/>
                <w:lang w:val="en-GB" w:eastAsia="en-US"/>
              </w:rPr>
              <w:t>Discussion on general contributions received</w:t>
            </w:r>
          </w:p>
        </w:tc>
        <w:tc>
          <w:tcPr>
            <w:tcW w:w="2268" w:type="dxa"/>
          </w:tcPr>
          <w:p w14:paraId="2DAAE817"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Calibri"/>
                <w:color w:val="0000FF"/>
                <w:u w:val="single"/>
                <w:lang w:val="en-GB" w:eastAsia="en-US"/>
              </w:rPr>
            </w:pPr>
            <w:hyperlink r:id="rId21" w:history="1">
              <w:r w:rsidR="00655782" w:rsidRPr="00655782">
                <w:rPr>
                  <w:rFonts w:ascii="Calibri" w:hAnsi="Calibri" w:cs="Calibri"/>
                  <w:color w:val="0000FF"/>
                  <w:u w:val="single"/>
                  <w:lang w:val="en-GB" w:eastAsia="en-US"/>
                </w:rPr>
                <w:t>EG-ITRs-3/3</w:t>
              </w:r>
            </w:hyperlink>
          </w:p>
          <w:p w14:paraId="10969865"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Calibri"/>
                <w:color w:val="0000FF"/>
                <w:u w:val="single"/>
                <w:lang w:val="en-GB" w:eastAsia="en-US"/>
              </w:rPr>
            </w:pPr>
            <w:hyperlink r:id="rId22" w:history="1">
              <w:r w:rsidR="00655782" w:rsidRPr="00655782">
                <w:rPr>
                  <w:rFonts w:ascii="Calibri" w:hAnsi="Calibri" w:cs="Calibri"/>
                  <w:color w:val="0000FF"/>
                  <w:u w:val="single"/>
                  <w:lang w:val="en-GB" w:eastAsia="en-US"/>
                </w:rPr>
                <w:t>EG-ITRs-3/5</w:t>
              </w:r>
            </w:hyperlink>
          </w:p>
          <w:p w14:paraId="7C610C97"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Calibri"/>
                <w:color w:val="0000FF"/>
                <w:u w:val="single"/>
                <w:lang w:val="en-GB" w:eastAsia="en-US"/>
              </w:rPr>
            </w:pPr>
            <w:hyperlink r:id="rId23" w:history="1">
              <w:r w:rsidR="00655782" w:rsidRPr="00655782">
                <w:rPr>
                  <w:rFonts w:ascii="Calibri" w:hAnsi="Calibri" w:cs="Calibri"/>
                  <w:color w:val="0000FF"/>
                  <w:u w:val="single"/>
                  <w:lang w:val="en-GB" w:eastAsia="en-US"/>
                </w:rPr>
                <w:t>EG-ITRs-3/8</w:t>
              </w:r>
            </w:hyperlink>
          </w:p>
          <w:p w14:paraId="322CFC03"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hyperlink r:id="rId24" w:history="1">
              <w:r w:rsidR="00655782" w:rsidRPr="00655782">
                <w:rPr>
                  <w:rFonts w:ascii="Calibri" w:hAnsi="Calibri" w:cs="Calibri"/>
                  <w:color w:val="0000FF"/>
                  <w:u w:val="single"/>
                  <w:lang w:val="en-GB" w:eastAsia="en-US"/>
                </w:rPr>
                <w:t>EG-ITRs-3/10</w:t>
              </w:r>
            </w:hyperlink>
          </w:p>
        </w:tc>
      </w:tr>
      <w:tr w:rsidR="00655782" w:rsidRPr="00655782" w14:paraId="51719B2A" w14:textId="77777777" w:rsidTr="00CB03C5">
        <w:trPr>
          <w:cantSplit/>
          <w:jc w:val="center"/>
        </w:trPr>
        <w:tc>
          <w:tcPr>
            <w:tcW w:w="852" w:type="dxa"/>
          </w:tcPr>
          <w:p w14:paraId="0355660E"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lang w:val="en-GB" w:eastAsia="en-US"/>
              </w:rPr>
            </w:pPr>
            <w:r w:rsidRPr="00655782">
              <w:rPr>
                <w:rFonts w:ascii="Calibri" w:hAnsi="Calibri" w:cs="Times New Roman"/>
                <w:b/>
                <w:lang w:val="en-GB" w:eastAsia="en-US"/>
              </w:rPr>
              <w:t>6</w:t>
            </w:r>
          </w:p>
        </w:tc>
        <w:tc>
          <w:tcPr>
            <w:tcW w:w="6974" w:type="dxa"/>
          </w:tcPr>
          <w:p w14:paraId="7E38EBF2"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hAnsi="Calibri" w:cs="Times New Roman"/>
                <w:lang w:val="en-GB" w:eastAsia="en-US"/>
              </w:rPr>
              <w:t>Format and Content of Final Report</w:t>
            </w:r>
          </w:p>
        </w:tc>
        <w:tc>
          <w:tcPr>
            <w:tcW w:w="2268" w:type="dxa"/>
          </w:tcPr>
          <w:p w14:paraId="68C090FA"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Calibri"/>
                <w:color w:val="0000FF"/>
                <w:u w:val="single"/>
                <w:lang w:val="en-GB" w:eastAsia="en-US"/>
              </w:rPr>
            </w:pPr>
            <w:hyperlink r:id="rId25" w:history="1">
              <w:r w:rsidR="00655782" w:rsidRPr="00655782">
                <w:rPr>
                  <w:rFonts w:ascii="Calibri" w:hAnsi="Calibri" w:cs="Calibri"/>
                  <w:color w:val="0000FF"/>
                  <w:u w:val="single"/>
                  <w:lang w:val="en-GB" w:eastAsia="en-US"/>
                </w:rPr>
                <w:t>EG-ITRs-3/4</w:t>
              </w:r>
            </w:hyperlink>
          </w:p>
          <w:p w14:paraId="3E86B8F0"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Calibri"/>
                <w:lang w:val="en-GB" w:eastAsia="en-US"/>
              </w:rPr>
            </w:pPr>
            <w:hyperlink r:id="rId26" w:history="1">
              <w:r w:rsidR="00655782" w:rsidRPr="00655782">
                <w:rPr>
                  <w:rFonts w:ascii="Calibri" w:hAnsi="Calibri" w:cs="Calibri"/>
                  <w:color w:val="0000FF"/>
                  <w:u w:val="single"/>
                  <w:lang w:val="en-GB" w:eastAsia="en-US"/>
                </w:rPr>
                <w:t>EG-ITRs-3/10</w:t>
              </w:r>
            </w:hyperlink>
          </w:p>
        </w:tc>
      </w:tr>
      <w:tr w:rsidR="00655782" w:rsidRPr="00655782" w14:paraId="5B457B26" w14:textId="77777777" w:rsidTr="00CB03C5">
        <w:trPr>
          <w:cantSplit/>
          <w:jc w:val="center"/>
        </w:trPr>
        <w:tc>
          <w:tcPr>
            <w:tcW w:w="852" w:type="dxa"/>
          </w:tcPr>
          <w:p w14:paraId="0E5A7B25"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lang w:val="en-GB" w:eastAsia="en-US"/>
              </w:rPr>
            </w:pPr>
            <w:r w:rsidRPr="00655782">
              <w:rPr>
                <w:rFonts w:ascii="Calibri" w:hAnsi="Calibri" w:cs="Times New Roman"/>
                <w:b/>
                <w:lang w:val="en-GB" w:eastAsia="en-US"/>
              </w:rPr>
              <w:t>7</w:t>
            </w:r>
          </w:p>
        </w:tc>
        <w:tc>
          <w:tcPr>
            <w:tcW w:w="6974" w:type="dxa"/>
          </w:tcPr>
          <w:p w14:paraId="4032E899"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hAnsi="Calibri" w:cs="Times New Roman"/>
                <w:lang w:val="en-GB" w:eastAsia="en-US"/>
              </w:rPr>
              <w:t>Next steps</w:t>
            </w:r>
          </w:p>
        </w:tc>
        <w:tc>
          <w:tcPr>
            <w:tcW w:w="2268" w:type="dxa"/>
          </w:tcPr>
          <w:p w14:paraId="7C120B39"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p>
        </w:tc>
      </w:tr>
      <w:tr w:rsidR="00655782" w:rsidRPr="00655782" w14:paraId="150989B6" w14:textId="77777777" w:rsidTr="00CB03C5">
        <w:trPr>
          <w:cantSplit/>
          <w:jc w:val="center"/>
        </w:trPr>
        <w:tc>
          <w:tcPr>
            <w:tcW w:w="852" w:type="dxa"/>
          </w:tcPr>
          <w:p w14:paraId="13923AF2"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lang w:val="en-GB" w:eastAsia="en-US"/>
              </w:rPr>
            </w:pPr>
            <w:r w:rsidRPr="00655782">
              <w:rPr>
                <w:rFonts w:ascii="Calibri" w:hAnsi="Calibri" w:cs="Times New Roman"/>
                <w:b/>
                <w:lang w:val="en-GB" w:eastAsia="en-US"/>
              </w:rPr>
              <w:t>8</w:t>
            </w:r>
          </w:p>
        </w:tc>
        <w:tc>
          <w:tcPr>
            <w:tcW w:w="6974" w:type="dxa"/>
          </w:tcPr>
          <w:p w14:paraId="6BEC1D18"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hAnsi="Calibri" w:cs="Times New Roman"/>
                <w:lang w:val="en-GB" w:eastAsia="en-US"/>
              </w:rPr>
              <w:t>Any other business</w:t>
            </w:r>
          </w:p>
        </w:tc>
        <w:tc>
          <w:tcPr>
            <w:tcW w:w="2268" w:type="dxa"/>
          </w:tcPr>
          <w:p w14:paraId="5C2510FC"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p>
        </w:tc>
      </w:tr>
    </w:tbl>
    <w:p w14:paraId="29F4CFC1" w14:textId="77777777" w:rsidR="00655782" w:rsidRPr="00655782" w:rsidRDefault="00655782" w:rsidP="00655782">
      <w:pPr>
        <w:tabs>
          <w:tab w:val="clear" w:pos="794"/>
          <w:tab w:val="center" w:pos="6804"/>
        </w:tabs>
        <w:overflowPunct w:val="0"/>
        <w:autoSpaceDE w:val="0"/>
        <w:autoSpaceDN w:val="0"/>
        <w:bidi w:val="0"/>
        <w:adjustRightInd w:val="0"/>
        <w:spacing w:before="840" w:line="240" w:lineRule="auto"/>
        <w:jc w:val="left"/>
        <w:textAlignment w:val="baseline"/>
        <w:rPr>
          <w:rFonts w:ascii="Calibri" w:eastAsia="Calibri" w:hAnsi="Calibri" w:cs="Times New Roman"/>
          <w:sz w:val="24"/>
          <w:szCs w:val="24"/>
          <w:lang w:val="en-GB" w:eastAsia="en-US"/>
        </w:rPr>
      </w:pPr>
      <w:proofErr w:type="spellStart"/>
      <w:r w:rsidRPr="00655782">
        <w:rPr>
          <w:rFonts w:ascii="Calibri" w:eastAsia="Calibri" w:hAnsi="Calibri" w:cs="Times New Roman"/>
          <w:sz w:val="24"/>
          <w:szCs w:val="24"/>
          <w:lang w:val="en-GB" w:eastAsia="en-US"/>
        </w:rPr>
        <w:t>Shahira</w:t>
      </w:r>
      <w:proofErr w:type="spellEnd"/>
      <w:r w:rsidRPr="00655782">
        <w:rPr>
          <w:rFonts w:ascii="Calibri" w:eastAsia="Calibri" w:hAnsi="Calibri" w:cs="Times New Roman"/>
          <w:sz w:val="24"/>
          <w:szCs w:val="24"/>
          <w:lang w:val="en-GB" w:eastAsia="en-US"/>
        </w:rPr>
        <w:t xml:space="preserve"> SELIM</w:t>
      </w:r>
      <w:r w:rsidRPr="00655782">
        <w:rPr>
          <w:rFonts w:ascii="Calibri" w:eastAsia="Calibri" w:hAnsi="Calibri" w:cs="Times New Roman"/>
          <w:sz w:val="24"/>
          <w:szCs w:val="24"/>
          <w:lang w:val="en-GB" w:eastAsia="en-US"/>
        </w:rPr>
        <w:br/>
      </w:r>
      <w:r w:rsidRPr="00655782">
        <w:rPr>
          <w:rFonts w:ascii="Calibri" w:eastAsia="Calibri" w:hAnsi="Calibri" w:cs="Times New Roman"/>
          <w:kern w:val="2"/>
          <w:sz w:val="24"/>
          <w:szCs w:val="24"/>
          <w:lang w:val="en-GB" w:eastAsia="en-US"/>
          <w14:ligatures w14:val="standardContextual"/>
        </w:rPr>
        <w:tab/>
        <w:t xml:space="preserve">Chair </w:t>
      </w:r>
      <w:bookmarkEnd w:id="5"/>
    </w:p>
    <w:p w14:paraId="2FD2E147" w14:textId="77777777" w:rsidR="00655782" w:rsidRPr="00655782" w:rsidRDefault="00655782" w:rsidP="00655782">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Batang" w:hAnsi="Calibri" w:cs="Times New Roman"/>
          <w:sz w:val="24"/>
          <w:szCs w:val="20"/>
          <w:lang w:val="en-GB" w:eastAsia="en-US"/>
        </w:rPr>
      </w:pPr>
      <w:r w:rsidRPr="00655782">
        <w:rPr>
          <w:rFonts w:ascii="Calibri" w:eastAsia="Batang" w:hAnsi="Calibri" w:cs="Times New Roman"/>
          <w:sz w:val="24"/>
          <w:szCs w:val="20"/>
          <w:lang w:val="en-GB" w:eastAsia="en-US"/>
        </w:rPr>
        <w:br w:type="page"/>
      </w:r>
    </w:p>
    <w:p w14:paraId="4819232E" w14:textId="77777777" w:rsidR="00655782" w:rsidRPr="00655782" w:rsidRDefault="00655782" w:rsidP="00655782">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Batang" w:hAnsi="Calibri" w:cs="Times New Roman"/>
          <w:sz w:val="24"/>
          <w:szCs w:val="20"/>
          <w:lang w:eastAsia="en-US"/>
        </w:rPr>
      </w:pPr>
      <w:r w:rsidRPr="00655782">
        <w:rPr>
          <w:rFonts w:ascii="Calibri" w:eastAsia="Batang" w:hAnsi="Calibri" w:cs="Times New Roman"/>
          <w:b/>
          <w:bCs/>
          <w:sz w:val="24"/>
          <w:szCs w:val="20"/>
          <w:lang w:eastAsia="en-US"/>
        </w:rPr>
        <w:lastRenderedPageBreak/>
        <w:t>Annex 2: Agenda and contributions of the Fourth EG-ITRs meeting (20-21 February 2025)</w:t>
      </w:r>
    </w:p>
    <w:p w14:paraId="07677302" w14:textId="77777777" w:rsidR="00655782" w:rsidRPr="00655782" w:rsidRDefault="00655782" w:rsidP="00655782">
      <w:pPr>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ascii="Calibri" w:eastAsia="Batang" w:hAnsi="Calibri" w:cs="Times New Roman"/>
          <w:sz w:val="24"/>
          <w:szCs w:val="24"/>
          <w:lang w:val="en-GB" w:eastAsia="en-US"/>
        </w:rPr>
      </w:pPr>
    </w:p>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655782" w:rsidRPr="00655782" w14:paraId="5E1D0875" w14:textId="77777777" w:rsidTr="00CB03C5">
        <w:trPr>
          <w:cantSplit/>
          <w:trHeight w:val="23"/>
        </w:trPr>
        <w:tc>
          <w:tcPr>
            <w:tcW w:w="3969" w:type="dxa"/>
            <w:vMerge w:val="restart"/>
            <w:tcMar>
              <w:left w:w="0" w:type="dxa"/>
            </w:tcMar>
          </w:tcPr>
          <w:p w14:paraId="26B3B84B"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rPr>
                <w:rFonts w:ascii="Calibri" w:eastAsia="Batang" w:hAnsi="Calibri" w:cs="Times New Roman"/>
                <w:b/>
                <w:sz w:val="24"/>
                <w:szCs w:val="20"/>
                <w:lang w:val="en-GB" w:eastAsia="en-US"/>
              </w:rPr>
            </w:pPr>
          </w:p>
        </w:tc>
        <w:tc>
          <w:tcPr>
            <w:tcW w:w="5245" w:type="dxa"/>
          </w:tcPr>
          <w:p w14:paraId="57B1E14C"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before="0" w:line="240" w:lineRule="atLeast"/>
              <w:jc w:val="right"/>
              <w:textAlignment w:val="baseline"/>
              <w:rPr>
                <w:rFonts w:ascii="Calibri" w:eastAsia="Batang" w:hAnsi="Calibri" w:cs="Times New Roman"/>
                <w:bCs/>
                <w:sz w:val="24"/>
                <w:szCs w:val="20"/>
                <w:lang w:val="en-GB" w:eastAsia="en-US"/>
              </w:rPr>
            </w:pPr>
            <w:r w:rsidRPr="00655782">
              <w:rPr>
                <w:rFonts w:ascii="Calibri" w:eastAsia="Batang" w:hAnsi="Calibri" w:cs="Times New Roman"/>
                <w:bCs/>
                <w:sz w:val="24"/>
                <w:szCs w:val="20"/>
                <w:lang w:val="en-GB" w:eastAsia="en-US"/>
              </w:rPr>
              <w:t>Revision 1 to</w:t>
            </w:r>
            <w:r w:rsidRPr="00655782">
              <w:rPr>
                <w:rFonts w:ascii="Calibri" w:eastAsia="Batang" w:hAnsi="Calibri" w:cs="Times New Roman"/>
                <w:bCs/>
                <w:sz w:val="24"/>
                <w:szCs w:val="20"/>
                <w:lang w:val="en-GB" w:eastAsia="en-US"/>
              </w:rPr>
              <w:br/>
              <w:t>Document EG-ITRs-4/1</w:t>
            </w:r>
          </w:p>
        </w:tc>
      </w:tr>
      <w:tr w:rsidR="00655782" w:rsidRPr="00655782" w14:paraId="09EF8DC4" w14:textId="77777777" w:rsidTr="00CB03C5">
        <w:trPr>
          <w:cantSplit/>
        </w:trPr>
        <w:tc>
          <w:tcPr>
            <w:tcW w:w="3969" w:type="dxa"/>
            <w:vMerge/>
          </w:tcPr>
          <w:p w14:paraId="1ADA6745"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line="240" w:lineRule="atLeast"/>
              <w:jc w:val="left"/>
              <w:textAlignment w:val="baseline"/>
              <w:rPr>
                <w:rFonts w:ascii="Calibri" w:eastAsia="Batang" w:hAnsi="Calibri" w:cs="Times New Roman"/>
                <w:b/>
                <w:sz w:val="24"/>
                <w:szCs w:val="20"/>
                <w:lang w:val="en-GB" w:eastAsia="en-US"/>
              </w:rPr>
            </w:pPr>
          </w:p>
        </w:tc>
        <w:tc>
          <w:tcPr>
            <w:tcW w:w="5245" w:type="dxa"/>
          </w:tcPr>
          <w:p w14:paraId="47B871B8"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before="0" w:line="240" w:lineRule="auto"/>
              <w:jc w:val="right"/>
              <w:textAlignment w:val="baseline"/>
              <w:rPr>
                <w:rFonts w:ascii="Calibri" w:eastAsia="Batang" w:hAnsi="Calibri" w:cs="Times New Roman"/>
                <w:bCs/>
                <w:sz w:val="24"/>
                <w:szCs w:val="20"/>
                <w:lang w:val="en-GB" w:eastAsia="en-US"/>
              </w:rPr>
            </w:pPr>
            <w:r w:rsidRPr="00655782">
              <w:rPr>
                <w:rFonts w:ascii="Calibri" w:eastAsia="Batang" w:hAnsi="Calibri" w:cs="Times New Roman"/>
                <w:bCs/>
                <w:sz w:val="24"/>
                <w:szCs w:val="20"/>
                <w:lang w:val="en-GB" w:eastAsia="en-US"/>
              </w:rPr>
              <w:t>17 February 2025</w:t>
            </w:r>
          </w:p>
        </w:tc>
      </w:tr>
      <w:tr w:rsidR="00655782" w:rsidRPr="00655782" w14:paraId="120C4A5D" w14:textId="77777777" w:rsidTr="00CB03C5">
        <w:trPr>
          <w:cantSplit/>
          <w:trHeight w:val="23"/>
        </w:trPr>
        <w:tc>
          <w:tcPr>
            <w:tcW w:w="3969" w:type="dxa"/>
            <w:vMerge/>
          </w:tcPr>
          <w:p w14:paraId="461E5D96"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line="240" w:lineRule="atLeast"/>
              <w:jc w:val="left"/>
              <w:textAlignment w:val="baseline"/>
              <w:rPr>
                <w:rFonts w:ascii="Calibri" w:eastAsia="Batang" w:hAnsi="Calibri" w:cs="Times New Roman"/>
                <w:b/>
                <w:sz w:val="24"/>
                <w:szCs w:val="20"/>
                <w:lang w:val="en-GB" w:eastAsia="en-US"/>
              </w:rPr>
            </w:pPr>
          </w:p>
        </w:tc>
        <w:tc>
          <w:tcPr>
            <w:tcW w:w="5245" w:type="dxa"/>
          </w:tcPr>
          <w:p w14:paraId="15F924FA"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before="0" w:line="240" w:lineRule="atLeast"/>
              <w:jc w:val="right"/>
              <w:textAlignment w:val="baseline"/>
              <w:rPr>
                <w:rFonts w:ascii="Calibri" w:eastAsia="Batang" w:hAnsi="Calibri" w:cs="Times New Roman"/>
                <w:bCs/>
                <w:sz w:val="24"/>
                <w:szCs w:val="20"/>
                <w:lang w:val="en-GB" w:eastAsia="en-US"/>
              </w:rPr>
            </w:pPr>
            <w:r w:rsidRPr="00655782">
              <w:rPr>
                <w:rFonts w:ascii="Calibri" w:eastAsia="Batang" w:hAnsi="Calibri" w:cs="Times New Roman"/>
                <w:bCs/>
                <w:sz w:val="24"/>
                <w:szCs w:val="20"/>
                <w:lang w:val="en-GB" w:eastAsia="en-US"/>
              </w:rPr>
              <w:t>English only</w:t>
            </w:r>
          </w:p>
        </w:tc>
      </w:tr>
      <w:tr w:rsidR="00655782" w:rsidRPr="00655782" w14:paraId="3CB843E1" w14:textId="77777777" w:rsidTr="00CB03C5">
        <w:trPr>
          <w:cantSplit/>
          <w:trHeight w:val="23"/>
        </w:trPr>
        <w:tc>
          <w:tcPr>
            <w:tcW w:w="3969" w:type="dxa"/>
          </w:tcPr>
          <w:p w14:paraId="7C8D8675"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line="240" w:lineRule="atLeast"/>
              <w:jc w:val="left"/>
              <w:textAlignment w:val="baseline"/>
              <w:rPr>
                <w:rFonts w:ascii="Calibri" w:eastAsia="Batang" w:hAnsi="Calibri" w:cs="Times New Roman"/>
                <w:b/>
                <w:sz w:val="24"/>
                <w:szCs w:val="20"/>
                <w:lang w:val="en-GB" w:eastAsia="en-US"/>
              </w:rPr>
            </w:pPr>
          </w:p>
        </w:tc>
        <w:tc>
          <w:tcPr>
            <w:tcW w:w="5245" w:type="dxa"/>
          </w:tcPr>
          <w:p w14:paraId="5C6C2AF1" w14:textId="77777777" w:rsidR="00655782" w:rsidRPr="00655782" w:rsidRDefault="00655782" w:rsidP="00655782">
            <w:pPr>
              <w:tabs>
                <w:tab w:val="clear" w:pos="794"/>
                <w:tab w:val="left" w:pos="851"/>
                <w:tab w:val="left" w:pos="1134"/>
                <w:tab w:val="left" w:pos="1871"/>
                <w:tab w:val="left" w:pos="2268"/>
              </w:tabs>
              <w:overflowPunct w:val="0"/>
              <w:autoSpaceDE w:val="0"/>
              <w:autoSpaceDN w:val="0"/>
              <w:bidi w:val="0"/>
              <w:adjustRightInd w:val="0"/>
              <w:spacing w:before="0" w:line="240" w:lineRule="atLeast"/>
              <w:jc w:val="right"/>
              <w:textAlignment w:val="baseline"/>
              <w:rPr>
                <w:rFonts w:ascii="Calibri" w:eastAsia="Batang" w:hAnsi="Calibri" w:cs="Times New Roman"/>
                <w:b/>
                <w:sz w:val="24"/>
                <w:szCs w:val="20"/>
                <w:lang w:val="en-GB" w:eastAsia="en-US"/>
              </w:rPr>
            </w:pPr>
          </w:p>
        </w:tc>
      </w:tr>
    </w:tbl>
    <w:p w14:paraId="0410F0E6" w14:textId="77777777" w:rsidR="00655782" w:rsidRPr="00655782" w:rsidRDefault="00655782" w:rsidP="00655782">
      <w:pPr>
        <w:tabs>
          <w:tab w:val="left" w:pos="1191"/>
          <w:tab w:val="left" w:pos="1588"/>
          <w:tab w:val="left" w:pos="1985"/>
        </w:tabs>
        <w:overflowPunct w:val="0"/>
        <w:autoSpaceDE w:val="0"/>
        <w:autoSpaceDN w:val="0"/>
        <w:bidi w:val="0"/>
        <w:adjustRightInd w:val="0"/>
        <w:spacing w:before="720" w:line="240" w:lineRule="auto"/>
        <w:jc w:val="center"/>
        <w:textAlignment w:val="baseline"/>
        <w:rPr>
          <w:rFonts w:ascii="Calibri" w:eastAsia="SimSun" w:hAnsi="Calibri" w:cs="Calibri"/>
          <w:bCs/>
          <w:sz w:val="28"/>
          <w:szCs w:val="28"/>
          <w:lang w:val="en-GB" w:eastAsia="en-US"/>
        </w:rPr>
      </w:pPr>
      <w:r w:rsidRPr="00655782">
        <w:rPr>
          <w:rFonts w:ascii="Calibri" w:eastAsia="SimSun" w:hAnsi="Calibri" w:cs="Calibri"/>
          <w:bCs/>
          <w:sz w:val="28"/>
          <w:szCs w:val="28"/>
          <w:lang w:val="en-GB" w:eastAsia="en-US"/>
        </w:rPr>
        <w:t>DRAFT AGENDA</w:t>
      </w:r>
    </w:p>
    <w:p w14:paraId="18F65916" w14:textId="77777777" w:rsidR="00655782" w:rsidRPr="00655782" w:rsidRDefault="00655782" w:rsidP="00655782">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Calibri" w:hAnsi="Calibri" w:cs="Calibri"/>
          <w:b/>
          <w:kern w:val="2"/>
          <w:lang w:val="en-GB" w:eastAsia="en-US"/>
          <w14:ligatures w14:val="standardContextual"/>
        </w:rPr>
      </w:pPr>
      <w:r w:rsidRPr="00655782">
        <w:rPr>
          <w:rFonts w:ascii="Calibri" w:eastAsia="SimSun" w:hAnsi="Calibri" w:cs="Calibri"/>
          <w:b/>
          <w:sz w:val="28"/>
          <w:szCs w:val="28"/>
          <w:lang w:val="en-GB" w:eastAsia="en-US"/>
        </w:rPr>
        <w:t xml:space="preserve">EXPERT GROUP ON </w:t>
      </w:r>
      <w:r w:rsidRPr="00655782">
        <w:rPr>
          <w:rFonts w:ascii="Calibri" w:eastAsia="SimSun" w:hAnsi="Calibri" w:cs="Calibri"/>
          <w:b/>
          <w:sz w:val="28"/>
          <w:szCs w:val="28"/>
          <w:lang w:val="en-GB" w:eastAsia="en-US"/>
        </w:rPr>
        <w:br/>
        <w:t>INTERNATIONAL TELECOMMUNICATION REGULATIONS</w:t>
      </w:r>
    </w:p>
    <w:p w14:paraId="3DC456F1" w14:textId="77777777" w:rsidR="00655782" w:rsidRPr="00655782" w:rsidRDefault="00655782" w:rsidP="00655782">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SimSun" w:hAnsi="Calibri" w:cs="Calibri"/>
          <w:bCs/>
          <w:sz w:val="24"/>
          <w:szCs w:val="20"/>
          <w:lang w:val="en-GB" w:eastAsia="en-US"/>
        </w:rPr>
      </w:pPr>
      <w:r w:rsidRPr="00655782">
        <w:rPr>
          <w:rFonts w:ascii="Calibri" w:eastAsia="SimSun" w:hAnsi="Calibri" w:cs="Calibri"/>
          <w:bCs/>
          <w:sz w:val="24"/>
          <w:szCs w:val="20"/>
          <w:lang w:val="en-GB" w:eastAsia="en-US"/>
        </w:rPr>
        <w:t>Thursday, 20 February 2025, 1430 – 1730 hours</w:t>
      </w:r>
      <w:r w:rsidRPr="00655782">
        <w:rPr>
          <w:rFonts w:ascii="Calibri" w:eastAsia="SimSun" w:hAnsi="Calibri" w:cs="Calibri"/>
          <w:bCs/>
          <w:sz w:val="24"/>
          <w:szCs w:val="20"/>
          <w:lang w:val="en-GB" w:eastAsia="en-US"/>
        </w:rPr>
        <w:br/>
        <w:t>and</w:t>
      </w:r>
      <w:r w:rsidRPr="00655782">
        <w:rPr>
          <w:rFonts w:ascii="Calibri" w:eastAsia="SimSun" w:hAnsi="Calibri" w:cs="Calibri"/>
          <w:bCs/>
          <w:sz w:val="24"/>
          <w:szCs w:val="20"/>
          <w:lang w:val="en-GB" w:eastAsia="en-US"/>
        </w:rPr>
        <w:br/>
        <w:t>Friday, 21 February 2025, 0900 – 1200 and 1430 – 1730 hours</w:t>
      </w:r>
    </w:p>
    <w:p w14:paraId="30482D00" w14:textId="77777777" w:rsidR="00655782" w:rsidRPr="00655782" w:rsidRDefault="00655782" w:rsidP="00655782">
      <w:pPr>
        <w:tabs>
          <w:tab w:val="clear" w:pos="794"/>
        </w:tabs>
        <w:bidi w:val="0"/>
        <w:spacing w:after="240" w:line="259" w:lineRule="auto"/>
        <w:jc w:val="center"/>
        <w:rPr>
          <w:rFonts w:ascii="Calibri" w:eastAsia="Calibri" w:hAnsi="Calibri" w:cs="Times New Roman"/>
          <w:b/>
          <w:kern w:val="2"/>
          <w:sz w:val="24"/>
          <w:szCs w:val="24"/>
          <w:lang w:val="en-GB" w:eastAsia="en-US"/>
          <w14:ligatures w14:val="standardContextual"/>
        </w:rPr>
      </w:pPr>
      <w:r w:rsidRPr="00655782">
        <w:rPr>
          <w:rFonts w:ascii="Calibri" w:eastAsia="Calibri" w:hAnsi="Calibri" w:cs="Times New Roman"/>
          <w:b/>
          <w:kern w:val="2"/>
          <w:sz w:val="24"/>
          <w:szCs w:val="24"/>
          <w:lang w:val="en-GB" w:eastAsia="en-US"/>
          <w14:ligatures w14:val="standardContextual"/>
        </w:rPr>
        <w:t>Room A, ITU Headquarters, Geneva</w:t>
      </w:r>
    </w:p>
    <w:tbl>
      <w:tblPr>
        <w:tblStyle w:val="TableGrid1"/>
        <w:tblW w:w="9031" w:type="dxa"/>
        <w:jc w:val="center"/>
        <w:tblLayout w:type="fixed"/>
        <w:tblLook w:val="01E0" w:firstRow="1" w:lastRow="1" w:firstColumn="1" w:lastColumn="1" w:noHBand="0" w:noVBand="0"/>
      </w:tblPr>
      <w:tblGrid>
        <w:gridCol w:w="846"/>
        <w:gridCol w:w="6525"/>
        <w:gridCol w:w="1660"/>
      </w:tblGrid>
      <w:tr w:rsidR="00655782" w:rsidRPr="00655782" w14:paraId="70E4E802" w14:textId="77777777" w:rsidTr="00CB03C5">
        <w:trPr>
          <w:cantSplit/>
          <w:jc w:val="center"/>
        </w:trPr>
        <w:tc>
          <w:tcPr>
            <w:tcW w:w="846" w:type="dxa"/>
          </w:tcPr>
          <w:p w14:paraId="5BF31D7C" w14:textId="77777777" w:rsidR="00655782" w:rsidRPr="00655782" w:rsidRDefault="00655782" w:rsidP="00655782">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rPr>
                <w:rFonts w:ascii="Calibri" w:hAnsi="Calibri" w:cs="Times New Roman Bold"/>
                <w:b/>
                <w:lang w:val="en-GB" w:eastAsia="en-US"/>
              </w:rPr>
            </w:pPr>
            <w:r w:rsidRPr="00655782">
              <w:rPr>
                <w:rFonts w:ascii="Calibri" w:hAnsi="Calibri" w:cs="Times New Roman Bold"/>
                <w:b/>
                <w:lang w:val="en-GB" w:eastAsia="en-US"/>
              </w:rPr>
              <w:t>Item</w:t>
            </w:r>
          </w:p>
        </w:tc>
        <w:tc>
          <w:tcPr>
            <w:tcW w:w="6525" w:type="dxa"/>
          </w:tcPr>
          <w:p w14:paraId="18BEF8A3" w14:textId="77777777" w:rsidR="00655782" w:rsidRPr="00655782" w:rsidRDefault="00655782" w:rsidP="00655782">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rPr>
                <w:rFonts w:ascii="Calibri" w:hAnsi="Calibri" w:cs="Times New Roman Bold"/>
                <w:b/>
                <w:lang w:val="en-GB" w:eastAsia="en-US"/>
              </w:rPr>
            </w:pPr>
          </w:p>
        </w:tc>
        <w:tc>
          <w:tcPr>
            <w:tcW w:w="1660" w:type="dxa"/>
          </w:tcPr>
          <w:p w14:paraId="71554FD7" w14:textId="77777777" w:rsidR="00655782" w:rsidRPr="00655782" w:rsidRDefault="00655782" w:rsidP="00655782">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rPr>
                <w:rFonts w:ascii="Calibri" w:hAnsi="Calibri" w:cs="Times New Roman Bold"/>
                <w:b/>
                <w:lang w:val="en-GB" w:eastAsia="en-US"/>
              </w:rPr>
            </w:pPr>
            <w:r w:rsidRPr="00655782">
              <w:rPr>
                <w:rFonts w:ascii="Calibri" w:hAnsi="Calibri" w:cs="Times New Roman Bold"/>
                <w:b/>
                <w:lang w:val="en-GB" w:eastAsia="en-US"/>
              </w:rPr>
              <w:t>Documents</w:t>
            </w:r>
          </w:p>
        </w:tc>
      </w:tr>
      <w:tr w:rsidR="00655782" w:rsidRPr="00655782" w14:paraId="2D32E90E" w14:textId="77777777" w:rsidTr="00CB03C5">
        <w:trPr>
          <w:cantSplit/>
          <w:jc w:val="center"/>
        </w:trPr>
        <w:tc>
          <w:tcPr>
            <w:tcW w:w="846" w:type="dxa"/>
          </w:tcPr>
          <w:p w14:paraId="18A58D24"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bCs/>
                <w:lang w:val="en-GB" w:eastAsia="en-US"/>
              </w:rPr>
            </w:pPr>
            <w:r w:rsidRPr="00655782">
              <w:rPr>
                <w:rFonts w:ascii="Calibri" w:hAnsi="Calibri" w:cs="Times New Roman"/>
                <w:b/>
                <w:lang w:val="en-GB" w:eastAsia="en-US"/>
              </w:rPr>
              <w:t>1</w:t>
            </w:r>
          </w:p>
        </w:tc>
        <w:tc>
          <w:tcPr>
            <w:tcW w:w="6525" w:type="dxa"/>
          </w:tcPr>
          <w:p w14:paraId="22244DA9"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highlight w:val="yellow"/>
                <w:lang w:val="en-GB" w:eastAsia="en-US"/>
              </w:rPr>
            </w:pPr>
            <w:r w:rsidRPr="00655782">
              <w:rPr>
                <w:rFonts w:ascii="Calibri" w:hAnsi="Calibri" w:cs="Times New Roman"/>
                <w:lang w:val="en-GB" w:eastAsia="en-US"/>
              </w:rPr>
              <w:t>Introductory remarks</w:t>
            </w:r>
          </w:p>
        </w:tc>
        <w:tc>
          <w:tcPr>
            <w:tcW w:w="1660" w:type="dxa"/>
            <w:vAlign w:val="bottom"/>
          </w:tcPr>
          <w:p w14:paraId="65C40CFB"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p>
        </w:tc>
      </w:tr>
      <w:tr w:rsidR="00655782" w:rsidRPr="00655782" w14:paraId="0A315716" w14:textId="77777777" w:rsidTr="00CB03C5">
        <w:trPr>
          <w:cantSplit/>
          <w:jc w:val="center"/>
        </w:trPr>
        <w:tc>
          <w:tcPr>
            <w:tcW w:w="846" w:type="dxa"/>
          </w:tcPr>
          <w:p w14:paraId="152378D5"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bCs/>
                <w:lang w:val="en-GB" w:eastAsia="en-US"/>
              </w:rPr>
            </w:pPr>
            <w:r w:rsidRPr="00655782">
              <w:rPr>
                <w:rFonts w:ascii="Calibri" w:hAnsi="Calibri" w:cs="Times New Roman"/>
                <w:b/>
                <w:lang w:val="en-GB" w:eastAsia="en-US"/>
              </w:rPr>
              <w:t>2</w:t>
            </w:r>
          </w:p>
        </w:tc>
        <w:tc>
          <w:tcPr>
            <w:tcW w:w="6525" w:type="dxa"/>
          </w:tcPr>
          <w:p w14:paraId="0CDF4671"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hAnsi="Calibri" w:cs="Times New Roman"/>
                <w:lang w:val="en-GB" w:eastAsia="en-US"/>
              </w:rPr>
              <w:t>Adoption of the Agenda and allocation of documents</w:t>
            </w:r>
          </w:p>
        </w:tc>
        <w:tc>
          <w:tcPr>
            <w:tcW w:w="1660" w:type="dxa"/>
            <w:vAlign w:val="bottom"/>
          </w:tcPr>
          <w:p w14:paraId="6C9E2654"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r w:rsidRPr="00655782">
              <w:rPr>
                <w:rFonts w:ascii="Calibri" w:hAnsi="Calibri" w:cs="Times New Roman"/>
                <w:lang w:val="en-GB" w:eastAsia="en-US"/>
              </w:rPr>
              <w:t>EG-ITRs-4/1</w:t>
            </w:r>
          </w:p>
        </w:tc>
      </w:tr>
      <w:tr w:rsidR="00655782" w:rsidRPr="00655782" w14:paraId="07B90503" w14:textId="77777777" w:rsidTr="00CB03C5">
        <w:trPr>
          <w:cantSplit/>
          <w:jc w:val="center"/>
        </w:trPr>
        <w:tc>
          <w:tcPr>
            <w:tcW w:w="846" w:type="dxa"/>
          </w:tcPr>
          <w:p w14:paraId="21E69021"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bCs/>
                <w:lang w:val="en-GB" w:eastAsia="en-US"/>
              </w:rPr>
            </w:pPr>
            <w:r w:rsidRPr="00655782">
              <w:rPr>
                <w:rFonts w:ascii="Calibri" w:hAnsi="Calibri" w:cs="Times New Roman"/>
                <w:b/>
                <w:bCs/>
                <w:lang w:val="en-GB" w:eastAsia="en-US"/>
              </w:rPr>
              <w:t>3</w:t>
            </w:r>
          </w:p>
        </w:tc>
        <w:tc>
          <w:tcPr>
            <w:tcW w:w="6525" w:type="dxa"/>
          </w:tcPr>
          <w:p w14:paraId="2534111D"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eastAsia="Calibri" w:hAnsi="Calibri" w:cs="Times New Roman"/>
                <w:bCs/>
                <w:kern w:val="2"/>
                <w:szCs w:val="24"/>
                <w:lang w:val="en-GB" w:eastAsia="en-US"/>
                <w14:ligatures w14:val="standardContextual"/>
              </w:rPr>
              <w:t>Introduction/Discussion of general contributions from Member States and Sector Members</w:t>
            </w:r>
          </w:p>
        </w:tc>
        <w:tc>
          <w:tcPr>
            <w:tcW w:w="1660" w:type="dxa"/>
            <w:vAlign w:val="bottom"/>
          </w:tcPr>
          <w:p w14:paraId="5981582E"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hyperlink r:id="rId27" w:history="1">
              <w:r w:rsidR="00655782" w:rsidRPr="00655782">
                <w:rPr>
                  <w:rFonts w:ascii="Calibri" w:hAnsi="Calibri" w:cs="Times New Roman"/>
                  <w:color w:val="0000FF"/>
                  <w:u w:val="single"/>
                  <w:lang w:val="en-GB" w:eastAsia="en-US"/>
                </w:rPr>
                <w:t>EG-ITRs-4/2</w:t>
              </w:r>
            </w:hyperlink>
          </w:p>
          <w:p w14:paraId="5220C3F6"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hyperlink r:id="rId28" w:history="1">
              <w:r w:rsidR="00655782" w:rsidRPr="00655782">
                <w:rPr>
                  <w:rFonts w:ascii="Calibri" w:hAnsi="Calibri" w:cs="Times New Roman"/>
                  <w:color w:val="0000FF"/>
                  <w:u w:val="single"/>
                  <w:lang w:val="en-GB" w:eastAsia="en-US"/>
                </w:rPr>
                <w:t>EG-ITRs-4/6</w:t>
              </w:r>
            </w:hyperlink>
          </w:p>
          <w:p w14:paraId="4E0A99BF"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hyperlink r:id="rId29" w:history="1">
              <w:r w:rsidR="00655782" w:rsidRPr="00655782">
                <w:rPr>
                  <w:rFonts w:ascii="Calibri" w:hAnsi="Calibri" w:cs="Times New Roman"/>
                  <w:color w:val="0000FF"/>
                  <w:u w:val="single"/>
                  <w:lang w:val="en-GB" w:eastAsia="en-US"/>
                </w:rPr>
                <w:t>EG-ITRs-4/7</w:t>
              </w:r>
            </w:hyperlink>
          </w:p>
        </w:tc>
      </w:tr>
      <w:tr w:rsidR="00655782" w:rsidRPr="00655782" w14:paraId="6DFA289F" w14:textId="77777777" w:rsidTr="00CB03C5">
        <w:trPr>
          <w:cantSplit/>
          <w:jc w:val="center"/>
        </w:trPr>
        <w:tc>
          <w:tcPr>
            <w:tcW w:w="846" w:type="dxa"/>
          </w:tcPr>
          <w:p w14:paraId="600208A6"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bCs/>
                <w:lang w:val="en-GB" w:eastAsia="en-US"/>
              </w:rPr>
            </w:pPr>
            <w:r w:rsidRPr="00655782">
              <w:rPr>
                <w:rFonts w:ascii="Calibri" w:hAnsi="Calibri" w:cs="Times New Roman"/>
                <w:b/>
                <w:bCs/>
                <w:lang w:val="en-GB" w:eastAsia="en-US"/>
              </w:rPr>
              <w:t>4</w:t>
            </w:r>
          </w:p>
        </w:tc>
        <w:tc>
          <w:tcPr>
            <w:tcW w:w="6525" w:type="dxa"/>
          </w:tcPr>
          <w:p w14:paraId="4912A9DC"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eastAsia="Calibri" w:hAnsi="Calibri" w:cs="Times New Roman"/>
                <w:bCs/>
                <w:kern w:val="2"/>
                <w:szCs w:val="24"/>
                <w:lang w:val="en-GB" w:eastAsia="en-US"/>
                <w14:ligatures w14:val="standardContextual"/>
              </w:rPr>
            </w:pPr>
            <w:r w:rsidRPr="00655782">
              <w:rPr>
                <w:rFonts w:ascii="Calibri" w:eastAsia="Calibri" w:hAnsi="Calibri" w:cs="Times New Roman"/>
                <w:bCs/>
                <w:kern w:val="2"/>
                <w:szCs w:val="24"/>
                <w:lang w:val="en-GB" w:eastAsia="en-US"/>
                <w14:ligatures w14:val="standardContextual"/>
              </w:rPr>
              <w:t>Introduction/Discussion of contributions from Member States and Sector Members on the Final Report</w:t>
            </w:r>
          </w:p>
        </w:tc>
        <w:tc>
          <w:tcPr>
            <w:tcW w:w="1660" w:type="dxa"/>
            <w:vAlign w:val="bottom"/>
          </w:tcPr>
          <w:p w14:paraId="6C0B49CA"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hyperlink r:id="rId30" w:history="1">
              <w:r w:rsidR="00655782" w:rsidRPr="00655782">
                <w:rPr>
                  <w:rFonts w:ascii="Calibri" w:hAnsi="Calibri" w:cs="Times New Roman"/>
                  <w:color w:val="0000FF"/>
                  <w:u w:val="single"/>
                  <w:lang w:val="en-GB" w:eastAsia="en-US"/>
                </w:rPr>
                <w:t>EG-ITRs-4/3</w:t>
              </w:r>
            </w:hyperlink>
          </w:p>
          <w:p w14:paraId="081AC7AB"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hyperlink r:id="rId31" w:history="1">
              <w:r w:rsidR="00655782" w:rsidRPr="00655782">
                <w:rPr>
                  <w:rFonts w:ascii="Calibri" w:hAnsi="Calibri" w:cs="Times New Roman"/>
                  <w:color w:val="0000FF"/>
                  <w:u w:val="single"/>
                  <w:lang w:val="en-GB" w:eastAsia="en-US"/>
                </w:rPr>
                <w:t>EG-ITRs-4/4</w:t>
              </w:r>
            </w:hyperlink>
          </w:p>
          <w:p w14:paraId="066A9336"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hyperlink r:id="rId32" w:history="1">
              <w:r w:rsidR="00655782" w:rsidRPr="00655782">
                <w:rPr>
                  <w:rFonts w:ascii="Calibri" w:hAnsi="Calibri" w:cs="Times New Roman"/>
                  <w:color w:val="0000FF"/>
                  <w:u w:val="single"/>
                  <w:lang w:val="en-GB" w:eastAsia="en-US"/>
                </w:rPr>
                <w:t>EG-ITRs-4/5</w:t>
              </w:r>
            </w:hyperlink>
          </w:p>
          <w:p w14:paraId="419E38E9" w14:textId="77777777" w:rsidR="00655782" w:rsidRPr="00655782" w:rsidRDefault="00303F3D"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hyperlink r:id="rId33" w:history="1">
              <w:r w:rsidR="00655782" w:rsidRPr="00655782">
                <w:rPr>
                  <w:rFonts w:ascii="Calibri" w:hAnsi="Calibri" w:cs="Times New Roman"/>
                  <w:color w:val="0000FF"/>
                  <w:u w:val="single"/>
                  <w:lang w:val="en-GB" w:eastAsia="en-US"/>
                </w:rPr>
                <w:t>EG-ITRs-4/8</w:t>
              </w:r>
            </w:hyperlink>
          </w:p>
        </w:tc>
      </w:tr>
      <w:tr w:rsidR="00655782" w:rsidRPr="00655782" w14:paraId="2A43BDB6" w14:textId="77777777" w:rsidTr="00CB03C5">
        <w:trPr>
          <w:cantSplit/>
          <w:jc w:val="center"/>
        </w:trPr>
        <w:tc>
          <w:tcPr>
            <w:tcW w:w="846" w:type="dxa"/>
          </w:tcPr>
          <w:p w14:paraId="30F53DC5"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bCs/>
                <w:lang w:val="en-GB" w:eastAsia="en-US"/>
              </w:rPr>
            </w:pPr>
            <w:r w:rsidRPr="00655782">
              <w:rPr>
                <w:rFonts w:ascii="Calibri" w:hAnsi="Calibri" w:cs="Times New Roman"/>
                <w:b/>
                <w:bCs/>
                <w:lang w:val="en-GB" w:eastAsia="en-US"/>
              </w:rPr>
              <w:t>5</w:t>
            </w:r>
          </w:p>
        </w:tc>
        <w:tc>
          <w:tcPr>
            <w:tcW w:w="6525" w:type="dxa"/>
          </w:tcPr>
          <w:p w14:paraId="4B4F7885"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eastAsia="Calibri" w:hAnsi="Calibri" w:cs="Times New Roman"/>
                <w:bCs/>
                <w:kern w:val="2"/>
                <w:szCs w:val="24"/>
                <w:lang w:val="en-GB" w:eastAsia="en-US"/>
                <w14:ligatures w14:val="standardContextual"/>
              </w:rPr>
              <w:t>Discussion on next steps</w:t>
            </w:r>
          </w:p>
        </w:tc>
        <w:tc>
          <w:tcPr>
            <w:tcW w:w="1660" w:type="dxa"/>
            <w:vAlign w:val="bottom"/>
          </w:tcPr>
          <w:p w14:paraId="42CF6ADF"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p>
        </w:tc>
      </w:tr>
      <w:tr w:rsidR="00655782" w:rsidRPr="00655782" w14:paraId="7644B9A7" w14:textId="77777777" w:rsidTr="00CB03C5">
        <w:trPr>
          <w:cantSplit/>
          <w:jc w:val="center"/>
        </w:trPr>
        <w:tc>
          <w:tcPr>
            <w:tcW w:w="846" w:type="dxa"/>
          </w:tcPr>
          <w:p w14:paraId="03D1BAA6"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b/>
                <w:bCs/>
                <w:lang w:val="en-GB" w:eastAsia="en-US"/>
              </w:rPr>
            </w:pPr>
            <w:r w:rsidRPr="00655782">
              <w:rPr>
                <w:rFonts w:ascii="Calibri" w:hAnsi="Calibri" w:cs="Times New Roman"/>
                <w:b/>
                <w:lang w:val="en-GB" w:eastAsia="en-US"/>
              </w:rPr>
              <w:t>6</w:t>
            </w:r>
          </w:p>
        </w:tc>
        <w:tc>
          <w:tcPr>
            <w:tcW w:w="6525" w:type="dxa"/>
          </w:tcPr>
          <w:p w14:paraId="1FF22961"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Calibri" w:hAnsi="Calibri" w:cs="Times New Roman"/>
                <w:lang w:val="en-GB" w:eastAsia="en-US"/>
              </w:rPr>
            </w:pPr>
            <w:r w:rsidRPr="00655782">
              <w:rPr>
                <w:rFonts w:ascii="Calibri" w:hAnsi="Calibri" w:cs="Times New Roman"/>
                <w:lang w:val="en-GB" w:eastAsia="en-US"/>
              </w:rPr>
              <w:t>Any other business</w:t>
            </w:r>
          </w:p>
        </w:tc>
        <w:tc>
          <w:tcPr>
            <w:tcW w:w="1660" w:type="dxa"/>
            <w:vAlign w:val="bottom"/>
          </w:tcPr>
          <w:p w14:paraId="282A351F" w14:textId="77777777" w:rsidR="00655782" w:rsidRPr="00655782" w:rsidRDefault="00655782" w:rsidP="00655782">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hAnsi="Calibri" w:cs="Times New Roman"/>
                <w:lang w:val="en-GB" w:eastAsia="en-US"/>
              </w:rPr>
            </w:pPr>
          </w:p>
        </w:tc>
      </w:tr>
    </w:tbl>
    <w:p w14:paraId="143A90BF" w14:textId="35C0147A" w:rsidR="0019128D" w:rsidRPr="007E6CE0" w:rsidRDefault="00655782" w:rsidP="007E6CE0">
      <w:pPr>
        <w:tabs>
          <w:tab w:val="clear" w:pos="794"/>
          <w:tab w:val="center" w:pos="6804"/>
        </w:tabs>
        <w:overflowPunct w:val="0"/>
        <w:autoSpaceDE w:val="0"/>
        <w:autoSpaceDN w:val="0"/>
        <w:bidi w:val="0"/>
        <w:adjustRightInd w:val="0"/>
        <w:spacing w:before="840" w:line="240" w:lineRule="auto"/>
        <w:jc w:val="left"/>
        <w:textAlignment w:val="baseline"/>
        <w:rPr>
          <w:rFonts w:ascii="Calibri" w:eastAsia="Calibri" w:hAnsi="Calibri" w:cs="Times New Roman"/>
          <w:sz w:val="24"/>
          <w:szCs w:val="24"/>
          <w:rtl/>
          <w:lang w:val="en-GB" w:eastAsia="en-US"/>
        </w:rPr>
      </w:pPr>
      <w:proofErr w:type="spellStart"/>
      <w:r w:rsidRPr="00655782">
        <w:rPr>
          <w:rFonts w:ascii="Calibri" w:eastAsia="Calibri" w:hAnsi="Calibri" w:cs="Times New Roman"/>
          <w:sz w:val="24"/>
          <w:szCs w:val="24"/>
          <w:lang w:val="en-GB" w:eastAsia="en-US"/>
        </w:rPr>
        <w:t>Shahira</w:t>
      </w:r>
      <w:proofErr w:type="spellEnd"/>
      <w:r w:rsidRPr="00655782">
        <w:rPr>
          <w:rFonts w:ascii="Calibri" w:eastAsia="Calibri" w:hAnsi="Calibri" w:cs="Times New Roman"/>
          <w:sz w:val="24"/>
          <w:szCs w:val="24"/>
          <w:lang w:val="en-GB" w:eastAsia="en-US"/>
        </w:rPr>
        <w:t xml:space="preserve"> SELIM</w:t>
      </w:r>
      <w:r w:rsidRPr="00655782">
        <w:rPr>
          <w:rFonts w:ascii="Calibri" w:eastAsia="Calibri" w:hAnsi="Calibri" w:cs="Times New Roman"/>
          <w:sz w:val="24"/>
          <w:szCs w:val="24"/>
          <w:lang w:val="en-GB" w:eastAsia="en-US"/>
        </w:rPr>
        <w:br/>
      </w:r>
      <w:r w:rsidRPr="00655782">
        <w:rPr>
          <w:rFonts w:ascii="Calibri" w:eastAsia="Calibri" w:hAnsi="Calibri" w:cs="Times New Roman"/>
          <w:sz w:val="24"/>
          <w:szCs w:val="24"/>
          <w:lang w:val="en-GB" w:eastAsia="en-US"/>
        </w:rPr>
        <w:tab/>
        <w:t>Chair</w:t>
      </w:r>
    </w:p>
    <w:p w14:paraId="25CFB958"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BF63" w14:textId="77777777" w:rsidR="00B92FBE" w:rsidRDefault="00B92FBE" w:rsidP="006C3242">
      <w:pPr>
        <w:spacing w:before="0" w:line="240" w:lineRule="auto"/>
      </w:pPr>
      <w:r>
        <w:separator/>
      </w:r>
    </w:p>
  </w:endnote>
  <w:endnote w:type="continuationSeparator" w:id="0">
    <w:p w14:paraId="793992AC" w14:textId="77777777" w:rsidR="00B92FBE" w:rsidRDefault="00B92FB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sig w:usb0="00000000"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5E809FC2" w14:textId="77777777" w:rsidTr="00031158">
      <w:tc>
        <w:tcPr>
          <w:tcW w:w="991" w:type="dxa"/>
          <w:tcBorders>
            <w:top w:val="single" w:sz="4" w:space="0" w:color="auto"/>
            <w:left w:val="nil"/>
            <w:bottom w:val="nil"/>
            <w:right w:val="nil"/>
          </w:tcBorders>
          <w:shd w:val="clear" w:color="auto" w:fill="FFFFFF" w:themeFill="background1"/>
          <w:hideMark/>
        </w:tcPr>
        <w:p w14:paraId="5C10D7B6"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D30479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103864D3" w14:textId="580A511A" w:rsidR="00AD1E92" w:rsidRPr="00303F3D" w:rsidRDefault="00655782" w:rsidP="00AD1E92">
          <w:pPr>
            <w:spacing w:before="60" w:after="40" w:line="260" w:lineRule="exact"/>
            <w:rPr>
              <w:spacing w:val="2"/>
              <w:position w:val="2"/>
              <w:sz w:val="18"/>
              <w:szCs w:val="18"/>
              <w:lang w:val="en-GB"/>
            </w:rPr>
          </w:pPr>
          <w:r w:rsidRPr="00303F3D">
            <w:rPr>
              <w:spacing w:val="2"/>
              <w:position w:val="2"/>
              <w:sz w:val="18"/>
              <w:szCs w:val="18"/>
              <w:rtl/>
              <w:lang w:val="fr-FR" w:bidi="ar-EG"/>
            </w:rPr>
            <w:t>السيدة</w:t>
          </w:r>
          <w:r w:rsidR="006F74E3" w:rsidRPr="00303F3D">
            <w:rPr>
              <w:spacing w:val="2"/>
              <w:position w:val="2"/>
              <w:sz w:val="18"/>
              <w:szCs w:val="18"/>
              <w:rtl/>
              <w:lang w:val="fr-FR" w:bidi="ar-EG"/>
            </w:rPr>
            <w:t xml:space="preserve"> </w:t>
          </w:r>
          <w:r w:rsidR="006F74E3" w:rsidRPr="00303F3D">
            <w:rPr>
              <w:spacing w:val="2"/>
              <w:sz w:val="18"/>
              <w:szCs w:val="18"/>
            </w:rPr>
            <w:t>Carmen Prado-Wagner</w:t>
          </w:r>
          <w:r w:rsidRPr="00303F3D">
            <w:rPr>
              <w:spacing w:val="2"/>
              <w:position w:val="2"/>
              <w:sz w:val="18"/>
              <w:szCs w:val="18"/>
              <w:rtl/>
              <w:lang w:val="fr-FR" w:bidi="ar-EG"/>
            </w:rPr>
            <w:t>، موظفة أولى، البيئة التنظيمية والسوقية (</w:t>
          </w:r>
          <w:r w:rsidRPr="00303F3D">
            <w:rPr>
              <w:spacing w:val="2"/>
              <w:position w:val="2"/>
              <w:sz w:val="18"/>
              <w:szCs w:val="18"/>
              <w:lang w:val="fr-FR" w:bidi="ar-EG"/>
            </w:rPr>
            <w:t>RME</w:t>
          </w:r>
          <w:r w:rsidRPr="00303F3D">
            <w:rPr>
              <w:spacing w:val="2"/>
              <w:position w:val="2"/>
              <w:sz w:val="18"/>
              <w:szCs w:val="18"/>
              <w:rtl/>
              <w:lang w:val="fr-FR" w:bidi="ar-EG"/>
            </w:rPr>
            <w:t>)، مكتب تنمية الاتصالات</w:t>
          </w:r>
        </w:p>
      </w:tc>
    </w:tr>
    <w:tr w:rsidR="00AD1E92" w:rsidRPr="00AD1E92" w14:paraId="436BB45A" w14:textId="77777777" w:rsidTr="00031158">
      <w:tc>
        <w:tcPr>
          <w:tcW w:w="991" w:type="dxa"/>
        </w:tcPr>
        <w:p w14:paraId="077DBCA8"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7DBB3113"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1156A103" w14:textId="13EA23C5" w:rsidR="00AD1E92" w:rsidRPr="00AD1E92" w:rsidRDefault="00655782" w:rsidP="00AD1E92">
          <w:pPr>
            <w:spacing w:before="60" w:after="40" w:line="260" w:lineRule="exact"/>
            <w:rPr>
              <w:position w:val="2"/>
              <w:sz w:val="18"/>
              <w:szCs w:val="18"/>
              <w:lang w:val="en-GB"/>
            </w:rPr>
          </w:pPr>
          <w:r w:rsidRPr="0032244E">
            <w:rPr>
              <w:sz w:val="18"/>
              <w:szCs w:val="18"/>
            </w:rPr>
            <w:t>+41 22 730 6350</w:t>
          </w:r>
        </w:p>
      </w:tc>
    </w:tr>
    <w:tr w:rsidR="00AD1E92" w:rsidRPr="00AD1E92" w14:paraId="1960A1BC" w14:textId="77777777" w:rsidTr="00031158">
      <w:tc>
        <w:tcPr>
          <w:tcW w:w="991" w:type="dxa"/>
        </w:tcPr>
        <w:p w14:paraId="15F2A662"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18E5AE3C"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3E59E2DA" w14:textId="55AB8F61" w:rsidR="00AD1E92" w:rsidRPr="00AD1E92" w:rsidRDefault="00303F3D" w:rsidP="00AD1E92">
          <w:pPr>
            <w:spacing w:before="60" w:after="40" w:line="260" w:lineRule="exact"/>
            <w:rPr>
              <w:position w:val="2"/>
              <w:sz w:val="18"/>
              <w:szCs w:val="18"/>
              <w:rtl/>
              <w:lang w:val="fr-FR" w:bidi="ar-EG"/>
            </w:rPr>
          </w:pPr>
          <w:hyperlink r:id="rId1" w:history="1">
            <w:hyperlink r:id="rId2" w:history="1">
              <w:r w:rsidR="00655782" w:rsidRPr="0032244E">
                <w:rPr>
                  <w:rStyle w:val="Hyperlink"/>
                  <w:sz w:val="18"/>
                  <w:szCs w:val="18"/>
                </w:rPr>
                <w:t>carmen.prado@itu.int</w:t>
              </w:r>
            </w:hyperlink>
            <w:r w:rsidR="00655782" w:rsidRPr="006E37EF">
              <w:rPr>
                <w:sz w:val="18"/>
                <w:szCs w:val="18"/>
              </w:rPr>
              <w:t xml:space="preserve"> </w:t>
            </w:r>
          </w:hyperlink>
          <w:hyperlink r:id="rId3" w:history="1"/>
        </w:p>
      </w:tc>
    </w:tr>
  </w:tbl>
  <w:p w14:paraId="2B29694A"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6F8A" w14:textId="77777777" w:rsidR="00B92FBE" w:rsidRDefault="00B92FBE" w:rsidP="006C3242">
      <w:pPr>
        <w:spacing w:before="0" w:line="240" w:lineRule="auto"/>
      </w:pPr>
      <w:r>
        <w:separator/>
      </w:r>
    </w:p>
  </w:footnote>
  <w:footnote w:type="continuationSeparator" w:id="0">
    <w:p w14:paraId="51196177" w14:textId="77777777" w:rsidR="00B92FBE" w:rsidRDefault="00B92FBE" w:rsidP="006C3242">
      <w:pPr>
        <w:spacing w:before="0" w:line="240" w:lineRule="auto"/>
      </w:pPr>
      <w:r>
        <w:continuationSeparator/>
      </w:r>
    </w:p>
  </w:footnote>
  <w:footnote w:id="1">
    <w:p w14:paraId="065E465D" w14:textId="5FA4B2AA" w:rsidR="00655782" w:rsidRPr="007E6CE0" w:rsidRDefault="00655782" w:rsidP="00B709B6">
      <w:pPr>
        <w:pStyle w:val="FootnoteText"/>
        <w:rPr>
          <w:rtl/>
        </w:rPr>
      </w:pPr>
      <w:r w:rsidRPr="007E6CE0">
        <w:rPr>
          <w:rStyle w:val="FootnoteReference"/>
        </w:rPr>
        <w:footnoteRef/>
      </w:r>
      <w:r w:rsidRPr="007E6CE0">
        <w:rPr>
          <w:rtl/>
        </w:rPr>
        <w:tab/>
      </w:r>
      <w:hyperlink r:id="rId1" w:anchor="/ar" w:history="1">
        <w:r w:rsidR="00B709B6">
          <w:rPr>
            <w:rStyle w:val="Hyperlink"/>
            <w:sz w:val="20"/>
          </w:rPr>
          <w:t>https://www.itu.int/en/council/Pages/eg-itrs.aspx#/ar</w:t>
        </w:r>
      </w:hyperlink>
    </w:p>
  </w:footnote>
  <w:footnote w:id="2">
    <w:p w14:paraId="69BE0C04" w14:textId="4C671BA5" w:rsidR="00655782" w:rsidRDefault="00655782" w:rsidP="00B709B6">
      <w:pPr>
        <w:pStyle w:val="FootnoteText"/>
        <w:rPr>
          <w:rtl/>
        </w:rPr>
      </w:pPr>
      <w:r>
        <w:rPr>
          <w:rStyle w:val="FootnoteReference"/>
        </w:rPr>
        <w:footnoteRef/>
      </w:r>
      <w:r>
        <w:rPr>
          <w:rtl/>
        </w:rPr>
        <w:tab/>
      </w:r>
      <w:r w:rsidRPr="00352F2F">
        <w:rPr>
          <w:rtl/>
        </w:rPr>
        <w:t xml:space="preserve">تشمل أقل البلدان نمواً والدول الجزرية الصغيرة النامية والبلدان النامية </w:t>
      </w:r>
      <w:r>
        <w:rPr>
          <w:rtl/>
        </w:rPr>
        <w:t>المحاطة باليابسة</w:t>
      </w:r>
      <w:r w:rsidRPr="00352F2F">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7558ECA" w14:textId="14ED09C8"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6" w:name="DocNo2"/>
        <w:bookmarkEnd w:id="6"/>
        <w:r w:rsidR="006B266A">
          <w:rPr>
            <w:sz w:val="20"/>
            <w:szCs w:val="20"/>
            <w:lang w:val="es-ES_tradnl"/>
          </w:rPr>
          <w:t>5</w:t>
        </w:r>
        <w:r w:rsidR="004F0F62" w:rsidRPr="004F0F62">
          <w:rPr>
            <w:sz w:val="20"/>
            <w:szCs w:val="20"/>
            <w:lang w:val="es-ES_tradnl"/>
          </w:rPr>
          <w:t>/</w:t>
        </w:r>
        <w:r w:rsidR="00655782">
          <w:rPr>
            <w:sz w:val="20"/>
            <w:szCs w:val="20"/>
            <w:lang w:val="es-ES_tradnl"/>
          </w:rPr>
          <w:t>27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BE"/>
    <w:rsid w:val="00026D7C"/>
    <w:rsid w:val="0006468A"/>
    <w:rsid w:val="00090574"/>
    <w:rsid w:val="000C1C0E"/>
    <w:rsid w:val="000C548A"/>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A0EEF"/>
    <w:rsid w:val="002B028D"/>
    <w:rsid w:val="002D14BA"/>
    <w:rsid w:val="002D695E"/>
    <w:rsid w:val="002E6541"/>
    <w:rsid w:val="00303F3D"/>
    <w:rsid w:val="00317741"/>
    <w:rsid w:val="00334924"/>
    <w:rsid w:val="003409BC"/>
    <w:rsid w:val="00352462"/>
    <w:rsid w:val="00357185"/>
    <w:rsid w:val="003756E2"/>
    <w:rsid w:val="00383829"/>
    <w:rsid w:val="003971E3"/>
    <w:rsid w:val="003C4402"/>
    <w:rsid w:val="003F4B29"/>
    <w:rsid w:val="004200BD"/>
    <w:rsid w:val="0042686F"/>
    <w:rsid w:val="004317D8"/>
    <w:rsid w:val="00434183"/>
    <w:rsid w:val="00443869"/>
    <w:rsid w:val="00447F32"/>
    <w:rsid w:val="00457D22"/>
    <w:rsid w:val="004A0B7B"/>
    <w:rsid w:val="004E11DC"/>
    <w:rsid w:val="004F0F62"/>
    <w:rsid w:val="004F3C48"/>
    <w:rsid w:val="00506E94"/>
    <w:rsid w:val="00525DDD"/>
    <w:rsid w:val="005409AC"/>
    <w:rsid w:val="0055516A"/>
    <w:rsid w:val="0058491B"/>
    <w:rsid w:val="005874F2"/>
    <w:rsid w:val="00592EA5"/>
    <w:rsid w:val="005A3170"/>
    <w:rsid w:val="005B2C89"/>
    <w:rsid w:val="005C0C76"/>
    <w:rsid w:val="005D610E"/>
    <w:rsid w:val="005D63D6"/>
    <w:rsid w:val="005E1E6D"/>
    <w:rsid w:val="006128FC"/>
    <w:rsid w:val="00655782"/>
    <w:rsid w:val="00677396"/>
    <w:rsid w:val="0069200F"/>
    <w:rsid w:val="006A5FEC"/>
    <w:rsid w:val="006A65CB"/>
    <w:rsid w:val="006B266A"/>
    <w:rsid w:val="006C3242"/>
    <w:rsid w:val="006C7CC0"/>
    <w:rsid w:val="006E4285"/>
    <w:rsid w:val="006F63F7"/>
    <w:rsid w:val="006F74E3"/>
    <w:rsid w:val="007025C7"/>
    <w:rsid w:val="00706D7A"/>
    <w:rsid w:val="00712686"/>
    <w:rsid w:val="00722F0D"/>
    <w:rsid w:val="0074420E"/>
    <w:rsid w:val="0074742E"/>
    <w:rsid w:val="00747A70"/>
    <w:rsid w:val="00783A69"/>
    <w:rsid w:val="00783E26"/>
    <w:rsid w:val="007A1D77"/>
    <w:rsid w:val="007B4563"/>
    <w:rsid w:val="007B4FA0"/>
    <w:rsid w:val="007C3BC7"/>
    <w:rsid w:val="007C3BCD"/>
    <w:rsid w:val="007D345C"/>
    <w:rsid w:val="007D4ACF"/>
    <w:rsid w:val="007E6CE0"/>
    <w:rsid w:val="007F0787"/>
    <w:rsid w:val="00810B7B"/>
    <w:rsid w:val="00811356"/>
    <w:rsid w:val="0082358A"/>
    <w:rsid w:val="008235CD"/>
    <w:rsid w:val="008247DE"/>
    <w:rsid w:val="008407C3"/>
    <w:rsid w:val="00840B10"/>
    <w:rsid w:val="008513CB"/>
    <w:rsid w:val="00855F97"/>
    <w:rsid w:val="008562F3"/>
    <w:rsid w:val="00874F08"/>
    <w:rsid w:val="00882A17"/>
    <w:rsid w:val="00886F81"/>
    <w:rsid w:val="008A7F84"/>
    <w:rsid w:val="0091702E"/>
    <w:rsid w:val="00923B0C"/>
    <w:rsid w:val="0094021C"/>
    <w:rsid w:val="0094065A"/>
    <w:rsid w:val="00952F86"/>
    <w:rsid w:val="00957084"/>
    <w:rsid w:val="00982B28"/>
    <w:rsid w:val="00983DA5"/>
    <w:rsid w:val="009D313F"/>
    <w:rsid w:val="009F3C8E"/>
    <w:rsid w:val="00A15396"/>
    <w:rsid w:val="00A24359"/>
    <w:rsid w:val="00A47A5A"/>
    <w:rsid w:val="00A6683B"/>
    <w:rsid w:val="00A76CE5"/>
    <w:rsid w:val="00A97F94"/>
    <w:rsid w:val="00AA7EA2"/>
    <w:rsid w:val="00AD1E92"/>
    <w:rsid w:val="00B03099"/>
    <w:rsid w:val="00B05BC8"/>
    <w:rsid w:val="00B319BC"/>
    <w:rsid w:val="00B64B47"/>
    <w:rsid w:val="00B709B6"/>
    <w:rsid w:val="00B92FBE"/>
    <w:rsid w:val="00B93B7B"/>
    <w:rsid w:val="00BB3741"/>
    <w:rsid w:val="00BC4B48"/>
    <w:rsid w:val="00BD19D5"/>
    <w:rsid w:val="00C002DE"/>
    <w:rsid w:val="00C00BA1"/>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55C39"/>
    <w:rsid w:val="00D77D0F"/>
    <w:rsid w:val="00D8311F"/>
    <w:rsid w:val="00D84440"/>
    <w:rsid w:val="00DA1CF0"/>
    <w:rsid w:val="00DC1E02"/>
    <w:rsid w:val="00DC24B4"/>
    <w:rsid w:val="00DC5FB0"/>
    <w:rsid w:val="00DF16DC"/>
    <w:rsid w:val="00E43176"/>
    <w:rsid w:val="00E45211"/>
    <w:rsid w:val="00E473C5"/>
    <w:rsid w:val="00E92863"/>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934F8"/>
  <w15:chartTrackingRefBased/>
  <w15:docId w15:val="{F5E46F64-D3E1-4BE3-881C-607C4D95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autoRedefine/>
    <w:unhideWhenUsed/>
    <w:qFormat/>
    <w:rsid w:val="00B709B6"/>
    <w:pPr>
      <w:tabs>
        <w:tab w:val="clear" w:pos="794"/>
        <w:tab w:val="left" w:pos="425"/>
      </w:tabs>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709B6"/>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655782"/>
    <w:rPr>
      <w:color w:val="605E5C"/>
      <w:shd w:val="clear" w:color="auto" w:fill="E1DFDD"/>
    </w:rPr>
  </w:style>
  <w:style w:type="paragraph" w:customStyle="1" w:styleId="BodyAA">
    <w:name w:val="Body A A"/>
    <w:rsid w:val="00655782"/>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rPr>
  </w:style>
  <w:style w:type="table" w:customStyle="1" w:styleId="TableGrid1">
    <w:name w:val="Table Grid1"/>
    <w:basedOn w:val="TableNormal"/>
    <w:next w:val="TableGrid"/>
    <w:uiPriority w:val="39"/>
    <w:rsid w:val="00655782"/>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F74E3"/>
    <w:rPr>
      <w:color w:val="954F72" w:themeColor="followedHyperlink"/>
      <w:u w:val="single"/>
    </w:rPr>
  </w:style>
  <w:style w:type="paragraph" w:styleId="Revision">
    <w:name w:val="Revision"/>
    <w:hidden/>
    <w:uiPriority w:val="99"/>
    <w:semiHidden/>
    <w:rsid w:val="007E6CE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EGITRS4-C-0009/en" TargetMode="External"/><Relationship Id="rId18" Type="http://schemas.openxmlformats.org/officeDocument/2006/relationships/hyperlink" Target="https://www.itu.int/md/S24-EGITRS3-C-0011/en" TargetMode="External"/><Relationship Id="rId26" Type="http://schemas.openxmlformats.org/officeDocument/2006/relationships/hyperlink" Target="https://www.itu.int/md/S24-EGITRS3-C-0010/en" TargetMode="External"/><Relationship Id="rId39" Type="http://schemas.openxmlformats.org/officeDocument/2006/relationships/customXml" Target="../customXml/item3.xml"/><Relationship Id="rId21" Type="http://schemas.openxmlformats.org/officeDocument/2006/relationships/hyperlink" Target="https://www.itu.int/md/S24-EGITRS3-C-0003/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4-EGITRS3-C-0012/en" TargetMode="External"/><Relationship Id="rId17" Type="http://schemas.openxmlformats.org/officeDocument/2006/relationships/hyperlink" Target="https://www.itu.int/md/S24-EGITRS3-C-0006/en" TargetMode="External"/><Relationship Id="rId25" Type="http://schemas.openxmlformats.org/officeDocument/2006/relationships/hyperlink" Target="https://www.itu.int/md/S24-EGITRS3-C-0004/en" TargetMode="External"/><Relationship Id="rId33" Type="http://schemas.openxmlformats.org/officeDocument/2006/relationships/hyperlink" Target="https://www.itu.int/md/S25-EGITRS4-C-0008/en"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itu.int/md/S24-EGITRS3-C-0002/en" TargetMode="External"/><Relationship Id="rId20" Type="http://schemas.openxmlformats.org/officeDocument/2006/relationships/hyperlink" Target="https://www.itu.int/md/S24-EGITRS3-C-0009/en" TargetMode="External"/><Relationship Id="rId29" Type="http://schemas.openxmlformats.org/officeDocument/2006/relationships/hyperlink" Target="https://www.itu.int/md/S25-EGITRS4-C-000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121/en" TargetMode="External"/><Relationship Id="rId24" Type="http://schemas.openxmlformats.org/officeDocument/2006/relationships/hyperlink" Target="https://www.itu.int/md/S24-EGITRS3-C-0010/en" TargetMode="External"/><Relationship Id="rId32" Type="http://schemas.openxmlformats.org/officeDocument/2006/relationships/hyperlink" Target="https://www.itu.int/md/S25-EGITRS4-C-0005/en"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tu.int/md/S25-EGITRS4-C/en" TargetMode="External"/><Relationship Id="rId23" Type="http://schemas.openxmlformats.org/officeDocument/2006/relationships/hyperlink" Target="https://www.itu.int/md/S24-EGITRS3-C-0008/en" TargetMode="External"/><Relationship Id="rId28" Type="http://schemas.openxmlformats.org/officeDocument/2006/relationships/hyperlink" Target="https://www.itu.int/md/S25-EGITRS4-C-0006/en" TargetMode="External"/><Relationship Id="rId36" Type="http://schemas.openxmlformats.org/officeDocument/2006/relationships/fontTable" Target="fontTable.xml"/><Relationship Id="rId10" Type="http://schemas.openxmlformats.org/officeDocument/2006/relationships/hyperlink" Target="https://www.itu.int/en/council/Documents/basic-texts-2023/RES-146-E.pdf" TargetMode="External"/><Relationship Id="rId19" Type="http://schemas.openxmlformats.org/officeDocument/2006/relationships/hyperlink" Target="https://www.itu.int/md/S24-EGITRS3-C-0007/en" TargetMode="External"/><Relationship Id="rId31" Type="http://schemas.openxmlformats.org/officeDocument/2006/relationships/hyperlink" Target="https://www.itu.int/md/S25-EGITRS4-C-0004/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24-EGITRS3-C/en" TargetMode="External"/><Relationship Id="rId22" Type="http://schemas.openxmlformats.org/officeDocument/2006/relationships/hyperlink" Target="https://www.itu.int/md/S24-EGITRS3-C-0005/en" TargetMode="External"/><Relationship Id="rId27" Type="http://schemas.openxmlformats.org/officeDocument/2006/relationships/hyperlink" Target="https://www.itu.int/md/S25-EGITRS4-C-0002/en" TargetMode="External"/><Relationship Id="rId30" Type="http://schemas.openxmlformats.org/officeDocument/2006/relationships/hyperlink" Target="https://www.itu.int/md/S25-EGITRS4-C-0003/en"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mailto:lkjsd@asdf.com" TargetMode="External"/><Relationship Id="rId2" Type="http://schemas.openxmlformats.org/officeDocument/2006/relationships/hyperlink" Target="mailto:carmen.prado@itu.int" TargetMode="External"/><Relationship Id="rId1" Type="http://schemas.openxmlformats.org/officeDocument/2006/relationships/hyperlink" Target="mailto:carmen.prad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Pages/eg-itr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6" ma:contentTypeDescription="Create a new document." ma:contentTypeScope="" ma:versionID="8d19e94cc8f313a2753b8e875c6c6465">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95f25f00cda8fb3a6ea1b2cf923cfbbd"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7169EDEF-E4F1-452F-AB19-3E2DCCC49627}"/>
</file>

<file path=customXml/itemProps3.xml><?xml version="1.0" encoding="utf-8"?>
<ds:datastoreItem xmlns:ds="http://schemas.openxmlformats.org/officeDocument/2006/customXml" ds:itemID="{4F5398E3-9691-4318-994A-A1213C9FE3D4}"/>
</file>

<file path=customXml/itemProps4.xml><?xml version="1.0" encoding="utf-8"?>
<ds:datastoreItem xmlns:ds="http://schemas.openxmlformats.org/officeDocument/2006/customXml" ds:itemID="{7947CB77-A5B8-4D32-90A6-83EEFF47470B}"/>
</file>

<file path=docProps/app.xml><?xml version="1.0" encoding="utf-8"?>
<Properties xmlns="http://schemas.openxmlformats.org/officeDocument/2006/extended-properties" xmlns:vt="http://schemas.openxmlformats.org/officeDocument/2006/docPropsVTypes">
  <Template>PA_TDAG-25.dotx</Template>
  <TotalTime>5</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3</cp:revision>
  <dcterms:created xsi:type="dcterms:W3CDTF">2025-04-30T13:18:00Z</dcterms:created>
  <dcterms:modified xsi:type="dcterms:W3CDTF">2025-04-30T13:23:00Z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