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29B5B4BE"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F92361">
        <w:trPr>
          <w:cantSplit/>
        </w:trPr>
        <w:tc>
          <w:tcPr>
            <w:tcW w:w="6404" w:type="dxa"/>
            <w:gridSpan w:val="2"/>
          </w:tcPr>
          <w:p w14:paraId="7F0CCFE3" w14:textId="77777777" w:rsidR="00683C32" w:rsidRPr="002707B1" w:rsidRDefault="00683C32" w:rsidP="00400CCF">
            <w:pPr>
              <w:pStyle w:val="Committee"/>
              <w:spacing w:before="0"/>
              <w:rPr>
                <w:bCs/>
                <w:szCs w:val="24"/>
                <w:lang w:val="es-ES_tradnl"/>
              </w:rPr>
            </w:pPr>
          </w:p>
        </w:tc>
        <w:tc>
          <w:tcPr>
            <w:tcW w:w="3484" w:type="dxa"/>
            <w:gridSpan w:val="2"/>
          </w:tcPr>
          <w:p w14:paraId="29902756" w14:textId="493EF136"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4010E2">
              <w:rPr>
                <w:b/>
                <w:bCs/>
                <w:lang w:val="es-ES_tradnl"/>
              </w:rPr>
              <w:t>5</w:t>
            </w:r>
            <w:r w:rsidR="0009076F" w:rsidRPr="00D8041C">
              <w:rPr>
                <w:b/>
                <w:bCs/>
                <w:lang w:val="es-ES_tradnl"/>
              </w:rPr>
              <w:t>/</w:t>
            </w:r>
            <w:r w:rsidR="00D0243F">
              <w:rPr>
                <w:b/>
                <w:bCs/>
                <w:lang w:val="en-US"/>
              </w:rPr>
              <w:t>26</w:t>
            </w:r>
            <w:r w:rsidR="004010E2" w:rsidRPr="00403C69">
              <w:rPr>
                <w:b/>
                <w:bCs/>
                <w:lang w:val="en-US"/>
              </w:rPr>
              <w:t>-</w:t>
            </w:r>
            <w:r w:rsidR="004010E2">
              <w:rPr>
                <w:b/>
                <w:bCs/>
                <w:lang w:val="en-US"/>
              </w:rPr>
              <w:t>S</w:t>
            </w:r>
          </w:p>
        </w:tc>
      </w:tr>
      <w:tr w:rsidR="00683C32" w:rsidRPr="00D8041C" w14:paraId="46AC7811" w14:textId="77777777" w:rsidTr="00F92361">
        <w:trPr>
          <w:cantSplit/>
        </w:trPr>
        <w:tc>
          <w:tcPr>
            <w:tcW w:w="6404" w:type="dxa"/>
            <w:gridSpan w:val="2"/>
          </w:tcPr>
          <w:p w14:paraId="68CB34D7" w14:textId="77777777" w:rsidR="00683C32" w:rsidRPr="00D8041C" w:rsidRDefault="00683C32" w:rsidP="00400CCF">
            <w:pPr>
              <w:spacing w:before="0"/>
              <w:rPr>
                <w:b/>
                <w:bCs/>
                <w:smallCaps/>
                <w:szCs w:val="24"/>
                <w:lang w:val="es-ES_tradnl"/>
              </w:rPr>
            </w:pPr>
          </w:p>
        </w:tc>
        <w:tc>
          <w:tcPr>
            <w:tcW w:w="3484" w:type="dxa"/>
            <w:gridSpan w:val="2"/>
          </w:tcPr>
          <w:p w14:paraId="56B707A0" w14:textId="366B9FEC" w:rsidR="00683C32" w:rsidRPr="00D8041C" w:rsidRDefault="00D0243F" w:rsidP="00D0243F">
            <w:pPr>
              <w:spacing w:before="0"/>
              <w:rPr>
                <w:b/>
                <w:szCs w:val="24"/>
                <w:lang w:val="es-ES_tradnl"/>
              </w:rPr>
            </w:pPr>
            <w:bookmarkStart w:id="2" w:name="CreationDate"/>
            <w:bookmarkEnd w:id="2"/>
            <w:r w:rsidRPr="00D0243F">
              <w:rPr>
                <w:b/>
                <w:bCs/>
                <w:szCs w:val="28"/>
              </w:rPr>
              <w:t xml:space="preserve">1 de </w:t>
            </w:r>
            <w:proofErr w:type="spellStart"/>
            <w:r w:rsidRPr="00D0243F">
              <w:rPr>
                <w:b/>
                <w:bCs/>
                <w:szCs w:val="28"/>
              </w:rPr>
              <w:t>abril</w:t>
            </w:r>
            <w:proofErr w:type="spellEnd"/>
            <w:r w:rsidRPr="00D0243F">
              <w:rPr>
                <w:b/>
                <w:bCs/>
                <w:szCs w:val="28"/>
              </w:rPr>
              <w:t xml:space="preserve"> de 2025</w:t>
            </w:r>
          </w:p>
        </w:tc>
      </w:tr>
      <w:tr w:rsidR="00683C32" w:rsidRPr="00D8041C" w14:paraId="0C2E025B" w14:textId="77777777" w:rsidTr="00F92361">
        <w:trPr>
          <w:cantSplit/>
        </w:trPr>
        <w:tc>
          <w:tcPr>
            <w:tcW w:w="6404" w:type="dxa"/>
            <w:gridSpan w:val="2"/>
          </w:tcPr>
          <w:p w14:paraId="6186F014" w14:textId="77777777" w:rsidR="00683C32" w:rsidRPr="002707B1" w:rsidRDefault="00683C32" w:rsidP="00400CCF">
            <w:pPr>
              <w:spacing w:before="0"/>
              <w:rPr>
                <w:smallCaps/>
                <w:szCs w:val="24"/>
                <w:lang w:val="es-ES_tradnl"/>
              </w:rPr>
            </w:pPr>
          </w:p>
        </w:tc>
        <w:tc>
          <w:tcPr>
            <w:tcW w:w="3484" w:type="dxa"/>
            <w:gridSpan w:val="2"/>
          </w:tcPr>
          <w:p w14:paraId="10B5092F"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D0243F" w14:paraId="6160D154" w14:textId="77777777" w:rsidTr="00107E85">
        <w:trPr>
          <w:cantSplit/>
          <w:trHeight w:val="852"/>
        </w:trPr>
        <w:tc>
          <w:tcPr>
            <w:tcW w:w="9888" w:type="dxa"/>
            <w:gridSpan w:val="4"/>
          </w:tcPr>
          <w:p w14:paraId="5C1D0BF6" w14:textId="750664DE" w:rsidR="00A13162" w:rsidRPr="00D8041C" w:rsidRDefault="00D0243F" w:rsidP="00D0243F">
            <w:pPr>
              <w:pStyle w:val="Source"/>
              <w:rPr>
                <w:lang w:val="es-ES_tradnl"/>
              </w:rPr>
            </w:pPr>
            <w:bookmarkStart w:id="4" w:name="Source"/>
            <w:bookmarkEnd w:id="4"/>
            <w:r w:rsidRPr="00D0243F">
              <w:rPr>
                <w:lang w:val="es-ES"/>
              </w:rPr>
              <w:t>Director de la Oficina de Desarrollo de las Telecomunicaciones</w:t>
            </w:r>
          </w:p>
        </w:tc>
      </w:tr>
      <w:tr w:rsidR="00AC6F14" w:rsidRPr="00D0243F" w14:paraId="1B6579E9" w14:textId="77777777" w:rsidTr="00107E85">
        <w:trPr>
          <w:cantSplit/>
        </w:trPr>
        <w:tc>
          <w:tcPr>
            <w:tcW w:w="9888" w:type="dxa"/>
            <w:gridSpan w:val="4"/>
          </w:tcPr>
          <w:p w14:paraId="5A4B721C" w14:textId="64BB5AEC" w:rsidR="00AC6F14" w:rsidRPr="00D8041C" w:rsidRDefault="00D0243F" w:rsidP="00D0243F">
            <w:pPr>
              <w:pStyle w:val="Title1"/>
              <w:rPr>
                <w:lang w:val="es-ES_tradnl"/>
              </w:rPr>
            </w:pPr>
            <w:bookmarkStart w:id="5" w:name="Title"/>
            <w:bookmarkEnd w:id="5"/>
            <w:r w:rsidRPr="00D0243F">
              <w:rPr>
                <w:lang w:val="es-ES"/>
              </w:rPr>
              <w:t>Resultados de la AMNT-24 pertinentes para los trabajos del UIT-D</w:t>
            </w:r>
          </w:p>
        </w:tc>
      </w:tr>
      <w:tr w:rsidR="00A721F4" w:rsidRPr="00D0243F" w14:paraId="4228EE8B" w14:textId="77777777" w:rsidTr="00A721F4">
        <w:trPr>
          <w:cantSplit/>
        </w:trPr>
        <w:tc>
          <w:tcPr>
            <w:tcW w:w="9888" w:type="dxa"/>
            <w:gridSpan w:val="4"/>
            <w:tcBorders>
              <w:bottom w:val="single" w:sz="4" w:space="0" w:color="auto"/>
            </w:tcBorders>
          </w:tcPr>
          <w:p w14:paraId="1F029C0A" w14:textId="77777777" w:rsidR="00A721F4" w:rsidRPr="00D8041C" w:rsidRDefault="00A721F4" w:rsidP="00BC06EA">
            <w:pPr>
              <w:spacing w:after="120"/>
              <w:rPr>
                <w:lang w:val="es-ES_tradnl"/>
              </w:rPr>
            </w:pPr>
          </w:p>
        </w:tc>
      </w:tr>
      <w:tr w:rsidR="00A721F4" w:rsidRPr="00D0243F"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6D168204" w14:textId="7ED55C92" w:rsidR="00D0243F" w:rsidRPr="00D0243F" w:rsidRDefault="00D0243F" w:rsidP="00D0243F">
            <w:pPr>
              <w:spacing w:after="120"/>
              <w:rPr>
                <w:lang w:val="es-ES"/>
              </w:rPr>
            </w:pPr>
            <w:r w:rsidRPr="00D0243F">
              <w:rPr>
                <w:lang w:val="es-ES"/>
              </w:rPr>
              <w:t>La AMNT 2024 se celebró en Nueva Delhi, India</w:t>
            </w:r>
            <w:r w:rsidR="00385C68">
              <w:rPr>
                <w:lang w:val="es-ES"/>
              </w:rPr>
              <w:t>,</w:t>
            </w:r>
            <w:r w:rsidRPr="00D0243F">
              <w:rPr>
                <w:lang w:val="es-ES"/>
              </w:rPr>
              <w:t xml:space="preserve"> del 15 al 24 de octubre de 2024. La conferencia fue precedida del Simposio Mundial de Normalización, celebrado el 14 de octubre de 2024.</w:t>
            </w:r>
          </w:p>
          <w:p w14:paraId="33309B56" w14:textId="1386B6A9" w:rsidR="00A721F4" w:rsidRPr="00D8041C" w:rsidRDefault="00D0243F" w:rsidP="00D0243F">
            <w:pPr>
              <w:spacing w:after="120"/>
              <w:rPr>
                <w:szCs w:val="24"/>
                <w:lang w:val="es-ES_tradnl"/>
              </w:rPr>
            </w:pPr>
            <w:r w:rsidRPr="00D0243F">
              <w:rPr>
                <w:lang w:val="es-ES"/>
              </w:rPr>
              <w:t>En este documento se resumen los principales resultados de esas reuniones, destacando sus decisiones pertinentes para los trabajos del Sector de Desarrollo.</w:t>
            </w:r>
          </w:p>
          <w:p w14:paraId="6AC400EA"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C640691" w14:textId="6814A2B2" w:rsidR="00A721F4" w:rsidRPr="00D8041C" w:rsidRDefault="004010E2" w:rsidP="00EA0C51">
            <w:pPr>
              <w:spacing w:after="120"/>
              <w:rPr>
                <w:szCs w:val="24"/>
                <w:lang w:val="es-ES_tradnl"/>
              </w:rPr>
            </w:pPr>
            <w:r w:rsidRPr="00685AD0">
              <w:rPr>
                <w:lang w:val="es-ES"/>
              </w:rPr>
              <w:t>Se invita al GADT a tomar nota de este documento y formular las orientaciones que estime convenientes</w:t>
            </w:r>
            <w:r w:rsidR="00385C68">
              <w:rPr>
                <w:lang w:val="es-ES"/>
              </w:rPr>
              <w:t>.</w:t>
            </w:r>
          </w:p>
          <w:p w14:paraId="245CE8A8" w14:textId="210753D3"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1E4FB4DA" w14:textId="6E60DAB6" w:rsidR="00D0243F" w:rsidRPr="00D0243F" w:rsidRDefault="00D0243F" w:rsidP="00D0243F">
            <w:pPr>
              <w:numPr>
                <w:ilvl w:val="0"/>
                <w:numId w:val="2"/>
              </w:numPr>
              <w:spacing w:after="120"/>
              <w:rPr>
                <w:lang w:val="es-ES_tradnl"/>
              </w:rPr>
            </w:pPr>
            <w:r w:rsidRPr="00D0243F">
              <w:rPr>
                <w:lang w:val="es-ES_tradnl"/>
              </w:rPr>
              <w:t xml:space="preserve">Sitio web de la AMNT-24: </w:t>
            </w:r>
            <w:hyperlink r:id="rId13" w:tgtFrame="_blank" w:history="1">
              <w:r w:rsidRPr="00D0243F">
                <w:rPr>
                  <w:rStyle w:val="Hyperlink"/>
                  <w:lang w:val="es-ES_tradnl"/>
                </w:rPr>
                <w:t>https://www.itu.int/wtsa/2024/</w:t>
              </w:r>
            </w:hyperlink>
          </w:p>
          <w:p w14:paraId="72D9D088" w14:textId="49CF638F" w:rsidR="00D0243F" w:rsidRPr="00D0243F" w:rsidRDefault="00D0243F" w:rsidP="00D0243F">
            <w:pPr>
              <w:numPr>
                <w:ilvl w:val="0"/>
                <w:numId w:val="2"/>
              </w:numPr>
              <w:spacing w:after="120"/>
              <w:rPr>
                <w:lang w:val="es-ES_tradnl"/>
              </w:rPr>
            </w:pPr>
            <w:r w:rsidRPr="00D0243F">
              <w:rPr>
                <w:lang w:val="es-ES_tradnl"/>
              </w:rPr>
              <w:t xml:space="preserve">Actas provisionales: </w:t>
            </w:r>
            <w:hyperlink r:id="rId14" w:tgtFrame="_blank" w:history="1">
              <w:r w:rsidRPr="00D0243F">
                <w:rPr>
                  <w:rStyle w:val="Hyperlink"/>
                  <w:lang w:val="es-ES_tradnl"/>
                </w:rPr>
                <w:t xml:space="preserve">WTSA-24 Draft </w:t>
              </w:r>
              <w:proofErr w:type="spellStart"/>
              <w:r w:rsidRPr="00D0243F">
                <w:rPr>
                  <w:rStyle w:val="Hyperlink"/>
                  <w:lang w:val="es-ES_tradnl"/>
                </w:rPr>
                <w:t>Proceedings</w:t>
              </w:r>
              <w:proofErr w:type="spellEnd"/>
            </w:hyperlink>
          </w:p>
          <w:p w14:paraId="2921DA3C" w14:textId="75B0F14D" w:rsidR="00D0243F" w:rsidRPr="00D0243F" w:rsidRDefault="00D0243F" w:rsidP="00D0243F">
            <w:pPr>
              <w:numPr>
                <w:ilvl w:val="0"/>
                <w:numId w:val="2"/>
              </w:numPr>
              <w:spacing w:after="120"/>
              <w:rPr>
                <w:lang w:val="es-ES_tradnl"/>
              </w:rPr>
            </w:pPr>
            <w:r w:rsidRPr="00D0243F">
              <w:rPr>
                <w:lang w:val="es-ES_tradnl"/>
              </w:rPr>
              <w:t xml:space="preserve">Folleto informativo de la AMNT-24: </w:t>
            </w:r>
            <w:hyperlink r:id="rId15" w:tgtFrame="_blank" w:history="1">
              <w:r w:rsidR="00385C68" w:rsidRPr="00790A44">
                <w:rPr>
                  <w:rStyle w:val="Hyperlink"/>
                  <w:lang w:val="nl-NL"/>
                </w:rPr>
                <w:t>https://www.itu.int/en/ITU-T/wtsa24/Documents/WTSA-</w:t>
              </w:r>
            </w:hyperlink>
            <w:hyperlink r:id="rId16" w:tgtFrame="_blank" w:history="1">
              <w:r w:rsidR="00385C68" w:rsidRPr="00790A44">
                <w:rPr>
                  <w:rStyle w:val="Hyperlink"/>
                  <w:lang w:val="nl-NL"/>
                </w:rPr>
                <w:t>24_GSS-24_Brochure.pdf</w:t>
              </w:r>
            </w:hyperlink>
          </w:p>
          <w:p w14:paraId="1B5631CD" w14:textId="12BDE7C5" w:rsidR="00A721F4" w:rsidRPr="00D8041C" w:rsidRDefault="00D0243F" w:rsidP="00D0243F">
            <w:pPr>
              <w:numPr>
                <w:ilvl w:val="0"/>
                <w:numId w:val="2"/>
              </w:numPr>
              <w:spacing w:after="120"/>
              <w:rPr>
                <w:lang w:val="es-ES_tradnl"/>
              </w:rPr>
            </w:pPr>
            <w:r w:rsidRPr="00385C68">
              <w:rPr>
                <w:lang w:val="es-ES_tradnl"/>
              </w:rPr>
              <w:t xml:space="preserve">Eventos relacionados con la AMNT-24: </w:t>
            </w:r>
            <w:hyperlink r:id="rId17" w:tgtFrame="_blank" w:history="1">
              <w:r w:rsidRPr="00385C68">
                <w:rPr>
                  <w:rStyle w:val="Hyperlink"/>
                  <w:lang w:val="es-ES_tradnl"/>
                </w:rPr>
                <w:t>https://www.itu.int/wtsa/2024/related-events/</w:t>
              </w:r>
            </w:hyperlink>
          </w:p>
        </w:tc>
      </w:tr>
    </w:tbl>
    <w:p w14:paraId="19BDB019" w14:textId="77777777" w:rsidR="00923CF1" w:rsidRPr="00D8041C" w:rsidRDefault="00923CF1" w:rsidP="00935FF0">
      <w:pPr>
        <w:rPr>
          <w:lang w:val="es-ES_tradnl"/>
        </w:rPr>
      </w:pPr>
    </w:p>
    <w:p w14:paraId="1D19608A"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5DDA046C" w14:textId="5909D7B3" w:rsidR="00D0243F" w:rsidRPr="00740800" w:rsidRDefault="00385C68" w:rsidP="00385C68">
      <w:pPr>
        <w:pStyle w:val="Heading1"/>
        <w:rPr>
          <w:lang w:val="es-ES_tradnl"/>
        </w:rPr>
      </w:pPr>
      <w:r>
        <w:lastRenderedPageBreak/>
        <w:t>1</w:t>
      </w:r>
      <w:r>
        <w:tab/>
      </w:r>
      <w:r w:rsidR="00D0243F" w:rsidRPr="00740800">
        <w:rPr>
          <w:lang w:val="es-ES_tradnl"/>
        </w:rPr>
        <w:t>Antecedentes</w:t>
      </w:r>
    </w:p>
    <w:p w14:paraId="0FE8810C" w14:textId="28D26690" w:rsidR="00D0243F" w:rsidRPr="00D0243F" w:rsidRDefault="00D0243F" w:rsidP="00D0243F">
      <w:pPr>
        <w:rPr>
          <w:lang w:val="es-ES_tradnl"/>
        </w:rPr>
      </w:pPr>
      <w:r w:rsidRPr="00D0243F">
        <w:rPr>
          <w:lang w:val="es-ES_tradnl"/>
        </w:rPr>
        <w:t>La AMNT 2024 se celebró en Nueva Delhi, India, del 15 al 24 de octubre de 2024. Asistieron a la conferencia unos 3</w:t>
      </w:r>
      <w:r w:rsidR="00740800">
        <w:rPr>
          <w:lang w:val="es-ES_tradnl"/>
        </w:rPr>
        <w:t> </w:t>
      </w:r>
      <w:r w:rsidRPr="00D0243F">
        <w:rPr>
          <w:lang w:val="es-ES_tradnl"/>
        </w:rPr>
        <w:t>700 delegados de 164 países, batiendo el récord de representación de Estados Miembros, y 37 Ministros. La AMNT 2024 fue también la conferencia con la mayor tasa de participación de mujeres en un evento fuera de Ginebra (27</w:t>
      </w:r>
      <w:r w:rsidR="00740800">
        <w:rPr>
          <w:lang w:val="es-ES_tradnl"/>
        </w:rPr>
        <w:t> </w:t>
      </w:r>
      <w:r w:rsidRPr="00D0243F">
        <w:rPr>
          <w:lang w:val="es-ES_tradnl"/>
        </w:rPr>
        <w:t>%)</w:t>
      </w:r>
      <w:r w:rsidR="00306233">
        <w:rPr>
          <w:lang w:val="es-ES_tradnl"/>
        </w:rPr>
        <w:t>.</w:t>
      </w:r>
    </w:p>
    <w:p w14:paraId="65AB6CB8" w14:textId="77777777" w:rsidR="00D0243F" w:rsidRPr="00D0243F" w:rsidRDefault="00D0243F" w:rsidP="00D0243F">
      <w:pPr>
        <w:rPr>
          <w:lang w:val="es-ES_tradnl"/>
        </w:rPr>
      </w:pPr>
      <w:r w:rsidRPr="00D0243F">
        <w:rPr>
          <w:lang w:val="es-ES_tradnl"/>
        </w:rPr>
        <w:t xml:space="preserve">Presidió la Asamblea el Sr. </w:t>
      </w:r>
      <w:proofErr w:type="spellStart"/>
      <w:r w:rsidRPr="00D0243F">
        <w:rPr>
          <w:lang w:val="es-ES_tradnl"/>
        </w:rPr>
        <w:t>Ritu</w:t>
      </w:r>
      <w:proofErr w:type="spellEnd"/>
      <w:r w:rsidRPr="00D0243F">
        <w:rPr>
          <w:lang w:val="es-ES_tradnl"/>
        </w:rPr>
        <w:t xml:space="preserve"> </w:t>
      </w:r>
      <w:proofErr w:type="spellStart"/>
      <w:r w:rsidRPr="00D0243F">
        <w:rPr>
          <w:lang w:val="es-ES_tradnl"/>
        </w:rPr>
        <w:t>Ranjan</w:t>
      </w:r>
      <w:proofErr w:type="spellEnd"/>
      <w:r w:rsidRPr="00D0243F">
        <w:rPr>
          <w:lang w:val="es-ES_tradnl"/>
        </w:rPr>
        <w:t xml:space="preserve"> </w:t>
      </w:r>
      <w:proofErr w:type="spellStart"/>
      <w:r w:rsidRPr="00D0243F">
        <w:rPr>
          <w:lang w:val="es-ES_tradnl"/>
        </w:rPr>
        <w:t>Mittar</w:t>
      </w:r>
      <w:proofErr w:type="spellEnd"/>
      <w:r w:rsidRPr="00D0243F">
        <w:rPr>
          <w:lang w:val="es-ES_tradnl"/>
        </w:rPr>
        <w:t xml:space="preserve"> de India. A la ceremonia de apertura asistió el Primer Ministro de India, Excmo. Sr. </w:t>
      </w:r>
      <w:proofErr w:type="spellStart"/>
      <w:r w:rsidRPr="00D0243F">
        <w:rPr>
          <w:lang w:val="es-ES_tradnl"/>
        </w:rPr>
        <w:t>Shri</w:t>
      </w:r>
      <w:proofErr w:type="spellEnd"/>
      <w:r w:rsidRPr="00D0243F">
        <w:rPr>
          <w:lang w:val="es-ES_tradnl"/>
        </w:rPr>
        <w:t xml:space="preserve"> Narendra Modi.</w:t>
      </w:r>
    </w:p>
    <w:p w14:paraId="7C76B3FE" w14:textId="0D718F30" w:rsidR="00D0243F" w:rsidRPr="00D0243F" w:rsidRDefault="00D0243F" w:rsidP="00D0243F">
      <w:pPr>
        <w:rPr>
          <w:lang w:val="es-ES_tradnl"/>
        </w:rPr>
      </w:pPr>
      <w:r w:rsidRPr="00D0243F">
        <w:rPr>
          <w:lang w:val="es-ES_tradnl"/>
        </w:rPr>
        <w:t xml:space="preserve">En paralelo a la AMNT 2024 se celebraron más de 20 eventos (puede encontrarse más información al respecto en </w:t>
      </w:r>
      <w:hyperlink r:id="rId18" w:history="1">
        <w:r w:rsidRPr="00D0243F">
          <w:rPr>
            <w:rStyle w:val="Hyperlink"/>
            <w:lang w:val="es-ES_tradnl"/>
          </w:rPr>
          <w:t>https://www.itu.int/wtsa/2024/related-events/</w:t>
        </w:r>
      </w:hyperlink>
      <w:r w:rsidRPr="00D0243F">
        <w:rPr>
          <w:lang w:val="es-ES_tradnl"/>
        </w:rPr>
        <w:t>)</w:t>
      </w:r>
      <w:r w:rsidR="00740800">
        <w:rPr>
          <w:lang w:val="es-ES_tradnl"/>
        </w:rPr>
        <w:t>.</w:t>
      </w:r>
    </w:p>
    <w:p w14:paraId="70E41FB7" w14:textId="77777777" w:rsidR="00D0243F" w:rsidRPr="00D0243F" w:rsidRDefault="00D0243F" w:rsidP="00D0243F">
      <w:pPr>
        <w:rPr>
          <w:lang w:val="es-ES_tradnl"/>
        </w:rPr>
      </w:pPr>
      <w:r w:rsidRPr="00D0243F">
        <w:rPr>
          <w:lang w:val="es-ES_tradnl"/>
        </w:rPr>
        <w:t>La Asamblea fue precedida del Simposio Mundial de Normalización, que se celebró el 14 de octubre de 2024.</w:t>
      </w:r>
    </w:p>
    <w:p w14:paraId="7AA1A6D7" w14:textId="75E70F87" w:rsidR="00D0243F" w:rsidRPr="00D0243F" w:rsidRDefault="00385C68" w:rsidP="00385C68">
      <w:pPr>
        <w:pStyle w:val="Heading1"/>
      </w:pPr>
      <w:r w:rsidRPr="00740800">
        <w:rPr>
          <w:lang w:val="es-ES_tradnl"/>
        </w:rPr>
        <w:t>2</w:t>
      </w:r>
      <w:r w:rsidRPr="00740800">
        <w:rPr>
          <w:lang w:val="es-ES_tradnl"/>
        </w:rPr>
        <w:tab/>
      </w:r>
      <w:r w:rsidR="00D0243F" w:rsidRPr="00740800">
        <w:rPr>
          <w:lang w:val="es-ES_tradnl"/>
        </w:rPr>
        <w:t>Hechos destacados</w:t>
      </w:r>
    </w:p>
    <w:p w14:paraId="268A6D95" w14:textId="77777777" w:rsidR="00D0243F" w:rsidRPr="00D0243F" w:rsidRDefault="00D0243F" w:rsidP="00D0243F">
      <w:pPr>
        <w:rPr>
          <w:i/>
          <w:iCs/>
          <w:u w:val="single"/>
          <w:lang w:val="es-ES"/>
        </w:rPr>
      </w:pPr>
      <w:r w:rsidRPr="00D0243F">
        <w:rPr>
          <w:i/>
          <w:iCs/>
          <w:u w:val="single"/>
          <w:lang w:val="es-ES"/>
        </w:rPr>
        <w:t>Comisiones de Estudio del UIT-T</w:t>
      </w:r>
    </w:p>
    <w:p w14:paraId="279AC120" w14:textId="45E62F35" w:rsidR="00D0243F" w:rsidRPr="00D0243F" w:rsidRDefault="00385C68" w:rsidP="00385C68">
      <w:pPr>
        <w:pStyle w:val="enumlev1"/>
        <w:rPr>
          <w:lang w:val="es-ES"/>
        </w:rPr>
      </w:pPr>
      <w:r w:rsidRPr="00B64C57">
        <w:rPr>
          <w:lang w:val="es-ES_tradnl"/>
        </w:rPr>
        <w:t>–</w:t>
      </w:r>
      <w:r w:rsidRPr="00B64C57">
        <w:rPr>
          <w:lang w:val="es-ES_tradnl"/>
        </w:rPr>
        <w:tab/>
      </w:r>
      <w:r w:rsidR="00D0243F" w:rsidRPr="00D0243F">
        <w:rPr>
          <w:lang w:val="es-ES"/>
        </w:rPr>
        <w:t>La CE 9 (Cable y TV de banda ancha) y la CE</w:t>
      </w:r>
      <w:r w:rsidR="00740800">
        <w:rPr>
          <w:lang w:val="es-ES"/>
        </w:rPr>
        <w:t xml:space="preserve"> </w:t>
      </w:r>
      <w:r w:rsidR="00D0243F" w:rsidRPr="00D0243F">
        <w:rPr>
          <w:lang w:val="es-ES"/>
        </w:rPr>
        <w:t>16 (Multimedios y tecnologías digitales conexas) del UIT-T se refundieron en la nueva Comisión de Estudio 21 (Tecnologías para los multimedios, la entrega de contenidos y la televisión por cable</w:t>
      </w:r>
      <w:r w:rsidR="00D0243F" w:rsidRPr="00D0243F">
        <w:rPr>
          <w:rFonts w:hint="eastAsia"/>
          <w:lang w:val="es-ES"/>
        </w:rPr>
        <w:t>).</w:t>
      </w:r>
    </w:p>
    <w:p w14:paraId="76EFB3DA" w14:textId="160710BA" w:rsidR="00D0243F" w:rsidRPr="00D0243F" w:rsidRDefault="00385C68" w:rsidP="00385C68">
      <w:pPr>
        <w:pStyle w:val="enumlev1"/>
        <w:rPr>
          <w:lang w:val="es-ES"/>
        </w:rPr>
      </w:pPr>
      <w:r w:rsidRPr="00B64C57">
        <w:rPr>
          <w:lang w:val="es-ES_tradnl"/>
        </w:rPr>
        <w:lastRenderedPageBreak/>
        <w:t>–</w:t>
      </w:r>
      <w:r w:rsidRPr="00B64C57">
        <w:rPr>
          <w:lang w:val="es-ES_tradnl"/>
        </w:rPr>
        <w:tab/>
      </w:r>
      <w:r w:rsidR="00D0243F" w:rsidRPr="00D0243F">
        <w:rPr>
          <w:lang w:val="es-ES"/>
        </w:rPr>
        <w:t xml:space="preserve">Se conservaron las otras </w:t>
      </w:r>
      <w:r w:rsidR="00740800">
        <w:rPr>
          <w:lang w:val="es-ES"/>
        </w:rPr>
        <w:t>10</w:t>
      </w:r>
      <w:r w:rsidR="00D0243F" w:rsidRPr="00D0243F">
        <w:rPr>
          <w:lang w:val="es-ES"/>
        </w:rPr>
        <w:t xml:space="preserve"> Comisiones de Estudio</w:t>
      </w:r>
      <w:r w:rsidR="00D0243F" w:rsidRPr="00D0243F">
        <w:rPr>
          <w:rFonts w:hint="eastAsia"/>
          <w:lang w:val="es-ES"/>
        </w:rPr>
        <w:t>.</w:t>
      </w:r>
    </w:p>
    <w:p w14:paraId="64D39A1E" w14:textId="5882F4BC" w:rsidR="00D0243F" w:rsidRPr="00D0243F" w:rsidRDefault="00385C68" w:rsidP="00385C68">
      <w:pPr>
        <w:pStyle w:val="enumlev1"/>
        <w:rPr>
          <w:lang w:val="es-ES"/>
        </w:rPr>
      </w:pPr>
      <w:r w:rsidRPr="00B64C57">
        <w:rPr>
          <w:lang w:val="es-ES_tradnl"/>
        </w:rPr>
        <w:t>–</w:t>
      </w:r>
      <w:r w:rsidRPr="00B64C57">
        <w:rPr>
          <w:lang w:val="es-ES_tradnl"/>
        </w:rPr>
        <w:tab/>
      </w:r>
      <w:r w:rsidR="00D0243F" w:rsidRPr="00D0243F">
        <w:rPr>
          <w:lang w:val="es-ES"/>
        </w:rPr>
        <w:t xml:space="preserve">Se aprobaron los mandatos actualizados (Resolución 2) y las nuevas Cuestiones de las </w:t>
      </w:r>
      <w:r w:rsidR="00740800">
        <w:rPr>
          <w:lang w:val="es-ES"/>
        </w:rPr>
        <w:t>10 </w:t>
      </w:r>
      <w:r w:rsidR="00D0243F" w:rsidRPr="00D0243F">
        <w:rPr>
          <w:lang w:val="es-ES"/>
        </w:rPr>
        <w:t>Comisiones de Estudio del UIT-T. La Resolución 2 puede consultarse en las Actas provisionales (</w:t>
      </w:r>
      <w:hyperlink r:id="rId19">
        <w:r w:rsidR="00740800">
          <w:rPr>
            <w:rStyle w:val="Hyperlink"/>
            <w:lang w:val="es-ES"/>
          </w:rPr>
          <w:t>https://www.itu.int/pub/T-REG-WTSADRAFT-2024/es</w:t>
        </w:r>
      </w:hyperlink>
      <w:r w:rsidR="00D0243F" w:rsidRPr="00D0243F">
        <w:rPr>
          <w:lang w:val="es-ES"/>
        </w:rPr>
        <w:t>) y el texto de las Cuestiones en las páginas web de las correspondientes Comisiones de Estudio (</w:t>
      </w:r>
      <w:hyperlink r:id="rId20">
        <w:r w:rsidR="00D0243F" w:rsidRPr="00D0243F">
          <w:rPr>
            <w:rStyle w:val="Hyperlink"/>
            <w:lang w:val="es-ES"/>
          </w:rPr>
          <w:t>https://www.itu.int/en/ITU-T/studygroups/2025-2028</w:t>
        </w:r>
      </w:hyperlink>
      <w:r w:rsidR="00D0243F" w:rsidRPr="00D0243F">
        <w:rPr>
          <w:lang w:val="es-ES"/>
        </w:rPr>
        <w:t>).</w:t>
      </w:r>
    </w:p>
    <w:p w14:paraId="24CC6EB4" w14:textId="1E855F01" w:rsidR="00D0243F" w:rsidRPr="00D0243F" w:rsidRDefault="00D0243F" w:rsidP="00D0243F">
      <w:pPr>
        <w:rPr>
          <w:i/>
          <w:iCs/>
          <w:u w:val="single"/>
          <w:lang w:val="es-ES"/>
        </w:rPr>
      </w:pPr>
      <w:r w:rsidRPr="00D0243F">
        <w:rPr>
          <w:i/>
          <w:iCs/>
          <w:u w:val="single"/>
          <w:lang w:val="es-ES"/>
        </w:rPr>
        <w:t xml:space="preserve">Nombramiento de los Presidentes y Vicepresidentes de las </w:t>
      </w:r>
      <w:r w:rsidR="00740800">
        <w:rPr>
          <w:i/>
          <w:iCs/>
          <w:u w:val="single"/>
          <w:lang w:val="es-ES"/>
        </w:rPr>
        <w:t>10</w:t>
      </w:r>
      <w:r w:rsidRPr="00D0243F">
        <w:rPr>
          <w:i/>
          <w:iCs/>
          <w:u w:val="single"/>
          <w:lang w:val="es-ES"/>
        </w:rPr>
        <w:t xml:space="preserve"> Comisiones de Estudio del UIT-T, el GANT y el CNV</w:t>
      </w:r>
    </w:p>
    <w:p w14:paraId="51BFC841" w14:textId="174B92C7" w:rsidR="00D0243F" w:rsidRPr="00D0243F" w:rsidRDefault="00385C68" w:rsidP="00385C68">
      <w:pPr>
        <w:pStyle w:val="enumlev1"/>
        <w:rPr>
          <w:lang w:val="es-ES"/>
        </w:rPr>
      </w:pPr>
      <w:r w:rsidRPr="00B64C57">
        <w:rPr>
          <w:lang w:val="es-ES_tradnl"/>
        </w:rPr>
        <w:t>–</w:t>
      </w:r>
      <w:r w:rsidRPr="00B64C57">
        <w:rPr>
          <w:lang w:val="es-ES_tradnl"/>
        </w:rPr>
        <w:tab/>
      </w:r>
      <w:r w:rsidR="00D0243F" w:rsidRPr="00D0243F">
        <w:rPr>
          <w:lang w:val="es-ES"/>
        </w:rPr>
        <w:t>La lista de Presidentes y Vicepresidentes nombrados puede consultarse en la Parte 4 de las Actas provisionales</w:t>
      </w:r>
      <w:r w:rsidR="00D0243F" w:rsidRPr="00D0243F">
        <w:rPr>
          <w:rFonts w:hint="eastAsia"/>
          <w:lang w:val="es-ES"/>
        </w:rPr>
        <w:t xml:space="preserve"> (</w:t>
      </w:r>
      <w:hyperlink r:id="rId21" w:history="1">
        <w:r w:rsidR="00740800">
          <w:rPr>
            <w:rStyle w:val="Hyperlink"/>
            <w:lang w:val="es-ES"/>
          </w:rPr>
          <w:t>https://www.itu.int/pub/T-REG-WTSADRAFT-2024/es</w:t>
        </w:r>
      </w:hyperlink>
      <w:r w:rsidR="00D0243F" w:rsidRPr="00D0243F">
        <w:rPr>
          <w:rFonts w:hint="eastAsia"/>
          <w:lang w:val="es-ES"/>
        </w:rPr>
        <w:t>)</w:t>
      </w:r>
      <w:r w:rsidR="00D0243F" w:rsidRPr="00D0243F">
        <w:rPr>
          <w:lang w:val="es-ES"/>
        </w:rPr>
        <w:t>.</w:t>
      </w:r>
    </w:p>
    <w:p w14:paraId="45724FC9" w14:textId="77777777" w:rsidR="00D0243F" w:rsidRPr="00D0243F" w:rsidRDefault="00D0243F" w:rsidP="00D0243F">
      <w:pPr>
        <w:rPr>
          <w:i/>
          <w:iCs/>
          <w:u w:val="single"/>
          <w:lang w:val="es-ES"/>
        </w:rPr>
      </w:pPr>
      <w:r w:rsidRPr="00D0243F">
        <w:rPr>
          <w:rFonts w:hint="eastAsia"/>
          <w:i/>
          <w:iCs/>
          <w:u w:val="single"/>
          <w:lang w:val="es-ES"/>
        </w:rPr>
        <w:t>Ap</w:t>
      </w:r>
      <w:r w:rsidRPr="00D0243F">
        <w:rPr>
          <w:i/>
          <w:iCs/>
          <w:u w:val="single"/>
          <w:lang w:val="es-ES"/>
        </w:rPr>
        <w:t>robación de Resoluciones de la AMNT y Recomendaciones UIT-T nuevas y revisadas</w:t>
      </w:r>
    </w:p>
    <w:p w14:paraId="4D6BBA9E" w14:textId="38FABD07" w:rsidR="00D0243F" w:rsidRPr="00D0243F" w:rsidRDefault="00385C68" w:rsidP="00385C68">
      <w:pPr>
        <w:pStyle w:val="enumlev1"/>
        <w:rPr>
          <w:lang w:val="es-ES"/>
        </w:rPr>
      </w:pPr>
      <w:r w:rsidRPr="00B64C57">
        <w:rPr>
          <w:lang w:val="es-ES_tradnl"/>
        </w:rPr>
        <w:t>–</w:t>
      </w:r>
      <w:r w:rsidRPr="00B64C57">
        <w:rPr>
          <w:lang w:val="es-ES_tradnl"/>
        </w:rPr>
        <w:tab/>
      </w:r>
      <w:r w:rsidR="00740800">
        <w:rPr>
          <w:lang w:val="es-ES"/>
        </w:rPr>
        <w:t>8</w:t>
      </w:r>
      <w:r w:rsidR="00D0243F" w:rsidRPr="00D0243F">
        <w:rPr>
          <w:lang w:val="es-ES"/>
        </w:rPr>
        <w:t xml:space="preserve"> Resoluciones nuevas (Resoluciones 101 a 108)</w:t>
      </w:r>
      <w:r w:rsidR="00740800">
        <w:rPr>
          <w:lang w:val="es-ES"/>
        </w:rPr>
        <w:t>.</w:t>
      </w:r>
    </w:p>
    <w:p w14:paraId="38E32F1E" w14:textId="66D7C0F9" w:rsidR="00D0243F" w:rsidRPr="00385C68" w:rsidRDefault="00385C68" w:rsidP="00385C68">
      <w:pPr>
        <w:pStyle w:val="enumlev1"/>
        <w:rPr>
          <w:lang w:val="es-ES"/>
        </w:rPr>
      </w:pPr>
      <w:r w:rsidRPr="00B64C57">
        <w:rPr>
          <w:lang w:val="es-ES_tradnl"/>
        </w:rPr>
        <w:t>–</w:t>
      </w:r>
      <w:r w:rsidRPr="00B64C57">
        <w:rPr>
          <w:lang w:val="es-ES_tradnl"/>
        </w:rPr>
        <w:tab/>
      </w:r>
      <w:r w:rsidR="00D0243F" w:rsidRPr="00385C68">
        <w:rPr>
          <w:lang w:val="es-ES"/>
        </w:rPr>
        <w:t>44 Resoluciones revisadas (Resoluciones 2, 7, 11, 18, 20, 22, 29, 32, 34, 40, 43, 44, 48, 50, 52, 54, 55, 58, 60, 61, 64, 65, 67, 68, 70, 72, 73, 74, 76, 77, 78, 79, 84, 88, 89, 91, 92, 93, 94, 96, 97, 98, 99, 100)</w:t>
      </w:r>
      <w:r w:rsidR="00740800">
        <w:rPr>
          <w:lang w:val="es-ES"/>
        </w:rPr>
        <w:t>.</w:t>
      </w:r>
    </w:p>
    <w:p w14:paraId="7E936511" w14:textId="534C7F29" w:rsidR="00D0243F" w:rsidRPr="00385C68" w:rsidRDefault="00385C68" w:rsidP="00385C68">
      <w:pPr>
        <w:pStyle w:val="enumlev1"/>
        <w:rPr>
          <w:lang w:val="es-ES"/>
        </w:rPr>
      </w:pPr>
      <w:r w:rsidRPr="00B64C57">
        <w:rPr>
          <w:lang w:val="es-ES_tradnl"/>
        </w:rPr>
        <w:t>–</w:t>
      </w:r>
      <w:r w:rsidRPr="00B64C57">
        <w:rPr>
          <w:lang w:val="es-ES_tradnl"/>
        </w:rPr>
        <w:tab/>
      </w:r>
      <w:r w:rsidR="00740800">
        <w:rPr>
          <w:lang w:val="es-ES"/>
        </w:rPr>
        <w:t>1</w:t>
      </w:r>
      <w:r w:rsidR="00D0243F" w:rsidRPr="00385C68">
        <w:rPr>
          <w:lang w:val="es-ES"/>
        </w:rPr>
        <w:t xml:space="preserve"> Resolución suprimida (Resolución 80)</w:t>
      </w:r>
      <w:r w:rsidR="00740800">
        <w:rPr>
          <w:lang w:val="es-ES"/>
        </w:rPr>
        <w:t>.</w:t>
      </w:r>
    </w:p>
    <w:p w14:paraId="77992ED7" w14:textId="25E788ED" w:rsidR="00D0243F" w:rsidRPr="00D0243F" w:rsidRDefault="00385C68" w:rsidP="00385C68">
      <w:pPr>
        <w:pStyle w:val="enumlev1"/>
        <w:rPr>
          <w:lang w:val="es-ES"/>
        </w:rPr>
      </w:pPr>
      <w:r w:rsidRPr="00B64C57">
        <w:rPr>
          <w:lang w:val="es-ES_tradnl"/>
        </w:rPr>
        <w:t>–</w:t>
      </w:r>
      <w:r w:rsidRPr="00B64C57">
        <w:rPr>
          <w:lang w:val="es-ES_tradnl"/>
        </w:rPr>
        <w:tab/>
      </w:r>
      <w:r w:rsidR="00740800">
        <w:rPr>
          <w:lang w:val="es-ES"/>
        </w:rPr>
        <w:t>1</w:t>
      </w:r>
      <w:r w:rsidR="00D0243F" w:rsidRPr="00D0243F">
        <w:rPr>
          <w:lang w:val="es-ES"/>
        </w:rPr>
        <w:t xml:space="preserve"> Recomendación UIT-T revisada (A.25)</w:t>
      </w:r>
      <w:r w:rsidR="00740800">
        <w:rPr>
          <w:lang w:val="es-ES"/>
        </w:rPr>
        <w:t>.</w:t>
      </w:r>
    </w:p>
    <w:p w14:paraId="4AA6DD13" w14:textId="68F75AE9" w:rsidR="00D0243F" w:rsidRPr="00D0243F" w:rsidRDefault="00385C68" w:rsidP="00385C68">
      <w:pPr>
        <w:pStyle w:val="enumlev1"/>
        <w:rPr>
          <w:lang w:val="es-ES"/>
        </w:rPr>
      </w:pPr>
      <w:r w:rsidRPr="00B64C57">
        <w:rPr>
          <w:lang w:val="es-ES_tradnl"/>
        </w:rPr>
        <w:lastRenderedPageBreak/>
        <w:t>–</w:t>
      </w:r>
      <w:r w:rsidRPr="00B64C57">
        <w:rPr>
          <w:lang w:val="es-ES_tradnl"/>
        </w:rPr>
        <w:tab/>
      </w:r>
      <w:r w:rsidR="00D0243F" w:rsidRPr="00D0243F">
        <w:rPr>
          <w:lang w:val="es-ES"/>
        </w:rPr>
        <w:t>Las Resoluciones de la AMNT y las Recomendaciones UIT-T nuevas y revisadas pueden encontrarse en las Partes 1 y 2 de las Actas provisionales</w:t>
      </w:r>
      <w:r w:rsidR="00D0243F" w:rsidRPr="00D0243F">
        <w:rPr>
          <w:rFonts w:hint="eastAsia"/>
          <w:lang w:val="es-ES"/>
        </w:rPr>
        <w:t xml:space="preserve"> (</w:t>
      </w:r>
      <w:hyperlink r:id="rId22" w:history="1">
        <w:r w:rsidR="00740800">
          <w:rPr>
            <w:rStyle w:val="Hyperlink"/>
            <w:lang w:val="es-ES"/>
          </w:rPr>
          <w:t>https://www.itu.int/pub/T-REG-WTSADRAFT-2024/es</w:t>
        </w:r>
      </w:hyperlink>
      <w:r w:rsidR="00D0243F" w:rsidRPr="00D0243F">
        <w:rPr>
          <w:rFonts w:hint="eastAsia"/>
          <w:lang w:val="es-ES"/>
        </w:rPr>
        <w:t>)</w:t>
      </w:r>
      <w:r w:rsidR="00740800">
        <w:rPr>
          <w:lang w:val="es-ES"/>
        </w:rPr>
        <w:t>.</w:t>
      </w:r>
    </w:p>
    <w:p w14:paraId="7E7BFC30" w14:textId="77777777" w:rsidR="00D0243F" w:rsidRPr="00D0243F" w:rsidRDefault="00D0243F" w:rsidP="00D0243F">
      <w:pPr>
        <w:rPr>
          <w:i/>
          <w:iCs/>
          <w:u w:val="single"/>
          <w:lang w:val="es-ES"/>
        </w:rPr>
      </w:pPr>
      <w:r w:rsidRPr="00D0243F">
        <w:rPr>
          <w:rFonts w:hint="eastAsia"/>
          <w:i/>
          <w:iCs/>
          <w:u w:val="single"/>
          <w:lang w:val="es-ES"/>
        </w:rPr>
        <w:t>N</w:t>
      </w:r>
      <w:r w:rsidRPr="00D0243F">
        <w:rPr>
          <w:i/>
          <w:iCs/>
          <w:u w:val="single"/>
          <w:lang w:val="es-ES"/>
        </w:rPr>
        <w:t>uevas Resoluciones de la AMNT</w:t>
      </w:r>
    </w:p>
    <w:p w14:paraId="7586B8EB" w14:textId="279F3C03" w:rsidR="00D0243F" w:rsidRPr="00D0243F" w:rsidRDefault="00385C68" w:rsidP="00385C68">
      <w:pPr>
        <w:pStyle w:val="enumlev1"/>
        <w:rPr>
          <w:lang w:val="es-ES"/>
        </w:rPr>
      </w:pPr>
      <w:r w:rsidRPr="00B64C57">
        <w:rPr>
          <w:lang w:val="es-ES_tradnl"/>
        </w:rPr>
        <w:t>–</w:t>
      </w:r>
      <w:r w:rsidRPr="00B64C57">
        <w:rPr>
          <w:lang w:val="es-ES_tradnl"/>
        </w:rPr>
        <w:tab/>
      </w:r>
      <w:r w:rsidR="00D0243F" w:rsidRPr="00D0243F">
        <w:rPr>
          <w:lang w:val="es-ES"/>
        </w:rPr>
        <w:t xml:space="preserve">Resolución </w:t>
      </w:r>
      <w:r w:rsidR="00D0243F" w:rsidRPr="00D0243F">
        <w:rPr>
          <w:rFonts w:hint="eastAsia"/>
          <w:lang w:val="es-ES"/>
        </w:rPr>
        <w:t xml:space="preserve">101 (ex </w:t>
      </w:r>
      <w:r w:rsidR="00D0243F" w:rsidRPr="00D0243F">
        <w:rPr>
          <w:lang w:val="es-ES"/>
        </w:rPr>
        <w:t>COM4/AI</w:t>
      </w:r>
      <w:r w:rsidR="00D0243F" w:rsidRPr="00D0243F">
        <w:rPr>
          <w:rFonts w:hint="eastAsia"/>
          <w:lang w:val="es-ES"/>
        </w:rPr>
        <w:t>)</w:t>
      </w:r>
      <w:r w:rsidR="00D0243F" w:rsidRPr="00D0243F">
        <w:rPr>
          <w:lang w:val="es-ES"/>
        </w:rPr>
        <w:t xml:space="preserve"> (Nueva Delhi, 2024): </w:t>
      </w:r>
      <w:r w:rsidR="00D0243F" w:rsidRPr="00D0243F">
        <w:rPr>
          <w:lang w:val="es-ES_tradnl"/>
        </w:rPr>
        <w:t>Actividades de normalización del Sector de Normalización de las Telecomunicaciones de la UIT sobre la aplicación de las tecnologías de la inteligencia artificial a las telecomunicaciones/tecnologías de la información y la comunicación</w:t>
      </w:r>
      <w:r w:rsidR="005A70F9">
        <w:rPr>
          <w:lang w:val="es-ES_tradnl"/>
        </w:rPr>
        <w:t>.</w:t>
      </w:r>
    </w:p>
    <w:p w14:paraId="4C70F666" w14:textId="575D171B" w:rsidR="00D0243F" w:rsidRPr="00D0243F" w:rsidRDefault="00385C68" w:rsidP="00385C68">
      <w:pPr>
        <w:pStyle w:val="enumlev1"/>
        <w:rPr>
          <w:lang w:val="es-ES"/>
        </w:rPr>
      </w:pPr>
      <w:r w:rsidRPr="00B64C57">
        <w:rPr>
          <w:lang w:val="es-ES_tradnl"/>
        </w:rPr>
        <w:t>–</w:t>
      </w:r>
      <w:r w:rsidRPr="00B64C57">
        <w:rPr>
          <w:lang w:val="es-ES_tradnl"/>
        </w:rPr>
        <w:tab/>
      </w:r>
      <w:r w:rsidR="00D0243F" w:rsidRPr="00D0243F">
        <w:rPr>
          <w:lang w:val="es-ES"/>
        </w:rPr>
        <w:t xml:space="preserve">Resolución </w:t>
      </w:r>
      <w:r w:rsidR="00D0243F" w:rsidRPr="00D0243F">
        <w:rPr>
          <w:rFonts w:hint="eastAsia"/>
          <w:lang w:val="es-ES"/>
        </w:rPr>
        <w:t xml:space="preserve">102 (ex </w:t>
      </w:r>
      <w:r w:rsidR="00D0243F" w:rsidRPr="00D0243F">
        <w:rPr>
          <w:lang w:val="es-ES"/>
        </w:rPr>
        <w:t>COM4/CLI-CL</w:t>
      </w:r>
      <w:r w:rsidR="00D0243F" w:rsidRPr="00D0243F">
        <w:rPr>
          <w:rFonts w:hint="eastAsia"/>
          <w:lang w:val="es-ES"/>
        </w:rPr>
        <w:t>)</w:t>
      </w:r>
      <w:r w:rsidR="00D0243F" w:rsidRPr="00D0243F">
        <w:rPr>
          <w:lang w:val="es-ES"/>
        </w:rPr>
        <w:t xml:space="preserve"> (Nueva Delhi, 2024): </w:t>
      </w:r>
      <w:r w:rsidR="00D0243F" w:rsidRPr="00D0243F">
        <w:rPr>
          <w:lang w:val="es-ES_tradnl"/>
        </w:rPr>
        <w:t>Suministro de la información de ubicación del llamante obtenida a partir del dispositivo móvil para comunicaciones de emergencia</w:t>
      </w:r>
      <w:r w:rsidR="005A70F9">
        <w:rPr>
          <w:lang w:val="es-ES_tradnl"/>
        </w:rPr>
        <w:t>.</w:t>
      </w:r>
    </w:p>
    <w:p w14:paraId="24A9779B" w14:textId="6FFC7395" w:rsidR="00D0243F" w:rsidRPr="00D0243F" w:rsidRDefault="00385C68" w:rsidP="00385C68">
      <w:pPr>
        <w:pStyle w:val="enumlev1"/>
        <w:rPr>
          <w:lang w:val="es-ES"/>
        </w:rPr>
      </w:pPr>
      <w:r w:rsidRPr="00B64C57">
        <w:rPr>
          <w:lang w:val="es-ES_tradnl"/>
        </w:rPr>
        <w:t>–</w:t>
      </w:r>
      <w:r w:rsidRPr="00B64C57">
        <w:rPr>
          <w:lang w:val="es-ES_tradnl"/>
        </w:rPr>
        <w:tab/>
      </w:r>
      <w:r w:rsidR="00D0243F" w:rsidRPr="00D0243F">
        <w:rPr>
          <w:lang w:val="es-ES"/>
        </w:rPr>
        <w:t xml:space="preserve">Resolución </w:t>
      </w:r>
      <w:r w:rsidR="00D0243F" w:rsidRPr="00D0243F">
        <w:rPr>
          <w:rFonts w:hint="eastAsia"/>
          <w:lang w:val="es-ES"/>
        </w:rPr>
        <w:t xml:space="preserve">103 (ex </w:t>
      </w:r>
      <w:r w:rsidR="00D0243F" w:rsidRPr="00D0243F">
        <w:rPr>
          <w:lang w:val="es-ES"/>
        </w:rPr>
        <w:t>COM4/DPI</w:t>
      </w:r>
      <w:r w:rsidR="00D0243F" w:rsidRPr="00D0243F">
        <w:rPr>
          <w:rFonts w:hint="eastAsia"/>
          <w:lang w:val="es-ES"/>
        </w:rPr>
        <w:t>)</w:t>
      </w:r>
      <w:r w:rsidR="00D0243F" w:rsidRPr="00D0243F">
        <w:rPr>
          <w:lang w:val="es-ES"/>
        </w:rPr>
        <w:t xml:space="preserve"> (Nueva Delhi, 2024): </w:t>
      </w:r>
      <w:r w:rsidR="00D0243F" w:rsidRPr="00D0243F">
        <w:rPr>
          <w:lang w:val="es-ES_tradnl"/>
        </w:rPr>
        <w:t>Mejora de las actividades de normalización sobre infraestructuras públicas digitales</w:t>
      </w:r>
      <w:r w:rsidR="005A70F9">
        <w:rPr>
          <w:lang w:val="es-ES_tradnl"/>
        </w:rPr>
        <w:t>.</w:t>
      </w:r>
    </w:p>
    <w:p w14:paraId="145E32E7" w14:textId="4F0BCE7E" w:rsidR="00D0243F" w:rsidRPr="00D0243F" w:rsidRDefault="00385C68" w:rsidP="00385C68">
      <w:pPr>
        <w:pStyle w:val="enumlev1"/>
        <w:rPr>
          <w:lang w:val="es-ES"/>
        </w:rPr>
      </w:pPr>
      <w:r w:rsidRPr="00B64C57">
        <w:rPr>
          <w:lang w:val="es-ES_tradnl"/>
        </w:rPr>
        <w:t>–</w:t>
      </w:r>
      <w:r w:rsidRPr="00B64C57">
        <w:rPr>
          <w:lang w:val="es-ES_tradnl"/>
        </w:rPr>
        <w:tab/>
      </w:r>
      <w:r w:rsidR="00D0243F" w:rsidRPr="00D0243F">
        <w:rPr>
          <w:lang w:val="es-ES"/>
        </w:rPr>
        <w:t xml:space="preserve">Resolución </w:t>
      </w:r>
      <w:r w:rsidR="00D0243F" w:rsidRPr="00D0243F">
        <w:rPr>
          <w:rFonts w:hint="eastAsia"/>
          <w:lang w:val="es-ES"/>
        </w:rPr>
        <w:t xml:space="preserve">104 (ex </w:t>
      </w:r>
      <w:r w:rsidR="00D0243F" w:rsidRPr="00D0243F">
        <w:rPr>
          <w:lang w:val="es-ES"/>
        </w:rPr>
        <w:t>COM4/VC</w:t>
      </w:r>
      <w:r w:rsidR="00D0243F" w:rsidRPr="00D0243F">
        <w:rPr>
          <w:rFonts w:hint="eastAsia"/>
          <w:lang w:val="es-ES"/>
        </w:rPr>
        <w:t>)</w:t>
      </w:r>
      <w:r w:rsidR="00D0243F" w:rsidRPr="00D0243F">
        <w:rPr>
          <w:lang w:val="es-ES"/>
        </w:rPr>
        <w:t xml:space="preserve"> (Nueva Delhi, 2024): </w:t>
      </w:r>
      <w:r w:rsidR="00D0243F" w:rsidRPr="00D0243F">
        <w:rPr>
          <w:lang w:val="es-ES_tradnl"/>
        </w:rPr>
        <w:t>Fomento y refuerzo de las actividades de normalización de las comunicaciones vehiculares</w:t>
      </w:r>
      <w:r w:rsidR="005A70F9">
        <w:rPr>
          <w:lang w:val="es-ES_tradnl"/>
        </w:rPr>
        <w:t>.</w:t>
      </w:r>
    </w:p>
    <w:p w14:paraId="7CD3873B" w14:textId="12FD93F0" w:rsidR="00D0243F" w:rsidRPr="00D0243F" w:rsidRDefault="00385C68" w:rsidP="00385C68">
      <w:pPr>
        <w:pStyle w:val="enumlev1"/>
        <w:rPr>
          <w:lang w:val="es-ES"/>
        </w:rPr>
      </w:pPr>
      <w:r w:rsidRPr="00B64C57">
        <w:rPr>
          <w:lang w:val="es-ES_tradnl"/>
        </w:rPr>
        <w:t>–</w:t>
      </w:r>
      <w:r w:rsidRPr="00B64C57">
        <w:rPr>
          <w:lang w:val="es-ES_tradnl"/>
        </w:rPr>
        <w:tab/>
      </w:r>
      <w:r w:rsidR="00D0243F" w:rsidRPr="00D0243F">
        <w:rPr>
          <w:lang w:val="es-ES"/>
        </w:rPr>
        <w:t xml:space="preserve">Resolución </w:t>
      </w:r>
      <w:r w:rsidR="00D0243F" w:rsidRPr="00D0243F">
        <w:rPr>
          <w:rFonts w:hint="eastAsia"/>
          <w:lang w:val="es-ES"/>
        </w:rPr>
        <w:t xml:space="preserve">105 (ex </w:t>
      </w:r>
      <w:r w:rsidR="00D0243F" w:rsidRPr="00D0243F">
        <w:rPr>
          <w:lang w:val="es-ES"/>
        </w:rPr>
        <w:t>COM4/MV</w:t>
      </w:r>
      <w:r w:rsidR="00D0243F" w:rsidRPr="00D0243F">
        <w:rPr>
          <w:rFonts w:hint="eastAsia"/>
          <w:lang w:val="es-ES"/>
        </w:rPr>
        <w:t>)</w:t>
      </w:r>
      <w:r w:rsidR="00D0243F" w:rsidRPr="00D0243F">
        <w:rPr>
          <w:lang w:val="es-ES"/>
        </w:rPr>
        <w:t xml:space="preserve"> (Nueva Delhi, 2024): </w:t>
      </w:r>
      <w:r w:rsidR="00D0243F" w:rsidRPr="00D0243F">
        <w:rPr>
          <w:lang w:val="es-ES_tradnl"/>
        </w:rPr>
        <w:t>Fomento e intensificación de la normalización del metaverso</w:t>
      </w:r>
      <w:r w:rsidR="005A70F9">
        <w:rPr>
          <w:lang w:val="es-ES_tradnl"/>
        </w:rPr>
        <w:t>.</w:t>
      </w:r>
    </w:p>
    <w:p w14:paraId="59F7CEEE" w14:textId="03169CC2" w:rsidR="00D0243F" w:rsidRPr="00D0243F" w:rsidRDefault="00385C68" w:rsidP="00385C68">
      <w:pPr>
        <w:pStyle w:val="enumlev1"/>
        <w:rPr>
          <w:lang w:val="es-ES"/>
        </w:rPr>
      </w:pPr>
      <w:r w:rsidRPr="00B64C57">
        <w:rPr>
          <w:lang w:val="es-ES_tradnl"/>
        </w:rPr>
        <w:lastRenderedPageBreak/>
        <w:t>–</w:t>
      </w:r>
      <w:r w:rsidRPr="00B64C57">
        <w:rPr>
          <w:lang w:val="es-ES_tradnl"/>
        </w:rPr>
        <w:tab/>
      </w:r>
      <w:r w:rsidR="00D0243F" w:rsidRPr="00D0243F">
        <w:rPr>
          <w:lang w:val="es-ES"/>
        </w:rPr>
        <w:t xml:space="preserve">Resolución </w:t>
      </w:r>
      <w:r w:rsidR="00D0243F" w:rsidRPr="00D0243F">
        <w:rPr>
          <w:rFonts w:hint="eastAsia"/>
          <w:lang w:val="es-ES"/>
        </w:rPr>
        <w:t xml:space="preserve">106 (ex </w:t>
      </w:r>
      <w:r w:rsidR="00D0243F" w:rsidRPr="00D0243F">
        <w:rPr>
          <w:lang w:val="es-ES"/>
        </w:rPr>
        <w:t>COM4/SDT</w:t>
      </w:r>
      <w:r w:rsidR="00D0243F" w:rsidRPr="00D0243F">
        <w:rPr>
          <w:rFonts w:hint="eastAsia"/>
          <w:lang w:val="es-ES"/>
        </w:rPr>
        <w:t>)</w:t>
      </w:r>
      <w:r w:rsidR="00D0243F" w:rsidRPr="00D0243F">
        <w:rPr>
          <w:lang w:val="es-ES"/>
        </w:rPr>
        <w:t xml:space="preserve"> (Nueva Delhi, 2024): </w:t>
      </w:r>
      <w:r w:rsidR="00D0243F" w:rsidRPr="00D0243F">
        <w:rPr>
          <w:lang w:val="es-ES_tradnl"/>
        </w:rPr>
        <w:t>Fortalecimiento de las actividades de normalización sobre transformación digital sostenible</w:t>
      </w:r>
      <w:r w:rsidR="005A70F9">
        <w:rPr>
          <w:lang w:val="es-ES_tradnl"/>
        </w:rPr>
        <w:t>.</w:t>
      </w:r>
    </w:p>
    <w:p w14:paraId="12CA5AE7" w14:textId="43234074" w:rsidR="00D0243F" w:rsidRPr="00D0243F" w:rsidRDefault="00385C68" w:rsidP="00385C68">
      <w:pPr>
        <w:pStyle w:val="enumlev1"/>
        <w:rPr>
          <w:lang w:val="es-ES"/>
        </w:rPr>
      </w:pPr>
      <w:r w:rsidRPr="00B64C57">
        <w:rPr>
          <w:lang w:val="es-ES_tradnl"/>
        </w:rPr>
        <w:t>–</w:t>
      </w:r>
      <w:r w:rsidRPr="00B64C57">
        <w:rPr>
          <w:lang w:val="es-ES_tradnl"/>
        </w:rPr>
        <w:tab/>
      </w:r>
      <w:r w:rsidR="00D0243F" w:rsidRPr="00D0243F">
        <w:rPr>
          <w:lang w:val="es-ES"/>
        </w:rPr>
        <w:t xml:space="preserve">Resolución </w:t>
      </w:r>
      <w:r w:rsidR="00D0243F" w:rsidRPr="00D0243F">
        <w:rPr>
          <w:rFonts w:hint="eastAsia"/>
          <w:lang w:val="es-ES"/>
        </w:rPr>
        <w:t xml:space="preserve">107 (ex </w:t>
      </w:r>
      <w:r w:rsidR="00D0243F" w:rsidRPr="00D0243F">
        <w:rPr>
          <w:lang w:val="es-ES"/>
        </w:rPr>
        <w:t>COM3/NG</w:t>
      </w:r>
      <w:r w:rsidR="00D0243F" w:rsidRPr="00D0243F">
        <w:rPr>
          <w:rFonts w:hint="eastAsia"/>
          <w:lang w:val="es-ES"/>
        </w:rPr>
        <w:t>)</w:t>
      </w:r>
      <w:r w:rsidR="00D0243F" w:rsidRPr="00D0243F">
        <w:rPr>
          <w:lang w:val="es-ES"/>
        </w:rPr>
        <w:t xml:space="preserve"> (Nueva Delhi, 2024): </w:t>
      </w:r>
      <w:r w:rsidR="00D0243F" w:rsidRPr="00D0243F">
        <w:rPr>
          <w:lang w:val="es-ES_tradnl"/>
        </w:rPr>
        <w:t>Mejora de la participación de la próxima generación de expertos en las actividades de normalización del Sector de Normalización de las Telecomunicaciones de la UIT</w:t>
      </w:r>
      <w:r w:rsidR="005A70F9">
        <w:rPr>
          <w:lang w:val="es-ES_tradnl"/>
        </w:rPr>
        <w:t>.</w:t>
      </w:r>
    </w:p>
    <w:p w14:paraId="780E0C9B" w14:textId="5CB8D225" w:rsidR="00D0243F" w:rsidRPr="00D0243F" w:rsidRDefault="00385C68" w:rsidP="00385C68">
      <w:pPr>
        <w:pStyle w:val="enumlev1"/>
        <w:rPr>
          <w:lang w:val="es-ES"/>
        </w:rPr>
      </w:pPr>
      <w:r w:rsidRPr="00B64C57">
        <w:rPr>
          <w:lang w:val="es-ES_tradnl"/>
        </w:rPr>
        <w:t>–</w:t>
      </w:r>
      <w:r w:rsidRPr="00B64C57">
        <w:rPr>
          <w:lang w:val="es-ES_tradnl"/>
        </w:rPr>
        <w:tab/>
      </w:r>
      <w:r w:rsidR="00D0243F" w:rsidRPr="00D0243F">
        <w:rPr>
          <w:lang w:val="es-ES"/>
        </w:rPr>
        <w:t xml:space="preserve">Resolución </w:t>
      </w:r>
      <w:r w:rsidR="00D0243F" w:rsidRPr="00D0243F">
        <w:rPr>
          <w:rFonts w:hint="eastAsia"/>
          <w:lang w:val="es-ES"/>
        </w:rPr>
        <w:t xml:space="preserve">108 (ex </w:t>
      </w:r>
      <w:r w:rsidR="00D0243F" w:rsidRPr="00D0243F">
        <w:rPr>
          <w:lang w:val="es-ES"/>
        </w:rPr>
        <w:t>COM3/SP</w:t>
      </w:r>
      <w:r w:rsidR="00D0243F" w:rsidRPr="00D0243F">
        <w:rPr>
          <w:rFonts w:hint="eastAsia"/>
          <w:lang w:val="es-ES"/>
        </w:rPr>
        <w:t>)</w:t>
      </w:r>
      <w:r w:rsidR="00D0243F" w:rsidRPr="00D0243F">
        <w:rPr>
          <w:lang w:val="es-ES"/>
        </w:rPr>
        <w:t xml:space="preserve"> (Nueva Delhi, 2024): </w:t>
      </w:r>
      <w:r w:rsidR="00D0243F" w:rsidRPr="00D0243F">
        <w:rPr>
          <w:lang w:val="es-ES_tradnl"/>
        </w:rPr>
        <w:t>Planificación estratégica en el Sector de Normalización</w:t>
      </w:r>
      <w:r w:rsidR="005A70F9">
        <w:rPr>
          <w:lang w:val="es-ES_tradnl"/>
        </w:rPr>
        <w:t xml:space="preserve"> </w:t>
      </w:r>
      <w:r w:rsidR="00D0243F" w:rsidRPr="00D0243F">
        <w:rPr>
          <w:lang w:val="es-ES_tradnl"/>
        </w:rPr>
        <w:t>de las Telecomunicaciones de la UIT</w:t>
      </w:r>
      <w:r w:rsidR="005A70F9">
        <w:rPr>
          <w:lang w:val="es-ES_tradnl"/>
        </w:rPr>
        <w:t>.</w:t>
      </w:r>
    </w:p>
    <w:p w14:paraId="4E069B75" w14:textId="3962AF6E" w:rsidR="00D0243F" w:rsidRPr="00D0243F" w:rsidRDefault="00740800" w:rsidP="00385C68">
      <w:pPr>
        <w:pStyle w:val="Heading1"/>
        <w:rPr>
          <w:lang w:val="es-ES"/>
        </w:rPr>
      </w:pPr>
      <w:r>
        <w:rPr>
          <w:lang w:val="es-ES"/>
        </w:rPr>
        <w:t>3</w:t>
      </w:r>
      <w:r w:rsidR="00385C68">
        <w:rPr>
          <w:lang w:val="es-ES"/>
        </w:rPr>
        <w:tab/>
      </w:r>
      <w:r w:rsidR="00D0243F" w:rsidRPr="00D0243F">
        <w:rPr>
          <w:lang w:val="es-ES"/>
        </w:rPr>
        <w:t>Pertinencia para los trabajos del UIT-D</w:t>
      </w:r>
    </w:p>
    <w:p w14:paraId="6E86A8CC" w14:textId="19F0EE92" w:rsidR="00D0243F" w:rsidRPr="00D0243F" w:rsidRDefault="00D0243F" w:rsidP="00D0243F">
      <w:pPr>
        <w:rPr>
          <w:lang w:val="es-ES"/>
        </w:rPr>
      </w:pPr>
      <w:r w:rsidRPr="00D0243F">
        <w:rPr>
          <w:lang w:val="es-ES"/>
        </w:rPr>
        <w:t>En el Cuadro 1 se presentan las Resoluciones de la AMNT que influyen en los trabajos del UIT-D.</w:t>
      </w:r>
    </w:p>
    <w:p w14:paraId="7BD09B6E" w14:textId="7066FC9C" w:rsidR="00D0243F" w:rsidRPr="00D0243F" w:rsidRDefault="00D0243F" w:rsidP="00385C68">
      <w:pPr>
        <w:rPr>
          <w:lang w:val="es-ES"/>
        </w:rPr>
      </w:pPr>
      <w:r w:rsidRPr="00D0243F">
        <w:rPr>
          <w:lang w:val="es-ES"/>
        </w:rPr>
        <w:t xml:space="preserve">En el Cuadro 2 se consignan las Resoluciones de la AMNT pertinentes para los trabajos del UIT-D con sus correspondientes </w:t>
      </w:r>
      <w:r w:rsidRPr="00D0243F">
        <w:rPr>
          <w:i/>
          <w:iCs/>
          <w:lang w:val="es-ES"/>
        </w:rPr>
        <w:t>encarga al Director de la Oficina de Desarrollo de las Telecomunicaciones de la UIT</w:t>
      </w:r>
      <w:r w:rsidRPr="00D0243F">
        <w:rPr>
          <w:lang w:val="es-ES"/>
        </w:rPr>
        <w:t>.</w:t>
      </w:r>
    </w:p>
    <w:p w14:paraId="4062E95C" w14:textId="77777777" w:rsidR="00D0243F" w:rsidRDefault="00D0243F" w:rsidP="00D0243F">
      <w:pPr>
        <w:tabs>
          <w:tab w:val="clear" w:pos="794"/>
          <w:tab w:val="clear" w:pos="1191"/>
          <w:tab w:val="clear" w:pos="1588"/>
          <w:tab w:val="clear" w:pos="1985"/>
        </w:tabs>
        <w:overflowPunct/>
        <w:autoSpaceDE/>
        <w:autoSpaceDN/>
        <w:adjustRightInd/>
        <w:spacing w:before="0"/>
        <w:textAlignment w:val="auto"/>
        <w:rPr>
          <w:lang w:val="es-ES"/>
        </w:rPr>
        <w:sectPr w:rsidR="00D0243F" w:rsidSect="00473791">
          <w:headerReference w:type="default" r:id="rId23"/>
          <w:footerReference w:type="first" r:id="rId24"/>
          <w:pgSz w:w="11907" w:h="16834" w:code="9"/>
          <w:pgMar w:top="1418" w:right="1134" w:bottom="1418" w:left="1134" w:header="720" w:footer="720" w:gutter="0"/>
          <w:paperSrc w:first="7" w:other="7"/>
          <w:cols w:space="720"/>
          <w:titlePg/>
          <w:docGrid w:linePitch="326"/>
        </w:sectPr>
      </w:pPr>
      <w:r w:rsidRPr="00D0243F">
        <w:rPr>
          <w:lang w:val="es-ES"/>
        </w:rPr>
        <w:br w:type="page"/>
      </w:r>
    </w:p>
    <w:p w14:paraId="09BA1733" w14:textId="77777777" w:rsidR="00D0243F" w:rsidRPr="00D0243F" w:rsidRDefault="00D0243F" w:rsidP="00740800">
      <w:pPr>
        <w:pStyle w:val="Tabletitle"/>
        <w:rPr>
          <w:lang w:val="es-ES"/>
        </w:rPr>
      </w:pPr>
      <w:r w:rsidRPr="00D0243F">
        <w:rPr>
          <w:lang w:val="es-ES"/>
        </w:rPr>
        <w:lastRenderedPageBreak/>
        <w:t>Cuadro 1 – Resoluciones de la AMNT que influyen en los trabajos del UIT-D</w:t>
      </w:r>
    </w:p>
    <w:tbl>
      <w:tblPr>
        <w:tblStyle w:val="GridTable4-Accent1"/>
        <w:tblW w:w="14454" w:type="dxa"/>
        <w:tblLook w:val="04A0" w:firstRow="1" w:lastRow="0" w:firstColumn="1" w:lastColumn="0" w:noHBand="0" w:noVBand="1"/>
      </w:tblPr>
      <w:tblGrid>
        <w:gridCol w:w="1060"/>
        <w:gridCol w:w="1560"/>
        <w:gridCol w:w="11834"/>
      </w:tblGrid>
      <w:tr w:rsidR="00D0243F" w:rsidRPr="00740800" w14:paraId="500E9FBE" w14:textId="77777777" w:rsidTr="00E66E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4318A61E" w14:textId="77777777" w:rsidR="00D0243F" w:rsidRPr="00740800" w:rsidRDefault="00D0243F" w:rsidP="00740800">
            <w:pPr>
              <w:pStyle w:val="Tablehead"/>
              <w:rPr>
                <w:b/>
                <w:bCs w:val="0"/>
                <w:lang w:val="es-ES_tradnl"/>
              </w:rPr>
            </w:pPr>
            <w:r w:rsidRPr="00740800">
              <w:rPr>
                <w:b/>
                <w:bCs w:val="0"/>
                <w:lang w:val="es-ES_tradnl"/>
              </w:rPr>
              <w:t>Situación</w:t>
            </w:r>
          </w:p>
        </w:tc>
        <w:tc>
          <w:tcPr>
            <w:tcW w:w="1565" w:type="dxa"/>
            <w:hideMark/>
          </w:tcPr>
          <w:p w14:paraId="23A99548" w14:textId="77777777" w:rsidR="00D0243F" w:rsidRPr="00740800" w:rsidRDefault="00D0243F" w:rsidP="00740800">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740800">
              <w:rPr>
                <w:b/>
                <w:bCs w:val="0"/>
                <w:lang w:val="es-ES_tradnl"/>
              </w:rPr>
              <w:t>Número</w:t>
            </w:r>
          </w:p>
        </w:tc>
        <w:tc>
          <w:tcPr>
            <w:tcW w:w="11907" w:type="dxa"/>
            <w:hideMark/>
          </w:tcPr>
          <w:p w14:paraId="3BD0B077" w14:textId="77777777" w:rsidR="00D0243F" w:rsidRPr="00740800" w:rsidRDefault="00D0243F" w:rsidP="00740800">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740800">
              <w:rPr>
                <w:b/>
                <w:bCs w:val="0"/>
                <w:lang w:val="es-ES_tradnl"/>
              </w:rPr>
              <w:t>Título</w:t>
            </w:r>
          </w:p>
        </w:tc>
      </w:tr>
      <w:tr w:rsidR="00D0243F" w:rsidRPr="00D0243F" w14:paraId="352BFCB7"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13260C"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A77505"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4138C6" w14:textId="4AFD2830"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6" w:name="_Toc111990461"/>
            <w:r w:rsidRPr="00D0243F">
              <w:rPr>
                <w:lang w:val="es-ES_tradnl"/>
              </w:rPr>
              <w:t>Alcance y mandato de las Comisiones de Estudio del Sector de Normalización de las Telecomunicaciones de la UIT</w:t>
            </w:r>
            <w:bookmarkEnd w:id="6"/>
          </w:p>
        </w:tc>
      </w:tr>
      <w:tr w:rsidR="00D0243F" w:rsidRPr="00D0243F" w14:paraId="73FFD2AA"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8ACAD3"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93F265"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C6DC56" w14:textId="7D3995C2"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7" w:name="_Toc111990467"/>
            <w:r w:rsidRPr="00D0243F">
              <w:rPr>
                <w:lang w:val="es-ES_tradnl"/>
              </w:rPr>
              <w:t>Fortalecimiento de la coordinación y la cooperación entre los tres Sectores de la UIT</w:t>
            </w:r>
            <w:bookmarkEnd w:id="7"/>
            <w:r w:rsidRPr="00D0243F">
              <w:rPr>
                <w:lang w:val="es-ES_tradnl"/>
              </w:rPr>
              <w:t xml:space="preserve"> en asuntos de interés mutuo</w:t>
            </w:r>
          </w:p>
        </w:tc>
      </w:tr>
      <w:tr w:rsidR="00D0243F" w:rsidRPr="00D0243F" w14:paraId="29C6BFEF"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41B4AD"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BD207F"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948533" w14:textId="2E667221"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8" w:name="_Toc111990471"/>
            <w:r w:rsidRPr="00D0243F">
              <w:rPr>
                <w:lang w:val="es-ES_tradnl"/>
              </w:rPr>
              <w:t>Autorización para que el Grupo Asesor de Normalización de las</w:t>
            </w:r>
            <w:r w:rsidR="005A70F9">
              <w:rPr>
                <w:lang w:val="es-ES_tradnl"/>
              </w:rPr>
              <w:t xml:space="preserve"> </w:t>
            </w:r>
            <w:r w:rsidRPr="00D0243F">
              <w:rPr>
                <w:lang w:val="es-ES_tradnl"/>
              </w:rPr>
              <w:t>Telecomunicaciones actúe en el periodo entre Asambleas Mundiales de</w:t>
            </w:r>
            <w:r w:rsidR="005A70F9">
              <w:rPr>
                <w:lang w:val="es-ES_tradnl"/>
              </w:rPr>
              <w:t xml:space="preserve"> </w:t>
            </w:r>
            <w:r w:rsidRPr="00D0243F">
              <w:rPr>
                <w:lang w:val="es-ES_tradnl"/>
              </w:rPr>
              <w:t>Normalización de las Telecomunicaciones</w:t>
            </w:r>
            <w:bookmarkEnd w:id="8"/>
          </w:p>
        </w:tc>
      </w:tr>
      <w:tr w:rsidR="00D0243F" w:rsidRPr="00D0243F" w14:paraId="4E651E6D"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BDF576"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7E8E34"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222EAB" w14:textId="2E822FB0"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9" w:name="_Toc111990473"/>
            <w:r w:rsidRPr="00D0243F">
              <w:rPr>
                <w:lang w:val="es-ES_tradnl"/>
              </w:rPr>
              <w:t>Procedimientos alternativos de llamada en las redes internacionales</w:t>
            </w:r>
            <w:r w:rsidR="005A70F9">
              <w:rPr>
                <w:lang w:val="es-ES_tradnl"/>
              </w:rPr>
              <w:t xml:space="preserve"> </w:t>
            </w:r>
            <w:r w:rsidRPr="00D0243F">
              <w:rPr>
                <w:lang w:val="es-ES_tradnl"/>
              </w:rPr>
              <w:t>de telecomunicación</w:t>
            </w:r>
            <w:bookmarkEnd w:id="9"/>
          </w:p>
        </w:tc>
      </w:tr>
      <w:tr w:rsidR="00D0243F" w:rsidRPr="00D0243F" w14:paraId="51F79430"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4D204E"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DD089B"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A00BF4" w14:textId="79ED40F1"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10" w:name="_Toc111990477"/>
            <w:r w:rsidRPr="00D0243F">
              <w:rPr>
                <w:lang w:val="es-ES_tradnl"/>
              </w:rPr>
              <w:t>Fortalecimiento de los métodos de trabajo electrónicos del Sector</w:t>
            </w:r>
            <w:r w:rsidR="005A70F9">
              <w:rPr>
                <w:lang w:val="es-ES_tradnl"/>
              </w:rPr>
              <w:t xml:space="preserve"> </w:t>
            </w:r>
            <w:r w:rsidRPr="00D0243F">
              <w:rPr>
                <w:lang w:val="es-ES_tradnl"/>
              </w:rPr>
              <w:t>de Normalización de las Telecomunicaciones de la UIT</w:t>
            </w:r>
            <w:bookmarkEnd w:id="10"/>
          </w:p>
        </w:tc>
      </w:tr>
      <w:tr w:rsidR="00D0243F" w:rsidRPr="00D0243F" w14:paraId="510DC1B8"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FCDBB7"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85D2FE"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FC6079" w14:textId="66474FEE"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11" w:name="_Toc111990483"/>
            <w:r w:rsidRPr="00D0243F">
              <w:rPr>
                <w:lang w:val="es-ES_tradnl"/>
              </w:rPr>
              <w:t>Preparativos regionales para las Asambleas Mundiales</w:t>
            </w:r>
            <w:r w:rsidR="005A70F9">
              <w:rPr>
                <w:lang w:val="es-ES_tradnl"/>
              </w:rPr>
              <w:t xml:space="preserve"> </w:t>
            </w:r>
            <w:r w:rsidRPr="00D0243F">
              <w:rPr>
                <w:lang w:val="es-ES_tradnl"/>
              </w:rPr>
              <w:t>de Normalización de las Telecomunicaciones</w:t>
            </w:r>
            <w:bookmarkEnd w:id="11"/>
          </w:p>
        </w:tc>
      </w:tr>
      <w:tr w:rsidR="00D0243F" w:rsidRPr="00D0243F" w14:paraId="5CEF0FD5"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CD9FCA"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677CA18"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90E005" w14:textId="341870B3"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12" w:name="_Toc111990485"/>
            <w:r w:rsidRPr="00D0243F">
              <w:rPr>
                <w:lang w:val="es-ES_tradnl"/>
              </w:rPr>
              <w:t>Reducción de la brecha de normalización entre los países en desarrollo</w:t>
            </w:r>
            <w:r w:rsidR="005A70F9">
              <w:rPr>
                <w:lang w:val="es-ES_tradnl"/>
              </w:rPr>
              <w:t xml:space="preserve"> </w:t>
            </w:r>
            <w:r w:rsidRPr="00D0243F">
              <w:rPr>
                <w:lang w:val="es-ES_tradnl"/>
              </w:rPr>
              <w:t>y desarrollados</w:t>
            </w:r>
            <w:bookmarkEnd w:id="12"/>
          </w:p>
        </w:tc>
      </w:tr>
      <w:tr w:rsidR="00D0243F" w:rsidRPr="00D0243F" w14:paraId="1C260E48"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3F4D7F"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8CE949"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DE81CB" w14:textId="77777777"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13" w:name="_Toc111990489"/>
            <w:r w:rsidRPr="00D0243F">
              <w:rPr>
                <w:lang w:val="es-ES_tradnl"/>
              </w:rPr>
              <w:t>Nombres de dominio internacionalizados (y multilingües)</w:t>
            </w:r>
            <w:bookmarkEnd w:id="13"/>
          </w:p>
        </w:tc>
      </w:tr>
      <w:tr w:rsidR="00D0243F" w:rsidRPr="00D0243F" w14:paraId="1CE2A7E8"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FEA935"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6AE5A48"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CA31BB" w14:textId="77777777"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pPr>
            <w:proofErr w:type="spellStart"/>
            <w:r w:rsidRPr="00D0243F">
              <w:t>Ciberseguridad</w:t>
            </w:r>
            <w:proofErr w:type="spellEnd"/>
          </w:p>
        </w:tc>
      </w:tr>
      <w:tr w:rsidR="00D0243F" w:rsidRPr="00D0243F" w14:paraId="45D0575D"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E502202"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357F72"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66EE49" w14:textId="77777777"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r w:rsidRPr="00D0243F">
              <w:rPr>
                <w:lang w:val="es-ES_tradnl"/>
              </w:rPr>
              <w:t xml:space="preserve">Respuesta y lucha contra el </w:t>
            </w:r>
            <w:r w:rsidRPr="00D0243F">
              <w:rPr>
                <w:i/>
                <w:iCs/>
                <w:lang w:val="es-ES_tradnl"/>
              </w:rPr>
              <w:t>spam</w:t>
            </w:r>
          </w:p>
        </w:tc>
      </w:tr>
      <w:tr w:rsidR="00D0243F" w:rsidRPr="00D0243F" w14:paraId="35A0242A"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B45364"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EFFD8A"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DE8BA6" w14:textId="28A85214"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14" w:name="_Toc111990497"/>
            <w:r w:rsidRPr="00D0243F">
              <w:rPr>
                <w:lang w:val="es-ES_tradnl"/>
              </w:rPr>
              <w:t>Grupos Regionales de las Comisiones de Estudio del Sector de Normalización de las Telecomunicaciones de la UIT</w:t>
            </w:r>
            <w:bookmarkEnd w:id="14"/>
          </w:p>
        </w:tc>
      </w:tr>
      <w:tr w:rsidR="00D0243F" w:rsidRPr="00D0243F" w14:paraId="4E554996"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B983653"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68EA89"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FA888C" w14:textId="2F6C4CCE"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15" w:name="_Toc111990501"/>
            <w:r w:rsidRPr="00D0243F">
              <w:rPr>
                <w:lang w:val="es-ES_tradnl"/>
              </w:rPr>
              <w:t>Fomento de la creación y mejora de equipos nacionales de intervención</w:t>
            </w:r>
            <w:r w:rsidR="005A70F9">
              <w:rPr>
                <w:lang w:val="es-ES_tradnl"/>
              </w:rPr>
              <w:t xml:space="preserve"> </w:t>
            </w:r>
            <w:r w:rsidRPr="00D0243F">
              <w:rPr>
                <w:lang w:val="es-ES_tradnl"/>
              </w:rPr>
              <w:t>en caso de incidente informático, especialmente</w:t>
            </w:r>
            <w:r w:rsidR="005A70F9">
              <w:rPr>
                <w:lang w:val="es-ES_tradnl"/>
              </w:rPr>
              <w:t xml:space="preserve"> </w:t>
            </w:r>
            <w:r w:rsidRPr="00D0243F">
              <w:rPr>
                <w:lang w:val="es-ES_tradnl"/>
              </w:rPr>
              <w:t>para los países en desarrollo</w:t>
            </w:r>
            <w:bookmarkEnd w:id="15"/>
          </w:p>
        </w:tc>
      </w:tr>
      <w:tr w:rsidR="00D0243F" w:rsidRPr="00D0243F" w14:paraId="0B47954E"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F4DA75"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6D819D"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1225FA" w14:textId="68CB5400"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16" w:name="_Toc111990509"/>
            <w:r w:rsidRPr="00D0243F">
              <w:rPr>
                <w:lang w:val="es-ES_tradnl"/>
              </w:rPr>
              <w:t xml:space="preserve">Fomento, facilitación y aceleración de la transición a la versión 6 del protocolo Internet y su </w:t>
            </w:r>
            <w:bookmarkEnd w:id="16"/>
            <w:r w:rsidRPr="00D0243F">
              <w:rPr>
                <w:lang w:val="es-ES_tradnl"/>
              </w:rPr>
              <w:t>despliegue</w:t>
            </w:r>
          </w:p>
        </w:tc>
      </w:tr>
      <w:tr w:rsidR="00D0243F" w:rsidRPr="00D0243F" w14:paraId="42825E3A"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4378EA0" w14:textId="77777777" w:rsidR="00D0243F" w:rsidRPr="00D0243F" w:rsidRDefault="00D0243F" w:rsidP="00740800">
            <w:pPr>
              <w:pStyle w:val="Tabletext"/>
              <w:jc w:val="center"/>
            </w:pPr>
            <w:r w:rsidRPr="00D0243F">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67804A"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B193DE" w14:textId="77777777"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r w:rsidRPr="00D0243F">
              <w:rPr>
                <w:lang w:val="es-ES"/>
              </w:rPr>
              <w:t>Acceso y utilización no discriminatorios de los recursos de Internet y de telecomunicaciones/tecnologías de la información y la comunicación</w:t>
            </w:r>
          </w:p>
        </w:tc>
      </w:tr>
      <w:tr w:rsidR="00D0243F" w:rsidRPr="00D0243F" w14:paraId="057FBF66"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65A1DA"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FEE650"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D654CB" w14:textId="689708B0"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17" w:name="_Toc111990521"/>
            <w:r w:rsidRPr="00D0243F">
              <w:rPr>
                <w:lang w:val="es-ES_tradnl"/>
              </w:rPr>
              <w:t>Problemas de medición y evaluación relativos a la exposición</w:t>
            </w:r>
            <w:r w:rsidR="005A70F9">
              <w:rPr>
                <w:lang w:val="es-ES_tradnl"/>
              </w:rPr>
              <w:t xml:space="preserve"> </w:t>
            </w:r>
            <w:r w:rsidRPr="00D0243F">
              <w:rPr>
                <w:lang w:val="es-ES_tradnl"/>
              </w:rPr>
              <w:t>de las personas a los campos electromagnéticos</w:t>
            </w:r>
            <w:bookmarkEnd w:id="17"/>
          </w:p>
        </w:tc>
      </w:tr>
      <w:tr w:rsidR="00D0243F" w:rsidRPr="00D0243F" w14:paraId="1010D1FB"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DE62C1"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E7F5084"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40BFF4" w14:textId="05353928"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18" w:name="_Toc111990523"/>
            <w:r w:rsidRPr="00D0243F">
              <w:rPr>
                <w:lang w:val="es-ES_tradnl"/>
              </w:rPr>
              <w:t>Tecnologías de la información y la comunicación, medioambiente, cambio climático y economía circular</w:t>
            </w:r>
            <w:bookmarkEnd w:id="18"/>
          </w:p>
        </w:tc>
      </w:tr>
      <w:tr w:rsidR="00D0243F" w:rsidRPr="00D0243F" w14:paraId="034DE721"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543198"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FF82E3"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4D233F" w14:textId="77777777"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19" w:name="_Toc111990525"/>
            <w:r w:rsidRPr="00D0243F">
              <w:rPr>
                <w:lang w:val="es-ES_tradnl"/>
              </w:rPr>
              <w:t>Mejora de la participación de Miembros de Sector de los países en desarrollo en la labor del Sector de Normalización de las Telecomunicaciones de la UIT</w:t>
            </w:r>
            <w:bookmarkEnd w:id="19"/>
          </w:p>
        </w:tc>
      </w:tr>
      <w:tr w:rsidR="00D0243F" w:rsidRPr="00D0243F" w14:paraId="0C5D5DDB"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A89C27"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7B62BC"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877340" w14:textId="22C60B02"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20" w:name="_Toc111990529"/>
            <w:r w:rsidRPr="00D0243F">
              <w:rPr>
                <w:lang w:val="es-ES_tradnl"/>
              </w:rPr>
              <w:t>Pruebas de conformidad e interoperabilidad, asistencia a los países en desarrollo y posible futuro programa relativo a la Marca</w:t>
            </w:r>
            <w:r w:rsidR="005A70F9">
              <w:rPr>
                <w:lang w:val="es-ES_tradnl"/>
              </w:rPr>
              <w:t> </w:t>
            </w:r>
            <w:r w:rsidRPr="00D0243F">
              <w:rPr>
                <w:lang w:val="es-ES_tradnl"/>
              </w:rPr>
              <w:t>UIT</w:t>
            </w:r>
            <w:bookmarkEnd w:id="20"/>
          </w:p>
        </w:tc>
      </w:tr>
      <w:tr w:rsidR="00D0243F" w:rsidRPr="00D0243F" w14:paraId="7D0B3C51"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E65AD8"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380AD4"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043252" w14:textId="77777777"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21" w:name="_Toc111990533"/>
            <w:r w:rsidRPr="00D0243F">
              <w:rPr>
                <w:lang w:val="es-ES_tradnl"/>
              </w:rPr>
              <w:t xml:space="preserve">Aplicaciones y normas de las tecnologías de la información y la comunicación para mejorar el acceso a los servicios de </w:t>
            </w:r>
            <w:proofErr w:type="spellStart"/>
            <w:r w:rsidRPr="00D0243F">
              <w:rPr>
                <w:lang w:val="es-ES_tradnl"/>
              </w:rPr>
              <w:t>cibersalud</w:t>
            </w:r>
            <w:bookmarkEnd w:id="21"/>
            <w:proofErr w:type="spellEnd"/>
          </w:p>
        </w:tc>
      </w:tr>
      <w:tr w:rsidR="00D0243F" w:rsidRPr="00D0243F" w14:paraId="528E89CB"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15E909"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99D09D"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E508C7" w14:textId="70179700"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22" w:name="_Toc111990535"/>
            <w:r w:rsidRPr="00D0243F">
              <w:rPr>
                <w:lang w:val="es-ES_tradnl"/>
              </w:rPr>
              <w:t>Función de las telecomunicaciones/tecnologías de la información</w:t>
            </w:r>
            <w:r w:rsidR="003D7B21">
              <w:rPr>
                <w:lang w:val="es-ES_tradnl"/>
              </w:rPr>
              <w:t xml:space="preserve"> </w:t>
            </w:r>
            <w:r w:rsidRPr="00D0243F">
              <w:rPr>
                <w:lang w:val="es-ES_tradnl"/>
              </w:rPr>
              <w:t>y la comunicación en el tratamiento y el control de residuos</w:t>
            </w:r>
            <w:r w:rsidR="003D7B21">
              <w:rPr>
                <w:lang w:val="es-ES_tradnl"/>
              </w:rPr>
              <w:t xml:space="preserve"> </w:t>
            </w:r>
            <w:r w:rsidRPr="00D0243F">
              <w:rPr>
                <w:lang w:val="es-ES_tradnl"/>
              </w:rPr>
              <w:t>electrónicos de equipos de telecomunicaciones y tecnologías</w:t>
            </w:r>
            <w:r w:rsidR="003D7B21">
              <w:rPr>
                <w:lang w:val="es-ES_tradnl"/>
              </w:rPr>
              <w:t xml:space="preserve"> </w:t>
            </w:r>
            <w:r w:rsidRPr="00D0243F">
              <w:rPr>
                <w:lang w:val="es-ES_tradnl"/>
              </w:rPr>
              <w:t>de la información, y métodos para su procesamiento</w:t>
            </w:r>
            <w:bookmarkEnd w:id="22"/>
          </w:p>
        </w:tc>
      </w:tr>
      <w:tr w:rsidR="00D0243F" w:rsidRPr="00D0243F" w14:paraId="16E0D389"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48FFDF" w14:textId="77777777" w:rsidR="00D0243F" w:rsidRPr="00D0243F" w:rsidRDefault="00D0243F" w:rsidP="00740800">
            <w:pPr>
              <w:pStyle w:val="Tabletext"/>
              <w:jc w:val="center"/>
            </w:pPr>
            <w:r w:rsidRPr="00D0243F">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8CE0A9"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937448" w14:textId="77777777"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r w:rsidRPr="00D0243F">
              <w:rPr>
                <w:lang w:val="es-ES"/>
              </w:rPr>
              <w:t>Evaluación de la aplicación de las Resoluciones de la Asamblea Mundial de Normalización de las Telecomunicaciones</w:t>
            </w:r>
          </w:p>
        </w:tc>
      </w:tr>
      <w:tr w:rsidR="00D0243F" w:rsidRPr="00D0243F" w14:paraId="2270BDB5"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1FFF64"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8958A40"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E59ACF" w14:textId="1442C74C"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23" w:name="_Toc111990541"/>
            <w:r w:rsidRPr="00D0243F">
              <w:rPr>
                <w:lang w:val="es-ES_tradnl"/>
              </w:rPr>
              <w:t>Estudios relativos a la protección del usuario de los servicios de telecomunicaciones/tecnologías de la información y la comunicación</w:t>
            </w:r>
            <w:bookmarkEnd w:id="23"/>
          </w:p>
        </w:tc>
      </w:tr>
      <w:tr w:rsidR="00D0243F" w:rsidRPr="00D0243F" w14:paraId="0AB0F0AA"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2A9FAB" w14:textId="77777777" w:rsidR="00D0243F" w:rsidRPr="00D0243F" w:rsidRDefault="00D0243F" w:rsidP="00740800">
            <w:pPr>
              <w:pStyle w:val="Tabletext"/>
              <w:jc w:val="center"/>
            </w:pPr>
            <w:r w:rsidRPr="00D0243F">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3C57F0"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064C7C" w14:textId="77777777"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r w:rsidRPr="00D0243F">
              <w:rPr>
                <w:lang w:val="es-ES"/>
              </w:rPr>
              <w:t xml:space="preserve">Facilitar la aplicación del Manifiesto Smart </w:t>
            </w:r>
            <w:proofErr w:type="spellStart"/>
            <w:r w:rsidRPr="00D0243F">
              <w:rPr>
                <w:lang w:val="es-ES"/>
              </w:rPr>
              <w:t>Africa</w:t>
            </w:r>
            <w:proofErr w:type="spellEnd"/>
          </w:p>
        </w:tc>
      </w:tr>
      <w:tr w:rsidR="00D0243F" w:rsidRPr="00D0243F" w14:paraId="1C3913E0"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0D6567" w14:textId="56720933" w:rsidR="00D0243F" w:rsidRPr="00D0243F" w:rsidRDefault="003D7B21" w:rsidP="00740800">
            <w:pPr>
              <w:pStyle w:val="Tabletext"/>
              <w:jc w:val="center"/>
            </w:pPr>
            <w:r w:rsidRPr="00D0243F">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F7EA5F"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E72310" w14:textId="77777777" w:rsidR="00D0243F" w:rsidRPr="003D7B21"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D7B21">
              <w:rPr>
                <w:lang w:val="es-ES_tradnl"/>
              </w:rPr>
              <w:t>Itinerancia móvil internacional</w:t>
            </w:r>
          </w:p>
        </w:tc>
      </w:tr>
      <w:tr w:rsidR="00D0243F" w:rsidRPr="00D0243F" w14:paraId="02C74827"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BC43FA"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88B239"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2A1DD4" w14:textId="60E45977"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r w:rsidRPr="00D0243F">
              <w:rPr>
                <w:lang w:val="es-ES_tradnl"/>
              </w:rPr>
              <w:t xml:space="preserve">Promoción de la utilización de las tecnologías de la información </w:t>
            </w:r>
            <w:bookmarkStart w:id="24" w:name="_Toc111990551"/>
            <w:r w:rsidRPr="00D0243F">
              <w:rPr>
                <w:lang w:val="es-ES_tradnl"/>
              </w:rPr>
              <w:t>y</w:t>
            </w:r>
            <w:r w:rsidR="003D7B21">
              <w:rPr>
                <w:lang w:val="es-ES_tradnl"/>
              </w:rPr>
              <w:t xml:space="preserve"> </w:t>
            </w:r>
            <w:r w:rsidRPr="00D0243F">
              <w:rPr>
                <w:lang w:val="es-ES_tradnl"/>
              </w:rPr>
              <w:t>la comunicación para reducir la brecha de inclusión financiera</w:t>
            </w:r>
            <w:bookmarkEnd w:id="24"/>
          </w:p>
        </w:tc>
      </w:tr>
      <w:tr w:rsidR="00D0243F" w:rsidRPr="00D0243F" w14:paraId="29AAA63B"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227B6A4"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968D71"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BD0D0F" w14:textId="3349268A"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25" w:name="_Toc111990557"/>
            <w:r w:rsidRPr="00D0243F">
              <w:rPr>
                <w:lang w:val="es-ES_tradnl"/>
              </w:rPr>
              <w:t>Fortalecimiento de las actividades de normalización del Sector de Normalización de las Telecomunicaciones de la UIT sobre aspectos no radioeléctricos de las telecomunicaciones móviles internacionales</w:t>
            </w:r>
            <w:bookmarkEnd w:id="25"/>
          </w:p>
        </w:tc>
      </w:tr>
      <w:tr w:rsidR="00D0243F" w:rsidRPr="00D0243F" w14:paraId="42A81294"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B7FE9B" w14:textId="77777777" w:rsidR="00D0243F" w:rsidRPr="00D0243F" w:rsidRDefault="00D0243F" w:rsidP="00740800">
            <w:pPr>
              <w:pStyle w:val="Tabletext"/>
              <w:jc w:val="center"/>
            </w:pPr>
            <w:r w:rsidRPr="00D0243F">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AF2A45"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F5681D" w14:textId="77777777"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r w:rsidRPr="00D0243F">
              <w:rPr>
                <w:lang w:val="es-ES"/>
              </w:rPr>
              <w:t>Iniciativas del Sector de Normalización de las Telecomunicaciones de la UIT para sensibilizar sobre prácticas idóneas y políticas relacionadas con la calidad de servicio</w:t>
            </w:r>
          </w:p>
        </w:tc>
      </w:tr>
      <w:tr w:rsidR="00D0243F" w:rsidRPr="00D0243F" w14:paraId="7A241342"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DD7CC6"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089CF0"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7950F7" w14:textId="03D6DD23"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26" w:name="_Toc111990565"/>
            <w:r w:rsidRPr="00D0243F">
              <w:rPr>
                <w:lang w:val="es-ES_tradnl"/>
              </w:rPr>
              <w:t>Estudios del Sector de Normalización de las Telecomunicaciones de la UIT para luchar contra la falsificación y la manipulación de dispositivos de</w:t>
            </w:r>
            <w:r w:rsidR="003D7B21">
              <w:rPr>
                <w:lang w:val="es-ES_tradnl"/>
              </w:rPr>
              <w:t xml:space="preserve"> </w:t>
            </w:r>
            <w:r w:rsidRPr="00D0243F">
              <w:rPr>
                <w:lang w:val="es-ES_tradnl"/>
              </w:rPr>
              <w:t>telecomunicaciones/tecnologías de la información y la comunicación</w:t>
            </w:r>
            <w:bookmarkEnd w:id="26"/>
          </w:p>
        </w:tc>
      </w:tr>
      <w:tr w:rsidR="00D0243F" w:rsidRPr="00D0243F" w14:paraId="440D9A4B"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03B84C"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C2160D"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D4AD6A" w14:textId="77777777"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27" w:name="_Toc111990567"/>
            <w:r w:rsidRPr="00D0243F">
              <w:rPr>
                <w:lang w:val="es-ES_tradnl"/>
              </w:rPr>
              <w:t>Lucha contra el robo de dispositivos móviles de telecomunicaciones</w:t>
            </w:r>
            <w:bookmarkEnd w:id="27"/>
          </w:p>
        </w:tc>
      </w:tr>
      <w:tr w:rsidR="00D0243F" w:rsidRPr="00D0243F" w14:paraId="0B9991B7" w14:textId="77777777" w:rsidTr="00E66E06">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E50078"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4FD189"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265BB8" w14:textId="5A3B89FE"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28" w:name="_Toc111990569"/>
            <w:r w:rsidRPr="00D0243F">
              <w:rPr>
                <w:lang w:val="es-ES_tradnl"/>
              </w:rPr>
              <w:t>Refuerzo de la normalización de la Internet de las cosas, los gemelos digitales y las ciudades y comunidades inteligentes y sostenibles</w:t>
            </w:r>
            <w:r w:rsidR="003D7B21">
              <w:rPr>
                <w:lang w:val="es-ES_tradnl"/>
              </w:rPr>
              <w:t xml:space="preserve"> </w:t>
            </w:r>
            <w:r w:rsidRPr="00D0243F">
              <w:rPr>
                <w:lang w:val="es-ES_tradnl"/>
              </w:rPr>
              <w:t>para el desarrollo mundial</w:t>
            </w:r>
            <w:bookmarkEnd w:id="28"/>
          </w:p>
        </w:tc>
      </w:tr>
      <w:tr w:rsidR="00D0243F" w:rsidRPr="00D0243F" w14:paraId="2B7D080E"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77D43A" w14:textId="77777777" w:rsidR="00D0243F" w:rsidRPr="00D0243F" w:rsidRDefault="00D0243F" w:rsidP="00740800">
            <w:pPr>
              <w:pStyle w:val="Tabletext"/>
              <w:jc w:val="center"/>
            </w:pPr>
            <w:r w:rsidRPr="00D0243F">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157822"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AE79A1" w14:textId="77777777"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29" w:name="_Toc111990573"/>
            <w:r w:rsidRPr="00D0243F">
              <w:rPr>
                <w:lang w:val="es-ES_tradnl"/>
              </w:rPr>
              <w:t>Número de emergencia común para África</w:t>
            </w:r>
            <w:bookmarkEnd w:id="29"/>
          </w:p>
        </w:tc>
      </w:tr>
      <w:tr w:rsidR="00D0243F" w:rsidRPr="00D0243F" w14:paraId="20F7DECA" w14:textId="77777777" w:rsidTr="00E66E06">
        <w:tc>
          <w:tcPr>
            <w:cnfStyle w:val="001000000000" w:firstRow="0" w:lastRow="0" w:firstColumn="1" w:lastColumn="0" w:oddVBand="0" w:evenVBand="0" w:oddHBand="0" w:evenHBand="0" w:firstRowFirstColumn="0" w:firstRowLastColumn="0" w:lastRowFirstColumn="0" w:lastRowLastColumn="0"/>
            <w:tcW w:w="982" w:type="dxa"/>
          </w:tcPr>
          <w:p w14:paraId="76AAD082" w14:textId="77777777" w:rsidR="00D0243F" w:rsidRPr="00D0243F" w:rsidRDefault="00D0243F" w:rsidP="00740800">
            <w:pPr>
              <w:pStyle w:val="Tabletext"/>
              <w:jc w:val="center"/>
            </w:pPr>
            <w:r w:rsidRPr="00D0243F">
              <w:t>Nueva</w:t>
            </w:r>
          </w:p>
        </w:tc>
        <w:tc>
          <w:tcPr>
            <w:tcW w:w="1565" w:type="dxa"/>
          </w:tcPr>
          <w:p w14:paraId="3D32EB3B" w14:textId="42664AB8" w:rsidR="00D0243F" w:rsidRPr="00D0243F" w:rsidRDefault="00D0243F" w:rsidP="003D7B21">
            <w:pPr>
              <w:pStyle w:val="Tabletext"/>
              <w:jc w:val="center"/>
              <w:cnfStyle w:val="000000000000" w:firstRow="0" w:lastRow="0" w:firstColumn="0" w:lastColumn="0" w:oddVBand="0" w:evenVBand="0" w:oddHBand="0" w:evenHBand="0" w:firstRowFirstColumn="0" w:firstRowLastColumn="0" w:lastRowFirstColumn="0" w:lastRowLastColumn="0"/>
            </w:pPr>
            <w:r w:rsidRPr="00D0243F">
              <w:t>101</w:t>
            </w:r>
          </w:p>
        </w:tc>
        <w:tc>
          <w:tcPr>
            <w:tcW w:w="11907" w:type="dxa"/>
          </w:tcPr>
          <w:p w14:paraId="6576FDEA" w14:textId="29D2E10C"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r w:rsidRPr="00D0243F">
              <w:rPr>
                <w:lang w:val="es-ES_tradnl"/>
              </w:rPr>
              <w:t>Actividades de normalización del Sector de Normalización de las Telecomunicaciones de la UIT sobre la aplicación de las tecnologías de la inteligencia artificial a las telecomunicaciones/tecnologías</w:t>
            </w:r>
            <w:r w:rsidR="003D7B21">
              <w:rPr>
                <w:lang w:val="es-ES_tradnl"/>
              </w:rPr>
              <w:t xml:space="preserve"> </w:t>
            </w:r>
            <w:r w:rsidRPr="00D0243F">
              <w:rPr>
                <w:lang w:val="es-ES_tradnl"/>
              </w:rPr>
              <w:t>de la información y la comunicación</w:t>
            </w:r>
          </w:p>
        </w:tc>
      </w:tr>
      <w:tr w:rsidR="00D0243F" w:rsidRPr="00D0243F" w14:paraId="483F65BB"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602AAA9F" w14:textId="77777777" w:rsidR="00D0243F" w:rsidRPr="00D0243F" w:rsidRDefault="00D0243F" w:rsidP="00740800">
            <w:pPr>
              <w:pStyle w:val="Tabletext"/>
              <w:jc w:val="center"/>
            </w:pPr>
            <w:r w:rsidRPr="00D0243F">
              <w:t>Nueva</w:t>
            </w:r>
          </w:p>
        </w:tc>
        <w:tc>
          <w:tcPr>
            <w:tcW w:w="1565" w:type="dxa"/>
          </w:tcPr>
          <w:p w14:paraId="5FE07B4A"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103</w:t>
            </w:r>
          </w:p>
        </w:tc>
        <w:tc>
          <w:tcPr>
            <w:tcW w:w="11907" w:type="dxa"/>
          </w:tcPr>
          <w:p w14:paraId="41E6A471" w14:textId="1A105DBB"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r w:rsidRPr="00D0243F">
              <w:rPr>
                <w:lang w:val="es-ES_tradnl"/>
              </w:rPr>
              <w:t>Mejora de las actividades de normalización sobre infraestructuras públicas digitales</w:t>
            </w:r>
          </w:p>
        </w:tc>
      </w:tr>
      <w:tr w:rsidR="00D0243F" w:rsidRPr="00D0243F" w14:paraId="17122688" w14:textId="77777777" w:rsidTr="00E66E06">
        <w:tc>
          <w:tcPr>
            <w:cnfStyle w:val="001000000000" w:firstRow="0" w:lastRow="0" w:firstColumn="1" w:lastColumn="0" w:oddVBand="0" w:evenVBand="0" w:oddHBand="0" w:evenHBand="0" w:firstRowFirstColumn="0" w:firstRowLastColumn="0" w:lastRowFirstColumn="0" w:lastRowLastColumn="0"/>
            <w:tcW w:w="982" w:type="dxa"/>
          </w:tcPr>
          <w:p w14:paraId="432E993D" w14:textId="77777777" w:rsidR="00D0243F" w:rsidRPr="00D0243F" w:rsidRDefault="00D0243F" w:rsidP="00740800">
            <w:pPr>
              <w:pStyle w:val="Tabletext"/>
              <w:jc w:val="center"/>
            </w:pPr>
            <w:r w:rsidRPr="00D0243F">
              <w:t>Nueva</w:t>
            </w:r>
          </w:p>
        </w:tc>
        <w:tc>
          <w:tcPr>
            <w:tcW w:w="1565" w:type="dxa"/>
          </w:tcPr>
          <w:p w14:paraId="6DB99EFC" w14:textId="77777777" w:rsidR="00D0243F" w:rsidRPr="00D0243F" w:rsidRDefault="00D0243F" w:rsidP="00740800">
            <w:pPr>
              <w:pStyle w:val="Tabletext"/>
              <w:jc w:val="center"/>
              <w:cnfStyle w:val="000000000000" w:firstRow="0" w:lastRow="0" w:firstColumn="0" w:lastColumn="0" w:oddVBand="0" w:evenVBand="0" w:oddHBand="0" w:evenHBand="0" w:firstRowFirstColumn="0" w:firstRowLastColumn="0" w:lastRowFirstColumn="0" w:lastRowLastColumn="0"/>
            </w:pPr>
            <w:r w:rsidRPr="00D0243F">
              <w:t>104</w:t>
            </w:r>
          </w:p>
        </w:tc>
        <w:tc>
          <w:tcPr>
            <w:tcW w:w="11907" w:type="dxa"/>
          </w:tcPr>
          <w:p w14:paraId="051523FC" w14:textId="00E896A5" w:rsidR="00D0243F" w:rsidRPr="00D0243F" w:rsidRDefault="00D0243F" w:rsidP="00740800">
            <w:pPr>
              <w:pStyle w:val="Tabletext"/>
              <w:cnfStyle w:val="000000000000" w:firstRow="0" w:lastRow="0" w:firstColumn="0" w:lastColumn="0" w:oddVBand="0" w:evenVBand="0" w:oddHBand="0" w:evenHBand="0" w:firstRowFirstColumn="0" w:firstRowLastColumn="0" w:lastRowFirstColumn="0" w:lastRowLastColumn="0"/>
              <w:rPr>
                <w:lang w:val="es-ES"/>
              </w:rPr>
            </w:pPr>
            <w:r w:rsidRPr="00D0243F">
              <w:rPr>
                <w:lang w:val="es-ES_tradnl"/>
              </w:rPr>
              <w:t>Fomento y refuerzo de las actividades de normalización de las comunicaciones vehiculares</w:t>
            </w:r>
          </w:p>
        </w:tc>
      </w:tr>
      <w:tr w:rsidR="00D0243F" w:rsidRPr="00D0243F" w14:paraId="039C2AB3"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E5CFAC9" w14:textId="77777777" w:rsidR="00D0243F" w:rsidRPr="00D0243F" w:rsidRDefault="00D0243F" w:rsidP="00740800">
            <w:pPr>
              <w:pStyle w:val="Tabletext"/>
              <w:jc w:val="center"/>
            </w:pPr>
            <w:r w:rsidRPr="00D0243F">
              <w:t>Nueva</w:t>
            </w:r>
          </w:p>
        </w:tc>
        <w:tc>
          <w:tcPr>
            <w:tcW w:w="1565" w:type="dxa"/>
          </w:tcPr>
          <w:p w14:paraId="400DC085" w14:textId="77777777" w:rsidR="00D0243F" w:rsidRPr="00D0243F" w:rsidRDefault="00D0243F" w:rsidP="00740800">
            <w:pPr>
              <w:pStyle w:val="Tabletext"/>
              <w:jc w:val="center"/>
              <w:cnfStyle w:val="000000100000" w:firstRow="0" w:lastRow="0" w:firstColumn="0" w:lastColumn="0" w:oddVBand="0" w:evenVBand="0" w:oddHBand="1" w:evenHBand="0" w:firstRowFirstColumn="0" w:firstRowLastColumn="0" w:lastRowFirstColumn="0" w:lastRowLastColumn="0"/>
            </w:pPr>
            <w:r w:rsidRPr="00D0243F">
              <w:t>107</w:t>
            </w:r>
          </w:p>
        </w:tc>
        <w:tc>
          <w:tcPr>
            <w:tcW w:w="11907" w:type="dxa"/>
          </w:tcPr>
          <w:p w14:paraId="6A9F7D70" w14:textId="439FB701" w:rsidR="00D0243F" w:rsidRPr="00D0243F" w:rsidRDefault="00D0243F" w:rsidP="00740800">
            <w:pPr>
              <w:pStyle w:val="Tabletext"/>
              <w:cnfStyle w:val="000000100000" w:firstRow="0" w:lastRow="0" w:firstColumn="0" w:lastColumn="0" w:oddVBand="0" w:evenVBand="0" w:oddHBand="1" w:evenHBand="0" w:firstRowFirstColumn="0" w:firstRowLastColumn="0" w:lastRowFirstColumn="0" w:lastRowLastColumn="0"/>
              <w:rPr>
                <w:lang w:val="es-ES"/>
              </w:rPr>
            </w:pPr>
            <w:r w:rsidRPr="00D0243F">
              <w:rPr>
                <w:lang w:val="es-ES_tradnl"/>
              </w:rPr>
              <w:t>Mejora de la participación de la próxima generación de expertos en las actividades de normalización del Sector de Normalización</w:t>
            </w:r>
            <w:r w:rsidR="003D7B21">
              <w:rPr>
                <w:lang w:val="es-ES_tradnl"/>
              </w:rPr>
              <w:t xml:space="preserve"> </w:t>
            </w:r>
            <w:r w:rsidRPr="00D0243F">
              <w:rPr>
                <w:lang w:val="es-ES_tradnl"/>
              </w:rPr>
              <w:t>de las Telecomunicaciones de la UIT</w:t>
            </w:r>
          </w:p>
        </w:tc>
      </w:tr>
    </w:tbl>
    <w:p w14:paraId="191ED5EB" w14:textId="77777777" w:rsidR="00D0243F" w:rsidRPr="00D0243F" w:rsidRDefault="00D0243F" w:rsidP="00D0243F">
      <w:pPr>
        <w:rPr>
          <w:b/>
          <w:bCs/>
          <w:lang w:val="es-ES"/>
        </w:rPr>
      </w:pPr>
      <w:r w:rsidRPr="00D0243F">
        <w:rPr>
          <w:b/>
          <w:bCs/>
          <w:lang w:val="es-ES"/>
        </w:rPr>
        <w:br w:type="page"/>
      </w:r>
    </w:p>
    <w:p w14:paraId="4C0C3E5E" w14:textId="2DAA669D" w:rsidR="00D0243F" w:rsidRPr="00520986" w:rsidRDefault="00D0243F" w:rsidP="00740800">
      <w:pPr>
        <w:pStyle w:val="CEONormal"/>
        <w:pageBreakBefore/>
        <w:tabs>
          <w:tab w:val="center" w:pos="7144"/>
          <w:tab w:val="left" w:pos="9153"/>
        </w:tabs>
        <w:spacing w:after="0"/>
        <w:jc w:val="center"/>
        <w:rPr>
          <w:rFonts w:asciiTheme="minorHAnsi" w:hAnsiTheme="minorHAnsi"/>
          <w:b/>
          <w:bCs/>
          <w:sz w:val="24"/>
          <w:szCs w:val="24"/>
        </w:rPr>
      </w:pPr>
      <w:r w:rsidRPr="00520986">
        <w:rPr>
          <w:rFonts w:asciiTheme="minorHAnsi" w:hAnsiTheme="minorHAnsi"/>
          <w:b/>
          <w:bCs/>
          <w:sz w:val="24"/>
          <w:szCs w:val="24"/>
        </w:rPr>
        <w:t>Annex</w:t>
      </w:r>
    </w:p>
    <w:p w14:paraId="0CC189FF" w14:textId="77777777" w:rsidR="00D0243F" w:rsidRPr="00520986" w:rsidRDefault="00D0243F" w:rsidP="00D0243F">
      <w:pPr>
        <w:pStyle w:val="CEONormal"/>
        <w:spacing w:before="0"/>
        <w:jc w:val="center"/>
        <w:rPr>
          <w:rFonts w:asciiTheme="minorHAnsi" w:hAnsiTheme="minorHAnsi"/>
          <w:b/>
          <w:bCs/>
          <w:sz w:val="24"/>
          <w:szCs w:val="24"/>
        </w:rPr>
      </w:pPr>
      <w:r w:rsidRPr="00520986">
        <w:rPr>
          <w:rFonts w:asciiTheme="minorHAnsi" w:hAnsiTheme="minorHAnsi"/>
          <w:b/>
          <w:bCs/>
          <w:sz w:val="24"/>
          <w:szCs w:val="24"/>
        </w:rPr>
        <w:t>Detailed text of WTSA Resolutions relevant to the work of ITU-D</w:t>
      </w:r>
    </w:p>
    <w:tbl>
      <w:tblPr>
        <w:tblStyle w:val="GridTable4-Accent1"/>
        <w:tblW w:w="0" w:type="auto"/>
        <w:tblLook w:val="04A0" w:firstRow="1" w:lastRow="0" w:firstColumn="1" w:lastColumn="0" w:noHBand="0" w:noVBand="1"/>
      </w:tblPr>
      <w:tblGrid>
        <w:gridCol w:w="3896"/>
        <w:gridCol w:w="10092"/>
      </w:tblGrid>
      <w:tr w:rsidR="00D0243F" w:rsidRPr="00805FF4" w14:paraId="4640D7AE" w14:textId="77777777" w:rsidTr="00E66E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77D7BA0D" w14:textId="77777777" w:rsidR="00D0243F" w:rsidRPr="00805FF4" w:rsidRDefault="00D0243F" w:rsidP="00E66E06">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092" w:type="dxa"/>
            <w:hideMark/>
          </w:tcPr>
          <w:p w14:paraId="2A096A54" w14:textId="77777777" w:rsidR="00D0243F" w:rsidRPr="00805FF4" w:rsidRDefault="00D0243F" w:rsidP="00E66E06">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D0243F" w:rsidRPr="00805FF4" w14:paraId="11806C26"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09F0CC5"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30B9C440" w14:textId="77777777" w:rsidR="00D0243F" w:rsidRPr="00805FF4" w:rsidRDefault="00D0243F" w:rsidP="00E66E06">
            <w:pPr>
              <w:pStyle w:val="CEONormal"/>
              <w:spacing w:before="60" w:after="60"/>
              <w:rPr>
                <w:rFonts w:asciiTheme="minorHAnsi" w:hAnsiTheme="minorHAnsi" w:cs="Calibri"/>
                <w:b w:val="0"/>
                <w:bCs w:val="0"/>
                <w:sz w:val="20"/>
                <w:szCs w:val="20"/>
              </w:rPr>
            </w:pPr>
            <w:r w:rsidRPr="007F44E8">
              <w:rPr>
                <w:rFonts w:asciiTheme="minorHAnsi" w:hAnsiTheme="minorHAnsi" w:cs="Calibri"/>
                <w:b w:val="0"/>
                <w:bCs w:val="0"/>
                <w:sz w:val="20"/>
                <w:szCs w:val="20"/>
              </w:rPr>
              <w:t>Scope and mandate of the ITU Telecommunication Standardization Sector study groups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AA8731"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661148A0" w14:textId="77777777" w:rsidR="00D0243F" w:rsidRPr="002D6CE5"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D6CE5">
              <w:rPr>
                <w:rFonts w:cs="Calibri"/>
                <w:bCs/>
                <w:sz w:val="20"/>
              </w:rPr>
              <w:t>3</w:t>
            </w:r>
            <w:r>
              <w:rPr>
                <w:rFonts w:cs="Calibri"/>
                <w:bCs/>
                <w:sz w:val="20"/>
              </w:rPr>
              <w:t xml:space="preserve"> </w:t>
            </w:r>
            <w:r>
              <w:rPr>
                <w:rFonts w:cs="Calibri"/>
                <w:bCs/>
                <w:sz w:val="20"/>
              </w:rPr>
              <w:tab/>
            </w:r>
            <w:r w:rsidRPr="002D6CE5">
              <w:rPr>
                <w:rFonts w:cs="Calibri"/>
                <w:bCs/>
                <w:sz w:val="20"/>
              </w:rPr>
              <w:t>that the ITU-T study groups should consider the outputs and materials of the other two Sectors and the ITU Council relevant to a study group's terms of reference;</w:t>
            </w:r>
          </w:p>
          <w:p w14:paraId="401C1C8F" w14:textId="77777777" w:rsidR="00D0243F" w:rsidRPr="00940C4B"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Pr>
                <w:rFonts w:cs="Calibri"/>
                <w:sz w:val="20"/>
              </w:rPr>
              <w:tab/>
            </w:r>
            <w:r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p>
        </w:tc>
      </w:tr>
      <w:tr w:rsidR="00D0243F" w:rsidRPr="00805FF4" w14:paraId="01001509"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C1AB40"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4ED367A1" w14:textId="77777777" w:rsidR="00D0243F" w:rsidRPr="00805FF4" w:rsidRDefault="00D0243F" w:rsidP="00E66E06">
            <w:pPr>
              <w:pStyle w:val="CEONormal"/>
              <w:spacing w:before="60" w:after="60"/>
              <w:rPr>
                <w:rFonts w:asciiTheme="minorHAnsi" w:hAnsiTheme="minorHAnsi" w:cs="Calibri"/>
                <w:b w:val="0"/>
                <w:bCs w:val="0"/>
                <w:sz w:val="20"/>
                <w:szCs w:val="20"/>
              </w:rPr>
            </w:pPr>
            <w:r w:rsidRPr="007654B4">
              <w:rPr>
                <w:rFonts w:asciiTheme="minorHAnsi" w:hAnsiTheme="minorHAnsi" w:cs="Calibri"/>
                <w:b w:val="0"/>
                <w:bCs w:val="0"/>
                <w:sz w:val="20"/>
                <w:szCs w:val="20"/>
              </w:rPr>
              <w:t>Strengthening coordination and cooperation among the three ITU Sectors on matters of mutual interest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3B59DE"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resolves</w:t>
            </w:r>
          </w:p>
          <w:p w14:paraId="42F34CF9"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F256FF">
              <w:rPr>
                <w:rFonts w:cs="Calibri"/>
                <w:bCs/>
                <w:sz w:val="20"/>
              </w:rPr>
              <w:t>1</w:t>
            </w:r>
            <w:r>
              <w:rPr>
                <w:rFonts w:cs="Calibri"/>
                <w:bCs/>
                <w:sz w:val="20"/>
              </w:rPr>
              <w:tab/>
            </w:r>
            <w:r w:rsidRPr="00F256FF">
              <w:rPr>
                <w:rFonts w:cs="Calibri"/>
                <w:bCs/>
                <w:sz w:val="20"/>
              </w:rPr>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0ADCD68F" w14:textId="77777777" w:rsidR="00D0243F" w:rsidRPr="009A70FD"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A70FD">
              <w:rPr>
                <w:rFonts w:cs="Calibri"/>
                <w:bCs/>
                <w:sz w:val="20"/>
              </w:rPr>
              <w:t>2</w:t>
            </w:r>
            <w:r>
              <w:rPr>
                <w:rFonts w:cs="Calibri"/>
                <w:bCs/>
                <w:sz w:val="20"/>
              </w:rPr>
              <w:tab/>
            </w:r>
            <w:r w:rsidRPr="009A70FD">
              <w:rPr>
                <w:rFonts w:cs="Calibri"/>
                <w:bCs/>
                <w:sz w:val="20"/>
              </w:rPr>
              <w:t>that, if considerable responsibilities in any two or all Sectors in a particular subject are identified:</w:t>
            </w:r>
          </w:p>
          <w:p w14:paraId="551FE737" w14:textId="77777777" w:rsidR="00D0243F" w:rsidRPr="009A70FD"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proofErr w:type="spellStart"/>
            <w:r w:rsidRPr="009A70FD">
              <w:rPr>
                <w:rFonts w:cs="Calibri"/>
                <w:bCs/>
                <w:sz w:val="20"/>
              </w:rPr>
              <w:t>i</w:t>
            </w:r>
            <w:proofErr w:type="spellEnd"/>
            <w:r w:rsidRPr="009A70FD">
              <w:rPr>
                <w:rFonts w:cs="Calibri"/>
                <w:bCs/>
                <w:sz w:val="20"/>
              </w:rPr>
              <w:t>) the procedure given in Annex A to this resolution should be applied; or</w:t>
            </w:r>
          </w:p>
          <w:p w14:paraId="43F61CD2"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bCs/>
                <w:sz w:val="20"/>
              </w:rPr>
              <w:tab/>
            </w:r>
            <w:r>
              <w:rPr>
                <w:rFonts w:cs="Calibri"/>
                <w:bCs/>
                <w:sz w:val="20"/>
              </w:rPr>
              <w:tab/>
            </w:r>
          </w:p>
          <w:p w14:paraId="53BC7715" w14:textId="77777777" w:rsidR="00D0243F" w:rsidRDefault="00D0243F" w:rsidP="00E66E06">
            <w:pPr>
              <w:spacing w:before="60" w:after="60"/>
              <w:ind w:left="1191"/>
              <w:cnfStyle w:val="000000000000" w:firstRow="0" w:lastRow="0" w:firstColumn="0" w:lastColumn="0" w:oddVBand="0" w:evenVBand="0" w:oddHBand="0" w:evenHBand="0" w:firstRowFirstColumn="0" w:firstRowLastColumn="0" w:lastRowFirstColumn="0" w:lastRowLastColumn="0"/>
              <w:rPr>
                <w:rFonts w:cs="Calibri"/>
                <w:sz w:val="20"/>
              </w:rPr>
            </w:pPr>
            <w:r w:rsidRPr="00C319AA">
              <w:rPr>
                <w:rFonts w:cs="Calibri"/>
                <w:sz w:val="20"/>
              </w:rPr>
              <w:t>ii) the matter should be studied by relevant study groups of the Sectors involved, with appropriate coordination and matching of relevant Question topics of interest to the study groups in ITU-T, ITU-D and ITU-R (see Annexes B and C to this resolution); or</w:t>
            </w:r>
          </w:p>
          <w:p w14:paraId="003155D2"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iii) a joint meeting may be arranged by study groups and/or the Directors of the Bureaux;</w:t>
            </w:r>
          </w:p>
          <w:p w14:paraId="7FB6100F" w14:textId="77777777" w:rsidR="00D0243F" w:rsidRPr="007E56A9"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4 </w:t>
            </w:r>
            <w:r>
              <w:rPr>
                <w:rFonts w:cs="Calibri"/>
                <w:bCs/>
                <w:sz w:val="20"/>
              </w:rPr>
              <w:tab/>
            </w:r>
            <w:r w:rsidRPr="007E56A9">
              <w:rPr>
                <w:rFonts w:cs="Calibri"/>
                <w:bCs/>
                <w:sz w:val="20"/>
              </w:rPr>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ITU-T;</w:t>
            </w:r>
          </w:p>
          <w:p w14:paraId="06930731" w14:textId="77777777" w:rsidR="00D0243F" w:rsidRPr="009A70FD"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5 </w:t>
            </w:r>
            <w:r>
              <w:rPr>
                <w:rFonts w:cs="Calibri"/>
                <w:bCs/>
                <w:sz w:val="20"/>
              </w:rPr>
              <w:tab/>
            </w:r>
            <w:r w:rsidRPr="007E56A9">
              <w:rPr>
                <w:rFonts w:cs="Calibri"/>
                <w:bCs/>
                <w:sz w:val="20"/>
              </w:rPr>
              <w:t>that the Director of the Telecommunication Standardization Bureau (TSB) shall cooperate with the Directors of the other two Bureaux on activities relating to the development and updating of handbooks and reports with the view to avoiding duplication of efforts, and on the implementation of outcomes of ITU-T activities,</w:t>
            </w:r>
          </w:p>
          <w:p w14:paraId="51878857"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
          <w:p w14:paraId="57864B85" w14:textId="77777777" w:rsidR="00D0243F" w:rsidRPr="00BB0772"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b/>
                <w:bCs/>
                <w:sz w:val="20"/>
              </w:rPr>
              <w:t>invites</w:t>
            </w:r>
          </w:p>
          <w:p w14:paraId="560C05F5" w14:textId="77777777" w:rsidR="00D0243F" w:rsidRPr="00BB0772"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BB0772">
              <w:rPr>
                <w:rFonts w:cs="Calibri"/>
                <w:sz w:val="20"/>
              </w:rPr>
              <w:t xml:space="preserve">1 </w:t>
            </w:r>
            <w:r>
              <w:rPr>
                <w:rFonts w:cs="Calibri"/>
                <w:sz w:val="20"/>
              </w:rPr>
              <w:tab/>
            </w:r>
            <w:r w:rsidRPr="00BB0772">
              <w:rPr>
                <w:rFonts w:cs="Calibri"/>
                <w:sz w:val="20"/>
              </w:rPr>
              <w:t>TSAG, RAG and TDAG to continue to assist ISCG in the identification of subjects of mutual interest to the three Sectors and mechanisms to enhance their cooperation and collaboration;</w:t>
            </w:r>
          </w:p>
          <w:p w14:paraId="264D5D46"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sz w:val="20"/>
              </w:rPr>
              <w:t xml:space="preserve">2 </w:t>
            </w:r>
            <w:r>
              <w:rPr>
                <w:rFonts w:cs="Calibri"/>
                <w:sz w:val="20"/>
              </w:rPr>
              <w:tab/>
            </w:r>
            <w:r w:rsidRPr="00BB0772">
              <w:rPr>
                <w:rFonts w:cs="Calibri"/>
                <w:sz w:val="20"/>
              </w:rPr>
              <w:t>the Directors of the Radiocommunication Bureau, TSB and BDT and ISC-TF to report to ISCG and the respective Sector advisory groups on options for improving cooperation at the secretariat level to ensure that close coordination is maximized,</w:t>
            </w:r>
          </w:p>
        </w:tc>
      </w:tr>
      <w:tr w:rsidR="00D0243F" w:rsidRPr="00805FF4" w14:paraId="7FF3373E"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339C22" w14:textId="77777777" w:rsidR="00D0243F" w:rsidRPr="00805FF4" w:rsidRDefault="00D0243F" w:rsidP="00E66E0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RESOLUTION 22</w:t>
            </w:r>
          </w:p>
          <w:p w14:paraId="05F9C875"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8BD225"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4109C4A3"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2EC969F9" w14:textId="77777777" w:rsidR="00D0243F" w:rsidRPr="00B70414" w:rsidRDefault="00D0243F" w:rsidP="00E66E06">
            <w:pPr>
              <w:pStyle w:val="enumlev1"/>
              <w:cnfStyle w:val="000000100000" w:firstRow="0" w:lastRow="0" w:firstColumn="0" w:lastColumn="0" w:oddVBand="0" w:evenVBand="0" w:oddHBand="1" w:evenHBand="0" w:firstRowFirstColumn="0" w:firstRowLastColumn="0" w:lastRowFirstColumn="0" w:lastRowLastColumn="0"/>
              <w:rPr>
                <w:i/>
                <w:iCs/>
                <w:szCs w:val="24"/>
              </w:rPr>
            </w:pPr>
            <w:r w:rsidRPr="00B70414">
              <w:rPr>
                <w:rFonts w:cs="Calibri"/>
                <w:i/>
                <w:iCs/>
                <w:sz w:val="20"/>
              </w:rPr>
              <w:t>l)</w:t>
            </w:r>
            <w:r w:rsidRPr="00B70414">
              <w:rPr>
                <w:rFonts w:cs="Calibri"/>
                <w:i/>
                <w:iCs/>
                <w:sz w:val="20"/>
              </w:rPr>
              <w:tab/>
              <w:t xml:space="preserve"> cooperate and coordinate with ITU-R and ITU-D, considering Resolution 18 (Rev. [Geneva, 2022]) of this assembly;</w:t>
            </w:r>
          </w:p>
        </w:tc>
      </w:tr>
      <w:tr w:rsidR="00D0243F" w:rsidRPr="00805FF4" w14:paraId="4F1B6C75"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9B31CC"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4CD224B8" w14:textId="77777777" w:rsidR="00D0243F" w:rsidRPr="00805FF4" w:rsidRDefault="00D0243F" w:rsidP="00E66E0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4D776DE"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48F7FC30"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C929999" w14:textId="77777777" w:rsidR="00D0243F" w:rsidRPr="0095466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r>
              <w:rPr>
                <w:rFonts w:cs="Calibri"/>
                <w:sz w:val="20"/>
              </w:rPr>
              <w:t>;</w:t>
            </w:r>
          </w:p>
        </w:tc>
      </w:tr>
      <w:tr w:rsidR="00D0243F" w:rsidRPr="00805FF4" w14:paraId="540745DC"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1C914E" w14:textId="77777777" w:rsidR="00D0243F" w:rsidRDefault="00D0243F" w:rsidP="00E66E0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32</w:t>
            </w:r>
          </w:p>
          <w:p w14:paraId="64FF3E24" w14:textId="77777777" w:rsidR="00D0243F" w:rsidRPr="00215E0D" w:rsidRDefault="00D0243F" w:rsidP="00E66E06">
            <w:pPr>
              <w:pStyle w:val="CEONormal"/>
              <w:spacing w:before="60" w:after="60"/>
              <w:rPr>
                <w:rFonts w:asciiTheme="minorHAnsi" w:hAnsiTheme="minorHAnsi" w:cs="Calibri"/>
                <w:b w:val="0"/>
                <w:bCs w:val="0"/>
                <w:sz w:val="20"/>
                <w:szCs w:val="20"/>
              </w:rPr>
            </w:pPr>
            <w:r w:rsidRPr="00215E0D">
              <w:rPr>
                <w:rFonts w:asciiTheme="minorHAnsi" w:hAnsiTheme="minorHAnsi" w:cs="Calibri"/>
                <w:b w:val="0"/>
                <w:bCs w:val="0"/>
                <w:sz w:val="20"/>
                <w:szCs w:val="20"/>
              </w:rPr>
              <w:t>Strengthening electronic working methods for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FFDEFE" w14:textId="77777777" w:rsidR="00D0243F" w:rsidRPr="00E9191A"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9191A">
              <w:rPr>
                <w:rFonts w:cs="Calibri"/>
                <w:b/>
                <w:sz w:val="20"/>
              </w:rPr>
              <w:t>resolves</w:t>
            </w:r>
          </w:p>
          <w:p w14:paraId="291A900A" w14:textId="77777777" w:rsidR="00D0243F" w:rsidRPr="0068165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681654">
              <w:rPr>
                <w:rFonts w:cs="Calibri"/>
                <w:bCs/>
                <w:sz w:val="20"/>
              </w:rPr>
              <w:t xml:space="preserve">1 </w:t>
            </w:r>
            <w:r>
              <w:rPr>
                <w:rFonts w:cs="Calibri"/>
                <w:bCs/>
                <w:sz w:val="20"/>
              </w:rPr>
              <w:tab/>
            </w:r>
            <w:r w:rsidRPr="00681654">
              <w:rPr>
                <w:rFonts w:cs="Calibri"/>
                <w:bCs/>
                <w:sz w:val="20"/>
              </w:rPr>
              <w:t>that the principal EWM objectives of ITU-T are:</w:t>
            </w:r>
          </w:p>
          <w:p w14:paraId="7B149A55" w14:textId="77777777" w:rsidR="00D0243F" w:rsidRPr="0095466F" w:rsidRDefault="00D0243F" w:rsidP="00D0243F">
            <w:pPr>
              <w:pStyle w:val="ListParagraph"/>
              <w:numPr>
                <w:ilvl w:val="0"/>
                <w:numId w:val="4"/>
              </w:num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681654">
              <w:rPr>
                <w:rFonts w:cs="Calibri"/>
                <w:bCs/>
                <w:sz w:val="20"/>
              </w:rPr>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platforms;</w:t>
            </w:r>
          </w:p>
          <w:p w14:paraId="6071B2C0" w14:textId="77777777" w:rsidR="00D0243F" w:rsidRDefault="00D0243F" w:rsidP="00D0243F">
            <w:pPr>
              <w:pStyle w:val="ListParagraph"/>
              <w:numPr>
                <w:ilvl w:val="0"/>
                <w:numId w:val="4"/>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5466F">
              <w:rPr>
                <w:rFonts w:cs="Calibri"/>
                <w:bCs/>
                <w:sz w:val="20"/>
              </w:rPr>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04E363F8"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p>
          <w:p w14:paraId="227ECA02" w14:textId="77777777" w:rsidR="00D0243F" w:rsidRPr="00F6552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F6552F">
              <w:rPr>
                <w:rFonts w:cs="Calibri"/>
                <w:b/>
                <w:sz w:val="20"/>
              </w:rPr>
              <w:t>instructs</w:t>
            </w:r>
          </w:p>
          <w:p w14:paraId="751868F1"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Pr>
                <w:rFonts w:cs="Calibri"/>
                <w:bCs/>
                <w:sz w:val="20"/>
              </w:rPr>
              <w:t>1</w:t>
            </w:r>
            <w:r>
              <w:rPr>
                <w:rFonts w:cs="Calibri"/>
                <w:bCs/>
                <w:sz w:val="20"/>
              </w:rPr>
              <w:tab/>
            </w:r>
            <w:r w:rsidRPr="00DA1148">
              <w:rPr>
                <w:rFonts w:cs="Calibri"/>
                <w:bCs/>
                <w:sz w:val="20"/>
              </w:rPr>
              <w:t>the Director of TSB to:</w:t>
            </w:r>
          </w:p>
          <w:p w14:paraId="447EEAEC" w14:textId="77777777" w:rsidR="00D0243F" w:rsidRPr="00DE295B" w:rsidRDefault="00D0243F" w:rsidP="00D0243F">
            <w:pPr>
              <w:pStyle w:val="ListParagraph"/>
              <w:numPr>
                <w:ilvl w:val="0"/>
                <w:numId w:val="8"/>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72C40">
              <w:rPr>
                <w:rFonts w:cs="Calibri"/>
                <w:bCs/>
                <w:sz w:val="20"/>
              </w:rPr>
              <w:t>coordinate with the Directors of the other two Bureaux to explore how EWM tools can promote cooperation and collaboration among ITU-R, ITU-T and ITU-D in order to avoid duplicating activities, and ensure that work is undertaken efficiently and effectively;</w:t>
            </w:r>
          </w:p>
        </w:tc>
      </w:tr>
      <w:tr w:rsidR="00D0243F" w:rsidRPr="00805FF4" w14:paraId="5259F6A1"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0FF8DE"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w:t>
            </w:r>
            <w:r>
              <w:rPr>
                <w:rFonts w:asciiTheme="minorHAnsi" w:hAnsiTheme="minorHAnsi" w:cs="Calibri"/>
                <w:sz w:val="20"/>
                <w:szCs w:val="20"/>
              </w:rPr>
              <w:t>3</w:t>
            </w:r>
          </w:p>
          <w:p w14:paraId="1DCB1E5D" w14:textId="77777777" w:rsidR="00D0243F" w:rsidRPr="00494053" w:rsidRDefault="00D0243F" w:rsidP="00E66E06">
            <w:pPr>
              <w:pStyle w:val="CEONormal"/>
              <w:spacing w:before="60" w:after="60"/>
              <w:rPr>
                <w:rFonts w:asciiTheme="minorHAnsi" w:hAnsiTheme="minorHAnsi" w:cs="Calibri"/>
                <w:b w:val="0"/>
                <w:bCs w:val="0"/>
                <w:sz w:val="20"/>
                <w:szCs w:val="20"/>
              </w:rPr>
            </w:pPr>
            <w:r w:rsidRPr="00494053">
              <w:rPr>
                <w:rFonts w:asciiTheme="minorHAnsi" w:hAnsiTheme="minorHAnsi" w:cs="Calibri"/>
                <w:b w:val="0"/>
                <w:bCs w:val="0"/>
                <w:sz w:val="20"/>
                <w:szCs w:val="20"/>
              </w:rPr>
              <w:t>Regional preparations for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5894BA" w14:textId="77777777" w:rsidR="00D0243F" w:rsidRPr="00BE1356"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BE1356">
              <w:rPr>
                <w:rFonts w:cs="Calibri"/>
                <w:b/>
                <w:sz w:val="20"/>
              </w:rPr>
              <w:t>invites the Secretary-General, in cooperation with the Directors of the Bureaux of the three Sectors</w:t>
            </w:r>
          </w:p>
          <w:p w14:paraId="254E6D3A" w14:textId="77777777" w:rsidR="00D0243F" w:rsidRPr="00BE1356"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1 </w:t>
            </w:r>
            <w:r>
              <w:rPr>
                <w:rFonts w:cs="Calibri"/>
                <w:bCs/>
                <w:sz w:val="20"/>
              </w:rPr>
              <w:tab/>
            </w:r>
            <w:r w:rsidRPr="00BE1356">
              <w:rPr>
                <w:rFonts w:cs="Calibri"/>
                <w:bCs/>
                <w:sz w:val="20"/>
              </w:rPr>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countries1;</w:t>
            </w:r>
          </w:p>
          <w:p w14:paraId="4CC112C0"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2 </w:t>
            </w:r>
            <w:r>
              <w:rPr>
                <w:rFonts w:cs="Calibri"/>
                <w:bCs/>
                <w:sz w:val="20"/>
              </w:rPr>
              <w:tab/>
            </w:r>
            <w:r w:rsidRPr="00BE1356">
              <w:rPr>
                <w:rFonts w:cs="Calibri"/>
                <w:bCs/>
                <w:sz w:val="20"/>
              </w:rPr>
              <w:t>on the basis of such consultations, to assist Member States and regional and subregional telecommunication organizations in such areas as:</w:t>
            </w:r>
          </w:p>
          <w:p w14:paraId="25F930EF" w14:textId="77777777" w:rsidR="00D0243F" w:rsidRPr="0006210B" w:rsidRDefault="00D0243F" w:rsidP="00E66E06">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06210B">
              <w:rPr>
                <w:rFonts w:cs="Calibri"/>
                <w:bCs/>
                <w:sz w:val="20"/>
              </w:rPr>
              <w:t>i</w:t>
            </w:r>
            <w:proofErr w:type="spellEnd"/>
            <w:r w:rsidRPr="0006210B">
              <w:rPr>
                <w:rFonts w:cs="Calibri"/>
                <w:bCs/>
                <w:sz w:val="20"/>
              </w:rPr>
              <w:t>) the organization of informal regional and interregional preparatory meetings, and formal regional preparatory meetings if a region so requests;</w:t>
            </w:r>
          </w:p>
          <w:p w14:paraId="63D70ADA" w14:textId="77777777" w:rsidR="00D0243F" w:rsidRPr="0006210B" w:rsidRDefault="00D0243F" w:rsidP="00E66E06">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 the identification of major issues to be resolved by the next WTSA;</w:t>
            </w:r>
          </w:p>
          <w:p w14:paraId="4BC838B8" w14:textId="77777777" w:rsidR="00D0243F" w:rsidRPr="0006210B" w:rsidRDefault="00D0243F" w:rsidP="00E66E06">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iii) the development of coordination methods;</w:t>
            </w:r>
          </w:p>
          <w:p w14:paraId="5B34B76B" w14:textId="77777777" w:rsidR="00D0243F" w:rsidRPr="0006210B" w:rsidRDefault="00D0243F" w:rsidP="00E66E06">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iv) the organization of information sessions on expected work for WTSA;</w:t>
            </w:r>
          </w:p>
          <w:p w14:paraId="106D7624"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6210B">
              <w:rPr>
                <w:rFonts w:cs="Calibri"/>
                <w:bCs/>
                <w:sz w:val="20"/>
              </w:rPr>
              <w:t xml:space="preserve">3 </w:t>
            </w:r>
            <w:r>
              <w:rPr>
                <w:rFonts w:cs="Calibri"/>
                <w:bCs/>
                <w:sz w:val="20"/>
              </w:rPr>
              <w:tab/>
            </w:r>
            <w:r w:rsidRPr="0006210B">
              <w:rPr>
                <w:rFonts w:cs="Calibri"/>
                <w:bCs/>
                <w:sz w:val="20"/>
              </w:rPr>
              <w:t>to submit, no later than the session of the ITU Council following WTSA, a report on feedback from Member States concerning WTSA regional preparatory meetings, their results and the application of this resolution,</w:t>
            </w:r>
          </w:p>
        </w:tc>
      </w:tr>
      <w:tr w:rsidR="00D0243F" w:rsidRPr="00805FF4" w14:paraId="4FB5E822"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575720"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44</w:t>
            </w:r>
          </w:p>
          <w:p w14:paraId="11B66243"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 and developed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E44C94"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7D5A91FE"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169FC160"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09CA3C59"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assist developing countries in developing strategies and methods that facilitate the process of linking their challenges and innovations to the standardization process in support of the digital transformation of society;</w:t>
            </w:r>
          </w:p>
          <w:p w14:paraId="2E79C5D9"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assist developing countries in developing means to align their national industrial and innovation strategies towards the goal of achieving highest impact on their socio-economic ecosystems;</w:t>
            </w:r>
          </w:p>
          <w:p w14:paraId="10A7F36C"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iii)</w:t>
            </w:r>
            <w:r w:rsidRPr="00805FF4">
              <w:rPr>
                <w:rFonts w:cs="Calibri"/>
                <w:b/>
                <w:sz w:val="20"/>
              </w:rPr>
              <w:tab/>
            </w:r>
            <w:r w:rsidRPr="00805FF4">
              <w:rPr>
                <w:rFonts w:cs="Calibri"/>
                <w:sz w:val="20"/>
              </w:rPr>
              <w:t>assist developing countries to develop strategies for establishing test laboratories which are nationally, regionally and internationally recognized for emerging technologies;</w:t>
            </w:r>
          </w:p>
          <w:p w14:paraId="163224B1"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 </w:t>
            </w:r>
          </w:p>
          <w:p w14:paraId="1CB66575"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1C5EF41A"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01C73E93"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 the necessary assistance to the regional groups of ITU T study groups;</w:t>
            </w:r>
          </w:p>
          <w:p w14:paraId="53B8388F"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assist, within the offices' budgets, the vice-chair</w:t>
            </w:r>
            <w:r>
              <w:rPr>
                <w:rFonts w:cs="Calibri"/>
                <w:sz w:val="20"/>
              </w:rPr>
              <w:t>s</w:t>
            </w:r>
            <w:r w:rsidRPr="00805FF4">
              <w:rPr>
                <w:rFonts w:cs="Calibri"/>
                <w:sz w:val="20"/>
              </w:rPr>
              <w:t xml:space="preserve"> of TSAG and ITU-T study groups appointed with specific responsibilities, including, among others, the following:</w:t>
            </w:r>
          </w:p>
          <w:p w14:paraId="5D5EB7C4"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closely work with ITU members in the region in order to mobilize them to participate in ITU standardization activities to assist in bridging the standardization gap;</w:t>
            </w:r>
          </w:p>
          <w:p w14:paraId="15BCC7AD"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make mobilization and participation reports to the ITU body concerning the region;</w:t>
            </w:r>
          </w:p>
          <w:p w14:paraId="0644F9CA"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prepare and submit a mobilization programme for the regions that they represent at the first meeting of TSAG or a study group and send a report to TSAG;</w:t>
            </w:r>
          </w:p>
          <w:p w14:paraId="1F2F67DE"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inform ITU members of programmes and initiatives within ITU-D that could assist in bridging the standardization gap;</w:t>
            </w:r>
          </w:p>
          <w:p w14:paraId="78B06CF0"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2350235B"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546930C0"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628015A8"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66CBBB0D"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implementing the objectives of the action plan annexed to this resolution;</w:t>
            </w:r>
          </w:p>
          <w:p w14:paraId="30D3C694"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the formation of partnerships under the patronage of ITU-T as one of the means for financing and implementing the objectives of the action plan annexed to this resolution;</w:t>
            </w:r>
          </w:p>
          <w:p w14:paraId="4775E1F9"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consider, whenever possible, holding workshops concurrently with the meetings of their respective regional groups of ITU-T study groups, or organizing other workshops or events in coordination and collaboration with the Director of BDT and ITU regional offices alongside these meetings;</w:t>
            </w:r>
          </w:p>
          <w:p w14:paraId="106AEEDE"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assist developing countries with their studies, particularly in respect of their priority questions and towards developing and implementing ITU-T Recommendations;</w:t>
            </w:r>
          </w:p>
          <w:p w14:paraId="715A7337"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to continue the activities of the implementation group established within TSB to organize, mobilize resources, coordinate efforts and monitor work related to this resolution and the associated action plan;</w:t>
            </w:r>
          </w:p>
          <w:p w14:paraId="36030A81"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continue to carry out the necessary studies on the role of innovation management and innovation stimulation programmes on bridging the standardization gap between the developed and developing countries;</w:t>
            </w:r>
          </w:p>
          <w:p w14:paraId="2DB6C4B7"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to include in the TSB budget proposal to Council funds identified for the implementation of this resolution, taking into account financial constraints and existing and planned BDT activities;</w:t>
            </w:r>
          </w:p>
          <w:p w14:paraId="57A56FC1"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8</w:t>
            </w:r>
            <w:r w:rsidRPr="00805FF4">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00BD1FB3"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9</w:t>
            </w:r>
            <w:r w:rsidRPr="00805FF4">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7275CEAC"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10</w:t>
            </w:r>
            <w:r w:rsidRPr="00805FF4">
              <w:rPr>
                <w:rFonts w:cs="Calibri"/>
                <w:sz w:val="20"/>
              </w:rPr>
              <w:tab/>
              <w:t>to enhance use of electronic channels such as webinars or e-learning for education and training on implementation of ITU-T Recommendations, in close collaboration with the ITU Academy and other capacity-building initiatives of BDT;</w:t>
            </w:r>
          </w:p>
          <w:p w14:paraId="2C86829D"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countries;</w:t>
            </w:r>
          </w:p>
          <w:p w14:paraId="3F4D963B"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to report on the effectiveness of the regional groups of ITU-T study groups to Council;</w:t>
            </w:r>
          </w:p>
          <w:p w14:paraId="1E891D11"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0D2CE188"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t>to ensure equal access to the ITU electronic meetings to the maximum extent possible and to provide remote participation, where possible, for more ITU-T workshops, seminars and forums, encouraging greater participation by developing countries;</w:t>
            </w:r>
          </w:p>
          <w:p w14:paraId="0DD4D568"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to leverage existing ITU-D tools in order for developing countries to have greater involvement in ITU-T’s standardization work;</w:t>
            </w:r>
          </w:p>
          <w:p w14:paraId="390BB6B2"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116CA22F"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
          <w:p w14:paraId="0F969E8C" w14:textId="77777777" w:rsidR="00D0243F" w:rsidRPr="006C0D1A"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204D208D"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sz w:val="20"/>
              </w:rPr>
              <w:t>3</w:t>
            </w:r>
            <w:r>
              <w:rPr>
                <w:rFonts w:cs="Calibri"/>
                <w:sz w:val="20"/>
              </w:rPr>
              <w:tab/>
            </w:r>
            <w:r w:rsidRPr="00805FF4">
              <w:rPr>
                <w:rFonts w:cs="Calibri"/>
                <w:sz w:val="20"/>
              </w:rPr>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49E683D5"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2B5C6E94"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140AE255"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0099A40F"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to work closely with the Directors of BDT and the Radiocommunication Bureau (BR) in order to encourage the formation of partnerships under the patronage of ITU-T as one of the means for financing the action plan;</w:t>
            </w:r>
          </w:p>
          <w:p w14:paraId="21378A60"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Sector Members from the developed countries to promote the participation in ITU-T activities of their subsidiaries based in developing countries;</w:t>
            </w:r>
          </w:p>
          <w:p w14:paraId="6AC43DD2"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develop mechanisms to support the effective participation by members, including telecommunication operators, from developing countries in standardization activities</w:t>
            </w:r>
          </w:p>
          <w:p w14:paraId="0584886F"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sidRPr="00805FF4">
              <w:rPr>
                <w:rFonts w:cs="Calibri"/>
                <w:sz w:val="20"/>
              </w:rPr>
              <w:tab/>
              <w:t>to consider, whenever possible, holding meetings of ITU-T study groups in developing countries,</w:t>
            </w:r>
          </w:p>
          <w:p w14:paraId="4872ABD1"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7236522E" w14:textId="77777777" w:rsidR="00D0243F" w:rsidRPr="00B9432A"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B9432A">
              <w:rPr>
                <w:rFonts w:cs="Calibri"/>
                <w:b/>
                <w:bCs/>
                <w:sz w:val="20"/>
              </w:rPr>
              <w:t xml:space="preserve">instructs </w:t>
            </w:r>
          </w:p>
          <w:p w14:paraId="28FBA613" w14:textId="77777777" w:rsidR="00D0243F" w:rsidRPr="00B9432A"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 xml:space="preserve">the Director of the Telecommunication Standardization Bureau, in collaboration with the Director of the Telecommunication Development Bureau </w:t>
            </w:r>
          </w:p>
          <w:p w14:paraId="591EE804"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to promote awareness and assist in the implementation of ITU-T standards in developing countries, considering countries’ specific needs, in collaboration with the regional telecommunication organizations and ITU regional offices, as appropriate,</w:t>
            </w:r>
          </w:p>
          <w:p w14:paraId="11B7B560"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D0243F" w:rsidRPr="00805FF4" w14:paraId="4076D61D"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974C67" w14:textId="77777777" w:rsidR="00D0243F" w:rsidRDefault="00D0243F" w:rsidP="00E66E06">
            <w:pPr>
              <w:spacing w:before="60" w:after="60"/>
              <w:rPr>
                <w:rFonts w:cs="Calibri"/>
                <w:b w:val="0"/>
                <w:bCs w:val="0"/>
                <w:sz w:val="20"/>
              </w:rPr>
            </w:pPr>
            <w:r w:rsidRPr="00805FF4">
              <w:rPr>
                <w:rFonts w:cs="Calibri"/>
                <w:sz w:val="20"/>
              </w:rPr>
              <w:t>RESOLUTION</w:t>
            </w:r>
            <w:r>
              <w:rPr>
                <w:rFonts w:cs="Calibri"/>
                <w:sz w:val="20"/>
              </w:rPr>
              <w:t xml:space="preserve"> 48</w:t>
            </w:r>
          </w:p>
          <w:p w14:paraId="175ABC0D" w14:textId="77777777" w:rsidR="00D0243F" w:rsidRPr="00D12A28" w:rsidRDefault="00D0243F" w:rsidP="00E66E06">
            <w:pPr>
              <w:spacing w:before="60" w:after="60"/>
              <w:rPr>
                <w:rFonts w:cs="Calibri"/>
                <w:b w:val="0"/>
                <w:bCs w:val="0"/>
                <w:sz w:val="20"/>
              </w:rPr>
            </w:pPr>
            <w:r w:rsidRPr="00D12A28">
              <w:rPr>
                <w:rFonts w:cs="Calibri"/>
                <w:b w:val="0"/>
                <w:bCs w:val="0"/>
                <w:sz w:val="20"/>
              </w:rPr>
              <w:t>Internationalized (multilingual) domain names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ECEDC8" w14:textId="77777777" w:rsidR="00D0243F" w:rsidRPr="00D54C81" w:rsidRDefault="00D0243F" w:rsidP="00E66E0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D54C81">
              <w:rPr>
                <w:rFonts w:asciiTheme="minorHAnsi" w:hAnsiTheme="minorHAnsi" w:cs="Calibri"/>
                <w:b/>
                <w:bCs/>
                <w:sz w:val="20"/>
                <w:szCs w:val="20"/>
              </w:rPr>
              <w:t xml:space="preserve">instructs </w:t>
            </w:r>
          </w:p>
          <w:p w14:paraId="326AC7D5" w14:textId="77777777" w:rsidR="00D0243F" w:rsidRPr="00D54C81" w:rsidRDefault="00D0243F" w:rsidP="00E66E0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the Director of the Telecommunication Standardization Bureau</w:t>
            </w:r>
          </w:p>
          <w:p w14:paraId="4580F65E" w14:textId="77777777" w:rsidR="00D0243F" w:rsidRPr="006E69F4" w:rsidRDefault="00D0243F" w:rsidP="00E66E0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 xml:space="preserve">3 </w:t>
            </w:r>
            <w:r>
              <w:rPr>
                <w:rFonts w:asciiTheme="minorHAnsi" w:hAnsiTheme="minorHAnsi" w:cs="Calibri"/>
                <w:sz w:val="20"/>
                <w:szCs w:val="20"/>
              </w:rPr>
              <w:tab/>
            </w:r>
            <w:r w:rsidRPr="00D54C81">
              <w:rPr>
                <w:rFonts w:asciiTheme="minorHAnsi" w:hAnsiTheme="minorHAnsi" w:cs="Calibri"/>
                <w:sz w:val="20"/>
                <w:szCs w:val="20"/>
              </w:rPr>
              <w:t>to support ITU-D in engaging stakeholders, raising awareness and incentivizing progress within the ITU-D membership, including Member States and Sector Members, in order to support and promote multilingualism on the Internet;</w:t>
            </w:r>
          </w:p>
          <w:p w14:paraId="7F7852A1" w14:textId="77777777" w:rsidR="00D0243F" w:rsidRDefault="00D0243F" w:rsidP="00E66E0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b/>
                <w:bCs/>
                <w:sz w:val="20"/>
                <w:szCs w:val="20"/>
              </w:rPr>
              <w:t xml:space="preserve">invites </w:t>
            </w:r>
          </w:p>
          <w:p w14:paraId="4606EC90" w14:textId="77777777" w:rsidR="00D0243F" w:rsidRPr="006E69F4" w:rsidRDefault="00D0243F" w:rsidP="00E66E0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E69F4">
              <w:rPr>
                <w:rFonts w:asciiTheme="minorHAnsi" w:hAnsiTheme="minorHAnsi" w:cs="Calibri"/>
                <w:sz w:val="20"/>
                <w:szCs w:val="20"/>
              </w:rPr>
              <w:t>the Director of the Telecommunication Development Bureau</w:t>
            </w:r>
          </w:p>
          <w:p w14:paraId="12AE36BE" w14:textId="77777777" w:rsidR="00D0243F" w:rsidRPr="00805FF4" w:rsidRDefault="00D0243F" w:rsidP="00E66E0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sz w:val="20"/>
                <w:szCs w:val="20"/>
              </w:rPr>
              <w:t>to continue to cooperate with the Director of the Telecommunication Standardization Bureau on these issues in the spirit of "One ITU",</w:t>
            </w:r>
          </w:p>
        </w:tc>
      </w:tr>
      <w:tr w:rsidR="00D0243F" w:rsidRPr="00805FF4" w14:paraId="1ACB36DF"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00EE21" w14:textId="77777777" w:rsidR="00D0243F" w:rsidRPr="00805FF4" w:rsidRDefault="00D0243F" w:rsidP="00E66E06">
            <w:pPr>
              <w:spacing w:before="60" w:after="60"/>
              <w:rPr>
                <w:rFonts w:cs="Calibri"/>
                <w:sz w:val="20"/>
              </w:rPr>
            </w:pPr>
            <w:r w:rsidRPr="00805FF4">
              <w:rPr>
                <w:rFonts w:cs="Calibri"/>
                <w:sz w:val="20"/>
              </w:rPr>
              <w:t>RESOLUTION 50</w:t>
            </w:r>
          </w:p>
          <w:p w14:paraId="00BC286E" w14:textId="77777777" w:rsidR="00D0243F" w:rsidRPr="00805FF4" w:rsidRDefault="00D0243F" w:rsidP="00E66E06">
            <w:pPr>
              <w:spacing w:before="60" w:after="60"/>
              <w:rPr>
                <w:rFonts w:cs="Calibri"/>
                <w:b w:val="0"/>
                <w:bCs w:val="0"/>
                <w:sz w:val="20"/>
              </w:rPr>
            </w:pPr>
            <w:r w:rsidRPr="00805FF4">
              <w:rPr>
                <w:rFonts w:cs="Calibri"/>
                <w:b w:val="0"/>
                <w:sz w:val="20"/>
              </w:rPr>
              <w:t>Cybersecurity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D67BF87" w14:textId="77777777" w:rsidR="00D0243F" w:rsidRPr="00805FF4"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202B8765" w14:textId="77777777" w:rsidR="00D0243F"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5F177D">
              <w:rPr>
                <w:rFonts w:asciiTheme="minorHAnsi" w:hAnsiTheme="minorHAnsi" w:cs="Calibri"/>
                <w:sz w:val="20"/>
                <w:szCs w:val="20"/>
              </w:rPr>
              <w:t xml:space="preserve">6 </w:t>
            </w:r>
            <w:r>
              <w:rPr>
                <w:rFonts w:asciiTheme="minorHAnsi" w:hAnsiTheme="minorHAnsi" w:cs="Calibri"/>
                <w:sz w:val="20"/>
                <w:szCs w:val="20"/>
              </w:rPr>
              <w:tab/>
            </w:r>
            <w:r w:rsidRPr="005F177D">
              <w:rPr>
                <w:rFonts w:asciiTheme="minorHAnsi" w:hAnsiTheme="minorHAnsi" w:cs="Calibri"/>
                <w:sz w:val="20"/>
                <w:szCs w:val="20"/>
              </w:rPr>
              <w:t>that ITU</w:t>
            </w:r>
            <w:r w:rsidRPr="005F177D">
              <w:rPr>
                <w:rFonts w:ascii="Cambria Math" w:hAnsi="Cambria Math" w:cs="Cambria Math"/>
                <w:sz w:val="20"/>
                <w:szCs w:val="20"/>
              </w:rPr>
              <w:t>‑</w:t>
            </w:r>
            <w:r w:rsidRPr="005F177D">
              <w:rPr>
                <w:rFonts w:asciiTheme="minorHAnsi" w:hAnsiTheme="minorHAnsi" w:cs="Calibri"/>
                <w:sz w:val="20"/>
                <w:szCs w:val="20"/>
              </w:rPr>
              <w:t>T should coordinate and collaborate with ITU</w:t>
            </w:r>
            <w:r w:rsidRPr="005F177D">
              <w:rPr>
                <w:rFonts w:ascii="Cambria Math" w:hAnsi="Cambria Math" w:cs="Cambria Math"/>
                <w:sz w:val="20"/>
                <w:szCs w:val="20"/>
              </w:rPr>
              <w:t>‑</w:t>
            </w:r>
            <w:r w:rsidRPr="005F177D">
              <w:rPr>
                <w:rFonts w:asciiTheme="minorHAnsi" w:hAnsiTheme="minorHAnsi" w:cs="Calibri"/>
                <w:sz w:val="20"/>
                <w:szCs w:val="20"/>
              </w:rPr>
              <w:t>D in this regard, both within the context of ITU</w:t>
            </w:r>
            <w:r w:rsidRPr="005F177D">
              <w:rPr>
                <w:rFonts w:ascii="Cambria Math" w:hAnsi="Cambria Math" w:cs="Cambria Math"/>
                <w:sz w:val="20"/>
                <w:szCs w:val="20"/>
              </w:rPr>
              <w:t>‑</w:t>
            </w:r>
            <w:r w:rsidRPr="005F177D">
              <w:rPr>
                <w:rFonts w:asciiTheme="minorHAnsi" w:hAnsiTheme="minorHAnsi" w:cs="Calibri"/>
                <w:sz w:val="20"/>
                <w:szCs w:val="20"/>
              </w:rPr>
              <w:t>D Study Question 3/2 (Securing information and communication networks: Best practices for developing a culture of cybersecurity) and within the context of the capacity-building work of the Telecommunication Development Bureau (BDT);</w:t>
            </w:r>
          </w:p>
          <w:p w14:paraId="40F5FB78" w14:textId="77777777" w:rsidR="00D0243F" w:rsidRPr="00805FF4"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p w14:paraId="37BCF2E6" w14:textId="77777777" w:rsidR="00D0243F" w:rsidRPr="00805FF4"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r>
              <w:rPr>
                <w:rFonts w:asciiTheme="minorHAnsi" w:hAnsiTheme="minorHAnsi" w:cs="Calibri"/>
                <w:b/>
                <w:bCs/>
                <w:sz w:val="20"/>
                <w:szCs w:val="20"/>
              </w:rPr>
              <w:t xml:space="preserve"> </w:t>
            </w:r>
            <w:r w:rsidRPr="001E61C1">
              <w:rPr>
                <w:rFonts w:asciiTheme="minorHAnsi" w:hAnsiTheme="minorHAnsi" w:cs="Calibri"/>
                <w:b/>
                <w:bCs/>
                <w:sz w:val="20"/>
                <w:szCs w:val="20"/>
              </w:rPr>
              <w:t>of the ITU Telecommunication Standardization Sector</w:t>
            </w:r>
          </w:p>
          <w:p w14:paraId="66BF4642" w14:textId="77777777" w:rsidR="00D0243F"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87BD2">
              <w:rPr>
                <w:rFonts w:asciiTheme="minorHAnsi" w:hAnsiTheme="minorHAnsi" w:cs="Calibri"/>
                <w:sz w:val="20"/>
                <w:szCs w:val="20"/>
              </w:rPr>
              <w:t>2</w:t>
            </w:r>
            <w:r>
              <w:rPr>
                <w:rFonts w:asciiTheme="minorHAnsi" w:hAnsiTheme="minorHAnsi" w:cs="Calibri"/>
                <w:sz w:val="20"/>
                <w:szCs w:val="20"/>
              </w:rPr>
              <w:tab/>
            </w:r>
            <w:r w:rsidRPr="00187BD2">
              <w:rPr>
                <w:rFonts w:asciiTheme="minorHAnsi" w:hAnsiTheme="minorHAnsi" w:cs="Calibri"/>
                <w:sz w:val="20"/>
                <w:szCs w:val="20"/>
              </w:rPr>
              <w:t xml:space="preserve"> to support the Director of TSB in maintaining the ICT Security Standards Roadmap, which should include work items to progress standardization work related to cybersecurity, and its aspects of data and PII protection, and the security compendium, which should include the list of ITU</w:t>
            </w:r>
            <w:r w:rsidRPr="00187BD2">
              <w:rPr>
                <w:rFonts w:asciiTheme="minorHAnsi" w:hAnsiTheme="minorHAnsi" w:cs="Calibri"/>
                <w:sz w:val="20"/>
                <w:szCs w:val="20"/>
              </w:rPr>
              <w:noBreakHyphen/>
              <w:t>T Recommendations and terms and definitions, and share this with relevant groups of the ITU Radiocommunication Sector and ITU</w:t>
            </w:r>
            <w:r w:rsidRPr="00187BD2">
              <w:rPr>
                <w:rFonts w:asciiTheme="minorHAnsi" w:hAnsiTheme="minorHAnsi" w:cs="Calibri"/>
                <w:sz w:val="20"/>
                <w:szCs w:val="20"/>
              </w:rPr>
              <w:noBreakHyphen/>
              <w:t>D as the mission of the ITU</w:t>
            </w:r>
            <w:r w:rsidRPr="00187BD2">
              <w:rPr>
                <w:rFonts w:asciiTheme="minorHAnsi" w:hAnsiTheme="minorHAnsi" w:cs="Calibri"/>
                <w:sz w:val="20"/>
                <w:szCs w:val="20"/>
              </w:rPr>
              <w:noBreakHyphen/>
              <w:t>T lead study group for security;</w:t>
            </w:r>
          </w:p>
          <w:p w14:paraId="52F7309C" w14:textId="77777777" w:rsidR="00D0243F" w:rsidRPr="00805FF4"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p w14:paraId="7010BA51" w14:textId="77777777" w:rsidR="00D0243F" w:rsidRPr="00805FF4"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4CC8B9F9" w14:textId="77777777" w:rsidR="00D0243F" w:rsidRPr="00805FF4"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4B936BBC" w14:textId="77777777" w:rsidR="00D0243F" w:rsidRPr="00805FF4"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t>
            </w:r>
          </w:p>
          <w:p w14:paraId="7198E2CF" w14:textId="77777777" w:rsidR="00D0243F"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067E1">
              <w:rPr>
                <w:rFonts w:asciiTheme="minorHAnsi" w:hAnsiTheme="minorHAnsi" w:cs="Calibri"/>
                <w:sz w:val="20"/>
                <w:szCs w:val="20"/>
              </w:rPr>
              <w:t xml:space="preserve">7 </w:t>
            </w:r>
            <w:r>
              <w:rPr>
                <w:rFonts w:asciiTheme="minorHAnsi" w:hAnsiTheme="minorHAnsi" w:cs="Calibri"/>
                <w:sz w:val="20"/>
                <w:szCs w:val="20"/>
              </w:rPr>
              <w:tab/>
            </w:r>
            <w:r w:rsidRPr="001067E1">
              <w:rPr>
                <w:rFonts w:asciiTheme="minorHAnsi" w:hAnsiTheme="minorHAnsi" w:cs="Calibri"/>
                <w:sz w:val="20"/>
                <w:szCs w:val="20"/>
              </w:rPr>
              <w:t xml:space="preserve">to support the Director of BDT in overseeing the development of </w:t>
            </w:r>
            <w:r>
              <w:rPr>
                <w:rFonts w:asciiTheme="minorHAnsi" w:hAnsiTheme="minorHAnsi" w:cs="Calibri"/>
                <w:sz w:val="20"/>
                <w:szCs w:val="20"/>
              </w:rPr>
              <w:t xml:space="preserve">ITU-T </w:t>
            </w:r>
            <w:r w:rsidRPr="001067E1">
              <w:rPr>
                <w:rFonts w:asciiTheme="minorHAnsi" w:hAnsiTheme="minorHAnsi" w:cs="Calibri"/>
                <w:sz w:val="20"/>
                <w:szCs w:val="20"/>
              </w:rPr>
              <w:t xml:space="preserve">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partnerships; </w:t>
            </w:r>
          </w:p>
          <w:p w14:paraId="11422566" w14:textId="77777777" w:rsidR="00D0243F"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94AC0">
              <w:rPr>
                <w:rFonts w:asciiTheme="minorHAnsi" w:hAnsiTheme="minorHAnsi" w:cs="Calibri"/>
                <w:sz w:val="20"/>
                <w:szCs w:val="20"/>
              </w:rPr>
              <w:t>9</w:t>
            </w:r>
            <w:r>
              <w:rPr>
                <w:rFonts w:asciiTheme="minorHAnsi" w:hAnsiTheme="minorHAnsi" w:cs="Calibri"/>
                <w:sz w:val="20"/>
                <w:szCs w:val="20"/>
              </w:rPr>
              <w:tab/>
            </w:r>
            <w:r w:rsidRPr="00E94AC0">
              <w:rPr>
                <w:rFonts w:asciiTheme="minorHAnsi" w:hAnsiTheme="minorHAnsi" w:cs="Calibri"/>
                <w:sz w:val="20"/>
                <w:szCs w:val="20"/>
              </w:rPr>
              <w:t>to disseminate information to all stakeholders and increase stakeholders’ understanding of cybersecurity through the organization of training programmes, forums, workshops, seminars, etc., as appropriate, on ITU-T Recommendations and implementation guidelines for policy-makers, regulators, operators and other stakeholders, especially from developing countries, to raise awareness and identify needs in collaboration with the Director of BDT;</w:t>
            </w:r>
          </w:p>
          <w:p w14:paraId="31A179D2" w14:textId="77777777" w:rsidR="00D0243F" w:rsidRPr="00805FF4"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DA250C">
              <w:rPr>
                <w:rFonts w:asciiTheme="minorHAnsi" w:hAnsiTheme="minorHAnsi" w:cs="Calibri"/>
                <w:sz w:val="20"/>
                <w:szCs w:val="20"/>
              </w:rPr>
              <w:t>11</w:t>
            </w:r>
            <w:r>
              <w:rPr>
                <w:rFonts w:asciiTheme="minorHAnsi" w:hAnsiTheme="minorHAnsi" w:cs="Calibri"/>
                <w:sz w:val="20"/>
                <w:szCs w:val="20"/>
              </w:rPr>
              <w:tab/>
            </w:r>
            <w:r w:rsidRPr="00DA250C">
              <w:rPr>
                <w:rFonts w:asciiTheme="minorHAnsi" w:hAnsiTheme="minorHAnsi" w:cs="Calibri"/>
                <w:sz w:val="20"/>
                <w:szCs w:val="20"/>
              </w:rPr>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D0243F" w:rsidRPr="00805FF4" w14:paraId="7E3E6734"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04CABA" w14:textId="77777777" w:rsidR="00D0243F" w:rsidRPr="00805FF4" w:rsidRDefault="00D0243F" w:rsidP="00E66E06">
            <w:pPr>
              <w:spacing w:before="60" w:after="60"/>
              <w:rPr>
                <w:rFonts w:cs="Calibri"/>
                <w:sz w:val="20"/>
              </w:rPr>
            </w:pPr>
            <w:r w:rsidRPr="00805FF4">
              <w:rPr>
                <w:rFonts w:cs="Calibri"/>
                <w:sz w:val="20"/>
              </w:rPr>
              <w:t>RESOLUTION 52</w:t>
            </w:r>
          </w:p>
          <w:p w14:paraId="2FE20083" w14:textId="77777777" w:rsidR="00D0243F" w:rsidRPr="00805FF4" w:rsidRDefault="00D0243F" w:rsidP="00E66E06">
            <w:pPr>
              <w:spacing w:before="60" w:after="60"/>
              <w:rPr>
                <w:rFonts w:cs="Calibri"/>
                <w:b w:val="0"/>
                <w:bCs w:val="0"/>
                <w:sz w:val="20"/>
              </w:rPr>
            </w:pPr>
            <w:r w:rsidRPr="00805FF4">
              <w:rPr>
                <w:rFonts w:cs="Calibri"/>
                <w:b w:val="0"/>
                <w:sz w:val="20"/>
              </w:rPr>
              <w:t>Countering and combating 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3A6B40" w14:textId="77777777" w:rsidR="00D0243F" w:rsidRPr="00805FF4" w:rsidRDefault="00D0243F" w:rsidP="00E66E0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38312412" w14:textId="77777777" w:rsidR="00D0243F" w:rsidRDefault="00D0243F" w:rsidP="00E66E0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B11F3">
              <w:rPr>
                <w:rFonts w:asciiTheme="minorHAnsi" w:hAnsiTheme="minorHAnsi" w:cs="Calibri"/>
                <w:sz w:val="20"/>
                <w:szCs w:val="20"/>
              </w:rPr>
              <w:t>resolves to instruct Study Group 17 of the ITU Telecommunication Standardization Sector</w:t>
            </w:r>
            <w:r w:rsidRPr="00150397">
              <w:rPr>
                <w:rFonts w:asciiTheme="minorHAnsi" w:hAnsiTheme="minorHAnsi" w:cs="Calibri"/>
                <w:sz w:val="20"/>
                <w:szCs w:val="20"/>
              </w:rPr>
              <w:t xml:space="preserve">4 </w:t>
            </w:r>
            <w:r>
              <w:rPr>
                <w:rFonts w:asciiTheme="minorHAnsi" w:hAnsiTheme="minorHAnsi" w:cs="Calibri"/>
                <w:sz w:val="20"/>
                <w:szCs w:val="20"/>
              </w:rPr>
              <w:tab/>
            </w:r>
            <w:r w:rsidRPr="00150397">
              <w:rPr>
                <w:rFonts w:asciiTheme="minorHAnsi" w:hAnsiTheme="minorHAnsi" w:cs="Calibri"/>
                <w:sz w:val="20"/>
                <w:szCs w:val="20"/>
              </w:rPr>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50419001" w14:textId="77777777" w:rsidR="00D0243F" w:rsidRPr="00805FF4" w:rsidRDefault="00D0243F" w:rsidP="00E66E0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25E03">
              <w:rPr>
                <w:rFonts w:asciiTheme="minorHAnsi" w:hAnsiTheme="minorHAnsi" w:cs="Calibri"/>
                <w:sz w:val="20"/>
                <w:szCs w:val="20"/>
              </w:rPr>
              <w:t xml:space="preserve">6 </w:t>
            </w:r>
            <w:r>
              <w:rPr>
                <w:rFonts w:asciiTheme="minorHAnsi" w:hAnsiTheme="minorHAnsi" w:cs="Calibri"/>
                <w:sz w:val="20"/>
                <w:szCs w:val="20"/>
              </w:rPr>
              <w:tab/>
            </w:r>
            <w:r w:rsidRPr="00B25E03">
              <w:rPr>
                <w:rFonts w:asciiTheme="minorHAnsi" w:hAnsiTheme="minorHAnsi" w:cs="Calibri"/>
                <w:sz w:val="20"/>
                <w:szCs w:val="20"/>
              </w:rPr>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D0243F" w:rsidRPr="00805FF4" w14:paraId="09F87F2F"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0A24DC"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0F34E637" w14:textId="77777777" w:rsidR="00D0243F" w:rsidRPr="00805FF4" w:rsidRDefault="00D0243F" w:rsidP="00E66E0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Regional groups of study groups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707ABC"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5216553"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 within the allocated or contributed resources that are available</w:t>
            </w:r>
          </w:p>
          <w:p w14:paraId="0D38F1B4"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Pr>
                <w:rFonts w:cs="Calibri"/>
                <w:sz w:val="20"/>
              </w:rPr>
              <w:t xml:space="preserve"> </w:t>
            </w:r>
            <w:r w:rsidRPr="00A80D11">
              <w:rPr>
                <w:rFonts w:cs="Calibri"/>
                <w:sz w:val="20"/>
              </w:rPr>
              <w:t>of the ITU-T study groups;</w:t>
            </w:r>
          </w:p>
          <w:p w14:paraId="5C9D43FB"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Pr="00A80D11">
              <w:rPr>
                <w:rFonts w:cs="Calibri"/>
                <w:sz w:val="20"/>
              </w:rPr>
              <w:t>to consider, whenever possible, holding events (workshops, forums, seminars, training, etc.) concurrently with meetings of the ITU-T regional groups, in the relevant regions, and vice</w:t>
            </w:r>
            <w:r>
              <w:rPr>
                <w:rFonts w:cs="Calibri"/>
                <w:sz w:val="20"/>
              </w:rPr>
              <w:t xml:space="preserve"> versa</w:t>
            </w:r>
            <w:r w:rsidRPr="00805FF4">
              <w:rPr>
                <w:rFonts w:cs="Calibri"/>
                <w:sz w:val="20"/>
              </w:rPr>
              <w:t>;</w:t>
            </w:r>
          </w:p>
          <w:p w14:paraId="1845D9DD"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take all necessary measures to facilitate the organization of meetings of the regional groups</w:t>
            </w:r>
            <w:r>
              <w:rPr>
                <w:rFonts w:cs="Calibri"/>
                <w:sz w:val="20"/>
              </w:rPr>
              <w:t xml:space="preserve"> </w:t>
            </w:r>
            <w:r w:rsidRPr="00A80D11">
              <w:rPr>
                <w:rFonts w:cs="Calibri"/>
                <w:sz w:val="20"/>
              </w:rPr>
              <w:t>of ITU-T study groups and workshops in the relevant regions</w:t>
            </w:r>
            <w:r w:rsidRPr="00805FF4">
              <w:rPr>
                <w:rFonts w:cs="Calibri"/>
                <w:sz w:val="20"/>
              </w:rPr>
              <w:t>,</w:t>
            </w:r>
          </w:p>
          <w:p w14:paraId="4AC3B96B"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calls upon</w:t>
            </w:r>
          </w:p>
          <w:p w14:paraId="51AD184F"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to cooperate with the Director of the Telecommunication Development Bureau</w:t>
            </w:r>
            <w:r>
              <w:rPr>
                <w:rFonts w:cs="Calibri"/>
                <w:sz w:val="20"/>
              </w:rPr>
              <w:t xml:space="preserve"> </w:t>
            </w:r>
            <w:r w:rsidRPr="00CD72B0">
              <w:rPr>
                <w:rFonts w:cs="Calibri"/>
                <w:sz w:val="20"/>
              </w:rPr>
              <w:t>and with the Director of the Radiocommunication Bureau, as appropriate,</w:t>
            </w:r>
            <w:r w:rsidRPr="00805FF4">
              <w:rPr>
                <w:rFonts w:cs="Calibri"/>
                <w:sz w:val="20"/>
              </w:rPr>
              <w:t xml:space="preserve"> in order to:</w:t>
            </w:r>
          </w:p>
          <w:p w14:paraId="788A71C0"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continue to provide specific assistance to regional groups</w:t>
            </w:r>
            <w:r>
              <w:rPr>
                <w:rFonts w:cs="Calibri"/>
                <w:sz w:val="20"/>
              </w:rPr>
              <w:t xml:space="preserve"> </w:t>
            </w:r>
            <w:r w:rsidRPr="008F7B86">
              <w:rPr>
                <w:rFonts w:cs="Calibri"/>
                <w:sz w:val="20"/>
              </w:rPr>
              <w:t>of ITU-T study groups</w:t>
            </w:r>
            <w:r w:rsidRPr="00805FF4">
              <w:rPr>
                <w:rFonts w:cs="Calibri"/>
                <w:sz w:val="20"/>
              </w:rPr>
              <w:t>;</w:t>
            </w:r>
          </w:p>
          <w:p w14:paraId="723AD7E5"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Pr="008F7B86">
              <w:rPr>
                <w:rFonts w:cs="Calibri"/>
                <w:sz w:val="20"/>
              </w:rPr>
              <w:t>encourage the use of electronic working methods to assist the members of the regional groups</w:t>
            </w:r>
            <w:r w:rsidRPr="00805FF4">
              <w:rPr>
                <w:rFonts w:cs="Calibri"/>
                <w:sz w:val="20"/>
              </w:rPr>
              <w:t>;</w:t>
            </w:r>
          </w:p>
          <w:p w14:paraId="567963DA"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Pr="005D45DA">
              <w:rPr>
                <w:rFonts w:cs="Calibri"/>
                <w:sz w:val="20"/>
              </w:rPr>
              <w:t>take appropriate steps to facilitate meetings of regional groups in order to promote the necessary synergies among the three Sectors and thereby improve the effectiveness and efficiency of the ITU-T study groups</w:t>
            </w:r>
          </w:p>
        </w:tc>
      </w:tr>
      <w:tr w:rsidR="00D0243F" w:rsidRPr="00805FF4" w14:paraId="4B446ED8"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33F183"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58</w:t>
            </w:r>
          </w:p>
          <w:p w14:paraId="6CC4F458" w14:textId="77777777" w:rsidR="00D0243F" w:rsidRPr="00805FF4" w:rsidRDefault="00D0243F" w:rsidP="00E66E06">
            <w:pPr>
              <w:pStyle w:val="CEONormal"/>
              <w:spacing w:before="60" w:after="60"/>
              <w:rPr>
                <w:rFonts w:asciiTheme="minorHAnsi" w:hAnsiTheme="minorHAnsi" w:cs="Calibri"/>
                <w:b w:val="0"/>
                <w:bCs w:val="0"/>
                <w:sz w:val="20"/>
                <w:szCs w:val="20"/>
              </w:rPr>
            </w:pPr>
            <w:r w:rsidRPr="007B306F">
              <w:rPr>
                <w:rFonts w:asciiTheme="minorHAnsi" w:hAnsiTheme="minorHAnsi" w:cs="Calibri"/>
                <w:b w:val="0"/>
                <w:bCs w:val="0"/>
                <w:sz w:val="20"/>
                <w:szCs w:val="20"/>
              </w:rPr>
              <w:t>Encouraging the creation and enhancement of national computer incident response teams, particularly for developing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DED84A"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
                <w:sz w:val="20"/>
              </w:rPr>
              <w:t xml:space="preserve">instructs </w:t>
            </w:r>
          </w:p>
          <w:p w14:paraId="321C86B2" w14:textId="77777777" w:rsidR="00D0243F" w:rsidRPr="002B38E5"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Study Group 17 of the ITU Telecommunication Standardization Sector</w:t>
            </w:r>
          </w:p>
          <w:p w14:paraId="0B681F27" w14:textId="77777777" w:rsidR="00D0243F" w:rsidRPr="002B38E5"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3</w:t>
            </w:r>
            <w:r>
              <w:rPr>
                <w:rFonts w:cs="Calibri"/>
                <w:bCs/>
                <w:sz w:val="20"/>
              </w:rPr>
              <w:tab/>
            </w:r>
            <w:r w:rsidRPr="002B38E5">
              <w:rPr>
                <w:rFonts w:cs="Calibri"/>
                <w:bCs/>
                <w:sz w:val="20"/>
              </w:rPr>
              <w:t>to collaborate with ITU-D in its work on the creation and enhancement of national CIRTs, as appropriate;</w:t>
            </w:r>
          </w:p>
          <w:p w14:paraId="347FCF65"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Cs/>
                <w:sz w:val="20"/>
              </w:rPr>
              <w:t xml:space="preserve">5 </w:t>
            </w:r>
            <w:r>
              <w:rPr>
                <w:rFonts w:cs="Calibri"/>
                <w:bCs/>
                <w:sz w:val="20"/>
              </w:rPr>
              <w:tab/>
            </w:r>
            <w:r w:rsidRPr="002B38E5">
              <w:rPr>
                <w:rFonts w:cs="Calibri"/>
                <w:bCs/>
                <w:sz w:val="20"/>
              </w:rPr>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26442052"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1E98C055"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65174ED9" w14:textId="77777777" w:rsidR="00D0243F" w:rsidRPr="006270A2"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1 </w:t>
            </w:r>
            <w:r>
              <w:rPr>
                <w:rFonts w:cs="Calibri"/>
                <w:sz w:val="20"/>
              </w:rPr>
              <w:tab/>
            </w:r>
            <w:r w:rsidRPr="006270A2">
              <w:rPr>
                <w:rFonts w:cs="Calibri"/>
                <w:sz w:val="20"/>
              </w:rPr>
              <w:t>to identify where national CIRTs are needed, particularly in developing countries, and encourage their establishment;</w:t>
            </w:r>
          </w:p>
          <w:p w14:paraId="4A38D018" w14:textId="77777777" w:rsidR="00D0243F" w:rsidRPr="006270A2"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2</w:t>
            </w:r>
            <w:r>
              <w:rPr>
                <w:rFonts w:cs="Calibri"/>
                <w:sz w:val="20"/>
              </w:rPr>
              <w:tab/>
            </w:r>
            <w:r w:rsidRPr="006270A2">
              <w:rPr>
                <w:rFonts w:cs="Calibri"/>
                <w:sz w:val="20"/>
              </w:rPr>
              <w:t xml:space="preserve"> to collaborate with international experts and bodies to help countries establish and enhance national CIRTs, through improving and accelerating the development of ITU-T Recommendations, supplements and technical reports in this domain;</w:t>
            </w:r>
          </w:p>
          <w:p w14:paraId="00940CD4" w14:textId="77777777" w:rsidR="00D0243F" w:rsidRPr="006270A2"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3 </w:t>
            </w:r>
            <w:r>
              <w:rPr>
                <w:rFonts w:cs="Calibri"/>
                <w:sz w:val="20"/>
              </w:rPr>
              <w:tab/>
            </w:r>
            <w:r w:rsidRPr="006270A2">
              <w:rPr>
                <w:rFonts w:cs="Calibri"/>
                <w:sz w:val="20"/>
              </w:rPr>
              <w:t>to support the promotion of national, regional and international best practices for establishing CIRTs by providing Recommendations, supplements and technical reports;</w:t>
            </w:r>
          </w:p>
          <w:p w14:paraId="4ABCC7E7" w14:textId="77777777" w:rsidR="00D0243F" w:rsidRPr="006270A2"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4 </w:t>
            </w:r>
            <w:r>
              <w:rPr>
                <w:rFonts w:cs="Calibri"/>
                <w:sz w:val="20"/>
              </w:rPr>
              <w:tab/>
            </w:r>
            <w:r w:rsidRPr="006270A2">
              <w:rPr>
                <w:rFonts w:cs="Calibri"/>
                <w:sz w:val="20"/>
              </w:rPr>
              <w:t>to raise awareness of ITU-T Study Group 17’s outputs such as Recommendations, supplements and technical reports for the establishment and enhancement of CIRTs, including the related operating framework;</w:t>
            </w:r>
          </w:p>
          <w:p w14:paraId="474DCD2C" w14:textId="77777777" w:rsidR="00D0243F" w:rsidRPr="006270A2"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5</w:t>
            </w:r>
            <w:r>
              <w:rPr>
                <w:rFonts w:cs="Calibri"/>
                <w:sz w:val="20"/>
              </w:rPr>
              <w:tab/>
            </w:r>
            <w:r w:rsidRPr="006270A2">
              <w:rPr>
                <w:rFonts w:cs="Calibri"/>
                <w:sz w:val="20"/>
              </w:rPr>
              <w:t xml:space="preserve"> to provide support, as appropriate, within existing budgetary resources;</w:t>
            </w:r>
          </w:p>
          <w:p w14:paraId="0EC4F7A4" w14:textId="77777777" w:rsidR="00D0243F" w:rsidRPr="006270A2"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6 </w:t>
            </w:r>
            <w:r>
              <w:rPr>
                <w:rFonts w:cs="Calibri"/>
                <w:sz w:val="20"/>
              </w:rPr>
              <w:tab/>
            </w:r>
            <w:r w:rsidRPr="006270A2">
              <w:rPr>
                <w:rFonts w:cs="Calibri"/>
                <w:sz w:val="20"/>
              </w:rPr>
              <w:t>to facilitate collaboration between national CIRTs, such as capacity building and exchange of information, within an appropriate framework;</w:t>
            </w:r>
          </w:p>
          <w:p w14:paraId="355CFC36"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7 </w:t>
            </w:r>
            <w:r>
              <w:rPr>
                <w:rFonts w:cs="Calibri"/>
                <w:sz w:val="20"/>
              </w:rPr>
              <w:tab/>
            </w:r>
            <w:r w:rsidRPr="006270A2">
              <w:rPr>
                <w:rFonts w:cs="Calibri"/>
                <w:sz w:val="20"/>
              </w:rPr>
              <w:t>to take necessary action to progress implementation of this resolution,</w:t>
            </w:r>
          </w:p>
        </w:tc>
      </w:tr>
      <w:tr w:rsidR="00D0243F" w:rsidRPr="00805FF4" w14:paraId="698339C5"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5D3C66"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64</w:t>
            </w:r>
          </w:p>
          <w:p w14:paraId="62E2C60E" w14:textId="77777777" w:rsidR="00D0243F" w:rsidRPr="00805FF4" w:rsidRDefault="00D0243F" w:rsidP="00E66E06">
            <w:pPr>
              <w:pStyle w:val="CEONormal"/>
              <w:spacing w:before="60" w:after="60"/>
              <w:rPr>
                <w:rFonts w:asciiTheme="minorHAnsi" w:hAnsiTheme="minorHAnsi"/>
                <w:sz w:val="20"/>
                <w:szCs w:val="20"/>
              </w:rPr>
            </w:pPr>
            <w:r w:rsidRPr="00FE64E3">
              <w:rPr>
                <w:rFonts w:asciiTheme="minorHAnsi" w:hAnsiTheme="minorHAnsi" w:cs="Calibri"/>
                <w:b w:val="0"/>
                <w:bCs w:val="0"/>
                <w:sz w:val="20"/>
                <w:szCs w:val="20"/>
              </w:rPr>
              <w:t>Promoting, facilitating and accelerating the transition to and deployment of Internet Protocol version 6</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D4FF59"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7654C143"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2C870F91"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Pr>
                <w:rFonts w:cs="Calibri"/>
                <w:sz w:val="20"/>
              </w:rPr>
              <w:t>Kigali 2022</w:t>
            </w:r>
            <w:r w:rsidRPr="00805FF4">
              <w:rPr>
                <w:rFonts w:cs="Calibri"/>
                <w:sz w:val="20"/>
              </w:rPr>
              <w:t>);</w:t>
            </w:r>
          </w:p>
          <w:p w14:paraId="546CFAA0" w14:textId="77777777" w:rsidR="00D0243F" w:rsidRPr="002734F5"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2 </w:t>
            </w:r>
            <w:r>
              <w:rPr>
                <w:rFonts w:cs="Calibri"/>
                <w:sz w:val="20"/>
              </w:rPr>
              <w:tab/>
            </w:r>
            <w:r w:rsidRPr="002734F5">
              <w:rPr>
                <w:rFonts w:cs="Calibri"/>
                <w:sz w:val="20"/>
              </w:rPr>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73D7BADE" w14:textId="77777777" w:rsidR="00D0243F" w:rsidRPr="002734F5"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3 </w:t>
            </w:r>
            <w:r>
              <w:rPr>
                <w:rFonts w:cs="Calibri"/>
                <w:sz w:val="20"/>
              </w:rPr>
              <w:tab/>
            </w:r>
            <w:r w:rsidRPr="002734F5">
              <w:rPr>
                <w:rFonts w:cs="Calibri"/>
                <w:sz w:val="20"/>
              </w:rPr>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3628C252" w14:textId="77777777" w:rsidR="00D0243F" w:rsidRPr="002734F5"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4 </w:t>
            </w:r>
            <w:r>
              <w:rPr>
                <w:rFonts w:cs="Calibri"/>
                <w:sz w:val="20"/>
              </w:rPr>
              <w:tab/>
            </w:r>
            <w:r w:rsidRPr="002734F5">
              <w:rPr>
                <w:rFonts w:cs="Calibri"/>
                <w:sz w:val="20"/>
              </w:rPr>
              <w:t>to promote the best practices of government programmes, including procurement, in order to facilitate the transition to and deployment of IPv6;</w:t>
            </w:r>
          </w:p>
          <w:p w14:paraId="54B39E60" w14:textId="77777777" w:rsidR="00D0243F" w:rsidRPr="002734F5"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5 </w:t>
            </w:r>
            <w:r>
              <w:rPr>
                <w:rFonts w:cs="Calibri"/>
                <w:sz w:val="20"/>
              </w:rPr>
              <w:tab/>
            </w:r>
            <w:r w:rsidRPr="002734F5">
              <w:rPr>
                <w:rFonts w:cs="Calibri"/>
                <w:sz w:val="20"/>
              </w:rPr>
              <w:t>to promote discussions between ITU Member States, Sector Members and relevant regional and international organizations on the transition to and deployment of IPv6;</w:t>
            </w:r>
          </w:p>
          <w:p w14:paraId="09CFB9DF"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6 </w:t>
            </w:r>
            <w:r>
              <w:rPr>
                <w:rFonts w:cs="Calibri"/>
                <w:sz w:val="20"/>
              </w:rPr>
              <w:tab/>
            </w:r>
            <w:r w:rsidRPr="002734F5">
              <w:rPr>
                <w:rFonts w:cs="Calibri"/>
                <w:sz w:val="20"/>
              </w:rPr>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011A5032"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D0243F" w:rsidRPr="00805FF4" w14:paraId="63CB987F"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4C2FD4"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69</w:t>
            </w:r>
          </w:p>
          <w:p w14:paraId="07D3C796" w14:textId="77777777" w:rsidR="00D0243F" w:rsidRPr="00805FF4" w:rsidRDefault="00D0243F" w:rsidP="00E66E06">
            <w:pPr>
              <w:pStyle w:val="CEONormal"/>
              <w:spacing w:before="60" w:after="60"/>
              <w:rPr>
                <w:rFonts w:asciiTheme="minorHAnsi" w:hAnsiTheme="minorHAnsi"/>
                <w:sz w:val="20"/>
                <w:szCs w:val="20"/>
              </w:rPr>
            </w:pPr>
            <w:r w:rsidRPr="4B35A13E">
              <w:rPr>
                <w:rFonts w:asciiTheme="minorHAnsi" w:hAnsiTheme="minorHAnsi" w:cs="Calibri"/>
                <w:b w:val="0"/>
                <w:bCs w:val="0"/>
                <w:sz w:val="20"/>
                <w:szCs w:val="20"/>
              </w:rPr>
              <w:t>Non-discriminatory access and use of Internet resources and telecommunications/ICTs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29C8AB9"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invites</w:t>
            </w:r>
          </w:p>
          <w:p w14:paraId="2A82D51E"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Directors of the Telecommunication Standardization Bureau, Radiocommunication Bureau and Telecommunication Development Bureau</w:t>
            </w:r>
          </w:p>
          <w:p w14:paraId="7836A7AD"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contribute on the progress on resolution,</w:t>
            </w:r>
          </w:p>
        </w:tc>
      </w:tr>
      <w:tr w:rsidR="00D0243F" w:rsidRPr="00805FF4" w14:paraId="5284F80C"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4A63BB2"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70</w:t>
            </w:r>
          </w:p>
          <w:p w14:paraId="484CE34C" w14:textId="77777777" w:rsidR="00D0243F" w:rsidRPr="00805FF4" w:rsidRDefault="00D0243F" w:rsidP="00E66E0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B8A6F6" w14:textId="77777777" w:rsidR="00D0243F" w:rsidRPr="00C66FC7"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C66FC7">
              <w:rPr>
                <w:rFonts w:cs="Calibri"/>
                <w:b/>
                <w:bCs/>
                <w:sz w:val="20"/>
              </w:rPr>
              <w:t>invites</w:t>
            </w:r>
          </w:p>
          <w:p w14:paraId="6EEA08BA"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235DADD9"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Pr="00805FF4">
              <w:rPr>
                <w:rFonts w:cs="Calibri"/>
                <w:sz w:val="20"/>
              </w:rPr>
              <w:t>in particular concerning awareness and mainstreaming of telecommunication/ICT accessibility standards, reporting findings to the Council as appropriate;</w:t>
            </w:r>
          </w:p>
          <w:p w14:paraId="5BE3356C"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2</w:t>
            </w:r>
            <w:r w:rsidRPr="00805FF4">
              <w:rPr>
                <w:rFonts w:cs="Calibri"/>
                <w:sz w:val="20"/>
              </w:rPr>
              <w:tab/>
              <w:t>to work collaboratively on accessibility-related activities with ITU-D, in particular developing programmes that enable developing countries to introduce services that allow persons with disabilities to utilize telecommunication services effectively</w:t>
            </w:r>
            <w:r>
              <w:rPr>
                <w:rFonts w:cs="Calibri"/>
                <w:sz w:val="20"/>
              </w:rPr>
              <w:t>;</w:t>
            </w:r>
          </w:p>
          <w:p w14:paraId="36855709"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C66FC7">
              <w:rPr>
                <w:rFonts w:cs="Calibri"/>
                <w:sz w:val="20"/>
              </w:rPr>
              <w:t>7</w:t>
            </w:r>
            <w:r w:rsidRPr="00C66FC7">
              <w:rPr>
                <w:rFonts w:cs="Calibri"/>
                <w:sz w:val="20"/>
              </w:rPr>
              <w:tab/>
              <w:t>to consider the possibility of organizing, jointly with ITU-D and with the involvement of other standardization organizations and entities, coaching and training for developing countries on working with disability organizations;</w:t>
            </w:r>
          </w:p>
          <w:p w14:paraId="3468D634" w14:textId="77777777" w:rsidR="00D0243F" w:rsidRPr="003F114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3F1144">
              <w:rPr>
                <w:rFonts w:cs="Calibri"/>
                <w:b/>
                <w:bCs/>
                <w:sz w:val="20"/>
              </w:rPr>
              <w:t xml:space="preserve">invites </w:t>
            </w:r>
          </w:p>
          <w:p w14:paraId="34EE4BE1"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F1144">
              <w:rPr>
                <w:rFonts w:cs="Calibri"/>
                <w:sz w:val="20"/>
              </w:rPr>
              <w:t>Member States and Sector Members</w:t>
            </w:r>
          </w:p>
          <w:p w14:paraId="34E1B90D" w14:textId="77777777" w:rsidR="00D0243F" w:rsidRPr="00C66FC7"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B3CEA">
              <w:rPr>
                <w:rFonts w:cs="Calibri"/>
                <w:sz w:val="20"/>
              </w:rPr>
              <w:t xml:space="preserve">5 </w:t>
            </w:r>
            <w:r>
              <w:rPr>
                <w:rFonts w:cs="Calibri"/>
                <w:sz w:val="20"/>
              </w:rPr>
              <w:tab/>
            </w:r>
            <w:r w:rsidRPr="003B3CEA">
              <w:rPr>
                <w:rFonts w:cs="Calibri"/>
                <w:sz w:val="20"/>
              </w:rPr>
              <w:t>to participate actively in accessibility-related studies in ITU-R, ITU-T and ITU-D, and to promote the effective representation of persons with disabilities in the standardization process so as to ensure their experiences, views and opinions are taken into account in all the work of study groups;</w:t>
            </w:r>
          </w:p>
        </w:tc>
      </w:tr>
      <w:tr w:rsidR="00D0243F" w:rsidRPr="00805FF4" w14:paraId="4068C966"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22CB368"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72</w:t>
            </w:r>
          </w:p>
          <w:p w14:paraId="17EB8ED3" w14:textId="77777777" w:rsidR="00D0243F" w:rsidRPr="00805FF4" w:rsidRDefault="00D0243F" w:rsidP="00E66E0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2D2F9A9" w14:textId="77777777" w:rsidR="00D0243F" w:rsidRPr="00805FF4" w:rsidRDefault="00D0243F" w:rsidP="00E66E0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32C0AD66" w14:textId="77777777" w:rsidR="00D0243F" w:rsidRPr="00805FF4" w:rsidRDefault="00D0243F" w:rsidP="00E66E0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24C8F633" w14:textId="77777777" w:rsidR="00D0243F" w:rsidRDefault="00D0243F" w:rsidP="00E66E06">
            <w:pPr>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r>
            <w:r w:rsidRPr="00540B61">
              <w:rPr>
                <w:rFonts w:cs="Calibri"/>
                <w:sz w:val="20"/>
              </w:rPr>
              <w:t>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field;</w:t>
            </w:r>
          </w:p>
          <w:p w14:paraId="4C99DBB1" w14:textId="77777777" w:rsidR="00D0243F" w:rsidRPr="00805FF4" w:rsidRDefault="00D0243F" w:rsidP="00E66E0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v</w:t>
            </w:r>
            <w:r>
              <w:rPr>
                <w:rFonts w:cs="Calibri"/>
                <w:sz w:val="20"/>
              </w:rPr>
              <w:t>iii</w:t>
            </w:r>
            <w:r w:rsidRPr="00805FF4">
              <w:rPr>
                <w:rFonts w:cs="Calibri"/>
                <w:sz w:val="20"/>
              </w:rPr>
              <w:t>)</w:t>
            </w:r>
            <w:r w:rsidRPr="00805FF4">
              <w:rPr>
                <w:rFonts w:cs="Calibri"/>
                <w:sz w:val="20"/>
              </w:rPr>
              <w:tab/>
              <w:t xml:space="preserve">cooperating on these issues with ITU-R Study Groups, and with </w:t>
            </w:r>
            <w:r w:rsidRPr="00C2429B">
              <w:rPr>
                <w:rFonts w:cs="Calibri"/>
                <w:sz w:val="20"/>
              </w:rPr>
              <w:t xml:space="preserve">ITU-D </w:t>
            </w:r>
            <w:r w:rsidRPr="00805FF4">
              <w:rPr>
                <w:rFonts w:cs="Calibri"/>
                <w:sz w:val="20"/>
              </w:rPr>
              <w:t>Study Group 2 in the framework of</w:t>
            </w:r>
            <w:r>
              <w:rPr>
                <w:rFonts w:cs="Calibri"/>
                <w:sz w:val="20"/>
              </w:rPr>
              <w:t xml:space="preserve"> </w:t>
            </w:r>
            <w:r w:rsidRPr="00E3071B">
              <w:rPr>
                <w:rFonts w:cs="Calibri"/>
                <w:sz w:val="20"/>
              </w:rPr>
              <w:t>EMF measurements to assess human exposure and other relevant issues</w:t>
            </w:r>
            <w:r w:rsidRPr="00805FF4">
              <w:rPr>
                <w:rFonts w:cs="Calibri"/>
                <w:sz w:val="20"/>
              </w:rPr>
              <w:t>;</w:t>
            </w:r>
          </w:p>
          <w:p w14:paraId="458DF4FC" w14:textId="77777777" w:rsidR="00D0243F" w:rsidRPr="00805FF4" w:rsidRDefault="00D0243F" w:rsidP="00E66E0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1FC3FA9" w14:textId="77777777" w:rsidR="00D0243F" w:rsidRPr="00805FF4" w:rsidRDefault="00D0243F" w:rsidP="00E66E0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within the available financial resources</w:t>
            </w:r>
          </w:p>
          <w:p w14:paraId="7523279C" w14:textId="77777777" w:rsidR="00D0243F" w:rsidRPr="00A10643"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1 </w:t>
            </w:r>
            <w:r>
              <w:rPr>
                <w:rFonts w:cs="Calibri"/>
                <w:sz w:val="20"/>
              </w:rPr>
              <w:tab/>
            </w:r>
            <w:r w:rsidRPr="00A10643">
              <w:rPr>
                <w:rFonts w:cs="Calibri"/>
                <w:sz w:val="20"/>
              </w:rPr>
              <w:t>to support the development of reports identifying the needs of developing countries on the issue of assessing human exposure to EMF, and to submit the reports as soon as possible to ITU-T Study Group 5 for its consideration and action in accordance with its mandate;</w:t>
            </w:r>
          </w:p>
          <w:p w14:paraId="60B37731" w14:textId="77777777" w:rsidR="00D0243F" w:rsidRPr="00A10643"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2 </w:t>
            </w:r>
            <w:r>
              <w:rPr>
                <w:rFonts w:cs="Calibri"/>
                <w:sz w:val="20"/>
              </w:rPr>
              <w:tab/>
            </w:r>
            <w:r w:rsidRPr="00A10643">
              <w:rPr>
                <w:rFonts w:cs="Calibri"/>
                <w:sz w:val="20"/>
              </w:rPr>
              <w:t>to regularly update the ITU-T portal on EMF activities, including, but not limited to, the ITU EMF Guide, its mobile application, links to websites, the global portal on ICTs and the environment and flyers, as well as information intended for the general public;</w:t>
            </w:r>
          </w:p>
          <w:p w14:paraId="5FF085D0" w14:textId="77777777" w:rsidR="00D0243F" w:rsidRPr="00A10643"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3 </w:t>
            </w:r>
            <w:r>
              <w:rPr>
                <w:rFonts w:cs="Calibri"/>
                <w:sz w:val="20"/>
              </w:rPr>
              <w:tab/>
            </w:r>
            <w:r w:rsidRPr="00A10643">
              <w:rPr>
                <w:rFonts w:cs="Calibri"/>
                <w:sz w:val="20"/>
              </w:rPr>
              <w:t>to hold workshops in developing countries with presentations and training on the use of equipment employed in assessing human exposure to RF energy, including SAR;</w:t>
            </w:r>
          </w:p>
          <w:p w14:paraId="294A75CC" w14:textId="77777777" w:rsidR="00D0243F" w:rsidRPr="00A10643"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4 </w:t>
            </w:r>
            <w:r>
              <w:rPr>
                <w:rFonts w:cs="Calibri"/>
                <w:sz w:val="20"/>
              </w:rPr>
              <w:tab/>
            </w:r>
            <w:r w:rsidRPr="00A10643">
              <w:rPr>
                <w:rFonts w:cs="Calibri"/>
                <w:sz w:val="20"/>
              </w:rPr>
              <w:t>to appoint experts in the field of assessment and measurement of exposure to EMF to assist developing countries in the formulation of their strategies and standardization activities in this area;</w:t>
            </w:r>
          </w:p>
          <w:p w14:paraId="2895E8E7" w14:textId="77777777" w:rsidR="00D0243F" w:rsidRPr="00A10643"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5</w:t>
            </w:r>
            <w:r>
              <w:rPr>
                <w:rFonts w:cs="Calibri"/>
                <w:sz w:val="20"/>
              </w:rPr>
              <w:tab/>
            </w:r>
            <w:r w:rsidRPr="00A10643">
              <w:rPr>
                <w:rFonts w:cs="Calibri"/>
                <w:sz w:val="20"/>
              </w:rPr>
              <w:t xml:space="preserve"> 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centres;</w:t>
            </w:r>
          </w:p>
          <w:p w14:paraId="1A14BEEF" w14:textId="77777777" w:rsidR="00D0243F" w:rsidRPr="00A10643"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6 </w:t>
            </w:r>
            <w:r>
              <w:rPr>
                <w:rFonts w:cs="Calibri"/>
                <w:sz w:val="20"/>
              </w:rPr>
              <w:tab/>
            </w:r>
            <w:r w:rsidRPr="00A10643">
              <w:rPr>
                <w:rFonts w:cs="Calibri"/>
                <w:sz w:val="20"/>
              </w:rPr>
              <w:t>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protocols;</w:t>
            </w:r>
          </w:p>
          <w:p w14:paraId="28EDA893"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A10643">
              <w:rPr>
                <w:rFonts w:cs="Calibri"/>
                <w:sz w:val="20"/>
              </w:rPr>
              <w:t xml:space="preserve">7 </w:t>
            </w:r>
            <w:r>
              <w:rPr>
                <w:rFonts w:cs="Calibri"/>
                <w:sz w:val="20"/>
              </w:rPr>
              <w:tab/>
            </w:r>
            <w:r w:rsidRPr="00A10643">
              <w:rPr>
                <w:rFonts w:cs="Calibri"/>
                <w:sz w:val="20"/>
              </w:rPr>
              <w:t>to report to the next world telecommunication standardization assembly on measures taken to implement this resolution,</w:t>
            </w:r>
          </w:p>
        </w:tc>
      </w:tr>
      <w:tr w:rsidR="00D0243F" w:rsidRPr="00805FF4" w14:paraId="11DD78DB"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F031829" w14:textId="77777777" w:rsidR="00D0243F" w:rsidRPr="00AD3103" w:rsidRDefault="00D0243F" w:rsidP="00E66E06">
            <w:pPr>
              <w:pStyle w:val="CEONormal"/>
              <w:spacing w:before="60" w:after="60"/>
              <w:rPr>
                <w:rFonts w:asciiTheme="minorHAnsi" w:hAnsiTheme="minorHAnsi"/>
                <w:sz w:val="20"/>
                <w:szCs w:val="20"/>
              </w:rPr>
            </w:pPr>
            <w:r w:rsidRPr="00AD3103">
              <w:rPr>
                <w:rFonts w:asciiTheme="minorHAnsi" w:hAnsiTheme="minorHAnsi"/>
                <w:sz w:val="20"/>
                <w:szCs w:val="20"/>
              </w:rPr>
              <w:t>RESOLUTION 73</w:t>
            </w:r>
          </w:p>
          <w:p w14:paraId="04C2A907" w14:textId="77777777" w:rsidR="00D0243F" w:rsidRPr="00805FF4" w:rsidRDefault="00D0243F" w:rsidP="00E66E06">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 climate change and circular economy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DB13A3"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18D207F"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all ITU-T study groups</w:t>
            </w:r>
          </w:p>
          <w:p w14:paraId="1E24582B"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73572DA8"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27F68AC"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1CDF809A" w14:textId="77777777" w:rsidR="00D0243F" w:rsidRPr="009963C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1 </w:t>
            </w:r>
            <w:r>
              <w:rPr>
                <w:rFonts w:cs="Calibri"/>
                <w:sz w:val="20"/>
              </w:rPr>
              <w:tab/>
            </w:r>
            <w:r w:rsidRPr="009963C4">
              <w:rPr>
                <w:rFonts w:cs="Calibri"/>
                <w:sz w:val="20"/>
              </w:rPr>
              <w:t>to report on progress on the application of this resolution annually to the Council and to the next world telecommunication standardization assembly;</w:t>
            </w:r>
          </w:p>
          <w:p w14:paraId="45555FFF" w14:textId="77777777" w:rsidR="00D0243F" w:rsidRPr="009963C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2</w:t>
            </w:r>
            <w:r>
              <w:rPr>
                <w:rFonts w:cs="Calibri"/>
                <w:sz w:val="20"/>
              </w:rPr>
              <w:tab/>
            </w:r>
            <w:r w:rsidRPr="009963C4">
              <w:rPr>
                <w:rFonts w:cs="Calibri"/>
                <w:sz w:val="20"/>
              </w:rPr>
              <w:t xml:space="preserve"> to keep up to date the calendar of events relevant to ICTs, environment, climate change and circular economy, based on proposals by the Telecommunication Standardization Advisory Group and in close collaboration with the other two Sectors;</w:t>
            </w:r>
          </w:p>
          <w:p w14:paraId="7750A17C" w14:textId="77777777" w:rsidR="00D0243F" w:rsidRPr="009963C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3 </w:t>
            </w:r>
            <w:r>
              <w:rPr>
                <w:rFonts w:cs="Calibri"/>
                <w:sz w:val="20"/>
              </w:rPr>
              <w:tab/>
            </w:r>
            <w:r w:rsidRPr="009963C4">
              <w:rPr>
                <w:rFonts w:cs="Calibri"/>
                <w:sz w:val="20"/>
              </w:rPr>
              <w:t>to launch pilot projects, aimed at bridging the standardization gap, on environmental sustainability issues, in particular in developing countries;</w:t>
            </w:r>
          </w:p>
          <w:p w14:paraId="6B5008CE" w14:textId="77777777" w:rsidR="00D0243F" w:rsidRPr="009963C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4 </w:t>
            </w:r>
            <w:r>
              <w:rPr>
                <w:rFonts w:cs="Calibri"/>
                <w:sz w:val="20"/>
              </w:rPr>
              <w:tab/>
            </w:r>
            <w:r w:rsidRPr="009963C4">
              <w:rPr>
                <w:rFonts w:cs="Calibri"/>
                <w:sz w:val="20"/>
              </w:rPr>
              <w:t>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centres, smart buildings, green ICT procurement, cloud computing, energy efficiency, smart transportation, smart logistics, smart grids, water management, adaptation to climate change and disaster preparedness, biodiversity protection, in cooperation with other expert bodies in these domains, and how the ICT sector contributes to annual reductions in GHG emissions, and submit the reports as soon as possible to ITU-T Study Group 5 for its consideration;</w:t>
            </w:r>
          </w:p>
          <w:p w14:paraId="786EC34A" w14:textId="77777777" w:rsidR="00D0243F" w:rsidRPr="009963C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5 </w:t>
            </w:r>
            <w:r>
              <w:rPr>
                <w:rFonts w:cs="Calibri"/>
                <w:sz w:val="20"/>
              </w:rPr>
              <w:tab/>
            </w:r>
            <w:r w:rsidRPr="009963C4">
              <w:rPr>
                <w:rFonts w:cs="Calibri"/>
                <w:sz w:val="20"/>
              </w:rPr>
              <w:t>to organize forums, workshops and seminars for developing countries in order to raise awareness and identify their particular needs and challenges in regard to environmental, climate-change and circular-economy issues;</w:t>
            </w:r>
          </w:p>
          <w:p w14:paraId="4C46E2D8"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7 </w:t>
            </w:r>
            <w:r>
              <w:rPr>
                <w:rFonts w:cs="Calibri"/>
                <w:sz w:val="20"/>
              </w:rPr>
              <w:tab/>
            </w:r>
            <w:r w:rsidRPr="009963C4">
              <w:rPr>
                <w:rFonts w:cs="Calibri"/>
                <w:sz w:val="20"/>
              </w:rPr>
              <w:t>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warning;</w:t>
            </w:r>
          </w:p>
          <w:p w14:paraId="56796723" w14:textId="77777777" w:rsidR="00D0243F" w:rsidRPr="009963C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8</w:t>
            </w:r>
            <w:r>
              <w:rPr>
                <w:rFonts w:cs="Calibri"/>
                <w:sz w:val="20"/>
              </w:rPr>
              <w:tab/>
            </w:r>
            <w:r w:rsidRPr="009963C4">
              <w:rPr>
                <w:rFonts w:cs="Calibri"/>
                <w:sz w:val="20"/>
              </w:rPr>
              <w:t xml:space="preserve"> to promote the ITU-T Global Portal on Environment and Sustainable Digital Transformation and its use as an electronic forum for the exchange and dissemination of ideas, experience and best practices on ICTs, environment, climate change and circular economy;</w:t>
            </w:r>
          </w:p>
          <w:p w14:paraId="0A768E6C" w14:textId="77777777" w:rsidR="00D0243F" w:rsidRPr="009963C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9 </w:t>
            </w:r>
            <w:r>
              <w:rPr>
                <w:rFonts w:cs="Calibri"/>
                <w:sz w:val="20"/>
              </w:rPr>
              <w:tab/>
            </w:r>
            <w:r w:rsidRPr="009963C4">
              <w:rPr>
                <w:rFonts w:cs="Calibri"/>
                <w:sz w:val="20"/>
              </w:rPr>
              <w:t>to assist countries that are vulnerable to climate-change impact, with specific emphasis on developing countries:</w:t>
            </w:r>
          </w:p>
          <w:p w14:paraId="01427D82" w14:textId="77777777" w:rsidR="00D0243F" w:rsidRPr="009963C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9963C4">
              <w:rPr>
                <w:rFonts w:cs="Calibri"/>
                <w:sz w:val="20"/>
              </w:rPr>
              <w:t>i</w:t>
            </w:r>
            <w:proofErr w:type="spellEnd"/>
            <w:r w:rsidRPr="009963C4">
              <w:rPr>
                <w:rFonts w:cs="Calibri"/>
                <w:sz w:val="20"/>
              </w:rPr>
              <w:t>) that are susceptible to wildfires, drought, floods, and other disasters exacerbated by climate change;</w:t>
            </w:r>
          </w:p>
          <w:p w14:paraId="6ED5A782" w14:textId="77777777" w:rsidR="00D0243F" w:rsidRPr="009963C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 whose economies rely on agricultural investments;</w:t>
            </w:r>
          </w:p>
          <w:p w14:paraId="15882AC7"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iii) with weak capacity or lack of meteorological-support infrastructure and technical systems for the mitigation of climate-change effects,</w:t>
            </w:r>
          </w:p>
          <w:p w14:paraId="23DDDFBF"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D0243F" w:rsidRPr="00805FF4" w14:paraId="07645B7A"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72348F" w14:textId="77777777" w:rsidR="00D0243F" w:rsidRPr="00245B14" w:rsidRDefault="00D0243F" w:rsidP="00E66E06">
            <w:pPr>
              <w:pStyle w:val="CEONormal"/>
              <w:spacing w:before="60" w:after="60"/>
              <w:rPr>
                <w:rFonts w:asciiTheme="minorHAnsi" w:hAnsiTheme="minorHAnsi"/>
                <w:sz w:val="20"/>
                <w:szCs w:val="20"/>
              </w:rPr>
            </w:pPr>
            <w:r w:rsidRPr="00805FF4">
              <w:rPr>
                <w:rFonts w:asciiTheme="minorHAnsi" w:hAnsiTheme="minorHAnsi"/>
                <w:sz w:val="20"/>
                <w:szCs w:val="20"/>
              </w:rPr>
              <w:t>RESOLUTION 7</w:t>
            </w:r>
            <w:r>
              <w:rPr>
                <w:rFonts w:asciiTheme="minorHAnsi" w:hAnsiTheme="minorHAnsi"/>
                <w:sz w:val="20"/>
                <w:szCs w:val="20"/>
              </w:rPr>
              <w:t>4</w:t>
            </w:r>
          </w:p>
          <w:p w14:paraId="50574B55" w14:textId="77777777" w:rsidR="00D0243F" w:rsidRPr="00E82D04" w:rsidRDefault="00D0243F" w:rsidP="00E66E06">
            <w:pPr>
              <w:pStyle w:val="CEONormal"/>
              <w:spacing w:before="60" w:after="60"/>
              <w:rPr>
                <w:rFonts w:asciiTheme="minorHAnsi" w:hAnsiTheme="minorHAnsi"/>
                <w:b w:val="0"/>
                <w:bCs w:val="0"/>
                <w:sz w:val="20"/>
                <w:szCs w:val="20"/>
              </w:rPr>
            </w:pPr>
            <w:r w:rsidRPr="00E82D04">
              <w:rPr>
                <w:rFonts w:asciiTheme="minorHAnsi" w:hAnsiTheme="minorHAnsi"/>
                <w:b w:val="0"/>
                <w:bCs w:val="0"/>
                <w:sz w:val="20"/>
                <w:szCs w:val="20"/>
              </w:rPr>
              <w:t>Enhancing participation of Sector Members from developing countries in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F1DF9C"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
                <w:sz w:val="20"/>
              </w:rPr>
              <w:t xml:space="preserve">instructs </w:t>
            </w:r>
          </w:p>
          <w:p w14:paraId="3D1C3472" w14:textId="77777777" w:rsidR="00D0243F" w:rsidRPr="00542228"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the Director of the Telecommunication Standardization Bureau, in close collaboration with the Director of the Telecommunication Development Bureau</w:t>
            </w:r>
            <w:r>
              <w:rPr>
                <w:rFonts w:cs="Calibri"/>
                <w:bCs/>
                <w:sz w:val="20"/>
              </w:rPr>
              <w:t xml:space="preserve"> </w:t>
            </w:r>
            <w:r w:rsidRPr="00542228">
              <w:rPr>
                <w:rFonts w:cs="Calibri"/>
                <w:bCs/>
                <w:sz w:val="20"/>
              </w:rPr>
              <w:t>within available resources,</w:t>
            </w:r>
          </w:p>
          <w:p w14:paraId="7E14CBE8" w14:textId="77777777" w:rsidR="00D0243F" w:rsidRPr="00542228"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 xml:space="preserve">1 </w:t>
            </w:r>
            <w:r>
              <w:rPr>
                <w:rFonts w:cs="Calibri"/>
                <w:bCs/>
                <w:sz w:val="20"/>
              </w:rPr>
              <w:tab/>
            </w:r>
            <w:r w:rsidRPr="00542228">
              <w:rPr>
                <w:rFonts w:cs="Calibri"/>
                <w:bCs/>
                <w:sz w:val="20"/>
              </w:rPr>
              <w:t>to organize workshops, preferably back-to-back with meetings of regional groups of ITU-T study groups or other ITU regional events, and develop programmes on awareness campaigns on the benefits for operators, service providers, industries and other Sector Members from developing countries to participate in ITU-T activities aimed at in particular:</w:t>
            </w:r>
          </w:p>
          <w:p w14:paraId="7EDF82F5" w14:textId="77777777" w:rsidR="00D0243F" w:rsidRPr="00542228"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542228">
              <w:rPr>
                <w:rFonts w:cs="Calibri"/>
                <w:bCs/>
                <w:sz w:val="20"/>
              </w:rPr>
              <w:t>i</w:t>
            </w:r>
            <w:proofErr w:type="spellEnd"/>
            <w:r w:rsidRPr="00542228">
              <w:rPr>
                <w:rFonts w:cs="Calibri"/>
                <w:bCs/>
                <w:sz w:val="20"/>
              </w:rPr>
              <w:t>) enhancing the relevance of ITU-T and the importance of their participation in standardization activities;</w:t>
            </w:r>
          </w:p>
          <w:p w14:paraId="5FAFDE9F" w14:textId="77777777" w:rsidR="00D0243F" w:rsidRPr="00542228"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ii) identifying their standardization priorities, needs and concerns with respect to, in particular, telecommunication/ICT trends;</w:t>
            </w:r>
          </w:p>
          <w:p w14:paraId="78FC7012"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Cs/>
                <w:sz w:val="20"/>
              </w:rPr>
              <w:t xml:space="preserve">2 </w:t>
            </w:r>
            <w:r>
              <w:rPr>
                <w:rFonts w:cs="Calibri"/>
                <w:bCs/>
                <w:sz w:val="20"/>
              </w:rPr>
              <w:tab/>
            </w:r>
            <w:r w:rsidRPr="00542228">
              <w:rPr>
                <w:rFonts w:cs="Calibri"/>
                <w:bCs/>
                <w:sz w:val="20"/>
              </w:rPr>
              <w:t>to develop relevant metrics to measure the participation of Sector Members from developing countries in ITU-T activities,</w:t>
            </w:r>
          </w:p>
        </w:tc>
      </w:tr>
      <w:tr w:rsidR="00D0243F" w:rsidRPr="00805FF4" w14:paraId="54396E1E"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161164" w14:textId="77777777" w:rsidR="00D0243F" w:rsidRPr="00805FF4" w:rsidRDefault="00D0243F" w:rsidP="00E66E06">
            <w:pPr>
              <w:pStyle w:val="CEONormal"/>
              <w:spacing w:before="60" w:after="60"/>
              <w:rPr>
                <w:rFonts w:asciiTheme="minorHAnsi" w:hAnsiTheme="minorHAnsi"/>
                <w:sz w:val="20"/>
                <w:szCs w:val="20"/>
              </w:rPr>
            </w:pPr>
            <w:r w:rsidRPr="00805FF4">
              <w:rPr>
                <w:rFonts w:asciiTheme="minorHAnsi" w:hAnsiTheme="minorHAnsi"/>
                <w:sz w:val="20"/>
                <w:szCs w:val="20"/>
              </w:rPr>
              <w:t>RESOLUTION 76</w:t>
            </w:r>
          </w:p>
          <w:p w14:paraId="59A5FA66" w14:textId="77777777" w:rsidR="00D0243F" w:rsidRPr="00805FF4" w:rsidRDefault="00D0243F" w:rsidP="00E66E06">
            <w:pPr>
              <w:pStyle w:val="CEONormal"/>
              <w:spacing w:before="60" w:after="60"/>
              <w:rPr>
                <w:rFonts w:asciiTheme="minorHAnsi" w:hAnsiTheme="minorHAnsi" w:cs="Calibri"/>
                <w:sz w:val="20"/>
                <w:szCs w:val="20"/>
              </w:rPr>
            </w:pPr>
            <w:r w:rsidRPr="003F4D87">
              <w:rPr>
                <w:rFonts w:asciiTheme="minorHAnsi" w:hAnsiTheme="minorHAnsi"/>
                <w:b w:val="0"/>
                <w:bCs w:val="0"/>
                <w:sz w:val="20"/>
                <w:szCs w:val="20"/>
              </w:rPr>
              <w:t>Conformance and interoperability testing, assistance to developing countries, and a possible future ITU Mark programme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84096C"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9F0B0D">
              <w:rPr>
                <w:rFonts w:cs="Calibri"/>
                <w:b/>
                <w:sz w:val="20"/>
              </w:rPr>
              <w:t xml:space="preserve">invites </w:t>
            </w:r>
          </w:p>
          <w:p w14:paraId="176A636E" w14:textId="77777777" w:rsidR="00D0243F" w:rsidRPr="009F0B0D"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Member States and Sector Members of the ITU Telecommunication Development Sector</w:t>
            </w:r>
          </w:p>
          <w:p w14:paraId="67753BB7" w14:textId="77777777" w:rsidR="00D0243F" w:rsidRPr="009F0B0D"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1 </w:t>
            </w:r>
            <w:r>
              <w:rPr>
                <w:rFonts w:cs="Calibri"/>
                <w:bCs/>
                <w:sz w:val="20"/>
              </w:rPr>
              <w:tab/>
            </w:r>
            <w:r w:rsidRPr="009F0B0D">
              <w:rPr>
                <w:rFonts w:cs="Calibri"/>
                <w:bCs/>
                <w:sz w:val="20"/>
              </w:rPr>
              <w:t>to evaluate and assess the risks and various costs resulting from the lack of C&amp;I tests, particularly in developing countries, and share necessary information and recommendations to avoid losses, based on best practices;</w:t>
            </w:r>
          </w:p>
          <w:p w14:paraId="1780C3A2" w14:textId="77777777" w:rsidR="00D0243F" w:rsidRPr="009F0B0D"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2 </w:t>
            </w:r>
            <w:r>
              <w:rPr>
                <w:rFonts w:cs="Calibri"/>
                <w:bCs/>
                <w:sz w:val="20"/>
              </w:rPr>
              <w:tab/>
            </w:r>
            <w:r w:rsidRPr="009F0B0D">
              <w:rPr>
                <w:rFonts w:cs="Calibri"/>
                <w:bCs/>
                <w:sz w:val="20"/>
              </w:rPr>
              <w:t>to collaborate at regional level (especially developing countries) on the establishment of C&amp;I test facilities through having different testing facilities located in different countries and making use of mutual recognition agreements and arrangements;</w:t>
            </w:r>
          </w:p>
          <w:p w14:paraId="41DDE3C3" w14:textId="77777777" w:rsidR="00D0243F" w:rsidRPr="009F0B0D"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3 </w:t>
            </w:r>
            <w:r>
              <w:rPr>
                <w:rFonts w:cs="Calibri"/>
                <w:bCs/>
                <w:sz w:val="20"/>
              </w:rPr>
              <w:tab/>
            </w:r>
            <w:r w:rsidRPr="009F0B0D">
              <w:rPr>
                <w:rFonts w:cs="Calibri"/>
                <w:bCs/>
                <w:sz w:val="20"/>
              </w:rPr>
              <w:t>to develop technical skills and institutional capacity for C&amp;I testing;</w:t>
            </w:r>
          </w:p>
          <w:p w14:paraId="7877755F" w14:textId="77777777" w:rsidR="00D0243F" w:rsidRPr="009F0B0D"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4 </w:t>
            </w:r>
            <w:r>
              <w:rPr>
                <w:rFonts w:cs="Calibri"/>
                <w:bCs/>
                <w:sz w:val="20"/>
              </w:rPr>
              <w:tab/>
            </w:r>
            <w:r w:rsidRPr="009F0B0D">
              <w:rPr>
                <w:rFonts w:cs="Calibri"/>
                <w:bCs/>
                <w:sz w:val="20"/>
              </w:rPr>
              <w:t>to strengthen initiatives for technical training and institutional capacity building in developing countries by supporting testing centres and conducting hands-on training and workshops on C&amp;I testing,</w:t>
            </w:r>
          </w:p>
          <w:p w14:paraId="19DEACEF"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5873E7">
              <w:rPr>
                <w:rFonts w:cs="Calibri"/>
                <w:b/>
                <w:sz w:val="20"/>
              </w:rPr>
              <w:t xml:space="preserve">instructs </w:t>
            </w:r>
          </w:p>
          <w:p w14:paraId="0E9D0433" w14:textId="77777777" w:rsidR="00D0243F" w:rsidRPr="005873E7"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the Director of the Telecommunication Standardization Bureau</w:t>
            </w:r>
          </w:p>
          <w:p w14:paraId="38B6D4EC" w14:textId="77777777" w:rsidR="00D0243F" w:rsidRPr="005873E7"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1 </w:t>
            </w:r>
            <w:r>
              <w:rPr>
                <w:rFonts w:cs="Calibri"/>
                <w:bCs/>
                <w:sz w:val="20"/>
              </w:rPr>
              <w:tab/>
            </w:r>
            <w:r w:rsidRPr="005873E7">
              <w:rPr>
                <w:rFonts w:cs="Calibri"/>
                <w:bCs/>
                <w:sz w:val="20"/>
              </w:rPr>
              <w:t>in collaboration with the Director of the Telecommunication Development Bureau (BDT), to continue consultations in all regions, taking into consideration the needs of each region, on implementation of the action plan endorsed by the ITU Council;</w:t>
            </w:r>
          </w:p>
          <w:p w14:paraId="591324A5" w14:textId="77777777" w:rsidR="00D0243F" w:rsidRPr="005873E7"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2 </w:t>
            </w:r>
            <w:r>
              <w:rPr>
                <w:rFonts w:cs="Calibri"/>
                <w:bCs/>
                <w:sz w:val="20"/>
              </w:rPr>
              <w:tab/>
            </w:r>
            <w:r w:rsidRPr="005873E7">
              <w:rPr>
                <w:rFonts w:cs="Calibri"/>
                <w:bCs/>
                <w:sz w:val="20"/>
              </w:rPr>
              <w:t>to support the Director of BDT in human capacity building and assistance in order to establish testing facilities in developing countries;</w:t>
            </w:r>
          </w:p>
          <w:p w14:paraId="4E71AFA6" w14:textId="77777777" w:rsidR="00D0243F" w:rsidRPr="005873E7"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3 </w:t>
            </w:r>
            <w:r>
              <w:rPr>
                <w:rFonts w:cs="Calibri"/>
                <w:bCs/>
                <w:sz w:val="20"/>
              </w:rPr>
              <w:tab/>
            </w:r>
            <w:r w:rsidRPr="005873E7">
              <w:rPr>
                <w:rFonts w:cs="Calibri"/>
                <w:bCs/>
                <w:sz w:val="20"/>
              </w:rPr>
              <w:t>to implement the action plan agreed by the Council at its 2012 session and revised at its 2014 session, in cooperation with the Director of BDT;</w:t>
            </w:r>
          </w:p>
          <w:p w14:paraId="7A6C47BF" w14:textId="77777777" w:rsidR="00D0243F" w:rsidRPr="005873E7"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5</w:t>
            </w:r>
            <w:r>
              <w:rPr>
                <w:rFonts w:cs="Calibri"/>
                <w:bCs/>
                <w:sz w:val="20"/>
              </w:rPr>
              <w:tab/>
            </w:r>
            <w:r w:rsidRPr="005873E7">
              <w:rPr>
                <w:rFonts w:cs="Calibri"/>
                <w:bCs/>
                <w:sz w:val="20"/>
              </w:rPr>
              <w:t xml:space="preserve"> in collaboration with the Director of the BDT, and in consultation with each region, to continue implementing the ITU C&amp;I programme, including the testing laboratory database and informative pilot conformity product database, identifying product conformance and origin;</w:t>
            </w:r>
          </w:p>
          <w:p w14:paraId="27095F6D"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51312">
              <w:rPr>
                <w:rFonts w:cs="Calibri"/>
                <w:b/>
                <w:sz w:val="20"/>
              </w:rPr>
              <w:t xml:space="preserve">invites </w:t>
            </w:r>
          </w:p>
          <w:p w14:paraId="2D9EA7F3" w14:textId="77777777" w:rsidR="00D0243F" w:rsidRPr="00E51312"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the Director of the Telecommunication Standardization Bureau in collaboration with the Director of the Telecommunication Development Bureau</w:t>
            </w:r>
          </w:p>
          <w:p w14:paraId="3A9DD677" w14:textId="77777777" w:rsidR="00D0243F" w:rsidRPr="00E51312"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to collaborate with Member States and Sector Members in order to assist in the development and deployment of virtual laboratories to carry out remote testing in developing countries,</w:t>
            </w:r>
          </w:p>
        </w:tc>
      </w:tr>
      <w:tr w:rsidR="00D0243F" w:rsidRPr="00805FF4" w14:paraId="7A4F6E4D"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425B67" w14:textId="77777777" w:rsidR="00D0243F" w:rsidRPr="00805FF4" w:rsidRDefault="00D0243F" w:rsidP="00E66E06">
            <w:pPr>
              <w:pStyle w:val="CEONormal"/>
              <w:spacing w:before="60" w:after="60"/>
              <w:rPr>
                <w:rFonts w:asciiTheme="minorHAnsi" w:hAnsiTheme="minorHAnsi"/>
                <w:sz w:val="20"/>
                <w:szCs w:val="20"/>
              </w:rPr>
            </w:pPr>
            <w:r w:rsidRPr="00805FF4">
              <w:rPr>
                <w:rFonts w:asciiTheme="minorHAnsi" w:hAnsiTheme="minorHAnsi"/>
                <w:sz w:val="20"/>
                <w:szCs w:val="20"/>
              </w:rPr>
              <w:t>RESOLUTION 78</w:t>
            </w:r>
          </w:p>
          <w:p w14:paraId="1EB9447A" w14:textId="77777777" w:rsidR="00D0243F" w:rsidRPr="00805FF4" w:rsidRDefault="00D0243F" w:rsidP="00E66E06">
            <w:pPr>
              <w:pStyle w:val="CEONormal"/>
              <w:spacing w:before="60" w:after="60"/>
              <w:rPr>
                <w:rFonts w:asciiTheme="minorHAnsi" w:hAnsiTheme="minorHAnsi" w:cs="Calibri"/>
                <w:b w:val="0"/>
                <w:bCs w:val="0"/>
                <w:sz w:val="20"/>
                <w:szCs w:val="20"/>
              </w:rPr>
            </w:pPr>
            <w:r w:rsidRPr="00CA6114">
              <w:rPr>
                <w:rFonts w:asciiTheme="minorHAnsi" w:hAnsiTheme="minorHAnsi" w:cs="Calibri"/>
                <w:b w:val="0"/>
                <w:bCs w:val="0"/>
                <w:sz w:val="20"/>
                <w:szCs w:val="20"/>
              </w:rPr>
              <w:t>Information and communication technology applications and standards for improved access to e-health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84CFCA"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36245F8F"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091182">
              <w:rPr>
                <w:rFonts w:cs="Calibri"/>
                <w:sz w:val="20"/>
              </w:rPr>
              <w:t>to instruct the Director of the Telecommunication Standardization Bureau, in collaboration with the Director of the Telecommunication Development Bureau</w:t>
            </w:r>
            <w:r>
              <w:rPr>
                <w:rFonts w:cs="Calibri"/>
                <w:sz w:val="20"/>
              </w:rPr>
              <w:t xml:space="preserve"> </w:t>
            </w:r>
            <w:r w:rsidRPr="00182191">
              <w:rPr>
                <w:rFonts w:cs="Calibri"/>
                <w:sz w:val="20"/>
              </w:rPr>
              <w:t>and the Director of the Radiocommunication Bureau</w:t>
            </w:r>
          </w:p>
          <w:p w14:paraId="2C72CF5C" w14:textId="77777777" w:rsidR="00D0243F" w:rsidRPr="00337851"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1 </w:t>
            </w:r>
            <w:r>
              <w:rPr>
                <w:rFonts w:cs="Calibri"/>
                <w:sz w:val="20"/>
              </w:rPr>
              <w:tab/>
            </w:r>
            <w:r w:rsidRPr="00337851">
              <w:rPr>
                <w:rFonts w:cs="Calibri"/>
                <w:sz w:val="20"/>
              </w:rPr>
              <w:t>to consider with priority the enhancement of telecommunication/ICT initiatives in e-health and to coordinate their related standardization activities;</w:t>
            </w:r>
          </w:p>
          <w:p w14:paraId="4B89D12A" w14:textId="77777777" w:rsidR="00D0243F" w:rsidRPr="00337851"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2 </w:t>
            </w:r>
            <w:r>
              <w:rPr>
                <w:rFonts w:cs="Calibri"/>
                <w:sz w:val="20"/>
              </w:rPr>
              <w:tab/>
            </w:r>
            <w:r w:rsidRPr="00337851">
              <w:rPr>
                <w:rFonts w:cs="Calibri"/>
                <w:sz w:val="20"/>
              </w:rPr>
              <w:t>to continue and further develop ITU activities on telecommunication/ICT applications for e-health in order to contribute to the wider global efforts concerning e-health;</w:t>
            </w:r>
          </w:p>
          <w:p w14:paraId="012A22CF" w14:textId="77777777" w:rsidR="00D0243F" w:rsidRPr="00337851"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3 </w:t>
            </w:r>
            <w:r>
              <w:rPr>
                <w:rFonts w:cs="Calibri"/>
                <w:sz w:val="20"/>
              </w:rPr>
              <w:tab/>
            </w:r>
            <w:r w:rsidRPr="00337851">
              <w:rPr>
                <w:rFonts w:cs="Calibri"/>
                <w:sz w:val="20"/>
              </w:rPr>
              <w:t>to work collaboratively with WHO, WIPO, academia and other relevant organizations on activities related to e-health in general and to this resolution in particular;</w:t>
            </w:r>
          </w:p>
          <w:p w14:paraId="48861DEA" w14:textId="77777777" w:rsidR="00D0243F" w:rsidRPr="00337851"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4 </w:t>
            </w:r>
            <w:r>
              <w:rPr>
                <w:rFonts w:cs="Calibri"/>
                <w:sz w:val="20"/>
              </w:rPr>
              <w:tab/>
            </w:r>
            <w:r w:rsidRPr="00337851">
              <w:rPr>
                <w:rFonts w:cs="Calibri"/>
                <w:sz w:val="20"/>
              </w:rPr>
              <w:t>to organize seminars and workshops on e-health for developing countries and gauge the needs of the developing countries, which are the countries with the greatest need for e-health applications;</w:t>
            </w:r>
          </w:p>
          <w:p w14:paraId="5C36751F" w14:textId="77777777" w:rsidR="00D0243F" w:rsidRPr="00091182"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5 </w:t>
            </w:r>
            <w:r>
              <w:rPr>
                <w:rFonts w:cs="Calibri"/>
                <w:sz w:val="20"/>
              </w:rPr>
              <w:tab/>
            </w:r>
            <w:r w:rsidRPr="00337851">
              <w:rPr>
                <w:rFonts w:cs="Calibri"/>
                <w:sz w:val="20"/>
              </w:rPr>
              <w:t>to encourage the standardization work based on the deliverables of FG-AI4H.</w:t>
            </w:r>
          </w:p>
          <w:p w14:paraId="303806C5" w14:textId="77777777" w:rsidR="00D0243F" w:rsidRPr="0042717D"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42717D">
              <w:rPr>
                <w:b/>
                <w:bCs/>
                <w:sz w:val="20"/>
              </w:rPr>
              <w:t xml:space="preserve">instructs </w:t>
            </w:r>
          </w:p>
          <w:p w14:paraId="70688B9B" w14:textId="77777777" w:rsidR="00D0243F" w:rsidRPr="0042717D"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sz w:val="20"/>
              </w:rPr>
            </w:pPr>
            <w:r w:rsidRPr="0042717D">
              <w:rPr>
                <w:sz w:val="20"/>
              </w:rPr>
              <w:t>the Director of the Telecommunication Standardization Bureau to collaboratively work with the Director of the Telecommunication Development Bureau</w:t>
            </w:r>
          </w:p>
          <w:p w14:paraId="75C0A38E"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2717D">
              <w:rPr>
                <w:sz w:val="20"/>
              </w:rPr>
              <w:t>to support awareness-raising campaigns, developed by the Telecommunication Development Bureau upon request, that sensitize populations to the use of e-health applications such as telemedicine in developing countries, within available resources,</w:t>
            </w:r>
          </w:p>
        </w:tc>
      </w:tr>
      <w:tr w:rsidR="00D0243F" w:rsidRPr="00805FF4" w14:paraId="4FF09625"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477995" w14:textId="77777777" w:rsidR="00D0243F"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79</w:t>
            </w:r>
          </w:p>
          <w:p w14:paraId="55101B79" w14:textId="77777777" w:rsidR="00D0243F" w:rsidRPr="00DC7A81" w:rsidRDefault="00D0243F" w:rsidP="00E66E06">
            <w:pPr>
              <w:pStyle w:val="CEONormal"/>
              <w:spacing w:before="60" w:after="60"/>
              <w:rPr>
                <w:rFonts w:asciiTheme="minorHAnsi" w:hAnsiTheme="minorHAnsi" w:cs="Calibri"/>
                <w:b w:val="0"/>
                <w:bCs w:val="0"/>
                <w:sz w:val="20"/>
                <w:szCs w:val="20"/>
              </w:rPr>
            </w:pPr>
            <w:r w:rsidRPr="00DC7A81">
              <w:rPr>
                <w:rFonts w:asciiTheme="minorHAnsi" w:hAnsiTheme="minorHAnsi" w:cs="Calibri"/>
                <w:b w:val="0"/>
                <w:bCs w:val="0"/>
                <w:sz w:val="20"/>
                <w:szCs w:val="2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FAE2B2" w14:textId="77777777" w:rsidR="00D0243F"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b/>
                <w:bCs/>
                <w:sz w:val="20"/>
                <w:szCs w:val="20"/>
              </w:rPr>
              <w:t xml:space="preserve">resolves to instruct </w:t>
            </w:r>
          </w:p>
          <w:p w14:paraId="64D7BC86" w14:textId="77777777" w:rsidR="00D0243F" w:rsidRPr="00802297"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the Director of the Telecommunication Standardization Bureau, in collaboration with the Director of the Telecommunication Development Bureau</w:t>
            </w:r>
          </w:p>
          <w:p w14:paraId="4368562B" w14:textId="77777777" w:rsidR="00D0243F" w:rsidRPr="00802297"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1 </w:t>
            </w:r>
            <w:r>
              <w:rPr>
                <w:rFonts w:asciiTheme="minorHAnsi" w:hAnsiTheme="minorHAnsi" w:cs="Calibri"/>
                <w:sz w:val="20"/>
                <w:szCs w:val="20"/>
              </w:rPr>
              <w:tab/>
            </w:r>
            <w:r w:rsidRPr="00802297">
              <w:rPr>
                <w:rFonts w:asciiTheme="minorHAnsi" w:hAnsiTheme="minorHAnsi" w:cs="Calibri"/>
                <w:sz w:val="20"/>
                <w:szCs w:val="20"/>
              </w:rPr>
              <w:t>to pursue and strengthen the development of ITU activities in regard to handling and controlling e-waste from telecommunication and information technology equipment and methods of treating it, in particular in developing countries;</w:t>
            </w:r>
          </w:p>
          <w:p w14:paraId="14BE8245" w14:textId="77777777" w:rsidR="00D0243F" w:rsidRPr="00802297"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2</w:t>
            </w:r>
            <w:r>
              <w:rPr>
                <w:rFonts w:asciiTheme="minorHAnsi" w:hAnsiTheme="minorHAnsi" w:cs="Calibri"/>
                <w:sz w:val="20"/>
                <w:szCs w:val="20"/>
              </w:rPr>
              <w:tab/>
            </w:r>
            <w:r w:rsidRPr="00802297">
              <w:rPr>
                <w:rFonts w:asciiTheme="minorHAnsi" w:hAnsiTheme="minorHAnsi" w:cs="Calibri"/>
                <w:sz w:val="20"/>
                <w:szCs w:val="20"/>
              </w:rPr>
              <w:t xml:space="preserve"> to assist developing countries to undertake proper assessment of the magnitude/quantity of e-waste generated in a harmonized manner;</w:t>
            </w:r>
          </w:p>
          <w:p w14:paraId="6B9851F4" w14:textId="77777777" w:rsidR="00D0243F" w:rsidRPr="00802297"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3 </w:t>
            </w:r>
            <w:r>
              <w:rPr>
                <w:rFonts w:asciiTheme="minorHAnsi" w:hAnsiTheme="minorHAnsi" w:cs="Calibri"/>
                <w:sz w:val="20"/>
                <w:szCs w:val="20"/>
              </w:rPr>
              <w:tab/>
            </w:r>
            <w:r w:rsidRPr="00802297">
              <w:rPr>
                <w:rFonts w:asciiTheme="minorHAnsi" w:hAnsiTheme="minorHAnsi" w:cs="Calibri"/>
                <w:sz w:val="20"/>
                <w:szCs w:val="20"/>
              </w:rPr>
              <w:t>to address the handling and controlling of e-waste and to contribute to global efforts designed to deal with the increasing hazards which arise therefrom;</w:t>
            </w:r>
          </w:p>
          <w:p w14:paraId="4D8CE305" w14:textId="77777777" w:rsidR="00D0243F" w:rsidRPr="00802297"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4 </w:t>
            </w:r>
            <w:r>
              <w:rPr>
                <w:rFonts w:asciiTheme="minorHAnsi" w:hAnsiTheme="minorHAnsi" w:cs="Calibri"/>
                <w:sz w:val="20"/>
                <w:szCs w:val="20"/>
              </w:rPr>
              <w:tab/>
            </w:r>
            <w:r w:rsidRPr="00802297">
              <w:rPr>
                <w:rFonts w:asciiTheme="minorHAnsi" w:hAnsiTheme="minorHAnsi" w:cs="Calibri"/>
                <w:sz w:val="20"/>
                <w:szCs w:val="20"/>
              </w:rPr>
              <w:t>to work in collaboration with the relevant stakeholders, including academia and relevant organizations, and to coordinate activities relating to e-waste among the ITU study groups, focus groups and other relevant groups;</w:t>
            </w:r>
          </w:p>
          <w:p w14:paraId="30EE0784" w14:textId="77777777" w:rsidR="00D0243F" w:rsidRPr="00802297"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5 </w:t>
            </w:r>
            <w:r>
              <w:rPr>
                <w:rFonts w:asciiTheme="minorHAnsi" w:hAnsiTheme="minorHAnsi" w:cs="Calibri"/>
                <w:sz w:val="20"/>
                <w:szCs w:val="20"/>
              </w:rPr>
              <w:tab/>
            </w:r>
            <w:r w:rsidRPr="00802297">
              <w:rPr>
                <w:rFonts w:asciiTheme="minorHAnsi" w:hAnsiTheme="minorHAnsi" w:cs="Calibri"/>
                <w:sz w:val="20"/>
                <w:szCs w:val="20"/>
              </w:rPr>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36A31E7B" w14:textId="77777777" w:rsidR="00D0243F" w:rsidRPr="00802297"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6 </w:t>
            </w:r>
            <w:r>
              <w:rPr>
                <w:rFonts w:asciiTheme="minorHAnsi" w:hAnsiTheme="minorHAnsi" w:cs="Calibri"/>
                <w:sz w:val="20"/>
                <w:szCs w:val="20"/>
              </w:rPr>
              <w:tab/>
            </w:r>
            <w:r w:rsidRPr="00802297">
              <w:rPr>
                <w:rFonts w:asciiTheme="minorHAnsi" w:hAnsiTheme="minorHAnsi" w:cs="Calibri"/>
                <w:sz w:val="20"/>
                <w:szCs w:val="20"/>
              </w:rPr>
              <w:t>to assist developing countries and facilitate their work in the implementation of circular-economy principles;</w:t>
            </w:r>
          </w:p>
          <w:p w14:paraId="2AD5321F" w14:textId="77777777" w:rsidR="00D0243F" w:rsidRPr="00805FF4"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sz w:val="20"/>
                <w:szCs w:val="20"/>
              </w:rPr>
              <w:t xml:space="preserve">7 </w:t>
            </w:r>
            <w:r>
              <w:rPr>
                <w:rFonts w:asciiTheme="minorHAnsi" w:hAnsiTheme="minorHAnsi" w:cs="Calibri"/>
                <w:sz w:val="20"/>
                <w:szCs w:val="20"/>
              </w:rPr>
              <w:tab/>
            </w:r>
            <w:r w:rsidRPr="00802297">
              <w:rPr>
                <w:rFonts w:asciiTheme="minorHAnsi" w:hAnsiTheme="minorHAnsi" w:cs="Calibri"/>
                <w:sz w:val="20"/>
                <w:szCs w:val="20"/>
              </w:rPr>
              <w:t>to continue promoting e-waste data collection and global databases on e-waste, in collaboration with relevant stakeholders, in order to support effective formulation of regional and national policies and strategies,</w:t>
            </w:r>
          </w:p>
        </w:tc>
      </w:tr>
      <w:tr w:rsidR="00D0243F" w:rsidRPr="00805FF4" w14:paraId="17F65A9E"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BCDCD6"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83</w:t>
            </w:r>
          </w:p>
          <w:p w14:paraId="7770DDF2"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FF95CF" w14:textId="77777777" w:rsidR="00D0243F" w:rsidRPr="00805FF4" w:rsidRDefault="00D0243F" w:rsidP="00E66E0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4B22FAA5"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D0243F" w:rsidRPr="00805FF4" w14:paraId="41634CFC"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FF2E99"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84</w:t>
            </w:r>
          </w:p>
          <w:p w14:paraId="38AB7D32"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EECA4C"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54D384FF"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30AAB">
              <w:rPr>
                <w:rFonts w:cs="Calibri"/>
                <w:sz w:val="20"/>
              </w:rPr>
              <w:t xml:space="preserve">2 </w:t>
            </w:r>
            <w:r>
              <w:rPr>
                <w:rFonts w:cs="Calibri"/>
                <w:sz w:val="20"/>
              </w:rPr>
              <w:tab/>
            </w:r>
            <w:r w:rsidRPr="00130AAB">
              <w:rPr>
                <w:rFonts w:cs="Calibri"/>
                <w:sz w:val="20"/>
              </w:rPr>
              <w:t xml:space="preserve">that ITU-T, through its study groups, continue close collaboration with the ITU Telecommunication Development Sector (ITU-D) and its study groups on issues associated with protection of telecommunication/ICT service users/consumers, as appropriate; </w:t>
            </w:r>
          </w:p>
          <w:p w14:paraId="51A21E1A"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5369A1C3"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b/>
                <w:sz w:val="20"/>
              </w:rPr>
              <w:t>instructs</w:t>
            </w:r>
          </w:p>
          <w:p w14:paraId="166F9946"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r w:rsidRPr="00291BCA">
              <w:rPr>
                <w:rFonts w:cs="Calibri"/>
                <w:sz w:val="20"/>
              </w:rPr>
              <w:t>, in collaboration with the Director of the Telecommunication Development Bureau</w:t>
            </w:r>
          </w:p>
          <w:p w14:paraId="5257C754" w14:textId="77777777" w:rsidR="00D0243F" w:rsidRPr="00B20297"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B20297">
              <w:rPr>
                <w:rFonts w:asciiTheme="minorHAnsi" w:hAnsiTheme="minorHAnsi" w:cs="Calibri"/>
                <w:sz w:val="20"/>
                <w:szCs w:val="20"/>
              </w:rPr>
              <w:t xml:space="preserve">1 </w:t>
            </w:r>
            <w:r>
              <w:rPr>
                <w:rFonts w:asciiTheme="minorHAnsi" w:hAnsiTheme="minorHAnsi" w:cs="Calibri"/>
                <w:sz w:val="20"/>
                <w:szCs w:val="20"/>
              </w:rPr>
              <w:tab/>
            </w:r>
            <w:r w:rsidRPr="00B20297">
              <w:rPr>
                <w:rFonts w:asciiTheme="minorHAnsi" w:hAnsiTheme="minorHAnsi" w:cs="Calibri"/>
                <w:sz w:val="20"/>
                <w:szCs w:val="20"/>
              </w:rPr>
              <w:t>to make efforts to implement Resolution 196 (Rev. Bucharest, 2022);</w:t>
            </w:r>
          </w:p>
          <w:p w14:paraId="0C86C480" w14:textId="77777777" w:rsidR="00D0243F" w:rsidRPr="00B20297"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4B35A13E">
              <w:rPr>
                <w:rFonts w:asciiTheme="minorHAnsi" w:hAnsiTheme="minorHAnsi" w:cs="Calibri"/>
                <w:sz w:val="20"/>
                <w:szCs w:val="20"/>
              </w:rPr>
              <w:t>2</w:t>
            </w:r>
            <w:r>
              <w:tab/>
            </w:r>
            <w:r w:rsidRPr="4B35A13E">
              <w:rPr>
                <w:rFonts w:asciiTheme="minorHAnsi" w:hAnsiTheme="minorHAnsi" w:cs="Calibr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users/consumers;</w:t>
            </w:r>
          </w:p>
          <w:p w14:paraId="292D13F4" w14:textId="77777777" w:rsidR="00D0243F" w:rsidRPr="00805FF4" w:rsidRDefault="00D0243F" w:rsidP="00E66E0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B20297">
              <w:rPr>
                <w:rFonts w:asciiTheme="minorHAnsi" w:hAnsiTheme="minorHAnsi" w:cs="Calibri"/>
                <w:sz w:val="20"/>
                <w:szCs w:val="20"/>
              </w:rPr>
              <w:t>3</w:t>
            </w:r>
            <w:r>
              <w:rPr>
                <w:rFonts w:asciiTheme="minorHAnsi" w:hAnsiTheme="minorHAnsi" w:cs="Calibri"/>
                <w:sz w:val="20"/>
                <w:szCs w:val="20"/>
              </w:rPr>
              <w:tab/>
            </w:r>
            <w:r w:rsidRPr="00B20297">
              <w:rPr>
                <w:rFonts w:asciiTheme="minorHAnsi" w:hAnsiTheme="minorHAnsi" w:cs="Calibri"/>
                <w:sz w:val="20"/>
                <w:szCs w:val="20"/>
              </w:rPr>
              <w:t xml:space="preserve"> to contribute to the relevant initiatives on the protection of users/consumers, provided that this does not overlap with or duplicate activities of the other Sectors,</w:t>
            </w:r>
          </w:p>
        </w:tc>
      </w:tr>
      <w:tr w:rsidR="00D0243F" w:rsidRPr="00805FF4" w14:paraId="1A49A31A"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8D351E"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86</w:t>
            </w:r>
          </w:p>
          <w:p w14:paraId="593B8402"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441ED6"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5F5FD6F9"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7AC7097C"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establish mechanisms for collaboration and cooperation between ITU-T study groups and the Smart Africa office in the development of standards;</w:t>
            </w:r>
          </w:p>
          <w:p w14:paraId="40C3E3FD"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supporting the Smart Africa Manifesto in accordance with Resolution 195 (Busan, 2014);</w:t>
            </w:r>
          </w:p>
          <w:p w14:paraId="360E4A2F"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provide assistance to Smart Africa and Africa regional groups from within the assigned budget in order to support pilot projects aimed at speeding up the implementation of ITU standards and Recommendations;</w:t>
            </w:r>
          </w:p>
          <w:p w14:paraId="5D40CEC7"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strengthen training and guide Smart Africa member states, partner organizations and industries in their adoption of ITU-T standards</w:t>
            </w:r>
          </w:p>
        </w:tc>
      </w:tr>
      <w:tr w:rsidR="00D0243F" w:rsidRPr="00805FF4" w14:paraId="3610A187"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02EB1F"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88</w:t>
            </w:r>
          </w:p>
          <w:p w14:paraId="0902D377"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772F7B"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136564D1"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33D96551" w14:textId="77777777" w:rsidR="00D0243F" w:rsidRPr="001D1623"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D0243F" w:rsidRPr="00805FF4" w14:paraId="7FB7C2CC" w14:textId="77777777" w:rsidTr="00E66E06">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118E5C"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378F42DA"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048076" w14:textId="77777777" w:rsidR="00D0243F" w:rsidRPr="00805FF4" w:rsidRDefault="00D0243F" w:rsidP="00E66E06">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5DC0EB7C" w14:textId="77777777" w:rsidR="00D0243F" w:rsidRPr="00805FF4" w:rsidRDefault="00D0243F" w:rsidP="00E66E0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4D16CBDD" w14:textId="77777777" w:rsidR="00D0243F" w:rsidRPr="00805FF4" w:rsidRDefault="00D0243F" w:rsidP="00E66E0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report on progress on the implementation of this resolution annually to the Council and to the world telecommunication standardization assembly;</w:t>
            </w:r>
          </w:p>
          <w:p w14:paraId="7E97B2A0" w14:textId="77777777" w:rsidR="00D0243F" w:rsidRPr="00805FF4" w:rsidRDefault="00D0243F" w:rsidP="00E66E0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support the development of reports and best practices on digital financial inclusion, taking into consideration relevant studies, where clearly within the mandate of the Union and not duplicative of work other SDOs and institutions are responsible;</w:t>
            </w:r>
          </w:p>
          <w:p w14:paraId="1CACA00F" w14:textId="77777777" w:rsidR="00D0243F" w:rsidRPr="00805FF4" w:rsidRDefault="00D0243F" w:rsidP="00E66E0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258523B6"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organize workshops and seminars for the ITU membership in collaboration with other relevant SDOs</w:t>
            </w:r>
            <w:r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in order to raise awareness and identify regulators’ particular needs and challenges in enhancing financial inclusion</w:t>
            </w:r>
            <w:r>
              <w:rPr>
                <w:rFonts w:cs="Calibri"/>
                <w:sz w:val="20"/>
              </w:rPr>
              <w:t xml:space="preserve"> </w:t>
            </w:r>
            <w:r w:rsidRPr="00260CA0">
              <w:rPr>
                <w:rFonts w:cs="Calibri"/>
                <w:sz w:val="20"/>
              </w:rPr>
              <w:t>and in respect</w:t>
            </w:r>
            <w:r>
              <w:rPr>
                <w:rFonts w:cs="Calibri"/>
                <w:sz w:val="20"/>
              </w:rPr>
              <w:t xml:space="preserve"> </w:t>
            </w:r>
            <w:r w:rsidRPr="00260CA0">
              <w:rPr>
                <w:rFonts w:cs="Calibri"/>
                <w:sz w:val="20"/>
              </w:rPr>
              <w:t>of applications of emerging technologies in digital finance, and to share lessons learned from different regions</w:t>
            </w:r>
            <w:r>
              <w:rPr>
                <w:rFonts w:cs="Calibri"/>
                <w:sz w:val="20"/>
              </w:rPr>
              <w:t>,</w:t>
            </w:r>
          </w:p>
        </w:tc>
      </w:tr>
      <w:tr w:rsidR="00D0243F" w:rsidRPr="00805FF4" w14:paraId="7304E34B"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47B90977"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92</w:t>
            </w:r>
          </w:p>
          <w:p w14:paraId="20ACEFBA" w14:textId="77777777" w:rsidR="00D0243F" w:rsidRPr="00805FF4" w:rsidRDefault="00D0243F" w:rsidP="00E66E06">
            <w:pPr>
              <w:pStyle w:val="CEONormal"/>
              <w:spacing w:before="60" w:after="60"/>
              <w:rPr>
                <w:rFonts w:asciiTheme="minorHAnsi" w:hAnsiTheme="minorHAnsi" w:cs="Calibri"/>
                <w:b w:val="0"/>
                <w:bCs w:val="0"/>
                <w:sz w:val="20"/>
                <w:szCs w:val="20"/>
              </w:rPr>
            </w:pPr>
            <w:r w:rsidRPr="00554E98">
              <w:rPr>
                <w:rFonts w:asciiTheme="minorHAnsi" w:hAnsiTheme="minorHAnsi" w:cs="Calibri"/>
                <w:b w:val="0"/>
                <w:bCs w:val="0"/>
                <w:sz w:val="20"/>
                <w:szCs w:val="20"/>
              </w:rPr>
              <w:t>Enhancing the standardization activities in the ITU Telecommunication Standardization Sector related to non-radio aspects of international mobile telecommunications</w:t>
            </w:r>
          </w:p>
        </w:tc>
        <w:tc>
          <w:tcPr>
            <w:tcW w:w="10092" w:type="dxa"/>
            <w:hideMark/>
          </w:tcPr>
          <w:p w14:paraId="25756FB7"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254B7B5A"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AB147C">
              <w:rPr>
                <w:rFonts w:cs="Calibri"/>
                <w:sz w:val="20"/>
              </w:rPr>
              <w:t>instructs Study Group 13 of the ITU Telecommunication Standardization Sector</w:t>
            </w:r>
          </w:p>
          <w:p w14:paraId="5BC7E431"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Pr>
                <w:rFonts w:cs="Calibri"/>
                <w:sz w:val="20"/>
              </w:rPr>
              <w:tab/>
            </w:r>
            <w:r w:rsidRPr="000F578C">
              <w:rPr>
                <w:rFonts w:cs="Calibri"/>
                <w:sz w:val="20"/>
              </w:rPr>
              <w:t>to maintain the roadmap of, and continue promoting, IMT standardization activities in ITU-T, which should include work items to progress standardization work related to the non-radio aspects of IMT systems, and share this with relevant groups of ITU-R and ITU-D and external organizations, such as through coordination work ensured by JCA-IMT2020;</w:t>
            </w:r>
          </w:p>
          <w:p w14:paraId="1E8A03FE" w14:textId="77777777" w:rsidR="00D0243F" w:rsidRPr="00174BFD"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2FC7F919" w14:textId="77777777" w:rsidR="00D0243F" w:rsidRPr="00174BFD"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25ABF50C" w14:textId="77777777" w:rsidR="00D0243F" w:rsidRPr="00174BFD"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1</w:t>
            </w:r>
            <w:r w:rsidRPr="00805FF4">
              <w:rPr>
                <w:rFonts w:cs="Calibri"/>
                <w:sz w:val="20"/>
              </w:rPr>
              <w:tab/>
            </w:r>
            <w:r w:rsidRPr="00174BFD">
              <w:rPr>
                <w:rFonts w:cs="Calibri"/>
                <w:sz w:val="20"/>
              </w:rPr>
              <w:t>to bring this resolution to the attention of the Directors of the Radiocommunication Bureau and the Telecommunication Development Bureau;</w:t>
            </w:r>
          </w:p>
          <w:p w14:paraId="50E49357" w14:textId="77777777" w:rsidR="00D0243F" w:rsidRDefault="00D0243F" w:rsidP="00E66E0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t>e</w:t>
            </w:r>
            <w:r w:rsidRPr="00174BFD">
              <w:rPr>
                <w:rFonts w:asciiTheme="minorHAnsi" w:hAnsiTheme="minorHAnsi" w:cs="Calibri"/>
                <w:b/>
                <w:color w:val="auto"/>
                <w:sz w:val="20"/>
                <w:szCs w:val="20"/>
                <w:lang w:eastAsia="en-US"/>
              </w:rPr>
              <w:t>ncourages</w:t>
            </w:r>
          </w:p>
          <w:p w14:paraId="6BF56378" w14:textId="77777777" w:rsidR="00D0243F" w:rsidRDefault="00D0243F" w:rsidP="00E66E0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t>the Directors of the three Bureaux</w:t>
            </w:r>
          </w:p>
          <w:p w14:paraId="3FF5DDE4" w14:textId="77777777" w:rsidR="00D0243F" w:rsidRPr="005B3B77" w:rsidRDefault="00D0243F" w:rsidP="00E66E0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1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investigate new ways to improve the efficiency of ITU work on IMT, and to examine the possibility of establishing an observatory for IMT systems, including appropriate guidelines if needed, taking into account budgetary considerations;</w:t>
            </w:r>
          </w:p>
          <w:p w14:paraId="564E51DD" w14:textId="77777777" w:rsidR="00D0243F" w:rsidRPr="00174BFD" w:rsidRDefault="00D0243F" w:rsidP="00E66E0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2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promote studies on standardization activities related to regulatory and economic questions relevant to accommodating non-radio aspects of IMT use cases, and to encouraging and supporting market growth, innovation, collaboration and telecommunication/ICT infrastructure investment;</w:t>
            </w:r>
          </w:p>
          <w:p w14:paraId="15A7638E"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950A8">
              <w:rPr>
                <w:rFonts w:cs="Calibri"/>
                <w:sz w:val="20"/>
              </w:rPr>
              <w:t>3</w:t>
            </w:r>
            <w:r>
              <w:rPr>
                <w:rFonts w:cs="Calibri"/>
                <w:sz w:val="20"/>
              </w:rPr>
              <w:tab/>
            </w:r>
            <w:r w:rsidRPr="002950A8">
              <w:rPr>
                <w:rFonts w:cs="Calibri"/>
                <w:sz w:val="20"/>
              </w:rPr>
              <w:t xml:space="preserve"> to develop guidance on the economic drivers and sustainability for non-radio aspects of IMT system deployment,</w:t>
            </w:r>
          </w:p>
          <w:p w14:paraId="51A2F103"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D0243F" w:rsidRPr="00805FF4" w14:paraId="522797FC" w14:textId="77777777" w:rsidTr="00E66E06">
        <w:tc>
          <w:tcPr>
            <w:cnfStyle w:val="001000000000" w:firstRow="0" w:lastRow="0" w:firstColumn="1" w:lastColumn="0" w:oddVBand="0" w:evenVBand="0" w:oddHBand="0" w:evenHBand="0" w:firstRowFirstColumn="0" w:firstRowLastColumn="0" w:lastRowFirstColumn="0" w:lastRowLastColumn="0"/>
            <w:tcW w:w="3896" w:type="dxa"/>
          </w:tcPr>
          <w:p w14:paraId="1D90A0F8"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95</w:t>
            </w:r>
          </w:p>
          <w:p w14:paraId="507C1326"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092" w:type="dxa"/>
          </w:tcPr>
          <w:p w14:paraId="42F77677"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A888F05"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53E379D9"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developing and least developed countries in identifying human and institutional capacity-building opportunities for establishing national quality measurement frameworks;</w:t>
            </w:r>
          </w:p>
          <w:p w14:paraId="58C65B2A"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conduct activities in each region in order to identify and prioritize the problems faced by developing and least developed countries related to the provision of acceptable service quality to users;</w:t>
            </w:r>
          </w:p>
          <w:p w14:paraId="4CA43239"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D0243F" w:rsidRPr="00805FF4" w14:paraId="1CAC1909"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53FE923C"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96</w:t>
            </w:r>
          </w:p>
          <w:p w14:paraId="683CF304" w14:textId="77777777" w:rsidR="00D0243F" w:rsidRPr="00805FF4" w:rsidRDefault="00D0243F" w:rsidP="00E66E06">
            <w:pPr>
              <w:pStyle w:val="CEONormal"/>
              <w:spacing w:before="60" w:after="60"/>
              <w:rPr>
                <w:rFonts w:asciiTheme="minorHAnsi" w:hAnsiTheme="minorHAnsi" w:cs="Calibri"/>
                <w:b w:val="0"/>
                <w:bCs w:val="0"/>
                <w:sz w:val="20"/>
                <w:szCs w:val="20"/>
              </w:rPr>
            </w:pPr>
            <w:r w:rsidRPr="00E07B00">
              <w:rPr>
                <w:rFonts w:asciiTheme="minorHAnsi" w:hAnsiTheme="minorHAnsi" w:cs="Calibri"/>
                <w:b w:val="0"/>
                <w:bCs w:val="0"/>
                <w:sz w:val="20"/>
                <w:szCs w:val="20"/>
              </w:rPr>
              <w:t>ITU Telecommunication Standardization Sector studies for combating counterfeit and tampered telecommunication/information and communication technology devices</w:t>
            </w:r>
          </w:p>
        </w:tc>
        <w:tc>
          <w:tcPr>
            <w:tcW w:w="10092" w:type="dxa"/>
            <w:hideMark/>
          </w:tcPr>
          <w:p w14:paraId="0543DDE3"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17A4037E"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0A26AAD4" w14:textId="77777777" w:rsidR="00D0243F" w:rsidRPr="003A5A8A"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1 </w:t>
            </w:r>
            <w:r>
              <w:rPr>
                <w:rFonts w:cs="Calibri"/>
                <w:sz w:val="20"/>
              </w:rPr>
              <w:tab/>
            </w:r>
            <w:r w:rsidRPr="003A5A8A">
              <w:rPr>
                <w:rFonts w:cs="Calibri"/>
                <w:sz w:val="20"/>
              </w:rPr>
              <w:t>to organize workshops and events across the ITU regions to promote the work in this field, involving all stakeholders and raising awareness of the impact of counterfeit and tampered telecommunication/ICT devices;</w:t>
            </w:r>
          </w:p>
          <w:p w14:paraId="08744762" w14:textId="77777777" w:rsidR="00D0243F" w:rsidRPr="003A5A8A"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2</w:t>
            </w:r>
            <w:r>
              <w:rPr>
                <w:rFonts w:cs="Calibri"/>
                <w:sz w:val="20"/>
              </w:rPr>
              <w:tab/>
            </w:r>
            <w:r w:rsidRPr="003A5A8A">
              <w:rPr>
                <w:rFonts w:cs="Calibri"/>
                <w:sz w:val="20"/>
              </w:rPr>
              <w:t xml:space="preserve"> to assist developing countries in preparing human resources to combat the spread of counterfeit and tampered telecommunication/ICT devices, by providing capacity-building and training opportunities based on different technological solutions;</w:t>
            </w:r>
          </w:p>
          <w:p w14:paraId="6FE32F33" w14:textId="77777777" w:rsidR="00D0243F" w:rsidRPr="003A5A8A"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3</w:t>
            </w:r>
            <w:r>
              <w:rPr>
                <w:rFonts w:cs="Calibri"/>
                <w:sz w:val="20"/>
              </w:rPr>
              <w:tab/>
            </w:r>
            <w:r w:rsidRPr="003A5A8A">
              <w:rPr>
                <w:rFonts w:cs="Calibri"/>
                <w:sz w:val="20"/>
              </w:rPr>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7996A4FF" w14:textId="77777777" w:rsidR="00D0243F" w:rsidRPr="003A5A8A"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4</w:t>
            </w:r>
            <w:r>
              <w:rPr>
                <w:rFonts w:cs="Calibri"/>
                <w:sz w:val="20"/>
              </w:rPr>
              <w:tab/>
            </w:r>
            <w:r w:rsidRPr="003A5A8A">
              <w:rPr>
                <w:rFonts w:cs="Calibri"/>
                <w:sz w:val="20"/>
              </w:rPr>
              <w:t xml:space="preserve"> to coordinate activities relating to combating counterfeit and tampered telecommunication/ICT devices through ITU-T Study Group 11 and focus groups;</w:t>
            </w:r>
          </w:p>
          <w:p w14:paraId="2344B304" w14:textId="77777777" w:rsidR="00D0243F" w:rsidRPr="003A5A8A"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5 </w:t>
            </w:r>
            <w:r>
              <w:rPr>
                <w:rFonts w:cs="Calibri"/>
                <w:sz w:val="20"/>
              </w:rPr>
              <w:tab/>
            </w:r>
            <w:r w:rsidRPr="003A5A8A">
              <w:rPr>
                <w:rFonts w:cs="Calibri"/>
                <w:sz w:val="20"/>
              </w:rPr>
              <w:t>to assist Member States in taking the necessary actions to apply relevant ITU-T Recommendations for combating counterfeit and tampered telecommunication/ICT devices, including the use of conformity assessment systems;</w:t>
            </w:r>
          </w:p>
          <w:p w14:paraId="1D9454FB"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6 </w:t>
            </w:r>
            <w:r>
              <w:rPr>
                <w:rFonts w:cs="Calibri"/>
                <w:sz w:val="20"/>
              </w:rPr>
              <w:tab/>
            </w:r>
            <w:r w:rsidRPr="003A5A8A">
              <w:rPr>
                <w:rFonts w:cs="Calibri"/>
                <w:sz w:val="20"/>
              </w:rPr>
              <w:t>to promote and share information on best practices and emerging trends developed by industry and governments in combating counterfeit and tampered telecommunication/ICT devices,</w:t>
            </w:r>
          </w:p>
          <w:p w14:paraId="5E8CE152"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5DACF335"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4EFB3216"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15BD5D2C"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D0243F" w:rsidRPr="00805FF4" w14:paraId="4DEFE69C" w14:textId="77777777" w:rsidTr="00E66E06">
        <w:tc>
          <w:tcPr>
            <w:cnfStyle w:val="001000000000" w:firstRow="0" w:lastRow="0" w:firstColumn="1" w:lastColumn="0" w:oddVBand="0" w:evenVBand="0" w:oddHBand="0" w:evenHBand="0" w:firstRowFirstColumn="0" w:firstRowLastColumn="0" w:lastRowFirstColumn="0" w:lastRowLastColumn="0"/>
            <w:tcW w:w="3896" w:type="dxa"/>
          </w:tcPr>
          <w:p w14:paraId="11491CA7"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97</w:t>
            </w:r>
          </w:p>
          <w:p w14:paraId="3CDCF6DA"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092" w:type="dxa"/>
          </w:tcPr>
          <w:p w14:paraId="03F6EE47"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331FCE8B"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66437F8A" w14:textId="77777777" w:rsidR="00D0243F" w:rsidRPr="00AA48A0"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1</w:t>
            </w:r>
            <w:r>
              <w:rPr>
                <w:rFonts w:cs="Calibri"/>
                <w:sz w:val="20"/>
              </w:rPr>
              <w:tab/>
            </w:r>
            <w:r w:rsidRPr="00AA48A0">
              <w:rPr>
                <w:rFonts w:cs="Calibri"/>
                <w:sz w:val="20"/>
              </w:rPr>
              <w:t xml:space="preserve"> to compile and share information on best practices developed by industry or governments and promising trends in combating mobile device theft, especially from regions where the rate of mobile phone theft has fallen, including statistics on their effectiveness;</w:t>
            </w:r>
          </w:p>
          <w:p w14:paraId="4680B131" w14:textId="77777777" w:rsidR="00D0243F" w:rsidRPr="00AA48A0"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2 </w:t>
            </w:r>
            <w:r>
              <w:rPr>
                <w:rFonts w:cs="Calibri"/>
                <w:sz w:val="20"/>
              </w:rPr>
              <w:tab/>
            </w:r>
            <w:r w:rsidRPr="00AA48A0">
              <w:rPr>
                <w:rFonts w:cs="Calibri"/>
                <w:sz w:val="20"/>
              </w:rPr>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521A7965"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3 </w:t>
            </w:r>
            <w:r>
              <w:rPr>
                <w:rFonts w:cs="Calibri"/>
                <w:sz w:val="20"/>
              </w:rPr>
              <w:tab/>
            </w:r>
            <w:r w:rsidRPr="00AA48A0">
              <w:rPr>
                <w:rFonts w:cs="Calibri"/>
                <w:sz w:val="20"/>
              </w:rPr>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5CAFF44D" w14:textId="77777777" w:rsidR="00D0243F" w:rsidRPr="006C030A"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4 </w:t>
            </w:r>
            <w:r>
              <w:rPr>
                <w:rFonts w:cs="Calibri"/>
                <w:bCs/>
                <w:sz w:val="20"/>
              </w:rPr>
              <w:tab/>
            </w:r>
            <w:r w:rsidRPr="006C030A">
              <w:rPr>
                <w:rFonts w:cs="Calibri"/>
                <w:bCs/>
                <w:sz w:val="20"/>
              </w:rPr>
              <w:t>to provide assistance, within ITU-T's expertise and within available resources, as appropriate, in cooperation with relevant organizations, to Member States, if so requested, in order to reduce mobile device theft and the use of stolen mobile devices in their countries;</w:t>
            </w:r>
          </w:p>
          <w:p w14:paraId="653C1B4B" w14:textId="77777777" w:rsidR="00D0243F" w:rsidRPr="005B46B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5 </w:t>
            </w:r>
            <w:r>
              <w:rPr>
                <w:rFonts w:cs="Calibri"/>
                <w:bCs/>
                <w:sz w:val="20"/>
              </w:rPr>
              <w:tab/>
            </w:r>
            <w:r w:rsidRPr="006C030A">
              <w:rPr>
                <w:rFonts w:cs="Calibri"/>
                <w:bCs/>
                <w:sz w:val="20"/>
              </w:rPr>
              <w:t>to share information and experiences on how to control tampering (unauthorized changing) of unique mobile telecommunication/ICT device identifiers and prevent tampered devices from accessing mobile networks,</w:t>
            </w:r>
          </w:p>
        </w:tc>
      </w:tr>
      <w:tr w:rsidR="00D0243F" w:rsidRPr="00805FF4" w14:paraId="1ED35367"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076ECAC3"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98</w:t>
            </w:r>
          </w:p>
          <w:p w14:paraId="40655762" w14:textId="77777777" w:rsidR="00D0243F" w:rsidRPr="00805FF4" w:rsidRDefault="00D0243F" w:rsidP="00E66E06">
            <w:pPr>
              <w:pStyle w:val="CEONormal"/>
              <w:spacing w:before="60" w:after="60"/>
              <w:rPr>
                <w:rFonts w:asciiTheme="minorHAnsi" w:hAnsiTheme="minorHAnsi" w:cs="Calibri"/>
                <w:b w:val="0"/>
                <w:bCs w:val="0"/>
                <w:sz w:val="20"/>
                <w:szCs w:val="20"/>
              </w:rPr>
            </w:pPr>
            <w:r w:rsidRPr="008E5FDC">
              <w:rPr>
                <w:rFonts w:asciiTheme="minorHAnsi" w:hAnsiTheme="minorHAnsi" w:cs="Calibri"/>
                <w:b w:val="0"/>
                <w:bCs w:val="0"/>
                <w:sz w:val="20"/>
                <w:szCs w:val="20"/>
              </w:rPr>
              <w:t>Enhancing standardization of Internet of Things, digital twins and smart sustainable cities and communities for global development</w:t>
            </w:r>
          </w:p>
        </w:tc>
        <w:tc>
          <w:tcPr>
            <w:tcW w:w="10092" w:type="dxa"/>
            <w:hideMark/>
          </w:tcPr>
          <w:p w14:paraId="0AD61B74"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52E7E43E"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Telecommunication Development Bureau and the Radiocommunication Bureau</w:t>
            </w:r>
          </w:p>
          <w:p w14:paraId="252BF3B8" w14:textId="77777777" w:rsidR="00D0243F" w:rsidRPr="00574359"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1"/>
            </w:r>
            <w:r w:rsidRPr="00574359">
              <w:rPr>
                <w:rFonts w:cs="Calibri"/>
                <w:sz w:val="20"/>
              </w:rPr>
              <w:t xml:space="preserve"> in terms of the study of IoT and its applications, sensor networks, services and infrastructure, taking into account the results of work being done in ITU-R and ITU-D to ensure coordination of efforts;</w:t>
            </w:r>
          </w:p>
          <w:p w14:paraId="2231A17A" w14:textId="77777777" w:rsidR="00D0243F" w:rsidRPr="00574359"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2</w:t>
            </w:r>
            <w:r w:rsidRPr="00574359">
              <w:rPr>
                <w:rFonts w:cs="Calibri"/>
                <w:sz w:val="20"/>
              </w:rPr>
              <w:tab/>
              <w:t>to provide support to Member States to implement U4SSC KPIs for smart sustainable cities;</w:t>
            </w:r>
          </w:p>
          <w:p w14:paraId="650C91AC"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2E3D50D9" w14:textId="77777777" w:rsidR="00D0243F" w:rsidRPr="00574359"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E11A1">
              <w:rPr>
                <w:rFonts w:cs="Calibri"/>
                <w:sz w:val="20"/>
              </w:rPr>
              <w:t>3</w:t>
            </w:r>
            <w:r>
              <w:rPr>
                <w:rFonts w:cs="Calibri"/>
                <w:sz w:val="20"/>
              </w:rPr>
              <w:tab/>
            </w:r>
            <w:r w:rsidRPr="004E11A1">
              <w:rPr>
                <w:rFonts w:cs="Calibri"/>
                <w:sz w:val="20"/>
              </w:rPr>
              <w:t xml:space="preserve"> to foster joint work among ITU Sectors in order to discuss the various aspects related to the development of the IoT, digital twins ecosystem and solutions for SSC&amp;C, in the context of the achievement of the SDGs and within the framework of the World Summit on the Information Society;</w:t>
            </w:r>
          </w:p>
          <w:p w14:paraId="015354C0" w14:textId="77777777" w:rsidR="00D0243F" w:rsidRPr="0021206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 xml:space="preserve">4 </w:t>
            </w:r>
            <w:r>
              <w:rPr>
                <w:rFonts w:cs="Calibri"/>
                <w:sz w:val="20"/>
              </w:rPr>
              <w:tab/>
            </w:r>
            <w:r w:rsidRPr="0021206F">
              <w:rPr>
                <w:rFonts w:cs="Calibri"/>
                <w:sz w:val="20"/>
              </w:rPr>
              <w:t>to continue disseminating ITU publications on IoT, digital twins, and SSC&amp;C;</w:t>
            </w:r>
          </w:p>
          <w:p w14:paraId="74E6FAE6" w14:textId="77777777" w:rsidR="00D0243F" w:rsidRPr="0021206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5</w:t>
            </w:r>
            <w:r>
              <w:rPr>
                <w:rFonts w:cs="Calibri"/>
                <w:sz w:val="20"/>
              </w:rPr>
              <w:tab/>
            </w:r>
            <w:r w:rsidRPr="0021206F">
              <w:rPr>
                <w:rFonts w:cs="Calibri"/>
                <w:sz w:val="20"/>
              </w:rPr>
              <w:t xml:space="preserve"> to organize forums, seminars, training programmes and workshops including DTD webinars, and to support Member States, in particular developing countries;</w:t>
            </w:r>
          </w:p>
          <w:p w14:paraId="5C344FC0" w14:textId="77777777" w:rsidR="00D0243F" w:rsidRPr="0021206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6</w:t>
            </w:r>
            <w:r>
              <w:rPr>
                <w:rFonts w:cs="Calibri"/>
                <w:sz w:val="20"/>
              </w:rPr>
              <w:tab/>
            </w:r>
            <w:r w:rsidRPr="0021206F">
              <w:rPr>
                <w:rFonts w:cs="Calibri"/>
                <w:sz w:val="20"/>
              </w:rPr>
              <w:t xml:space="preserve"> to report to the next world telecommunication standardization assembly on progress made in the organization of forums, seminars, training programmes and workshops dedicated to developing the capacity of developing countries;</w:t>
            </w:r>
          </w:p>
          <w:p w14:paraId="5DE46A6A" w14:textId="77777777" w:rsidR="00D0243F" w:rsidRPr="00805FF4"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1206F">
              <w:rPr>
                <w:rFonts w:cs="Calibri"/>
                <w:sz w:val="20"/>
              </w:rPr>
              <w:t>7</w:t>
            </w:r>
            <w:r>
              <w:rPr>
                <w:rFonts w:cs="Calibri"/>
                <w:sz w:val="20"/>
              </w:rPr>
              <w:tab/>
            </w:r>
            <w:r w:rsidRPr="0021206F">
              <w:rPr>
                <w:rFonts w:cs="Calibri"/>
                <w:sz w:val="20"/>
              </w:rPr>
              <w:t xml:space="preserve"> to assist developing countries in the implementation of Recommendations, technical reports and guidelines related to IoT, digital twins, and SSC&amp;C,</w:t>
            </w:r>
          </w:p>
        </w:tc>
      </w:tr>
      <w:tr w:rsidR="00D0243F" w:rsidRPr="00805FF4" w14:paraId="6336913F" w14:textId="77777777" w:rsidTr="00E66E06">
        <w:tc>
          <w:tcPr>
            <w:cnfStyle w:val="001000000000" w:firstRow="0" w:lastRow="0" w:firstColumn="1" w:lastColumn="0" w:oddVBand="0" w:evenVBand="0" w:oddHBand="0" w:evenHBand="0" w:firstRowFirstColumn="0" w:firstRowLastColumn="0" w:lastRowFirstColumn="0" w:lastRowLastColumn="0"/>
            <w:tcW w:w="3896" w:type="dxa"/>
          </w:tcPr>
          <w:p w14:paraId="2C3369AA" w14:textId="77777777" w:rsidR="00D0243F" w:rsidRPr="00805FF4" w:rsidRDefault="00D0243F" w:rsidP="00E66E0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RESOLUTION 100</w:t>
            </w:r>
          </w:p>
          <w:p w14:paraId="4B697107" w14:textId="77777777" w:rsidR="00D0243F" w:rsidRPr="00805FF4" w:rsidRDefault="00D0243F" w:rsidP="00E66E0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092" w:type="dxa"/>
          </w:tcPr>
          <w:p w14:paraId="27220451"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5F0C6B0B"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7A737A1B"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702E3">
              <w:rPr>
                <w:rFonts w:cs="Calibri"/>
                <w:sz w:val="20"/>
              </w:rPr>
              <w:t>1</w:t>
            </w:r>
            <w:r>
              <w:rPr>
                <w:rFonts w:cs="Calibri"/>
                <w:sz w:val="20"/>
              </w:rPr>
              <w:tab/>
            </w:r>
            <w:r w:rsidRPr="00C702E3">
              <w:rPr>
                <w:rFonts w:cs="Calibri"/>
                <w:sz w:val="20"/>
              </w:rPr>
              <w:t xml:space="preserve"> to continue to provide technical assistance to Member States in Africa, within available resources and existing budgetary limits, in the implementation of a common emergency number in line with Recommendation ITU-T E.161.1; </w:t>
            </w:r>
          </w:p>
          <w:p w14:paraId="3B205A57" w14:textId="77777777" w:rsidR="00D0243F" w:rsidRPr="00805FF4"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report to the World Telecommunication Standardization Assembly on the progress achieved in implementing this resolution, which is intended to improve access to emergency services,</w:t>
            </w:r>
          </w:p>
        </w:tc>
      </w:tr>
      <w:tr w:rsidR="00D0243F" w:rsidRPr="00A57166" w14:paraId="4FC98C50"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3F6F0F54" w14:textId="77777777" w:rsidR="00D0243F" w:rsidRDefault="00D0243F" w:rsidP="00E66E06">
            <w:pPr>
              <w:pStyle w:val="CEONormal"/>
              <w:spacing w:before="60" w:after="60"/>
              <w:rPr>
                <w:rFonts w:asciiTheme="minorHAnsi" w:hAnsiTheme="minorHAnsi" w:cs="Calibri"/>
                <w:b w:val="0"/>
                <w:bCs w:val="0"/>
                <w:sz w:val="20"/>
                <w:szCs w:val="20"/>
              </w:rPr>
            </w:pPr>
            <w:r w:rsidRPr="00A57166">
              <w:rPr>
                <w:rFonts w:asciiTheme="minorHAnsi" w:hAnsiTheme="minorHAnsi" w:cs="Calibri"/>
                <w:sz w:val="20"/>
                <w:szCs w:val="20"/>
              </w:rPr>
              <w:t xml:space="preserve">RESOLUTION </w:t>
            </w:r>
            <w:r>
              <w:rPr>
                <w:rFonts w:asciiTheme="minorHAnsi" w:hAnsiTheme="minorHAnsi" w:cs="Calibri"/>
                <w:sz w:val="20"/>
                <w:szCs w:val="20"/>
              </w:rPr>
              <w:t>101</w:t>
            </w:r>
          </w:p>
          <w:p w14:paraId="22ABE382" w14:textId="77777777" w:rsidR="00D0243F" w:rsidRPr="00A57166" w:rsidRDefault="00D0243F" w:rsidP="00E66E06">
            <w:pPr>
              <w:pStyle w:val="CEONormal"/>
              <w:spacing w:before="60" w:after="60"/>
              <w:rPr>
                <w:rFonts w:asciiTheme="minorHAnsi" w:hAnsiTheme="minorHAnsi" w:cs="Calibri"/>
                <w:b w:val="0"/>
                <w:bCs w:val="0"/>
                <w:sz w:val="20"/>
                <w:szCs w:val="20"/>
              </w:rPr>
            </w:pPr>
            <w:r w:rsidRPr="00A57166">
              <w:rPr>
                <w:rFonts w:asciiTheme="minorHAnsi" w:hAnsiTheme="minorHAnsi" w:cs="Calibri"/>
                <w:b w:val="0"/>
                <w:bCs w:val="0"/>
                <w:sz w:val="20"/>
                <w:szCs w:val="20"/>
              </w:rPr>
              <w:t>Standardization activities of the ITU Telecommunication Standardization Sector on artificial intelligence technologies in support of telecommunications/information and communication technologies</w:t>
            </w:r>
          </w:p>
        </w:tc>
        <w:tc>
          <w:tcPr>
            <w:tcW w:w="10092" w:type="dxa"/>
          </w:tcPr>
          <w:p w14:paraId="3743AB79"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
                <w:sz w:val="20"/>
              </w:rPr>
              <w:t xml:space="preserve">instructs </w:t>
            </w:r>
          </w:p>
          <w:p w14:paraId="3A16121B" w14:textId="77777777" w:rsidR="00D0243F" w:rsidRPr="00A57166"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the Director of the Telecommunication Standardization Bureau, in collaboration with the Secretary-General and the</w:t>
            </w:r>
            <w:r w:rsidRPr="00A57166">
              <w:rPr>
                <w:rFonts w:cs="Calibri"/>
                <w:b/>
                <w:sz w:val="20"/>
              </w:rPr>
              <w:t xml:space="preserve"> </w:t>
            </w:r>
            <w:r w:rsidRPr="00A57166">
              <w:rPr>
                <w:rFonts w:cs="Calibri"/>
                <w:bCs/>
                <w:sz w:val="20"/>
              </w:rPr>
              <w:t>Directors of the Telecommunication Development and Radiocommunication Bureaux</w:t>
            </w:r>
          </w:p>
          <w:p w14:paraId="7BC164C8" w14:textId="77777777" w:rsidR="00D0243F" w:rsidRPr="00A57166"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1 </w:t>
            </w:r>
            <w:r>
              <w:rPr>
                <w:rFonts w:cs="Calibri"/>
                <w:bCs/>
                <w:sz w:val="20"/>
              </w:rPr>
              <w:tab/>
            </w:r>
            <w:r w:rsidRPr="00A57166">
              <w:rPr>
                <w:rFonts w:cs="Calibri"/>
                <w:bCs/>
                <w:sz w:val="20"/>
              </w:rPr>
              <w:t>to support the work of the AI for Good platform in identifying practical applications of AI in order to advance progress on the SDGs and scale those solutions for global impact;</w:t>
            </w:r>
          </w:p>
          <w:p w14:paraId="454437BB" w14:textId="77777777" w:rsidR="00D0243F" w:rsidRPr="00A57166"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2 </w:t>
            </w:r>
            <w:r>
              <w:rPr>
                <w:rFonts w:cs="Calibri"/>
                <w:bCs/>
                <w:sz w:val="20"/>
              </w:rPr>
              <w:tab/>
            </w:r>
            <w:r w:rsidRPr="00A57166">
              <w:rPr>
                <w:rFonts w:cs="Calibri"/>
                <w:bCs/>
                <w:sz w:val="20"/>
              </w:rPr>
              <w:t>to identify opportunities, as appropriate, for cooperation in international standardization efforts and for collaboration with relevant stakeholders on AI in relation to telecommunications/ICTs;</w:t>
            </w:r>
          </w:p>
          <w:p w14:paraId="651ACA23" w14:textId="77777777" w:rsidR="00D0243F" w:rsidRPr="00A57166"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Cs/>
                <w:sz w:val="20"/>
              </w:rPr>
              <w:t xml:space="preserve">3 </w:t>
            </w:r>
            <w:r>
              <w:rPr>
                <w:rFonts w:cs="Calibri"/>
                <w:bCs/>
                <w:sz w:val="20"/>
              </w:rPr>
              <w:tab/>
            </w:r>
            <w:r w:rsidRPr="00A57166">
              <w:rPr>
                <w:rFonts w:cs="Calibri"/>
                <w:bCs/>
                <w:sz w:val="20"/>
              </w:rPr>
              <w:t>to provide technical guidance, in particular to developing countries, on implementing international standards on AI in telecommunications/ICTs,</w:t>
            </w:r>
          </w:p>
        </w:tc>
      </w:tr>
      <w:tr w:rsidR="00D0243F" w:rsidRPr="00805FF4" w14:paraId="11C8B1DC" w14:textId="77777777" w:rsidTr="00E66E06">
        <w:tc>
          <w:tcPr>
            <w:cnfStyle w:val="001000000000" w:firstRow="0" w:lastRow="0" w:firstColumn="1" w:lastColumn="0" w:oddVBand="0" w:evenVBand="0" w:oddHBand="0" w:evenHBand="0" w:firstRowFirstColumn="0" w:firstRowLastColumn="0" w:lastRowFirstColumn="0" w:lastRowLastColumn="0"/>
            <w:tcW w:w="3896" w:type="dxa"/>
          </w:tcPr>
          <w:p w14:paraId="0218AC9D" w14:textId="77777777" w:rsidR="00D0243F" w:rsidRDefault="00D0243F" w:rsidP="00E66E06">
            <w:pPr>
              <w:pStyle w:val="CEONormal"/>
              <w:spacing w:before="60" w:after="60"/>
              <w:rPr>
                <w:rFonts w:asciiTheme="minorHAnsi" w:hAnsiTheme="minorHAnsi" w:cs="Calibri"/>
                <w:b w:val="0"/>
                <w:bCs w:val="0"/>
                <w:sz w:val="20"/>
                <w:szCs w:val="20"/>
              </w:rPr>
            </w:pPr>
            <w:r w:rsidRPr="00FB082A">
              <w:rPr>
                <w:rFonts w:asciiTheme="minorHAnsi" w:hAnsiTheme="minorHAnsi" w:cs="Calibri"/>
                <w:sz w:val="20"/>
                <w:szCs w:val="20"/>
              </w:rPr>
              <w:t xml:space="preserve">RESOLUTION </w:t>
            </w:r>
            <w:r>
              <w:rPr>
                <w:rFonts w:asciiTheme="minorHAnsi" w:hAnsiTheme="minorHAnsi" w:cs="Calibri"/>
                <w:sz w:val="20"/>
                <w:szCs w:val="20"/>
              </w:rPr>
              <w:t>103</w:t>
            </w:r>
          </w:p>
          <w:p w14:paraId="07A2A475" w14:textId="77777777" w:rsidR="00D0243F" w:rsidRPr="00FB082A" w:rsidRDefault="00D0243F" w:rsidP="00E66E06">
            <w:pPr>
              <w:pStyle w:val="CEONormal"/>
              <w:spacing w:before="60" w:after="60"/>
              <w:rPr>
                <w:rFonts w:asciiTheme="minorHAnsi" w:hAnsiTheme="minorHAnsi" w:cs="Calibri"/>
                <w:b w:val="0"/>
                <w:bCs w:val="0"/>
                <w:sz w:val="20"/>
                <w:szCs w:val="20"/>
              </w:rPr>
            </w:pPr>
            <w:r w:rsidRPr="00FB082A">
              <w:rPr>
                <w:rFonts w:asciiTheme="minorHAnsi" w:hAnsiTheme="minorHAnsi" w:cs="Calibri"/>
                <w:b w:val="0"/>
                <w:bCs w:val="0"/>
                <w:sz w:val="20"/>
                <w:szCs w:val="20"/>
              </w:rPr>
              <w:t>Enhancing standardization activities on digital public infrastructure</w:t>
            </w:r>
          </w:p>
        </w:tc>
        <w:tc>
          <w:tcPr>
            <w:tcW w:w="10092" w:type="dxa"/>
          </w:tcPr>
          <w:p w14:paraId="058BD06F"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5FC7F812" w14:textId="77777777" w:rsidR="00D0243F" w:rsidRPr="00011205"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Secretary-General and the Director of the Telecommunication Development Bureau</w:t>
            </w:r>
          </w:p>
          <w:p w14:paraId="1584BF9C"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20B773EE"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38E7240A" w14:textId="77777777" w:rsidR="00D0243F" w:rsidRPr="00011205"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Director of the Telecommunication Development Bureau</w:t>
            </w:r>
          </w:p>
          <w:p w14:paraId="165E5E6A"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 xml:space="preserve">1 </w:t>
            </w:r>
            <w:r>
              <w:rPr>
                <w:rFonts w:cs="Calibri"/>
                <w:bCs/>
                <w:sz w:val="20"/>
              </w:rPr>
              <w:tab/>
            </w:r>
            <w:r w:rsidRPr="00011205">
              <w:rPr>
                <w:rFonts w:cs="Calibri"/>
                <w:bCs/>
                <w:sz w:val="20"/>
              </w:rPr>
              <w:t>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countries;</w:t>
            </w:r>
          </w:p>
          <w:p w14:paraId="3D58C6A0" w14:textId="77777777" w:rsidR="00D0243F" w:rsidRPr="004762F2"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4762F2">
              <w:rPr>
                <w:rFonts w:cs="Calibri"/>
                <w:bCs/>
                <w:sz w:val="20"/>
              </w:rPr>
              <w:t xml:space="preserve">2 </w:t>
            </w:r>
            <w:r>
              <w:rPr>
                <w:rFonts w:cs="Calibri"/>
                <w:bCs/>
                <w:sz w:val="20"/>
              </w:rPr>
              <w:tab/>
            </w:r>
            <w:r w:rsidRPr="004762F2">
              <w:rPr>
                <w:rFonts w:cs="Calibri"/>
                <w:bCs/>
                <w:sz w:val="20"/>
              </w:rPr>
              <w:t>to organize workshops for the ITU membership in collaboration with other relevant SDOs, academia and institutions with primary responsibility for digital public infrastructure implementation, in order to raise awareness and identify opportunities and challenges in the telecommunication/ICT standardization aspects of digital public infrastructure, in particular for developing countries,</w:t>
            </w:r>
          </w:p>
        </w:tc>
      </w:tr>
      <w:tr w:rsidR="00D0243F" w:rsidRPr="00805FF4" w14:paraId="6970189A" w14:textId="77777777" w:rsidTr="00E6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5B5BEE35" w14:textId="77777777" w:rsidR="00D0243F" w:rsidRDefault="00D0243F" w:rsidP="00E66E06">
            <w:pPr>
              <w:pStyle w:val="CEONormal"/>
              <w:spacing w:before="60" w:after="60"/>
              <w:rPr>
                <w:rFonts w:asciiTheme="minorHAnsi" w:hAnsiTheme="minorHAnsi" w:cs="Calibri"/>
                <w:b w:val="0"/>
                <w:bCs w:val="0"/>
                <w:sz w:val="20"/>
                <w:szCs w:val="20"/>
              </w:rPr>
            </w:pPr>
            <w:r w:rsidRPr="00C37F6F">
              <w:rPr>
                <w:rFonts w:asciiTheme="minorHAnsi" w:hAnsiTheme="minorHAnsi" w:cs="Calibri"/>
                <w:sz w:val="20"/>
                <w:szCs w:val="20"/>
              </w:rPr>
              <w:t xml:space="preserve">RESOLUTION </w:t>
            </w:r>
            <w:r>
              <w:rPr>
                <w:rFonts w:asciiTheme="minorHAnsi" w:hAnsiTheme="minorHAnsi" w:cs="Calibri"/>
                <w:sz w:val="20"/>
                <w:szCs w:val="20"/>
              </w:rPr>
              <w:t>104</w:t>
            </w:r>
          </w:p>
          <w:p w14:paraId="70CE4450" w14:textId="77777777" w:rsidR="00D0243F" w:rsidRPr="00C37F6F" w:rsidRDefault="00D0243F" w:rsidP="00E66E06">
            <w:pPr>
              <w:pStyle w:val="CEONormal"/>
              <w:spacing w:before="60" w:after="60"/>
              <w:rPr>
                <w:rFonts w:asciiTheme="minorHAnsi" w:hAnsiTheme="minorHAnsi" w:cs="Calibri"/>
                <w:b w:val="0"/>
                <w:bCs w:val="0"/>
                <w:sz w:val="20"/>
                <w:szCs w:val="20"/>
              </w:rPr>
            </w:pPr>
            <w:r w:rsidRPr="00047246">
              <w:rPr>
                <w:rFonts w:asciiTheme="minorHAnsi" w:hAnsiTheme="minorHAnsi" w:cs="Calibri"/>
                <w:b w:val="0"/>
                <w:bCs w:val="0"/>
                <w:sz w:val="20"/>
                <w:szCs w:val="20"/>
              </w:rPr>
              <w:t>Promoting and strengthening standardization activities for vehicular communications</w:t>
            </w:r>
          </w:p>
        </w:tc>
        <w:tc>
          <w:tcPr>
            <w:tcW w:w="10092" w:type="dxa"/>
          </w:tcPr>
          <w:p w14:paraId="341FA1D5"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047246">
              <w:rPr>
                <w:rFonts w:cs="Calibri"/>
                <w:b/>
                <w:sz w:val="20"/>
              </w:rPr>
              <w:t xml:space="preserve">instructs </w:t>
            </w:r>
          </w:p>
          <w:p w14:paraId="3C902A17" w14:textId="77777777" w:rsidR="00D0243F" w:rsidRPr="00047246"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the Director of the Telecommunication Standardization Bureau in cooperation with the Director of the Telecommunication Development Bureau</w:t>
            </w:r>
          </w:p>
          <w:p w14:paraId="01AB99AA" w14:textId="77777777" w:rsidR="00D0243F"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1 to support Member States in implementing applications and deployments of vehicular communications, such as V2X, and ITS, including vehicular communications to support automated driving;</w:t>
            </w:r>
          </w:p>
          <w:p w14:paraId="2F32B20D" w14:textId="77777777" w:rsidR="00D0243F" w:rsidRPr="00201AB9"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01AB9">
              <w:rPr>
                <w:rFonts w:cs="Calibri"/>
                <w:bCs/>
                <w:sz w:val="20"/>
              </w:rPr>
              <w:t xml:space="preserve">2 </w:t>
            </w:r>
            <w:r>
              <w:rPr>
                <w:rFonts w:cs="Calibri"/>
                <w:bCs/>
                <w:sz w:val="20"/>
              </w:rPr>
              <w:tab/>
            </w:r>
            <w:r w:rsidRPr="00201AB9">
              <w:rPr>
                <w:rFonts w:cs="Calibri"/>
                <w:bCs/>
                <w:sz w:val="20"/>
              </w:rPr>
              <w:t>to support Member States, especially developing countries1, in organizing forums, seminars, and workshops on vehicular communications, such as V2X, and ITS, including vehicular communications to support automated driving, in order to promote innovation, development, and growth of technology and solutions, provided the availability of suitable programmes and budget;</w:t>
            </w:r>
          </w:p>
          <w:p w14:paraId="46E56568" w14:textId="77777777" w:rsidR="00D0243F" w:rsidRPr="009F743D" w:rsidRDefault="00D0243F" w:rsidP="00E66E0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201AB9">
              <w:rPr>
                <w:rFonts w:cs="Calibri"/>
                <w:bCs/>
                <w:sz w:val="20"/>
              </w:rPr>
              <w:t xml:space="preserve">3 </w:t>
            </w:r>
            <w:r>
              <w:rPr>
                <w:rFonts w:cs="Calibri"/>
                <w:bCs/>
                <w:sz w:val="20"/>
              </w:rPr>
              <w:tab/>
            </w:r>
            <w:r w:rsidRPr="00201AB9">
              <w:rPr>
                <w:rFonts w:cs="Calibri"/>
                <w:bCs/>
                <w:sz w:val="20"/>
              </w:rPr>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D0243F" w:rsidRPr="00805FF4" w14:paraId="05733373" w14:textId="77777777" w:rsidTr="00E66E06">
        <w:tc>
          <w:tcPr>
            <w:cnfStyle w:val="001000000000" w:firstRow="0" w:lastRow="0" w:firstColumn="1" w:lastColumn="0" w:oddVBand="0" w:evenVBand="0" w:oddHBand="0" w:evenHBand="0" w:firstRowFirstColumn="0" w:firstRowLastColumn="0" w:lastRowFirstColumn="0" w:lastRowLastColumn="0"/>
            <w:tcW w:w="3896" w:type="dxa"/>
          </w:tcPr>
          <w:p w14:paraId="0C6CB346" w14:textId="77777777" w:rsidR="00D0243F" w:rsidRDefault="00D0243F" w:rsidP="00E66E06">
            <w:pPr>
              <w:pStyle w:val="CEONormal"/>
              <w:spacing w:before="60" w:after="60"/>
              <w:rPr>
                <w:rFonts w:asciiTheme="minorHAnsi" w:hAnsiTheme="minorHAnsi" w:cs="Calibri"/>
                <w:b w:val="0"/>
                <w:bCs w:val="0"/>
                <w:sz w:val="20"/>
                <w:szCs w:val="20"/>
              </w:rPr>
            </w:pPr>
            <w:r w:rsidRPr="00651B87">
              <w:rPr>
                <w:rFonts w:asciiTheme="minorHAnsi" w:hAnsiTheme="minorHAnsi" w:cs="Calibri"/>
                <w:sz w:val="20"/>
                <w:szCs w:val="20"/>
              </w:rPr>
              <w:t xml:space="preserve">RESOLUTION </w:t>
            </w:r>
            <w:r>
              <w:rPr>
                <w:rFonts w:asciiTheme="minorHAnsi" w:hAnsiTheme="minorHAnsi" w:cs="Calibri"/>
                <w:sz w:val="20"/>
                <w:szCs w:val="20"/>
              </w:rPr>
              <w:t>107</w:t>
            </w:r>
            <w:r w:rsidRPr="00530FDB">
              <w:rPr>
                <w:rFonts w:asciiTheme="minorHAnsi" w:hAnsiTheme="minorHAnsi" w:cs="Calibri"/>
                <w:sz w:val="20"/>
                <w:szCs w:val="20"/>
              </w:rPr>
              <w:t xml:space="preserve"> </w:t>
            </w:r>
          </w:p>
          <w:p w14:paraId="41264A6A" w14:textId="77777777" w:rsidR="00D0243F" w:rsidRPr="00651B87" w:rsidRDefault="00D0243F" w:rsidP="00E66E06">
            <w:pPr>
              <w:pStyle w:val="CEONormal"/>
              <w:spacing w:before="60" w:after="60"/>
              <w:rPr>
                <w:rFonts w:asciiTheme="minorHAnsi" w:hAnsiTheme="minorHAnsi" w:cs="Calibri"/>
                <w:b w:val="0"/>
                <w:bCs w:val="0"/>
                <w:sz w:val="20"/>
                <w:szCs w:val="20"/>
              </w:rPr>
            </w:pPr>
            <w:r w:rsidRPr="009F743D">
              <w:rPr>
                <w:rFonts w:asciiTheme="minorHAnsi" w:hAnsiTheme="minorHAnsi" w:cs="Calibri"/>
                <w:b w:val="0"/>
                <w:bCs w:val="0"/>
                <w:sz w:val="20"/>
                <w:szCs w:val="20"/>
              </w:rPr>
              <w:t>Enhancing the engagement of next-generation experts in the standardization activities of the ITU Telecommunication Standardization Sector</w:t>
            </w:r>
          </w:p>
        </w:tc>
        <w:tc>
          <w:tcPr>
            <w:tcW w:w="10092" w:type="dxa"/>
          </w:tcPr>
          <w:p w14:paraId="75019102" w14:textId="77777777" w:rsidR="00D0243F"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
                <w:sz w:val="20"/>
              </w:rPr>
              <w:t xml:space="preserve">instructs </w:t>
            </w:r>
          </w:p>
          <w:p w14:paraId="5824E506" w14:textId="77777777" w:rsidR="00D0243F" w:rsidRPr="009F743D"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the Director of the Telecommunication Standardization Bureau, in collaboration with the Director of the Telecommunication Development Bureau</w:t>
            </w:r>
          </w:p>
          <w:p w14:paraId="1A72F538" w14:textId="77777777" w:rsidR="00D0243F" w:rsidRPr="009F743D"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1</w:t>
            </w:r>
            <w:r>
              <w:rPr>
                <w:rFonts w:cs="Calibri"/>
                <w:bCs/>
                <w:sz w:val="20"/>
              </w:rPr>
              <w:tab/>
            </w:r>
            <w:r w:rsidRPr="009F743D">
              <w:rPr>
                <w:rFonts w:cs="Calibri"/>
                <w:bCs/>
                <w:sz w:val="20"/>
              </w:rPr>
              <w:t>to reuse BSG content in close collaboration with the ITU Academy and other capacity-building initiatives of the Telecommunication Development Bureau to attract the next generation of experts across developed and developing countries;</w:t>
            </w:r>
          </w:p>
          <w:p w14:paraId="4736173F" w14:textId="77777777" w:rsidR="00D0243F" w:rsidRPr="009F743D"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2 </w:t>
            </w:r>
            <w:r>
              <w:rPr>
                <w:rFonts w:cs="Calibri"/>
                <w:bCs/>
                <w:sz w:val="20"/>
              </w:rPr>
              <w:tab/>
            </w:r>
            <w:r w:rsidRPr="009F743D">
              <w:rPr>
                <w:rFonts w:cs="Calibri"/>
                <w:bCs/>
                <w:sz w:val="20"/>
              </w:rPr>
              <w:t>to request voluntary contributions from the membership to develop enhanced training materials on telecommunication/ICT standardization for the next generation of experts, and to promote and disseminate these deliverables;</w:t>
            </w:r>
          </w:p>
          <w:p w14:paraId="0126A4AE" w14:textId="77777777" w:rsidR="00D0243F" w:rsidRPr="009F743D"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3 </w:t>
            </w:r>
            <w:r>
              <w:rPr>
                <w:rFonts w:cs="Calibri"/>
                <w:bCs/>
                <w:sz w:val="20"/>
              </w:rPr>
              <w:tab/>
            </w:r>
            <w:r w:rsidRPr="009F743D">
              <w:rPr>
                <w:rFonts w:cs="Calibri"/>
                <w:bCs/>
                <w:sz w:val="20"/>
              </w:rPr>
              <w:t>to evaluate opportunities, such as awards, for recognizing the next generation of experts, and thereby help to advance the standardization work of ITU-T;</w:t>
            </w:r>
          </w:p>
          <w:p w14:paraId="4288640E" w14:textId="77777777" w:rsidR="00D0243F" w:rsidRPr="00011205" w:rsidRDefault="00D0243F" w:rsidP="00E66E0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Cs/>
                <w:sz w:val="20"/>
              </w:rPr>
              <w:t>4</w:t>
            </w:r>
            <w:r>
              <w:rPr>
                <w:rFonts w:cs="Calibri"/>
                <w:bCs/>
                <w:sz w:val="20"/>
              </w:rPr>
              <w:tab/>
            </w:r>
            <w:r w:rsidRPr="009F743D">
              <w:rPr>
                <w:rFonts w:cs="Calibri"/>
                <w:bCs/>
                <w:sz w:val="20"/>
              </w:rPr>
              <w:t>to report to the Telecommunication Standardization Advisory Group annually on the implementation of this resolution,</w:t>
            </w:r>
          </w:p>
        </w:tc>
      </w:tr>
    </w:tbl>
    <w:p w14:paraId="6C1059B5" w14:textId="77777777" w:rsidR="00EC6FED" w:rsidRPr="00D0243F" w:rsidRDefault="00EC6FED" w:rsidP="00D0243F"/>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30" w:name="Proposal"/>
      <w:bookmarkEnd w:id="30"/>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D0243F">
      <w:headerReference w:type="default" r:id="rId25"/>
      <w:headerReference w:type="first" r:id="rId26"/>
      <w:footerReference w:type="first" r:id="rId27"/>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D0243F" w14:paraId="656716D9" w14:textId="77777777" w:rsidTr="005539C3">
      <w:tc>
        <w:tcPr>
          <w:tcW w:w="993" w:type="dxa"/>
          <w:tcBorders>
            <w:top w:val="single" w:sz="4" w:space="0" w:color="000000" w:themeColor="text1"/>
          </w:tcBorders>
        </w:tcPr>
        <w:p w14:paraId="0F4C4A5A" w14:textId="77777777" w:rsidR="004B6F0B" w:rsidRPr="00385C68" w:rsidRDefault="004B6F0B" w:rsidP="004B6F0B">
          <w:pPr>
            <w:pStyle w:val="FirstFooter"/>
            <w:tabs>
              <w:tab w:val="left" w:pos="1559"/>
              <w:tab w:val="left" w:pos="3828"/>
            </w:tabs>
            <w:rPr>
              <w:sz w:val="18"/>
              <w:szCs w:val="18"/>
              <w:lang w:val="es-ES_tradnl"/>
            </w:rPr>
          </w:pPr>
          <w:r w:rsidRPr="00385C68">
            <w:rPr>
              <w:sz w:val="18"/>
              <w:szCs w:val="18"/>
              <w:lang w:val="es-ES_tradnl"/>
            </w:rPr>
            <w:t>Contacto:</w:t>
          </w:r>
        </w:p>
      </w:tc>
      <w:tc>
        <w:tcPr>
          <w:tcW w:w="2693" w:type="dxa"/>
          <w:tcBorders>
            <w:top w:val="single" w:sz="4" w:space="0" w:color="000000" w:themeColor="text1"/>
          </w:tcBorders>
        </w:tcPr>
        <w:p w14:paraId="7CCD04E8" w14:textId="77777777" w:rsidR="004B6F0B" w:rsidRPr="00385C68" w:rsidRDefault="004B6F0B" w:rsidP="004B6F0B">
          <w:pPr>
            <w:pStyle w:val="FirstFooter"/>
            <w:tabs>
              <w:tab w:val="left" w:pos="2302"/>
            </w:tabs>
            <w:ind w:left="2302" w:hanging="2302"/>
            <w:rPr>
              <w:sz w:val="18"/>
              <w:szCs w:val="18"/>
              <w:lang w:val="es-ES_tradnl"/>
            </w:rPr>
          </w:pPr>
          <w:r w:rsidRPr="00385C68">
            <w:rPr>
              <w:sz w:val="18"/>
              <w:szCs w:val="18"/>
              <w:lang w:val="es-ES_tradnl"/>
            </w:rPr>
            <w:t>Nombre/Organización/Entidad:</w:t>
          </w:r>
        </w:p>
      </w:tc>
      <w:tc>
        <w:tcPr>
          <w:tcW w:w="5919" w:type="dxa"/>
          <w:tcBorders>
            <w:top w:val="single" w:sz="4" w:space="0" w:color="000000" w:themeColor="text1"/>
          </w:tcBorders>
        </w:tcPr>
        <w:p w14:paraId="60422A8C" w14:textId="2FCB8D1F" w:rsidR="004B6F0B" w:rsidRPr="00385C68" w:rsidRDefault="00D0243F" w:rsidP="00D0243F">
          <w:pPr>
            <w:pStyle w:val="FirstFooter"/>
            <w:rPr>
              <w:sz w:val="18"/>
              <w:szCs w:val="18"/>
              <w:highlight w:val="yellow"/>
              <w:lang w:val="es-ES_tradnl"/>
            </w:rPr>
          </w:pPr>
          <w:r w:rsidRPr="00385C68">
            <w:rPr>
              <w:sz w:val="18"/>
              <w:szCs w:val="18"/>
              <w:lang w:val="es-ES_tradnl"/>
            </w:rPr>
            <w:t xml:space="preserve">Sr. Marco </w:t>
          </w:r>
          <w:proofErr w:type="spellStart"/>
          <w:r w:rsidRPr="00385C68">
            <w:rPr>
              <w:sz w:val="18"/>
              <w:szCs w:val="18"/>
              <w:lang w:val="es-ES_tradnl"/>
            </w:rPr>
            <w:t>Obiso</w:t>
          </w:r>
          <w:proofErr w:type="spellEnd"/>
          <w:r w:rsidRPr="00385C68">
            <w:rPr>
              <w:sz w:val="18"/>
              <w:szCs w:val="18"/>
              <w:lang w:val="es-ES_tradnl"/>
            </w:rPr>
            <w:t>, Jefe del Departamento de Entorno y Redes Digitales, Oficina de Desarrollo de las Telecomunicaciones</w:t>
          </w:r>
        </w:p>
      </w:tc>
    </w:tr>
    <w:tr w:rsidR="004B6F0B" w:rsidRPr="00CB110F" w14:paraId="68C18A92" w14:textId="77777777" w:rsidTr="005539C3">
      <w:tc>
        <w:tcPr>
          <w:tcW w:w="993" w:type="dxa"/>
        </w:tcPr>
        <w:p w14:paraId="3EE46271" w14:textId="77777777" w:rsidR="004B6F0B" w:rsidRPr="00385C68" w:rsidRDefault="004B6F0B" w:rsidP="004B6F0B">
          <w:pPr>
            <w:pStyle w:val="FirstFooter"/>
            <w:tabs>
              <w:tab w:val="left" w:pos="1559"/>
              <w:tab w:val="left" w:pos="3828"/>
            </w:tabs>
            <w:rPr>
              <w:sz w:val="18"/>
              <w:szCs w:val="18"/>
              <w:lang w:val="es-ES_tradnl"/>
            </w:rPr>
          </w:pPr>
        </w:p>
      </w:tc>
      <w:tc>
        <w:tcPr>
          <w:tcW w:w="2693" w:type="dxa"/>
        </w:tcPr>
        <w:p w14:paraId="5AA15A32" w14:textId="77777777" w:rsidR="004B6F0B" w:rsidRPr="00385C68" w:rsidRDefault="004B6F0B" w:rsidP="004B6F0B">
          <w:pPr>
            <w:pStyle w:val="FirstFooter"/>
            <w:tabs>
              <w:tab w:val="left" w:pos="2302"/>
            </w:tabs>
            <w:rPr>
              <w:sz w:val="18"/>
              <w:szCs w:val="18"/>
              <w:lang w:val="es-ES_tradnl"/>
            </w:rPr>
          </w:pPr>
          <w:r w:rsidRPr="00385C68">
            <w:rPr>
              <w:sz w:val="18"/>
              <w:szCs w:val="18"/>
              <w:lang w:val="es-ES_tradnl"/>
            </w:rPr>
            <w:t>Teléfono:</w:t>
          </w:r>
        </w:p>
      </w:tc>
      <w:tc>
        <w:tcPr>
          <w:tcW w:w="5919" w:type="dxa"/>
        </w:tcPr>
        <w:p w14:paraId="7B0E2580" w14:textId="48D90CB1" w:rsidR="004B6F0B" w:rsidRPr="00385C68" w:rsidRDefault="00D0243F" w:rsidP="00D0243F">
          <w:pPr>
            <w:pStyle w:val="FirstFooter"/>
            <w:tabs>
              <w:tab w:val="left" w:pos="2302"/>
            </w:tabs>
            <w:rPr>
              <w:sz w:val="18"/>
              <w:szCs w:val="18"/>
              <w:highlight w:val="yellow"/>
              <w:lang w:val="es-ES_tradnl"/>
            </w:rPr>
          </w:pPr>
          <w:r w:rsidRPr="00385C68">
            <w:rPr>
              <w:sz w:val="18"/>
              <w:szCs w:val="18"/>
              <w:lang w:val="es-ES_tradnl"/>
            </w:rPr>
            <w:t>+41 22 730 6760</w:t>
          </w:r>
        </w:p>
      </w:tc>
    </w:tr>
    <w:tr w:rsidR="004B6F0B" w:rsidRPr="00CB110F" w14:paraId="74482ECB" w14:textId="77777777" w:rsidTr="005539C3">
      <w:tc>
        <w:tcPr>
          <w:tcW w:w="993" w:type="dxa"/>
        </w:tcPr>
        <w:p w14:paraId="63EDF29B" w14:textId="77777777" w:rsidR="004B6F0B" w:rsidRPr="00385C68" w:rsidRDefault="004B6F0B" w:rsidP="004B6F0B">
          <w:pPr>
            <w:pStyle w:val="FirstFooter"/>
            <w:tabs>
              <w:tab w:val="left" w:pos="1559"/>
              <w:tab w:val="left" w:pos="3828"/>
            </w:tabs>
            <w:rPr>
              <w:sz w:val="18"/>
              <w:szCs w:val="18"/>
              <w:lang w:val="es-ES_tradnl"/>
            </w:rPr>
          </w:pPr>
        </w:p>
      </w:tc>
      <w:tc>
        <w:tcPr>
          <w:tcW w:w="2693" w:type="dxa"/>
        </w:tcPr>
        <w:p w14:paraId="3A810FE8" w14:textId="77777777" w:rsidR="004B6F0B" w:rsidRPr="00385C68" w:rsidRDefault="004B6F0B" w:rsidP="004B6F0B">
          <w:pPr>
            <w:pStyle w:val="FirstFooter"/>
            <w:tabs>
              <w:tab w:val="left" w:pos="2302"/>
            </w:tabs>
            <w:rPr>
              <w:sz w:val="18"/>
              <w:szCs w:val="18"/>
              <w:lang w:val="es-ES_tradnl"/>
            </w:rPr>
          </w:pPr>
          <w:r w:rsidRPr="00385C68">
            <w:rPr>
              <w:sz w:val="18"/>
              <w:szCs w:val="18"/>
              <w:lang w:val="es-ES_tradnl"/>
            </w:rPr>
            <w:t>Correo-e:</w:t>
          </w:r>
        </w:p>
      </w:tc>
      <w:tc>
        <w:tcPr>
          <w:tcW w:w="5919" w:type="dxa"/>
        </w:tcPr>
        <w:p w14:paraId="044C0AD5" w14:textId="0B289442" w:rsidR="004B6F0B" w:rsidRPr="00385C68" w:rsidRDefault="00D0243F" w:rsidP="00D0243F">
          <w:pPr>
            <w:pStyle w:val="FirstFooter"/>
            <w:tabs>
              <w:tab w:val="left" w:pos="2302"/>
            </w:tabs>
            <w:rPr>
              <w:sz w:val="18"/>
              <w:szCs w:val="18"/>
              <w:lang w:val="es-ES_tradnl"/>
            </w:rPr>
          </w:pPr>
          <w:hyperlink r:id="rId1" w:history="1">
            <w:r w:rsidRPr="00385C68">
              <w:rPr>
                <w:rStyle w:val="Hyperlink"/>
                <w:sz w:val="18"/>
                <w:szCs w:val="18"/>
                <w:lang w:val="es-ES_tradnl"/>
              </w:rPr>
              <w:t>marco.obiso@itu.int</w:t>
            </w:r>
          </w:hyperlink>
        </w:p>
      </w:tc>
    </w:tr>
  </w:tbl>
  <w:p w14:paraId="1C0FBBF5" w14:textId="77777777" w:rsidR="004B6F0B" w:rsidRDefault="004B6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A990" w14:textId="77777777" w:rsidR="00D0243F" w:rsidRDefault="00D0243F" w:rsidP="00DD1E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 w:id="1">
    <w:p w14:paraId="2F8970DC" w14:textId="77777777" w:rsidR="00D0243F" w:rsidRPr="00D72079" w:rsidRDefault="00D0243F" w:rsidP="00D0243F">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565E314A" w:rsidR="00721657" w:rsidRPr="00A525CC" w:rsidRDefault="00A525CC" w:rsidP="00DD1E67">
    <w:pPr>
      <w:tabs>
        <w:tab w:val="clear" w:pos="794"/>
        <w:tab w:val="clear" w:pos="1191"/>
        <w:tab w:val="clear" w:pos="1588"/>
        <w:tab w:val="clear" w:pos="1985"/>
        <w:tab w:val="center" w:pos="4820"/>
        <w:tab w:val="left" w:pos="873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D0243F">
      <w:rPr>
        <w:sz w:val="22"/>
        <w:szCs w:val="22"/>
        <w:lang w:val="de-CH"/>
      </w:rPr>
      <w:t>26</w:t>
    </w:r>
    <w:r w:rsidRPr="006D271A">
      <w:rPr>
        <w:sz w:val="22"/>
        <w:szCs w:val="22"/>
        <w:lang w:val="de-CH"/>
      </w:rPr>
      <w:t>-</w:t>
    </w:r>
    <w:r w:rsidR="00842E57">
      <w:rPr>
        <w:sz w:val="22"/>
        <w:szCs w:val="22"/>
        <w:lang w:val="de-CH"/>
      </w:rPr>
      <w:t>S</w:t>
    </w:r>
    <w:r w:rsidRPr="006D271A">
      <w:rPr>
        <w:sz w:val="22"/>
        <w:szCs w:val="22"/>
        <w:lang w:val="de-CH"/>
      </w:rPr>
      <w:tab/>
    </w:r>
    <w:proofErr w:type="spellStart"/>
    <w:r w:rsidR="00842E57">
      <w:rPr>
        <w:sz w:val="22"/>
        <w:szCs w:val="22"/>
        <w:lang w:val="de-CH"/>
      </w:rPr>
      <w:t>Página</w:t>
    </w:r>
    <w:proofErr w:type="spellEnd"/>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60B8" w14:textId="6C40B7CD" w:rsidR="00D0243F" w:rsidRDefault="00D0243F" w:rsidP="003D7B21">
    <w:pPr>
      <w:tabs>
        <w:tab w:val="clear" w:pos="794"/>
        <w:tab w:val="clear" w:pos="1191"/>
        <w:tab w:val="clear" w:pos="1588"/>
        <w:tab w:val="clear" w:pos="1985"/>
        <w:tab w:val="center" w:pos="7110"/>
        <w:tab w:val="right" w:pos="13860"/>
      </w:tabs>
      <w:ind w:right="1"/>
      <w:rPr>
        <w:sz w:val="22"/>
        <w:szCs w:val="22"/>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26</w:t>
    </w:r>
    <w:r w:rsidRPr="006D271A">
      <w:rPr>
        <w:sz w:val="22"/>
        <w:szCs w:val="22"/>
        <w:lang w:val="de-CH"/>
      </w:rPr>
      <w:t>-</w:t>
    </w:r>
    <w:r>
      <w:rPr>
        <w:sz w:val="22"/>
        <w:szCs w:val="22"/>
        <w:lang w:val="de-CH"/>
      </w:rPr>
      <w:t>S</w:t>
    </w:r>
    <w:r w:rsidRPr="006D271A">
      <w:rPr>
        <w:sz w:val="22"/>
        <w:szCs w:val="22"/>
        <w:lang w:val="de-CH"/>
      </w:rPr>
      <w:tab/>
    </w:r>
    <w:proofErr w:type="spellStart"/>
    <w:r>
      <w:rPr>
        <w:sz w:val="22"/>
        <w:szCs w:val="22"/>
        <w:lang w:val="de-CH"/>
      </w:rPr>
      <w:t>Página</w:t>
    </w:r>
    <w:proofErr w:type="spellEnd"/>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p w14:paraId="09D8158F" w14:textId="77777777" w:rsidR="00D0243F" w:rsidRPr="00A525CC" w:rsidRDefault="00D0243F" w:rsidP="00D0243F">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D909" w14:textId="77777777" w:rsidR="00385C68" w:rsidRDefault="00385C68" w:rsidP="00DD1E67">
    <w:pPr>
      <w:tabs>
        <w:tab w:val="clear" w:pos="794"/>
        <w:tab w:val="clear" w:pos="1191"/>
        <w:tab w:val="clear" w:pos="1588"/>
        <w:tab w:val="clear" w:pos="1985"/>
        <w:tab w:val="center" w:pos="7110"/>
        <w:tab w:val="left" w:pos="13140"/>
        <w:tab w:val="right" w:pos="13997"/>
      </w:tabs>
      <w:ind w:right="1"/>
      <w:rPr>
        <w:sz w:val="22"/>
        <w:szCs w:val="22"/>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26</w:t>
    </w:r>
    <w:r w:rsidRPr="006D271A">
      <w:rPr>
        <w:sz w:val="22"/>
        <w:szCs w:val="22"/>
        <w:lang w:val="de-CH"/>
      </w:rPr>
      <w:t>-</w:t>
    </w:r>
    <w:r>
      <w:rPr>
        <w:sz w:val="22"/>
        <w:szCs w:val="22"/>
        <w:lang w:val="de-CH"/>
      </w:rPr>
      <w:t>S</w:t>
    </w:r>
    <w:r w:rsidRPr="006D271A">
      <w:rPr>
        <w:sz w:val="22"/>
        <w:szCs w:val="22"/>
        <w:lang w:val="de-CH"/>
      </w:rPr>
      <w:tab/>
    </w:r>
    <w:proofErr w:type="spellStart"/>
    <w:r>
      <w:rPr>
        <w:sz w:val="22"/>
        <w:szCs w:val="22"/>
        <w:lang w:val="de-CH"/>
      </w:rPr>
      <w:t>Página</w:t>
    </w:r>
    <w:proofErr w:type="spellEnd"/>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5</w:t>
    </w:r>
    <w:r w:rsidRPr="00972BCD">
      <w:rPr>
        <w:sz w:val="22"/>
        <w:szCs w:val="22"/>
      </w:rPr>
      <w:fldChar w:fldCharType="end"/>
    </w:r>
  </w:p>
  <w:p w14:paraId="7C9358CB" w14:textId="77777777" w:rsidR="00F32781" w:rsidRPr="00385C68" w:rsidRDefault="00F32781" w:rsidP="00385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447D"/>
    <w:multiLevelType w:val="hybridMultilevel"/>
    <w:tmpl w:val="7080427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F4C33EF"/>
    <w:multiLevelType w:val="hybridMultilevel"/>
    <w:tmpl w:val="77AA4DF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5C6A282D"/>
    <w:multiLevelType w:val="hybridMultilevel"/>
    <w:tmpl w:val="F1282444"/>
    <w:lvl w:ilvl="0" w:tplc="93E6492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7C12091B"/>
    <w:multiLevelType w:val="hybridMultilevel"/>
    <w:tmpl w:val="658E6104"/>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DB71DDE"/>
    <w:multiLevelType w:val="hybridMultilevel"/>
    <w:tmpl w:val="DFDCB7D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7"/>
  </w:num>
  <w:num w:numId="4">
    <w:abstractNumId w:val="4"/>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1B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6233"/>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5C68"/>
    <w:rsid w:val="00386A89"/>
    <w:rsid w:val="0039648E"/>
    <w:rsid w:val="003A5AFE"/>
    <w:rsid w:val="003A5D5F"/>
    <w:rsid w:val="003A7FFE"/>
    <w:rsid w:val="003B0A63"/>
    <w:rsid w:val="003B50E1"/>
    <w:rsid w:val="003C1746"/>
    <w:rsid w:val="003C2AA9"/>
    <w:rsid w:val="003C58BF"/>
    <w:rsid w:val="003C6C09"/>
    <w:rsid w:val="003D451D"/>
    <w:rsid w:val="003D7B21"/>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0F9"/>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0800"/>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243F"/>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1E67"/>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781"/>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table" w:styleId="GridTable4-Accent1">
    <w:name w:val="Grid Table 4 Accent 1"/>
    <w:basedOn w:val="TableNormal"/>
    <w:uiPriority w:val="49"/>
    <w:rsid w:val="00D024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D0243F"/>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D0243F"/>
    <w:rPr>
      <w:rFonts w:asciiTheme="minorHAnsi" w:hAnsiTheme="minorHAnsi"/>
      <w:sz w:val="24"/>
      <w:lang w:val="en-GB" w:eastAsia="en-US"/>
    </w:rPr>
  </w:style>
  <w:style w:type="paragraph" w:customStyle="1" w:styleId="Default">
    <w:name w:val="Default"/>
    <w:rsid w:val="00D0243F"/>
    <w:pPr>
      <w:autoSpaceDE w:val="0"/>
      <w:autoSpaceDN w:val="0"/>
      <w:adjustRightInd w:val="0"/>
    </w:pPr>
    <w:rPr>
      <w:rFonts w:ascii="Verdana" w:eastAsia="Batang" w:hAnsi="Verdana" w:cs="Verdana"/>
      <w:color w:val="000000"/>
      <w:sz w:val="24"/>
      <w:szCs w:val="24"/>
      <w:lang w:val="en-GB"/>
    </w:rPr>
  </w:style>
  <w:style w:type="character" w:customStyle="1" w:styleId="enumlev1Char">
    <w:name w:val="enumlev1 Char"/>
    <w:link w:val="enumlev1"/>
    <w:qFormat/>
    <w:rsid w:val="00D0243F"/>
    <w:rPr>
      <w:rFonts w:asciiTheme="minorHAnsi" w:hAnsiTheme="minorHAnsi"/>
      <w:sz w:val="24"/>
      <w:lang w:val="en-GB" w:eastAsia="en-US"/>
    </w:rPr>
  </w:style>
  <w:style w:type="character" w:customStyle="1" w:styleId="CEONormalChar">
    <w:name w:val="CEO_Normal Char"/>
    <w:link w:val="CEONormal"/>
    <w:locked/>
    <w:rsid w:val="00D0243F"/>
    <w:rPr>
      <w:rFonts w:ascii="Verdana" w:eastAsia="SimSun" w:hAnsi="Verdana"/>
      <w:sz w:val="19"/>
      <w:szCs w:val="19"/>
      <w:lang w:val="en-GB" w:eastAsia="en-US"/>
    </w:rPr>
  </w:style>
  <w:style w:type="paragraph" w:customStyle="1" w:styleId="CEONormal">
    <w:name w:val="CEO_Normal"/>
    <w:link w:val="CEONormalChar"/>
    <w:rsid w:val="00D0243F"/>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 TargetMode="External"/><Relationship Id="rId18" Type="http://schemas.openxmlformats.org/officeDocument/2006/relationships/hyperlink" Target="https://www.itu.int/wtsa/2024/related-even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pub/T-REG-WTSADRAFT-2024/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wtsa/2024/related-event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en/ITU-T/wtsa24/Documents/WTSA-24_GSS-24_Brochure.pdf" TargetMode="External"/><Relationship Id="rId20" Type="http://schemas.openxmlformats.org/officeDocument/2006/relationships/hyperlink" Target="https://www.itu.int/en/ITU-T/studygroups/2025-20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ITU-T/wtsa24/Documents/WTSA-24_GSS-24_Brochure.pdf%22%20/t%20%22_blan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pub/T-REG-WTSADRAFT-2024/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WTSADRAFT-2024/es" TargetMode="External"/><Relationship Id="rId22" Type="http://schemas.openxmlformats.org/officeDocument/2006/relationships/hyperlink" Target="https://www.itu.int/pub/T-REG-WTSADRAFT-2024/e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1985D8AE-FC8D-4EC2-8C47-0B32D90CB999}"/>
</file>

<file path=customXml/itemProps4.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26</Pages>
  <Words>9086</Words>
  <Characters>56565</Characters>
  <Application>Microsoft Office Word</Application>
  <DocSecurity>0</DocSecurity>
  <Lines>471</Lines>
  <Paragraphs>131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TSB (RC)</cp:lastModifiedBy>
  <cp:revision>6</cp:revision>
  <cp:lastPrinted>2014-11-04T09:22:00Z</cp:lastPrinted>
  <dcterms:created xsi:type="dcterms:W3CDTF">2025-05-01T10:01:00Z</dcterms:created>
  <dcterms:modified xsi:type="dcterms:W3CDTF">2025-05-01T11:56:00Z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