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DE7ADC" w14:paraId="3F0E9EC4" w14:textId="77777777" w:rsidTr="00E24DE9">
        <w:trPr>
          <w:cantSplit/>
          <w:trHeight w:val="1134"/>
        </w:trPr>
        <w:tc>
          <w:tcPr>
            <w:tcW w:w="1985" w:type="dxa"/>
          </w:tcPr>
          <w:p w14:paraId="1C6881CD" w14:textId="419D18F9" w:rsidR="00921A30" w:rsidRPr="00DE7ADC" w:rsidRDefault="00AC2BF7" w:rsidP="001E5219">
            <w:pPr>
              <w:tabs>
                <w:tab w:val="clear" w:pos="1191"/>
                <w:tab w:val="clear" w:pos="1588"/>
                <w:tab w:val="clear" w:pos="1985"/>
              </w:tabs>
              <w:spacing w:after="40"/>
              <w:rPr>
                <w:b/>
                <w:bCs/>
                <w:sz w:val="32"/>
                <w:szCs w:val="32"/>
                <w:lang w:val="fr-FR"/>
              </w:rPr>
            </w:pPr>
            <w:r w:rsidRPr="00DE7ADC">
              <w:rPr>
                <w:b/>
                <w:bCs/>
                <w:noProof/>
                <w:sz w:val="32"/>
                <w:szCs w:val="32"/>
                <w:lang w:val="fr-FR"/>
              </w:rPr>
              <w:drawing>
                <wp:inline distT="0" distB="0" distL="0" distR="0" wp14:anchorId="7DECAEFB" wp14:editId="4B7DE9F4">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DE7ADC" w:rsidRDefault="00921A30" w:rsidP="004037AF">
            <w:pPr>
              <w:tabs>
                <w:tab w:val="clear" w:pos="1191"/>
                <w:tab w:val="clear" w:pos="1588"/>
                <w:tab w:val="clear" w:pos="1985"/>
              </w:tabs>
              <w:spacing w:before="240" w:after="240"/>
              <w:ind w:left="34"/>
              <w:rPr>
                <w:b/>
                <w:bCs/>
                <w:sz w:val="32"/>
                <w:szCs w:val="32"/>
                <w:lang w:val="fr-FR"/>
              </w:rPr>
            </w:pPr>
            <w:r w:rsidRPr="00DE7ADC">
              <w:rPr>
                <w:b/>
                <w:bCs/>
                <w:sz w:val="32"/>
                <w:szCs w:val="32"/>
                <w:lang w:val="fr-FR"/>
              </w:rPr>
              <w:t xml:space="preserve">Groupe consultatif pour le développement </w:t>
            </w:r>
            <w:r w:rsidRPr="00DE7ADC">
              <w:rPr>
                <w:b/>
                <w:bCs/>
                <w:sz w:val="32"/>
                <w:szCs w:val="32"/>
                <w:lang w:val="fr-FR"/>
              </w:rPr>
              <w:br/>
              <w:t>des télécommunications (GCDT)</w:t>
            </w:r>
          </w:p>
          <w:p w14:paraId="5F5F590A" w14:textId="7427F64C" w:rsidR="00921A30" w:rsidRPr="00DE7ADC" w:rsidRDefault="00921A30" w:rsidP="001011EB">
            <w:pPr>
              <w:tabs>
                <w:tab w:val="clear" w:pos="1191"/>
                <w:tab w:val="clear" w:pos="1588"/>
                <w:tab w:val="clear" w:pos="1985"/>
              </w:tabs>
              <w:spacing w:after="120"/>
              <w:ind w:left="34"/>
              <w:rPr>
                <w:rFonts w:ascii="Verdana" w:hAnsi="Verdana"/>
                <w:sz w:val="28"/>
                <w:szCs w:val="28"/>
                <w:lang w:val="fr-FR"/>
              </w:rPr>
            </w:pPr>
            <w:r w:rsidRPr="00DE7ADC">
              <w:rPr>
                <w:b/>
                <w:bCs/>
                <w:sz w:val="26"/>
                <w:szCs w:val="26"/>
                <w:lang w:val="fr-FR"/>
              </w:rPr>
              <w:t>32ème réunion, Genève, Suisse, 12-16 mai 2025</w:t>
            </w:r>
          </w:p>
        </w:tc>
        <w:tc>
          <w:tcPr>
            <w:tcW w:w="1666" w:type="dxa"/>
          </w:tcPr>
          <w:p w14:paraId="67E7B4C4" w14:textId="0F52E4CC" w:rsidR="00921A30" w:rsidRPr="00DE7ADC" w:rsidRDefault="00921A30" w:rsidP="00946023">
            <w:pPr>
              <w:spacing w:before="240" w:after="120"/>
              <w:ind w:right="142"/>
              <w:jc w:val="right"/>
              <w:rPr>
                <w:lang w:val="fr-FR"/>
              </w:rPr>
            </w:pPr>
            <w:r w:rsidRPr="00DE7ADC">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DE7ADC" w14:paraId="3C13197B" w14:textId="77777777" w:rsidTr="0009076F">
        <w:trPr>
          <w:cantSplit/>
        </w:trPr>
        <w:tc>
          <w:tcPr>
            <w:tcW w:w="6379" w:type="dxa"/>
            <w:gridSpan w:val="2"/>
            <w:tcBorders>
              <w:top w:val="single" w:sz="12" w:space="0" w:color="auto"/>
            </w:tcBorders>
          </w:tcPr>
          <w:p w14:paraId="2EED9DB2" w14:textId="77777777" w:rsidR="00683C32" w:rsidRPr="00DE7ADC"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DE7ADC" w:rsidRDefault="00683C32" w:rsidP="00107E85">
            <w:pPr>
              <w:spacing w:before="0"/>
              <w:rPr>
                <w:b/>
                <w:bCs/>
                <w:sz w:val="20"/>
                <w:lang w:val="fr-FR"/>
              </w:rPr>
            </w:pPr>
          </w:p>
        </w:tc>
      </w:tr>
      <w:tr w:rsidR="00683C32" w:rsidRPr="00DE7ADC" w14:paraId="0BB3FBC4" w14:textId="77777777" w:rsidTr="0009076F">
        <w:trPr>
          <w:cantSplit/>
        </w:trPr>
        <w:tc>
          <w:tcPr>
            <w:tcW w:w="6379" w:type="dxa"/>
            <w:gridSpan w:val="2"/>
          </w:tcPr>
          <w:p w14:paraId="43C54B3D" w14:textId="77777777" w:rsidR="00683C32" w:rsidRPr="00DE7ADC" w:rsidRDefault="00683C32" w:rsidP="00400CCF">
            <w:pPr>
              <w:pStyle w:val="Committee"/>
              <w:spacing w:before="0"/>
              <w:rPr>
                <w:b w:val="0"/>
                <w:szCs w:val="24"/>
                <w:lang w:val="fr-FR"/>
              </w:rPr>
            </w:pPr>
          </w:p>
        </w:tc>
        <w:tc>
          <w:tcPr>
            <w:tcW w:w="3509" w:type="dxa"/>
            <w:gridSpan w:val="2"/>
          </w:tcPr>
          <w:p w14:paraId="02E44EE9" w14:textId="63AAA9E8" w:rsidR="00683C32" w:rsidRPr="00DE7ADC" w:rsidRDefault="0096201B" w:rsidP="00E25345">
            <w:pPr>
              <w:spacing w:before="0"/>
              <w:jc w:val="both"/>
              <w:rPr>
                <w:bCs/>
                <w:szCs w:val="24"/>
                <w:lang w:val="fr-FR"/>
              </w:rPr>
            </w:pPr>
            <w:r w:rsidRPr="00DE7ADC">
              <w:rPr>
                <w:b/>
                <w:bCs/>
                <w:lang w:val="fr-FR"/>
              </w:rPr>
              <w:t xml:space="preserve">Document </w:t>
            </w:r>
            <w:bookmarkStart w:id="0" w:name="DocRef1"/>
            <w:bookmarkEnd w:id="0"/>
            <w:r w:rsidRPr="00DE7ADC">
              <w:rPr>
                <w:b/>
                <w:bCs/>
                <w:lang w:val="fr-FR"/>
              </w:rPr>
              <w:t>TDAG</w:t>
            </w:r>
            <w:r w:rsidR="003242AB" w:rsidRPr="00DE7ADC">
              <w:rPr>
                <w:b/>
                <w:bCs/>
                <w:lang w:val="fr-FR"/>
              </w:rPr>
              <w:t>-</w:t>
            </w:r>
            <w:r w:rsidR="00B648C7" w:rsidRPr="00DE7ADC">
              <w:rPr>
                <w:b/>
                <w:bCs/>
                <w:lang w:val="fr-FR"/>
              </w:rPr>
              <w:t>2</w:t>
            </w:r>
            <w:bookmarkStart w:id="1" w:name="DocNo1"/>
            <w:bookmarkEnd w:id="1"/>
            <w:r w:rsidR="001C48D3" w:rsidRPr="00DE7ADC">
              <w:rPr>
                <w:b/>
                <w:bCs/>
                <w:lang w:val="fr-FR"/>
              </w:rPr>
              <w:t>5</w:t>
            </w:r>
            <w:r w:rsidR="0009076F" w:rsidRPr="00DE7ADC">
              <w:rPr>
                <w:b/>
                <w:bCs/>
                <w:lang w:val="fr-FR"/>
              </w:rPr>
              <w:t>/</w:t>
            </w:r>
            <w:r w:rsidR="002137C7" w:rsidRPr="00DE7ADC">
              <w:rPr>
                <w:b/>
                <w:bCs/>
                <w:lang w:val="fr-FR"/>
              </w:rPr>
              <w:t>25</w:t>
            </w:r>
            <w:r w:rsidRPr="00DE7ADC">
              <w:rPr>
                <w:b/>
                <w:bCs/>
                <w:lang w:val="fr-FR"/>
              </w:rPr>
              <w:t>-</w:t>
            </w:r>
            <w:r w:rsidR="00E25345" w:rsidRPr="00DE7ADC">
              <w:rPr>
                <w:b/>
                <w:bCs/>
                <w:lang w:val="fr-FR"/>
              </w:rPr>
              <w:t>F</w:t>
            </w:r>
          </w:p>
        </w:tc>
      </w:tr>
      <w:tr w:rsidR="00683C32" w:rsidRPr="00DE7ADC" w14:paraId="24D04936" w14:textId="77777777" w:rsidTr="0009076F">
        <w:trPr>
          <w:cantSplit/>
        </w:trPr>
        <w:tc>
          <w:tcPr>
            <w:tcW w:w="6379" w:type="dxa"/>
            <w:gridSpan w:val="2"/>
          </w:tcPr>
          <w:p w14:paraId="12CE4DBF" w14:textId="77777777" w:rsidR="00683C32" w:rsidRPr="00DE7ADC" w:rsidRDefault="00683C32" w:rsidP="00400CCF">
            <w:pPr>
              <w:spacing w:before="0"/>
              <w:rPr>
                <w:b/>
                <w:bCs/>
                <w:smallCaps/>
                <w:szCs w:val="24"/>
                <w:lang w:val="fr-FR"/>
              </w:rPr>
            </w:pPr>
          </w:p>
        </w:tc>
        <w:tc>
          <w:tcPr>
            <w:tcW w:w="3509" w:type="dxa"/>
            <w:gridSpan w:val="2"/>
          </w:tcPr>
          <w:p w14:paraId="0F89640F" w14:textId="45432CD4" w:rsidR="00683C32" w:rsidRPr="00DE7ADC" w:rsidRDefault="002137C7" w:rsidP="00B648C7">
            <w:pPr>
              <w:spacing w:before="0"/>
              <w:rPr>
                <w:b/>
                <w:szCs w:val="24"/>
                <w:lang w:val="fr-FR"/>
              </w:rPr>
            </w:pPr>
            <w:bookmarkStart w:id="2" w:name="CreationDate"/>
            <w:bookmarkEnd w:id="2"/>
            <w:r w:rsidRPr="00DE7ADC">
              <w:rPr>
                <w:b/>
                <w:bCs/>
                <w:szCs w:val="28"/>
                <w:lang w:val="fr-FR"/>
              </w:rPr>
              <w:t xml:space="preserve">1er avril </w:t>
            </w:r>
            <w:r w:rsidR="001C48D3" w:rsidRPr="00DE7ADC">
              <w:rPr>
                <w:b/>
                <w:bCs/>
                <w:szCs w:val="28"/>
                <w:lang w:val="fr-FR"/>
              </w:rPr>
              <w:t>2025</w:t>
            </w:r>
          </w:p>
        </w:tc>
      </w:tr>
      <w:tr w:rsidR="00683C32" w:rsidRPr="00DE7ADC" w14:paraId="7B96545F" w14:textId="77777777" w:rsidTr="0009076F">
        <w:trPr>
          <w:cantSplit/>
        </w:trPr>
        <w:tc>
          <w:tcPr>
            <w:tcW w:w="6379" w:type="dxa"/>
            <w:gridSpan w:val="2"/>
          </w:tcPr>
          <w:p w14:paraId="65956FD3" w14:textId="77777777" w:rsidR="00683C32" w:rsidRPr="00DE7ADC" w:rsidRDefault="00683C32" w:rsidP="00400CCF">
            <w:pPr>
              <w:spacing w:before="0"/>
              <w:rPr>
                <w:b/>
                <w:bCs/>
                <w:smallCaps/>
                <w:szCs w:val="24"/>
                <w:lang w:val="fr-FR"/>
              </w:rPr>
            </w:pPr>
          </w:p>
        </w:tc>
        <w:tc>
          <w:tcPr>
            <w:tcW w:w="3509" w:type="dxa"/>
            <w:gridSpan w:val="2"/>
          </w:tcPr>
          <w:p w14:paraId="30EFD39F" w14:textId="33ACFB79" w:rsidR="00514D2F" w:rsidRPr="00DE7ADC" w:rsidRDefault="0096201B" w:rsidP="001011EB">
            <w:pPr>
              <w:spacing w:before="0"/>
              <w:rPr>
                <w:szCs w:val="24"/>
                <w:lang w:val="fr-FR"/>
              </w:rPr>
            </w:pPr>
            <w:r w:rsidRPr="00DE7ADC">
              <w:rPr>
                <w:b/>
                <w:lang w:val="fr-FR"/>
              </w:rPr>
              <w:t>Original:</w:t>
            </w:r>
            <w:bookmarkStart w:id="3" w:name="Original"/>
            <w:bookmarkEnd w:id="3"/>
            <w:r w:rsidR="00CE0422" w:rsidRPr="00DE7ADC">
              <w:rPr>
                <w:b/>
                <w:lang w:val="fr-FR"/>
              </w:rPr>
              <w:t xml:space="preserve"> </w:t>
            </w:r>
            <w:r w:rsidR="001011EB" w:rsidRPr="00DE7ADC">
              <w:rPr>
                <w:b/>
                <w:lang w:val="fr-FR"/>
              </w:rPr>
              <w:t>anglais</w:t>
            </w:r>
          </w:p>
        </w:tc>
      </w:tr>
      <w:tr w:rsidR="00A13162" w:rsidRPr="0075000D" w14:paraId="31656E31" w14:textId="77777777" w:rsidTr="00107E85">
        <w:trPr>
          <w:cantSplit/>
          <w:trHeight w:val="852"/>
        </w:trPr>
        <w:tc>
          <w:tcPr>
            <w:tcW w:w="9888" w:type="dxa"/>
            <w:gridSpan w:val="4"/>
          </w:tcPr>
          <w:p w14:paraId="512FCA01" w14:textId="39B1AFB6" w:rsidR="00A13162" w:rsidRPr="00DE7ADC" w:rsidRDefault="002137C7" w:rsidP="0030353C">
            <w:pPr>
              <w:pStyle w:val="Source"/>
              <w:rPr>
                <w:lang w:val="fr-FR"/>
              </w:rPr>
            </w:pPr>
            <w:bookmarkStart w:id="4" w:name="Source"/>
            <w:bookmarkEnd w:id="4"/>
            <w:r w:rsidRPr="00DE7ADC">
              <w:rPr>
                <w:lang w:val="fr-FR"/>
              </w:rPr>
              <w:t>Directeur du Bureau de développement des télécommunications</w:t>
            </w:r>
          </w:p>
        </w:tc>
      </w:tr>
      <w:tr w:rsidR="00AC6F14" w:rsidRPr="0075000D" w14:paraId="2CBD3A36" w14:textId="77777777" w:rsidTr="00107E85">
        <w:trPr>
          <w:cantSplit/>
        </w:trPr>
        <w:tc>
          <w:tcPr>
            <w:tcW w:w="9888" w:type="dxa"/>
            <w:gridSpan w:val="4"/>
          </w:tcPr>
          <w:p w14:paraId="1B4121DF" w14:textId="48C32489" w:rsidR="00AC6F14" w:rsidRPr="00DE7ADC" w:rsidRDefault="002137C7" w:rsidP="001011EB">
            <w:pPr>
              <w:pStyle w:val="Title1"/>
              <w:rPr>
                <w:lang w:val="fr-FR"/>
              </w:rPr>
            </w:pPr>
            <w:bookmarkStart w:id="5" w:name="Title"/>
            <w:bookmarkEnd w:id="5"/>
            <w:r w:rsidRPr="00DE7ADC">
              <w:rPr>
                <w:lang w:val="fr-FR"/>
              </w:rPr>
              <w:t xml:space="preserve">Résultats de l'AR-23 et de la CMR-23: faits nouveaux </w:t>
            </w:r>
            <w:r w:rsidRPr="00DE7ADC">
              <w:rPr>
                <w:lang w:val="fr-FR"/>
              </w:rPr>
              <w:br/>
              <w:t>intéressant les travaux de l'UIT-D</w:t>
            </w:r>
          </w:p>
        </w:tc>
      </w:tr>
      <w:tr w:rsidR="00A721F4" w:rsidRPr="0075000D" w14:paraId="23A30231" w14:textId="77777777" w:rsidTr="00A721F4">
        <w:trPr>
          <w:cantSplit/>
        </w:trPr>
        <w:tc>
          <w:tcPr>
            <w:tcW w:w="9888" w:type="dxa"/>
            <w:gridSpan w:val="4"/>
            <w:tcBorders>
              <w:bottom w:val="single" w:sz="4" w:space="0" w:color="auto"/>
            </w:tcBorders>
          </w:tcPr>
          <w:p w14:paraId="726EE70E" w14:textId="77777777" w:rsidR="00A721F4" w:rsidRPr="00DE7ADC" w:rsidRDefault="00A721F4" w:rsidP="0030353C">
            <w:pPr>
              <w:rPr>
                <w:lang w:val="fr-FR"/>
              </w:rPr>
            </w:pPr>
          </w:p>
        </w:tc>
      </w:tr>
      <w:tr w:rsidR="00A721F4" w:rsidRPr="0075000D"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DE7ADC" w:rsidRDefault="001011EB" w:rsidP="00EA0C51">
            <w:pPr>
              <w:spacing w:after="120"/>
              <w:rPr>
                <w:b/>
                <w:bCs/>
                <w:szCs w:val="24"/>
                <w:lang w:val="fr-FR"/>
              </w:rPr>
            </w:pPr>
            <w:r w:rsidRPr="00DE7ADC">
              <w:rPr>
                <w:b/>
                <w:bCs/>
                <w:szCs w:val="24"/>
                <w:lang w:val="fr-FR"/>
              </w:rPr>
              <w:t>Résumé</w:t>
            </w:r>
            <w:r w:rsidR="00A721F4" w:rsidRPr="00DE7ADC">
              <w:rPr>
                <w:b/>
                <w:bCs/>
                <w:szCs w:val="24"/>
                <w:lang w:val="fr-FR"/>
              </w:rPr>
              <w:t>:</w:t>
            </w:r>
          </w:p>
          <w:p w14:paraId="4082D7E8" w14:textId="59C5A269" w:rsidR="00A721F4" w:rsidRPr="00DE7ADC" w:rsidRDefault="002137C7" w:rsidP="00EA0C51">
            <w:pPr>
              <w:spacing w:after="120"/>
              <w:rPr>
                <w:lang w:val="fr-FR"/>
              </w:rPr>
            </w:pPr>
            <w:r w:rsidRPr="00DE7ADC">
              <w:rPr>
                <w:lang w:val="fr-FR"/>
              </w:rPr>
              <w:t>L'Assemblée des radiocommunications de 2023 (AR-23) s'est tenue à Dubaï (Émirats arabes unis) du 13 au 17 novembre 2023. Elle a été suivie de la Conférence mondiale des radiocommunications de 2023 (CMR-23), qui a eu lieu du 20 novembre au 15 décembre 2023, et de la première session de la Réunion de préparation à la Conférence en vue de la CMR-27 (RPC27-1), les 18 et 19</w:t>
            </w:r>
            <w:r w:rsidR="0071492B" w:rsidRPr="00DE7ADC">
              <w:rPr>
                <w:lang w:val="fr-FR"/>
              </w:rPr>
              <w:t> </w:t>
            </w:r>
            <w:r w:rsidRPr="00DE7ADC">
              <w:rPr>
                <w:lang w:val="fr-FR"/>
              </w:rPr>
              <w:t>décembre 2023.</w:t>
            </w:r>
          </w:p>
          <w:p w14:paraId="2F7F13EB" w14:textId="61675BA3" w:rsidR="002137C7" w:rsidRPr="00DE7ADC" w:rsidRDefault="002137C7" w:rsidP="00EA0C51">
            <w:pPr>
              <w:spacing w:after="120"/>
              <w:rPr>
                <w:szCs w:val="24"/>
                <w:lang w:val="fr-FR"/>
              </w:rPr>
            </w:pPr>
            <w:r w:rsidRPr="00DE7ADC">
              <w:rPr>
                <w:szCs w:val="24"/>
                <w:lang w:val="fr-FR"/>
              </w:rPr>
              <w:t>Le présent document contient un résumé des principaux résultats de ces manifestations et met en évidence les décisions présentant un intérêt pour les travaux du Secteur du développement des télécommunications.</w:t>
            </w:r>
          </w:p>
          <w:p w14:paraId="76A1C541" w14:textId="23209CDB" w:rsidR="00A721F4" w:rsidRPr="00DE7ADC" w:rsidRDefault="001011EB" w:rsidP="00EA0C51">
            <w:pPr>
              <w:spacing w:after="120"/>
              <w:rPr>
                <w:b/>
                <w:bCs/>
                <w:szCs w:val="24"/>
                <w:lang w:val="fr-FR"/>
              </w:rPr>
            </w:pPr>
            <w:r w:rsidRPr="00DE7ADC">
              <w:rPr>
                <w:b/>
                <w:bCs/>
                <w:lang w:val="fr-FR"/>
              </w:rPr>
              <w:t>Suite à donner</w:t>
            </w:r>
            <w:r w:rsidR="00A721F4" w:rsidRPr="00DE7ADC">
              <w:rPr>
                <w:b/>
                <w:bCs/>
                <w:lang w:val="fr-FR"/>
              </w:rPr>
              <w:t>:</w:t>
            </w:r>
          </w:p>
          <w:p w14:paraId="371956FC" w14:textId="162A085D" w:rsidR="00A721F4" w:rsidRPr="00DE7ADC" w:rsidRDefault="002137C7" w:rsidP="00EA0C51">
            <w:pPr>
              <w:spacing w:after="120"/>
              <w:rPr>
                <w:szCs w:val="24"/>
                <w:lang w:val="fr-FR"/>
              </w:rPr>
            </w:pPr>
            <w:r w:rsidRPr="00DE7ADC">
              <w:rPr>
                <w:lang w:val="fr-FR"/>
              </w:rPr>
              <w:t>Le GCDT est invité à prendre note du présent document et à fournir les indications qu'il jugera utiles.</w:t>
            </w:r>
          </w:p>
          <w:p w14:paraId="622ACB80" w14:textId="39EE560D" w:rsidR="00A721F4" w:rsidRPr="00DE7ADC" w:rsidRDefault="00A721F4" w:rsidP="00EA0C51">
            <w:pPr>
              <w:spacing w:after="120"/>
              <w:rPr>
                <w:b/>
                <w:bCs/>
                <w:szCs w:val="24"/>
                <w:lang w:val="fr-FR"/>
              </w:rPr>
            </w:pPr>
            <w:r w:rsidRPr="00DE7ADC">
              <w:rPr>
                <w:b/>
                <w:bCs/>
                <w:szCs w:val="24"/>
                <w:lang w:val="fr-FR"/>
              </w:rPr>
              <w:t>R</w:t>
            </w:r>
            <w:r w:rsidR="001011EB" w:rsidRPr="00DE7ADC">
              <w:rPr>
                <w:b/>
                <w:bCs/>
                <w:szCs w:val="24"/>
                <w:lang w:val="fr-FR"/>
              </w:rPr>
              <w:t>é</w:t>
            </w:r>
            <w:r w:rsidRPr="00DE7ADC">
              <w:rPr>
                <w:b/>
                <w:bCs/>
                <w:szCs w:val="24"/>
                <w:lang w:val="fr-FR"/>
              </w:rPr>
              <w:t>f</w:t>
            </w:r>
            <w:r w:rsidR="001011EB" w:rsidRPr="00DE7ADC">
              <w:rPr>
                <w:b/>
                <w:bCs/>
                <w:szCs w:val="24"/>
                <w:lang w:val="fr-FR"/>
              </w:rPr>
              <w:t>é</w:t>
            </w:r>
            <w:r w:rsidRPr="00DE7ADC">
              <w:rPr>
                <w:b/>
                <w:bCs/>
                <w:szCs w:val="24"/>
                <w:lang w:val="fr-FR"/>
              </w:rPr>
              <w:t>rences:</w:t>
            </w:r>
          </w:p>
          <w:p w14:paraId="4B517648" w14:textId="7C6E9429" w:rsidR="002137C7" w:rsidRPr="00DE7ADC" w:rsidRDefault="002137C7" w:rsidP="00037AE6">
            <w:pPr>
              <w:pStyle w:val="enumlev1"/>
              <w:rPr>
                <w:lang w:val="fr-FR"/>
              </w:rPr>
            </w:pPr>
            <w:r w:rsidRPr="00DE7ADC">
              <w:rPr>
                <w:lang w:val="fr-FR"/>
              </w:rPr>
              <w:t>1</w:t>
            </w:r>
            <w:r w:rsidR="00037AE6" w:rsidRPr="00DE7ADC">
              <w:rPr>
                <w:lang w:val="fr-FR"/>
              </w:rPr>
              <w:t>)</w:t>
            </w:r>
            <w:r w:rsidRPr="00DE7ADC">
              <w:rPr>
                <w:lang w:val="fr-FR"/>
              </w:rPr>
              <w:tab/>
              <w:t xml:space="preserve">AR-23: </w:t>
            </w:r>
            <w:r>
              <w:fldChar w:fldCharType="begin"/>
            </w:r>
            <w:r w:rsidRPr="0075000D">
              <w:rPr>
                <w:lang w:val="fr-FR"/>
              </w:rPr>
              <w:instrText>HYPERLINK "https://www.itu.int/ra-23/" \l "/fr"</w:instrText>
            </w:r>
            <w:r>
              <w:fldChar w:fldCharType="separate"/>
            </w:r>
            <w:r w:rsidRPr="00DE7ADC">
              <w:rPr>
                <w:rStyle w:val="Hyperlink"/>
                <w:lang w:val="fr-FR"/>
              </w:rPr>
              <w:t>https://www.itu.int/ra-23/</w:t>
            </w:r>
            <w:r>
              <w:fldChar w:fldCharType="end"/>
            </w:r>
          </w:p>
          <w:p w14:paraId="0F337928" w14:textId="3936D22B" w:rsidR="002137C7" w:rsidRPr="0075000D" w:rsidRDefault="002137C7" w:rsidP="00037AE6">
            <w:pPr>
              <w:pStyle w:val="enumlev1"/>
              <w:rPr>
                <w:lang w:val="en-US"/>
              </w:rPr>
            </w:pPr>
            <w:r w:rsidRPr="0075000D">
              <w:rPr>
                <w:lang w:val="en-US"/>
              </w:rPr>
              <w:t>2</w:t>
            </w:r>
            <w:r w:rsidR="00037AE6" w:rsidRPr="0075000D">
              <w:rPr>
                <w:lang w:val="en-US"/>
              </w:rPr>
              <w:t>)</w:t>
            </w:r>
            <w:r w:rsidRPr="0075000D">
              <w:rPr>
                <w:lang w:val="en-US"/>
              </w:rPr>
              <w:tab/>
              <w:t xml:space="preserve">CMR-23: </w:t>
            </w:r>
            <w:r>
              <w:fldChar w:fldCharType="begin"/>
            </w:r>
            <w:r>
              <w:instrText>HYPERLINK "https://www.itu.int/wrc-23/" \l "/fr"</w:instrText>
            </w:r>
            <w:r>
              <w:fldChar w:fldCharType="separate"/>
            </w:r>
            <w:r w:rsidRPr="0075000D">
              <w:rPr>
                <w:rStyle w:val="Hyperlink"/>
                <w:lang w:val="en-US"/>
              </w:rPr>
              <w:t>https://www.itu.int/wrc-23/</w:t>
            </w:r>
            <w:r>
              <w:fldChar w:fldCharType="end"/>
            </w:r>
          </w:p>
          <w:p w14:paraId="44BBB492" w14:textId="07299D68" w:rsidR="002137C7" w:rsidRPr="00DE7ADC" w:rsidRDefault="002137C7" w:rsidP="00037AE6">
            <w:pPr>
              <w:pStyle w:val="enumlev1"/>
              <w:rPr>
                <w:lang w:val="fr-FR"/>
              </w:rPr>
            </w:pPr>
            <w:r w:rsidRPr="00DE7ADC">
              <w:rPr>
                <w:lang w:val="fr-FR"/>
              </w:rPr>
              <w:t>3</w:t>
            </w:r>
            <w:r w:rsidR="00037AE6" w:rsidRPr="00DE7ADC">
              <w:rPr>
                <w:lang w:val="fr-FR"/>
              </w:rPr>
              <w:t>)</w:t>
            </w:r>
            <w:r w:rsidRPr="00DE7ADC">
              <w:rPr>
                <w:lang w:val="fr-FR"/>
              </w:rPr>
              <w:tab/>
              <w:t xml:space="preserve">RPC27-1: </w:t>
            </w:r>
            <w:r>
              <w:fldChar w:fldCharType="begin"/>
            </w:r>
            <w:r w:rsidRPr="0075000D">
              <w:rPr>
                <w:lang w:val="fr-FR"/>
              </w:rPr>
              <w:instrText>HYPERLINK "https://www.itu.int/en/ITU-R/study-groups/rcpm/Pages/cpm-27.aspx"</w:instrText>
            </w:r>
            <w:r>
              <w:fldChar w:fldCharType="separate"/>
            </w:r>
            <w:r w:rsidRPr="00DE7ADC">
              <w:rPr>
                <w:rStyle w:val="Hyperlink"/>
                <w:lang w:val="fr-FR"/>
              </w:rPr>
              <w:t>https://www.itu.int/en/ITU-R/study-groups/rcpm/Pages/cpm-27.aspx</w:t>
            </w:r>
            <w:r>
              <w:fldChar w:fldCharType="end"/>
            </w:r>
          </w:p>
          <w:p w14:paraId="700B11FD" w14:textId="628853D4" w:rsidR="002137C7" w:rsidRPr="00DE7ADC" w:rsidRDefault="002137C7" w:rsidP="00037AE6">
            <w:pPr>
              <w:pStyle w:val="enumlev1"/>
              <w:rPr>
                <w:lang w:val="fr-FR"/>
              </w:rPr>
            </w:pPr>
            <w:r w:rsidRPr="00DE7ADC">
              <w:rPr>
                <w:lang w:val="fr-FR"/>
              </w:rPr>
              <w:t>4</w:t>
            </w:r>
            <w:r w:rsidR="00037AE6" w:rsidRPr="00DE7ADC">
              <w:rPr>
                <w:lang w:val="fr-FR"/>
              </w:rPr>
              <w:t>)</w:t>
            </w:r>
            <w:r w:rsidRPr="00DE7ADC">
              <w:rPr>
                <w:lang w:val="fr-FR"/>
              </w:rPr>
              <w:tab/>
            </w:r>
            <w:r>
              <w:fldChar w:fldCharType="begin"/>
            </w:r>
            <w:r w:rsidRPr="0075000D">
              <w:rPr>
                <w:lang w:val="fr-FR"/>
              </w:rPr>
              <w:instrText>HYPERLINK "https://www.itu.int/hub/publication/r-act-wrc-16-2024/" \l "/fr"</w:instrText>
            </w:r>
            <w:r>
              <w:fldChar w:fldCharType="separate"/>
            </w:r>
            <w:r w:rsidRPr="00DE7ADC">
              <w:rPr>
                <w:rStyle w:val="Hyperlink"/>
                <w:lang w:val="fr-FR"/>
              </w:rPr>
              <w:t>Actes finals de la CMR-23</w:t>
            </w:r>
            <w:r>
              <w:fldChar w:fldCharType="end"/>
            </w:r>
          </w:p>
          <w:p w14:paraId="1ECDD20E" w14:textId="2304DCEF" w:rsidR="00A721F4" w:rsidRPr="00DE7ADC" w:rsidRDefault="002137C7" w:rsidP="00037AE6">
            <w:pPr>
              <w:pStyle w:val="enumlev1"/>
              <w:spacing w:after="120"/>
              <w:rPr>
                <w:szCs w:val="24"/>
                <w:lang w:val="fr-FR"/>
              </w:rPr>
            </w:pPr>
            <w:r w:rsidRPr="00DE7ADC">
              <w:rPr>
                <w:lang w:val="fr-FR"/>
              </w:rPr>
              <w:t>5</w:t>
            </w:r>
            <w:r w:rsidR="00037AE6" w:rsidRPr="00DE7ADC">
              <w:rPr>
                <w:lang w:val="fr-FR"/>
              </w:rPr>
              <w:t>)</w:t>
            </w:r>
            <w:r w:rsidRPr="00DE7ADC">
              <w:rPr>
                <w:lang w:val="fr-FR"/>
              </w:rPr>
              <w:tab/>
            </w:r>
            <w:r>
              <w:fldChar w:fldCharType="begin"/>
            </w:r>
            <w:r w:rsidRPr="0075000D">
              <w:rPr>
                <w:lang w:val="fr-FR"/>
              </w:rPr>
              <w:instrText>HYPERLINK "https://www.itu.int/hub/publication/r-reg-rr-2024/" \l "/fr"</w:instrText>
            </w:r>
            <w:r>
              <w:fldChar w:fldCharType="separate"/>
            </w:r>
            <w:r w:rsidRPr="00DE7ADC">
              <w:rPr>
                <w:rStyle w:val="Hyperlink"/>
                <w:lang w:val="fr-FR"/>
              </w:rPr>
              <w:t>Règlement des radiocommunications – Édition de 2024</w:t>
            </w:r>
            <w:r>
              <w:fldChar w:fldCharType="end"/>
            </w:r>
          </w:p>
        </w:tc>
      </w:tr>
    </w:tbl>
    <w:p w14:paraId="5B29B2A3" w14:textId="77777777" w:rsidR="00923CF1" w:rsidRPr="00DE7ADC" w:rsidRDefault="00923CF1">
      <w:pPr>
        <w:tabs>
          <w:tab w:val="clear" w:pos="794"/>
          <w:tab w:val="clear" w:pos="1191"/>
          <w:tab w:val="clear" w:pos="1588"/>
          <w:tab w:val="clear" w:pos="1985"/>
        </w:tabs>
        <w:overflowPunct/>
        <w:autoSpaceDE/>
        <w:autoSpaceDN/>
        <w:adjustRightInd/>
        <w:spacing w:before="0"/>
        <w:textAlignment w:val="auto"/>
        <w:rPr>
          <w:lang w:val="fr-FR"/>
        </w:rPr>
      </w:pPr>
      <w:r w:rsidRPr="00DE7ADC">
        <w:rPr>
          <w:lang w:val="fr-FR"/>
        </w:rPr>
        <w:br w:type="page"/>
      </w:r>
    </w:p>
    <w:p w14:paraId="5E37EBDA" w14:textId="36BB39D8" w:rsidR="002137C7" w:rsidRPr="00DE7ADC" w:rsidRDefault="002137C7" w:rsidP="002137C7">
      <w:pPr>
        <w:pStyle w:val="Heading1"/>
        <w:rPr>
          <w:lang w:val="fr-FR"/>
        </w:rPr>
      </w:pPr>
      <w:r w:rsidRPr="00DE7ADC">
        <w:rPr>
          <w:lang w:val="fr-FR"/>
        </w:rPr>
        <w:lastRenderedPageBreak/>
        <w:t>1</w:t>
      </w:r>
      <w:r w:rsidRPr="00DE7ADC">
        <w:rPr>
          <w:lang w:val="fr-FR"/>
        </w:rPr>
        <w:tab/>
        <w:t>Considérations générales</w:t>
      </w:r>
    </w:p>
    <w:p w14:paraId="226001DC" w14:textId="77777777" w:rsidR="002137C7" w:rsidRPr="00DE7ADC" w:rsidRDefault="002137C7" w:rsidP="002137C7">
      <w:pPr>
        <w:rPr>
          <w:lang w:val="fr-FR"/>
        </w:rPr>
      </w:pPr>
      <w:r w:rsidRPr="00DE7ADC">
        <w:rPr>
          <w:lang w:val="fr-FR"/>
        </w:rPr>
        <w:t>L'Assemblée des radiocommunications de 2023 (AR-23) s'est tenue à Dubaï (Émirats arabes unis) du 13 au 17 novembre 2023. Plus de 1 300 délégués représentant 128 États Membres de l'UIT ont participé à cette Assemblée. Mme Carol Wilson (Australie) a été la première femme à présider une Assemblée des radiocommunications de l'UIT.</w:t>
      </w:r>
    </w:p>
    <w:p w14:paraId="58340B78" w14:textId="30152BD1" w:rsidR="002137C7" w:rsidRPr="00DE7ADC" w:rsidRDefault="002137C7" w:rsidP="002137C7">
      <w:pPr>
        <w:rPr>
          <w:lang w:val="fr-FR"/>
        </w:rPr>
      </w:pPr>
      <w:r w:rsidRPr="00DE7ADC">
        <w:rPr>
          <w:lang w:val="fr-FR"/>
        </w:rPr>
        <w:t>La CMR-23 a eu lieu du 20 novembre au 15 décembre 2023, au même endroit que l'AR-23. Plus de 3 900 délégués de 163 États Membres ont participé à la CMR-23, dont 88 participants à un niveau ministériel. Les femmes représentaient 22 pour cent de l'ensemble des délégués présents à la CMR-23, un chiffre en hausse par rapport aux 18 pour cent à la CMR-19, en 2019. M. Mohammed A</w:t>
      </w:r>
      <w:r w:rsidR="00037AE6" w:rsidRPr="00DE7ADC">
        <w:rPr>
          <w:lang w:val="fr-FR"/>
        </w:rPr>
        <w:t>l</w:t>
      </w:r>
      <w:r w:rsidRPr="00DE7ADC">
        <w:rPr>
          <w:lang w:val="fr-FR"/>
        </w:rPr>
        <w:t xml:space="preserve"> R</w:t>
      </w:r>
      <w:r w:rsidR="00037AE6" w:rsidRPr="00DE7ADC">
        <w:rPr>
          <w:lang w:val="fr-FR"/>
        </w:rPr>
        <w:t xml:space="preserve">amsi </w:t>
      </w:r>
      <w:r w:rsidRPr="00DE7ADC">
        <w:rPr>
          <w:lang w:val="fr-FR"/>
        </w:rPr>
        <w:t xml:space="preserve">(Émirats arabes unis) a assumé les fonctions de </w:t>
      </w:r>
      <w:r w:rsidR="00037AE6" w:rsidRPr="00DE7ADC">
        <w:rPr>
          <w:lang w:val="fr-FR"/>
        </w:rPr>
        <w:t>p</w:t>
      </w:r>
      <w:r w:rsidRPr="00DE7ADC">
        <w:rPr>
          <w:lang w:val="fr-FR"/>
        </w:rPr>
        <w:t>résident de la CMR-23.</w:t>
      </w:r>
    </w:p>
    <w:p w14:paraId="5FA8DD6C" w14:textId="757E1EA2" w:rsidR="002137C7" w:rsidRPr="00DE7ADC" w:rsidRDefault="002137C7" w:rsidP="002137C7">
      <w:pPr>
        <w:rPr>
          <w:lang w:val="fr-FR"/>
        </w:rPr>
      </w:pPr>
      <w:r w:rsidRPr="00DE7ADC">
        <w:rPr>
          <w:lang w:val="fr-FR"/>
        </w:rPr>
        <w:t xml:space="preserve">La RPC27-1 s'est tenue à Dubaï les 18 et 19 décembre 2023. Elle a organisé les études préparatoires en vue de la CMR-27 et proposé une structure pour son Rapport à la CMR-27 et a désigné sept Rapporteurs et Corapporteurs pour les chapitres, qui aideront le </w:t>
      </w:r>
      <w:r w:rsidR="006A66D2" w:rsidRPr="00DE7ADC">
        <w:rPr>
          <w:lang w:val="fr-FR"/>
        </w:rPr>
        <w:t>p</w:t>
      </w:r>
      <w:r w:rsidRPr="00DE7ADC">
        <w:rPr>
          <w:lang w:val="fr-FR"/>
        </w:rPr>
        <w:t>résident de la RPC</w:t>
      </w:r>
      <w:r w:rsidRPr="00DE7ADC">
        <w:rPr>
          <w:lang w:val="fr-FR"/>
        </w:rPr>
        <w:noBreakHyphen/>
        <w:t xml:space="preserve">27 à gérer l'élaboration du projet de </w:t>
      </w:r>
      <w:r w:rsidR="00037AE6" w:rsidRPr="00DE7ADC">
        <w:rPr>
          <w:lang w:val="fr-FR"/>
        </w:rPr>
        <w:t>r</w:t>
      </w:r>
      <w:r w:rsidRPr="00DE7ADC">
        <w:rPr>
          <w:lang w:val="fr-FR"/>
        </w:rPr>
        <w:t>apport à la CMR-27.</w:t>
      </w:r>
    </w:p>
    <w:p w14:paraId="6C436879" w14:textId="77777777" w:rsidR="002137C7" w:rsidRPr="00DE7ADC" w:rsidRDefault="002137C7" w:rsidP="002137C7">
      <w:pPr>
        <w:rPr>
          <w:lang w:val="fr-FR"/>
        </w:rPr>
      </w:pPr>
      <w:r w:rsidRPr="00DE7ADC">
        <w:rPr>
          <w:lang w:val="fr-FR"/>
        </w:rPr>
        <w:t>L'AR-23, la CMR-23 et la RPC27-1 ont été organisées à l'invitation de l'Autorité de régulation des télécommunications et des services publics numériques (TDRA) des Émirats arabes unis.</w:t>
      </w:r>
    </w:p>
    <w:p w14:paraId="710BEDE7" w14:textId="4870E868" w:rsidR="002137C7" w:rsidRPr="00DE7ADC" w:rsidRDefault="002137C7" w:rsidP="002137C7">
      <w:pPr>
        <w:pStyle w:val="Heading1"/>
        <w:rPr>
          <w:lang w:val="fr-FR"/>
        </w:rPr>
      </w:pPr>
      <w:r w:rsidRPr="00DE7ADC">
        <w:rPr>
          <w:lang w:val="fr-FR"/>
        </w:rPr>
        <w:t>2</w:t>
      </w:r>
      <w:r w:rsidRPr="00DE7ADC">
        <w:rPr>
          <w:lang w:val="fr-FR"/>
        </w:rPr>
        <w:tab/>
        <w:t>Assemblée des radiocommunications de 2023 (AR-23)</w:t>
      </w:r>
    </w:p>
    <w:p w14:paraId="71B2B22C" w14:textId="026A21F8" w:rsidR="002137C7" w:rsidRPr="00DE7ADC" w:rsidRDefault="002137C7" w:rsidP="002137C7">
      <w:pPr>
        <w:rPr>
          <w:lang w:val="fr-FR"/>
        </w:rPr>
      </w:pPr>
      <w:r w:rsidRPr="00DE7ADC">
        <w:rPr>
          <w:lang w:val="fr-FR"/>
        </w:rPr>
        <w:t>Sous la présidence de Mme Carol Wilson, l'AR-23 a établi les futurs programmes de travail du Secteur des radiocommunications de l'UIT (UIT-R) et a approuvé des normes (Recommandations de l'UIT-R) et des Résolutions relatives aux radiocommunications.</w:t>
      </w:r>
    </w:p>
    <w:p w14:paraId="6F6A3A8B" w14:textId="77777777" w:rsidR="002137C7" w:rsidRPr="00DE7ADC" w:rsidRDefault="002137C7" w:rsidP="002137C7">
      <w:pPr>
        <w:rPr>
          <w:lang w:val="fr-FR"/>
        </w:rPr>
      </w:pPr>
      <w:r w:rsidRPr="00DE7ADC">
        <w:rPr>
          <w:lang w:val="fr-FR"/>
        </w:rPr>
        <w:t>La liste des Résolutions UIT-R (AR-23) peut être consultée sur la page web de l'AR-23 (accès réservé aux titulaires d'un compte TIES). Un récapitulatif des Résolutions UIT-R (AR-23) et de leur pertinence pour les travaux de l'UIT-D figure dans l'Annexe 1.</w:t>
      </w:r>
    </w:p>
    <w:p w14:paraId="5954CA60" w14:textId="413A847F" w:rsidR="002137C7" w:rsidRPr="00DE7ADC" w:rsidRDefault="002137C7" w:rsidP="002137C7">
      <w:pPr>
        <w:pStyle w:val="Heading1"/>
        <w:rPr>
          <w:lang w:val="fr-FR"/>
        </w:rPr>
      </w:pPr>
      <w:r w:rsidRPr="00DE7ADC">
        <w:rPr>
          <w:lang w:val="fr-FR"/>
        </w:rPr>
        <w:t>3</w:t>
      </w:r>
      <w:r w:rsidRPr="00DE7ADC">
        <w:rPr>
          <w:lang w:val="fr-FR"/>
        </w:rPr>
        <w:tab/>
        <w:t>Conférence mondiale des radiocommunications de 2023 (CMR-23)</w:t>
      </w:r>
    </w:p>
    <w:p w14:paraId="24E4A3A9" w14:textId="4AEFE15E" w:rsidR="002137C7" w:rsidRPr="00DE7ADC" w:rsidRDefault="002137C7" w:rsidP="002137C7">
      <w:pPr>
        <w:rPr>
          <w:lang w:val="fr-FR"/>
        </w:rPr>
      </w:pPr>
      <w:r w:rsidRPr="00DE7ADC">
        <w:rPr>
          <w:lang w:val="fr-FR"/>
        </w:rPr>
        <w:t>Les négociations de la CMR-23 se sont déroulées sous la direction du Président de la conférence, S. E. M. Mohammed Al Ramsi (Émirats arabes unis), avec l'assistance de six présidents de commission.</w:t>
      </w:r>
    </w:p>
    <w:p w14:paraId="72675B9D" w14:textId="77777777" w:rsidR="002137C7" w:rsidRPr="00DE7ADC" w:rsidRDefault="002137C7" w:rsidP="002137C7">
      <w:pPr>
        <w:rPr>
          <w:lang w:val="fr-FR"/>
        </w:rPr>
      </w:pPr>
      <w:r w:rsidRPr="00DE7ADC">
        <w:rPr>
          <w:lang w:val="fr-FR"/>
        </w:rPr>
        <w:t>La CMR-23 a révisé le Règlement des radiocommunications (RR), traité international régissant l'utilisation du spectre des fréquences radioélectriques et des orbites de satellites géostationnaires et non géostationnaires.</w:t>
      </w:r>
    </w:p>
    <w:p w14:paraId="02329258" w14:textId="39CE12BB" w:rsidR="002137C7" w:rsidRPr="00DE7ADC" w:rsidRDefault="002137C7" w:rsidP="002137C7">
      <w:pPr>
        <w:rPr>
          <w:lang w:val="fr-FR"/>
        </w:rPr>
      </w:pPr>
      <w:r w:rsidRPr="00DE7ADC">
        <w:rPr>
          <w:lang w:val="fr-FR"/>
        </w:rPr>
        <w:t>Conformément à l'ordre du jour de la Conférence, la CMR-23 a traité des questions de caractère mondial se rapportant aux radiocommunications aux fins de l'utilisation efficace des ressources que sont le spectre et les orbites et a déterminé les Questions que devront examiner l'Assemblée des radiocommunications et les commissions d'études du Secteur en vue de préparer les futures conférences des radiocommunications.</w:t>
      </w:r>
    </w:p>
    <w:p w14:paraId="6924FAA1" w14:textId="6EF383E5" w:rsidR="002137C7" w:rsidRPr="00DE7ADC" w:rsidRDefault="002137C7" w:rsidP="002137C7">
      <w:pPr>
        <w:rPr>
          <w:lang w:val="fr-FR"/>
        </w:rPr>
      </w:pPr>
      <w:r w:rsidRPr="00DE7ADC">
        <w:rPr>
          <w:lang w:val="fr-FR"/>
        </w:rPr>
        <w:t>L'</w:t>
      </w:r>
      <w:r>
        <w:fldChar w:fldCharType="begin"/>
      </w:r>
      <w:r w:rsidRPr="0075000D">
        <w:rPr>
          <w:lang w:val="fr-FR"/>
        </w:rPr>
        <w:instrText>HYPERLINK "https://www.itu.int/hub/publication/r-reg-rr-2024/" \l "/fr"</w:instrText>
      </w:r>
      <w:r>
        <w:fldChar w:fldCharType="separate"/>
      </w:r>
      <w:r w:rsidRPr="00DE7ADC">
        <w:rPr>
          <w:rStyle w:val="Hyperlink"/>
          <w:lang w:val="fr-FR"/>
        </w:rPr>
        <w:t>édition de 2024 du Règlement des radiocommunications</w:t>
      </w:r>
      <w:r>
        <w:fldChar w:fldCharType="end"/>
      </w:r>
      <w:r w:rsidRPr="00DE7ADC">
        <w:rPr>
          <w:lang w:val="fr-FR"/>
        </w:rPr>
        <w:t xml:space="preserve"> a été publiée dans les six langues de l'ONU (elle est accessible </w:t>
      </w:r>
      <w:r w:rsidRPr="0075000D">
        <w:rPr>
          <w:lang w:val="fr-FR"/>
        </w:rPr>
        <w:t>gratuitement). Parmi les principaux résultats de la CMR-23 figurent:</w:t>
      </w:r>
    </w:p>
    <w:p w14:paraId="4AAFE954" w14:textId="0F17D7C3" w:rsidR="002137C7" w:rsidRPr="00DE7ADC" w:rsidRDefault="002137C7" w:rsidP="002137C7">
      <w:pPr>
        <w:rPr>
          <w:lang w:val="fr-FR"/>
        </w:rPr>
      </w:pPr>
      <w:r w:rsidRPr="00DE7ADC">
        <w:rPr>
          <w:lang w:val="fr-FR"/>
        </w:rPr>
        <w:t>En résumé, la CMR-23 a approuvé 43 nouvelles Résolutions, révisé 56 Résolutions existantes et supprimé des Résolutions.</w:t>
      </w:r>
    </w:p>
    <w:p w14:paraId="59970924" w14:textId="77777777" w:rsidR="002137C7" w:rsidRPr="00DE7ADC" w:rsidRDefault="002137C7" w:rsidP="002137C7">
      <w:pPr>
        <w:rPr>
          <w:lang w:val="fr-FR"/>
        </w:rPr>
      </w:pPr>
      <w:r w:rsidRPr="00DE7ADC">
        <w:rPr>
          <w:lang w:val="fr-FR"/>
        </w:rPr>
        <w:lastRenderedPageBreak/>
        <w:t>Le Tableau de l'Annexe 2 donne un résumé des Résolutions importantes de la CMR-23 qui sont pertinentes pour les travaux du BDT et/ou de l'UIT-D.</w:t>
      </w:r>
    </w:p>
    <w:p w14:paraId="12468AD0" w14:textId="7CF9DA3E" w:rsidR="002137C7" w:rsidRPr="00DE7ADC" w:rsidRDefault="002137C7" w:rsidP="002137C7">
      <w:pPr>
        <w:pStyle w:val="Heading1"/>
        <w:rPr>
          <w:lang w:val="fr-FR"/>
        </w:rPr>
      </w:pPr>
      <w:r w:rsidRPr="00DE7ADC">
        <w:rPr>
          <w:lang w:val="fr-FR"/>
        </w:rPr>
        <w:t>4</w:t>
      </w:r>
      <w:r w:rsidRPr="00DE7ADC">
        <w:rPr>
          <w:lang w:val="fr-FR"/>
        </w:rPr>
        <w:tab/>
        <w:t>Réunion de préparation à la Conférence (RPC27-1) en vue de la Conférence mondiale des radiocommunications de 2027 (CMR-27)</w:t>
      </w:r>
    </w:p>
    <w:p w14:paraId="2431EE92" w14:textId="77777777" w:rsidR="0071492B" w:rsidRDefault="002137C7" w:rsidP="002137C7">
      <w:pPr>
        <w:rPr>
          <w:lang w:val="fr-FR"/>
        </w:rPr>
      </w:pPr>
      <w:r w:rsidRPr="00DE7ADC">
        <w:rPr>
          <w:lang w:val="fr-FR"/>
        </w:rPr>
        <w:t>Les participants à la première session de la Réunion de préparation à la Conférence en vue de la</w:t>
      </w:r>
      <w:r w:rsidR="0071492B" w:rsidRPr="00DE7ADC">
        <w:rPr>
          <w:lang w:val="fr-FR"/>
        </w:rPr>
        <w:t> </w:t>
      </w:r>
      <w:r w:rsidRPr="00DE7ADC">
        <w:rPr>
          <w:lang w:val="fr-FR"/>
        </w:rPr>
        <w:t xml:space="preserve">CMR-27 (RPC27-1) ont examiné le projet de structure/table des matières du Rapport de la RPC à la CMR-27 et l'avant-projet d'attribution des travaux préparatoires de l'UIT-R en vue de la CMR-27 et de la CMR-31. De plus amples informations sont disponibles à l'adresse: </w:t>
      </w:r>
      <w:r>
        <w:fldChar w:fldCharType="begin"/>
      </w:r>
      <w:r w:rsidRPr="0075000D">
        <w:rPr>
          <w:lang w:val="fr-FR"/>
        </w:rPr>
        <w:instrText>HYPERLINK "https://www.itu.int/md/R23-CPM27.1-C-0005/fr"</w:instrText>
      </w:r>
      <w:r>
        <w:fldChar w:fldCharType="separate"/>
      </w:r>
      <w:r w:rsidRPr="00DE7ADC">
        <w:rPr>
          <w:rStyle w:val="Hyperlink"/>
          <w:lang w:val="fr-FR"/>
        </w:rPr>
        <w:t>https://www.itu.int/md/R23-CPM27.1-C-0005/en</w:t>
      </w:r>
      <w:r>
        <w:fldChar w:fldCharType="end"/>
      </w:r>
      <w:r w:rsidRPr="00DE7ADC">
        <w:rPr>
          <w:lang w:val="fr-FR"/>
        </w:rPr>
        <w:t xml:space="preserve"> (accès réservé aux titulaires d'un compte TIES).</w:t>
      </w:r>
    </w:p>
    <w:p w14:paraId="744CE7B5" w14:textId="77777777" w:rsidR="0071492B" w:rsidRDefault="0071492B" w:rsidP="002137C7">
      <w:pPr>
        <w:rPr>
          <w:lang w:val="fr-FR"/>
        </w:rPr>
      </w:pPr>
    </w:p>
    <w:p w14:paraId="13561861" w14:textId="77777777" w:rsidR="0071492B" w:rsidRDefault="0071492B" w:rsidP="002137C7">
      <w:pPr>
        <w:rPr>
          <w:lang w:val="fr-FR"/>
        </w:rPr>
        <w:sectPr w:rsidR="0071492B"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pPr>
    </w:p>
    <w:p w14:paraId="789F2BD9" w14:textId="77777777" w:rsidR="0071492B" w:rsidRPr="004C33DD" w:rsidRDefault="0071492B" w:rsidP="0071492B">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0D622889" w14:textId="77777777" w:rsidR="0071492B" w:rsidRPr="004C33DD" w:rsidRDefault="0071492B" w:rsidP="0071492B">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Pr>
          <w:rFonts w:ascii="Calibri" w:hAnsi="Calibri" w:cs="Calibri"/>
          <w:b/>
          <w:szCs w:val="24"/>
        </w:rPr>
        <w:t>of</w:t>
      </w:r>
      <w:r w:rsidRPr="004C33DD">
        <w:rPr>
          <w:rFonts w:ascii="Calibri" w:hAnsi="Calibri" w:cs="Calibri"/>
          <w:b/>
          <w:szCs w:val="24"/>
        </w:rPr>
        <w:t xml:space="preserve"> Radio Assembly 2023 (RA-23) and their relevance to ITU-D work </w:t>
      </w:r>
    </w:p>
    <w:p w14:paraId="09B9B743" w14:textId="77777777" w:rsidR="0071492B" w:rsidRPr="004C33DD" w:rsidRDefault="0071492B" w:rsidP="0071492B">
      <w:pPr>
        <w:spacing w:after="120"/>
        <w:rPr>
          <w:rFonts w:ascii="Calibri" w:hAnsi="Calibri" w:cs="Calibri"/>
        </w:rPr>
      </w:pPr>
      <w:r w:rsidRPr="0C05AEFB">
        <w:rPr>
          <w:rFonts w:ascii="Calibri" w:hAnsi="Calibri" w:cs="Calibri"/>
        </w:rPr>
        <w:t xml:space="preserve">The Table below provides summary of ITU-R Resolutions </w:t>
      </w:r>
      <w:r>
        <w:rPr>
          <w:rFonts w:ascii="Calibri" w:hAnsi="Calibri" w:cs="Calibri"/>
        </w:rPr>
        <w:t>of</w:t>
      </w:r>
      <w:r w:rsidRPr="0C05AEFB">
        <w:rPr>
          <w:rFonts w:ascii="Calibri" w:hAnsi="Calibri" w:cs="Calibri"/>
        </w:rPr>
        <w:t xml:space="preserve"> RA-23 and their relevance to ITU-D work. The mandate given to BDT under relevant RA-23 resolutions will be included in the implementation of the Kigali Action Plan and relevant resolutions of WTDC-2</w:t>
      </w:r>
      <w:r>
        <w:rPr>
          <w:rFonts w:ascii="Calibri" w:hAnsi="Calibri" w:cs="Calibri"/>
        </w:rPr>
        <w:t>5</w:t>
      </w:r>
      <w:r w:rsidRPr="0C05AEFB">
        <w:rPr>
          <w:rFonts w:ascii="Calibri" w:hAnsi="Calibri" w:cs="Calibri"/>
        </w:rPr>
        <w:t>.</w:t>
      </w:r>
    </w:p>
    <w:tbl>
      <w:tblPr>
        <w:tblStyle w:val="GridTable5Dark-Accent11"/>
        <w:tblW w:w="5274" w:type="pct"/>
        <w:tblLook w:val="04A0" w:firstRow="1" w:lastRow="0" w:firstColumn="1" w:lastColumn="0" w:noHBand="0" w:noVBand="1"/>
      </w:tblPr>
      <w:tblGrid>
        <w:gridCol w:w="1413"/>
        <w:gridCol w:w="5374"/>
        <w:gridCol w:w="1216"/>
        <w:gridCol w:w="6752"/>
      </w:tblGrid>
      <w:tr w:rsidR="0071492B" w:rsidRPr="00D30ACB" w14:paraId="3DA02960" w14:textId="77777777" w:rsidTr="001B65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34B82E40"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18D32DD6"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78922363"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19647318"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71492B" w:rsidRPr="00D30ACB" w14:paraId="6CDFCE99"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460108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5" w:history="1">
              <w:r w:rsidRPr="00D30ACB">
                <w:rPr>
                  <w:rStyle w:val="Hyperlink"/>
                  <w:rFonts w:cstheme="minorHAnsi"/>
                  <w:bCs w:val="0"/>
                  <w:sz w:val="20"/>
                </w:rPr>
                <w:t>Res.1-9 (2023)</w:t>
              </w:r>
            </w:hyperlink>
          </w:p>
        </w:tc>
        <w:tc>
          <w:tcPr>
            <w:tcW w:w="1821" w:type="pct"/>
          </w:tcPr>
          <w:p w14:paraId="3467F8C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7" w:name="_Toc180535446"/>
            <w:bookmarkStart w:id="8" w:name="_Toc180537866"/>
            <w:r w:rsidRPr="00D30ACB">
              <w:rPr>
                <w:rFonts w:cstheme="minorHAnsi"/>
                <w:b/>
                <w:bCs/>
                <w:sz w:val="20"/>
                <w:lang w:val="en-US"/>
              </w:rPr>
              <w:t>Working methods for the Radiocommunication Assembly, the Radiocommunication Study Groups, the Radiocommunication Advisory Group</w:t>
            </w:r>
            <w:bookmarkEnd w:id="7"/>
            <w:bookmarkEnd w:id="8"/>
            <w:r w:rsidRPr="00D30ACB">
              <w:rPr>
                <w:rFonts w:cstheme="minorHAnsi"/>
                <w:b/>
                <w:bCs/>
                <w:sz w:val="20"/>
                <w:lang w:val="en-US"/>
              </w:rPr>
              <w:t xml:space="preserve"> and other groups of the Radiocommunication Sector</w:t>
            </w:r>
          </w:p>
        </w:tc>
        <w:tc>
          <w:tcPr>
            <w:tcW w:w="412" w:type="pct"/>
          </w:tcPr>
          <w:p w14:paraId="13BF679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0F61DB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0FDEDA5E"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105B5D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6" w:history="1">
              <w:r w:rsidRPr="00D30ACB">
                <w:rPr>
                  <w:rStyle w:val="Hyperlink"/>
                  <w:rFonts w:cstheme="minorHAnsi"/>
                  <w:bCs w:val="0"/>
                  <w:sz w:val="20"/>
                </w:rPr>
                <w:t>Res.2-9 (2023)</w:t>
              </w:r>
            </w:hyperlink>
          </w:p>
        </w:tc>
        <w:tc>
          <w:tcPr>
            <w:tcW w:w="1821" w:type="pct"/>
          </w:tcPr>
          <w:p w14:paraId="331E1FD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9" w:name="_Toc180535448"/>
            <w:bookmarkStart w:id="10" w:name="_Toc180537868"/>
            <w:r w:rsidRPr="00D30ACB">
              <w:rPr>
                <w:rFonts w:cstheme="minorHAnsi"/>
                <w:b/>
                <w:bCs/>
                <w:sz w:val="20"/>
                <w:lang w:val="en-US"/>
              </w:rPr>
              <w:t>Conference Preparatory Meeting</w:t>
            </w:r>
            <w:bookmarkEnd w:id="9"/>
            <w:bookmarkEnd w:id="10"/>
          </w:p>
        </w:tc>
        <w:tc>
          <w:tcPr>
            <w:tcW w:w="412" w:type="pct"/>
          </w:tcPr>
          <w:p w14:paraId="25B79AE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FBE3AB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063B9B32"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36C0CD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7" w:history="1">
              <w:r w:rsidRPr="00D30ACB">
                <w:rPr>
                  <w:rStyle w:val="Hyperlink"/>
                  <w:rFonts w:cstheme="minorHAnsi"/>
                  <w:bCs w:val="0"/>
                  <w:sz w:val="20"/>
                </w:rPr>
                <w:t>Res.4-9 (2023)</w:t>
              </w:r>
            </w:hyperlink>
          </w:p>
        </w:tc>
        <w:tc>
          <w:tcPr>
            <w:tcW w:w="1821" w:type="pct"/>
          </w:tcPr>
          <w:p w14:paraId="13361D0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50"/>
            <w:bookmarkStart w:id="12" w:name="_Toc180537870"/>
            <w:r w:rsidRPr="00D30ACB">
              <w:rPr>
                <w:rFonts w:cstheme="minorHAnsi"/>
                <w:b/>
                <w:bCs/>
                <w:sz w:val="20"/>
                <w:lang w:val="en-US"/>
              </w:rPr>
              <w:t>Structure of Radiocommunication Study Groups</w:t>
            </w:r>
            <w:bookmarkEnd w:id="11"/>
            <w:bookmarkEnd w:id="12"/>
          </w:p>
        </w:tc>
        <w:tc>
          <w:tcPr>
            <w:tcW w:w="412" w:type="pct"/>
          </w:tcPr>
          <w:p w14:paraId="1E05605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F4E345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069EA6E4"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37BD849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8" w:history="1">
              <w:r w:rsidRPr="00D30ACB">
                <w:rPr>
                  <w:rStyle w:val="Hyperlink"/>
                  <w:rFonts w:cstheme="minorHAnsi"/>
                  <w:bCs w:val="0"/>
                  <w:sz w:val="20"/>
                </w:rPr>
                <w:t>Res.5</w:t>
              </w:r>
            </w:hyperlink>
          </w:p>
        </w:tc>
        <w:tc>
          <w:tcPr>
            <w:tcW w:w="1821" w:type="pct"/>
          </w:tcPr>
          <w:p w14:paraId="7C953E6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7872"/>
            <w:r w:rsidRPr="00D30ACB">
              <w:rPr>
                <w:rFonts w:cstheme="minorHAnsi"/>
                <w:b/>
                <w:bCs/>
                <w:sz w:val="20"/>
                <w:lang w:val="en-US"/>
              </w:rPr>
              <w:t>Work programme and Questions of Radiocommunication Study Groups</w:t>
            </w:r>
            <w:bookmarkEnd w:id="13"/>
          </w:p>
        </w:tc>
        <w:tc>
          <w:tcPr>
            <w:tcW w:w="412" w:type="pct"/>
          </w:tcPr>
          <w:p w14:paraId="04878DD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F5979B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52BE5A42"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F752AA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9" w:history="1">
              <w:r w:rsidRPr="00D30ACB">
                <w:rPr>
                  <w:rStyle w:val="Hyperlink"/>
                  <w:rFonts w:cstheme="minorHAnsi"/>
                  <w:bCs w:val="0"/>
                  <w:sz w:val="20"/>
                </w:rPr>
                <w:t>Res.6-3 (2019)</w:t>
              </w:r>
            </w:hyperlink>
          </w:p>
        </w:tc>
        <w:tc>
          <w:tcPr>
            <w:tcW w:w="1821" w:type="pct"/>
          </w:tcPr>
          <w:p w14:paraId="1CF240D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4" w:name="_Toc180537874"/>
            <w:r w:rsidRPr="00D30ACB">
              <w:rPr>
                <w:rFonts w:cstheme="minorHAnsi"/>
                <w:b/>
                <w:bCs/>
                <w:sz w:val="20"/>
                <w:lang w:val="en-US"/>
              </w:rPr>
              <w:t>Liaison and collaboration with the ITU Telecommunication Standardization Sector</w:t>
            </w:r>
            <w:bookmarkEnd w:id="14"/>
          </w:p>
        </w:tc>
        <w:tc>
          <w:tcPr>
            <w:tcW w:w="412" w:type="pct"/>
          </w:tcPr>
          <w:p w14:paraId="14AED28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1CF24A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71492B" w:rsidRPr="00D30ACB" w14:paraId="25E2FE24"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B99814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20" w:history="1">
              <w:r w:rsidRPr="00D30ACB">
                <w:rPr>
                  <w:rStyle w:val="Hyperlink"/>
                  <w:rFonts w:cstheme="minorHAnsi"/>
                  <w:bCs w:val="0"/>
                  <w:sz w:val="20"/>
                </w:rPr>
                <w:t>Res.7-4 (2019)</w:t>
              </w:r>
            </w:hyperlink>
          </w:p>
        </w:tc>
        <w:tc>
          <w:tcPr>
            <w:tcW w:w="1821" w:type="pct"/>
          </w:tcPr>
          <w:p w14:paraId="7B01387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5" w:name="_Toc180537876"/>
            <w:r w:rsidRPr="00D30ACB">
              <w:rPr>
                <w:rFonts w:cstheme="minorHAnsi"/>
                <w:b/>
                <w:bCs/>
                <w:sz w:val="20"/>
                <w:lang w:val="en-US"/>
              </w:rPr>
              <w:t>Telecommunication development including liaison and collaboration with the ITU Telecommunication Development Sector</w:t>
            </w:r>
            <w:bookmarkEnd w:id="15"/>
          </w:p>
        </w:tc>
        <w:tc>
          <w:tcPr>
            <w:tcW w:w="412" w:type="pct"/>
          </w:tcPr>
          <w:p w14:paraId="78E0059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454291D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roofErr w:type="gramStart"/>
            <w:r w:rsidRPr="00D30ACB">
              <w:rPr>
                <w:rFonts w:cstheme="minorHAnsi"/>
                <w:sz w:val="20"/>
                <w:lang w:val="en-US"/>
              </w:rPr>
              <w:t>See</w:t>
            </w:r>
            <w:proofErr w:type="gramEnd"/>
            <w:r w:rsidRPr="00D30ACB">
              <w:rPr>
                <w:rFonts w:cstheme="minorHAnsi"/>
                <w:sz w:val="20"/>
                <w:lang w:val="en-US"/>
              </w:rPr>
              <w:t xml:space="preserve"> new resolution ITU-R 75</w:t>
            </w:r>
          </w:p>
        </w:tc>
      </w:tr>
      <w:tr w:rsidR="0071492B" w:rsidRPr="00D30ACB" w14:paraId="4646543B"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03C74A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1" w:history="1">
              <w:r w:rsidRPr="00D30ACB">
                <w:rPr>
                  <w:rStyle w:val="Hyperlink"/>
                  <w:rFonts w:cstheme="minorHAnsi"/>
                  <w:bCs w:val="0"/>
                  <w:sz w:val="20"/>
                </w:rPr>
                <w:t>Res.8-4(2023)</w:t>
              </w:r>
            </w:hyperlink>
          </w:p>
        </w:tc>
        <w:tc>
          <w:tcPr>
            <w:tcW w:w="1821" w:type="pct"/>
          </w:tcPr>
          <w:p w14:paraId="7A54391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Radiowave propagation studies and measurement campaigns in developing countries</w:t>
            </w:r>
          </w:p>
          <w:p w14:paraId="0C1FA61D" w14:textId="77777777" w:rsidR="0071492B" w:rsidRPr="00D30ACB" w:rsidRDefault="0071492B" w:rsidP="001B65AE">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35347031" w14:textId="77777777" w:rsidR="0071492B" w:rsidRPr="00D30ACB" w:rsidRDefault="0071492B" w:rsidP="001B65AE">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37C0D07B" w14:textId="77777777" w:rsidR="0071492B" w:rsidRPr="00D30ACB" w:rsidRDefault="0071492B" w:rsidP="001B65AE">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7B0ADFDD" w14:textId="77777777" w:rsidR="0071492B" w:rsidRPr="00D30ACB" w:rsidRDefault="0071492B" w:rsidP="001B65AE">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B3B11AD" w14:textId="77777777" w:rsidR="0071492B" w:rsidRPr="00D30ACB" w:rsidRDefault="0071492B" w:rsidP="001B65AE">
            <w:pPr>
              <w:tabs>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c>
          <w:tcPr>
            <w:tcW w:w="412" w:type="pct"/>
          </w:tcPr>
          <w:p w14:paraId="5422055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834DA2A" w14:textId="77777777" w:rsidR="0071492B" w:rsidRPr="00D30ACB" w:rsidRDefault="0071492B" w:rsidP="001B65AE">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5EA25021" w14:textId="77777777" w:rsidR="0071492B" w:rsidRPr="00D30ACB" w:rsidRDefault="0071492B" w:rsidP="001B65AE">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w:t>
            </w:r>
            <w:r w:rsidRPr="00D30ACB">
              <w:rPr>
                <w:rFonts w:cstheme="minorHAnsi"/>
                <w:sz w:val="20"/>
                <w:lang w:val="en-US"/>
              </w:rPr>
              <w:lastRenderedPageBreak/>
              <w:t>the Union to provide the countries concerned with adequate and effective technical assistance for the purpose of this Resolution,</w:t>
            </w:r>
          </w:p>
          <w:p w14:paraId="13E8D7C9" w14:textId="77777777" w:rsidR="0071492B" w:rsidRPr="00D30ACB" w:rsidRDefault="0071492B" w:rsidP="001B65AE">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6AAECAB" w14:textId="77777777" w:rsidR="0071492B" w:rsidRPr="00D30ACB" w:rsidRDefault="0071492B" w:rsidP="001B65AE">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71492B" w:rsidRPr="00D30ACB" w14:paraId="609227F2"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131A3BC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22" w:history="1">
              <w:r w:rsidRPr="00D30ACB">
                <w:rPr>
                  <w:rStyle w:val="Hyperlink"/>
                  <w:rFonts w:cstheme="minorHAnsi"/>
                  <w:bCs w:val="0"/>
                  <w:sz w:val="20"/>
                </w:rPr>
                <w:t>Res.9-7 (2023)</w:t>
              </w:r>
            </w:hyperlink>
          </w:p>
        </w:tc>
        <w:tc>
          <w:tcPr>
            <w:tcW w:w="1821" w:type="pct"/>
          </w:tcPr>
          <w:p w14:paraId="7074A4D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6" w:name="_Toc180537880"/>
            <w:r w:rsidRPr="00D30ACB">
              <w:rPr>
                <w:rFonts w:cstheme="minorHAnsi"/>
                <w:b/>
                <w:bCs/>
                <w:sz w:val="20"/>
                <w:lang w:val="en-US"/>
              </w:rPr>
              <w:t>Liaison and collaboration with other relevant organizations, in particular ISO, IEC</w:t>
            </w:r>
            <w:bookmarkEnd w:id="16"/>
            <w:r w:rsidRPr="00D30ACB">
              <w:rPr>
                <w:rFonts w:cstheme="minorHAnsi"/>
                <w:b/>
                <w:bCs/>
                <w:sz w:val="20"/>
                <w:lang w:val="en-US"/>
              </w:rPr>
              <w:t xml:space="preserve"> and CISPR</w:t>
            </w:r>
          </w:p>
        </w:tc>
        <w:tc>
          <w:tcPr>
            <w:tcW w:w="412" w:type="pct"/>
          </w:tcPr>
          <w:p w14:paraId="45E50B5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EF0379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275E42BB"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2136BD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3" w:history="1">
              <w:r w:rsidRPr="00D30ACB">
                <w:rPr>
                  <w:rStyle w:val="Hyperlink"/>
                  <w:rFonts w:cstheme="minorHAnsi"/>
                  <w:bCs w:val="0"/>
                  <w:sz w:val="20"/>
                </w:rPr>
                <w:t>Res.11-6 (2023)</w:t>
              </w:r>
            </w:hyperlink>
          </w:p>
        </w:tc>
        <w:tc>
          <w:tcPr>
            <w:tcW w:w="1821" w:type="pct"/>
          </w:tcPr>
          <w:p w14:paraId="1E1C294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3967BE3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BFA0E43" w14:textId="77777777" w:rsidR="0071492B" w:rsidRPr="00D30ACB" w:rsidRDefault="0071492B" w:rsidP="001B65AE">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230213F5"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14:paraId="21C45BE6"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D group of experts;</w:t>
            </w:r>
          </w:p>
          <w:p w14:paraId="05063B62"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R Recommendations on spectrum management, including those for notification and coordination purposes;</w:t>
            </w:r>
          </w:p>
          <w:p w14:paraId="5B20D440"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157B7731" w14:textId="77777777" w:rsidR="0071492B" w:rsidRPr="00D30ACB" w:rsidRDefault="0071492B" w:rsidP="001B65AE">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resolves</w:t>
            </w:r>
          </w:p>
          <w:p w14:paraId="3C984168"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Handbooks and Reports;</w:t>
            </w:r>
          </w:p>
          <w:p w14:paraId="38120BDF"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71492B" w:rsidRPr="00D30ACB" w14:paraId="5D338637"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632B5C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4" w:history="1">
              <w:r w:rsidRPr="00D30ACB">
                <w:rPr>
                  <w:rStyle w:val="Hyperlink"/>
                  <w:rFonts w:cstheme="minorHAnsi"/>
                  <w:bCs w:val="0"/>
                  <w:sz w:val="20"/>
                </w:rPr>
                <w:t>Res.12-2 (2023)</w:t>
              </w:r>
            </w:hyperlink>
          </w:p>
        </w:tc>
        <w:tc>
          <w:tcPr>
            <w:tcW w:w="1821" w:type="pct"/>
          </w:tcPr>
          <w:p w14:paraId="427590A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Handbooks and special publications for </w:t>
            </w:r>
            <w:proofErr w:type="gramStart"/>
            <w:r w:rsidRPr="00D30ACB">
              <w:rPr>
                <w:rFonts w:cstheme="minorHAnsi"/>
                <w:b/>
                <w:bCs/>
                <w:sz w:val="20"/>
                <w:lang w:val="en-US"/>
              </w:rPr>
              <w:t>development</w:t>
            </w:r>
            <w:proofErr w:type="gramEnd"/>
            <w:r w:rsidRPr="00D30ACB">
              <w:rPr>
                <w:rFonts w:cstheme="minorHAnsi"/>
                <w:b/>
                <w:bCs/>
                <w:sz w:val="20"/>
                <w:lang w:val="en-US"/>
              </w:rPr>
              <w:t xml:space="preserve"> of radiocommunication services</w:t>
            </w:r>
          </w:p>
        </w:tc>
        <w:tc>
          <w:tcPr>
            <w:tcW w:w="412" w:type="pct"/>
          </w:tcPr>
          <w:p w14:paraId="333C2BD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669CB24"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43A2F23A"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71492B" w:rsidRPr="00D30ACB" w14:paraId="637EAC19"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CB0E27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5" w:history="1">
              <w:r w:rsidRPr="00D30ACB">
                <w:rPr>
                  <w:rStyle w:val="Hyperlink"/>
                  <w:rFonts w:cstheme="minorHAnsi"/>
                  <w:bCs w:val="0"/>
                  <w:sz w:val="20"/>
                </w:rPr>
                <w:t>Res.15-6 (2015)</w:t>
              </w:r>
            </w:hyperlink>
          </w:p>
        </w:tc>
        <w:tc>
          <w:tcPr>
            <w:tcW w:w="1821" w:type="pct"/>
          </w:tcPr>
          <w:p w14:paraId="48EBE98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17" w:name="_Toc180537886"/>
            <w:r w:rsidRPr="0C05AEFB">
              <w:rPr>
                <w:rFonts w:cstheme="minorBidi"/>
                <w:b/>
                <w:bCs/>
                <w:sz w:val="20"/>
                <w:lang w:val="en-US"/>
              </w:rPr>
              <w:t>Appointment and maximum term of office for Chairmen and Vice Chairmen of Radiocommunication Study Groups, the Coordination Committee for Vocabulary and of the Radiocommunication Advisory Group</w:t>
            </w:r>
            <w:bookmarkEnd w:id="17"/>
          </w:p>
        </w:tc>
        <w:tc>
          <w:tcPr>
            <w:tcW w:w="412" w:type="pct"/>
          </w:tcPr>
          <w:p w14:paraId="1D6BEAF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022D628"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4764B9D2"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0D9D26A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6" w:history="1">
              <w:r w:rsidRPr="00D30ACB">
                <w:rPr>
                  <w:rStyle w:val="Hyperlink"/>
                  <w:rFonts w:cstheme="minorHAnsi"/>
                  <w:bCs w:val="0"/>
                  <w:sz w:val="20"/>
                </w:rPr>
                <w:t>Res.19-6 (2023)</w:t>
              </w:r>
            </w:hyperlink>
          </w:p>
        </w:tc>
        <w:tc>
          <w:tcPr>
            <w:tcW w:w="1821" w:type="pct"/>
          </w:tcPr>
          <w:p w14:paraId="60E1B4C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8" w:name="_Toc180537890"/>
            <w:r w:rsidRPr="00D30ACB">
              <w:rPr>
                <w:rFonts w:cstheme="minorHAnsi"/>
                <w:b/>
                <w:bCs/>
                <w:sz w:val="20"/>
                <w:lang w:val="en-US"/>
              </w:rPr>
              <w:t>Dissemination of ITU-R texts</w:t>
            </w:r>
            <w:bookmarkEnd w:id="18"/>
          </w:p>
        </w:tc>
        <w:tc>
          <w:tcPr>
            <w:tcW w:w="412" w:type="pct"/>
          </w:tcPr>
          <w:p w14:paraId="4DE03E4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EC1444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4A6AE35E"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E39945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Pr="00D30ACB">
                <w:rPr>
                  <w:rStyle w:val="Hyperlink"/>
                  <w:rFonts w:cstheme="minorHAnsi"/>
                  <w:bCs w:val="0"/>
                  <w:sz w:val="20"/>
                </w:rPr>
                <w:t>Res.22-6 (2023)</w:t>
              </w:r>
            </w:hyperlink>
          </w:p>
        </w:tc>
        <w:tc>
          <w:tcPr>
            <w:tcW w:w="1821" w:type="pct"/>
          </w:tcPr>
          <w:p w14:paraId="01FBB7E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9" w:name="_Toc180537892"/>
            <w:r w:rsidRPr="00D30ACB">
              <w:rPr>
                <w:rFonts w:cstheme="minorHAnsi"/>
                <w:b/>
                <w:bCs/>
                <w:sz w:val="20"/>
                <w:lang w:val="en-US"/>
              </w:rPr>
              <w:t>Improvement of national radio spectrum management practices and techniques</w:t>
            </w:r>
            <w:bookmarkEnd w:id="19"/>
          </w:p>
        </w:tc>
        <w:tc>
          <w:tcPr>
            <w:tcW w:w="412" w:type="pct"/>
          </w:tcPr>
          <w:p w14:paraId="30CACFB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8E8AA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0A334DC6"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01A162C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28" w:history="1">
              <w:r w:rsidRPr="00D30ACB">
                <w:rPr>
                  <w:rStyle w:val="Hyperlink"/>
                  <w:rFonts w:cstheme="minorHAnsi"/>
                  <w:bCs w:val="0"/>
                  <w:sz w:val="20"/>
                </w:rPr>
                <w:t>Res.23-4 (2023)</w:t>
              </w:r>
            </w:hyperlink>
          </w:p>
        </w:tc>
        <w:tc>
          <w:tcPr>
            <w:tcW w:w="1821" w:type="pct"/>
          </w:tcPr>
          <w:p w14:paraId="2757D0D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94"/>
            <w:r w:rsidRPr="00D30ACB">
              <w:rPr>
                <w:rFonts w:cstheme="minorHAnsi"/>
                <w:b/>
                <w:bCs/>
                <w:sz w:val="20"/>
                <w:lang w:val="en-US"/>
              </w:rPr>
              <w:t>Extension of the international monitoring system to a worldwide scale</w:t>
            </w:r>
            <w:bookmarkEnd w:id="20"/>
          </w:p>
        </w:tc>
        <w:tc>
          <w:tcPr>
            <w:tcW w:w="412" w:type="pct"/>
          </w:tcPr>
          <w:p w14:paraId="6EF308A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C9F66A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4AF01FE6"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D3B64B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9" w:history="1">
              <w:r w:rsidRPr="00D30ACB">
                <w:rPr>
                  <w:rStyle w:val="Hyperlink"/>
                  <w:rFonts w:cstheme="minorHAnsi"/>
                  <w:bCs w:val="0"/>
                  <w:sz w:val="20"/>
                </w:rPr>
                <w:t>Res.25-3 (2012)</w:t>
              </w:r>
            </w:hyperlink>
          </w:p>
        </w:tc>
        <w:tc>
          <w:tcPr>
            <w:tcW w:w="1821" w:type="pct"/>
          </w:tcPr>
          <w:p w14:paraId="1A92CA3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1" w:name="_Toc180537896"/>
            <w:r w:rsidRPr="00D30ACB">
              <w:rPr>
                <w:rFonts w:cstheme="minorHAnsi"/>
                <w:b/>
                <w:bCs/>
                <w:sz w:val="20"/>
                <w:lang w:val="en-US"/>
              </w:rPr>
              <w:t>Computer programs and associated reference numerical data for radiowave propagation studies</w:t>
            </w:r>
            <w:bookmarkEnd w:id="21"/>
          </w:p>
        </w:tc>
        <w:tc>
          <w:tcPr>
            <w:tcW w:w="412" w:type="pct"/>
          </w:tcPr>
          <w:p w14:paraId="0C6594C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00856A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0043012A"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7904AA58"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Cs w:val="0"/>
                  <w:sz w:val="20"/>
                </w:rPr>
                <w:t>Res.28-2 (2012)</w:t>
              </w:r>
            </w:hyperlink>
          </w:p>
        </w:tc>
        <w:tc>
          <w:tcPr>
            <w:tcW w:w="1821" w:type="pct"/>
          </w:tcPr>
          <w:p w14:paraId="4307F27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8"/>
            <w:r w:rsidRPr="00D30ACB">
              <w:rPr>
                <w:rFonts w:cstheme="minorHAnsi"/>
                <w:b/>
                <w:bCs/>
                <w:sz w:val="20"/>
                <w:lang w:val="en-US"/>
              </w:rPr>
              <w:t>Standard-frequency and time-signal emissions</w:t>
            </w:r>
            <w:bookmarkEnd w:id="22"/>
          </w:p>
        </w:tc>
        <w:tc>
          <w:tcPr>
            <w:tcW w:w="412" w:type="pct"/>
          </w:tcPr>
          <w:p w14:paraId="22EDD33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CCB4D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30FDE138"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90664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1" w:history="1">
              <w:r w:rsidRPr="00D30ACB">
                <w:rPr>
                  <w:rStyle w:val="Hyperlink"/>
                  <w:rFonts w:cstheme="minorHAnsi"/>
                  <w:bCs w:val="0"/>
                  <w:sz w:val="20"/>
                </w:rPr>
                <w:t>Res.36-6 (2023)</w:t>
              </w:r>
            </w:hyperlink>
          </w:p>
        </w:tc>
        <w:tc>
          <w:tcPr>
            <w:tcW w:w="1821" w:type="pct"/>
          </w:tcPr>
          <w:p w14:paraId="2FB15AB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906"/>
            <w:r w:rsidRPr="00D30ACB">
              <w:rPr>
                <w:rFonts w:cstheme="minorHAnsi"/>
                <w:b/>
                <w:bCs/>
                <w:sz w:val="20"/>
                <w:lang w:val="en-US"/>
              </w:rPr>
              <w:t>Coordination of vocabulary</w:t>
            </w:r>
            <w:bookmarkEnd w:id="23"/>
            <w:r w:rsidRPr="00D30ACB">
              <w:rPr>
                <w:rFonts w:cstheme="minorHAnsi"/>
                <w:b/>
                <w:bCs/>
                <w:sz w:val="20"/>
                <w:lang w:val="en-US"/>
              </w:rPr>
              <w:t xml:space="preserve"> in the six official languages of the Union on an equal footing in the ITU Radiocommunication Sector</w:t>
            </w:r>
          </w:p>
        </w:tc>
        <w:tc>
          <w:tcPr>
            <w:tcW w:w="412" w:type="pct"/>
          </w:tcPr>
          <w:p w14:paraId="41F2C07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18CDFA0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71492B" w:rsidRPr="00D30ACB" w14:paraId="61F80FBD"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16B5F2C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2" w:history="1">
              <w:r w:rsidRPr="00D30ACB">
                <w:rPr>
                  <w:rStyle w:val="Hyperlink"/>
                  <w:rFonts w:cstheme="minorHAnsi"/>
                  <w:bCs w:val="0"/>
                  <w:sz w:val="20"/>
                </w:rPr>
                <w:t>Res.37 (1995)</w:t>
              </w:r>
            </w:hyperlink>
          </w:p>
        </w:tc>
        <w:tc>
          <w:tcPr>
            <w:tcW w:w="1821" w:type="pct"/>
          </w:tcPr>
          <w:p w14:paraId="5D301A3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908"/>
            <w:r w:rsidRPr="00D30ACB">
              <w:rPr>
                <w:rFonts w:cstheme="minorHAnsi"/>
                <w:b/>
                <w:bCs/>
                <w:sz w:val="20"/>
                <w:lang w:val="en-US"/>
              </w:rPr>
              <w:t>Radio-wave propagation studies for system design and service planning</w:t>
            </w:r>
            <w:bookmarkEnd w:id="24"/>
          </w:p>
        </w:tc>
        <w:tc>
          <w:tcPr>
            <w:tcW w:w="412" w:type="pct"/>
          </w:tcPr>
          <w:p w14:paraId="196B240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E51C4C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47396D61"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480BE0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sidRPr="00D30ACB">
                <w:rPr>
                  <w:rStyle w:val="Hyperlink"/>
                  <w:rFonts w:cstheme="minorHAnsi"/>
                  <w:bCs w:val="0"/>
                  <w:sz w:val="20"/>
                </w:rPr>
                <w:t>Res.40-4 (2015)</w:t>
              </w:r>
            </w:hyperlink>
          </w:p>
        </w:tc>
        <w:tc>
          <w:tcPr>
            <w:tcW w:w="1821" w:type="pct"/>
          </w:tcPr>
          <w:p w14:paraId="5A05AE8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912"/>
            <w:r w:rsidRPr="00D30ACB">
              <w:rPr>
                <w:rFonts w:cstheme="minorHAnsi"/>
                <w:b/>
                <w:bCs/>
                <w:sz w:val="20"/>
                <w:lang w:val="en-US"/>
              </w:rPr>
              <w:t>Worldwide database of terrain height and surface features</w:t>
            </w:r>
            <w:bookmarkEnd w:id="25"/>
          </w:p>
        </w:tc>
        <w:tc>
          <w:tcPr>
            <w:tcW w:w="412" w:type="pct"/>
          </w:tcPr>
          <w:p w14:paraId="2705A1E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E1FDBA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3E4B87DB"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0125FD6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4" w:history="1">
              <w:r w:rsidRPr="00D30ACB">
                <w:rPr>
                  <w:rStyle w:val="Hyperlink"/>
                  <w:rFonts w:cstheme="minorHAnsi"/>
                  <w:bCs w:val="0"/>
                  <w:sz w:val="20"/>
                </w:rPr>
                <w:t>Res.47-2 (2012)</w:t>
              </w:r>
            </w:hyperlink>
          </w:p>
        </w:tc>
        <w:tc>
          <w:tcPr>
            <w:tcW w:w="1821" w:type="pct"/>
          </w:tcPr>
          <w:p w14:paraId="29781A9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918"/>
            <w:r w:rsidRPr="00D30ACB">
              <w:rPr>
                <w:rFonts w:cstheme="minorHAnsi"/>
                <w:b/>
                <w:bCs/>
                <w:sz w:val="20"/>
                <w:lang w:val="en-US"/>
              </w:rPr>
              <w:t>Future submission of satellite radio transmission technologies for IMT-2000</w:t>
            </w:r>
            <w:bookmarkEnd w:id="26"/>
          </w:p>
        </w:tc>
        <w:tc>
          <w:tcPr>
            <w:tcW w:w="412" w:type="pct"/>
          </w:tcPr>
          <w:p w14:paraId="7FA1AE9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78B4772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206BDB88"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2A7A60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Pr="00D30ACB">
                <w:rPr>
                  <w:rStyle w:val="Hyperlink"/>
                  <w:rFonts w:cstheme="minorHAnsi"/>
                  <w:bCs w:val="0"/>
                  <w:sz w:val="20"/>
                </w:rPr>
                <w:t>Res.48-3 (2019)</w:t>
              </w:r>
            </w:hyperlink>
          </w:p>
        </w:tc>
        <w:tc>
          <w:tcPr>
            <w:tcW w:w="1821" w:type="pct"/>
          </w:tcPr>
          <w:p w14:paraId="249A94E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20"/>
            <w:r w:rsidRPr="00D30ACB">
              <w:rPr>
                <w:rFonts w:cstheme="minorHAnsi"/>
                <w:b/>
                <w:bCs/>
                <w:sz w:val="20"/>
                <w:lang w:val="en-US"/>
              </w:rPr>
              <w:t>Strengthening the regional presence in the Radiocommunication Study Group work</w:t>
            </w:r>
            <w:bookmarkEnd w:id="27"/>
          </w:p>
        </w:tc>
        <w:tc>
          <w:tcPr>
            <w:tcW w:w="412" w:type="pct"/>
          </w:tcPr>
          <w:p w14:paraId="594FE4C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9092F6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0E04D4D8"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4D1BFD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6" w:history="1">
              <w:r w:rsidRPr="00D30ACB">
                <w:rPr>
                  <w:rStyle w:val="Hyperlink"/>
                  <w:rFonts w:cstheme="minorHAnsi"/>
                  <w:bCs w:val="0"/>
                  <w:sz w:val="20"/>
                </w:rPr>
                <w:t>Res.50-5 (2023)</w:t>
              </w:r>
            </w:hyperlink>
          </w:p>
        </w:tc>
        <w:tc>
          <w:tcPr>
            <w:tcW w:w="1821" w:type="pct"/>
          </w:tcPr>
          <w:p w14:paraId="5DB9168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22"/>
            <w:r w:rsidRPr="00D30ACB">
              <w:rPr>
                <w:rFonts w:cstheme="minorHAnsi"/>
                <w:b/>
                <w:bCs/>
                <w:sz w:val="20"/>
                <w:lang w:val="en-US"/>
              </w:rPr>
              <w:t>Role of the Radiocommunication Sector in the ongoing development of IMT</w:t>
            </w:r>
            <w:bookmarkEnd w:id="28"/>
          </w:p>
        </w:tc>
        <w:tc>
          <w:tcPr>
            <w:tcW w:w="412" w:type="pct"/>
          </w:tcPr>
          <w:p w14:paraId="20A25C8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FC4DAA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67435739"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A66215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Pr="00D30ACB">
                <w:rPr>
                  <w:rStyle w:val="Hyperlink"/>
                  <w:rFonts w:cstheme="minorHAnsi"/>
                  <w:bCs w:val="0"/>
                  <w:sz w:val="20"/>
                </w:rPr>
                <w:t>Res.52-1 (2015)</w:t>
              </w:r>
            </w:hyperlink>
          </w:p>
        </w:tc>
        <w:tc>
          <w:tcPr>
            <w:tcW w:w="1821" w:type="pct"/>
          </w:tcPr>
          <w:p w14:paraId="6B19A2E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24"/>
            <w:r w:rsidRPr="00D30ACB">
              <w:rPr>
                <w:rFonts w:cstheme="minorHAnsi"/>
                <w:b/>
                <w:bCs/>
                <w:sz w:val="20"/>
                <w:lang w:val="en-US"/>
              </w:rPr>
              <w:t>Authorization for the Radiocommunication Advisory Group (RAG) to act between Radiocommunication Assemblies (RAs)</w:t>
            </w:r>
            <w:bookmarkEnd w:id="29"/>
          </w:p>
        </w:tc>
        <w:tc>
          <w:tcPr>
            <w:tcW w:w="412" w:type="pct"/>
          </w:tcPr>
          <w:p w14:paraId="518C514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F16583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4D7AE442"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1D7621B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Pr="00D30ACB">
                <w:rPr>
                  <w:rStyle w:val="Hyperlink"/>
                  <w:rFonts w:cstheme="minorHAnsi"/>
                  <w:bCs w:val="0"/>
                  <w:sz w:val="20"/>
                </w:rPr>
                <w:t>Res.54-4 (2023)</w:t>
              </w:r>
            </w:hyperlink>
          </w:p>
        </w:tc>
        <w:tc>
          <w:tcPr>
            <w:tcW w:w="1821" w:type="pct"/>
          </w:tcPr>
          <w:p w14:paraId="57F8348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28"/>
            <w:r w:rsidRPr="00D30ACB">
              <w:rPr>
                <w:rFonts w:cstheme="minorHAnsi"/>
                <w:b/>
                <w:bCs/>
                <w:sz w:val="20"/>
                <w:lang w:val="en-US"/>
              </w:rPr>
              <w:t>Studies to achieve harmonization for short-range devices</w:t>
            </w:r>
            <w:bookmarkEnd w:id="30"/>
          </w:p>
        </w:tc>
        <w:tc>
          <w:tcPr>
            <w:tcW w:w="412" w:type="pct"/>
          </w:tcPr>
          <w:p w14:paraId="68052BF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7375C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3B213BDF"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E9386F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9" w:history="1">
              <w:r w:rsidRPr="00D30ACB">
                <w:rPr>
                  <w:rStyle w:val="Hyperlink"/>
                  <w:rFonts w:cstheme="minorHAnsi"/>
                  <w:bCs w:val="0"/>
                  <w:sz w:val="20"/>
                </w:rPr>
                <w:t>Res.55-4 (2023)</w:t>
              </w:r>
            </w:hyperlink>
          </w:p>
        </w:tc>
        <w:tc>
          <w:tcPr>
            <w:tcW w:w="1821" w:type="pct"/>
          </w:tcPr>
          <w:p w14:paraId="7CAD035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14665CE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606CF3A" w14:textId="77777777" w:rsidR="0071492B" w:rsidRPr="00D30ACB" w:rsidRDefault="0071492B" w:rsidP="001B65AE">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3E48BE96"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response; </w:t>
            </w:r>
          </w:p>
          <w:p w14:paraId="07C44428" w14:textId="77777777" w:rsidR="0071492B" w:rsidRPr="00D30ACB" w:rsidRDefault="0071492B" w:rsidP="001B65AE">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invites the study groups</w:t>
            </w:r>
          </w:p>
          <w:p w14:paraId="0F7766D6"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40"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1"/>
              <w:t>1</w:t>
            </w:r>
            <w:r w:rsidRPr="00D30ACB">
              <w:rPr>
                <w:rFonts w:cstheme="minorHAnsi"/>
                <w:sz w:val="20"/>
                <w:lang w:val="en-US"/>
              </w:rPr>
              <w:t xml:space="preserve"> and information provided </w:t>
            </w:r>
            <w:r w:rsidRPr="00D30ACB">
              <w:rPr>
                <w:rFonts w:cstheme="minorHAnsi"/>
                <w:sz w:val="20"/>
                <w:lang w:val="en-US"/>
              </w:rPr>
              <w:lastRenderedPageBreak/>
              <w:t>by the Bureau on related activities of the other two Sectors and the General Secretariat, in the development of their work programmes in order to avoid duplication of effort.</w:t>
            </w:r>
          </w:p>
          <w:p w14:paraId="72B0CAF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0367AB3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w:t>
            </w:r>
            <w:proofErr w:type="gramStart"/>
            <w:r w:rsidRPr="00D30ACB">
              <w:rPr>
                <w:rFonts w:cstheme="minorHAnsi"/>
                <w:sz w:val="20"/>
                <w:lang w:val="en-US"/>
              </w:rPr>
              <w:t>list</w:t>
            </w:r>
            <w:proofErr w:type="gramEnd"/>
            <w:r w:rsidRPr="00D30ACB">
              <w:rPr>
                <w:rFonts w:cstheme="minorHAnsi"/>
                <w:sz w:val="20"/>
                <w:lang w:val="en-US"/>
              </w:rPr>
              <w:t xml:space="preserve"> of all relevant recommendations, reports and handbooks of ITU-R sector dealing with the subject issue. ITU-D report </w:t>
            </w:r>
            <w:hyperlink r:id="rId41"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referenced )</w:t>
            </w:r>
          </w:p>
        </w:tc>
      </w:tr>
      <w:tr w:rsidR="0071492B" w:rsidRPr="00D30ACB" w14:paraId="5C763671"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0502A56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2" w:history="1">
              <w:r w:rsidRPr="00D30ACB">
                <w:rPr>
                  <w:rStyle w:val="Hyperlink"/>
                  <w:rFonts w:cstheme="minorHAnsi"/>
                  <w:bCs w:val="0"/>
                  <w:sz w:val="20"/>
                </w:rPr>
                <w:t>Res.56-3 (2023)</w:t>
              </w:r>
            </w:hyperlink>
          </w:p>
        </w:tc>
        <w:tc>
          <w:tcPr>
            <w:tcW w:w="1821" w:type="pct"/>
          </w:tcPr>
          <w:p w14:paraId="518FBCD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1" w:name="_Toc180537932"/>
            <w:r w:rsidRPr="00D30ACB">
              <w:rPr>
                <w:rFonts w:cstheme="minorHAnsi"/>
                <w:b/>
                <w:bCs/>
                <w:sz w:val="20"/>
                <w:lang w:val="en-US"/>
              </w:rPr>
              <w:t>Naming for International Mobile Telecommunications</w:t>
            </w:r>
            <w:bookmarkEnd w:id="31"/>
          </w:p>
        </w:tc>
        <w:tc>
          <w:tcPr>
            <w:tcW w:w="412" w:type="pct"/>
          </w:tcPr>
          <w:p w14:paraId="124BE02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3E297BA"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26E37B76"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Bidi"/>
                <w:sz w:val="20"/>
                <w:lang w:val="en-US"/>
              </w:rPr>
            </w:pPr>
            <w:r w:rsidRPr="7ADFB2BB">
              <w:rPr>
                <w:rFonts w:cstheme="minorBidi"/>
                <w:sz w:val="20"/>
                <w:lang w:val="en-US"/>
              </w:rPr>
              <w:t>1</w:t>
            </w:r>
            <w:r>
              <w:tab/>
            </w:r>
            <w:r w:rsidRPr="7ADFB2BB">
              <w:rPr>
                <w:rFonts w:cstheme="minorBidi"/>
                <w:sz w:val="20"/>
                <w:lang w:val="en-US"/>
              </w:rPr>
              <w:t xml:space="preserve">that the term “IMT-2000” encompasses also the enhancements and future developments of IMT-2000, and that </w:t>
            </w:r>
            <w:r w:rsidRPr="7ADFB2BB">
              <w:rPr>
                <w:rFonts w:cstheme="minorBidi"/>
                <w:i/>
                <w:iCs/>
                <w:sz w:val="20"/>
                <w:lang w:val="en-US"/>
              </w:rPr>
              <w:t>recognizing</w:t>
            </w:r>
            <w:r w:rsidRPr="7ADFB2BB">
              <w:rPr>
                <w:rFonts w:cstheme="minorBidi"/>
                <w:sz w:val="20"/>
                <w:lang w:val="en-US"/>
              </w:rPr>
              <w:t xml:space="preserve"> </w:t>
            </w:r>
            <w:r w:rsidRPr="7ADFB2BB">
              <w:rPr>
                <w:rFonts w:cstheme="minorBidi"/>
                <w:i/>
                <w:iCs/>
                <w:sz w:val="20"/>
                <w:lang w:val="en-US"/>
              </w:rPr>
              <w:t>g)</w:t>
            </w:r>
            <w:r w:rsidRPr="7ADFB2BB">
              <w:rPr>
                <w:rFonts w:cstheme="minorBidi"/>
                <w:sz w:val="20"/>
                <w:lang w:val="en-US"/>
              </w:rPr>
              <w:t xml:space="preserve"> applies;</w:t>
            </w:r>
          </w:p>
          <w:p w14:paraId="00041CE3"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applies;</w:t>
            </w:r>
          </w:p>
          <w:p w14:paraId="38D4DABA"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i)</w:t>
            </w:r>
            <w:r w:rsidRPr="00D30ACB">
              <w:rPr>
                <w:rFonts w:cstheme="minorHAnsi"/>
                <w:sz w:val="20"/>
                <w:lang w:val="en-US"/>
              </w:rPr>
              <w:t xml:space="preserve"> applies; </w:t>
            </w:r>
          </w:p>
          <w:p w14:paraId="58D7D621"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applies;</w:t>
            </w:r>
          </w:p>
          <w:p w14:paraId="6B3E9F68" w14:textId="77777777" w:rsidR="0071492B" w:rsidRPr="00D30ACB" w:rsidRDefault="0071492B" w:rsidP="001B65AE">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5</w:t>
            </w:r>
            <w:r w:rsidRPr="00D30ACB">
              <w:rPr>
                <w:rFonts w:cstheme="minorHAnsi"/>
                <w:sz w:val="20"/>
                <w:lang w:val="en-US"/>
              </w:rPr>
              <w:tab/>
              <w:t>that the term “IMT” be the name that collectively applies to “IMT-2000”, “IMT-Advanced”, “IMT-2020”, and “IMT-2030”.</w:t>
            </w:r>
          </w:p>
        </w:tc>
      </w:tr>
      <w:tr w:rsidR="0071492B" w:rsidRPr="00D30ACB" w14:paraId="04A8992D"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E1368F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Pr="00D30ACB">
                <w:rPr>
                  <w:rStyle w:val="Hyperlink"/>
                  <w:rFonts w:cstheme="minorHAnsi"/>
                  <w:bCs w:val="0"/>
                  <w:sz w:val="20"/>
                </w:rPr>
                <w:t>Res.57-2 (2015)</w:t>
              </w:r>
            </w:hyperlink>
          </w:p>
        </w:tc>
        <w:tc>
          <w:tcPr>
            <w:tcW w:w="1821" w:type="pct"/>
          </w:tcPr>
          <w:p w14:paraId="09AF86E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2" w:name="_Toc180537934"/>
            <w:r w:rsidRPr="00D30ACB">
              <w:rPr>
                <w:rFonts w:cstheme="minorHAnsi"/>
                <w:b/>
                <w:bCs/>
                <w:sz w:val="20"/>
                <w:lang w:val="en-US"/>
              </w:rPr>
              <w:t>Principles for the process of development of IMT-Advanced</w:t>
            </w:r>
            <w:bookmarkEnd w:id="32"/>
          </w:p>
        </w:tc>
        <w:tc>
          <w:tcPr>
            <w:tcW w:w="412" w:type="pct"/>
          </w:tcPr>
          <w:p w14:paraId="2DD63ED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F3523B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49854F51"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5308F77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Cs w:val="0"/>
                  <w:sz w:val="20"/>
                </w:rPr>
                <w:t>Res.58-2 (2019)</w:t>
              </w:r>
            </w:hyperlink>
          </w:p>
        </w:tc>
        <w:tc>
          <w:tcPr>
            <w:tcW w:w="1821" w:type="pct"/>
          </w:tcPr>
          <w:p w14:paraId="1A0A58D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19FEE3F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27BFC2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42E2343F"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A40A68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5" w:history="1">
              <w:r w:rsidRPr="00D30ACB">
                <w:rPr>
                  <w:rStyle w:val="Hyperlink"/>
                  <w:rFonts w:cstheme="minorHAnsi"/>
                  <w:bCs w:val="0"/>
                  <w:sz w:val="20"/>
                </w:rPr>
                <w:t>Res.59-3 (2023)</w:t>
              </w:r>
            </w:hyperlink>
          </w:p>
        </w:tc>
        <w:tc>
          <w:tcPr>
            <w:tcW w:w="1821" w:type="pct"/>
          </w:tcPr>
          <w:p w14:paraId="3D41433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0BBB607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E71129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4280FB65"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7AFB1A1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6" w:history="1">
              <w:r w:rsidRPr="00D30ACB">
                <w:rPr>
                  <w:rStyle w:val="Hyperlink"/>
                  <w:rFonts w:cstheme="minorHAnsi"/>
                  <w:bCs w:val="0"/>
                  <w:sz w:val="20"/>
                </w:rPr>
                <w:t>Res.60-3 (2023)</w:t>
              </w:r>
            </w:hyperlink>
          </w:p>
        </w:tc>
        <w:tc>
          <w:tcPr>
            <w:tcW w:w="1821" w:type="pct"/>
          </w:tcPr>
          <w:p w14:paraId="0E25EAC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5FADCF0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ED2D58"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0AF159F8"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14 December 2007, highlighted the role of ICTs as both a contributor to climate change, and an important element in tackling the challenge;</w:t>
            </w:r>
          </w:p>
          <w:p w14:paraId="68154021"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 xml:space="preserve">further </w:t>
            </w:r>
            <w:proofErr w:type="gramStart"/>
            <w:r w:rsidRPr="00D30ACB">
              <w:rPr>
                <w:rFonts w:eastAsia="MS Mincho" w:cstheme="minorHAnsi"/>
                <w:i/>
                <w:sz w:val="20"/>
                <w:lang w:val="en-US"/>
              </w:rPr>
              <w:t>considering</w:t>
            </w:r>
            <w:proofErr w:type="gramEnd"/>
          </w:p>
          <w:p w14:paraId="124A254E"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D Question 3/1, on the use of telecommunications/ICTs for disaster risk reduction and management, resources, and active and passive space-based sensing systems as they apply to disaster and emergency relief situations;</w:t>
            </w:r>
          </w:p>
          <w:p w14:paraId="4185E9B8"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D Question 6/2 examines the links between ICTs, climate change, global greenhouse gas (GHG) emission reduction and development, as these fields become increasingly interlocked due to the magnifying effect of climate change on existing development challenges and vulnerabilities;</w:t>
            </w:r>
          </w:p>
          <w:p w14:paraId="4963FD27"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1BF39BAF"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t>taking into account</w:t>
            </w:r>
            <w:proofErr w:type="gramEnd"/>
          </w:p>
          <w:p w14:paraId="6BA84C3B"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
          <w:p w14:paraId="32817476"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lastRenderedPageBreak/>
              <w:t>resolves</w:t>
            </w:r>
          </w:p>
          <w:p w14:paraId="2B5DA49E"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71492B" w:rsidRPr="00D30ACB" w14:paraId="7DCE3F8E"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9391BC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sidRPr="00D30ACB">
                <w:rPr>
                  <w:rStyle w:val="Hyperlink"/>
                  <w:rFonts w:cstheme="minorHAnsi"/>
                  <w:bCs w:val="0"/>
                  <w:sz w:val="20"/>
                </w:rPr>
                <w:t>Res.61-3(2023)</w:t>
              </w:r>
            </w:hyperlink>
          </w:p>
        </w:tc>
        <w:tc>
          <w:tcPr>
            <w:tcW w:w="1821" w:type="pct"/>
          </w:tcPr>
          <w:p w14:paraId="4EEC2D3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5590459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ACB8AAE" w14:textId="77777777" w:rsidR="0071492B" w:rsidRPr="00D30ACB" w:rsidRDefault="0071492B" w:rsidP="001B65AE">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0D93E53E"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the programmes, activities and regional initiatives being carried out in accordance with the decisions of WTDC</w:t>
            </w:r>
            <w:r w:rsidRPr="00D30ACB">
              <w:rPr>
                <w:rFonts w:cstheme="minorHAnsi"/>
                <w:sz w:val="20"/>
                <w:lang w:val="en-US"/>
              </w:rPr>
              <w:noBreakHyphen/>
              <w:t>22 for bridging the digital divide</w:t>
            </w:r>
          </w:p>
        </w:tc>
      </w:tr>
      <w:tr w:rsidR="0071492B" w:rsidRPr="00D30ACB" w14:paraId="7358DF84"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C69281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8" w:history="1">
              <w:r w:rsidRPr="00D30ACB">
                <w:rPr>
                  <w:rStyle w:val="Hyperlink"/>
                  <w:rFonts w:cstheme="minorHAnsi"/>
                  <w:bCs w:val="0"/>
                  <w:sz w:val="20"/>
                </w:rPr>
                <w:t>Res.62-3 (2023)</w:t>
              </w:r>
            </w:hyperlink>
          </w:p>
        </w:tc>
        <w:tc>
          <w:tcPr>
            <w:tcW w:w="1821" w:type="pct"/>
          </w:tcPr>
          <w:p w14:paraId="1933DDC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75D0435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1B4E402"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239BF493"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310268B2"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44773E78"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there is an increasing number of complaints that equipment is often not fully interoperable with other equipment;</w:t>
            </w:r>
          </w:p>
          <w:p w14:paraId="2DA45836"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some countries, especially the developing countries, have not yet acquired the capacity to test equipment and provide assurance to consumers in their countries;</w:t>
            </w:r>
          </w:p>
          <w:p w14:paraId="14D8E88F"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605E80BA"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t>taking into account</w:t>
            </w:r>
            <w:proofErr w:type="gramEnd"/>
          </w:p>
          <w:p w14:paraId="247D440D"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w:t>
            </w:r>
            <w:r w:rsidRPr="00D30ACB">
              <w:rPr>
                <w:rFonts w:cstheme="minorHAnsi"/>
                <w:sz w:val="20"/>
                <w:lang w:val="en-US"/>
              </w:rPr>
              <w:lastRenderedPageBreak/>
              <w:t xml:space="preserve">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74A87073"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CEEE1C9"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71492B" w:rsidRPr="00D30ACB" w14:paraId="0B98593C"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83C2C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9" w:history="1">
              <w:r w:rsidRPr="00D30ACB">
                <w:rPr>
                  <w:rStyle w:val="Hyperlink"/>
                  <w:rFonts w:cstheme="minorHAnsi"/>
                  <w:bCs w:val="0"/>
                  <w:sz w:val="20"/>
                </w:rPr>
                <w:t>Res.64 (2015)</w:t>
              </w:r>
            </w:hyperlink>
          </w:p>
        </w:tc>
        <w:tc>
          <w:tcPr>
            <w:tcW w:w="1821" w:type="pct"/>
          </w:tcPr>
          <w:p w14:paraId="60D39DC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3158236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D52C69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5B908B8A"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6EA3FAE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0" w:history="1">
              <w:r w:rsidRPr="00D30ACB">
                <w:rPr>
                  <w:rStyle w:val="Hyperlink"/>
                  <w:rFonts w:cstheme="minorHAnsi"/>
                  <w:bCs w:val="0"/>
                  <w:sz w:val="20"/>
                </w:rPr>
                <w:t>Res.65-1 (2023)</w:t>
              </w:r>
            </w:hyperlink>
          </w:p>
        </w:tc>
        <w:tc>
          <w:tcPr>
            <w:tcW w:w="1821" w:type="pct"/>
          </w:tcPr>
          <w:p w14:paraId="23DC90C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5FAA489A" w14:textId="77777777" w:rsidR="0071492B" w:rsidRPr="00D30ACB" w:rsidDel="00CE083E"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2B02BE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730EE670"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46126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1" w:history="1">
              <w:r w:rsidRPr="00D30ACB">
                <w:rPr>
                  <w:rStyle w:val="Hyperlink"/>
                  <w:rFonts w:cstheme="minorHAnsi"/>
                  <w:bCs w:val="0"/>
                  <w:sz w:val="20"/>
                </w:rPr>
                <w:t>Res.66-2 (2023)</w:t>
              </w:r>
            </w:hyperlink>
          </w:p>
        </w:tc>
        <w:tc>
          <w:tcPr>
            <w:tcW w:w="1821" w:type="pct"/>
          </w:tcPr>
          <w:p w14:paraId="423E1C58"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63D224A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FD4D57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55901933"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1DAB423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2" w:history="1">
              <w:r w:rsidRPr="00D30ACB">
                <w:rPr>
                  <w:rStyle w:val="Hyperlink"/>
                  <w:rFonts w:cstheme="minorHAnsi"/>
                  <w:bCs w:val="0"/>
                  <w:sz w:val="20"/>
                </w:rPr>
                <w:t>Res.67-2 (2023)</w:t>
              </w:r>
            </w:hyperlink>
          </w:p>
        </w:tc>
        <w:tc>
          <w:tcPr>
            <w:tcW w:w="1821" w:type="pct"/>
          </w:tcPr>
          <w:p w14:paraId="4E17DE4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Telecommunication/ICT accessibility for </w:t>
            </w:r>
            <w:proofErr w:type="gramStart"/>
            <w:r w:rsidRPr="00D30ACB">
              <w:rPr>
                <w:rFonts w:cstheme="minorHAnsi"/>
                <w:b/>
                <w:bCs/>
                <w:sz w:val="20"/>
                <w:lang w:val="en-US"/>
              </w:rPr>
              <w:t>persons</w:t>
            </w:r>
            <w:proofErr w:type="gramEnd"/>
            <w:r w:rsidRPr="00D30ACB">
              <w:rPr>
                <w:rFonts w:cstheme="minorHAnsi"/>
                <w:b/>
                <w:bCs/>
                <w:sz w:val="20"/>
                <w:lang w:val="en-US"/>
              </w:rPr>
              <w:t xml:space="preserve"> with disabilities and persons with specific needs</w:t>
            </w:r>
          </w:p>
        </w:tc>
        <w:tc>
          <w:tcPr>
            <w:tcW w:w="412" w:type="pct"/>
          </w:tcPr>
          <w:p w14:paraId="04B6CFF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453FFF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008F9498"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4238B4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3" w:history="1">
              <w:r w:rsidRPr="00D30ACB">
                <w:rPr>
                  <w:rStyle w:val="Hyperlink"/>
                  <w:rFonts w:cstheme="minorHAnsi"/>
                  <w:bCs w:val="0"/>
                  <w:sz w:val="20"/>
                </w:rPr>
                <w:t>Res.68 (2015)</w:t>
              </w:r>
            </w:hyperlink>
          </w:p>
        </w:tc>
        <w:tc>
          <w:tcPr>
            <w:tcW w:w="1821" w:type="pct"/>
          </w:tcPr>
          <w:p w14:paraId="32A2DCC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2CFCFB7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048B68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296202D8"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1F44312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4" w:history="1">
              <w:r w:rsidRPr="00D30ACB">
                <w:rPr>
                  <w:rStyle w:val="Hyperlink"/>
                  <w:rFonts w:cstheme="minorHAnsi"/>
                  <w:bCs w:val="0"/>
                  <w:sz w:val="20"/>
                </w:rPr>
                <w:t>Res.69-2 (2023)</w:t>
              </w:r>
            </w:hyperlink>
          </w:p>
        </w:tc>
        <w:tc>
          <w:tcPr>
            <w:tcW w:w="1821" w:type="pct"/>
          </w:tcPr>
          <w:p w14:paraId="161DCA1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0FDFBB1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51A15B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24BEC5B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enhance the capacity-building activities on the use of broadband connectivity via satellite;</w:t>
            </w:r>
          </w:p>
          <w:p w14:paraId="45B41A4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71492B" w:rsidRPr="00D30ACB" w14:paraId="2166B957"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13F08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5" w:history="1">
              <w:r w:rsidRPr="00D30ACB">
                <w:rPr>
                  <w:rStyle w:val="Hyperlink"/>
                  <w:rFonts w:cstheme="minorHAnsi"/>
                  <w:bCs w:val="0"/>
                  <w:sz w:val="20"/>
                </w:rPr>
                <w:t>Res.70-1 (2023)</w:t>
              </w:r>
            </w:hyperlink>
          </w:p>
        </w:tc>
        <w:tc>
          <w:tcPr>
            <w:tcW w:w="1821" w:type="pct"/>
          </w:tcPr>
          <w:p w14:paraId="07FE957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4CB93286" w14:textId="77777777" w:rsidR="0071492B" w:rsidRPr="00D30ACB" w:rsidDel="00093DA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7D42A4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76B2950B"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7CE1067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6" w:history="1">
              <w:r w:rsidRPr="00D30ACB">
                <w:rPr>
                  <w:rStyle w:val="Hyperlink"/>
                  <w:rFonts w:cstheme="minorHAnsi"/>
                  <w:bCs w:val="0"/>
                  <w:sz w:val="20"/>
                </w:rPr>
                <w:t>Res.71-1 (2023)</w:t>
              </w:r>
            </w:hyperlink>
          </w:p>
        </w:tc>
        <w:tc>
          <w:tcPr>
            <w:tcW w:w="1821" w:type="pct"/>
          </w:tcPr>
          <w:p w14:paraId="5FC1BE1F"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26A7A2C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81C54E8"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41F20CFE"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D as well as organizations external to ITU;</w:t>
            </w:r>
          </w:p>
          <w:p w14:paraId="7DE93566"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intersector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71492B" w:rsidRPr="00D30ACB" w14:paraId="5C7D3647"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C0CC51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Pr="00D30ACB">
                <w:rPr>
                  <w:rStyle w:val="Hyperlink"/>
                  <w:rFonts w:cstheme="minorHAnsi"/>
                  <w:bCs w:val="0"/>
                  <w:sz w:val="20"/>
                </w:rPr>
                <w:t>Res.72 (2023)</w:t>
              </w:r>
            </w:hyperlink>
          </w:p>
        </w:tc>
        <w:tc>
          <w:tcPr>
            <w:tcW w:w="1821" w:type="pct"/>
          </w:tcPr>
          <w:p w14:paraId="50F244E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7949E5D9" w14:textId="77777777" w:rsidR="0071492B" w:rsidRPr="00D30ACB" w:rsidDel="007B5FE1"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23039BD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5BCBABF8"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4A98391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Cs w:val="0"/>
                  <w:sz w:val="20"/>
                </w:rPr>
                <w:t>Res.73 (2023)</w:t>
              </w:r>
            </w:hyperlink>
          </w:p>
        </w:tc>
        <w:tc>
          <w:tcPr>
            <w:tcW w:w="1821" w:type="pct"/>
          </w:tcPr>
          <w:p w14:paraId="4CD294B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459F681A" w14:textId="77777777" w:rsidR="0071492B" w:rsidRPr="00D30ACB" w:rsidDel="007B5FE1"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F69757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71492B" w:rsidRPr="00D30ACB" w14:paraId="72B1C97B"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F913837"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Cs w:val="0"/>
                  <w:sz w:val="20"/>
                </w:rPr>
                <w:t>Res.74 (2023)</w:t>
              </w:r>
            </w:hyperlink>
          </w:p>
        </w:tc>
        <w:tc>
          <w:tcPr>
            <w:tcW w:w="1821" w:type="pct"/>
          </w:tcPr>
          <w:p w14:paraId="712657C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6701E679" w14:textId="77777777" w:rsidR="0071492B" w:rsidRPr="00D30ACB" w:rsidDel="007B5FE1"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4EF39BE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71492B" w:rsidRPr="00D30ACB" w14:paraId="476D9166" w14:textId="77777777" w:rsidTr="001B65AE">
        <w:tc>
          <w:tcPr>
            <w:cnfStyle w:val="001000000000" w:firstRow="0" w:lastRow="0" w:firstColumn="1" w:lastColumn="0" w:oddVBand="0" w:evenVBand="0" w:oddHBand="0" w:evenHBand="0" w:firstRowFirstColumn="0" w:firstRowLastColumn="0" w:lastRowFirstColumn="0" w:lastRowLastColumn="0"/>
            <w:tcW w:w="479" w:type="pct"/>
          </w:tcPr>
          <w:p w14:paraId="298B739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Cs w:val="0"/>
                  <w:sz w:val="20"/>
                </w:rPr>
                <w:t>Res.75 (2023)</w:t>
              </w:r>
            </w:hyperlink>
          </w:p>
        </w:tc>
        <w:tc>
          <w:tcPr>
            <w:tcW w:w="1821" w:type="pct"/>
          </w:tcPr>
          <w:p w14:paraId="65DE1DB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1527596A" w14:textId="77777777" w:rsidR="0071492B" w:rsidRPr="00D30ACB" w:rsidDel="007B5FE1"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219E001E" w14:textId="77777777" w:rsidR="0071492B" w:rsidRPr="00D30ACB" w:rsidRDefault="0071492B" w:rsidP="001B65AE">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Directors of the Bureaux</w:t>
            </w:r>
          </w:p>
          <w:p w14:paraId="457732C0"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continue to create cooperation mechanisms at secretariat level on matters of mutual interest to the three Sectors;</w:t>
            </w:r>
          </w:p>
          <w:p w14:paraId="08E2BDE7" w14:textId="77777777" w:rsidR="0071492B" w:rsidRDefault="0071492B" w:rsidP="001B65AE">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invites</w:t>
            </w:r>
            <w:proofErr w:type="gramEnd"/>
            <w:r w:rsidRPr="00D30ACB">
              <w:rPr>
                <w:rFonts w:cstheme="minorHAnsi"/>
                <w:i/>
                <w:sz w:val="20"/>
                <w:lang w:val="en-US"/>
              </w:rPr>
              <w:t xml:space="preserve"> the Telecommunication Development Advisory Group, in collaboration with the Radiocommunication Advisory Group and the Telecommunication Standardization Advisory Group</w:t>
            </w:r>
          </w:p>
          <w:p w14:paraId="7D9C0BB3" w14:textId="77777777" w:rsidR="0071492B" w:rsidRPr="006D7404" w:rsidRDefault="0071492B" w:rsidP="001B65AE">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6679C87D"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690D43FE"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3CF64648" w14:textId="77777777" w:rsidR="0071492B" w:rsidRPr="00D30ACB" w:rsidRDefault="0071492B" w:rsidP="001B65AE">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4EF31E48"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5FDDA019" w14:textId="77777777" w:rsidR="0071492B" w:rsidRPr="00D30ACB" w:rsidRDefault="0071492B" w:rsidP="001B65AE">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5453C728"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 to support efforts to improve inter-Sector coordination;</w:t>
            </w:r>
          </w:p>
          <w:p w14:paraId="2D0C2ED6"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516FBEBC" w14:textId="77777777" w:rsidR="0071492B" w:rsidRDefault="0071492B" w:rsidP="0071492B">
      <w:pPr>
        <w:spacing w:after="120"/>
        <w:rPr>
          <w:szCs w:val="24"/>
        </w:rPr>
      </w:pPr>
    </w:p>
    <w:p w14:paraId="46F5137B" w14:textId="77777777" w:rsidR="0071492B" w:rsidRDefault="0071492B" w:rsidP="0071492B">
      <w:pPr>
        <w:overflowPunct/>
        <w:autoSpaceDE/>
        <w:autoSpaceDN/>
        <w:adjustRightInd/>
        <w:spacing w:before="0"/>
        <w:textAlignment w:val="auto"/>
        <w:rPr>
          <w:szCs w:val="24"/>
        </w:rPr>
      </w:pPr>
      <w:r>
        <w:rPr>
          <w:szCs w:val="24"/>
        </w:rPr>
        <w:br w:type="page"/>
      </w:r>
    </w:p>
    <w:p w14:paraId="42F91FB7" w14:textId="77777777" w:rsidR="0071492B" w:rsidRPr="00BC7C1E" w:rsidRDefault="0071492B" w:rsidP="0071492B">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6A4274A3" w14:textId="77777777" w:rsidR="0071492B" w:rsidRPr="00BC7C1E" w:rsidRDefault="0071492B" w:rsidP="0071492B">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12818428" w14:textId="77777777" w:rsidR="0071492B" w:rsidRPr="00BC7C1E" w:rsidRDefault="0071492B" w:rsidP="0071492B">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085"/>
        <w:gridCol w:w="4869"/>
        <w:gridCol w:w="1135"/>
        <w:gridCol w:w="6576"/>
      </w:tblGrid>
      <w:tr w:rsidR="0071492B" w:rsidRPr="00D30ACB" w14:paraId="191FE6A0" w14:textId="77777777" w:rsidTr="001B65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0DB7BE70"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5D11823D"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03BE36CE"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33492BBE" w14:textId="77777777" w:rsidR="0071492B" w:rsidRPr="00D30ACB" w:rsidRDefault="0071492B" w:rsidP="001B65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71492B" w:rsidRPr="00D30ACB" w14:paraId="318E2226"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7DF505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4D1A90C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0F319E9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7D9D5DA4"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91E6088" w14:textId="77777777" w:rsidR="0071492B" w:rsidRPr="00D30ACB" w:rsidRDefault="0071492B" w:rsidP="001B65AE">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 xml:space="preserve">having </w:t>
            </w:r>
            <w:r w:rsidRPr="00D30ACB">
              <w:rPr>
                <w:rFonts w:eastAsia="Malgun Gothic" w:cstheme="minorHAnsi"/>
                <w:i/>
                <w:iCs/>
                <w:sz w:val="20"/>
                <w:lang w:val="en-US" w:eastAsia="ko-KR"/>
              </w:rPr>
              <w:t>not</w:t>
            </w:r>
            <w:r>
              <w:rPr>
                <w:rFonts w:eastAsia="Malgun Gothic" w:cstheme="minorHAnsi"/>
                <w:i/>
                <w:iCs/>
                <w:sz w:val="20"/>
                <w:lang w:val="en-US" w:eastAsia="ko-KR"/>
              </w:rPr>
              <w:t>ed</w:t>
            </w:r>
          </w:p>
          <w:p w14:paraId="3D69EFF0" w14:textId="77777777" w:rsidR="0071492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24269C50" w14:textId="77777777" w:rsidR="0071492B" w:rsidRPr="00680253"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78475F88" w14:textId="77777777" w:rsidR="0071492B" w:rsidRPr="00680253"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radiocommunications;</w:t>
            </w:r>
          </w:p>
          <w:p w14:paraId="6528E6A1" w14:textId="77777777" w:rsidR="0071492B" w:rsidRPr="00680253" w:rsidRDefault="0071492B" w:rsidP="001B65AE">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6D24A300"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to arrange funds and resources for this purpose from the UNDP or other sources in order to enable the Union to provide the countries concerned with adequate and effective technical assistance for the purpose of this Resolution,</w:t>
            </w:r>
            <w:r>
              <w:rPr>
                <w:rFonts w:eastAsia="Malgun Gothic" w:cstheme="minorHAnsi"/>
                <w:sz w:val="20"/>
                <w:lang w:eastAsia="ko-KR"/>
              </w:rPr>
              <w:br/>
            </w:r>
          </w:p>
        </w:tc>
      </w:tr>
      <w:tr w:rsidR="0071492B" w:rsidRPr="00D30ACB" w14:paraId="719B3D2A" w14:textId="77777777" w:rsidTr="001B65AE">
        <w:tc>
          <w:tcPr>
            <w:cnfStyle w:val="001000000000" w:firstRow="0" w:lastRow="0" w:firstColumn="1" w:lastColumn="0" w:oddVBand="0" w:evenVBand="0" w:oddHBand="0" w:evenHBand="0" w:firstRowFirstColumn="0" w:firstRowLastColumn="0" w:lastRowFirstColumn="0" w:lastRowLastColumn="0"/>
            <w:tcW w:w="711" w:type="pct"/>
          </w:tcPr>
          <w:p w14:paraId="34C0DC0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65C6CD2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Assistance and support to Palestine</w:t>
            </w:r>
          </w:p>
        </w:tc>
        <w:tc>
          <w:tcPr>
            <w:tcW w:w="387" w:type="pct"/>
          </w:tcPr>
          <w:p w14:paraId="16B9BA6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6E3185DE"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7CE97E2C"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Palestine; </w:t>
            </w:r>
          </w:p>
          <w:p w14:paraId="249A46D0"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4D9B5189" w14:textId="77777777" w:rsidR="0071492B" w:rsidRPr="00D30ACB" w:rsidRDefault="0071492B" w:rsidP="001B65AE">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5A93C28B" w14:textId="77777777" w:rsidR="0071492B" w:rsidRPr="00D30ACB" w:rsidRDefault="0071492B" w:rsidP="001B65AE">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w:t>
            </w:r>
            <w:proofErr w:type="gramStart"/>
            <w:r w:rsidRPr="00D30ACB">
              <w:rPr>
                <w:rFonts w:eastAsia="Malgun Gothic" w:cstheme="minorHAnsi"/>
                <w:sz w:val="20"/>
                <w:lang w:val="en-US" w:eastAsia="ko-KR"/>
              </w:rPr>
              <w:t>in particular in</w:t>
            </w:r>
            <w:proofErr w:type="gramEnd"/>
            <w:r w:rsidRPr="00D30ACB">
              <w:rPr>
                <w:rFonts w:eastAsia="Malgun Gothic" w:cstheme="minorHAnsi"/>
                <w:sz w:val="20"/>
                <w:lang w:val="en-US" w:eastAsia="ko-KR"/>
              </w:rPr>
              <w:t xml:space="preserve"> the areas of capacity building, spectrum management and frequency assignment, with a view to enabling Palestine to manage and exploit its radio spectrum;</w:t>
            </w:r>
          </w:p>
        </w:tc>
      </w:tr>
      <w:tr w:rsidR="0071492B" w:rsidRPr="00D30ACB" w14:paraId="7D42D3C8"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B8658F6"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1C0FB40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21794DBA"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5A7975C" w14:textId="77777777" w:rsidR="0071492B" w:rsidRPr="00D30ACB" w:rsidRDefault="0071492B" w:rsidP="001B65AE">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49668681" w14:textId="77777777" w:rsidR="0071492B" w:rsidRPr="00D30ACB" w:rsidRDefault="0071492B" w:rsidP="001B65AE">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71492B" w:rsidRPr="00D30ACB" w14:paraId="00B92EBF" w14:textId="77777777" w:rsidTr="001B65AE">
        <w:tc>
          <w:tcPr>
            <w:cnfStyle w:val="001000000000" w:firstRow="0" w:lastRow="0" w:firstColumn="1" w:lastColumn="0" w:oddVBand="0" w:evenVBand="0" w:oddHBand="0" w:evenHBand="0" w:firstRowFirstColumn="0" w:firstRowLastColumn="0" w:lastRowFirstColumn="0" w:lastRowLastColumn="0"/>
            <w:tcW w:w="711" w:type="pct"/>
          </w:tcPr>
          <w:p w14:paraId="07C3A675"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77D58149"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54CDC2D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4B936C7" w14:textId="77777777" w:rsidR="0071492B" w:rsidRPr="00D30ACB" w:rsidRDefault="0071492B" w:rsidP="001B65AE">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00776DBA" w14:textId="77777777" w:rsidR="0071492B" w:rsidRPr="00D30ACB" w:rsidRDefault="0071492B" w:rsidP="001B65AE">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71492B" w:rsidRPr="00D30ACB" w14:paraId="396C37F9"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B43156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3797EDDC"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5A8CE451"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A1FD7A2" w14:textId="77777777" w:rsidR="0071492B" w:rsidRPr="00D30ACB" w:rsidRDefault="0071492B" w:rsidP="001B65AE">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62A04461" w14:textId="77777777" w:rsidR="0071492B" w:rsidRPr="00D30ACB" w:rsidRDefault="0071492B" w:rsidP="001B65AE">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71492B" w:rsidRPr="00D30ACB" w14:paraId="066176E6" w14:textId="77777777" w:rsidTr="001B65AE">
        <w:tc>
          <w:tcPr>
            <w:cnfStyle w:val="001000000000" w:firstRow="0" w:lastRow="0" w:firstColumn="1" w:lastColumn="0" w:oddVBand="0" w:evenVBand="0" w:oddHBand="0" w:evenHBand="0" w:firstRowFirstColumn="0" w:firstRowLastColumn="0" w:lastRowFirstColumn="0" w:lastRowLastColumn="0"/>
            <w:tcW w:w="711" w:type="pct"/>
          </w:tcPr>
          <w:p w14:paraId="07AC132B"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6F680593"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Review of the spectrum use of the frequency band 470-694 MHz or parts thereof for some countries in Region 1</w:t>
            </w:r>
          </w:p>
        </w:tc>
        <w:tc>
          <w:tcPr>
            <w:tcW w:w="387" w:type="pct"/>
          </w:tcPr>
          <w:p w14:paraId="04AAD802"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92D8517" w14:textId="77777777" w:rsidR="0071492B" w:rsidRPr="00D30ACB" w:rsidRDefault="0071492B" w:rsidP="001B65AE">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52579E51" w14:textId="77777777" w:rsidR="0071492B" w:rsidRPr="00D30ACB" w:rsidRDefault="0071492B" w:rsidP="001B65AE">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71492B" w:rsidRPr="00D30ACB" w14:paraId="33666E82" w14:textId="77777777" w:rsidTr="001B6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41B177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7E61109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6CC7610D"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7E3200A" w14:textId="77777777" w:rsidR="0071492B" w:rsidRPr="00D30ACB" w:rsidRDefault="0071492B" w:rsidP="001B65AE">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1F510444" w14:textId="77777777" w:rsidR="0071492B" w:rsidRPr="00D30ACB" w:rsidRDefault="0071492B" w:rsidP="001B65AE">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021D5603" w14:textId="77777777" w:rsidR="0071492B" w:rsidRPr="00D30ACB" w:rsidRDefault="0071492B" w:rsidP="001B65AE">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3A795222" w14:textId="77777777" w:rsidR="0071492B" w:rsidRPr="00D30ACB" w:rsidRDefault="0071492B" w:rsidP="001B65AE">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w:t>
            </w:r>
            <w:proofErr w:type="gramStart"/>
            <w:r w:rsidRPr="00D30ACB">
              <w:rPr>
                <w:rFonts w:cstheme="minorHAnsi"/>
                <w:sz w:val="20"/>
                <w:lang w:val="en-US"/>
              </w:rPr>
              <w:t>provide assistance to</w:t>
            </w:r>
            <w:proofErr w:type="gramEnd"/>
            <w:r w:rsidRPr="00D30ACB">
              <w:rPr>
                <w:rFonts w:cstheme="minorHAnsi"/>
                <w:sz w:val="20"/>
                <w:lang w:val="en-US"/>
              </w:rPr>
              <w:t xml:space="preserve"> developing countries requesting it for the introduction of specific modifications to their radiocommunication networks that will facilitate their access to the new technologies being developed in the 2 GHz band as well as in all coordination activities;</w:t>
            </w:r>
          </w:p>
          <w:p w14:paraId="5B50C02A"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3E8E59F"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58BDE0D9" w14:textId="77777777" w:rsidR="0071492B" w:rsidRPr="00D30ACB" w:rsidRDefault="0071492B" w:rsidP="001B65AE">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0767C7BE" w14:textId="77777777" w:rsidR="0071492B" w:rsidRPr="00D30ACB" w:rsidRDefault="0071492B" w:rsidP="001B65AE">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proofErr w:type="gramStart"/>
            <w:r w:rsidRPr="00D30ACB">
              <w:rPr>
                <w:rFonts w:cstheme="minorHAnsi"/>
                <w:i/>
                <w:iCs/>
                <w:sz w:val="20"/>
                <w:lang w:val="en-US"/>
              </w:rPr>
              <w:t>invites</w:t>
            </w:r>
            <w:proofErr w:type="gramEnd"/>
            <w:r w:rsidRPr="00D30ACB">
              <w:rPr>
                <w:rFonts w:cstheme="minorHAnsi"/>
                <w:i/>
                <w:iCs/>
                <w:sz w:val="20"/>
                <w:lang w:val="en-US"/>
              </w:rPr>
              <w:t xml:space="preserve"> the ITU Telecommunication Development Sector </w:t>
            </w:r>
            <w:r w:rsidRPr="00D30ACB">
              <w:rPr>
                <w:rFonts w:cstheme="minorHAnsi"/>
                <w:sz w:val="20"/>
                <w:lang w:val="en-US"/>
              </w:rPr>
              <w:t>by encouraging joint activities between the relevant study groups of both ITU-D and ITU-R,</w:t>
            </w:r>
          </w:p>
        </w:tc>
      </w:tr>
      <w:tr w:rsidR="0071492B" w:rsidRPr="00D30ACB" w14:paraId="58FEF16A" w14:textId="77777777" w:rsidTr="001B65AE">
        <w:tc>
          <w:tcPr>
            <w:cnfStyle w:val="001000000000" w:firstRow="0" w:lastRow="0" w:firstColumn="1" w:lastColumn="0" w:oddVBand="0" w:evenVBand="0" w:oddHBand="0" w:evenHBand="0" w:firstRowFirstColumn="0" w:firstRowLastColumn="0" w:lastRowFirstColumn="0" w:lastRowLastColumn="0"/>
            <w:tcW w:w="711" w:type="pct"/>
          </w:tcPr>
          <w:p w14:paraId="7BAA4AB0"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4F003D7E"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743F8D8" w14:textId="77777777" w:rsidR="0071492B" w:rsidRPr="00D30ACB" w:rsidRDefault="0071492B" w:rsidP="001B65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65AE49C9" w14:textId="77777777" w:rsidR="0071492B" w:rsidRPr="00D30ACB" w:rsidRDefault="0071492B" w:rsidP="001B65AE">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6A51A39F" w14:textId="77777777" w:rsidR="0071492B" w:rsidRPr="00D30ACB" w:rsidRDefault="0071492B" w:rsidP="001B65AE">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47804381" w14:textId="77777777" w:rsidR="0071492B" w:rsidRPr="0084734D" w:rsidRDefault="0071492B" w:rsidP="0071492B">
      <w:pPr>
        <w:jc w:val="center"/>
        <w:rPr>
          <w:szCs w:val="24"/>
        </w:rPr>
      </w:pPr>
      <w:r w:rsidRPr="00403C69">
        <w:rPr>
          <w:szCs w:val="24"/>
        </w:rPr>
        <w:t>______________</w:t>
      </w:r>
    </w:p>
    <w:sectPr w:rsidR="0071492B" w:rsidRPr="0084734D" w:rsidSect="0071492B">
      <w:headerReference w:type="default" r:id="rId61"/>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75000D"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7DA35F0" w:rsidR="001B030A" w:rsidRPr="009C2903" w:rsidRDefault="002137C7" w:rsidP="001B030A">
          <w:pPr>
            <w:pStyle w:val="FirstFooter"/>
            <w:rPr>
              <w:sz w:val="18"/>
              <w:szCs w:val="18"/>
              <w:highlight w:val="yellow"/>
            </w:rPr>
          </w:pPr>
          <w:r w:rsidRPr="00037AE6">
            <w:rPr>
              <w:sz w:val="18"/>
              <w:szCs w:val="18"/>
            </w:rPr>
            <w:t>M. Marco Obiso, Chef du Département des réseaux numériques et de l</w:t>
          </w:r>
          <w:r w:rsidR="006A66D2" w:rsidRPr="00037AE6">
            <w:rPr>
              <w:sz w:val="18"/>
              <w:szCs w:val="18"/>
            </w:rPr>
            <w:t>'</w:t>
          </w:r>
          <w:r w:rsidRPr="00037AE6">
            <w:rPr>
              <w:sz w:val="18"/>
              <w:szCs w:val="18"/>
            </w:rPr>
            <w:t>environnement,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75B5CCB0" w:rsidR="001B030A" w:rsidRPr="009359B8" w:rsidRDefault="002137C7" w:rsidP="001B030A">
          <w:pPr>
            <w:pStyle w:val="FirstFooter"/>
            <w:tabs>
              <w:tab w:val="left" w:pos="2302"/>
            </w:tabs>
            <w:rPr>
              <w:sz w:val="18"/>
              <w:szCs w:val="18"/>
              <w:highlight w:val="yellow"/>
              <w:lang w:val="en-US"/>
            </w:rPr>
          </w:pPr>
          <w:r w:rsidRPr="002137C7">
            <w:rPr>
              <w:sz w:val="18"/>
              <w:szCs w:val="18"/>
              <w:lang w:val="en-US"/>
            </w:rPr>
            <w:t>+41 22 730 6760</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0044DDF5" w:rsidR="001B030A" w:rsidRPr="00B80715" w:rsidRDefault="002137C7" w:rsidP="001B030A">
          <w:pPr>
            <w:pStyle w:val="FirstFooter"/>
            <w:tabs>
              <w:tab w:val="left" w:pos="2302"/>
            </w:tabs>
            <w:rPr>
              <w:sz w:val="18"/>
              <w:szCs w:val="18"/>
              <w:lang w:val="en-US"/>
            </w:rPr>
          </w:pPr>
          <w:hyperlink r:id="rId1" w:history="1">
            <w:r w:rsidRPr="004577DC">
              <w:rPr>
                <w:rStyle w:val="Hyperlink"/>
                <w:sz w:val="18"/>
                <w:szCs w:val="18"/>
                <w:lang w:val="en-US"/>
              </w:rPr>
              <w:t>marco.obiso@itu.int</w:t>
            </w:r>
          </w:hyperlink>
        </w:p>
      </w:tc>
    </w:tr>
  </w:tbl>
  <w:p w14:paraId="4830D301" w14:textId="2202EAB7" w:rsidR="00C80022" w:rsidRPr="001B030A" w:rsidRDefault="006846D7" w:rsidP="001B030A">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1EAA7718" w14:textId="77777777" w:rsidR="0071492B" w:rsidRPr="007101D2" w:rsidRDefault="0071492B" w:rsidP="0071492B">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2760" w14:textId="212F1C56" w:rsidR="0071492B" w:rsidRPr="00A7027A" w:rsidRDefault="0071492B" w:rsidP="006846D7">
    <w:pPr>
      <w:tabs>
        <w:tab w:val="clear" w:pos="794"/>
        <w:tab w:val="clear" w:pos="1191"/>
        <w:tab w:val="clear" w:pos="1588"/>
        <w:tab w:val="clear" w:pos="1985"/>
        <w:tab w:val="center" w:pos="4820"/>
        <w:tab w:val="right" w:pos="14175"/>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25</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DF3F" w14:textId="77777777" w:rsidR="006846D7" w:rsidRPr="00A7027A" w:rsidRDefault="006846D7" w:rsidP="006846D7">
    <w:pPr>
      <w:tabs>
        <w:tab w:val="clear" w:pos="794"/>
        <w:tab w:val="clear" w:pos="1191"/>
        <w:tab w:val="clear" w:pos="1588"/>
        <w:tab w:val="clear" w:pos="1985"/>
        <w:tab w:val="center" w:pos="7088"/>
        <w:tab w:val="right" w:pos="14175"/>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25</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AE6"/>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37C7"/>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0D6D"/>
    <w:rsid w:val="00581653"/>
    <w:rsid w:val="005849D6"/>
    <w:rsid w:val="00585367"/>
    <w:rsid w:val="005871A1"/>
    <w:rsid w:val="0058737E"/>
    <w:rsid w:val="00592518"/>
    <w:rsid w:val="00592CA8"/>
    <w:rsid w:val="00592E87"/>
    <w:rsid w:val="0059420B"/>
    <w:rsid w:val="00594C4D"/>
    <w:rsid w:val="005A2F42"/>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846D7"/>
    <w:rsid w:val="00690BB2"/>
    <w:rsid w:val="00693D09"/>
    <w:rsid w:val="006A0354"/>
    <w:rsid w:val="006A6549"/>
    <w:rsid w:val="006A66D2"/>
    <w:rsid w:val="006A7710"/>
    <w:rsid w:val="006A7A61"/>
    <w:rsid w:val="006B1E59"/>
    <w:rsid w:val="006B2FFB"/>
    <w:rsid w:val="006B5AA9"/>
    <w:rsid w:val="006C10A2"/>
    <w:rsid w:val="006C1F18"/>
    <w:rsid w:val="006D40D5"/>
    <w:rsid w:val="006F009A"/>
    <w:rsid w:val="006F3D93"/>
    <w:rsid w:val="00700F2B"/>
    <w:rsid w:val="007019B1"/>
    <w:rsid w:val="0071492B"/>
    <w:rsid w:val="00721657"/>
    <w:rsid w:val="007279A8"/>
    <w:rsid w:val="00727B1A"/>
    <w:rsid w:val="00741337"/>
    <w:rsid w:val="0075000D"/>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67B22"/>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0923"/>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1D7A"/>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E7ADC"/>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96526"/>
    <w:rsid w:val="00F969A5"/>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137C7"/>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1492B"/>
    <w:rPr>
      <w:rFonts w:asciiTheme="minorHAnsi" w:hAnsiTheme="minorHAnsi"/>
      <w:sz w:val="24"/>
      <w:lang w:val="en-GB" w:eastAsia="en-US"/>
    </w:rPr>
  </w:style>
  <w:style w:type="character" w:customStyle="1" w:styleId="spelle">
    <w:name w:val="spelle"/>
    <w:basedOn w:val="DefaultParagraphFont"/>
    <w:rsid w:val="0071492B"/>
    <w:rPr>
      <w:rFonts w:cs="Times New Roman"/>
    </w:rPr>
  </w:style>
  <w:style w:type="character" w:customStyle="1" w:styleId="FR1">
    <w:name w:val="FR1"/>
    <w:basedOn w:val="DefaultParagraphFont"/>
    <w:uiPriority w:val="99"/>
    <w:rsid w:val="0071492B"/>
    <w:rPr>
      <w:rFonts w:ascii="Calibri" w:hAnsi="Calibri"/>
      <w:position w:val="6"/>
      <w:sz w:val="18"/>
    </w:rPr>
  </w:style>
  <w:style w:type="character" w:customStyle="1" w:styleId="CEOHyperlink1">
    <w:name w:val="CEO_Hyperlink1"/>
    <w:basedOn w:val="DefaultParagraphFont"/>
    <w:uiPriority w:val="99"/>
    <w:rsid w:val="0071492B"/>
    <w:rPr>
      <w:color w:val="0000FF"/>
      <w:u w:val="single"/>
    </w:rPr>
  </w:style>
  <w:style w:type="table" w:customStyle="1" w:styleId="GridTable5Dark-Accent11">
    <w:name w:val="Grid Table 5 Dark - Accent 11"/>
    <w:basedOn w:val="TableNormal"/>
    <w:next w:val="GridTable5Dark-Accent1"/>
    <w:uiPriority w:val="50"/>
    <w:rsid w:val="0071492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7149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CommentReference">
    <w:name w:val="annotation reference"/>
    <w:basedOn w:val="DefaultParagraphFont"/>
    <w:semiHidden/>
    <w:unhideWhenUsed/>
    <w:rsid w:val="006A66D2"/>
    <w:rPr>
      <w:sz w:val="16"/>
      <w:szCs w:val="16"/>
    </w:rPr>
  </w:style>
  <w:style w:type="paragraph" w:styleId="CommentText">
    <w:name w:val="annotation text"/>
    <w:basedOn w:val="Normal"/>
    <w:link w:val="CommentTextChar"/>
    <w:unhideWhenUsed/>
    <w:rsid w:val="006A66D2"/>
    <w:rPr>
      <w:sz w:val="20"/>
    </w:rPr>
  </w:style>
  <w:style w:type="character" w:customStyle="1" w:styleId="CommentTextChar">
    <w:name w:val="Comment Text Char"/>
    <w:basedOn w:val="DefaultParagraphFont"/>
    <w:link w:val="CommentText"/>
    <w:rsid w:val="006A66D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A66D2"/>
    <w:rPr>
      <w:b/>
      <w:bCs/>
    </w:rPr>
  </w:style>
  <w:style w:type="character" w:customStyle="1" w:styleId="CommentSubjectChar">
    <w:name w:val="Comment Subject Char"/>
    <w:basedOn w:val="CommentTextChar"/>
    <w:link w:val="CommentSubject"/>
    <w:semiHidden/>
    <w:rsid w:val="006A66D2"/>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pub/publications.aspx?lang=en&amp;parent=R-RES-R.5" TargetMode="External"/><Relationship Id="rId26" Type="http://schemas.openxmlformats.org/officeDocument/2006/relationships/hyperlink" Target="https://www.itu.int/pub/publications.aspx?lang=en&amp;parent=R-RES-R.19-6-2023" TargetMode="External"/><Relationship Id="rId39" Type="http://schemas.openxmlformats.org/officeDocument/2006/relationships/hyperlink" Target="https://www.itu.int/pub/publications.aspx?lang=en&amp;parent=R-RES-R.55-4-2023" TargetMode="External"/><Relationship Id="rId21" Type="http://schemas.openxmlformats.org/officeDocument/2006/relationships/hyperlink" Target="https://www.itu.int/pub/publications.aspx?lang=en&amp;parent=R-RES-R.8-4-2023" TargetMode="External"/><Relationship Id="rId34" Type="http://schemas.openxmlformats.org/officeDocument/2006/relationships/hyperlink" Target="https://www.itu.int/pub/publications.aspx?lang=en&amp;parent=R-RES-R.47-2-2012" TargetMode="External"/><Relationship Id="rId42" Type="http://schemas.openxmlformats.org/officeDocument/2006/relationships/hyperlink" Target="https://www.itu.int/pub/publications.aspx?lang=en&amp;parent=R-RES-R.56-3-2023" TargetMode="External"/><Relationship Id="rId47" Type="http://schemas.openxmlformats.org/officeDocument/2006/relationships/hyperlink" Target="https://www.itu.int/pub/publications.aspx?lang=en&amp;parent=R-RES-R.61-3-2023" TargetMode="External"/><Relationship Id="rId50" Type="http://schemas.openxmlformats.org/officeDocument/2006/relationships/hyperlink" Target="https://www.itu.int/pub/publications.aspx?lang=en&amp;parent=R-RES-R.65-1-2023" TargetMode="External"/><Relationship Id="rId55" Type="http://schemas.openxmlformats.org/officeDocument/2006/relationships/hyperlink" Target="https://www.itu.int/pub/publications.aspx?lang=en&amp;parent=R-RES-R.70-1-2023"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pub/publications.aspx?lang=en&amp;parent=R-RES-R.2-9-2023" TargetMode="External"/><Relationship Id="rId29" Type="http://schemas.openxmlformats.org/officeDocument/2006/relationships/hyperlink" Target="https://www.itu.int/pub/publications.aspx?lang=en&amp;parent=R-RES-R.25-3-2012" TargetMode="External"/><Relationship Id="rId11" Type="http://schemas.openxmlformats.org/officeDocument/2006/relationships/image" Target="media/image1.png"/><Relationship Id="rId24" Type="http://schemas.openxmlformats.org/officeDocument/2006/relationships/hyperlink" Target="https://www.itu.int/pub/publications.aspx?lang=en&amp;parent=R-RES-R.12-2-2023" TargetMode="External"/><Relationship Id="rId32" Type="http://schemas.openxmlformats.org/officeDocument/2006/relationships/hyperlink" Target="https://www.itu.int/pub/publications.aspx?lang=en&amp;parent=R-RES-R.37-1995" TargetMode="External"/><Relationship Id="rId37" Type="http://schemas.openxmlformats.org/officeDocument/2006/relationships/hyperlink" Target="https://www.itu.int/pub/publications.aspx?lang=en&amp;parent=R-RES-R.52-1-2015" TargetMode="External"/><Relationship Id="rId40" Type="http://schemas.openxmlformats.org/officeDocument/2006/relationships/hyperlink" Target="http://www.itu.int/net/ITU-R/index.asp?category=information&amp;rlink=emergency&amp;lang=en" TargetMode="External"/><Relationship Id="rId45" Type="http://schemas.openxmlformats.org/officeDocument/2006/relationships/hyperlink" Target="https://www.itu.int/pub/publications.aspx?lang=en&amp;parent=R-RES-R.59-3-2023" TargetMode="External"/><Relationship Id="rId53" Type="http://schemas.openxmlformats.org/officeDocument/2006/relationships/hyperlink" Target="https://www.itu.int/pub/publications.aspx?lang=en&amp;parent=R-RES-R.68-2015" TargetMode="External"/><Relationship Id="rId58" Type="http://schemas.openxmlformats.org/officeDocument/2006/relationships/hyperlink" Target="https://www.itu.int/pub/publications.aspx?lang=en&amp;parent=R-RES-R.73-2023"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pub/publications.aspx?lang=en&amp;parent=R-RES-R.6-3-2019" TargetMode="External"/><Relationship Id="rId14" Type="http://schemas.openxmlformats.org/officeDocument/2006/relationships/footer" Target="footer1.xml"/><Relationship Id="rId22" Type="http://schemas.openxmlformats.org/officeDocument/2006/relationships/hyperlink" Target="https://www.itu.int/pub/publications.aspx?lang=en&amp;parent=R-RES-R.9-7-2023" TargetMode="External"/><Relationship Id="rId27" Type="http://schemas.openxmlformats.org/officeDocument/2006/relationships/hyperlink" Target="https://www.itu.int/pub/publications.aspx?lang=en&amp;parent=R-RES-R.22-6-2023" TargetMode="External"/><Relationship Id="rId30" Type="http://schemas.openxmlformats.org/officeDocument/2006/relationships/hyperlink" Target="https://www.itu.int/pub/publications.aspx?lang=en&amp;parent=R-RES-R.28-2-2012" TargetMode="External"/><Relationship Id="rId35" Type="http://schemas.openxmlformats.org/officeDocument/2006/relationships/hyperlink" Target="https://www.itu.int/pub/publications.aspx?lang=en&amp;parent=R-RES-R.48-3-2019" TargetMode="External"/><Relationship Id="rId43" Type="http://schemas.openxmlformats.org/officeDocument/2006/relationships/hyperlink" Target="https://www.itu.int/pub/publications.aspx?lang=en&amp;parent=R-RES-R.57-2-2015" TargetMode="External"/><Relationship Id="rId48" Type="http://schemas.openxmlformats.org/officeDocument/2006/relationships/hyperlink" Target="https://www.itu.int/pub/publications.aspx?lang=en&amp;parent=R-RES-R.62-3-2023" TargetMode="External"/><Relationship Id="rId56" Type="http://schemas.openxmlformats.org/officeDocument/2006/relationships/hyperlink" Target="https://www.itu.int/pub/publications.aspx?lang=en&amp;parent=R-RES-R.71-1-2023" TargetMode="External"/><Relationship Id="rId8" Type="http://schemas.openxmlformats.org/officeDocument/2006/relationships/webSettings" Target="webSettings.xml"/><Relationship Id="rId51" Type="http://schemas.openxmlformats.org/officeDocument/2006/relationships/hyperlink" Target="https://www.itu.int/pub/publications.aspx?lang=en&amp;parent=R-RES-R.66-2-202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publications.aspx?lang=en&amp;parent=R-RES-R.4-9-2023" TargetMode="External"/><Relationship Id="rId25" Type="http://schemas.openxmlformats.org/officeDocument/2006/relationships/hyperlink" Target="https://www.itu.int/pub/publications.aspx?lang=en&amp;parent=R-RES-R.15-6-2015" TargetMode="External"/><Relationship Id="rId33" Type="http://schemas.openxmlformats.org/officeDocument/2006/relationships/hyperlink" Target="https://www.itu.int/pub/publications.aspx?lang=en&amp;parent=R-RES-R.40-4-2015" TargetMode="External"/><Relationship Id="rId38" Type="http://schemas.openxmlformats.org/officeDocument/2006/relationships/hyperlink" Target="https://www.itu.int/pub/publications.aspx?lang=en&amp;parent=R-RES-R.54-4-2023" TargetMode="External"/><Relationship Id="rId46" Type="http://schemas.openxmlformats.org/officeDocument/2006/relationships/hyperlink" Target="https://www.itu.int/pub/publications.aspx?lang=en&amp;parent=R-RES-R.60-3-2023" TargetMode="External"/><Relationship Id="rId59" Type="http://schemas.openxmlformats.org/officeDocument/2006/relationships/hyperlink" Target="https://www.itu.int/pub/publications.aspx?lang=en&amp;parent=R-RES-R.74-2023" TargetMode="External"/><Relationship Id="rId20" Type="http://schemas.openxmlformats.org/officeDocument/2006/relationships/hyperlink" Target="https://www.itu.int/pub/publications.aspx?lang=en&amp;parent=R-RES-R.7-4-2019" TargetMode="External"/><Relationship Id="rId41" Type="http://schemas.openxmlformats.org/officeDocument/2006/relationships/hyperlink" Target="https://www.itu.int/hub/publication/d-stg-sg02-05-2-2021/" TargetMode="External"/><Relationship Id="rId54" Type="http://schemas.openxmlformats.org/officeDocument/2006/relationships/hyperlink" Target="https://www.itu.int/pub/publications.aspx?lang=en&amp;parent=R-RES-R.69-2-202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publications.aspx?lang=en&amp;parent=R-RES-R.1-9-2023" TargetMode="External"/><Relationship Id="rId23" Type="http://schemas.openxmlformats.org/officeDocument/2006/relationships/hyperlink" Target="https://www.itu.int/pub/publications.aspx?lang=en&amp;parent=R-RES-R.11-6-2023" TargetMode="External"/><Relationship Id="rId28" Type="http://schemas.openxmlformats.org/officeDocument/2006/relationships/hyperlink" Target="https://www.itu.int/pub/publications.aspx?lang=en&amp;parent=R-RES-R.23-4-2023" TargetMode="External"/><Relationship Id="rId36" Type="http://schemas.openxmlformats.org/officeDocument/2006/relationships/hyperlink" Target="https://www.itu.int/pub/publications.aspx?lang=en&amp;parent=R-RES-R.50-5-2023" TargetMode="External"/><Relationship Id="rId49" Type="http://schemas.openxmlformats.org/officeDocument/2006/relationships/hyperlink" Target="https://www.itu.int/pub/publications.aspx?lang=en&amp;parent=R-RES-R.64-2015" TargetMode="External"/><Relationship Id="rId57" Type="http://schemas.openxmlformats.org/officeDocument/2006/relationships/hyperlink" Target="https://www.itu.int/pub/publications.aspx?lang=en&amp;parent=R-RES-R.72-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36-6-2023" TargetMode="External"/><Relationship Id="rId44" Type="http://schemas.openxmlformats.org/officeDocument/2006/relationships/hyperlink" Target="https://www.itu.int/pub/publications.aspx?lang=en&amp;parent=R-RES-R.58-2-2019" TargetMode="External"/><Relationship Id="rId52" Type="http://schemas.openxmlformats.org/officeDocument/2006/relationships/hyperlink" Target="https://www.itu.int/pub/publications.aspx?lang=en&amp;parent=R-RES-R.67-2-2023" TargetMode="External"/><Relationship Id="rId60" Type="http://schemas.openxmlformats.org/officeDocument/2006/relationships/hyperlink" Target="https://www.itu.int/pub/publications.aspx?lang=en&amp;parent=R-RES-R.75-2023"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3760F9AA-4AF0-4403-984C-F08703CABA5C}"/>
</file>

<file path=docProps/app.xml><?xml version="1.0" encoding="utf-8"?>
<Properties xmlns="http://schemas.openxmlformats.org/officeDocument/2006/extended-properties" xmlns:vt="http://schemas.openxmlformats.org/officeDocument/2006/docPropsVTypes">
  <Template>Normal.dotm</Template>
  <TotalTime>1004</TotalTime>
  <Pages>17</Pages>
  <Words>3807</Words>
  <Characters>27665</Characters>
  <Application>Microsoft Office Word</Application>
  <DocSecurity>0</DocSecurity>
  <Lines>230</Lines>
  <Paragraphs>62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2025-04-30T14:12:00Z</dcterms:created>
  <dcterms:modified xsi:type="dcterms:W3CDTF">2025-05-08T09:53:00Z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