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346BFCA1">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7B3232D2"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9A7CBE">
              <w:rPr>
                <w:b/>
                <w:bCs/>
                <w:lang w:val="en-US"/>
              </w:rPr>
              <w:t>25</w:t>
            </w:r>
            <w:r w:rsidRPr="00403C6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1891342" w:rsidR="005B718F" w:rsidRPr="00403C69" w:rsidRDefault="00DE34DA" w:rsidP="005B718F">
            <w:pPr>
              <w:spacing w:before="0" w:line="240" w:lineRule="atLeast"/>
              <w:rPr>
                <w:rFonts w:cstheme="minorHAnsi"/>
                <w:szCs w:val="24"/>
              </w:rPr>
            </w:pPr>
            <w:r>
              <w:rPr>
                <w:b/>
                <w:bCs/>
                <w:szCs w:val="28"/>
              </w:rPr>
              <w:t xml:space="preserve">1 </w:t>
            </w:r>
            <w:proofErr w:type="spellStart"/>
            <w:r>
              <w:rPr>
                <w:b/>
                <w:bCs/>
                <w:szCs w:val="28"/>
              </w:rPr>
              <w:t>Arpil</w:t>
            </w:r>
            <w:proofErr w:type="spellEnd"/>
            <w:r>
              <w:rPr>
                <w:b/>
                <w:bCs/>
                <w:szCs w:val="28"/>
              </w:rPr>
              <w:t xml:space="preserve">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00D87035">
        <w:trPr>
          <w:cantSplit/>
          <w:trHeight w:val="23"/>
        </w:trPr>
        <w:tc>
          <w:tcPr>
            <w:tcW w:w="10031" w:type="dxa"/>
            <w:gridSpan w:val="4"/>
            <w:shd w:val="clear" w:color="auto" w:fill="auto"/>
          </w:tcPr>
          <w:p w14:paraId="59A8A61C" w14:textId="5AE38C68" w:rsidR="003D1814" w:rsidRPr="00403C69" w:rsidRDefault="009A7CBE" w:rsidP="003D1814">
            <w:pPr>
              <w:pStyle w:val="Source"/>
              <w:spacing w:before="240" w:after="240"/>
            </w:pPr>
            <w:bookmarkStart w:id="8" w:name="dbluepink" w:colFirst="0" w:colLast="0"/>
            <w:bookmarkStart w:id="9" w:name="dorlang" w:colFirst="1" w:colLast="1"/>
            <w:r w:rsidRPr="002C044A">
              <w:t xml:space="preserve">Director, </w:t>
            </w:r>
            <w:r>
              <w:t>Telecommunication Development Bureau</w:t>
            </w:r>
          </w:p>
        </w:tc>
      </w:tr>
      <w:tr w:rsidR="003D1814" w:rsidRPr="00403C69" w14:paraId="7EDE1565" w14:textId="77777777" w:rsidTr="002B452F">
        <w:trPr>
          <w:cantSplit/>
          <w:trHeight w:val="23"/>
        </w:trPr>
        <w:tc>
          <w:tcPr>
            <w:tcW w:w="10031" w:type="dxa"/>
            <w:gridSpan w:val="4"/>
            <w:shd w:val="clear" w:color="auto" w:fill="auto"/>
            <w:vAlign w:val="center"/>
          </w:tcPr>
          <w:p w14:paraId="3D29924B" w14:textId="61E6C274" w:rsidR="003D1814" w:rsidRPr="001655E8" w:rsidRDefault="00A10485" w:rsidP="003D1814">
            <w:pPr>
              <w:pStyle w:val="Title1"/>
              <w:spacing w:before="120" w:after="120"/>
              <w:rPr>
                <w:caps w:val="0"/>
              </w:rPr>
            </w:pPr>
            <w:r w:rsidRPr="00A10485">
              <w:rPr>
                <w:caps w:val="0"/>
                <w:szCs w:val="28"/>
                <w:lang w:val="en-US"/>
              </w:rPr>
              <w:t>Outcomes of RA-23 and WRC-23: Updates relevant to the work of ITU-D</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D84E6C">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B25FB5" w14:textId="77777777" w:rsidR="00C77589" w:rsidRPr="00403C69" w:rsidRDefault="00C77589" w:rsidP="00C77589">
            <w:pPr>
              <w:spacing w:after="120"/>
              <w:rPr>
                <w:b/>
                <w:bCs/>
                <w:szCs w:val="24"/>
              </w:rPr>
            </w:pPr>
            <w:r w:rsidRPr="00403C69">
              <w:rPr>
                <w:b/>
                <w:bCs/>
                <w:szCs w:val="24"/>
              </w:rPr>
              <w:t>Summary:</w:t>
            </w:r>
          </w:p>
          <w:p w14:paraId="5DAFE718" w14:textId="77777777" w:rsidR="00244491" w:rsidRPr="00892D20" w:rsidRDefault="00244491" w:rsidP="00244491">
            <w:pPr>
              <w:spacing w:after="120"/>
            </w:pPr>
            <w:r w:rsidRPr="00892D20">
              <w:rPr>
                <w:bCs/>
                <w:szCs w:val="24"/>
              </w:rPr>
              <w:t>The</w:t>
            </w:r>
            <w:r>
              <w:t xml:space="preserve"> </w:t>
            </w:r>
            <w:r w:rsidRPr="00892D20">
              <w:t>Radiocommunication</w:t>
            </w:r>
            <w:r>
              <w:t xml:space="preserve"> </w:t>
            </w:r>
            <w:r w:rsidRPr="00892D20">
              <w:t>Assembly</w:t>
            </w:r>
            <w:r>
              <w:t xml:space="preserve"> </w:t>
            </w:r>
            <w:r w:rsidRPr="00892D20">
              <w:t>2023</w:t>
            </w:r>
            <w:r>
              <w:t xml:space="preserve"> </w:t>
            </w:r>
            <w:r w:rsidRPr="00892D20">
              <w:t>(RA-23)</w:t>
            </w:r>
            <w:r>
              <w:t xml:space="preserve"> </w:t>
            </w:r>
            <w:r w:rsidRPr="00892D20">
              <w:t>took</w:t>
            </w:r>
            <w:r>
              <w:t xml:space="preserve"> </w:t>
            </w:r>
            <w:r w:rsidRPr="00892D20">
              <w:t>place</w:t>
            </w:r>
            <w:r>
              <w:t xml:space="preserve"> </w:t>
            </w:r>
            <w:r w:rsidRPr="00892D20">
              <w:t>in</w:t>
            </w:r>
            <w:r>
              <w:t xml:space="preserve"> </w:t>
            </w:r>
            <w:r w:rsidRPr="00892D20">
              <w:t>Dubai,</w:t>
            </w:r>
            <w:r>
              <w:t xml:space="preserve"> </w:t>
            </w:r>
            <w:r w:rsidRPr="00892D20">
              <w:t>United</w:t>
            </w:r>
            <w:r>
              <w:t xml:space="preserve"> </w:t>
            </w:r>
            <w:r w:rsidRPr="00892D20">
              <w:t>Arab</w:t>
            </w:r>
            <w:r>
              <w:t xml:space="preserve"> </w:t>
            </w:r>
            <w:r w:rsidRPr="00892D20">
              <w:t>Emirates</w:t>
            </w:r>
            <w:r>
              <w:t xml:space="preserve"> </w:t>
            </w:r>
            <w:r w:rsidRPr="00892D20">
              <w:t>from</w:t>
            </w:r>
            <w:r>
              <w:t xml:space="preserve"> </w:t>
            </w:r>
            <w:r w:rsidRPr="00892D20">
              <w:t>13</w:t>
            </w:r>
            <w:r>
              <w:t> </w:t>
            </w:r>
            <w:r w:rsidRPr="00892D20">
              <w:t>to</w:t>
            </w:r>
            <w:r>
              <w:t xml:space="preserve"> </w:t>
            </w:r>
            <w:r w:rsidRPr="00892D20">
              <w:t>17</w:t>
            </w:r>
            <w:r>
              <w:t xml:space="preserve"> </w:t>
            </w:r>
            <w:r w:rsidRPr="00892D20">
              <w:t>November</w:t>
            </w:r>
            <w:r>
              <w:t xml:space="preserve"> </w:t>
            </w:r>
            <w:r w:rsidRPr="00892D20">
              <w:t>2023.</w:t>
            </w:r>
            <w:r>
              <w:t xml:space="preserve"> </w:t>
            </w:r>
            <w:r w:rsidRPr="00892D20">
              <w:t>It</w:t>
            </w:r>
            <w:r>
              <w:t xml:space="preserve"> </w:t>
            </w:r>
            <w:r w:rsidRPr="00892D20">
              <w:t>was</w:t>
            </w:r>
            <w:r>
              <w:t xml:space="preserve"> </w:t>
            </w:r>
            <w:r w:rsidRPr="00892D20">
              <w:t>followed</w:t>
            </w:r>
            <w:r>
              <w:t xml:space="preserve"> </w:t>
            </w:r>
            <w:r w:rsidRPr="00892D20">
              <w:t>by</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2023</w:t>
            </w:r>
            <w:r>
              <w:t xml:space="preserve"> </w:t>
            </w:r>
            <w:r w:rsidRPr="00892D20">
              <w:t>(WRC-23)</w:t>
            </w:r>
            <w:r>
              <w:t xml:space="preserve"> </w:t>
            </w:r>
            <w:r w:rsidRPr="00892D20">
              <w:t>from</w:t>
            </w:r>
            <w:r>
              <w:t xml:space="preserve"> </w:t>
            </w:r>
            <w:r w:rsidRPr="00892D20">
              <w:t>20</w:t>
            </w:r>
            <w:r>
              <w:t xml:space="preserve"> </w:t>
            </w:r>
            <w:r w:rsidRPr="00892D20">
              <w:t>November</w:t>
            </w:r>
            <w:r>
              <w:t xml:space="preserve"> </w:t>
            </w:r>
            <w:r w:rsidRPr="00892D20">
              <w:t>to</w:t>
            </w:r>
            <w:r>
              <w:t xml:space="preserve"> </w:t>
            </w:r>
            <w:r w:rsidRPr="00892D20">
              <w:t>15</w:t>
            </w:r>
            <w:r>
              <w:t xml:space="preserve"> </w:t>
            </w:r>
            <w:r w:rsidRPr="00892D20">
              <w:t>December</w:t>
            </w:r>
            <w:r>
              <w:t xml:space="preserve"> </w:t>
            </w:r>
            <w:r w:rsidRPr="00892D20">
              <w:t>2023</w:t>
            </w:r>
            <w:r>
              <w:t xml:space="preserve"> </w:t>
            </w:r>
            <w:r w:rsidRPr="00892D20">
              <w:t>and</w:t>
            </w:r>
            <w:r>
              <w:t xml:space="preserve"> </w:t>
            </w:r>
            <w:r w:rsidRPr="00892D20">
              <w:t>the</w:t>
            </w:r>
            <w:r>
              <w:t xml:space="preserve"> </w:t>
            </w:r>
            <w:r w:rsidRPr="00892D20">
              <w:t>first</w:t>
            </w:r>
            <w:r>
              <w:t xml:space="preserve"> </w:t>
            </w:r>
            <w:r w:rsidRPr="00892D20">
              <w:t>session</w:t>
            </w:r>
            <w:r>
              <w:t xml:space="preserve"> </w:t>
            </w:r>
            <w:r w:rsidRPr="00892D20">
              <w:t>of</w:t>
            </w:r>
            <w:r>
              <w:t xml:space="preserve"> </w:t>
            </w:r>
            <w:r w:rsidRPr="00892D20">
              <w:t>the</w:t>
            </w:r>
            <w:r>
              <w:t xml:space="preserve"> </w:t>
            </w:r>
            <w:r w:rsidRPr="00892D20">
              <w:t>Conference</w:t>
            </w:r>
            <w:r>
              <w:t xml:space="preserve"> </w:t>
            </w:r>
            <w:r w:rsidRPr="00892D20">
              <w:t>Preparatory</w:t>
            </w:r>
            <w:r>
              <w:t xml:space="preserve"> </w:t>
            </w:r>
            <w:r w:rsidRPr="00892D20">
              <w:t>Meeting</w:t>
            </w:r>
            <w:r>
              <w:t xml:space="preserve"> </w:t>
            </w:r>
            <w:r w:rsidRPr="00892D20">
              <w:t>(CPM27-1)</w:t>
            </w:r>
            <w:r>
              <w:t xml:space="preserve"> </w:t>
            </w:r>
            <w:r w:rsidRPr="00892D20">
              <w:t>for</w:t>
            </w:r>
            <w:r>
              <w:t xml:space="preserve"> </w:t>
            </w:r>
            <w:r w:rsidRPr="00892D20">
              <w:t>the</w:t>
            </w:r>
            <w:r>
              <w:t xml:space="preserve"> </w:t>
            </w:r>
            <w:r w:rsidRPr="00892D20">
              <w:t>World</w:t>
            </w:r>
            <w:r>
              <w:t xml:space="preserve"> </w:t>
            </w:r>
            <w:r w:rsidRPr="00892D20">
              <w:t>Radiocommunication</w:t>
            </w:r>
            <w:r>
              <w:t xml:space="preserve"> </w:t>
            </w:r>
            <w:r w:rsidRPr="00892D20">
              <w:t>Conference</w:t>
            </w:r>
            <w:r>
              <w:t xml:space="preserve"> </w:t>
            </w:r>
            <w:r w:rsidRPr="00892D20">
              <w:t>2027</w:t>
            </w:r>
            <w:r>
              <w:t xml:space="preserve"> </w:t>
            </w:r>
            <w:r w:rsidRPr="00892D20">
              <w:t>(WRC-27)</w:t>
            </w:r>
            <w:r>
              <w:t xml:space="preserve"> </w:t>
            </w:r>
            <w:r w:rsidRPr="00892D20">
              <w:t>from</w:t>
            </w:r>
            <w:r>
              <w:t xml:space="preserve"> </w:t>
            </w:r>
            <w:r w:rsidRPr="00892D20">
              <w:t>18</w:t>
            </w:r>
            <w:r>
              <w:t xml:space="preserve"> </w:t>
            </w:r>
            <w:r w:rsidRPr="00892D20">
              <w:t>to</w:t>
            </w:r>
            <w:r>
              <w:t xml:space="preserve"> </w:t>
            </w:r>
            <w:r w:rsidRPr="00892D20">
              <w:t>19</w:t>
            </w:r>
            <w:r>
              <w:t xml:space="preserve"> </w:t>
            </w:r>
            <w:r w:rsidRPr="00892D20">
              <w:t>December</w:t>
            </w:r>
            <w:r>
              <w:t xml:space="preserve"> </w:t>
            </w:r>
            <w:r w:rsidRPr="00892D20">
              <w:t>2023.</w:t>
            </w:r>
            <w:r>
              <w:t xml:space="preserve"> </w:t>
            </w:r>
          </w:p>
          <w:p w14:paraId="40417BC1" w14:textId="77777777" w:rsidR="00244491" w:rsidRPr="00892D20" w:rsidRDefault="00244491" w:rsidP="00244491">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7BAF2520" w14:textId="77777777" w:rsidR="002D4EC2" w:rsidRPr="00A73824" w:rsidRDefault="002D4EC2" w:rsidP="002D4EC2">
            <w:pPr>
              <w:pStyle w:val="ListParagraph"/>
              <w:numPr>
                <w:ilvl w:val="0"/>
                <w:numId w:val="45"/>
              </w:numPr>
              <w:spacing w:after="120"/>
              <w:ind w:left="357" w:hanging="357"/>
              <w:contextualSpacing w:val="0"/>
              <w:rPr>
                <w:lang w:val="it-IT"/>
              </w:rPr>
            </w:pPr>
            <w:r w:rsidRPr="00A73824">
              <w:rPr>
                <w:lang w:val="it-IT"/>
              </w:rPr>
              <w:t xml:space="preserve">RA-23: </w:t>
            </w:r>
            <w:hyperlink r:id="rId13" w:history="1">
              <w:r w:rsidRPr="004E4F58">
                <w:rPr>
                  <w:rStyle w:val="Hyperlink"/>
                  <w:lang w:val="it-IT"/>
                </w:rPr>
                <w:t>https://www.itu.int/ra-23/</w:t>
              </w:r>
            </w:hyperlink>
            <w:r>
              <w:rPr>
                <w:lang w:val="it-IT"/>
              </w:rPr>
              <w:t xml:space="preserve"> </w:t>
            </w:r>
          </w:p>
          <w:p w14:paraId="09302E5F" w14:textId="77777777" w:rsidR="002D4EC2" w:rsidRPr="00892D20" w:rsidRDefault="002D4EC2" w:rsidP="002D4EC2">
            <w:pPr>
              <w:pStyle w:val="ListParagraph"/>
              <w:numPr>
                <w:ilvl w:val="0"/>
                <w:numId w:val="45"/>
              </w:numPr>
              <w:spacing w:after="120"/>
              <w:ind w:left="357" w:hanging="357"/>
              <w:contextualSpacing w:val="0"/>
            </w:pPr>
            <w:r w:rsidRPr="00892D20">
              <w:t>WRC-23:</w:t>
            </w:r>
            <w:r>
              <w:t xml:space="preserve"> </w:t>
            </w:r>
            <w:hyperlink r:id="rId14" w:history="1">
              <w:r w:rsidRPr="00892D20">
                <w:rPr>
                  <w:rStyle w:val="Hyperlink"/>
                </w:rPr>
                <w:t>https://www.itu.int/wrc-23/</w:t>
              </w:r>
            </w:hyperlink>
          </w:p>
          <w:p w14:paraId="186F9BCD" w14:textId="77777777" w:rsidR="002D4EC2" w:rsidRPr="00A73824" w:rsidRDefault="002D4EC2" w:rsidP="002D4EC2">
            <w:pPr>
              <w:pStyle w:val="ListParagraph"/>
              <w:numPr>
                <w:ilvl w:val="0"/>
                <w:numId w:val="45"/>
              </w:numPr>
              <w:spacing w:after="120"/>
              <w:ind w:left="357" w:hanging="357"/>
              <w:contextualSpacing w:val="0"/>
              <w:rPr>
                <w:rStyle w:val="Hyperlink"/>
              </w:rPr>
            </w:pPr>
            <w:r w:rsidRPr="00892D20">
              <w:t>CPM-27-1:</w:t>
            </w:r>
            <w:hyperlink r:id="rId15" w:history="1">
              <w:r w:rsidRPr="00892D20">
                <w:rPr>
                  <w:rStyle w:val="Hyperlink"/>
                </w:rPr>
                <w:t>https://www.itu.int/en/ITU-R/study-groups/rcpm/Pages/cpm-27.aspx</w:t>
              </w:r>
            </w:hyperlink>
          </w:p>
          <w:p w14:paraId="2A219782" w14:textId="77777777" w:rsidR="00D84E6C" w:rsidRPr="00D84E6C" w:rsidRDefault="002D4EC2" w:rsidP="00D84E6C">
            <w:pPr>
              <w:pStyle w:val="ListParagraph"/>
              <w:numPr>
                <w:ilvl w:val="0"/>
                <w:numId w:val="45"/>
              </w:numPr>
              <w:spacing w:after="120"/>
              <w:ind w:left="357" w:hanging="357"/>
              <w:contextualSpacing w:val="0"/>
              <w:rPr>
                <w:color w:val="0000FF"/>
                <w:u w:val="single"/>
              </w:rPr>
            </w:pPr>
            <w:hyperlink r:id="rId16" w:history="1">
              <w:r w:rsidRPr="00101CA7">
                <w:rPr>
                  <w:rStyle w:val="Hyperlink"/>
                  <w:rFonts w:cstheme="minorHAnsi"/>
                  <w:szCs w:val="24"/>
                </w:rPr>
                <w:t xml:space="preserve">WRC-23 Final </w:t>
              </w:r>
              <w:r>
                <w:rPr>
                  <w:rStyle w:val="Hyperlink"/>
                  <w:rFonts w:cstheme="minorHAnsi"/>
                  <w:szCs w:val="24"/>
                </w:rPr>
                <w:t>Acts</w:t>
              </w:r>
            </w:hyperlink>
          </w:p>
          <w:p w14:paraId="6A9AF37B" w14:textId="07718C57" w:rsidR="00C77589" w:rsidRPr="00D84E6C" w:rsidRDefault="002D4EC2" w:rsidP="00D84E6C">
            <w:pPr>
              <w:pStyle w:val="ListParagraph"/>
              <w:numPr>
                <w:ilvl w:val="0"/>
                <w:numId w:val="45"/>
              </w:numPr>
              <w:spacing w:after="120"/>
              <w:ind w:left="357" w:hanging="357"/>
              <w:contextualSpacing w:val="0"/>
              <w:rPr>
                <w:color w:val="0000FF"/>
                <w:u w:val="single"/>
              </w:rPr>
            </w:pPr>
            <w:hyperlink r:id="rId17" w:history="1">
              <w:r w:rsidRPr="00D84E6C">
                <w:rPr>
                  <w:rStyle w:val="Hyperlink"/>
                  <w:rFonts w:cstheme="minorHAnsi"/>
                  <w:szCs w:val="24"/>
                </w:rPr>
                <w:t>Radio Regulations 2024 Edition</w:t>
              </w:r>
            </w:hyperlink>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612EA0E5" w14:textId="77777777" w:rsidR="007A1F48" w:rsidRPr="0015235D" w:rsidRDefault="007A1F48" w:rsidP="007A1F48">
      <w:pPr>
        <w:pStyle w:val="Heading1"/>
        <w:numPr>
          <w:ilvl w:val="0"/>
          <w:numId w:val="46"/>
        </w:numPr>
        <w:spacing w:before="120" w:after="120"/>
        <w:ind w:left="357" w:hanging="357"/>
        <w:rPr>
          <w:sz w:val="24"/>
          <w:szCs w:val="24"/>
        </w:rPr>
      </w:pPr>
      <w:r w:rsidRPr="0015235D">
        <w:rPr>
          <w:sz w:val="24"/>
          <w:szCs w:val="24"/>
        </w:rPr>
        <w:lastRenderedPageBreak/>
        <w:t>Background</w:t>
      </w:r>
    </w:p>
    <w:p w14:paraId="54DF65A1" w14:textId="77777777" w:rsidR="007A1F48" w:rsidRPr="005872D3" w:rsidRDefault="007A1F48" w:rsidP="007A1F48">
      <w:pPr>
        <w:spacing w:after="120"/>
        <w:rPr>
          <w:rFonts w:cstheme="minorHAnsi"/>
          <w:szCs w:val="24"/>
        </w:rPr>
      </w:pPr>
      <w:r w:rsidRPr="0015235D">
        <w:rPr>
          <w:szCs w:val="24"/>
        </w:rPr>
        <w:t>RA-23</w:t>
      </w:r>
      <w:r>
        <w:rPr>
          <w:szCs w:val="24"/>
        </w:rPr>
        <w:t xml:space="preserve"> </w:t>
      </w:r>
      <w:r w:rsidRPr="0015235D">
        <w:rPr>
          <w:szCs w:val="24"/>
        </w:rPr>
        <w:t>took</w:t>
      </w:r>
      <w:r>
        <w:rPr>
          <w:szCs w:val="24"/>
        </w:rPr>
        <w:t xml:space="preserve"> </w:t>
      </w:r>
      <w:r w:rsidRPr="0015235D">
        <w:rPr>
          <w:szCs w:val="24"/>
        </w:rPr>
        <w:t>place</w:t>
      </w:r>
      <w:r>
        <w:rPr>
          <w:szCs w:val="24"/>
        </w:rPr>
        <w:t xml:space="preserve"> </w:t>
      </w:r>
      <w:r w:rsidRPr="0015235D">
        <w:rPr>
          <w:szCs w:val="24"/>
        </w:rPr>
        <w:t>in</w:t>
      </w:r>
      <w:r>
        <w:rPr>
          <w:szCs w:val="24"/>
        </w:rPr>
        <w:t xml:space="preserve"> </w:t>
      </w:r>
      <w:r w:rsidRPr="0015235D">
        <w:rPr>
          <w:szCs w:val="24"/>
        </w:rPr>
        <w:t>Dubai,</w:t>
      </w:r>
      <w:r>
        <w:rPr>
          <w:szCs w:val="24"/>
        </w:rPr>
        <w:t xml:space="preserve"> </w:t>
      </w:r>
      <w:r w:rsidRPr="0015235D">
        <w:rPr>
          <w:szCs w:val="24"/>
        </w:rPr>
        <w:t>United</w:t>
      </w:r>
      <w:r>
        <w:rPr>
          <w:szCs w:val="24"/>
        </w:rPr>
        <w:t xml:space="preserve"> </w:t>
      </w:r>
      <w:r w:rsidRPr="0015235D">
        <w:rPr>
          <w:szCs w:val="24"/>
        </w:rPr>
        <w:t>Arab</w:t>
      </w:r>
      <w:r>
        <w:rPr>
          <w:szCs w:val="24"/>
        </w:rPr>
        <w:t xml:space="preserve"> </w:t>
      </w:r>
      <w:r w:rsidRPr="0015235D">
        <w:rPr>
          <w:szCs w:val="24"/>
        </w:rPr>
        <w:t>Emirates</w:t>
      </w:r>
      <w:r>
        <w:rPr>
          <w:szCs w:val="24"/>
        </w:rPr>
        <w:t xml:space="preserve"> </w:t>
      </w:r>
      <w:r w:rsidRPr="0015235D">
        <w:rPr>
          <w:szCs w:val="24"/>
        </w:rPr>
        <w:t>from</w:t>
      </w:r>
      <w:r>
        <w:rPr>
          <w:szCs w:val="24"/>
        </w:rPr>
        <w:t xml:space="preserve"> </w:t>
      </w:r>
      <w:r w:rsidRPr="0015235D">
        <w:rPr>
          <w:szCs w:val="24"/>
        </w:rPr>
        <w:t>13</w:t>
      </w:r>
      <w:r>
        <w:rPr>
          <w:szCs w:val="24"/>
        </w:rPr>
        <w:t xml:space="preserve"> </w:t>
      </w:r>
      <w:r w:rsidRPr="0015235D">
        <w:rPr>
          <w:szCs w:val="24"/>
        </w:rPr>
        <w:t>to</w:t>
      </w:r>
      <w:r>
        <w:rPr>
          <w:szCs w:val="24"/>
        </w:rPr>
        <w:t xml:space="preserve"> </w:t>
      </w:r>
      <w:r w:rsidRPr="0015235D">
        <w:rPr>
          <w:szCs w:val="24"/>
        </w:rPr>
        <w:t>17</w:t>
      </w:r>
      <w:r>
        <w:rPr>
          <w:szCs w:val="24"/>
        </w:rPr>
        <w:t xml:space="preserve"> </w:t>
      </w:r>
      <w:r w:rsidRPr="0015235D">
        <w:rPr>
          <w:szCs w:val="24"/>
        </w:rPr>
        <w:t>November</w:t>
      </w:r>
      <w:r>
        <w:rPr>
          <w:szCs w:val="24"/>
        </w:rPr>
        <w:t xml:space="preserve"> </w:t>
      </w:r>
      <w:r w:rsidRPr="0015235D">
        <w:rPr>
          <w:szCs w:val="24"/>
        </w:rPr>
        <w:t>2023.</w:t>
      </w:r>
      <w:r>
        <w:rPr>
          <w:szCs w:val="24"/>
        </w:rPr>
        <w:t xml:space="preserve"> </w:t>
      </w:r>
      <w:r w:rsidRPr="0015235D">
        <w:rPr>
          <w:szCs w:val="24"/>
        </w:rPr>
        <w:t>Over</w:t>
      </w:r>
      <w:r>
        <w:rPr>
          <w:szCs w:val="24"/>
        </w:rPr>
        <w:t xml:space="preserve"> </w:t>
      </w:r>
      <w:r w:rsidRPr="0015235D">
        <w:rPr>
          <w:szCs w:val="24"/>
        </w:rPr>
        <w:t>1,300</w:t>
      </w:r>
      <w:r>
        <w:rPr>
          <w:szCs w:val="24"/>
        </w:rPr>
        <w:t xml:space="preserve"> </w:t>
      </w:r>
      <w:r w:rsidRPr="0015235D">
        <w:rPr>
          <w:szCs w:val="24"/>
        </w:rPr>
        <w:t>delegates</w:t>
      </w:r>
      <w:r>
        <w:rPr>
          <w:szCs w:val="24"/>
        </w:rPr>
        <w:t xml:space="preserve"> </w:t>
      </w:r>
      <w:r w:rsidRPr="0015235D">
        <w:rPr>
          <w:szCs w:val="24"/>
        </w:rPr>
        <w:t>from</w:t>
      </w:r>
      <w:r>
        <w:rPr>
          <w:szCs w:val="24"/>
        </w:rPr>
        <w:t xml:space="preserve"> </w:t>
      </w:r>
      <w:r w:rsidRPr="0015235D">
        <w:rPr>
          <w:szCs w:val="24"/>
        </w:rPr>
        <w:t>128</w:t>
      </w:r>
      <w:r>
        <w:rPr>
          <w:szCs w:val="24"/>
        </w:rPr>
        <w:t xml:space="preserve"> </w:t>
      </w:r>
      <w:r w:rsidRPr="0015235D">
        <w:rPr>
          <w:szCs w:val="24"/>
        </w:rPr>
        <w:t>ITU</w:t>
      </w:r>
      <w:r>
        <w:rPr>
          <w:szCs w:val="24"/>
        </w:rPr>
        <w:t xml:space="preserve"> </w:t>
      </w:r>
      <w:r w:rsidRPr="0015235D">
        <w:rPr>
          <w:szCs w:val="24"/>
        </w:rPr>
        <w:t>Member</w:t>
      </w:r>
      <w:r>
        <w:rPr>
          <w:szCs w:val="24"/>
        </w:rPr>
        <w:t xml:space="preserve"> </w:t>
      </w:r>
      <w:r w:rsidRPr="0015235D">
        <w:rPr>
          <w:szCs w:val="24"/>
        </w:rPr>
        <w:t>States</w:t>
      </w:r>
      <w:r>
        <w:rPr>
          <w:szCs w:val="24"/>
        </w:rPr>
        <w:t xml:space="preserve"> </w:t>
      </w:r>
      <w:r w:rsidRPr="0015235D">
        <w:rPr>
          <w:szCs w:val="24"/>
        </w:rPr>
        <w:t>attended</w:t>
      </w:r>
      <w:r>
        <w:rPr>
          <w:szCs w:val="24"/>
        </w:rPr>
        <w:t xml:space="preserve"> </w:t>
      </w:r>
      <w:r w:rsidRPr="0015235D">
        <w:rPr>
          <w:szCs w:val="24"/>
        </w:rPr>
        <w:t>the</w:t>
      </w:r>
      <w:r>
        <w:rPr>
          <w:szCs w:val="24"/>
        </w:rPr>
        <w:t xml:space="preserve"> </w:t>
      </w:r>
      <w:r w:rsidRPr="0015235D">
        <w:rPr>
          <w:szCs w:val="24"/>
        </w:rPr>
        <w:t>Assembly.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from</w:t>
      </w:r>
      <w:r>
        <w:rPr>
          <w:szCs w:val="24"/>
        </w:rPr>
        <w:t xml:space="preserve"> </w:t>
      </w:r>
      <w:r w:rsidRPr="0015235D">
        <w:rPr>
          <w:szCs w:val="24"/>
        </w:rPr>
        <w:t>Australia</w:t>
      </w:r>
      <w:r>
        <w:rPr>
          <w:szCs w:val="24"/>
        </w:rPr>
        <w:t xml:space="preserve"> </w:t>
      </w:r>
      <w:r w:rsidRPr="0015235D">
        <w:rPr>
          <w:szCs w:val="24"/>
        </w:rPr>
        <w:t>served</w:t>
      </w:r>
      <w:r>
        <w:rPr>
          <w:szCs w:val="24"/>
        </w:rPr>
        <w:t xml:space="preserve"> </w:t>
      </w:r>
      <w:r w:rsidRPr="0015235D">
        <w:rPr>
          <w:szCs w:val="24"/>
        </w:rPr>
        <w:t>as</w:t>
      </w:r>
      <w:r>
        <w:rPr>
          <w:szCs w:val="24"/>
        </w:rPr>
        <w:t xml:space="preserve"> </w:t>
      </w:r>
      <w:r w:rsidRPr="0015235D">
        <w:rPr>
          <w:szCs w:val="24"/>
        </w:rPr>
        <w:t>the</w:t>
      </w:r>
      <w:r>
        <w:rPr>
          <w:szCs w:val="24"/>
        </w:rPr>
        <w:t xml:space="preserve"> </w:t>
      </w:r>
      <w:r w:rsidRPr="0015235D">
        <w:rPr>
          <w:szCs w:val="24"/>
        </w:rPr>
        <w:t>first</w:t>
      </w:r>
      <w:r>
        <w:rPr>
          <w:szCs w:val="24"/>
        </w:rPr>
        <w:t xml:space="preserve"> </w:t>
      </w:r>
      <w:r w:rsidRPr="0015235D">
        <w:rPr>
          <w:szCs w:val="24"/>
        </w:rPr>
        <w:t>ever</w:t>
      </w:r>
      <w:r>
        <w:rPr>
          <w:szCs w:val="24"/>
        </w:rPr>
        <w:t xml:space="preserve"> </w:t>
      </w:r>
      <w:r w:rsidRPr="0015235D">
        <w:rPr>
          <w:szCs w:val="24"/>
        </w:rPr>
        <w:t>wo</w:t>
      </w:r>
      <w:r w:rsidRPr="005872D3">
        <w:rPr>
          <w:rFonts w:cstheme="minorHAnsi"/>
          <w:szCs w:val="24"/>
        </w:rPr>
        <w:t>man</w:t>
      </w:r>
      <w:r>
        <w:rPr>
          <w:rFonts w:cstheme="minorHAnsi"/>
          <w:szCs w:val="24"/>
        </w:rPr>
        <w:t xml:space="preserve"> </w:t>
      </w:r>
      <w:r w:rsidRPr="005872D3">
        <w:rPr>
          <w:rFonts w:cstheme="minorHAnsi"/>
          <w:szCs w:val="24"/>
        </w:rPr>
        <w:t>to</w:t>
      </w:r>
      <w:r>
        <w:rPr>
          <w:rFonts w:cstheme="minorHAnsi"/>
          <w:szCs w:val="24"/>
        </w:rPr>
        <w:t xml:space="preserve"> </w:t>
      </w:r>
      <w:r w:rsidRPr="005872D3">
        <w:rPr>
          <w:rFonts w:cstheme="minorHAnsi"/>
          <w:szCs w:val="24"/>
        </w:rPr>
        <w:t>chair</w:t>
      </w:r>
      <w:r>
        <w:rPr>
          <w:rFonts w:cstheme="minorHAnsi"/>
          <w:szCs w:val="24"/>
        </w:rPr>
        <w:t xml:space="preserve"> </w:t>
      </w:r>
      <w:r w:rsidRPr="005872D3">
        <w:rPr>
          <w:rFonts w:cstheme="minorHAnsi"/>
          <w:szCs w:val="24"/>
        </w:rPr>
        <w:t>an</w:t>
      </w:r>
      <w:r>
        <w:rPr>
          <w:rFonts w:cstheme="minorHAnsi"/>
          <w:szCs w:val="24"/>
        </w:rPr>
        <w:t xml:space="preserve"> </w:t>
      </w:r>
      <w:r w:rsidRPr="005872D3">
        <w:rPr>
          <w:rFonts w:cstheme="minorHAnsi"/>
          <w:szCs w:val="24"/>
        </w:rPr>
        <w:t>ITU</w:t>
      </w:r>
      <w:r>
        <w:rPr>
          <w:rFonts w:cstheme="minorHAnsi"/>
          <w:szCs w:val="24"/>
        </w:rPr>
        <w:t xml:space="preserve"> </w:t>
      </w:r>
      <w:r w:rsidRPr="005872D3">
        <w:rPr>
          <w:rFonts w:cstheme="minorHAnsi"/>
          <w:szCs w:val="24"/>
        </w:rPr>
        <w:t>Radiocommunication</w:t>
      </w:r>
      <w:r>
        <w:rPr>
          <w:rFonts w:cstheme="minorHAnsi"/>
          <w:szCs w:val="24"/>
        </w:rPr>
        <w:t xml:space="preserve"> </w:t>
      </w:r>
      <w:r w:rsidRPr="005872D3">
        <w:rPr>
          <w:rFonts w:cstheme="minorHAnsi"/>
          <w:szCs w:val="24"/>
        </w:rPr>
        <w:t>Assembly.</w:t>
      </w:r>
    </w:p>
    <w:p w14:paraId="194AC122" w14:textId="77777777" w:rsidR="007A1F48" w:rsidRPr="005872D3" w:rsidRDefault="007A1F48" w:rsidP="007A1F48">
      <w:pPr>
        <w:spacing w:after="120"/>
        <w:rPr>
          <w:rFonts w:cstheme="minorBidi"/>
          <w:lang w:eastAsia="zh-CN"/>
        </w:rPr>
      </w:pPr>
      <w:r w:rsidRPr="0C05AEFB">
        <w:rPr>
          <w:rFonts w:cstheme="minorBidi"/>
        </w:rPr>
        <w:t>WRC-23 took place from 20 November to 15 December 2023 at the same venue as RA-23. Over 3,900 delegates from 163 Member States attended WRC-23, including 88 ministerial-level participants. Women made up 22 per cent of all WRC-23 delegates, an increase from 18 per cent at WRC-19 in 2019. Mr Mohammed AL RAMSI from United Arab Emirates served as the chair of WRC-23.</w:t>
      </w:r>
    </w:p>
    <w:p w14:paraId="63E0018D" w14:textId="77777777" w:rsidR="007A1F48" w:rsidRPr="005872D3" w:rsidRDefault="007A1F48" w:rsidP="007A1F48">
      <w:pPr>
        <w:spacing w:after="120"/>
        <w:rPr>
          <w:rFonts w:cstheme="minorBidi"/>
        </w:rPr>
      </w:pPr>
      <w:r w:rsidRPr="0C05AEFB">
        <w:rPr>
          <w:rFonts w:cstheme="minorBidi"/>
        </w:rPr>
        <w:t xml:space="preserve">CPM27-1 was held in Dubai on 18-19 December 2023. It organized the preparatory studies for WRC-27 and proposed a structure for its Report to WRC-27 and nominated seven CPM-27 Chapter Rapporteurs and co-Rapporteurs who will assist the CPM-27 Chair in managing the development of the draft Report to WRC-27. </w:t>
      </w:r>
    </w:p>
    <w:p w14:paraId="23A87403" w14:textId="77777777" w:rsidR="007A1F48" w:rsidRPr="0015235D" w:rsidRDefault="007A1F48" w:rsidP="007A1F48">
      <w:pPr>
        <w:spacing w:after="120"/>
        <w:rPr>
          <w:szCs w:val="24"/>
        </w:rPr>
      </w:pPr>
      <w:r w:rsidRPr="0015235D">
        <w:rPr>
          <w:szCs w:val="24"/>
        </w:rPr>
        <w:t>RA-23,</w:t>
      </w:r>
      <w:r>
        <w:rPr>
          <w:szCs w:val="24"/>
        </w:rPr>
        <w:t xml:space="preserve"> </w:t>
      </w:r>
      <w:r w:rsidRPr="0015235D">
        <w:rPr>
          <w:szCs w:val="24"/>
        </w:rPr>
        <w:t>WRC-23</w:t>
      </w:r>
      <w:r>
        <w:rPr>
          <w:szCs w:val="24"/>
        </w:rPr>
        <w:t xml:space="preserve"> </w:t>
      </w:r>
      <w:r w:rsidRPr="0015235D">
        <w:rPr>
          <w:szCs w:val="24"/>
        </w:rPr>
        <w:t>and</w:t>
      </w:r>
      <w:r>
        <w:rPr>
          <w:szCs w:val="24"/>
        </w:rPr>
        <w:t xml:space="preserve"> </w:t>
      </w:r>
      <w:r w:rsidRPr="0015235D">
        <w:rPr>
          <w:szCs w:val="24"/>
        </w:rPr>
        <w:t>CPM27-1</w:t>
      </w:r>
      <w:r>
        <w:rPr>
          <w:szCs w:val="24"/>
        </w:rPr>
        <w:t xml:space="preserve"> </w:t>
      </w:r>
      <w:r w:rsidRPr="0015235D">
        <w:rPr>
          <w:szCs w:val="24"/>
        </w:rPr>
        <w:t>were</w:t>
      </w:r>
      <w:r>
        <w:rPr>
          <w:szCs w:val="24"/>
        </w:rPr>
        <w:t xml:space="preserve"> </w:t>
      </w:r>
      <w:r w:rsidRPr="0015235D">
        <w:rPr>
          <w:szCs w:val="24"/>
        </w:rPr>
        <w:t>hosted</w:t>
      </w:r>
      <w:r>
        <w:rPr>
          <w:szCs w:val="24"/>
        </w:rPr>
        <w:t xml:space="preserve"> </w:t>
      </w:r>
      <w:r w:rsidRPr="0015235D">
        <w:rPr>
          <w:szCs w:val="24"/>
        </w:rPr>
        <w:t>by</w:t>
      </w:r>
      <w:r>
        <w:rPr>
          <w:szCs w:val="24"/>
        </w:rPr>
        <w:t xml:space="preserve"> </w:t>
      </w:r>
      <w:r w:rsidRPr="0015235D">
        <w:rPr>
          <w:szCs w:val="24"/>
        </w:rPr>
        <w:t>the</w:t>
      </w:r>
      <w:r>
        <w:rPr>
          <w:szCs w:val="24"/>
        </w:rPr>
        <w:t xml:space="preserve"> </w:t>
      </w:r>
      <w:r w:rsidRPr="0015235D">
        <w:rPr>
          <w:szCs w:val="24"/>
        </w:rPr>
        <w:t>Telecommunications</w:t>
      </w:r>
      <w:r>
        <w:rPr>
          <w:szCs w:val="24"/>
        </w:rPr>
        <w:t xml:space="preserve"> </w:t>
      </w:r>
      <w:r w:rsidRPr="0015235D">
        <w:rPr>
          <w:szCs w:val="24"/>
        </w:rPr>
        <w:t>and</w:t>
      </w:r>
      <w:r>
        <w:rPr>
          <w:szCs w:val="24"/>
        </w:rPr>
        <w:t xml:space="preserve"> </w:t>
      </w:r>
      <w:r w:rsidRPr="0015235D">
        <w:rPr>
          <w:szCs w:val="24"/>
        </w:rPr>
        <w:t>Digital</w:t>
      </w:r>
      <w:r>
        <w:rPr>
          <w:szCs w:val="24"/>
        </w:rPr>
        <w:t xml:space="preserve"> </w:t>
      </w:r>
      <w:r w:rsidRPr="0015235D">
        <w:rPr>
          <w:szCs w:val="24"/>
        </w:rPr>
        <w:t>Government</w:t>
      </w:r>
      <w:r>
        <w:rPr>
          <w:szCs w:val="24"/>
        </w:rPr>
        <w:t xml:space="preserve"> </w:t>
      </w:r>
      <w:r w:rsidRPr="0015235D">
        <w:rPr>
          <w:szCs w:val="24"/>
        </w:rPr>
        <w:t>Regulatory</w:t>
      </w:r>
      <w:r>
        <w:rPr>
          <w:szCs w:val="24"/>
        </w:rPr>
        <w:t xml:space="preserve"> </w:t>
      </w:r>
      <w:r w:rsidRPr="0015235D">
        <w:rPr>
          <w:szCs w:val="24"/>
        </w:rPr>
        <w:t>Authority</w:t>
      </w:r>
      <w:r>
        <w:rPr>
          <w:szCs w:val="24"/>
        </w:rPr>
        <w:t xml:space="preserve"> </w:t>
      </w:r>
      <w:r w:rsidRPr="0015235D">
        <w:rPr>
          <w:szCs w:val="24"/>
        </w:rPr>
        <w:t>(TDRA)</w:t>
      </w:r>
      <w:r>
        <w:rPr>
          <w:szCs w:val="24"/>
        </w:rPr>
        <w:t xml:space="preserve"> </w:t>
      </w:r>
      <w:r w:rsidRPr="0015235D">
        <w:rPr>
          <w:szCs w:val="24"/>
        </w:rPr>
        <w:t>of</w:t>
      </w:r>
      <w:r>
        <w:rPr>
          <w:szCs w:val="24"/>
        </w:rPr>
        <w:t xml:space="preserve"> </w:t>
      </w:r>
      <w:r w:rsidRPr="0015235D">
        <w:rPr>
          <w:szCs w:val="24"/>
        </w:rPr>
        <w:t>the</w:t>
      </w:r>
      <w:r>
        <w:rPr>
          <w:szCs w:val="24"/>
        </w:rPr>
        <w:t xml:space="preserve"> </w:t>
      </w:r>
      <w:r w:rsidRPr="0015235D">
        <w:rPr>
          <w:szCs w:val="24"/>
        </w:rPr>
        <w:t>UAE.</w:t>
      </w:r>
    </w:p>
    <w:p w14:paraId="10775F40" w14:textId="77777777" w:rsidR="007A1F48" w:rsidRPr="0015235D" w:rsidRDefault="007A1F48" w:rsidP="007A1F48">
      <w:pPr>
        <w:pStyle w:val="Heading1"/>
        <w:numPr>
          <w:ilvl w:val="0"/>
          <w:numId w:val="46"/>
        </w:numPr>
        <w:spacing w:before="120" w:after="120"/>
        <w:ind w:left="357" w:hanging="357"/>
        <w:rPr>
          <w:sz w:val="24"/>
          <w:szCs w:val="24"/>
        </w:rPr>
      </w:pPr>
      <w:r w:rsidRPr="0015235D">
        <w:rPr>
          <w:sz w:val="24"/>
          <w:szCs w:val="24"/>
        </w:rPr>
        <w:t>Radiocommunication</w:t>
      </w:r>
      <w:r>
        <w:rPr>
          <w:sz w:val="24"/>
          <w:szCs w:val="24"/>
        </w:rPr>
        <w:t xml:space="preserve"> </w:t>
      </w:r>
      <w:r w:rsidRPr="0015235D">
        <w:rPr>
          <w:sz w:val="24"/>
          <w:szCs w:val="24"/>
        </w:rPr>
        <w:t>Assembly</w:t>
      </w:r>
      <w:r>
        <w:rPr>
          <w:sz w:val="24"/>
          <w:szCs w:val="24"/>
        </w:rPr>
        <w:t xml:space="preserve"> </w:t>
      </w:r>
      <w:r w:rsidRPr="0015235D">
        <w:rPr>
          <w:sz w:val="24"/>
          <w:szCs w:val="24"/>
        </w:rPr>
        <w:t>2023</w:t>
      </w:r>
      <w:r>
        <w:rPr>
          <w:sz w:val="24"/>
          <w:szCs w:val="24"/>
        </w:rPr>
        <w:t xml:space="preserve"> </w:t>
      </w:r>
      <w:r w:rsidRPr="0015235D">
        <w:rPr>
          <w:sz w:val="24"/>
          <w:szCs w:val="24"/>
        </w:rPr>
        <w:t>(RA-23)</w:t>
      </w:r>
    </w:p>
    <w:p w14:paraId="4E8DCAA7" w14:textId="77777777" w:rsidR="007A1F48" w:rsidRPr="0015235D" w:rsidRDefault="007A1F48" w:rsidP="007A1F48">
      <w:pPr>
        <w:spacing w:after="120"/>
        <w:rPr>
          <w:szCs w:val="24"/>
        </w:rPr>
      </w:pPr>
      <w:r w:rsidRPr="0015235D">
        <w:rPr>
          <w:szCs w:val="24"/>
        </w:rPr>
        <w:t>RA-23,</w:t>
      </w:r>
      <w:r>
        <w:rPr>
          <w:szCs w:val="24"/>
        </w:rPr>
        <w:t xml:space="preserve"> </w:t>
      </w:r>
      <w:r w:rsidRPr="0015235D">
        <w:rPr>
          <w:szCs w:val="24"/>
        </w:rPr>
        <w:t>chaired</w:t>
      </w:r>
      <w:r>
        <w:rPr>
          <w:szCs w:val="24"/>
        </w:rPr>
        <w:t xml:space="preserve"> </w:t>
      </w:r>
      <w:r w:rsidRPr="0015235D">
        <w:rPr>
          <w:szCs w:val="24"/>
        </w:rPr>
        <w:t>by</w:t>
      </w:r>
      <w:r>
        <w:rPr>
          <w:szCs w:val="24"/>
        </w:rPr>
        <w:t xml:space="preserve"> </w:t>
      </w:r>
      <w:r w:rsidRPr="0015235D">
        <w:rPr>
          <w:szCs w:val="24"/>
        </w:rPr>
        <w:t>Ms</w:t>
      </w:r>
      <w:r>
        <w:rPr>
          <w:szCs w:val="24"/>
        </w:rPr>
        <w:t xml:space="preserve"> </w:t>
      </w:r>
      <w:r w:rsidRPr="0015235D">
        <w:rPr>
          <w:szCs w:val="24"/>
        </w:rPr>
        <w:t>Carol</w:t>
      </w:r>
      <w:r>
        <w:rPr>
          <w:szCs w:val="24"/>
        </w:rPr>
        <w:t xml:space="preserve"> </w:t>
      </w:r>
      <w:r w:rsidRPr="0015235D">
        <w:rPr>
          <w:szCs w:val="24"/>
        </w:rPr>
        <w:t>Wilson,</w:t>
      </w:r>
      <w:r>
        <w:rPr>
          <w:szCs w:val="24"/>
        </w:rPr>
        <w:t xml:space="preserve"> </w:t>
      </w:r>
      <w:r w:rsidRPr="0015235D">
        <w:rPr>
          <w:szCs w:val="24"/>
        </w:rPr>
        <w:t>set</w:t>
      </w:r>
      <w:r>
        <w:rPr>
          <w:szCs w:val="24"/>
        </w:rPr>
        <w:t xml:space="preserve"> </w:t>
      </w:r>
      <w:r w:rsidRPr="0015235D">
        <w:rPr>
          <w:szCs w:val="24"/>
        </w:rPr>
        <w:t>the</w:t>
      </w:r>
      <w:r>
        <w:rPr>
          <w:szCs w:val="24"/>
        </w:rPr>
        <w:t xml:space="preserve"> </w:t>
      </w:r>
      <w:r w:rsidRPr="0015235D">
        <w:rPr>
          <w:szCs w:val="24"/>
        </w:rPr>
        <w:t>future</w:t>
      </w:r>
      <w:r>
        <w:rPr>
          <w:szCs w:val="24"/>
        </w:rPr>
        <w:t xml:space="preserve"> </w:t>
      </w:r>
      <w:r w:rsidRPr="0015235D">
        <w:rPr>
          <w:szCs w:val="24"/>
        </w:rPr>
        <w:t>work</w:t>
      </w:r>
      <w:r>
        <w:rPr>
          <w:szCs w:val="24"/>
        </w:rPr>
        <w:t xml:space="preserve"> </w:t>
      </w:r>
      <w:r w:rsidRPr="0015235D">
        <w:rPr>
          <w:szCs w:val="24"/>
        </w:rPr>
        <w:t>programmes</w:t>
      </w:r>
      <w:r>
        <w:rPr>
          <w:szCs w:val="24"/>
        </w:rPr>
        <w:t xml:space="preserve"> </w:t>
      </w:r>
      <w:r w:rsidRPr="0015235D">
        <w:rPr>
          <w:szCs w:val="24"/>
        </w:rPr>
        <w:t>for</w:t>
      </w:r>
      <w:r>
        <w:rPr>
          <w:szCs w:val="24"/>
        </w:rPr>
        <w:t xml:space="preserve"> </w:t>
      </w:r>
      <w:r w:rsidRPr="0015235D">
        <w:rPr>
          <w:szCs w:val="24"/>
        </w:rPr>
        <w:t>the</w:t>
      </w:r>
      <w:r>
        <w:rPr>
          <w:szCs w:val="24"/>
        </w:rPr>
        <w:t xml:space="preserve"> </w:t>
      </w:r>
      <w:r w:rsidRPr="0015235D">
        <w:rPr>
          <w:szCs w:val="24"/>
        </w:rPr>
        <w:t>ITU</w:t>
      </w:r>
      <w:r>
        <w:rPr>
          <w:szCs w:val="24"/>
        </w:rPr>
        <w:t xml:space="preserve"> </w:t>
      </w:r>
      <w:r w:rsidRPr="0015235D">
        <w:rPr>
          <w:szCs w:val="24"/>
        </w:rPr>
        <w:t>Radiocommunication</w:t>
      </w:r>
      <w:r>
        <w:rPr>
          <w:szCs w:val="24"/>
        </w:rPr>
        <w:t xml:space="preserve"> </w:t>
      </w:r>
      <w:r w:rsidRPr="0015235D">
        <w:rPr>
          <w:szCs w:val="24"/>
        </w:rPr>
        <w:t>Sector</w:t>
      </w:r>
      <w:r>
        <w:rPr>
          <w:szCs w:val="24"/>
        </w:rPr>
        <w:t xml:space="preserve"> </w:t>
      </w:r>
      <w:r w:rsidRPr="0015235D">
        <w:rPr>
          <w:szCs w:val="24"/>
        </w:rPr>
        <w:t>and</w:t>
      </w:r>
      <w:r>
        <w:rPr>
          <w:szCs w:val="24"/>
        </w:rPr>
        <w:t xml:space="preserve"> </w:t>
      </w:r>
      <w:r w:rsidRPr="0015235D">
        <w:rPr>
          <w:szCs w:val="24"/>
        </w:rPr>
        <w:t>approve</w:t>
      </w:r>
      <w:r>
        <w:rPr>
          <w:szCs w:val="24"/>
        </w:rPr>
        <w:t xml:space="preserve">d </w:t>
      </w:r>
      <w:r w:rsidRPr="0015235D">
        <w:rPr>
          <w:szCs w:val="24"/>
        </w:rPr>
        <w:t>radiocommunication</w:t>
      </w:r>
      <w:r>
        <w:rPr>
          <w:szCs w:val="24"/>
        </w:rPr>
        <w:t xml:space="preserve"> </w:t>
      </w:r>
      <w:r w:rsidRPr="0015235D">
        <w:rPr>
          <w:szCs w:val="24"/>
        </w:rPr>
        <w:t>standards</w:t>
      </w:r>
      <w:r>
        <w:rPr>
          <w:szCs w:val="24"/>
        </w:rPr>
        <w:t xml:space="preserve"> </w:t>
      </w:r>
      <w:r w:rsidRPr="0015235D">
        <w:rPr>
          <w:szCs w:val="24"/>
        </w:rPr>
        <w:t>(ITU-R</w:t>
      </w:r>
      <w:r>
        <w:rPr>
          <w:szCs w:val="24"/>
        </w:rPr>
        <w:t xml:space="preserve"> </w:t>
      </w:r>
      <w:r w:rsidRPr="0015235D">
        <w:rPr>
          <w:szCs w:val="24"/>
        </w:rPr>
        <w:t>Recommendations)</w:t>
      </w:r>
      <w:r>
        <w:rPr>
          <w:szCs w:val="24"/>
        </w:rPr>
        <w:t xml:space="preserve"> </w:t>
      </w:r>
      <w:r w:rsidRPr="0015235D">
        <w:rPr>
          <w:szCs w:val="24"/>
        </w:rPr>
        <w:t>and</w:t>
      </w:r>
      <w:r>
        <w:rPr>
          <w:szCs w:val="24"/>
        </w:rPr>
        <w:t xml:space="preserve"> </w:t>
      </w:r>
      <w:r w:rsidRPr="0015235D">
        <w:rPr>
          <w:szCs w:val="24"/>
        </w:rPr>
        <w:t>resolutions</w:t>
      </w:r>
      <w:r>
        <w:rPr>
          <w:szCs w:val="24"/>
        </w:rPr>
        <w:t xml:space="preserve">. </w:t>
      </w:r>
    </w:p>
    <w:p w14:paraId="30A44F8C" w14:textId="77777777" w:rsidR="007A1F48" w:rsidRDefault="007A1F48" w:rsidP="007A1F48">
      <w:pPr>
        <w:spacing w:after="120"/>
        <w:rPr>
          <w:szCs w:val="24"/>
        </w:rPr>
      </w:pPr>
      <w:r w:rsidRPr="009757BF">
        <w:rPr>
          <w:szCs w:val="24"/>
        </w:rPr>
        <w:t xml:space="preserve">The list of ITU-R Resolutions (RA-23) is available at the </w:t>
      </w:r>
      <w:r>
        <w:rPr>
          <w:szCs w:val="24"/>
        </w:rPr>
        <w:t xml:space="preserve">RA-23 </w:t>
      </w:r>
      <w:r w:rsidRPr="009757BF">
        <w:rPr>
          <w:szCs w:val="24"/>
        </w:rPr>
        <w:t xml:space="preserve">webpage (TIES restricted). </w:t>
      </w:r>
      <w:r w:rsidRPr="009757BF">
        <w:t>A</w:t>
      </w:r>
      <w:r w:rsidRPr="009757BF">
        <w:rPr>
          <w:szCs w:val="24"/>
        </w:rPr>
        <w:t xml:space="preserve"> summary of ITU-R Resolutions (RA-23) and their relevance to ITU-D work </w:t>
      </w:r>
      <w:r w:rsidRPr="00A73824">
        <w:rPr>
          <w:szCs w:val="24"/>
        </w:rPr>
        <w:t>is</w:t>
      </w:r>
      <w:r>
        <w:rPr>
          <w:szCs w:val="24"/>
        </w:rPr>
        <w:t xml:space="preserve"> available in Annex 1</w:t>
      </w:r>
      <w:r w:rsidRPr="009757BF">
        <w:rPr>
          <w:szCs w:val="24"/>
        </w:rPr>
        <w:t>.</w:t>
      </w:r>
    </w:p>
    <w:p w14:paraId="2A8C7066" w14:textId="77777777" w:rsidR="007A1F48" w:rsidRPr="003102EF" w:rsidRDefault="007A1F48" w:rsidP="007A1F48">
      <w:pPr>
        <w:pStyle w:val="Heading1"/>
        <w:numPr>
          <w:ilvl w:val="0"/>
          <w:numId w:val="46"/>
        </w:numPr>
        <w:spacing w:before="120" w:after="120"/>
        <w:ind w:left="357" w:hanging="357"/>
        <w:rPr>
          <w:sz w:val="24"/>
          <w:szCs w:val="24"/>
        </w:rPr>
      </w:pPr>
      <w:r w:rsidRPr="003102EF">
        <w:rPr>
          <w:sz w:val="24"/>
          <w:szCs w:val="24"/>
        </w:rPr>
        <w:t xml:space="preserve">World Radiocommunication Conference 2023 (WRC-23) </w:t>
      </w:r>
    </w:p>
    <w:p w14:paraId="68C0B7EB" w14:textId="77777777" w:rsidR="007A1F48" w:rsidRDefault="007A1F48" w:rsidP="007A1F48">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negotiations</w:t>
      </w:r>
      <w:r>
        <w:rPr>
          <w:rFonts w:cstheme="minorHAnsi"/>
          <w:szCs w:val="24"/>
        </w:rPr>
        <w:t xml:space="preserve"> </w:t>
      </w:r>
      <w:r w:rsidRPr="007101D2">
        <w:rPr>
          <w:rFonts w:cstheme="minorHAnsi"/>
          <w:szCs w:val="24"/>
        </w:rPr>
        <w:t>were</w:t>
      </w:r>
      <w:r>
        <w:rPr>
          <w:rFonts w:cstheme="minorHAnsi"/>
          <w:szCs w:val="24"/>
        </w:rPr>
        <w:t xml:space="preserve"> </w:t>
      </w:r>
      <w:r w:rsidRPr="007101D2">
        <w:rPr>
          <w:rFonts w:cstheme="minorHAnsi"/>
          <w:szCs w:val="24"/>
        </w:rPr>
        <w:t>led</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Chair,</w:t>
      </w:r>
      <w:r>
        <w:rPr>
          <w:rFonts w:cstheme="minorHAnsi"/>
          <w:szCs w:val="24"/>
        </w:rPr>
        <w:t xml:space="preserve"> </w:t>
      </w:r>
      <w:r w:rsidRPr="007101D2">
        <w:rPr>
          <w:rFonts w:cstheme="minorHAnsi"/>
          <w:szCs w:val="24"/>
        </w:rPr>
        <w:t>H.E.</w:t>
      </w:r>
      <w:r>
        <w:rPr>
          <w:rFonts w:cstheme="minorHAnsi"/>
          <w:szCs w:val="24"/>
        </w:rPr>
        <w:t xml:space="preserve"> </w:t>
      </w:r>
      <w:r w:rsidRPr="007101D2">
        <w:rPr>
          <w:rFonts w:cstheme="minorHAnsi"/>
          <w:szCs w:val="24"/>
        </w:rPr>
        <w:t>Eng.</w:t>
      </w:r>
      <w:r>
        <w:rPr>
          <w:rFonts w:cstheme="minorHAnsi"/>
          <w:szCs w:val="24"/>
        </w:rPr>
        <w:t xml:space="preserve"> </w:t>
      </w:r>
      <w:r w:rsidRPr="007101D2">
        <w:rPr>
          <w:rFonts w:cstheme="minorHAnsi"/>
          <w:szCs w:val="24"/>
        </w:rPr>
        <w:t>Mohammed</w:t>
      </w:r>
      <w:r>
        <w:rPr>
          <w:rFonts w:cstheme="minorHAnsi"/>
          <w:szCs w:val="24"/>
        </w:rPr>
        <w:t xml:space="preserve"> </w:t>
      </w:r>
      <w:r w:rsidRPr="007101D2">
        <w:rPr>
          <w:rFonts w:cstheme="minorHAnsi"/>
          <w:szCs w:val="24"/>
        </w:rPr>
        <w:t>Al</w:t>
      </w:r>
      <w:r>
        <w:rPr>
          <w:rFonts w:cstheme="minorHAnsi"/>
          <w:szCs w:val="24"/>
        </w:rPr>
        <w:t xml:space="preserve"> </w:t>
      </w:r>
      <w:r w:rsidRPr="007101D2">
        <w:rPr>
          <w:rFonts w:cstheme="minorHAnsi"/>
          <w:szCs w:val="24"/>
        </w:rPr>
        <w:t>Ramsi</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United</w:t>
      </w:r>
      <w:r>
        <w:rPr>
          <w:rFonts w:cstheme="minorHAnsi"/>
          <w:szCs w:val="24"/>
        </w:rPr>
        <w:t xml:space="preserve"> </w:t>
      </w:r>
      <w:r w:rsidRPr="007101D2">
        <w:rPr>
          <w:rFonts w:cstheme="minorHAnsi"/>
          <w:szCs w:val="24"/>
        </w:rPr>
        <w:t>Arab</w:t>
      </w:r>
      <w:r>
        <w:rPr>
          <w:rFonts w:cstheme="minorHAnsi"/>
          <w:szCs w:val="24"/>
        </w:rPr>
        <w:t xml:space="preserve"> </w:t>
      </w:r>
      <w:r w:rsidRPr="007101D2">
        <w:rPr>
          <w:rFonts w:cstheme="minorHAnsi"/>
          <w:szCs w:val="24"/>
        </w:rPr>
        <w:t>Emirates</w:t>
      </w:r>
      <w:r>
        <w:rPr>
          <w:rFonts w:cstheme="minorHAnsi"/>
          <w:szCs w:val="24"/>
        </w:rPr>
        <w:t xml:space="preserve"> </w:t>
      </w:r>
      <w:r w:rsidRPr="007101D2">
        <w:rPr>
          <w:rFonts w:cstheme="minorHAnsi"/>
          <w:szCs w:val="24"/>
        </w:rPr>
        <w:t>with</w:t>
      </w:r>
      <w:r>
        <w:rPr>
          <w:rFonts w:cstheme="minorHAnsi"/>
          <w:szCs w:val="24"/>
        </w:rPr>
        <w:t xml:space="preserve"> </w:t>
      </w:r>
      <w:r w:rsidRPr="007101D2">
        <w:rPr>
          <w:rFonts w:cstheme="minorHAnsi"/>
          <w:szCs w:val="24"/>
        </w:rPr>
        <w:t>assistance</w:t>
      </w:r>
      <w:r>
        <w:rPr>
          <w:rFonts w:cstheme="minorHAnsi"/>
          <w:szCs w:val="24"/>
        </w:rPr>
        <w:t xml:space="preserve"> </w:t>
      </w:r>
      <w:r w:rsidRPr="007101D2">
        <w:rPr>
          <w:rFonts w:cstheme="minorHAnsi"/>
          <w:szCs w:val="24"/>
        </w:rPr>
        <w:t>from</w:t>
      </w:r>
      <w:r>
        <w:rPr>
          <w:rFonts w:cstheme="minorHAnsi"/>
          <w:szCs w:val="24"/>
        </w:rPr>
        <w:t xml:space="preserve"> </w:t>
      </w:r>
      <w:r w:rsidRPr="007101D2">
        <w:rPr>
          <w:rFonts w:cstheme="minorHAnsi"/>
          <w:szCs w:val="24"/>
        </w:rPr>
        <w:t>six</w:t>
      </w:r>
      <w:r>
        <w:rPr>
          <w:rFonts w:cstheme="minorHAnsi"/>
          <w:szCs w:val="24"/>
        </w:rPr>
        <w:t xml:space="preserve"> </w:t>
      </w:r>
      <w:r w:rsidRPr="007101D2">
        <w:rPr>
          <w:rFonts w:cstheme="minorHAnsi"/>
          <w:szCs w:val="24"/>
        </w:rPr>
        <w:t>committee</w:t>
      </w:r>
      <w:r>
        <w:rPr>
          <w:rFonts w:cstheme="minorHAnsi"/>
          <w:szCs w:val="24"/>
        </w:rPr>
        <w:t xml:space="preserve"> </w:t>
      </w:r>
      <w:r w:rsidRPr="007101D2">
        <w:rPr>
          <w:rFonts w:cstheme="minorHAnsi"/>
          <w:szCs w:val="24"/>
        </w:rPr>
        <w:t>chairs.</w:t>
      </w:r>
      <w:r>
        <w:rPr>
          <w:rFonts w:cstheme="minorHAnsi"/>
          <w:szCs w:val="24"/>
        </w:rPr>
        <w:t xml:space="preserve"> </w:t>
      </w:r>
    </w:p>
    <w:p w14:paraId="445C9B6C" w14:textId="77777777" w:rsidR="007A1F48" w:rsidRDefault="007A1F48" w:rsidP="007A1F48">
      <w:pPr>
        <w:spacing w:after="120"/>
        <w:rPr>
          <w:rFonts w:cstheme="minorHAnsi"/>
          <w:szCs w:val="24"/>
        </w:rPr>
      </w:pPr>
      <w:r w:rsidRPr="007101D2">
        <w:rPr>
          <w:rFonts w:cstheme="minorHAnsi"/>
          <w:szCs w:val="24"/>
        </w:rPr>
        <w:t>WRC-23</w:t>
      </w:r>
      <w:r>
        <w:rPr>
          <w:rFonts w:cstheme="minorHAnsi"/>
          <w:szCs w:val="24"/>
        </w:rPr>
        <w:t xml:space="preserve"> </w:t>
      </w:r>
      <w:r w:rsidRPr="007101D2">
        <w:rPr>
          <w:rFonts w:cstheme="minorHAnsi"/>
          <w:szCs w:val="24"/>
        </w:rPr>
        <w:t>revised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w:t>
      </w:r>
      <w:r>
        <w:rPr>
          <w:rFonts w:cstheme="minorHAnsi"/>
          <w:szCs w:val="24"/>
        </w:rPr>
        <w:t xml:space="preserve"> </w:t>
      </w:r>
      <w:r w:rsidRPr="007101D2">
        <w:rPr>
          <w:rFonts w:cstheme="minorHAnsi"/>
          <w:szCs w:val="24"/>
        </w:rPr>
        <w:t>Regulations</w:t>
      </w:r>
      <w:r>
        <w:rPr>
          <w:rFonts w:cstheme="minorHAnsi"/>
          <w:szCs w:val="24"/>
        </w:rPr>
        <w:t xml:space="preserve"> </w:t>
      </w:r>
      <w:r w:rsidRPr="007101D2">
        <w:rPr>
          <w:rFonts w:cstheme="minorHAnsi"/>
          <w:szCs w:val="24"/>
        </w:rPr>
        <w:t>(RR),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international</w:t>
      </w:r>
      <w:r>
        <w:rPr>
          <w:rFonts w:cstheme="minorHAnsi"/>
          <w:szCs w:val="24"/>
        </w:rPr>
        <w:t xml:space="preserve"> </w:t>
      </w:r>
      <w:r w:rsidRPr="007101D2">
        <w:rPr>
          <w:rFonts w:cstheme="minorHAnsi"/>
          <w:szCs w:val="24"/>
        </w:rPr>
        <w:t>treaty</w:t>
      </w:r>
      <w:r>
        <w:rPr>
          <w:rFonts w:cstheme="minorHAnsi"/>
          <w:szCs w:val="24"/>
        </w:rPr>
        <w:t xml:space="preserve"> </w:t>
      </w:r>
      <w:r w:rsidRPr="007101D2">
        <w:rPr>
          <w:rFonts w:cstheme="minorHAnsi"/>
          <w:szCs w:val="24"/>
        </w:rPr>
        <w:t>governing</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radio-frequency</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geostationary-satellite</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non-geostationary-satellite</w:t>
      </w:r>
      <w:r>
        <w:rPr>
          <w:rFonts w:cstheme="minorHAnsi"/>
          <w:szCs w:val="24"/>
        </w:rPr>
        <w:t xml:space="preserve"> </w:t>
      </w:r>
      <w:r w:rsidRPr="007101D2">
        <w:rPr>
          <w:rFonts w:cstheme="minorHAnsi"/>
          <w:szCs w:val="24"/>
        </w:rPr>
        <w:t>orbits.</w:t>
      </w:r>
    </w:p>
    <w:p w14:paraId="2FC34B0A" w14:textId="77777777" w:rsidR="007A1F48" w:rsidRDefault="007A1F48" w:rsidP="007A1F48">
      <w:pPr>
        <w:spacing w:after="120"/>
        <w:rPr>
          <w:rFonts w:cstheme="minorHAnsi"/>
          <w:szCs w:val="24"/>
        </w:rPr>
      </w:pPr>
      <w:r w:rsidRPr="007101D2">
        <w:rPr>
          <w:rFonts w:cstheme="minorHAnsi"/>
          <w:szCs w:val="24"/>
        </w:rPr>
        <w:t>As</w:t>
      </w:r>
      <w:r>
        <w:rPr>
          <w:rFonts w:cstheme="minorHAnsi"/>
          <w:szCs w:val="24"/>
        </w:rPr>
        <w:t xml:space="preserve"> </w:t>
      </w:r>
      <w:r w:rsidRPr="007101D2">
        <w:rPr>
          <w:rFonts w:cstheme="minorHAnsi"/>
          <w:szCs w:val="24"/>
        </w:rPr>
        <w:t>per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agenda</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conference,</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addressed</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matter</w:t>
      </w:r>
      <w:r>
        <w:rPr>
          <w:rFonts w:cstheme="minorHAnsi"/>
          <w:szCs w:val="24"/>
        </w:rPr>
        <w:t xml:space="preserve">s </w:t>
      </w:r>
      <w:r w:rsidRPr="007101D2">
        <w:rPr>
          <w:rFonts w:cstheme="minorHAnsi"/>
          <w:szCs w:val="24"/>
        </w:rPr>
        <w:t>of</w:t>
      </w:r>
      <w:r>
        <w:rPr>
          <w:rFonts w:cstheme="minorHAnsi"/>
          <w:szCs w:val="24"/>
        </w:rPr>
        <w:t xml:space="preserve"> </w:t>
      </w:r>
      <w:r w:rsidRPr="007101D2">
        <w:rPr>
          <w:rFonts w:cstheme="minorHAnsi"/>
          <w:szCs w:val="24"/>
        </w:rPr>
        <w:t>worldwide</w:t>
      </w:r>
      <w:r>
        <w:rPr>
          <w:rFonts w:cstheme="minorHAnsi"/>
          <w:szCs w:val="24"/>
        </w:rPr>
        <w:t xml:space="preserve"> </w:t>
      </w:r>
      <w:r w:rsidRPr="007101D2">
        <w:rPr>
          <w:rFonts w:cstheme="minorHAnsi"/>
          <w:szCs w:val="24"/>
        </w:rPr>
        <w:t>character</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efficient</w:t>
      </w:r>
      <w:r>
        <w:rPr>
          <w:rFonts w:cstheme="minorHAnsi"/>
          <w:szCs w:val="24"/>
        </w:rPr>
        <w:t xml:space="preserve"> </w:t>
      </w:r>
      <w:r w:rsidRPr="007101D2">
        <w:rPr>
          <w:rFonts w:cstheme="minorHAnsi"/>
          <w:szCs w:val="24"/>
        </w:rPr>
        <w:t>use</w:t>
      </w:r>
      <w:r>
        <w:rPr>
          <w:rFonts w:cstheme="minorHAnsi"/>
          <w:szCs w:val="24"/>
        </w:rPr>
        <w:t xml:space="preserve"> </w:t>
      </w:r>
      <w:r w:rsidRPr="007101D2">
        <w:rPr>
          <w:rFonts w:cstheme="minorHAnsi"/>
          <w:szCs w:val="24"/>
        </w:rPr>
        <w:t>of</w:t>
      </w:r>
      <w:r>
        <w:rPr>
          <w:rFonts w:cstheme="minorHAnsi"/>
          <w:szCs w:val="24"/>
        </w:rPr>
        <w:t xml:space="preserve"> </w:t>
      </w:r>
      <w:r w:rsidRPr="007101D2">
        <w:rPr>
          <w:rFonts w:cstheme="minorHAnsi"/>
          <w:szCs w:val="24"/>
        </w:rPr>
        <w:t>spectrum</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orbital</w:t>
      </w:r>
      <w:r>
        <w:rPr>
          <w:rFonts w:cstheme="minorHAnsi"/>
          <w:szCs w:val="24"/>
        </w:rPr>
        <w:t xml:space="preserve"> </w:t>
      </w:r>
      <w:r w:rsidRPr="007101D2">
        <w:rPr>
          <w:rFonts w:cstheme="minorHAnsi"/>
          <w:szCs w:val="24"/>
        </w:rPr>
        <w:t>resources</w:t>
      </w:r>
      <w:r>
        <w:rPr>
          <w:rFonts w:cstheme="minorHAnsi"/>
          <w:szCs w:val="24"/>
        </w:rPr>
        <w:t xml:space="preserve"> </w:t>
      </w:r>
      <w:proofErr w:type="gramStart"/>
      <w:r w:rsidRPr="007101D2">
        <w:rPr>
          <w:rFonts w:cstheme="minorHAnsi"/>
          <w:szCs w:val="24"/>
        </w:rPr>
        <w:t>and</w:t>
      </w:r>
      <w:r>
        <w:rPr>
          <w:rFonts w:cstheme="minorHAnsi"/>
          <w:szCs w:val="24"/>
        </w:rPr>
        <w:t xml:space="preserve"> </w:t>
      </w:r>
      <w:r w:rsidRPr="007101D2">
        <w:rPr>
          <w:rFonts w:cstheme="minorHAnsi"/>
          <w:szCs w:val="24"/>
        </w:rPr>
        <w:t>also</w:t>
      </w:r>
      <w:proofErr w:type="gramEnd"/>
      <w:r>
        <w:rPr>
          <w:rFonts w:cstheme="minorHAnsi"/>
          <w:szCs w:val="24"/>
        </w:rPr>
        <w:t xml:space="preserve"> </w:t>
      </w:r>
      <w:r w:rsidRPr="007101D2">
        <w:rPr>
          <w:rFonts w:cstheme="minorHAnsi"/>
          <w:szCs w:val="24"/>
        </w:rPr>
        <w:t>determined</w:t>
      </w:r>
      <w:r>
        <w:rPr>
          <w:rFonts w:cstheme="minorHAnsi"/>
          <w:szCs w:val="24"/>
        </w:rPr>
        <w:t xml:space="preserve"> </w:t>
      </w:r>
      <w:r w:rsidRPr="007101D2">
        <w:rPr>
          <w:rFonts w:cstheme="minorHAnsi"/>
          <w:szCs w:val="24"/>
        </w:rPr>
        <w:t>Questions</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by</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Assembly</w:t>
      </w:r>
      <w:r>
        <w:rPr>
          <w:rFonts w:cstheme="minorHAnsi"/>
          <w:szCs w:val="24"/>
        </w:rPr>
        <w:t xml:space="preserve"> </w:t>
      </w:r>
      <w:r w:rsidRPr="007101D2">
        <w:rPr>
          <w:rFonts w:cstheme="minorHAnsi"/>
          <w:szCs w:val="24"/>
        </w:rPr>
        <w:t>and</w:t>
      </w:r>
      <w:r>
        <w:rPr>
          <w:rFonts w:cstheme="minorHAnsi"/>
          <w:szCs w:val="24"/>
        </w:rPr>
        <w:t xml:space="preserve"> </w:t>
      </w:r>
      <w:r w:rsidRPr="007101D2">
        <w:rPr>
          <w:rFonts w:cstheme="minorHAnsi"/>
          <w:szCs w:val="24"/>
        </w:rPr>
        <w:t>its</w:t>
      </w:r>
      <w:r>
        <w:rPr>
          <w:rFonts w:cstheme="minorHAnsi"/>
          <w:szCs w:val="24"/>
        </w:rPr>
        <w:t xml:space="preserve"> </w:t>
      </w:r>
      <w:r w:rsidRPr="007101D2">
        <w:rPr>
          <w:rFonts w:cstheme="minorHAnsi"/>
          <w:szCs w:val="24"/>
        </w:rPr>
        <w:t>Study</w:t>
      </w:r>
      <w:r>
        <w:rPr>
          <w:rFonts w:cstheme="minorHAnsi"/>
          <w:szCs w:val="24"/>
        </w:rPr>
        <w:t xml:space="preserve"> </w:t>
      </w:r>
      <w:r w:rsidRPr="007101D2">
        <w:rPr>
          <w:rFonts w:cstheme="minorHAnsi"/>
          <w:szCs w:val="24"/>
        </w:rPr>
        <w:t>Groups</w:t>
      </w:r>
      <w:r>
        <w:rPr>
          <w:rFonts w:cstheme="minorHAnsi"/>
          <w:szCs w:val="24"/>
        </w:rPr>
        <w:t xml:space="preserve"> </w:t>
      </w:r>
      <w:r w:rsidRPr="007101D2">
        <w:rPr>
          <w:rFonts w:cstheme="minorHAnsi"/>
          <w:szCs w:val="24"/>
        </w:rPr>
        <w:t>in</w:t>
      </w:r>
      <w:r>
        <w:rPr>
          <w:rFonts w:cstheme="minorHAnsi"/>
          <w:szCs w:val="24"/>
        </w:rPr>
        <w:t xml:space="preserve"> </w:t>
      </w:r>
      <w:r w:rsidRPr="007101D2">
        <w:rPr>
          <w:rFonts w:cstheme="minorHAnsi"/>
          <w:szCs w:val="24"/>
        </w:rPr>
        <w:t>preparation</w:t>
      </w:r>
      <w:r>
        <w:rPr>
          <w:rFonts w:cstheme="minorHAnsi"/>
          <w:szCs w:val="24"/>
        </w:rPr>
        <w:t xml:space="preserve"> </w:t>
      </w:r>
      <w:r w:rsidRPr="007101D2">
        <w:rPr>
          <w:rFonts w:cstheme="minorHAnsi"/>
          <w:szCs w:val="24"/>
        </w:rPr>
        <w:t>for</w:t>
      </w:r>
      <w:r>
        <w:rPr>
          <w:rFonts w:cstheme="minorHAnsi"/>
          <w:szCs w:val="24"/>
        </w:rPr>
        <w:t xml:space="preserve"> </w:t>
      </w:r>
      <w:r w:rsidRPr="007101D2">
        <w:rPr>
          <w:rFonts w:cstheme="minorHAnsi"/>
          <w:szCs w:val="24"/>
        </w:rPr>
        <w:t>future</w:t>
      </w:r>
      <w:r>
        <w:rPr>
          <w:rFonts w:cstheme="minorHAnsi"/>
          <w:szCs w:val="24"/>
        </w:rPr>
        <w:t xml:space="preserve"> </w:t>
      </w:r>
      <w:r w:rsidRPr="007101D2">
        <w:rPr>
          <w:rFonts w:cstheme="minorHAnsi"/>
          <w:szCs w:val="24"/>
        </w:rPr>
        <w:t>Radiocommunication</w:t>
      </w:r>
      <w:r>
        <w:rPr>
          <w:rFonts w:cstheme="minorHAnsi"/>
          <w:szCs w:val="24"/>
        </w:rPr>
        <w:t xml:space="preserve"> </w:t>
      </w:r>
      <w:r w:rsidRPr="007101D2">
        <w:rPr>
          <w:rFonts w:cstheme="minorHAnsi"/>
          <w:szCs w:val="24"/>
        </w:rPr>
        <w:t>Conferences.</w:t>
      </w:r>
      <w:r>
        <w:rPr>
          <w:rFonts w:cstheme="minorHAnsi"/>
          <w:szCs w:val="24"/>
        </w:rPr>
        <w:t xml:space="preserve"> </w:t>
      </w:r>
    </w:p>
    <w:p w14:paraId="72227913" w14:textId="77777777" w:rsidR="007A1F48" w:rsidRPr="007101D2" w:rsidRDefault="007A1F48" w:rsidP="007A1F48">
      <w:pPr>
        <w:spacing w:after="120"/>
        <w:rPr>
          <w:rFonts w:cstheme="minorHAnsi"/>
          <w:szCs w:val="24"/>
        </w:rPr>
      </w:pPr>
      <w:r>
        <w:rPr>
          <w:rFonts w:cstheme="minorHAnsi"/>
          <w:szCs w:val="24"/>
        </w:rPr>
        <w:t xml:space="preserve">The </w:t>
      </w:r>
      <w:hyperlink r:id="rId18" w:history="1">
        <w:r w:rsidRPr="00BD533B">
          <w:rPr>
            <w:rStyle w:val="Hyperlink"/>
            <w:rFonts w:cstheme="minorHAnsi"/>
            <w:szCs w:val="24"/>
          </w:rPr>
          <w:t>Radio Regulations 2024 Edition</w:t>
        </w:r>
      </w:hyperlink>
      <w:r>
        <w:rPr>
          <w:rStyle w:val="Hyperlink"/>
          <w:rFonts w:cstheme="minorHAnsi"/>
          <w:szCs w:val="24"/>
        </w:rPr>
        <w:t xml:space="preserve"> </w:t>
      </w:r>
      <w:r>
        <w:rPr>
          <w:rFonts w:cstheme="minorHAnsi"/>
          <w:szCs w:val="24"/>
        </w:rPr>
        <w:t xml:space="preserve">have been </w:t>
      </w:r>
      <w:r w:rsidRPr="00101CA7">
        <w:rPr>
          <w:rFonts w:cstheme="minorHAnsi"/>
          <w:szCs w:val="24"/>
        </w:rPr>
        <w:t xml:space="preserve">published in 6 </w:t>
      </w:r>
      <w:r>
        <w:rPr>
          <w:rFonts w:cstheme="minorHAnsi"/>
          <w:szCs w:val="24"/>
        </w:rPr>
        <w:t>UN L</w:t>
      </w:r>
      <w:r w:rsidRPr="00101CA7">
        <w:rPr>
          <w:rFonts w:cstheme="minorHAnsi"/>
          <w:szCs w:val="24"/>
        </w:rPr>
        <w:t xml:space="preserve">anguages </w:t>
      </w:r>
      <w:r>
        <w:rPr>
          <w:rFonts w:cstheme="minorHAnsi"/>
          <w:szCs w:val="24"/>
        </w:rPr>
        <w:t>(</w:t>
      </w:r>
      <w:r w:rsidRPr="00101CA7">
        <w:rPr>
          <w:rFonts w:cstheme="minorHAnsi"/>
          <w:szCs w:val="24"/>
        </w:rPr>
        <w:t>free of charge</w:t>
      </w:r>
      <w:r>
        <w:rPr>
          <w:rFonts w:cstheme="minorHAnsi"/>
          <w:szCs w:val="24"/>
        </w:rPr>
        <w:t>)</w:t>
      </w:r>
      <w:r w:rsidRPr="00101CA7">
        <w:rPr>
          <w:rFonts w:cstheme="minorHAnsi"/>
          <w:szCs w:val="24"/>
        </w:rPr>
        <w:t xml:space="preserve">. </w:t>
      </w:r>
      <w:r w:rsidRPr="007101D2">
        <w:rPr>
          <w:rFonts w:cstheme="minorHAnsi"/>
          <w:szCs w:val="24"/>
        </w:rPr>
        <w:t>Major</w:t>
      </w:r>
      <w:r>
        <w:rPr>
          <w:rFonts w:cstheme="minorHAnsi"/>
          <w:szCs w:val="24"/>
        </w:rPr>
        <w:t xml:space="preserve"> </w:t>
      </w:r>
      <w:r w:rsidRPr="007101D2">
        <w:rPr>
          <w:rFonts w:cstheme="minorHAnsi"/>
          <w:szCs w:val="24"/>
        </w:rPr>
        <w:t>WRC-23</w:t>
      </w:r>
      <w:r>
        <w:rPr>
          <w:rFonts w:cstheme="minorHAnsi"/>
          <w:szCs w:val="24"/>
        </w:rPr>
        <w:t xml:space="preserve"> </w:t>
      </w:r>
      <w:r w:rsidRPr="007101D2">
        <w:rPr>
          <w:rFonts w:cstheme="minorHAnsi"/>
          <w:szCs w:val="24"/>
        </w:rPr>
        <w:t>outcomes</w:t>
      </w:r>
      <w:r>
        <w:rPr>
          <w:rFonts w:cstheme="minorHAnsi"/>
          <w:szCs w:val="24"/>
        </w:rPr>
        <w:t xml:space="preserve"> </w:t>
      </w:r>
      <w:r w:rsidRPr="007101D2">
        <w:rPr>
          <w:rFonts w:cstheme="minorHAnsi"/>
          <w:szCs w:val="24"/>
        </w:rPr>
        <w:t>include</w:t>
      </w:r>
      <w:r>
        <w:rPr>
          <w:rFonts w:cstheme="minorHAnsi"/>
          <w:szCs w:val="24"/>
        </w:rPr>
        <w:t xml:space="preserve"> </w:t>
      </w:r>
      <w:r w:rsidRPr="007101D2">
        <w:rPr>
          <w:rFonts w:cstheme="minorHAnsi"/>
          <w:szCs w:val="24"/>
        </w:rPr>
        <w:t>the</w:t>
      </w:r>
      <w:r>
        <w:rPr>
          <w:rFonts w:cstheme="minorHAnsi"/>
          <w:szCs w:val="24"/>
        </w:rPr>
        <w:t xml:space="preserve"> </w:t>
      </w:r>
      <w:r w:rsidRPr="007101D2">
        <w:rPr>
          <w:rFonts w:cstheme="minorHAnsi"/>
          <w:szCs w:val="24"/>
        </w:rPr>
        <w:t>following:</w:t>
      </w:r>
    </w:p>
    <w:p w14:paraId="2F8BC1D1" w14:textId="77777777" w:rsidR="007A1F48" w:rsidRDefault="007A1F48" w:rsidP="007A1F48">
      <w:pPr>
        <w:spacing w:after="120"/>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t xml:space="preserve"> </w:t>
      </w:r>
      <w:r w:rsidRPr="00765C00">
        <w:t>resolutions.</w:t>
      </w:r>
      <w:r>
        <w:t xml:space="preserve"> </w:t>
      </w:r>
    </w:p>
    <w:p w14:paraId="1F9748C4" w14:textId="77777777" w:rsidR="007A1F48" w:rsidRDefault="007A1F48" w:rsidP="007A1F48">
      <w:pPr>
        <w:spacing w:after="120"/>
      </w:pPr>
      <w:r>
        <w:t>Table in Annex 2 summarizes important resolutions of WRC-23 relevant to work of BDT and/or ITU-D.</w:t>
      </w:r>
    </w:p>
    <w:p w14:paraId="09CF58E1" w14:textId="77777777" w:rsidR="007A1F48" w:rsidRPr="003102EF" w:rsidRDefault="007A1F48" w:rsidP="007A1F48">
      <w:pPr>
        <w:pStyle w:val="Heading1"/>
        <w:numPr>
          <w:ilvl w:val="0"/>
          <w:numId w:val="46"/>
        </w:numPr>
        <w:spacing w:before="120" w:after="120"/>
        <w:ind w:left="357" w:hanging="357"/>
        <w:rPr>
          <w:sz w:val="24"/>
          <w:szCs w:val="24"/>
        </w:rPr>
      </w:pPr>
      <w:r w:rsidRPr="003102EF">
        <w:rPr>
          <w:sz w:val="24"/>
          <w:szCs w:val="24"/>
        </w:rPr>
        <w:t>Conference</w:t>
      </w:r>
      <w:r>
        <w:rPr>
          <w:sz w:val="24"/>
          <w:szCs w:val="24"/>
        </w:rPr>
        <w:t xml:space="preserve"> </w:t>
      </w:r>
      <w:r w:rsidRPr="0015235D">
        <w:rPr>
          <w:sz w:val="24"/>
          <w:szCs w:val="24"/>
        </w:rPr>
        <w:t>Preparatory</w:t>
      </w:r>
      <w:r>
        <w:rPr>
          <w:sz w:val="24"/>
          <w:szCs w:val="24"/>
        </w:rPr>
        <w:t xml:space="preserve"> </w:t>
      </w:r>
      <w:r w:rsidRPr="0015235D">
        <w:rPr>
          <w:sz w:val="24"/>
          <w:szCs w:val="24"/>
        </w:rPr>
        <w:t>Meeting</w:t>
      </w:r>
      <w:r>
        <w:rPr>
          <w:sz w:val="24"/>
          <w:szCs w:val="24"/>
        </w:rPr>
        <w:t xml:space="preserve"> </w:t>
      </w:r>
      <w:r w:rsidRPr="0015235D">
        <w:rPr>
          <w:sz w:val="24"/>
          <w:szCs w:val="24"/>
        </w:rPr>
        <w:t>(CPM27-1)</w:t>
      </w:r>
      <w:r>
        <w:rPr>
          <w:sz w:val="24"/>
          <w:szCs w:val="24"/>
        </w:rPr>
        <w:t xml:space="preserve"> </w:t>
      </w:r>
      <w:r w:rsidRPr="0015235D">
        <w:rPr>
          <w:sz w:val="24"/>
          <w:szCs w:val="24"/>
        </w:rPr>
        <w:t>for</w:t>
      </w:r>
      <w:r>
        <w:rPr>
          <w:sz w:val="24"/>
          <w:szCs w:val="24"/>
        </w:rPr>
        <w:t xml:space="preserve"> </w:t>
      </w:r>
      <w:r w:rsidRPr="0015235D">
        <w:rPr>
          <w:sz w:val="24"/>
          <w:szCs w:val="24"/>
        </w:rPr>
        <w:t>the</w:t>
      </w:r>
      <w:r>
        <w:rPr>
          <w:sz w:val="24"/>
          <w:szCs w:val="24"/>
        </w:rPr>
        <w:t xml:space="preserve"> </w:t>
      </w:r>
      <w:r w:rsidRPr="0015235D">
        <w:rPr>
          <w:sz w:val="24"/>
          <w:szCs w:val="24"/>
        </w:rPr>
        <w:t>World</w:t>
      </w:r>
      <w:r>
        <w:rPr>
          <w:sz w:val="24"/>
          <w:szCs w:val="24"/>
        </w:rPr>
        <w:t xml:space="preserve"> </w:t>
      </w:r>
      <w:r w:rsidRPr="0015235D">
        <w:rPr>
          <w:sz w:val="24"/>
          <w:szCs w:val="24"/>
        </w:rPr>
        <w:t>Radiocommunication</w:t>
      </w:r>
      <w:r>
        <w:rPr>
          <w:sz w:val="24"/>
          <w:szCs w:val="24"/>
        </w:rPr>
        <w:t xml:space="preserve"> </w:t>
      </w:r>
      <w:r w:rsidRPr="0015235D">
        <w:rPr>
          <w:sz w:val="24"/>
          <w:szCs w:val="24"/>
        </w:rPr>
        <w:t>Conference</w:t>
      </w:r>
      <w:r>
        <w:rPr>
          <w:sz w:val="24"/>
          <w:szCs w:val="24"/>
        </w:rPr>
        <w:t xml:space="preserve"> </w:t>
      </w:r>
      <w:r w:rsidRPr="0015235D">
        <w:rPr>
          <w:sz w:val="24"/>
          <w:szCs w:val="24"/>
        </w:rPr>
        <w:t>2027</w:t>
      </w:r>
      <w:r>
        <w:rPr>
          <w:sz w:val="24"/>
          <w:szCs w:val="24"/>
        </w:rPr>
        <w:t xml:space="preserve"> </w:t>
      </w:r>
      <w:r w:rsidRPr="0015235D">
        <w:rPr>
          <w:sz w:val="24"/>
          <w:szCs w:val="24"/>
        </w:rPr>
        <w:t>(WRC-27)</w:t>
      </w:r>
    </w:p>
    <w:p w14:paraId="007D478D" w14:textId="795C74CE" w:rsidR="00ED2D03" w:rsidRDefault="007A1F48" w:rsidP="00E003A4">
      <w:pPr>
        <w:spacing w:after="120"/>
        <w:rPr>
          <w:szCs w:val="24"/>
        </w:rPr>
      </w:pPr>
      <w:r>
        <w:t xml:space="preserve">The first meeting of the </w:t>
      </w:r>
      <w:hyperlink r:id="rId19">
        <w:r>
          <w:t>Conference Preparatory Meeting for WRC-27 (CPM-27-1)</w:t>
        </w:r>
      </w:hyperlink>
      <w:r>
        <w:t xml:space="preserve"> discussed the Draft structure/table of contents of the CPM report to WRC-27 and a preliminary draft allocation of ITU-R preparatory work for WRC-27 and WRC-31. The details are available at </w:t>
      </w:r>
      <w:hyperlink r:id="rId20">
        <w:r w:rsidRPr="0C05AEFB">
          <w:rPr>
            <w:rStyle w:val="Hyperlink"/>
          </w:rPr>
          <w:t>https://www.itu.int/md/R23-CPM27.1-C-0005/en</w:t>
        </w:r>
      </w:hyperlink>
      <w:r>
        <w:t xml:space="preserve"> (TIES restricted).</w:t>
      </w:r>
      <w:r w:rsidR="00ED2D03">
        <w:rPr>
          <w:szCs w:val="24"/>
        </w:rPr>
        <w:br w:type="page"/>
      </w:r>
    </w:p>
    <w:p w14:paraId="65A26CA2" w14:textId="77777777" w:rsidR="00ED2D03" w:rsidRDefault="00ED2D03" w:rsidP="00FF220A">
      <w:pPr>
        <w:rPr>
          <w:szCs w:val="24"/>
        </w:rPr>
        <w:sectPr w:rsidR="00ED2D03" w:rsidSect="0081159E">
          <w:headerReference w:type="even" r:id="rId21"/>
          <w:headerReference w:type="default" r:id="rId22"/>
          <w:footerReference w:type="even" r:id="rId23"/>
          <w:footerReference w:type="default" r:id="rId24"/>
          <w:headerReference w:type="first" r:id="rId25"/>
          <w:footerReference w:type="first" r:id="rId26"/>
          <w:pgSz w:w="11907" w:h="16840" w:code="9"/>
          <w:pgMar w:top="1418" w:right="1134" w:bottom="1134" w:left="1134" w:header="720" w:footer="720" w:gutter="0"/>
          <w:cols w:space="720"/>
          <w:titlePg/>
          <w:docGrid w:linePitch="326"/>
        </w:sectPr>
      </w:pPr>
    </w:p>
    <w:p w14:paraId="5D91DB88" w14:textId="77777777" w:rsidR="00FE075A" w:rsidRPr="004C33DD" w:rsidRDefault="00FE075A" w:rsidP="00FE075A">
      <w:pPr>
        <w:keepNext/>
        <w:keepLines/>
        <w:spacing w:after="120"/>
        <w:ind w:left="794" w:hanging="794"/>
        <w:outlineLvl w:val="0"/>
        <w:rPr>
          <w:rFonts w:ascii="Calibri" w:hAnsi="Calibri" w:cs="Calibri"/>
          <w:b/>
          <w:szCs w:val="24"/>
        </w:rPr>
      </w:pPr>
      <w:r w:rsidRPr="004C33DD">
        <w:rPr>
          <w:rFonts w:ascii="Calibri" w:hAnsi="Calibri" w:cs="Calibri"/>
          <w:b/>
          <w:szCs w:val="24"/>
        </w:rPr>
        <w:lastRenderedPageBreak/>
        <w:t xml:space="preserve">Annex </w:t>
      </w:r>
      <w:r>
        <w:rPr>
          <w:rFonts w:ascii="Calibri" w:hAnsi="Calibri" w:cs="Calibri"/>
          <w:b/>
          <w:szCs w:val="24"/>
        </w:rPr>
        <w:t>1</w:t>
      </w:r>
    </w:p>
    <w:p w14:paraId="3F9FE153" w14:textId="77777777" w:rsidR="00FE075A" w:rsidRPr="004C33DD" w:rsidRDefault="00FE075A" w:rsidP="00FE075A">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Pr>
          <w:rFonts w:ascii="Calibri" w:hAnsi="Calibri" w:cs="Calibri"/>
          <w:b/>
          <w:szCs w:val="24"/>
        </w:rPr>
        <w:t>of</w:t>
      </w:r>
      <w:r w:rsidRPr="004C33DD">
        <w:rPr>
          <w:rFonts w:ascii="Calibri" w:hAnsi="Calibri" w:cs="Calibri"/>
          <w:b/>
          <w:szCs w:val="24"/>
        </w:rPr>
        <w:t xml:space="preserve"> Radio Assembly 2023 (RA-23) and their relevance to ITU-D work </w:t>
      </w:r>
    </w:p>
    <w:p w14:paraId="7393FCB9" w14:textId="77777777" w:rsidR="00FE075A" w:rsidRPr="004C33DD" w:rsidRDefault="00FE075A" w:rsidP="00FE075A">
      <w:pPr>
        <w:spacing w:after="120"/>
        <w:rPr>
          <w:rFonts w:ascii="Calibri" w:hAnsi="Calibri" w:cs="Calibri"/>
        </w:rPr>
      </w:pPr>
      <w:r w:rsidRPr="0C05AEFB">
        <w:rPr>
          <w:rFonts w:ascii="Calibri" w:hAnsi="Calibri" w:cs="Calibri"/>
        </w:rPr>
        <w:t xml:space="preserve">The Table below provides summary of ITU-R Resolutions </w:t>
      </w:r>
      <w:r>
        <w:rPr>
          <w:rFonts w:ascii="Calibri" w:hAnsi="Calibri" w:cs="Calibri"/>
        </w:rPr>
        <w:t>of</w:t>
      </w:r>
      <w:r w:rsidRPr="0C05AEFB">
        <w:rPr>
          <w:rFonts w:ascii="Calibri" w:hAnsi="Calibri" w:cs="Calibri"/>
        </w:rPr>
        <w:t xml:space="preserve"> RA-23 and their relevance to ITU-D work. The mandate given to BDT under relevant RA-23 resolutions will be included in the implementation of the Kigali Action Plan and relevant resolutions of WTDC-2</w:t>
      </w:r>
      <w:r>
        <w:rPr>
          <w:rFonts w:ascii="Calibri" w:hAnsi="Calibri" w:cs="Calibri"/>
        </w:rPr>
        <w:t>5</w:t>
      </w:r>
      <w:r w:rsidRPr="0C05AEFB">
        <w:rPr>
          <w:rFonts w:ascii="Calibri" w:hAnsi="Calibri" w:cs="Calibri"/>
        </w:rPr>
        <w:t>.</w:t>
      </w:r>
    </w:p>
    <w:tbl>
      <w:tblPr>
        <w:tblStyle w:val="GridTable5Dark-Accent11"/>
        <w:tblW w:w="5274" w:type="pct"/>
        <w:tblLook w:val="04A0" w:firstRow="1" w:lastRow="0" w:firstColumn="1" w:lastColumn="0" w:noHBand="0" w:noVBand="1"/>
      </w:tblPr>
      <w:tblGrid>
        <w:gridCol w:w="1443"/>
        <w:gridCol w:w="5485"/>
        <w:gridCol w:w="1241"/>
        <w:gridCol w:w="6891"/>
      </w:tblGrid>
      <w:tr w:rsidR="00FE075A" w:rsidRPr="00D30ACB" w14:paraId="15BF782D" w14:textId="77777777" w:rsidTr="7ADFB2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0F5341AB"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821" w:type="pct"/>
          </w:tcPr>
          <w:p w14:paraId="080AE55D"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412" w:type="pct"/>
          </w:tcPr>
          <w:p w14:paraId="250DC2A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RA-23</w:t>
            </w:r>
          </w:p>
        </w:tc>
        <w:tc>
          <w:tcPr>
            <w:tcW w:w="2288" w:type="pct"/>
          </w:tcPr>
          <w:p w14:paraId="1BF15E6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E075A" w:rsidRPr="00D30ACB" w14:paraId="1DAF86FA"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D72194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7" w:history="1">
              <w:r w:rsidRPr="00D30ACB">
                <w:rPr>
                  <w:rStyle w:val="Hyperlink"/>
                  <w:rFonts w:cstheme="minorHAnsi"/>
                  <w:b w:val="0"/>
                  <w:bCs w:val="0"/>
                  <w:sz w:val="20"/>
                </w:rPr>
                <w:t>Res.1-9 (2023)</w:t>
              </w:r>
            </w:hyperlink>
          </w:p>
        </w:tc>
        <w:tc>
          <w:tcPr>
            <w:tcW w:w="1821" w:type="pct"/>
          </w:tcPr>
          <w:p w14:paraId="4D3FDAA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3" w:name="_Toc180535446"/>
            <w:bookmarkStart w:id="14" w:name="_Toc180537866"/>
            <w:r w:rsidRPr="00D30ACB">
              <w:rPr>
                <w:rFonts w:cstheme="minorHAnsi"/>
                <w:b/>
                <w:bCs/>
                <w:sz w:val="20"/>
                <w:lang w:val="en-US"/>
              </w:rPr>
              <w:t>Working methods for the Radiocommunication Assembly, the Radiocommunication Study Groups, the Radiocommunication Advisory Group</w:t>
            </w:r>
            <w:bookmarkEnd w:id="13"/>
            <w:bookmarkEnd w:id="14"/>
            <w:r w:rsidRPr="00D30ACB">
              <w:rPr>
                <w:rFonts w:cstheme="minorHAnsi"/>
                <w:b/>
                <w:bCs/>
                <w:sz w:val="20"/>
                <w:lang w:val="en-US"/>
              </w:rPr>
              <w:t xml:space="preserve"> and other groups of the Radiocommunication Sector</w:t>
            </w:r>
          </w:p>
        </w:tc>
        <w:tc>
          <w:tcPr>
            <w:tcW w:w="412" w:type="pct"/>
          </w:tcPr>
          <w:p w14:paraId="25B5400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565CE7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3185C8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1D9D81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8" w:history="1">
              <w:r w:rsidRPr="00D30ACB">
                <w:rPr>
                  <w:rStyle w:val="Hyperlink"/>
                  <w:rFonts w:cstheme="minorHAnsi"/>
                  <w:b w:val="0"/>
                  <w:bCs w:val="0"/>
                  <w:sz w:val="20"/>
                </w:rPr>
                <w:t>Res.2-9 (2023)</w:t>
              </w:r>
            </w:hyperlink>
          </w:p>
        </w:tc>
        <w:tc>
          <w:tcPr>
            <w:tcW w:w="1821" w:type="pct"/>
          </w:tcPr>
          <w:p w14:paraId="4D430DA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5" w:name="_Toc180535448"/>
            <w:bookmarkStart w:id="16" w:name="_Toc180537868"/>
            <w:r w:rsidRPr="00D30ACB">
              <w:rPr>
                <w:rFonts w:cstheme="minorHAnsi"/>
                <w:b/>
                <w:bCs/>
                <w:sz w:val="20"/>
                <w:lang w:val="en-US"/>
              </w:rPr>
              <w:t>Conference Preparatory Meeting</w:t>
            </w:r>
            <w:bookmarkEnd w:id="15"/>
            <w:bookmarkEnd w:id="16"/>
          </w:p>
        </w:tc>
        <w:tc>
          <w:tcPr>
            <w:tcW w:w="412" w:type="pct"/>
          </w:tcPr>
          <w:p w14:paraId="20703EF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2BC4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6DAA5948"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A28AD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sidRPr="00D30ACB">
                <w:rPr>
                  <w:rStyle w:val="Hyperlink"/>
                  <w:rFonts w:cstheme="minorHAnsi"/>
                  <w:b w:val="0"/>
                  <w:bCs w:val="0"/>
                  <w:sz w:val="20"/>
                </w:rPr>
                <w:t>Res.4-9 (2023)</w:t>
              </w:r>
            </w:hyperlink>
          </w:p>
        </w:tc>
        <w:tc>
          <w:tcPr>
            <w:tcW w:w="1821" w:type="pct"/>
          </w:tcPr>
          <w:p w14:paraId="4EB57E9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17" w:name="_Toc180535450"/>
            <w:bookmarkStart w:id="18" w:name="_Toc180537870"/>
            <w:r w:rsidRPr="00D30ACB">
              <w:rPr>
                <w:rFonts w:cstheme="minorHAnsi"/>
                <w:b/>
                <w:bCs/>
                <w:sz w:val="20"/>
                <w:lang w:val="en-US"/>
              </w:rPr>
              <w:t>Structure of Radiocommunication Study Groups</w:t>
            </w:r>
            <w:bookmarkEnd w:id="17"/>
            <w:bookmarkEnd w:id="18"/>
          </w:p>
        </w:tc>
        <w:tc>
          <w:tcPr>
            <w:tcW w:w="412" w:type="pct"/>
          </w:tcPr>
          <w:p w14:paraId="23C59B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EF5FAF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BB0FE75"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B3000C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0" w:history="1">
              <w:r w:rsidRPr="00D30ACB">
                <w:rPr>
                  <w:rStyle w:val="Hyperlink"/>
                  <w:rFonts w:cstheme="minorHAnsi"/>
                  <w:b w:val="0"/>
                  <w:bCs w:val="0"/>
                  <w:sz w:val="20"/>
                </w:rPr>
                <w:t>Res.5</w:t>
              </w:r>
            </w:hyperlink>
          </w:p>
        </w:tc>
        <w:tc>
          <w:tcPr>
            <w:tcW w:w="1821" w:type="pct"/>
          </w:tcPr>
          <w:p w14:paraId="3B9B12E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19" w:name="_Toc180537872"/>
            <w:r w:rsidRPr="00D30ACB">
              <w:rPr>
                <w:rFonts w:cstheme="minorHAnsi"/>
                <w:b/>
                <w:bCs/>
                <w:sz w:val="20"/>
                <w:lang w:val="en-US"/>
              </w:rPr>
              <w:t xml:space="preserve">Work </w:t>
            </w:r>
            <w:proofErr w:type="spellStart"/>
            <w:r w:rsidRPr="00D30ACB">
              <w:rPr>
                <w:rFonts w:cstheme="minorHAnsi"/>
                <w:b/>
                <w:bCs/>
                <w:sz w:val="20"/>
                <w:lang w:val="en-US"/>
              </w:rPr>
              <w:t>programme</w:t>
            </w:r>
            <w:proofErr w:type="spellEnd"/>
            <w:r w:rsidRPr="00D30ACB">
              <w:rPr>
                <w:rFonts w:cstheme="minorHAnsi"/>
                <w:b/>
                <w:bCs/>
                <w:sz w:val="20"/>
                <w:lang w:val="en-US"/>
              </w:rPr>
              <w:t xml:space="preserve"> and Questions of Radiocommunication Study Groups</w:t>
            </w:r>
            <w:bookmarkEnd w:id="19"/>
          </w:p>
        </w:tc>
        <w:tc>
          <w:tcPr>
            <w:tcW w:w="412" w:type="pct"/>
          </w:tcPr>
          <w:p w14:paraId="4732349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C184F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68B98A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01EC2B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1" w:history="1">
              <w:r w:rsidRPr="00D30ACB">
                <w:rPr>
                  <w:rStyle w:val="Hyperlink"/>
                  <w:rFonts w:cstheme="minorHAnsi"/>
                  <w:b w:val="0"/>
                  <w:bCs w:val="0"/>
                  <w:sz w:val="20"/>
                </w:rPr>
                <w:t>Res.6-3 (2019)</w:t>
              </w:r>
            </w:hyperlink>
          </w:p>
        </w:tc>
        <w:tc>
          <w:tcPr>
            <w:tcW w:w="1821" w:type="pct"/>
          </w:tcPr>
          <w:p w14:paraId="4720DC3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0" w:name="_Toc180537874"/>
            <w:r w:rsidRPr="00D30ACB">
              <w:rPr>
                <w:rFonts w:cstheme="minorHAnsi"/>
                <w:b/>
                <w:bCs/>
                <w:sz w:val="20"/>
                <w:lang w:val="en-US"/>
              </w:rPr>
              <w:t>Liaison and collaboration with the ITU Telecommunication Standardization Sector</w:t>
            </w:r>
            <w:bookmarkEnd w:id="20"/>
          </w:p>
        </w:tc>
        <w:tc>
          <w:tcPr>
            <w:tcW w:w="412" w:type="pct"/>
          </w:tcPr>
          <w:p w14:paraId="52AC2B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3207F69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FE075A" w:rsidRPr="00D30ACB" w14:paraId="00B53BFF"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46B44E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2" w:history="1">
              <w:r w:rsidRPr="00D30ACB">
                <w:rPr>
                  <w:rStyle w:val="Hyperlink"/>
                  <w:rFonts w:cstheme="minorHAnsi"/>
                  <w:b w:val="0"/>
                  <w:bCs w:val="0"/>
                  <w:sz w:val="20"/>
                </w:rPr>
                <w:t>Res.7-4 (2019)</w:t>
              </w:r>
            </w:hyperlink>
          </w:p>
        </w:tc>
        <w:tc>
          <w:tcPr>
            <w:tcW w:w="1821" w:type="pct"/>
          </w:tcPr>
          <w:p w14:paraId="023F723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1" w:name="_Toc180537876"/>
            <w:r w:rsidRPr="00D30ACB">
              <w:rPr>
                <w:rFonts w:cstheme="minorHAnsi"/>
                <w:b/>
                <w:bCs/>
                <w:sz w:val="20"/>
                <w:lang w:val="en-US"/>
              </w:rPr>
              <w:t>Telecommunication development including liaison and collaboration with the ITU Telecommunication Development Sector</w:t>
            </w:r>
            <w:bookmarkEnd w:id="21"/>
          </w:p>
        </w:tc>
        <w:tc>
          <w:tcPr>
            <w:tcW w:w="412" w:type="pct"/>
          </w:tcPr>
          <w:p w14:paraId="570C899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706F36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See new resolution ITU-R 75</w:t>
            </w:r>
          </w:p>
        </w:tc>
      </w:tr>
      <w:tr w:rsidR="00FE075A" w:rsidRPr="00D30ACB" w14:paraId="535F01D3"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3CB5D3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sidRPr="00D30ACB">
                <w:rPr>
                  <w:rStyle w:val="Hyperlink"/>
                  <w:rFonts w:cstheme="minorHAnsi"/>
                  <w:b w:val="0"/>
                  <w:bCs w:val="0"/>
                  <w:sz w:val="20"/>
                </w:rPr>
                <w:t>Res.8-4(2023)</w:t>
              </w:r>
            </w:hyperlink>
          </w:p>
        </w:tc>
        <w:tc>
          <w:tcPr>
            <w:tcW w:w="1821" w:type="pct"/>
          </w:tcPr>
          <w:p w14:paraId="6BC4981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proofErr w:type="spellStart"/>
            <w:r w:rsidRPr="00D30ACB">
              <w:rPr>
                <w:rFonts w:cstheme="minorHAnsi"/>
                <w:b/>
                <w:bCs/>
                <w:sz w:val="20"/>
                <w:lang w:val="en-US"/>
              </w:rPr>
              <w:t>Radiowave</w:t>
            </w:r>
            <w:proofErr w:type="spellEnd"/>
            <w:r w:rsidRPr="00D30ACB">
              <w:rPr>
                <w:rFonts w:cstheme="minorHAnsi"/>
                <w:b/>
                <w:bCs/>
                <w:sz w:val="20"/>
                <w:lang w:val="en-US"/>
              </w:rPr>
              <w:t xml:space="preserve"> propagation studies and measurement campaigns in developing countries</w:t>
            </w:r>
          </w:p>
          <w:p w14:paraId="700BB917"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0CC8A89C"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08F928E4"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59A2597D"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4450061F" w14:textId="492F1DF5" w:rsidR="00FE075A" w:rsidRPr="00D30ACB" w:rsidRDefault="00FE075A" w:rsidP="000B3058">
            <w:pPr>
              <w:tabs>
                <w:tab w:val="left" w:pos="3990"/>
              </w:tabs>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c>
          <w:tcPr>
            <w:tcW w:w="412" w:type="pct"/>
          </w:tcPr>
          <w:p w14:paraId="4D07BAD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C969873" w14:textId="77777777" w:rsidR="00FE075A" w:rsidRPr="00D30ACB" w:rsidRDefault="00FE075A" w:rsidP="000B3058">
            <w:pPr>
              <w:keepNext/>
              <w:keepLines/>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78635A47" w14:textId="77777777" w:rsidR="00FE075A" w:rsidRPr="00D30ACB" w:rsidRDefault="00FE075A" w:rsidP="000B3058">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 xml:space="preserve">that Resolution </w:t>
            </w:r>
            <w:r w:rsidRPr="00D30ACB">
              <w:rPr>
                <w:rFonts w:cstheme="minorHAnsi"/>
                <w:b/>
                <w:bCs/>
                <w:sz w:val="20"/>
                <w:lang w:val="en-US"/>
              </w:rPr>
              <w:t>5</w:t>
            </w:r>
            <w:r w:rsidRPr="00D30ACB">
              <w:rPr>
                <w:rFonts w:cstheme="minorHAnsi"/>
                <w:sz w:val="20"/>
                <w:lang w:val="en-US"/>
              </w:rPr>
              <w:t xml:space="preserve"> (Rev.WRC</w:t>
            </w:r>
            <w:r w:rsidRPr="00D30ACB">
              <w:rPr>
                <w:rFonts w:cstheme="minorHAnsi"/>
                <w:sz w:val="20"/>
                <w:lang w:val="en-US"/>
              </w:rPr>
              <w:noBreakHyphen/>
              <w:t xml:space="preserve">15) resolves to instruct the Secretary-General to offer the assistance of the Union to developing countries in the tropical areas which </w:t>
            </w:r>
            <w:proofErr w:type="spellStart"/>
            <w:r w:rsidRPr="00D30ACB">
              <w:rPr>
                <w:rFonts w:cstheme="minorHAnsi"/>
                <w:sz w:val="20"/>
                <w:lang w:val="en-US"/>
              </w:rPr>
              <w:t>endeavour</w:t>
            </w:r>
            <w:proofErr w:type="spellEnd"/>
            <w:r w:rsidRPr="00D30ACB">
              <w:rPr>
                <w:rFonts w:cstheme="minorHAnsi"/>
                <w:sz w:val="20"/>
                <w:lang w:val="en-US"/>
              </w:rPr>
              <w:t xml:space="preserve">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w:t>
            </w:r>
            <w:proofErr w:type="spellStart"/>
            <w:r w:rsidRPr="00D30ACB">
              <w:rPr>
                <w:rFonts w:cstheme="minorHAnsi"/>
                <w:sz w:val="20"/>
                <w:lang w:val="en-US"/>
              </w:rPr>
              <w:t>programmes</w:t>
            </w:r>
            <w:proofErr w:type="spellEnd"/>
            <w:r w:rsidRPr="00D30ACB">
              <w:rPr>
                <w:rFonts w:cstheme="minorHAnsi"/>
                <w:sz w:val="20"/>
                <w:lang w:val="en-US"/>
              </w:rPr>
              <w:t xml:space="preserve">, including collecting appropriate meteorological data; and to arrange funds and resources for this purpose from the United Nations Development </w:t>
            </w:r>
            <w:proofErr w:type="spellStart"/>
            <w:r w:rsidRPr="00D30ACB">
              <w:rPr>
                <w:rFonts w:cstheme="minorHAnsi"/>
                <w:sz w:val="20"/>
                <w:lang w:val="en-US"/>
              </w:rPr>
              <w:lastRenderedPageBreak/>
              <w:t>Programme</w:t>
            </w:r>
            <w:proofErr w:type="spellEnd"/>
            <w:r w:rsidRPr="00D30ACB">
              <w:rPr>
                <w:rFonts w:cstheme="minorHAnsi"/>
                <w:sz w:val="20"/>
                <w:lang w:val="en-US"/>
              </w:rPr>
              <w:t xml:space="preserve"> (UNDP) and other sources in order to enable the Union to provide the countries concerned with adequate and effective technical assistance for the purpose of this Resolution,</w:t>
            </w:r>
          </w:p>
          <w:p w14:paraId="168B4238" w14:textId="77777777" w:rsidR="00FE075A" w:rsidRPr="00D30ACB" w:rsidRDefault="00FE075A" w:rsidP="000B3058">
            <w:pPr>
              <w:keepNext/>
              <w:keepLine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77780B86" w14:textId="77777777" w:rsidR="00FE075A" w:rsidRPr="00D30ACB" w:rsidRDefault="00FE075A" w:rsidP="000B3058">
            <w:pPr>
              <w:spacing w:before="16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FE075A" w:rsidRPr="00D30ACB" w14:paraId="0623BB3F"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ED5D61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4" w:history="1">
              <w:r w:rsidRPr="00D30ACB">
                <w:rPr>
                  <w:rStyle w:val="Hyperlink"/>
                  <w:rFonts w:cstheme="minorHAnsi"/>
                  <w:b w:val="0"/>
                  <w:bCs w:val="0"/>
                  <w:sz w:val="20"/>
                </w:rPr>
                <w:t>Res.9-7 (2023)</w:t>
              </w:r>
            </w:hyperlink>
          </w:p>
        </w:tc>
        <w:tc>
          <w:tcPr>
            <w:tcW w:w="1821" w:type="pct"/>
          </w:tcPr>
          <w:p w14:paraId="6C83136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2" w:name="_Toc180537880"/>
            <w:r w:rsidRPr="00D30ACB">
              <w:rPr>
                <w:rFonts w:cstheme="minorHAnsi"/>
                <w:b/>
                <w:bCs/>
                <w:sz w:val="20"/>
                <w:lang w:val="en-US"/>
              </w:rPr>
              <w:t>Liaison and collaboration with other relevant organizations, in particular ISO, IEC</w:t>
            </w:r>
            <w:bookmarkEnd w:id="22"/>
            <w:r w:rsidRPr="00D30ACB">
              <w:rPr>
                <w:rFonts w:cstheme="minorHAnsi"/>
                <w:b/>
                <w:bCs/>
                <w:sz w:val="20"/>
                <w:lang w:val="en-US"/>
              </w:rPr>
              <w:t xml:space="preserve"> and CISPR</w:t>
            </w:r>
          </w:p>
        </w:tc>
        <w:tc>
          <w:tcPr>
            <w:tcW w:w="412" w:type="pct"/>
          </w:tcPr>
          <w:p w14:paraId="7B8C821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86718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FE24C8C"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3D3241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5" w:history="1">
              <w:r w:rsidRPr="00D30ACB">
                <w:rPr>
                  <w:rStyle w:val="Hyperlink"/>
                  <w:rFonts w:cstheme="minorHAnsi"/>
                  <w:b w:val="0"/>
                  <w:bCs w:val="0"/>
                  <w:sz w:val="20"/>
                </w:rPr>
                <w:t>Res.11-6 (2023)</w:t>
              </w:r>
            </w:hyperlink>
          </w:p>
        </w:tc>
        <w:tc>
          <w:tcPr>
            <w:tcW w:w="1821" w:type="pct"/>
          </w:tcPr>
          <w:p w14:paraId="761BAB9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Further development of the Spectrum Management System for Developing Countries</w:t>
            </w:r>
          </w:p>
        </w:tc>
        <w:tc>
          <w:tcPr>
            <w:tcW w:w="412" w:type="pct"/>
          </w:tcPr>
          <w:p w14:paraId="1E93A78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18E21A3"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64AD23E8"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D30ACB">
              <w:rPr>
                <w:rFonts w:cstheme="minorHAnsi"/>
                <w:sz w:val="20"/>
                <w:lang w:val="en-US"/>
              </w:rPr>
              <w:t>);</w:t>
            </w:r>
            <w:proofErr w:type="gramEnd"/>
          </w:p>
          <w:p w14:paraId="6147763D"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that the SMS4DC has been developed in Unicode by the Telecommunication Development Bureau (BDT) in close cooperation with BR based on the technical specifications developed by the ITU</w:t>
            </w:r>
            <w:r w:rsidRPr="00D30ACB">
              <w:rPr>
                <w:rFonts w:cstheme="minorHAnsi"/>
                <w:sz w:val="20"/>
                <w:lang w:val="en-US"/>
              </w:rPr>
              <w:noBreakHyphen/>
              <w:t>R and ITU</w:t>
            </w:r>
            <w:r w:rsidRPr="00D30ACB">
              <w:rPr>
                <w:rFonts w:cstheme="minorHAnsi"/>
                <w:sz w:val="20"/>
                <w:lang w:val="en-US"/>
              </w:rPr>
              <w:noBreakHyphen/>
              <w:t xml:space="preserve">D group of </w:t>
            </w:r>
            <w:proofErr w:type="gramStart"/>
            <w:r w:rsidRPr="00D30ACB">
              <w:rPr>
                <w:rFonts w:cstheme="minorHAnsi"/>
                <w:sz w:val="20"/>
                <w:lang w:val="en-US"/>
              </w:rPr>
              <w:t>experts;</w:t>
            </w:r>
            <w:proofErr w:type="gramEnd"/>
          </w:p>
          <w:p w14:paraId="0D8FDEC6"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data elements used in the SMS4DC were based on relevant ITU</w:t>
            </w:r>
            <w:r w:rsidRPr="00D30ACB">
              <w:rPr>
                <w:rFonts w:cstheme="minorHAnsi"/>
                <w:sz w:val="20"/>
                <w:lang w:val="en-US"/>
              </w:rPr>
              <w:noBreakHyphen/>
              <w:t xml:space="preserve">R Recommendations on spectrum management, including those for notification and coordination </w:t>
            </w:r>
            <w:proofErr w:type="gramStart"/>
            <w:r w:rsidRPr="00D30ACB">
              <w:rPr>
                <w:rFonts w:cstheme="minorHAnsi"/>
                <w:sz w:val="20"/>
                <w:lang w:val="en-US"/>
              </w:rPr>
              <w:t>purposes;</w:t>
            </w:r>
            <w:proofErr w:type="gramEnd"/>
          </w:p>
          <w:p w14:paraId="636218E3"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lastRenderedPageBreak/>
              <w:t>d)</w:t>
            </w:r>
            <w:r w:rsidRPr="00D30ACB">
              <w:rPr>
                <w:rFonts w:cstheme="minorHAnsi"/>
                <w:sz w:val="20"/>
                <w:lang w:val="en-US"/>
              </w:rPr>
              <w:tab/>
              <w:t>that many administrations have been successful in implementing automated management systems in the development and maintenance of their national spectrum management data,</w:t>
            </w:r>
          </w:p>
          <w:p w14:paraId="456196D4" w14:textId="77777777" w:rsidR="00FE075A" w:rsidRPr="00D30ACB" w:rsidRDefault="00FE075A" w:rsidP="000B3058">
            <w:pPr>
              <w:keepNext/>
              <w:keepLine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4BE41F1A"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that Study Group 1</w:t>
            </w:r>
            <w:r w:rsidRPr="00D30ACB">
              <w:rPr>
                <w:rFonts w:cstheme="minorHAnsi"/>
                <w:color w:val="0070C0"/>
                <w:sz w:val="20"/>
                <w:lang w:val="en-US"/>
              </w:rPr>
              <w:t xml:space="preserve"> </w:t>
            </w:r>
            <w:r w:rsidRPr="00D30ACB">
              <w:rPr>
                <w:rFonts w:cstheme="minorHAnsi"/>
                <w:sz w:val="20"/>
                <w:lang w:val="en-US"/>
              </w:rPr>
              <w:t>and BR experts should continue to assist in the further development of the SMS4DC in accordance with WRC decisions and relevant ITU</w:t>
            </w:r>
            <w:r w:rsidRPr="00D30ACB">
              <w:rPr>
                <w:rFonts w:cstheme="minorHAnsi"/>
                <w:sz w:val="20"/>
                <w:lang w:val="en-US"/>
              </w:rPr>
              <w:noBreakHyphen/>
              <w:t xml:space="preserve">R Recommendations, including </w:t>
            </w:r>
            <w:r w:rsidRPr="00D30ACB">
              <w:rPr>
                <w:rFonts w:cstheme="minorHAnsi"/>
                <w:sz w:val="20"/>
                <w:lang w:val="en-US" w:eastAsia="ko-KR"/>
              </w:rPr>
              <w:t>radio-wave propagation prediction methods from P-series Recommendations</w:t>
            </w:r>
            <w:r w:rsidRPr="00D30ACB">
              <w:rPr>
                <w:rFonts w:cstheme="minorHAnsi"/>
                <w:sz w:val="20"/>
                <w:lang w:val="en-US"/>
              </w:rPr>
              <w:t xml:space="preserve">, Handbooks and </w:t>
            </w:r>
            <w:proofErr w:type="gramStart"/>
            <w:r w:rsidRPr="00D30ACB">
              <w:rPr>
                <w:rFonts w:cstheme="minorHAnsi"/>
                <w:sz w:val="20"/>
                <w:lang w:val="en-US"/>
              </w:rPr>
              <w:t>Reports;</w:t>
            </w:r>
            <w:proofErr w:type="gramEnd"/>
          </w:p>
          <w:p w14:paraId="098A0B5B"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BR should continue to assist BDT in implementing the Spectrum Management System in different countries through the participation of Study Group 1</w:t>
            </w:r>
            <w:r w:rsidRPr="00D30ACB">
              <w:rPr>
                <w:rFonts w:cstheme="minorHAnsi"/>
                <w:color w:val="0070C0"/>
                <w:sz w:val="20"/>
                <w:lang w:val="en-US"/>
              </w:rPr>
              <w:t xml:space="preserve"> </w:t>
            </w:r>
            <w:r w:rsidRPr="00D30ACB">
              <w:rPr>
                <w:rFonts w:cstheme="minorHAnsi"/>
                <w:sz w:val="20"/>
                <w:lang w:val="en-US"/>
              </w:rPr>
              <w:t>and BR experts in relevant training projects, such as ITU Academy.</w:t>
            </w:r>
          </w:p>
        </w:tc>
      </w:tr>
      <w:tr w:rsidR="00FE075A" w:rsidRPr="00D30ACB" w14:paraId="0C2BF04C"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79F49F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6" w:history="1">
              <w:r w:rsidRPr="00D30ACB">
                <w:rPr>
                  <w:rStyle w:val="Hyperlink"/>
                  <w:rFonts w:cstheme="minorHAnsi"/>
                  <w:b w:val="0"/>
                  <w:bCs w:val="0"/>
                  <w:sz w:val="20"/>
                </w:rPr>
                <w:t>Res.12-2 (2023)</w:t>
              </w:r>
            </w:hyperlink>
          </w:p>
        </w:tc>
        <w:tc>
          <w:tcPr>
            <w:tcW w:w="1821" w:type="pct"/>
          </w:tcPr>
          <w:p w14:paraId="34E5379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Handbooks and special publications for development of radiocommunication services</w:t>
            </w:r>
          </w:p>
        </w:tc>
        <w:tc>
          <w:tcPr>
            <w:tcW w:w="412" w:type="pct"/>
          </w:tcPr>
          <w:p w14:paraId="5891570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AC42E23"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w:t>
            </w:r>
          </w:p>
          <w:p w14:paraId="332ACDF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the Telecommunication Development Sector to indicate what special subjects would be most useful to developing countries so that planning for handbooks and special publications may be undertaken.</w:t>
            </w:r>
          </w:p>
        </w:tc>
      </w:tr>
      <w:tr w:rsidR="00FE075A" w:rsidRPr="00D30ACB" w14:paraId="11F492E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CAE413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7" w:history="1">
              <w:r w:rsidRPr="00D30ACB">
                <w:rPr>
                  <w:rStyle w:val="Hyperlink"/>
                  <w:rFonts w:cstheme="minorHAnsi"/>
                  <w:b w:val="0"/>
                  <w:bCs w:val="0"/>
                  <w:sz w:val="20"/>
                </w:rPr>
                <w:t>Res.15-6 (2015)</w:t>
              </w:r>
            </w:hyperlink>
          </w:p>
        </w:tc>
        <w:tc>
          <w:tcPr>
            <w:tcW w:w="1821" w:type="pct"/>
          </w:tcPr>
          <w:p w14:paraId="1409B2C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Bidi"/>
                <w:b/>
                <w:bCs/>
                <w:sz w:val="20"/>
                <w:lang w:val="en-US"/>
              </w:rPr>
            </w:pPr>
            <w:bookmarkStart w:id="23" w:name="_Toc180537886"/>
            <w:r w:rsidRPr="0C05AEFB">
              <w:rPr>
                <w:rFonts w:cstheme="minorBidi"/>
                <w:b/>
                <w:bCs/>
                <w:sz w:val="20"/>
                <w:lang w:val="en-US"/>
              </w:rPr>
              <w:t>Appointment and maximum term of office for Chairmen and Vice Chairmen of Radiocommunication Study Groups, the Coordination Committee for Vocabulary and of the Radiocommunication Advisory Group</w:t>
            </w:r>
            <w:bookmarkEnd w:id="23"/>
          </w:p>
        </w:tc>
        <w:tc>
          <w:tcPr>
            <w:tcW w:w="412" w:type="pct"/>
          </w:tcPr>
          <w:p w14:paraId="531B57A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AFF5F3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1F2F171A"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EB389A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sidRPr="00D30ACB">
                <w:rPr>
                  <w:rStyle w:val="Hyperlink"/>
                  <w:rFonts w:cstheme="minorHAnsi"/>
                  <w:b w:val="0"/>
                  <w:bCs w:val="0"/>
                  <w:sz w:val="20"/>
                </w:rPr>
                <w:t>Res.19-6 (2023)</w:t>
              </w:r>
            </w:hyperlink>
          </w:p>
        </w:tc>
        <w:tc>
          <w:tcPr>
            <w:tcW w:w="1821" w:type="pct"/>
          </w:tcPr>
          <w:p w14:paraId="78B54D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4" w:name="_Toc180537890"/>
            <w:r w:rsidRPr="00D30ACB">
              <w:rPr>
                <w:rFonts w:cstheme="minorHAnsi"/>
                <w:b/>
                <w:bCs/>
                <w:sz w:val="20"/>
                <w:lang w:val="en-US"/>
              </w:rPr>
              <w:t>Dissemination of ITU-R texts</w:t>
            </w:r>
            <w:bookmarkEnd w:id="24"/>
          </w:p>
        </w:tc>
        <w:tc>
          <w:tcPr>
            <w:tcW w:w="412" w:type="pct"/>
          </w:tcPr>
          <w:p w14:paraId="5E651C4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7FAE4F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E7DB364"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C95F07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9" w:history="1">
              <w:r w:rsidRPr="00D30ACB">
                <w:rPr>
                  <w:rStyle w:val="Hyperlink"/>
                  <w:rFonts w:cstheme="minorHAnsi"/>
                  <w:b w:val="0"/>
                  <w:bCs w:val="0"/>
                  <w:sz w:val="20"/>
                </w:rPr>
                <w:t>Res.22-6 (2023)</w:t>
              </w:r>
            </w:hyperlink>
          </w:p>
        </w:tc>
        <w:tc>
          <w:tcPr>
            <w:tcW w:w="1821" w:type="pct"/>
          </w:tcPr>
          <w:p w14:paraId="4F373C5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5" w:name="_Toc180537892"/>
            <w:r w:rsidRPr="00D30ACB">
              <w:rPr>
                <w:rFonts w:cstheme="minorHAnsi"/>
                <w:b/>
                <w:bCs/>
                <w:sz w:val="20"/>
                <w:lang w:val="en-US"/>
              </w:rPr>
              <w:t>Improvement of national radio spectrum management practices and techniques</w:t>
            </w:r>
            <w:bookmarkEnd w:id="25"/>
          </w:p>
        </w:tc>
        <w:tc>
          <w:tcPr>
            <w:tcW w:w="412" w:type="pct"/>
          </w:tcPr>
          <w:p w14:paraId="1513463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F78F5E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42CFD10B"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75810C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40" w:history="1">
              <w:r w:rsidRPr="00D30ACB">
                <w:rPr>
                  <w:rStyle w:val="Hyperlink"/>
                  <w:rFonts w:cstheme="minorHAnsi"/>
                  <w:b w:val="0"/>
                  <w:bCs w:val="0"/>
                  <w:sz w:val="20"/>
                </w:rPr>
                <w:t>Res.23-4 (2023)</w:t>
              </w:r>
            </w:hyperlink>
          </w:p>
        </w:tc>
        <w:tc>
          <w:tcPr>
            <w:tcW w:w="1821" w:type="pct"/>
          </w:tcPr>
          <w:p w14:paraId="4889133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6" w:name="_Toc180537894"/>
            <w:r w:rsidRPr="00D30ACB">
              <w:rPr>
                <w:rFonts w:cstheme="minorHAnsi"/>
                <w:b/>
                <w:bCs/>
                <w:sz w:val="20"/>
                <w:lang w:val="en-US"/>
              </w:rPr>
              <w:t>Extension of the international monitoring system to a worldwide scale</w:t>
            </w:r>
            <w:bookmarkEnd w:id="26"/>
          </w:p>
        </w:tc>
        <w:tc>
          <w:tcPr>
            <w:tcW w:w="412" w:type="pct"/>
          </w:tcPr>
          <w:p w14:paraId="4DB1F14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E83012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6012E3B"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935C5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1" w:history="1">
              <w:r w:rsidRPr="00D30ACB">
                <w:rPr>
                  <w:rStyle w:val="Hyperlink"/>
                  <w:rFonts w:cstheme="minorHAnsi"/>
                  <w:b w:val="0"/>
                  <w:bCs w:val="0"/>
                  <w:sz w:val="20"/>
                </w:rPr>
                <w:t>Res.25-3 (2012)</w:t>
              </w:r>
            </w:hyperlink>
          </w:p>
        </w:tc>
        <w:tc>
          <w:tcPr>
            <w:tcW w:w="1821" w:type="pct"/>
          </w:tcPr>
          <w:p w14:paraId="654ABBD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7" w:name="_Toc180537896"/>
            <w:r w:rsidRPr="00D30ACB">
              <w:rPr>
                <w:rFonts w:cstheme="minorHAnsi"/>
                <w:b/>
                <w:bCs/>
                <w:sz w:val="20"/>
                <w:lang w:val="en-US"/>
              </w:rPr>
              <w:t xml:space="preserve">Computer programs and associated reference numerical data for </w:t>
            </w:r>
            <w:proofErr w:type="spellStart"/>
            <w:r w:rsidRPr="00D30ACB">
              <w:rPr>
                <w:rFonts w:cstheme="minorHAnsi"/>
                <w:b/>
                <w:bCs/>
                <w:sz w:val="20"/>
                <w:lang w:val="en-US"/>
              </w:rPr>
              <w:t>radiowave</w:t>
            </w:r>
            <w:proofErr w:type="spellEnd"/>
            <w:r w:rsidRPr="00D30ACB">
              <w:rPr>
                <w:rFonts w:cstheme="minorHAnsi"/>
                <w:b/>
                <w:bCs/>
                <w:sz w:val="20"/>
                <w:lang w:val="en-US"/>
              </w:rPr>
              <w:t xml:space="preserve"> propagation studies</w:t>
            </w:r>
            <w:bookmarkEnd w:id="27"/>
          </w:p>
        </w:tc>
        <w:tc>
          <w:tcPr>
            <w:tcW w:w="412" w:type="pct"/>
          </w:tcPr>
          <w:p w14:paraId="7F15FEF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9E29F2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687D09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6575FB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2" w:history="1">
              <w:r w:rsidRPr="00D30ACB">
                <w:rPr>
                  <w:rStyle w:val="Hyperlink"/>
                  <w:rFonts w:cstheme="minorHAnsi"/>
                  <w:b w:val="0"/>
                  <w:bCs w:val="0"/>
                  <w:sz w:val="20"/>
                </w:rPr>
                <w:t>Res.28-2 (2012)</w:t>
              </w:r>
            </w:hyperlink>
          </w:p>
        </w:tc>
        <w:tc>
          <w:tcPr>
            <w:tcW w:w="1821" w:type="pct"/>
          </w:tcPr>
          <w:p w14:paraId="60FF672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28" w:name="_Toc180537898"/>
            <w:r w:rsidRPr="00D30ACB">
              <w:rPr>
                <w:rFonts w:cstheme="minorHAnsi"/>
                <w:b/>
                <w:bCs/>
                <w:sz w:val="20"/>
                <w:lang w:val="en-US"/>
              </w:rPr>
              <w:t>Standard-frequency and time-signal emissions</w:t>
            </w:r>
            <w:bookmarkEnd w:id="28"/>
          </w:p>
        </w:tc>
        <w:tc>
          <w:tcPr>
            <w:tcW w:w="412" w:type="pct"/>
          </w:tcPr>
          <w:p w14:paraId="412589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8274B7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433F60C"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59934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sidRPr="00D30ACB">
                <w:rPr>
                  <w:rStyle w:val="Hyperlink"/>
                  <w:rFonts w:cstheme="minorHAnsi"/>
                  <w:b w:val="0"/>
                  <w:bCs w:val="0"/>
                  <w:sz w:val="20"/>
                </w:rPr>
                <w:t>Res.36-6 (2023)</w:t>
              </w:r>
            </w:hyperlink>
          </w:p>
        </w:tc>
        <w:tc>
          <w:tcPr>
            <w:tcW w:w="1821" w:type="pct"/>
          </w:tcPr>
          <w:p w14:paraId="2E732E8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29" w:name="_Toc180537906"/>
            <w:r w:rsidRPr="00D30ACB">
              <w:rPr>
                <w:rFonts w:cstheme="minorHAnsi"/>
                <w:b/>
                <w:bCs/>
                <w:sz w:val="20"/>
                <w:lang w:val="en-US"/>
              </w:rPr>
              <w:t>Coordination of vocabulary</w:t>
            </w:r>
            <w:bookmarkEnd w:id="29"/>
            <w:r w:rsidRPr="00D30ACB">
              <w:rPr>
                <w:rFonts w:cstheme="minorHAnsi"/>
                <w:b/>
                <w:bCs/>
                <w:sz w:val="20"/>
                <w:lang w:val="en-US"/>
              </w:rPr>
              <w:t xml:space="preserve"> in the six official languages of the Union on an equal footing in the ITU Radiocommunication Sector</w:t>
            </w:r>
          </w:p>
        </w:tc>
        <w:tc>
          <w:tcPr>
            <w:tcW w:w="412" w:type="pct"/>
          </w:tcPr>
          <w:p w14:paraId="13CDE6C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5D1B87C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FE075A" w:rsidRPr="00D30ACB" w14:paraId="465AF5BC"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5872D24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sidRPr="00D30ACB">
                <w:rPr>
                  <w:rStyle w:val="Hyperlink"/>
                  <w:rFonts w:cstheme="minorHAnsi"/>
                  <w:b w:val="0"/>
                  <w:bCs w:val="0"/>
                  <w:sz w:val="20"/>
                </w:rPr>
                <w:t>Res.37 (1995)</w:t>
              </w:r>
            </w:hyperlink>
          </w:p>
        </w:tc>
        <w:tc>
          <w:tcPr>
            <w:tcW w:w="1821" w:type="pct"/>
          </w:tcPr>
          <w:p w14:paraId="47FA805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0" w:name="_Toc180537908"/>
            <w:r w:rsidRPr="00D30ACB">
              <w:rPr>
                <w:rFonts w:cstheme="minorHAnsi"/>
                <w:b/>
                <w:bCs/>
                <w:sz w:val="20"/>
                <w:lang w:val="en-US"/>
              </w:rPr>
              <w:t>Radio-wave propagation studies for system design and service planning</w:t>
            </w:r>
            <w:bookmarkEnd w:id="30"/>
          </w:p>
        </w:tc>
        <w:tc>
          <w:tcPr>
            <w:tcW w:w="412" w:type="pct"/>
          </w:tcPr>
          <w:p w14:paraId="701A04B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13481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1F313AC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A91FC4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5" w:history="1">
              <w:r w:rsidRPr="00D30ACB">
                <w:rPr>
                  <w:rStyle w:val="Hyperlink"/>
                  <w:rFonts w:cstheme="minorHAnsi"/>
                  <w:b w:val="0"/>
                  <w:bCs w:val="0"/>
                  <w:sz w:val="20"/>
                </w:rPr>
                <w:t>Res.40-4 (2015)</w:t>
              </w:r>
            </w:hyperlink>
          </w:p>
        </w:tc>
        <w:tc>
          <w:tcPr>
            <w:tcW w:w="1821" w:type="pct"/>
          </w:tcPr>
          <w:p w14:paraId="3D87CE2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1" w:name="_Toc180537912"/>
            <w:r w:rsidRPr="00D30ACB">
              <w:rPr>
                <w:rFonts w:cstheme="minorHAnsi"/>
                <w:b/>
                <w:bCs/>
                <w:sz w:val="20"/>
                <w:lang w:val="en-US"/>
              </w:rPr>
              <w:t>Worldwide database of terrain height and surface features</w:t>
            </w:r>
            <w:bookmarkEnd w:id="31"/>
          </w:p>
        </w:tc>
        <w:tc>
          <w:tcPr>
            <w:tcW w:w="412" w:type="pct"/>
          </w:tcPr>
          <w:p w14:paraId="1DFC043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83A49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4FEAC7D5"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EA85EF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6" w:history="1">
              <w:r w:rsidRPr="00D30ACB">
                <w:rPr>
                  <w:rStyle w:val="Hyperlink"/>
                  <w:rFonts w:cstheme="minorHAnsi"/>
                  <w:b w:val="0"/>
                  <w:bCs w:val="0"/>
                  <w:sz w:val="20"/>
                </w:rPr>
                <w:t>Res.47-2 (2012)</w:t>
              </w:r>
            </w:hyperlink>
          </w:p>
        </w:tc>
        <w:tc>
          <w:tcPr>
            <w:tcW w:w="1821" w:type="pct"/>
          </w:tcPr>
          <w:p w14:paraId="5C5054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2" w:name="_Toc180537918"/>
            <w:r w:rsidRPr="00D30ACB">
              <w:rPr>
                <w:rFonts w:cstheme="minorHAnsi"/>
                <w:b/>
                <w:bCs/>
                <w:sz w:val="20"/>
                <w:lang w:val="en-US"/>
              </w:rPr>
              <w:t>Future submission of satellite radio transmission technologies for IMT-2000</w:t>
            </w:r>
            <w:bookmarkEnd w:id="32"/>
          </w:p>
        </w:tc>
        <w:tc>
          <w:tcPr>
            <w:tcW w:w="412" w:type="pct"/>
          </w:tcPr>
          <w:p w14:paraId="10BD9E6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5573A0C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83B616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D01074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sidRPr="00D30ACB">
                <w:rPr>
                  <w:rStyle w:val="Hyperlink"/>
                  <w:rFonts w:cstheme="minorHAnsi"/>
                  <w:b w:val="0"/>
                  <w:bCs w:val="0"/>
                  <w:sz w:val="20"/>
                </w:rPr>
                <w:t>Res.48-3 (2019)</w:t>
              </w:r>
            </w:hyperlink>
          </w:p>
        </w:tc>
        <w:tc>
          <w:tcPr>
            <w:tcW w:w="1821" w:type="pct"/>
          </w:tcPr>
          <w:p w14:paraId="2B81F56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3" w:name="_Toc180537920"/>
            <w:r w:rsidRPr="00D30ACB">
              <w:rPr>
                <w:rFonts w:cstheme="minorHAnsi"/>
                <w:b/>
                <w:bCs/>
                <w:sz w:val="20"/>
                <w:lang w:val="en-US"/>
              </w:rPr>
              <w:t>Strengthening the regional presence in the Radiocommunication Study Group work</w:t>
            </w:r>
            <w:bookmarkEnd w:id="33"/>
          </w:p>
        </w:tc>
        <w:tc>
          <w:tcPr>
            <w:tcW w:w="412" w:type="pct"/>
          </w:tcPr>
          <w:p w14:paraId="33B067E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118FE47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3BD68A4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9144F2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8" w:history="1">
              <w:r w:rsidRPr="00D30ACB">
                <w:rPr>
                  <w:rStyle w:val="Hyperlink"/>
                  <w:rFonts w:cstheme="minorHAnsi"/>
                  <w:b w:val="0"/>
                  <w:bCs w:val="0"/>
                  <w:sz w:val="20"/>
                </w:rPr>
                <w:t>Res.50-5 (2023)</w:t>
              </w:r>
            </w:hyperlink>
          </w:p>
        </w:tc>
        <w:tc>
          <w:tcPr>
            <w:tcW w:w="1821" w:type="pct"/>
          </w:tcPr>
          <w:p w14:paraId="1B2EA2B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4" w:name="_Toc180537922"/>
            <w:r w:rsidRPr="00D30ACB">
              <w:rPr>
                <w:rFonts w:cstheme="minorHAnsi"/>
                <w:b/>
                <w:bCs/>
                <w:sz w:val="20"/>
                <w:lang w:val="en-US"/>
              </w:rPr>
              <w:t>Role of the Radiocommunication Sector in the ongoing development of IMT</w:t>
            </w:r>
            <w:bookmarkEnd w:id="34"/>
          </w:p>
        </w:tc>
        <w:tc>
          <w:tcPr>
            <w:tcW w:w="412" w:type="pct"/>
          </w:tcPr>
          <w:p w14:paraId="6724AB2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4C605B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7C30AE6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82F0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9" w:history="1">
              <w:r w:rsidRPr="00D30ACB">
                <w:rPr>
                  <w:rStyle w:val="Hyperlink"/>
                  <w:rFonts w:cstheme="minorHAnsi"/>
                  <w:b w:val="0"/>
                  <w:bCs w:val="0"/>
                  <w:sz w:val="20"/>
                </w:rPr>
                <w:t>Res.52-1 (2015)</w:t>
              </w:r>
            </w:hyperlink>
          </w:p>
        </w:tc>
        <w:tc>
          <w:tcPr>
            <w:tcW w:w="1821" w:type="pct"/>
          </w:tcPr>
          <w:p w14:paraId="2A40EA8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5" w:name="_Toc180537924"/>
            <w:r w:rsidRPr="00D30ACB">
              <w:rPr>
                <w:rFonts w:cstheme="minorHAnsi"/>
                <w:b/>
                <w:bCs/>
                <w:sz w:val="20"/>
                <w:lang w:val="en-US"/>
              </w:rPr>
              <w:t>Authorization for the Radiocommunication Advisory Group (RAG) to act between Radiocommunication Assemblies (RAs)</w:t>
            </w:r>
            <w:bookmarkEnd w:id="35"/>
          </w:p>
        </w:tc>
        <w:tc>
          <w:tcPr>
            <w:tcW w:w="412" w:type="pct"/>
          </w:tcPr>
          <w:p w14:paraId="1772574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89DEA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D87C2FB"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29F5C3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0" w:history="1">
              <w:r w:rsidRPr="00D30ACB">
                <w:rPr>
                  <w:rStyle w:val="Hyperlink"/>
                  <w:rFonts w:cstheme="minorHAnsi"/>
                  <w:b w:val="0"/>
                  <w:bCs w:val="0"/>
                  <w:sz w:val="20"/>
                </w:rPr>
                <w:t>Res.54-4 (2023)</w:t>
              </w:r>
            </w:hyperlink>
          </w:p>
        </w:tc>
        <w:tc>
          <w:tcPr>
            <w:tcW w:w="1821" w:type="pct"/>
          </w:tcPr>
          <w:p w14:paraId="66A0953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6" w:name="_Toc180537928"/>
            <w:r w:rsidRPr="00D30ACB">
              <w:rPr>
                <w:rFonts w:cstheme="minorHAnsi"/>
                <w:b/>
                <w:bCs/>
                <w:sz w:val="20"/>
                <w:lang w:val="en-US"/>
              </w:rPr>
              <w:t>Studies to achieve harmonization for short-range devices</w:t>
            </w:r>
            <w:bookmarkEnd w:id="36"/>
          </w:p>
        </w:tc>
        <w:tc>
          <w:tcPr>
            <w:tcW w:w="412" w:type="pct"/>
          </w:tcPr>
          <w:p w14:paraId="398A7CC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E2F2C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54AE1C8"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C50147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1" w:history="1">
              <w:r w:rsidRPr="00D30ACB">
                <w:rPr>
                  <w:rStyle w:val="Hyperlink"/>
                  <w:rFonts w:cstheme="minorHAnsi"/>
                  <w:b w:val="0"/>
                  <w:bCs w:val="0"/>
                  <w:sz w:val="20"/>
                </w:rPr>
                <w:t>Res.55-4 (2023)</w:t>
              </w:r>
            </w:hyperlink>
          </w:p>
        </w:tc>
        <w:tc>
          <w:tcPr>
            <w:tcW w:w="1821" w:type="pct"/>
          </w:tcPr>
          <w:p w14:paraId="772DE7A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 studies of disaster prediction, detection, mitigation and relief</w:t>
            </w:r>
          </w:p>
        </w:tc>
        <w:tc>
          <w:tcPr>
            <w:tcW w:w="412" w:type="pct"/>
          </w:tcPr>
          <w:p w14:paraId="371DDED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FFBD0C7"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noting</w:t>
            </w:r>
          </w:p>
          <w:p w14:paraId="4A852BDF"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D30ACB">
              <w:rPr>
                <w:rFonts w:cstheme="minorHAnsi"/>
                <w:sz w:val="20"/>
                <w:lang w:val="en-US"/>
              </w:rPr>
              <w:t>response;</w:t>
            </w:r>
            <w:proofErr w:type="gramEnd"/>
            <w:r w:rsidRPr="00D30ACB">
              <w:rPr>
                <w:rFonts w:cstheme="minorHAnsi"/>
                <w:sz w:val="20"/>
                <w:lang w:val="en-US"/>
              </w:rPr>
              <w:t xml:space="preserve"> </w:t>
            </w:r>
          </w:p>
          <w:p w14:paraId="71F0F216"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study groups</w:t>
            </w:r>
          </w:p>
          <w:p w14:paraId="43841B4C"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take into consideration the scope of ongoing studies/activities outlined in the ITU</w:t>
            </w:r>
            <w:r w:rsidRPr="00D30ACB">
              <w:rPr>
                <w:rFonts w:cstheme="minorHAnsi"/>
                <w:sz w:val="20"/>
                <w:lang w:val="en-US"/>
              </w:rPr>
              <w:noBreakHyphen/>
              <w:t xml:space="preserve">R webpage on </w:t>
            </w:r>
            <w:hyperlink r:id="rId52" w:history="1">
              <w:r w:rsidRPr="00D30ACB">
                <w:rPr>
                  <w:rFonts w:cstheme="minorHAnsi"/>
                  <w:sz w:val="20"/>
                  <w:lang w:val="en-US"/>
                </w:rPr>
                <w:t>Emergency Radiocommunications</w:t>
              </w:r>
            </w:hyperlink>
            <w:r w:rsidRPr="00D30ACB">
              <w:rPr>
                <w:rFonts w:cstheme="minorHAnsi"/>
                <w:position w:val="6"/>
                <w:sz w:val="20"/>
                <w:lang w:val="en-US"/>
              </w:rPr>
              <w:footnoteReference w:customMarkFollows="1" w:id="2"/>
              <w:t>1</w:t>
            </w:r>
            <w:r w:rsidRPr="00D30ACB">
              <w:rPr>
                <w:rFonts w:cstheme="minorHAnsi"/>
                <w:sz w:val="20"/>
                <w:lang w:val="en-US"/>
              </w:rPr>
              <w:t xml:space="preserve"> and information provided by the Bureau on related activities of the other two Sectors and the General Secretariat, in the development of their work </w:t>
            </w:r>
            <w:proofErr w:type="spellStart"/>
            <w:r w:rsidRPr="00D30ACB">
              <w:rPr>
                <w:rFonts w:cstheme="minorHAnsi"/>
                <w:sz w:val="20"/>
                <w:lang w:val="en-US"/>
              </w:rPr>
              <w:t>programmes</w:t>
            </w:r>
            <w:proofErr w:type="spellEnd"/>
            <w:r w:rsidRPr="00D30ACB">
              <w:rPr>
                <w:rFonts w:cstheme="minorHAnsi"/>
                <w:sz w:val="20"/>
                <w:lang w:val="en-US"/>
              </w:rPr>
              <w:t xml:space="preserve"> in order to avoid duplication of effort.</w:t>
            </w:r>
          </w:p>
          <w:p w14:paraId="3E17FC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p w14:paraId="3935856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w:t>
            </w:r>
            <w:r w:rsidRPr="00D30ACB">
              <w:rPr>
                <w:rFonts w:cstheme="minorHAnsi"/>
                <w:b/>
                <w:bCs/>
                <w:sz w:val="20"/>
                <w:lang w:val="en-US"/>
              </w:rPr>
              <w:t>Note</w:t>
            </w:r>
            <w:r w:rsidRPr="00D30ACB">
              <w:rPr>
                <w:rFonts w:cstheme="minorHAnsi"/>
                <w:sz w:val="20"/>
                <w:lang w:val="en-US"/>
              </w:rPr>
              <w:t xml:space="preserve">: Annex to this resolution has list of all relevant recommendations, reports and handbooks of ITU-R sector dealing with the subject issue. ITU-D report </w:t>
            </w:r>
            <w:hyperlink r:id="rId53" w:history="1">
              <w:r w:rsidRPr="00D30ACB">
                <w:rPr>
                  <w:rFonts w:cstheme="minorHAnsi"/>
                  <w:color w:val="0000FF"/>
                  <w:sz w:val="20"/>
                  <w:u w:val="single"/>
                  <w:lang w:val="en-US"/>
                </w:rPr>
                <w:t>https://www.itu.int/hub/publication/d-stg-sg02-05-2-2021/</w:t>
              </w:r>
            </w:hyperlink>
            <w:r w:rsidRPr="00D30ACB">
              <w:rPr>
                <w:rFonts w:cstheme="minorHAnsi"/>
                <w:sz w:val="20"/>
                <w:lang w:val="en-US"/>
              </w:rPr>
              <w:t xml:space="preserve"> has also been </w:t>
            </w:r>
            <w:proofErr w:type="gramStart"/>
            <w:r w:rsidRPr="00D30ACB">
              <w:rPr>
                <w:rFonts w:cstheme="minorHAnsi"/>
                <w:sz w:val="20"/>
                <w:lang w:val="en-US"/>
              </w:rPr>
              <w:t>referenced )</w:t>
            </w:r>
            <w:proofErr w:type="gramEnd"/>
          </w:p>
        </w:tc>
      </w:tr>
      <w:tr w:rsidR="00FE075A" w:rsidRPr="00D30ACB" w14:paraId="5799B918"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4C4A60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4" w:history="1">
              <w:r w:rsidRPr="00D30ACB">
                <w:rPr>
                  <w:rStyle w:val="Hyperlink"/>
                  <w:rFonts w:cstheme="minorHAnsi"/>
                  <w:b w:val="0"/>
                  <w:bCs w:val="0"/>
                  <w:sz w:val="20"/>
                </w:rPr>
                <w:t>Res.56-3 (2023)</w:t>
              </w:r>
            </w:hyperlink>
          </w:p>
        </w:tc>
        <w:tc>
          <w:tcPr>
            <w:tcW w:w="1821" w:type="pct"/>
          </w:tcPr>
          <w:p w14:paraId="772305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bookmarkStart w:id="37" w:name="_Toc180537932"/>
            <w:r w:rsidRPr="00D30ACB">
              <w:rPr>
                <w:rFonts w:cstheme="minorHAnsi"/>
                <w:b/>
                <w:bCs/>
                <w:sz w:val="20"/>
                <w:lang w:val="en-US"/>
              </w:rPr>
              <w:t>Naming for International Mobile Telecommunications</w:t>
            </w:r>
            <w:bookmarkEnd w:id="37"/>
          </w:p>
        </w:tc>
        <w:tc>
          <w:tcPr>
            <w:tcW w:w="412" w:type="pct"/>
          </w:tcPr>
          <w:p w14:paraId="15A57BA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8868E44"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2D0C8831" w14:textId="39A1501E" w:rsidR="00FE075A" w:rsidRPr="00D30ACB" w:rsidRDefault="00FE075A" w:rsidP="7ADFB2BB">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Bidi"/>
                <w:sz w:val="20"/>
                <w:lang w:val="en-US"/>
              </w:rPr>
            </w:pPr>
            <w:r w:rsidRPr="7ADFB2BB">
              <w:rPr>
                <w:rFonts w:cstheme="minorBidi"/>
                <w:sz w:val="20"/>
                <w:lang w:val="en-US"/>
              </w:rPr>
              <w:t>1</w:t>
            </w:r>
            <w:r>
              <w:tab/>
            </w:r>
            <w:r w:rsidRPr="7ADFB2BB">
              <w:rPr>
                <w:rFonts w:cstheme="minorBidi"/>
                <w:sz w:val="20"/>
                <w:lang w:val="en-US"/>
              </w:rPr>
              <w:t>that the term “IMT-2000” encompasses also the enhancements and future developments of IMT</w:t>
            </w:r>
            <w:r w:rsidR="13A0C545" w:rsidRPr="7ADFB2BB">
              <w:rPr>
                <w:rFonts w:cstheme="minorBidi"/>
                <w:sz w:val="20"/>
                <w:lang w:val="en-US"/>
              </w:rPr>
              <w:t>-</w:t>
            </w:r>
            <w:r w:rsidRPr="7ADFB2BB">
              <w:rPr>
                <w:rFonts w:cstheme="minorBidi"/>
                <w:sz w:val="20"/>
                <w:lang w:val="en-US"/>
              </w:rPr>
              <w:t xml:space="preserve">2000, and that </w:t>
            </w:r>
            <w:r w:rsidRPr="7ADFB2BB">
              <w:rPr>
                <w:rFonts w:cstheme="minorBidi"/>
                <w:i/>
                <w:iCs/>
                <w:sz w:val="20"/>
                <w:lang w:val="en-US"/>
              </w:rPr>
              <w:t>recognizing</w:t>
            </w:r>
            <w:r w:rsidRPr="7ADFB2BB">
              <w:rPr>
                <w:rFonts w:cstheme="minorBidi"/>
                <w:sz w:val="20"/>
                <w:lang w:val="en-US"/>
              </w:rPr>
              <w:t xml:space="preserve"> </w:t>
            </w:r>
            <w:r w:rsidRPr="7ADFB2BB">
              <w:rPr>
                <w:rFonts w:cstheme="minorBidi"/>
                <w:i/>
                <w:iCs/>
                <w:sz w:val="20"/>
                <w:lang w:val="en-US"/>
              </w:rPr>
              <w:t>g)</w:t>
            </w:r>
            <w:r w:rsidRPr="7ADFB2BB">
              <w:rPr>
                <w:rFonts w:cstheme="minorBidi"/>
                <w:sz w:val="20"/>
                <w:lang w:val="en-US"/>
              </w:rPr>
              <w:t xml:space="preserve"> </w:t>
            </w:r>
            <w:proofErr w:type="gramStart"/>
            <w:r w:rsidRPr="7ADFB2BB">
              <w:rPr>
                <w:rFonts w:cstheme="minorBidi"/>
                <w:sz w:val="20"/>
                <w:lang w:val="en-US"/>
              </w:rPr>
              <w:t>applies;</w:t>
            </w:r>
            <w:proofErr w:type="gramEnd"/>
          </w:p>
          <w:p w14:paraId="54D19033"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that the term “IMT-Advanced” encompasses also the enhancements and future developments of IMT</w:t>
            </w:r>
            <w:r w:rsidRPr="00D30ACB">
              <w:rPr>
                <w:rFonts w:cstheme="minorHAnsi"/>
                <w:sz w:val="20"/>
                <w:lang w:val="en-US"/>
              </w:rPr>
              <w:noBreakHyphen/>
              <w:t xml:space="preserve">Advanced,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h)</w:t>
            </w:r>
            <w:r w:rsidRPr="00D30ACB">
              <w:rPr>
                <w:rFonts w:cstheme="minorHAnsi"/>
                <w:sz w:val="20"/>
                <w:lang w:val="en-US"/>
              </w:rPr>
              <w:t xml:space="preserve"> </w:t>
            </w:r>
            <w:proofErr w:type="gramStart"/>
            <w:r w:rsidRPr="00D30ACB">
              <w:rPr>
                <w:rFonts w:cstheme="minorHAnsi"/>
                <w:sz w:val="20"/>
                <w:lang w:val="en-US"/>
              </w:rPr>
              <w:t>applies;</w:t>
            </w:r>
            <w:proofErr w:type="gramEnd"/>
          </w:p>
          <w:p w14:paraId="0695CA8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3</w:t>
            </w:r>
            <w:r w:rsidRPr="00D30ACB">
              <w:rPr>
                <w:rFonts w:cstheme="minorHAnsi"/>
                <w:sz w:val="20"/>
                <w:lang w:val="en-US"/>
              </w:rPr>
              <w:tab/>
              <w:t>that the term “IMT-2020” encompasses also the enhancements and future developments of IMT</w:t>
            </w:r>
            <w:r w:rsidRPr="00D30ACB">
              <w:rPr>
                <w:rFonts w:cstheme="minorHAnsi"/>
                <w:sz w:val="20"/>
                <w:lang w:val="en-US"/>
              </w:rPr>
              <w:noBreakHyphen/>
              <w:t xml:space="preserve">2020, and that </w:t>
            </w:r>
            <w:r w:rsidRPr="00D30ACB">
              <w:rPr>
                <w:rFonts w:cstheme="minorHAnsi"/>
                <w:i/>
                <w:sz w:val="20"/>
                <w:lang w:val="en-US"/>
              </w:rPr>
              <w:t>recognizing</w:t>
            </w:r>
            <w:r w:rsidRPr="00D30ACB">
              <w:rPr>
                <w:rFonts w:cstheme="minorHAnsi"/>
                <w:sz w:val="20"/>
                <w:lang w:val="en-US"/>
              </w:rPr>
              <w:t xml:space="preserve"> </w:t>
            </w:r>
            <w:proofErr w:type="spellStart"/>
            <w:r w:rsidRPr="00D30ACB">
              <w:rPr>
                <w:rFonts w:cstheme="minorHAnsi"/>
                <w:i/>
                <w:sz w:val="20"/>
                <w:lang w:val="en-US"/>
              </w:rPr>
              <w:t>i</w:t>
            </w:r>
            <w:proofErr w:type="spellEnd"/>
            <w:r w:rsidRPr="00D30ACB">
              <w:rPr>
                <w:rFonts w:cstheme="minorHAnsi"/>
                <w:i/>
                <w:sz w:val="20"/>
                <w:lang w:val="en-US"/>
              </w:rPr>
              <w:t>)</w:t>
            </w:r>
            <w:r w:rsidRPr="00D30ACB">
              <w:rPr>
                <w:rFonts w:cstheme="minorHAnsi"/>
                <w:sz w:val="20"/>
                <w:lang w:val="en-US"/>
              </w:rPr>
              <w:t xml:space="preserve"> </w:t>
            </w:r>
            <w:proofErr w:type="gramStart"/>
            <w:r w:rsidRPr="00D30ACB">
              <w:rPr>
                <w:rFonts w:cstheme="minorHAnsi"/>
                <w:sz w:val="20"/>
                <w:lang w:val="en-US"/>
              </w:rPr>
              <w:t>applies;</w:t>
            </w:r>
            <w:proofErr w:type="gramEnd"/>
            <w:r w:rsidRPr="00D30ACB">
              <w:rPr>
                <w:rFonts w:cstheme="minorHAnsi"/>
                <w:sz w:val="20"/>
                <w:lang w:val="en-US"/>
              </w:rPr>
              <w:t xml:space="preserve"> </w:t>
            </w:r>
          </w:p>
          <w:p w14:paraId="3B88246B"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4</w:t>
            </w:r>
            <w:r w:rsidRPr="00D30ACB">
              <w:rPr>
                <w:rFonts w:eastAsia="Malgun Gothic" w:cstheme="minorHAnsi"/>
                <w:sz w:val="20"/>
                <w:lang w:val="en-US" w:eastAsia="ko-KR"/>
              </w:rPr>
              <w:tab/>
            </w:r>
            <w:r w:rsidRPr="00D30ACB">
              <w:rPr>
                <w:rFonts w:cstheme="minorHAnsi"/>
                <w:sz w:val="20"/>
                <w:lang w:val="en-US"/>
              </w:rPr>
              <w:t>that the term “IMT-2030” be applied to those systems, system components and related aspects that include radio interface(s) which support(s) the additional capabilities of systems beyond IMT</w:t>
            </w:r>
            <w:r w:rsidRPr="00D30ACB">
              <w:rPr>
                <w:rFonts w:cstheme="minorHAnsi"/>
                <w:sz w:val="20"/>
                <w:lang w:val="en-US"/>
              </w:rPr>
              <w:noBreakHyphen/>
              <w:t xml:space="preserve">2000, IMT-Advanced and IMT-2020, and that </w:t>
            </w:r>
            <w:r w:rsidRPr="00D30ACB">
              <w:rPr>
                <w:rFonts w:cstheme="minorHAnsi"/>
                <w:i/>
                <w:sz w:val="20"/>
                <w:lang w:val="en-US"/>
              </w:rPr>
              <w:t>recognizing</w:t>
            </w:r>
            <w:r w:rsidRPr="00D30ACB">
              <w:rPr>
                <w:rFonts w:cstheme="minorHAnsi"/>
                <w:sz w:val="20"/>
                <w:lang w:val="en-US"/>
              </w:rPr>
              <w:t xml:space="preserve"> </w:t>
            </w:r>
            <w:r w:rsidRPr="00D30ACB">
              <w:rPr>
                <w:rFonts w:cstheme="minorHAnsi"/>
                <w:i/>
                <w:sz w:val="20"/>
                <w:lang w:val="en-US"/>
              </w:rPr>
              <w:t>j)</w:t>
            </w:r>
            <w:r w:rsidRPr="00D30ACB">
              <w:rPr>
                <w:rFonts w:cstheme="minorHAnsi"/>
                <w:sz w:val="20"/>
                <w:lang w:val="en-US"/>
              </w:rPr>
              <w:t xml:space="preserve"> </w:t>
            </w:r>
            <w:proofErr w:type="gramStart"/>
            <w:r w:rsidRPr="00D30ACB">
              <w:rPr>
                <w:rFonts w:cstheme="minorHAnsi"/>
                <w:sz w:val="20"/>
                <w:lang w:val="en-US"/>
              </w:rPr>
              <w:t>applies;</w:t>
            </w:r>
            <w:proofErr w:type="gramEnd"/>
          </w:p>
          <w:p w14:paraId="70E9E241" w14:textId="77777777" w:rsidR="00FE075A" w:rsidRPr="00D30ACB" w:rsidRDefault="00FE075A" w:rsidP="000B3058">
            <w:pPr>
              <w:spacing w:before="160" w:line="280" w:lineRule="exact"/>
              <w:ind w:right="-426"/>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lastRenderedPageBreak/>
              <w:t>5</w:t>
            </w:r>
            <w:r w:rsidRPr="00D30ACB">
              <w:rPr>
                <w:rFonts w:cstheme="minorHAnsi"/>
                <w:sz w:val="20"/>
                <w:lang w:val="en-US"/>
              </w:rPr>
              <w:tab/>
              <w:t>that the term “IMT” be the name that collectively applies to “IMT-2000”, “IMT-Advanced”, “IMT-2020”, and “IMT-2030”.</w:t>
            </w:r>
          </w:p>
        </w:tc>
      </w:tr>
      <w:tr w:rsidR="00FE075A" w:rsidRPr="00D30ACB" w14:paraId="452DED39"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F5EB3B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5" w:history="1">
              <w:r w:rsidRPr="00D30ACB">
                <w:rPr>
                  <w:rStyle w:val="Hyperlink"/>
                  <w:rFonts w:cstheme="minorHAnsi"/>
                  <w:b w:val="0"/>
                  <w:bCs w:val="0"/>
                  <w:sz w:val="20"/>
                </w:rPr>
                <w:t>Res.57-2 (2015)</w:t>
              </w:r>
            </w:hyperlink>
          </w:p>
        </w:tc>
        <w:tc>
          <w:tcPr>
            <w:tcW w:w="1821" w:type="pct"/>
          </w:tcPr>
          <w:p w14:paraId="2F2095A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bookmarkStart w:id="38" w:name="_Toc180537934"/>
            <w:r w:rsidRPr="00D30ACB">
              <w:rPr>
                <w:rFonts w:cstheme="minorHAnsi"/>
                <w:b/>
                <w:bCs/>
                <w:sz w:val="20"/>
                <w:lang w:val="en-US"/>
              </w:rPr>
              <w:t>Principles for the process of development of IMT-Advanced</w:t>
            </w:r>
            <w:bookmarkEnd w:id="38"/>
          </w:p>
        </w:tc>
        <w:tc>
          <w:tcPr>
            <w:tcW w:w="412" w:type="pct"/>
          </w:tcPr>
          <w:p w14:paraId="101AB17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B15FA3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3FF049E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DF26F5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56" w:history="1">
              <w:r w:rsidRPr="00D30ACB">
                <w:rPr>
                  <w:rStyle w:val="Hyperlink"/>
                  <w:rFonts w:cstheme="minorHAnsi"/>
                  <w:b w:val="0"/>
                  <w:bCs w:val="0"/>
                  <w:sz w:val="20"/>
                </w:rPr>
                <w:t>Res.58-2 (2019)</w:t>
              </w:r>
            </w:hyperlink>
          </w:p>
        </w:tc>
        <w:tc>
          <w:tcPr>
            <w:tcW w:w="1821" w:type="pct"/>
          </w:tcPr>
          <w:p w14:paraId="28A50E1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on the implementation and use of cognitive radio systems</w:t>
            </w:r>
          </w:p>
        </w:tc>
        <w:tc>
          <w:tcPr>
            <w:tcW w:w="412" w:type="pct"/>
          </w:tcPr>
          <w:p w14:paraId="5F1AE49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5BF88D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171AE6E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04F576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sidRPr="00D30ACB">
                <w:rPr>
                  <w:rStyle w:val="Hyperlink"/>
                  <w:rFonts w:cstheme="minorHAnsi"/>
                  <w:b w:val="0"/>
                  <w:bCs w:val="0"/>
                  <w:sz w:val="20"/>
                </w:rPr>
                <w:t>Res.59-3 (2023)</w:t>
              </w:r>
            </w:hyperlink>
          </w:p>
        </w:tc>
        <w:tc>
          <w:tcPr>
            <w:tcW w:w="1821" w:type="pct"/>
          </w:tcPr>
          <w:p w14:paraId="7ED86D9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 xml:space="preserve">Studies on availability of frequency bands for worldwide and/or </w:t>
            </w:r>
            <w:r w:rsidRPr="00D30ACB">
              <w:rPr>
                <w:rFonts w:cstheme="minorHAnsi"/>
                <w:b/>
                <w:bCs/>
                <w:sz w:val="20"/>
                <w:lang w:val="en-US"/>
              </w:rPr>
              <w:t xml:space="preserve">regional </w:t>
            </w:r>
            <w:r w:rsidRPr="00D30ACB">
              <w:rPr>
                <w:rFonts w:cstheme="minorHAnsi"/>
                <w:b/>
                <w:bCs/>
                <w:sz w:val="20"/>
                <w:lang w:val="en-US" w:eastAsia="nl-NL"/>
              </w:rPr>
              <w:t xml:space="preserve">harmonization and conditions for their </w:t>
            </w:r>
            <w:r w:rsidRPr="00D30ACB">
              <w:rPr>
                <w:rFonts w:cstheme="minorHAnsi"/>
                <w:b/>
                <w:bCs/>
                <w:sz w:val="20"/>
                <w:lang w:val="en-US"/>
              </w:rPr>
              <w:t>use by terrestrial electronic news gathering systems</w:t>
            </w:r>
          </w:p>
        </w:tc>
        <w:tc>
          <w:tcPr>
            <w:tcW w:w="412" w:type="pct"/>
          </w:tcPr>
          <w:p w14:paraId="4FF056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2335A4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5C31198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7E18091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sidRPr="00D30ACB">
                <w:rPr>
                  <w:rStyle w:val="Hyperlink"/>
                  <w:rFonts w:cstheme="minorHAnsi"/>
                  <w:b w:val="0"/>
                  <w:bCs w:val="0"/>
                  <w:sz w:val="20"/>
                </w:rPr>
                <w:t>Res.60-3 (2023)</w:t>
              </w:r>
            </w:hyperlink>
          </w:p>
        </w:tc>
        <w:tc>
          <w:tcPr>
            <w:tcW w:w="1821" w:type="pct"/>
          </w:tcPr>
          <w:p w14:paraId="7B21E93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eastAsia="nl-NL"/>
              </w:rPr>
              <w:t>Reduction of energy consumption for environmental protection and mitigating climate change by use of ICT/radiocommunication technologies and systems</w:t>
            </w:r>
          </w:p>
        </w:tc>
        <w:tc>
          <w:tcPr>
            <w:tcW w:w="412" w:type="pct"/>
          </w:tcPr>
          <w:p w14:paraId="5EFD85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EE53C7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considering</w:t>
            </w:r>
          </w:p>
          <w:p w14:paraId="7B4DF37A"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g)</w:t>
            </w:r>
            <w:r w:rsidRPr="00D30ACB">
              <w:rPr>
                <w:rFonts w:eastAsia="MS Mincho" w:cstheme="minorHAnsi"/>
                <w:sz w:val="20"/>
                <w:lang w:val="en-US"/>
              </w:rPr>
              <w:tab/>
              <w:t>that ITU, at the United Nations Conference on Climate Change in Bali, Indonesia, on 3</w:t>
            </w:r>
            <w:r w:rsidRPr="00D30ACB">
              <w:rPr>
                <w:rFonts w:eastAsia="MS Mincho" w:cstheme="minorHAnsi"/>
                <w:sz w:val="20"/>
                <w:lang w:val="en-US"/>
              </w:rPr>
              <w:noBreakHyphen/>
              <w:t xml:space="preserve">14 December 2007, highlighted the role of ICTs as both a contributor to climate change, and an important element in tackling the </w:t>
            </w:r>
            <w:proofErr w:type="gramStart"/>
            <w:r w:rsidRPr="00D30ACB">
              <w:rPr>
                <w:rFonts w:eastAsia="MS Mincho" w:cstheme="minorHAnsi"/>
                <w:sz w:val="20"/>
                <w:lang w:val="en-US"/>
              </w:rPr>
              <w:t>challenge;</w:t>
            </w:r>
            <w:proofErr w:type="gramEnd"/>
          </w:p>
          <w:p w14:paraId="78828362"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further considering</w:t>
            </w:r>
          </w:p>
          <w:p w14:paraId="41F72E61"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d)</w:t>
            </w:r>
            <w:r w:rsidRPr="00D30ACB">
              <w:rPr>
                <w:rFonts w:eastAsia="MS Mincho" w:cstheme="minorHAnsi"/>
                <w:sz w:val="20"/>
                <w:lang w:val="en-US"/>
              </w:rPr>
              <w:tab/>
              <w:t>ITU</w:t>
            </w:r>
            <w:r w:rsidRPr="00D30ACB">
              <w:rPr>
                <w:rFonts w:eastAsia="MS Mincho" w:cstheme="minorHAns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D30ACB">
              <w:rPr>
                <w:rFonts w:eastAsia="MS Mincho" w:cstheme="minorHAnsi"/>
                <w:sz w:val="20"/>
                <w:lang w:val="en-US"/>
              </w:rPr>
              <w:t>situations;</w:t>
            </w:r>
            <w:proofErr w:type="gramEnd"/>
          </w:p>
          <w:p w14:paraId="42BB08BE"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e)</w:t>
            </w:r>
            <w:r w:rsidRPr="00D30ACB">
              <w:rPr>
                <w:rFonts w:eastAsia="MS Mincho" w:cstheme="minorHAnsi"/>
                <w:sz w:val="20"/>
                <w:lang w:val="en-US"/>
              </w:rPr>
              <w:tab/>
              <w:t>that ITU</w:t>
            </w:r>
            <w:r w:rsidRPr="00D30ACB">
              <w:rPr>
                <w:rFonts w:eastAsia="MS Mincho" w:cstheme="minorHAns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D30ACB">
              <w:rPr>
                <w:rFonts w:eastAsia="MS Mincho" w:cstheme="minorHAnsi"/>
                <w:sz w:val="20"/>
                <w:lang w:val="en-US"/>
              </w:rPr>
              <w:t>vulnerabilities;</w:t>
            </w:r>
            <w:proofErr w:type="gramEnd"/>
          </w:p>
          <w:p w14:paraId="1C4B4222"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i/>
                <w:iCs/>
                <w:sz w:val="20"/>
                <w:lang w:val="en-US"/>
              </w:rPr>
              <w:t>f)</w:t>
            </w:r>
            <w:r w:rsidRPr="00D30ACB">
              <w:rPr>
                <w:rFonts w:eastAsia="MS Mincho" w:cstheme="minorHAnsi"/>
                <w:sz w:val="20"/>
                <w:lang w:val="en-US"/>
              </w:rPr>
              <w:tab/>
              <w:t>that ITU</w:t>
            </w:r>
            <w:r w:rsidRPr="00D30ACB">
              <w:rPr>
                <w:rFonts w:eastAsia="MS Mincho" w:cstheme="minorHAnsi"/>
                <w:sz w:val="20"/>
                <w:lang w:val="en-US"/>
              </w:rPr>
              <w:noBreakHyphen/>
              <w:t>D Question 6/2 also addresses the role of Earth observation in climate change, as this radio technique is essential for monitoring the state of the Earth in terms of climate and its evolution,</w:t>
            </w:r>
          </w:p>
          <w:p w14:paraId="0E34D56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proofErr w:type="gramStart"/>
            <w:r w:rsidRPr="00D30ACB">
              <w:rPr>
                <w:rFonts w:eastAsia="MS Mincho" w:cstheme="minorHAnsi"/>
                <w:i/>
                <w:sz w:val="20"/>
                <w:lang w:val="en-US"/>
              </w:rPr>
              <w:lastRenderedPageBreak/>
              <w:t>taking into account</w:t>
            </w:r>
            <w:proofErr w:type="gramEnd"/>
          </w:p>
          <w:p w14:paraId="1BEC0CCA"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S Mincho" w:cstheme="minorHAnsi"/>
                <w:sz w:val="20"/>
                <w:lang w:val="en-US"/>
              </w:rPr>
            </w:pPr>
            <w:r w:rsidRPr="00D30ACB">
              <w:rPr>
                <w:rFonts w:eastAsia="MS Mincho" w:cstheme="minorHAnsi"/>
                <w:sz w:val="20"/>
                <w:lang w:val="en-US"/>
              </w:rPr>
              <w:t>Resolution 66 (Rev. Kigali, 2022), on information and communication technology, environment, climate change and circular economy, adopted by the World Telecommunication Development Conference (WTDC</w:t>
            </w:r>
            <w:r w:rsidRPr="00D30ACB">
              <w:rPr>
                <w:rFonts w:eastAsia="MS Mincho" w:cstheme="minorHAnsi"/>
                <w:sz w:val="20"/>
                <w:lang w:val="en-US"/>
              </w:rPr>
              <w:noBreakHyphen/>
              <w:t>22</w:t>
            </w:r>
            <w:proofErr w:type="gramStart"/>
            <w:r w:rsidRPr="00D30ACB">
              <w:rPr>
                <w:rFonts w:eastAsia="MS Mincho" w:cstheme="minorHAnsi"/>
                <w:sz w:val="20"/>
                <w:lang w:val="en-US"/>
              </w:rPr>
              <w:t>);</w:t>
            </w:r>
            <w:proofErr w:type="gramEnd"/>
          </w:p>
          <w:p w14:paraId="49B36D96"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eastAsia="MS Mincho" w:cstheme="minorHAnsi"/>
                <w:i/>
                <w:sz w:val="20"/>
                <w:lang w:val="en-US"/>
              </w:rPr>
            </w:pPr>
            <w:r w:rsidRPr="00D30ACB">
              <w:rPr>
                <w:rFonts w:eastAsia="MS Mincho" w:cstheme="minorHAnsi"/>
                <w:i/>
                <w:sz w:val="20"/>
                <w:lang w:val="en-US"/>
              </w:rPr>
              <w:t>resolves</w:t>
            </w:r>
          </w:p>
          <w:p w14:paraId="037FE2EC"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eastAsia="MS Mincho" w:cstheme="minorHAnsi"/>
                <w:sz w:val="20"/>
                <w:lang w:val="en-US"/>
              </w:rPr>
              <w:t>3</w:t>
            </w:r>
            <w:r w:rsidRPr="00D30ACB">
              <w:rPr>
                <w:rFonts w:eastAsia="MS Mincho" w:cstheme="minorHAnsi"/>
                <w:sz w:val="20"/>
                <w:lang w:val="en-US"/>
              </w:rPr>
              <w:tab/>
              <w:t>to maintain close cooperation and to regularly liaise with ITU</w:t>
            </w:r>
            <w:r w:rsidRPr="00D30ACB">
              <w:rPr>
                <w:rFonts w:eastAsia="MS Mincho" w:cstheme="minorHAnsi"/>
                <w:sz w:val="20"/>
                <w:lang w:val="en-US"/>
              </w:rPr>
              <w:noBreakHyphen/>
              <w:t>T, ITU</w:t>
            </w:r>
            <w:r w:rsidRPr="00D30ACB">
              <w:rPr>
                <w:rFonts w:eastAsia="MS Mincho" w:cstheme="minorHAnsi"/>
                <w:sz w:val="20"/>
                <w:lang w:val="en-US"/>
              </w:rPr>
              <w:noBreakHyphen/>
              <w:t xml:space="preserve">D and the General Secretariat, and to </w:t>
            </w:r>
            <w:proofErr w:type="gramStart"/>
            <w:r w:rsidRPr="00D30ACB">
              <w:rPr>
                <w:rFonts w:eastAsia="MS Mincho" w:cstheme="minorHAnsi"/>
                <w:sz w:val="20"/>
                <w:lang w:val="en-US"/>
              </w:rPr>
              <w:t>take into account</w:t>
            </w:r>
            <w:proofErr w:type="gramEnd"/>
            <w:r w:rsidRPr="00D30ACB">
              <w:rPr>
                <w:rFonts w:eastAsia="MS Mincho" w:cstheme="minorHAnsi"/>
                <w:sz w:val="20"/>
                <w:lang w:val="en-US"/>
              </w:rPr>
              <w:t xml:space="preserve"> the results of the work carried out in these Sectors and avoid duplication,</w:t>
            </w:r>
          </w:p>
        </w:tc>
      </w:tr>
      <w:tr w:rsidR="00FE075A" w:rsidRPr="00D30ACB" w14:paraId="23A8FC12"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2AD26C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sidRPr="00D30ACB">
                <w:rPr>
                  <w:rStyle w:val="Hyperlink"/>
                  <w:rFonts w:cstheme="minorHAnsi"/>
                  <w:b w:val="0"/>
                  <w:bCs w:val="0"/>
                  <w:sz w:val="20"/>
                </w:rPr>
                <w:t>Res.61-3(2023)</w:t>
              </w:r>
            </w:hyperlink>
          </w:p>
        </w:tc>
        <w:tc>
          <w:tcPr>
            <w:tcW w:w="1821" w:type="pct"/>
          </w:tcPr>
          <w:p w14:paraId="27B6BA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ITU-R’s contribution in implementing the outcomes of the World Summit on the Information Society and the 2030 Agenda for Sustainable Development</w:t>
            </w:r>
          </w:p>
        </w:tc>
        <w:tc>
          <w:tcPr>
            <w:tcW w:w="412" w:type="pct"/>
          </w:tcPr>
          <w:p w14:paraId="280D53C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254C4B4" w14:textId="77777777" w:rsidR="00FE075A" w:rsidRPr="00D30ACB" w:rsidRDefault="00FE075A" w:rsidP="000B3058">
            <w:pPr>
              <w:keepNext/>
              <w:keepLines/>
              <w:ind w:left="1134"/>
              <w:cnfStyle w:val="000000100000" w:firstRow="0" w:lastRow="0" w:firstColumn="0" w:lastColumn="0" w:oddVBand="0" w:evenVBand="0" w:oddHBand="1"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290AF014"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the </w:t>
            </w:r>
            <w:proofErr w:type="spellStart"/>
            <w:r w:rsidRPr="00D30ACB">
              <w:rPr>
                <w:rFonts w:cstheme="minorHAnsi"/>
                <w:sz w:val="20"/>
                <w:lang w:val="en-US"/>
              </w:rPr>
              <w:t>programmes</w:t>
            </w:r>
            <w:proofErr w:type="spellEnd"/>
            <w:r w:rsidRPr="00D30ACB">
              <w:rPr>
                <w:rFonts w:cstheme="minorHAnsi"/>
                <w:sz w:val="20"/>
                <w:lang w:val="en-US"/>
              </w:rPr>
              <w:t>, activities and regional initiatives being carried out in accordance with the decisions of WTDC</w:t>
            </w:r>
            <w:r w:rsidRPr="00D30ACB">
              <w:rPr>
                <w:rFonts w:cstheme="minorHAnsi"/>
                <w:sz w:val="20"/>
                <w:lang w:val="en-US"/>
              </w:rPr>
              <w:noBreakHyphen/>
              <w:t>22 for bridging the digital divide</w:t>
            </w:r>
          </w:p>
        </w:tc>
      </w:tr>
      <w:tr w:rsidR="00FE075A" w:rsidRPr="00D30ACB" w14:paraId="161AB710"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24DAF8F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sidRPr="00D30ACB">
                <w:rPr>
                  <w:rStyle w:val="Hyperlink"/>
                  <w:rFonts w:cstheme="minorHAnsi"/>
                  <w:b w:val="0"/>
                  <w:bCs w:val="0"/>
                  <w:sz w:val="20"/>
                </w:rPr>
                <w:t>Res.62-3 (2023)</w:t>
              </w:r>
            </w:hyperlink>
          </w:p>
        </w:tc>
        <w:tc>
          <w:tcPr>
            <w:tcW w:w="1821" w:type="pct"/>
          </w:tcPr>
          <w:p w14:paraId="7F8EA91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testing for conformance with ITU-R Recommendations and interoperability of radiocommunication equipment and systems</w:t>
            </w:r>
          </w:p>
        </w:tc>
        <w:tc>
          <w:tcPr>
            <w:tcW w:w="412" w:type="pct"/>
          </w:tcPr>
          <w:p w14:paraId="1EF9FDD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78C38AF"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recognizing</w:t>
            </w:r>
          </w:p>
          <w:p w14:paraId="59677D0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d)</w:t>
            </w:r>
            <w:r w:rsidRPr="00D30ACB">
              <w:rPr>
                <w:rFonts w:cstheme="minorHAnsi"/>
                <w:sz w:val="20"/>
                <w:lang w:val="en-US"/>
              </w:rPr>
              <w:tab/>
              <w:t>the progress reports presented by the Director of the Telecommunication Standardization Bureau to the Council and the Plenipotentiary Conference,</w:t>
            </w:r>
          </w:p>
          <w:p w14:paraId="723414EF"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considering</w:t>
            </w:r>
          </w:p>
          <w:p w14:paraId="53141926"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a)</w:t>
            </w:r>
            <w:r w:rsidRPr="00D30ACB">
              <w:rPr>
                <w:rFonts w:cstheme="minorHAnsi"/>
                <w:sz w:val="20"/>
                <w:lang w:val="en-US"/>
              </w:rPr>
              <w:tab/>
              <w:t xml:space="preserve">that there is an increasing number of complaints that equipment is often not fully interoperable with other </w:t>
            </w:r>
            <w:proofErr w:type="gramStart"/>
            <w:r w:rsidRPr="00D30ACB">
              <w:rPr>
                <w:rFonts w:cstheme="minorHAnsi"/>
                <w:sz w:val="20"/>
                <w:lang w:val="en-US"/>
              </w:rPr>
              <w:t>equipment;</w:t>
            </w:r>
            <w:proofErr w:type="gramEnd"/>
          </w:p>
          <w:p w14:paraId="45159840"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b)</w:t>
            </w:r>
            <w:r w:rsidRPr="00D30ACB">
              <w:rPr>
                <w:rFonts w:cstheme="minorHAnsi"/>
                <w:sz w:val="20"/>
                <w:lang w:val="en-US"/>
              </w:rPr>
              <w:tab/>
              <w:t xml:space="preserve">that some countries, especially the developing countries, have not yet acquired the capacity to test equipment and provide assurance to consumers in their </w:t>
            </w:r>
            <w:proofErr w:type="gramStart"/>
            <w:r w:rsidRPr="00D30ACB">
              <w:rPr>
                <w:rFonts w:cstheme="minorHAnsi"/>
                <w:sz w:val="20"/>
                <w:lang w:val="en-US"/>
              </w:rPr>
              <w:t>countries;</w:t>
            </w:r>
            <w:proofErr w:type="gramEnd"/>
          </w:p>
          <w:p w14:paraId="687EBA18"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i/>
                <w:iCs/>
                <w:sz w:val="20"/>
                <w:lang w:val="en-US"/>
              </w:rPr>
              <w:t>c)</w:t>
            </w:r>
            <w:r w:rsidRPr="00D30ACB">
              <w:rPr>
                <w:rFonts w:cstheme="minorHAnsi"/>
                <w:sz w:val="20"/>
                <w:lang w:val="en-US"/>
              </w:rPr>
              <w:tab/>
              <w:t>that increased confidence in the conformance of radiocommunication equipment may increase the chances of end-to-end interoperability of equipment from different manufacturers, and would assist developing countries in the choice of solutions,</w:t>
            </w:r>
          </w:p>
          <w:p w14:paraId="60B62BAB"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proofErr w:type="gramStart"/>
            <w:r w:rsidRPr="00D30ACB">
              <w:rPr>
                <w:rFonts w:cstheme="minorHAnsi"/>
                <w:i/>
                <w:sz w:val="20"/>
                <w:lang w:val="en-US"/>
              </w:rPr>
              <w:lastRenderedPageBreak/>
              <w:t>taking into account</w:t>
            </w:r>
            <w:proofErr w:type="gramEnd"/>
          </w:p>
          <w:p w14:paraId="47B6301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the experience acquired by ITU</w:t>
            </w:r>
            <w:r w:rsidRPr="00D30ACB">
              <w:rPr>
                <w:rFonts w:cstheme="minorHAnsi"/>
                <w:sz w:val="20"/>
                <w:lang w:val="en-US"/>
              </w:rPr>
              <w:noBreakHyphen/>
              <w:t>T and ITU</w:t>
            </w:r>
            <w:r w:rsidRPr="00D30ACB">
              <w:rPr>
                <w:rFonts w:cstheme="minorHAnsi"/>
                <w:sz w:val="20"/>
                <w:lang w:val="en-US"/>
              </w:rPr>
              <w:noBreakHyphen/>
              <w:t xml:space="preserve">D </w:t>
            </w:r>
            <w:proofErr w:type="gramStart"/>
            <w:r w:rsidRPr="00D30ACB">
              <w:rPr>
                <w:rFonts w:cstheme="minorHAnsi"/>
                <w:sz w:val="20"/>
                <w:lang w:val="en-US"/>
              </w:rPr>
              <w:t>in the course of</w:t>
            </w:r>
            <w:proofErr w:type="gramEnd"/>
            <w:r w:rsidRPr="00D30ACB">
              <w:rPr>
                <w:rFonts w:cstheme="minorHAnsi"/>
                <w:sz w:val="20"/>
                <w:lang w:val="en-US"/>
              </w:rPr>
              <w:t xml:space="preserve"> implementing Resolution 177 (</w:t>
            </w:r>
            <w:r w:rsidRPr="00D30ACB">
              <w:rPr>
                <w:rFonts w:cstheme="minorHAnsi"/>
                <w:iCs/>
                <w:sz w:val="20"/>
                <w:lang w:val="en-US"/>
              </w:rPr>
              <w:t>Rev. Bucharest, 2022</w:t>
            </w:r>
            <w:r w:rsidRPr="00D30ACB">
              <w:rPr>
                <w:rFonts w:cstheme="minorHAnsi"/>
                <w:sz w:val="20"/>
                <w:lang w:val="en-US"/>
              </w:rPr>
              <w:t>)</w:t>
            </w:r>
            <w:r w:rsidRPr="00D30ACB">
              <w:rPr>
                <w:rFonts w:cstheme="minorHAnsi"/>
                <w:iCs/>
                <w:sz w:val="20"/>
                <w:lang w:val="en-US"/>
              </w:rPr>
              <w:t xml:space="preserve"> of the Plenipotentiary Conference</w:t>
            </w:r>
            <w:r w:rsidRPr="00D30ACB">
              <w:rPr>
                <w:rFonts w:cstheme="minorHAnsi"/>
                <w:sz w:val="20"/>
                <w:lang w:val="en-US"/>
              </w:rPr>
              <w:t xml:space="preserve">, Resolution 76 (Rev. Geneva, 2022) of the World Telecommunication Standardization Assembly and Resolution 47 (Rev. </w:t>
            </w:r>
            <w:r w:rsidRPr="00D30ACB">
              <w:rPr>
                <w:rFonts w:cstheme="minorHAnsi"/>
                <w:iCs/>
                <w:sz w:val="20"/>
                <w:lang w:val="en-US"/>
              </w:rPr>
              <w:t>Kigali, 2022</w:t>
            </w:r>
            <w:r w:rsidRPr="00D30ACB">
              <w:rPr>
                <w:rFonts w:cstheme="minorHAnsi"/>
                <w:sz w:val="20"/>
                <w:lang w:val="en-US"/>
              </w:rPr>
              <w:t>) of the World Telecommunication Development Conference,</w:t>
            </w:r>
          </w:p>
          <w:p w14:paraId="33609F14"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1CC3943D"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that ITU</w:t>
            </w:r>
            <w:r w:rsidRPr="00D30ACB">
              <w:rPr>
                <w:rFonts w:cstheme="minorHAnsi"/>
                <w:sz w:val="20"/>
                <w:lang w:val="en-US"/>
              </w:rPr>
              <w:noBreakHyphen/>
              <w:t>R collaborate with, and provide information when requested by, ITU</w:t>
            </w:r>
            <w:r w:rsidRPr="00D30ACB">
              <w:rPr>
                <w:rFonts w:cstheme="minorHAnsi"/>
                <w:sz w:val="20"/>
                <w:lang w:val="en-US"/>
              </w:rPr>
              <w:noBreakHyphen/>
              <w:t>T and ITU</w:t>
            </w:r>
            <w:r w:rsidRPr="00D30ACB">
              <w:rPr>
                <w:rFonts w:cstheme="minorHAnsi"/>
                <w:sz w:val="20"/>
                <w:lang w:val="en-US"/>
              </w:rPr>
              <w:noBreakHyphen/>
              <w:t>D on conformance and interoperability testing within its existing mandate consistent with Resolution 177 (</w:t>
            </w:r>
            <w:r w:rsidRPr="00D30ACB">
              <w:rPr>
                <w:rFonts w:cstheme="minorHAnsi"/>
                <w:iCs/>
                <w:sz w:val="20"/>
                <w:lang w:val="en-US"/>
              </w:rPr>
              <w:t>Rev. Bucharest, 2022)</w:t>
            </w:r>
            <w:r w:rsidRPr="00D30ACB">
              <w:rPr>
                <w:rFonts w:cstheme="minorHAnsi"/>
                <w:sz w:val="20"/>
                <w:lang w:val="en-US"/>
              </w:rPr>
              <w:t xml:space="preserve"> </w:t>
            </w:r>
            <w:r w:rsidRPr="00D30ACB">
              <w:rPr>
                <w:rFonts w:cstheme="minorHAnsi"/>
                <w:iCs/>
                <w:sz w:val="20"/>
                <w:lang w:val="en-US"/>
              </w:rPr>
              <w:t>of the Plenipotentiary Conference</w:t>
            </w:r>
            <w:r w:rsidRPr="00D30ACB">
              <w:rPr>
                <w:rFonts w:cstheme="minorHAnsi"/>
                <w:sz w:val="20"/>
                <w:lang w:val="en-US"/>
              </w:rPr>
              <w:t xml:space="preserve"> (see noting </w:t>
            </w:r>
            <w:r w:rsidRPr="00D30ACB">
              <w:rPr>
                <w:rFonts w:cstheme="minorHAnsi"/>
                <w:i/>
                <w:sz w:val="20"/>
                <w:lang w:val="en-US"/>
              </w:rPr>
              <w:t>b)</w:t>
            </w:r>
            <w:r w:rsidRPr="00D30ACB">
              <w:rPr>
                <w:rFonts w:cstheme="minorHAnsi"/>
                <w:sz w:val="20"/>
                <w:lang w:val="en-US"/>
              </w:rPr>
              <w:t>),</w:t>
            </w:r>
          </w:p>
        </w:tc>
      </w:tr>
      <w:tr w:rsidR="00FE075A" w:rsidRPr="00D30ACB" w14:paraId="0C4766AB"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9ED9E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1" w:history="1">
              <w:r w:rsidRPr="00D30ACB">
                <w:rPr>
                  <w:rStyle w:val="Hyperlink"/>
                  <w:rFonts w:cstheme="minorHAnsi"/>
                  <w:b w:val="0"/>
                  <w:bCs w:val="0"/>
                  <w:sz w:val="20"/>
                </w:rPr>
                <w:t>Res.64 (2015)</w:t>
              </w:r>
            </w:hyperlink>
          </w:p>
        </w:tc>
        <w:tc>
          <w:tcPr>
            <w:tcW w:w="1821" w:type="pct"/>
          </w:tcPr>
          <w:p w14:paraId="4BE87AD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Guidelines for the management of unauthorized operation of earth station terminals</w:t>
            </w:r>
          </w:p>
        </w:tc>
        <w:tc>
          <w:tcPr>
            <w:tcW w:w="412" w:type="pct"/>
          </w:tcPr>
          <w:p w14:paraId="30BD47F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87FDCD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287A19F1"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2A3A63B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2" w:history="1">
              <w:r w:rsidRPr="00D30ACB">
                <w:rPr>
                  <w:rStyle w:val="Hyperlink"/>
                  <w:rFonts w:cstheme="minorHAnsi"/>
                  <w:b w:val="0"/>
                  <w:bCs w:val="0"/>
                  <w:sz w:val="20"/>
                </w:rPr>
                <w:t>Res.65-1 (2023)</w:t>
              </w:r>
            </w:hyperlink>
          </w:p>
        </w:tc>
        <w:tc>
          <w:tcPr>
            <w:tcW w:w="1821" w:type="pct"/>
          </w:tcPr>
          <w:p w14:paraId="1D0F78A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Principles for the process of future development of IMT for 2020 and beyond</w:t>
            </w:r>
          </w:p>
        </w:tc>
        <w:tc>
          <w:tcPr>
            <w:tcW w:w="412" w:type="pct"/>
          </w:tcPr>
          <w:p w14:paraId="7593B7F0" w14:textId="77777777" w:rsidR="00FE075A" w:rsidRPr="00D30ACB" w:rsidDel="00CE083E"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F0471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46369B96"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F41FD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3" w:history="1">
              <w:r w:rsidRPr="00D30ACB">
                <w:rPr>
                  <w:rStyle w:val="Hyperlink"/>
                  <w:rFonts w:cstheme="minorHAnsi"/>
                  <w:b w:val="0"/>
                  <w:bCs w:val="0"/>
                  <w:sz w:val="20"/>
                </w:rPr>
                <w:t>Res.66-2 (2023)</w:t>
              </w:r>
            </w:hyperlink>
          </w:p>
        </w:tc>
        <w:tc>
          <w:tcPr>
            <w:tcW w:w="1821" w:type="pct"/>
          </w:tcPr>
          <w:p w14:paraId="5194E483"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Studies related to wireless systems and applications for the development of the Internet of Things</w:t>
            </w:r>
          </w:p>
        </w:tc>
        <w:tc>
          <w:tcPr>
            <w:tcW w:w="412" w:type="pct"/>
          </w:tcPr>
          <w:p w14:paraId="580F4FE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5E783FD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412B0F7"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7FB99F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4" w:history="1">
              <w:r w:rsidRPr="00D30ACB">
                <w:rPr>
                  <w:rStyle w:val="Hyperlink"/>
                  <w:rFonts w:cstheme="minorHAnsi"/>
                  <w:b w:val="0"/>
                  <w:bCs w:val="0"/>
                  <w:sz w:val="20"/>
                </w:rPr>
                <w:t>Res.67-2 (2023)</w:t>
              </w:r>
            </w:hyperlink>
          </w:p>
        </w:tc>
        <w:tc>
          <w:tcPr>
            <w:tcW w:w="1821" w:type="pct"/>
          </w:tcPr>
          <w:p w14:paraId="4A4E75B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Telecommunication/ICT accessibility for persons with disabilities and persons with specific needs</w:t>
            </w:r>
          </w:p>
        </w:tc>
        <w:tc>
          <w:tcPr>
            <w:tcW w:w="412" w:type="pct"/>
          </w:tcPr>
          <w:p w14:paraId="3F06D74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47DAAE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5C0BB5C1"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C1BEB6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5" w:history="1">
              <w:r w:rsidRPr="00D30ACB">
                <w:rPr>
                  <w:rStyle w:val="Hyperlink"/>
                  <w:rFonts w:cstheme="minorHAnsi"/>
                  <w:b w:val="0"/>
                  <w:bCs w:val="0"/>
                  <w:sz w:val="20"/>
                </w:rPr>
                <w:t>Res.68 (2015)</w:t>
              </w:r>
            </w:hyperlink>
          </w:p>
        </w:tc>
        <w:tc>
          <w:tcPr>
            <w:tcW w:w="1821" w:type="pct"/>
          </w:tcPr>
          <w:p w14:paraId="1622383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Improving the dissemination of knowledge concerning the applicable regulatory procedures for small satellites, including nanosatellites and picosatellites</w:t>
            </w:r>
          </w:p>
        </w:tc>
        <w:tc>
          <w:tcPr>
            <w:tcW w:w="412" w:type="pct"/>
          </w:tcPr>
          <w:p w14:paraId="39D45EF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34D002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7EE42BB9"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484881E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6" w:history="1">
              <w:r w:rsidRPr="00D30ACB">
                <w:rPr>
                  <w:rStyle w:val="Hyperlink"/>
                  <w:rFonts w:cstheme="minorHAnsi"/>
                  <w:b w:val="0"/>
                  <w:bCs w:val="0"/>
                  <w:sz w:val="20"/>
                </w:rPr>
                <w:t>Res.69-2 (2023)</w:t>
              </w:r>
            </w:hyperlink>
          </w:p>
        </w:tc>
        <w:tc>
          <w:tcPr>
            <w:tcW w:w="1821" w:type="pct"/>
          </w:tcPr>
          <w:p w14:paraId="20AD78F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Development and deployment of international public telecommunications via satellite in developing countries</w:t>
            </w:r>
          </w:p>
        </w:tc>
        <w:tc>
          <w:tcPr>
            <w:tcW w:w="412" w:type="pct"/>
          </w:tcPr>
          <w:p w14:paraId="3A06EFC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72980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i/>
                <w:sz w:val="20"/>
                <w:lang w:val="en-US"/>
              </w:rPr>
              <w:t>invites the Director of the Telecommunication Development Burea</w:t>
            </w:r>
            <w:r w:rsidRPr="00D30ACB">
              <w:rPr>
                <w:rFonts w:cstheme="minorHAnsi"/>
                <w:i/>
                <w:iCs/>
                <w:sz w:val="20"/>
                <w:lang w:val="en-US"/>
              </w:rPr>
              <w:t>u</w:t>
            </w:r>
          </w:p>
          <w:p w14:paraId="4E3E4A2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w:t>
            </w:r>
            <w:r w:rsidRPr="00D30ACB">
              <w:rPr>
                <w:rFonts w:cstheme="minorHAnsi"/>
                <w:sz w:val="20"/>
                <w:lang w:val="en-US"/>
              </w:rPr>
              <w:lastRenderedPageBreak/>
              <w:t xml:space="preserve">enhance the capacity-building activities on the use of broadband connectivity via </w:t>
            </w:r>
            <w:proofErr w:type="gramStart"/>
            <w:r w:rsidRPr="00D30ACB">
              <w:rPr>
                <w:rFonts w:cstheme="minorHAnsi"/>
                <w:sz w:val="20"/>
                <w:lang w:val="en-US"/>
              </w:rPr>
              <w:t>satellite;</w:t>
            </w:r>
            <w:proofErr w:type="gramEnd"/>
          </w:p>
          <w:p w14:paraId="46B0922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i/>
                <w:iCs/>
                <w:sz w:val="20"/>
                <w:lang w:val="en-US"/>
              </w:rPr>
            </w:pPr>
            <w:r w:rsidRPr="00D30ACB">
              <w:rPr>
                <w:rFonts w:cstheme="minorHAnsi"/>
                <w:sz w:val="20"/>
                <w:lang w:val="en-US"/>
              </w:rPr>
              <w:t>2</w:t>
            </w:r>
            <w:r w:rsidRPr="00D30ACB">
              <w:rPr>
                <w:rFonts w:cstheme="minorHAnsi"/>
                <w:sz w:val="20"/>
                <w:lang w:val="en-US"/>
              </w:rPr>
              <w:tab/>
              <w:t>to bring this resolution to the attention of the World Telecommunication Development Conference,</w:t>
            </w:r>
          </w:p>
        </w:tc>
      </w:tr>
      <w:tr w:rsidR="00FE075A" w:rsidRPr="00D30ACB" w14:paraId="0E8278A4"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26E499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7" w:history="1">
              <w:r w:rsidRPr="00D30ACB">
                <w:rPr>
                  <w:rStyle w:val="Hyperlink"/>
                  <w:rFonts w:cstheme="minorHAnsi"/>
                  <w:b w:val="0"/>
                  <w:bCs w:val="0"/>
                  <w:sz w:val="20"/>
                </w:rPr>
                <w:t>Res.70-1 (2023)</w:t>
              </w:r>
            </w:hyperlink>
          </w:p>
        </w:tc>
        <w:tc>
          <w:tcPr>
            <w:tcW w:w="1821" w:type="pct"/>
          </w:tcPr>
          <w:p w14:paraId="2C095F8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Principles for the future development of broadcasting</w:t>
            </w:r>
          </w:p>
        </w:tc>
        <w:tc>
          <w:tcPr>
            <w:tcW w:w="412" w:type="pct"/>
          </w:tcPr>
          <w:p w14:paraId="7EA175D5" w14:textId="77777777" w:rsidR="00FE075A" w:rsidRPr="00D30ACB" w:rsidDel="00093DA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3325F6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625D76A3"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3E5AE1F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8" w:history="1">
              <w:r w:rsidRPr="00D30ACB">
                <w:rPr>
                  <w:rStyle w:val="Hyperlink"/>
                  <w:rFonts w:cstheme="minorHAnsi"/>
                  <w:b w:val="0"/>
                  <w:bCs w:val="0"/>
                  <w:sz w:val="20"/>
                </w:rPr>
                <w:t>Res.71-1 (2023)</w:t>
              </w:r>
            </w:hyperlink>
          </w:p>
        </w:tc>
        <w:tc>
          <w:tcPr>
            <w:tcW w:w="1821" w:type="pct"/>
          </w:tcPr>
          <w:p w14:paraId="3F9C08B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color w:val="000000"/>
                <w:sz w:val="20"/>
                <w:lang w:val="en-US" w:eastAsia="en-GB"/>
              </w:rPr>
              <w:t>Role of the Radiocommunication Sector in the ongoing development of Television, Sound and Multimedia Broadcasting</w:t>
            </w:r>
          </w:p>
        </w:tc>
        <w:tc>
          <w:tcPr>
            <w:tcW w:w="412" w:type="pct"/>
          </w:tcPr>
          <w:p w14:paraId="6007269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D60BEC9"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resolves</w:t>
            </w:r>
          </w:p>
          <w:p w14:paraId="5383DA8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1</w:t>
            </w:r>
            <w:r w:rsidRPr="00D30ACB">
              <w:rPr>
                <w:rFonts w:cstheme="minorHAnsi"/>
                <w:sz w:val="20"/>
                <w:lang w:val="en-US"/>
              </w:rPr>
              <w:tab/>
            </w:r>
            <w:r w:rsidRPr="00D30ACB">
              <w:rPr>
                <w:rFonts w:cstheme="minorHAnsi"/>
                <w:spacing w:val="-2"/>
                <w:sz w:val="20"/>
                <w:lang w:val="en-US"/>
              </w:rPr>
              <w:t>that a roadmap for ITU</w:t>
            </w:r>
            <w:r w:rsidRPr="00D30ACB">
              <w:rPr>
                <w:rFonts w:cstheme="minorHAnsi"/>
                <w:spacing w:val="-2"/>
                <w:sz w:val="20"/>
                <w:lang w:val="en-US"/>
              </w:rPr>
              <w:noBreakHyphen/>
              <w:t xml:space="preserve">R activities for </w:t>
            </w:r>
            <w:r w:rsidRPr="00D30ACB">
              <w:rPr>
                <w:rFonts w:cstheme="minorHAnsi"/>
                <w:spacing w:val="-2"/>
                <w:sz w:val="20"/>
                <w:lang w:val="en-US" w:eastAsia="ko-KR"/>
              </w:rPr>
              <w:t>broadcasting</w:t>
            </w:r>
            <w:r w:rsidRPr="00D30ACB">
              <w:rPr>
                <w:rFonts w:cstheme="minorHAnsi"/>
                <w:spacing w:val="-2"/>
                <w:sz w:val="20"/>
                <w:lang w:val="en-US"/>
              </w:rPr>
              <w:t xml:space="preserve"> should be developed by the relevant </w:t>
            </w:r>
            <w:r w:rsidRPr="00D30ACB">
              <w:rPr>
                <w:rFonts w:cstheme="minorHAnsi"/>
                <w:sz w:val="20"/>
                <w:lang w:val="en-US"/>
              </w:rPr>
              <w:t>Radiocommunication Study Group to ensure that this work is progressed effectively and efficiently</w:t>
            </w:r>
            <w:r w:rsidRPr="00D30ACB">
              <w:rPr>
                <w:rFonts w:cstheme="minorHAnsi"/>
                <w:spacing w:val="-2"/>
                <w:sz w:val="20"/>
                <w:lang w:val="en-US"/>
              </w:rPr>
              <w:t xml:space="preserve"> </w:t>
            </w:r>
            <w:r w:rsidRPr="00D30ACB">
              <w:rPr>
                <w:rFonts w:cstheme="minorHAnsi"/>
                <w:sz w:val="20"/>
                <w:lang w:val="en-US"/>
              </w:rPr>
              <w:t>with other ITU</w:t>
            </w:r>
            <w:r w:rsidRPr="00D30ACB">
              <w:rPr>
                <w:rFonts w:cstheme="minorHAnsi"/>
                <w:sz w:val="20"/>
                <w:lang w:val="en-US"/>
              </w:rPr>
              <w:noBreakHyphen/>
              <w:t>R Study Groups, ITU</w:t>
            </w:r>
            <w:r w:rsidRPr="00D30ACB">
              <w:rPr>
                <w:rFonts w:cstheme="minorHAnsi"/>
                <w:sz w:val="20"/>
                <w:lang w:val="en-US"/>
              </w:rPr>
              <w:noBreakHyphen/>
              <w:t>T and ITU</w:t>
            </w:r>
            <w:r w:rsidRPr="00D30ACB">
              <w:rPr>
                <w:rFonts w:cstheme="minorHAnsi"/>
                <w:sz w:val="20"/>
                <w:lang w:val="en-US"/>
              </w:rPr>
              <w:noBreakHyphen/>
              <w:t xml:space="preserve">D as well as organizations external to </w:t>
            </w:r>
            <w:proofErr w:type="gramStart"/>
            <w:r w:rsidRPr="00D30ACB">
              <w:rPr>
                <w:rFonts w:cstheme="minorHAnsi"/>
                <w:sz w:val="20"/>
                <w:lang w:val="en-US"/>
              </w:rPr>
              <w:t>ITU;</w:t>
            </w:r>
            <w:proofErr w:type="gramEnd"/>
          </w:p>
          <w:p w14:paraId="0462EE52"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2</w:t>
            </w:r>
            <w:r w:rsidRPr="00D30ACB">
              <w:rPr>
                <w:rFonts w:cstheme="minorHAnsi"/>
                <w:sz w:val="20"/>
                <w:lang w:val="en-US"/>
              </w:rPr>
              <w:tab/>
              <w:t xml:space="preserve">that </w:t>
            </w:r>
            <w:proofErr w:type="gramStart"/>
            <w:r w:rsidRPr="00D30ACB">
              <w:rPr>
                <w:rFonts w:cstheme="minorHAnsi"/>
                <w:sz w:val="20"/>
                <w:lang w:val="en-US"/>
              </w:rPr>
              <w:t>taking into account</w:t>
            </w:r>
            <w:proofErr w:type="gramEnd"/>
            <w:r w:rsidRPr="00D30ACB">
              <w:rPr>
                <w:rFonts w:cstheme="minorHAnsi"/>
                <w:sz w:val="20"/>
                <w:lang w:val="en-US"/>
              </w:rPr>
              <w:t xml:space="preserve"> the established processes for </w:t>
            </w:r>
            <w:proofErr w:type="spellStart"/>
            <w:r w:rsidRPr="00D30ACB">
              <w:rPr>
                <w:rFonts w:cstheme="minorHAnsi"/>
                <w:sz w:val="20"/>
                <w:lang w:val="en-US"/>
              </w:rPr>
              <w:t>intersector</w:t>
            </w:r>
            <w:proofErr w:type="spellEnd"/>
            <w:r w:rsidRPr="00D30ACB">
              <w:rPr>
                <w:rFonts w:cstheme="minorHAnsi"/>
                <w:sz w:val="20"/>
                <w:lang w:val="en-US"/>
              </w:rPr>
              <w:t xml:space="preserve"> coordination activities between ITU</w:t>
            </w:r>
            <w:r w:rsidRPr="00D30ACB">
              <w:rPr>
                <w:rFonts w:cstheme="minorHAnsi"/>
                <w:sz w:val="20"/>
                <w:lang w:val="en-US"/>
              </w:rPr>
              <w:noBreakHyphen/>
              <w:t>R and ITU</w:t>
            </w:r>
            <w:r w:rsidRPr="00D30ACB">
              <w:rPr>
                <w:rFonts w:cstheme="minorHAnsi"/>
                <w:sz w:val="20"/>
                <w:lang w:val="en-US"/>
              </w:rPr>
              <w:noBreakHyphen/>
              <w:t xml:space="preserve">D concerning </w:t>
            </w:r>
            <w:r w:rsidRPr="00D30ACB">
              <w:rPr>
                <w:rFonts w:cstheme="minorHAnsi"/>
                <w:sz w:val="20"/>
                <w:lang w:val="en-US" w:eastAsia="ko-KR"/>
              </w:rPr>
              <w:t>broadcasting</w:t>
            </w:r>
            <w:r w:rsidRPr="00D30ACB">
              <w:rPr>
                <w:rFonts w:cstheme="minorHAnsi"/>
                <w:sz w:val="20"/>
                <w:lang w:val="en-US"/>
              </w:rPr>
              <w:t>, these activities should be continued and enhanced;</w:t>
            </w:r>
          </w:p>
        </w:tc>
      </w:tr>
      <w:tr w:rsidR="00FE075A" w:rsidRPr="00D30ACB" w14:paraId="64B75DBF"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69D238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9" w:history="1">
              <w:r w:rsidRPr="00D30ACB">
                <w:rPr>
                  <w:rStyle w:val="Hyperlink"/>
                  <w:rFonts w:cstheme="minorHAnsi"/>
                  <w:b w:val="0"/>
                  <w:bCs w:val="0"/>
                  <w:sz w:val="20"/>
                </w:rPr>
                <w:t>Res.72 (2023)</w:t>
              </w:r>
            </w:hyperlink>
          </w:p>
        </w:tc>
        <w:tc>
          <w:tcPr>
            <w:tcW w:w="1821" w:type="pct"/>
          </w:tcPr>
          <w:p w14:paraId="4569DE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Promoting gender equality and equity, and bridging the contribution and participation gap between women and men in ITU-R activities</w:t>
            </w:r>
          </w:p>
        </w:tc>
        <w:tc>
          <w:tcPr>
            <w:tcW w:w="412" w:type="pct"/>
          </w:tcPr>
          <w:p w14:paraId="0983B50E"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1CC5A0D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59C7C301"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699450D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0" w:history="1">
              <w:r w:rsidRPr="00D30ACB">
                <w:rPr>
                  <w:rStyle w:val="Hyperlink"/>
                  <w:rFonts w:cstheme="minorHAnsi"/>
                  <w:b w:val="0"/>
                  <w:bCs w:val="0"/>
                  <w:sz w:val="20"/>
                </w:rPr>
                <w:t>Res.73 (2023)</w:t>
              </w:r>
            </w:hyperlink>
          </w:p>
        </w:tc>
        <w:tc>
          <w:tcPr>
            <w:tcW w:w="1821" w:type="pct"/>
          </w:tcPr>
          <w:p w14:paraId="79EE0385"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Use of IMT technologies for Fixed Wireless Broadband in the frequency bands allocated to the fixed service on a primary basis</w:t>
            </w:r>
          </w:p>
        </w:tc>
        <w:tc>
          <w:tcPr>
            <w:tcW w:w="412" w:type="pct"/>
          </w:tcPr>
          <w:p w14:paraId="3B0A0718"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ABEEE4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FE075A" w:rsidRPr="00D30ACB" w14:paraId="013FDBB5" w14:textId="77777777" w:rsidTr="7ADFB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F90D37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1" w:history="1">
              <w:r w:rsidRPr="00D30ACB">
                <w:rPr>
                  <w:rStyle w:val="Hyperlink"/>
                  <w:rFonts w:cstheme="minorHAnsi"/>
                  <w:b w:val="0"/>
                  <w:bCs w:val="0"/>
                  <w:sz w:val="20"/>
                </w:rPr>
                <w:t>Res.74 (2023)</w:t>
              </w:r>
            </w:hyperlink>
          </w:p>
        </w:tc>
        <w:tc>
          <w:tcPr>
            <w:tcW w:w="1821" w:type="pct"/>
          </w:tcPr>
          <w:p w14:paraId="520CFE0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Activities related to the sustainable use of radio-frequency spectrum and associated satellite-orbit resources used by space services</w:t>
            </w:r>
          </w:p>
        </w:tc>
        <w:tc>
          <w:tcPr>
            <w:tcW w:w="412" w:type="pct"/>
          </w:tcPr>
          <w:p w14:paraId="577A3A2B"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716657B"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FE075A" w:rsidRPr="00D30ACB" w14:paraId="2138A658" w14:textId="77777777" w:rsidTr="7ADFB2BB">
        <w:tc>
          <w:tcPr>
            <w:cnfStyle w:val="001000000000" w:firstRow="0" w:lastRow="0" w:firstColumn="1" w:lastColumn="0" w:oddVBand="0" w:evenVBand="0" w:oddHBand="0" w:evenHBand="0" w:firstRowFirstColumn="0" w:firstRowLastColumn="0" w:lastRowFirstColumn="0" w:lastRowLastColumn="0"/>
            <w:tcW w:w="479" w:type="pct"/>
          </w:tcPr>
          <w:p w14:paraId="09DC4ED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72" w:history="1">
              <w:r w:rsidRPr="00D30ACB">
                <w:rPr>
                  <w:rStyle w:val="Hyperlink"/>
                  <w:rFonts w:cstheme="minorHAnsi"/>
                  <w:b w:val="0"/>
                  <w:bCs w:val="0"/>
                  <w:sz w:val="20"/>
                </w:rPr>
                <w:t>Res.75 (2023)</w:t>
              </w:r>
            </w:hyperlink>
          </w:p>
        </w:tc>
        <w:tc>
          <w:tcPr>
            <w:tcW w:w="1821" w:type="pct"/>
          </w:tcPr>
          <w:p w14:paraId="63C8C49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en-GB"/>
              </w:rPr>
            </w:pPr>
            <w:r w:rsidRPr="00D30ACB">
              <w:rPr>
                <w:rFonts w:cstheme="minorHAnsi"/>
                <w:b/>
                <w:bCs/>
                <w:color w:val="000000"/>
                <w:sz w:val="20"/>
                <w:lang w:val="en-US" w:eastAsia="en-GB"/>
              </w:rPr>
              <w:t>Strengthening coordination and cooperation among the three ITU Sectors on matters of mutual interest</w:t>
            </w:r>
          </w:p>
        </w:tc>
        <w:tc>
          <w:tcPr>
            <w:tcW w:w="412" w:type="pct"/>
          </w:tcPr>
          <w:p w14:paraId="282B2605" w14:textId="77777777" w:rsidR="00FE075A" w:rsidRPr="00D30ACB" w:rsidDel="007B5FE1"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1A5E565A" w14:textId="77777777" w:rsidR="00FE075A" w:rsidRPr="00D30ACB" w:rsidRDefault="00FE075A" w:rsidP="000B3058">
            <w:pPr>
              <w:keepNext/>
              <w:keepLines/>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invites the Directors of the </w:t>
            </w:r>
            <w:proofErr w:type="spellStart"/>
            <w:r w:rsidRPr="00D30ACB">
              <w:rPr>
                <w:rFonts w:cstheme="minorHAnsi"/>
                <w:i/>
                <w:sz w:val="20"/>
                <w:lang w:val="en-US"/>
              </w:rPr>
              <w:t>Bureaux</w:t>
            </w:r>
            <w:proofErr w:type="spellEnd"/>
          </w:p>
          <w:p w14:paraId="3023679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to create cooperation mechanisms at secretariat level on matters of mutual interest to the three </w:t>
            </w:r>
            <w:proofErr w:type="gramStart"/>
            <w:r w:rsidRPr="00D30ACB">
              <w:rPr>
                <w:rFonts w:cstheme="minorHAnsi"/>
                <w:sz w:val="20"/>
                <w:lang w:val="en-US"/>
              </w:rPr>
              <w:t>Sectors;</w:t>
            </w:r>
            <w:proofErr w:type="gramEnd"/>
          </w:p>
          <w:p w14:paraId="59496B09" w14:textId="77777777" w:rsidR="00FE075A" w:rsidRDefault="00FE075A" w:rsidP="000B3058">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lastRenderedPageBreak/>
              <w:t>invites the Telecommunication Development Advisory Group, in collaboration with the Radiocommunication Advisory Group and the Telecommunication Standardization Advisory Group</w:t>
            </w:r>
          </w:p>
          <w:p w14:paraId="709C230A" w14:textId="77777777" w:rsidR="00FE075A" w:rsidRPr="006D7404" w:rsidRDefault="00FE075A" w:rsidP="000B3058">
            <w:pPr>
              <w:keepNext/>
              <w:keepLines/>
              <w:spacing w:before="160" w:line="280" w:lineRule="exact"/>
              <w:ind w:left="794"/>
              <w:cnfStyle w:val="000000000000" w:firstRow="0" w:lastRow="0" w:firstColumn="0" w:lastColumn="0" w:oddVBand="0" w:evenVBand="0" w:oddHBand="0" w:evenHBand="0" w:firstRowFirstColumn="0" w:firstRowLastColumn="0" w:lastRowFirstColumn="0" w:lastRowLastColumn="0"/>
              <w:rPr>
                <w:rFonts w:cstheme="minorHAnsi"/>
                <w:iCs/>
                <w:sz w:val="20"/>
                <w:lang w:val="en-US"/>
              </w:rPr>
            </w:pPr>
            <w:r w:rsidRPr="006D7404">
              <w:rPr>
                <w:rFonts w:cstheme="minorHAns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30F9309E"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 xml:space="preserve">instructs the ITU Radiocommunication Sector Study Groups </w:t>
            </w:r>
          </w:p>
          <w:p w14:paraId="62CAEC25"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continue cooperation with the Study Groups of the other two Sectors </w:t>
            </w:r>
            <w:proofErr w:type="gramStart"/>
            <w:r w:rsidRPr="00D30ACB">
              <w:rPr>
                <w:rFonts w:cstheme="minorHAnsi"/>
                <w:sz w:val="20"/>
                <w:lang w:val="en-US"/>
              </w:rPr>
              <w:t>so as to</w:t>
            </w:r>
            <w:proofErr w:type="gramEnd"/>
            <w:r w:rsidRPr="00D30ACB">
              <w:rPr>
                <w:rFonts w:cstheme="minorHAnsi"/>
                <w:sz w:val="20"/>
                <w:lang w:val="en-US"/>
              </w:rPr>
              <w:t xml:space="preserve"> avoid duplication of effort and proactively make use of the results of work done by the Study Groups of those two Sectors,</w:t>
            </w:r>
          </w:p>
          <w:p w14:paraId="1DD243FA" w14:textId="77777777" w:rsidR="00FE075A" w:rsidRPr="00D30ACB" w:rsidRDefault="00FE075A" w:rsidP="000B3058">
            <w:pPr>
              <w:keepNext/>
              <w:keepLine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instructs the Chairs of the Study Groups and the Director of the Radiocommunication Bureau</w:t>
            </w:r>
          </w:p>
          <w:p w14:paraId="26867CF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take all appropriate actions for the implementation of this Resolution by, </w:t>
            </w:r>
            <w:r w:rsidRPr="00D30ACB">
              <w:rPr>
                <w:rFonts w:cstheme="minorHAnsi"/>
                <w:i/>
                <w:iCs/>
                <w:sz w:val="20"/>
                <w:lang w:val="en-US"/>
              </w:rPr>
              <w:t>inter alia</w:t>
            </w:r>
            <w:r w:rsidRPr="00D30ACB">
              <w:rPr>
                <w:rFonts w:cstheme="minorHAnsi"/>
                <w:sz w:val="20"/>
                <w:lang w:val="en-US"/>
              </w:rPr>
              <w:t xml:space="preserve">, motivating participants in the Radiocommunication Sector to </w:t>
            </w:r>
            <w:proofErr w:type="gramStart"/>
            <w:r w:rsidRPr="00D30ACB">
              <w:rPr>
                <w:rFonts w:cstheme="minorHAnsi"/>
                <w:sz w:val="20"/>
                <w:lang w:val="en-US"/>
              </w:rPr>
              <w:t>provide assistance to</w:t>
            </w:r>
            <w:proofErr w:type="gramEnd"/>
            <w:r w:rsidRPr="00D30ACB">
              <w:rPr>
                <w:rFonts w:cstheme="minorHAnsi"/>
                <w:sz w:val="20"/>
                <w:lang w:val="en-US"/>
              </w:rPr>
              <w:t xml:space="preserve"> the Telecommunication Development Sector,</w:t>
            </w:r>
          </w:p>
          <w:p w14:paraId="107459C9" w14:textId="77777777" w:rsidR="00FE075A" w:rsidRPr="00D30ACB" w:rsidRDefault="00FE075A" w:rsidP="000B3058">
            <w:pPr>
              <w:keepNext/>
              <w:keepLines/>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i/>
                <w:sz w:val="20"/>
                <w:lang w:val="en-US"/>
              </w:rPr>
            </w:pPr>
            <w:r w:rsidRPr="00D30ACB">
              <w:rPr>
                <w:rFonts w:cstheme="minorHAnsi"/>
                <w:i/>
                <w:sz w:val="20"/>
                <w:lang w:val="en-US"/>
              </w:rPr>
              <w:t>invites Member States and Sector Members</w:t>
            </w:r>
          </w:p>
          <w:p w14:paraId="5AA52FE3"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1 to support efforts to improve inter-Sector </w:t>
            </w:r>
            <w:proofErr w:type="gramStart"/>
            <w:r w:rsidRPr="00D30ACB">
              <w:rPr>
                <w:rFonts w:cstheme="minorHAnsi"/>
                <w:sz w:val="20"/>
                <w:lang w:val="en-US"/>
              </w:rPr>
              <w:t>coordination;</w:t>
            </w:r>
            <w:proofErr w:type="gramEnd"/>
          </w:p>
          <w:p w14:paraId="0E2AF65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2 to actively participate in the implementation of this Resolution by, </w:t>
            </w:r>
            <w:r w:rsidRPr="00D30ACB">
              <w:rPr>
                <w:rFonts w:cstheme="minorHAnsi"/>
                <w:i/>
                <w:iCs/>
                <w:sz w:val="20"/>
                <w:lang w:val="en-US"/>
              </w:rPr>
              <w:t>inter alia</w:t>
            </w:r>
            <w:r w:rsidRPr="00D30ACB">
              <w:rPr>
                <w:rFonts w:cstheme="minorHAnsi"/>
                <w:sz w:val="20"/>
                <w:lang w:val="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15524FCB" w14:textId="77777777" w:rsidR="00FE075A" w:rsidRDefault="00FE075A" w:rsidP="00FE075A">
      <w:pPr>
        <w:spacing w:after="120"/>
        <w:rPr>
          <w:szCs w:val="24"/>
        </w:rPr>
      </w:pPr>
    </w:p>
    <w:p w14:paraId="11CBDFB6" w14:textId="77777777" w:rsidR="00FE075A" w:rsidRDefault="00FE075A" w:rsidP="00FE075A">
      <w:pPr>
        <w:overflowPunct/>
        <w:autoSpaceDE/>
        <w:autoSpaceDN/>
        <w:adjustRightInd/>
        <w:spacing w:before="0"/>
        <w:textAlignment w:val="auto"/>
        <w:rPr>
          <w:szCs w:val="24"/>
        </w:rPr>
      </w:pPr>
      <w:r>
        <w:rPr>
          <w:szCs w:val="24"/>
        </w:rPr>
        <w:br w:type="page"/>
      </w:r>
    </w:p>
    <w:p w14:paraId="55520F19" w14:textId="77777777" w:rsidR="00FE075A" w:rsidRPr="00BC7C1E" w:rsidRDefault="00FE075A" w:rsidP="00FE075A">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481A24F2" w14:textId="77777777" w:rsidR="00FE075A" w:rsidRPr="00BC7C1E" w:rsidRDefault="00FE075A" w:rsidP="00FE075A">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2E084336" w14:textId="77777777" w:rsidR="00FE075A" w:rsidRPr="00BC7C1E" w:rsidRDefault="00FE075A" w:rsidP="00FE075A">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128"/>
        <w:gridCol w:w="4970"/>
        <w:gridCol w:w="1159"/>
        <w:gridCol w:w="6712"/>
      </w:tblGrid>
      <w:tr w:rsidR="00FE075A" w:rsidRPr="00D30ACB" w14:paraId="36BCA5E2" w14:textId="77777777" w:rsidTr="000B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0E074CA8"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49147AEF"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31BCFB9E"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3A0D993E" w14:textId="77777777" w:rsidR="00FE075A" w:rsidRPr="00D30ACB" w:rsidRDefault="00FE075A" w:rsidP="000B305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FE075A" w:rsidRPr="00D30ACB" w14:paraId="56ED0419"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E34981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42BB345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22D30DC6"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15C4328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2D45252" w14:textId="77777777" w:rsidR="00FE075A" w:rsidRPr="00D30ACB" w:rsidRDefault="00FE075A" w:rsidP="000B3058">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 xml:space="preserve">having </w:t>
            </w:r>
            <w:r w:rsidRPr="00D30ACB">
              <w:rPr>
                <w:rFonts w:eastAsia="Malgun Gothic" w:cstheme="minorHAnsi"/>
                <w:i/>
                <w:iCs/>
                <w:sz w:val="20"/>
                <w:lang w:val="en-US" w:eastAsia="ko-KR"/>
              </w:rPr>
              <w:t>not</w:t>
            </w:r>
            <w:r>
              <w:rPr>
                <w:rFonts w:eastAsia="Malgun Gothic" w:cstheme="minorHAnsi"/>
                <w:i/>
                <w:iCs/>
                <w:sz w:val="20"/>
                <w:lang w:val="en-US" w:eastAsia="ko-KR"/>
              </w:rPr>
              <w:t>ed</w:t>
            </w:r>
          </w:p>
          <w:p w14:paraId="4666DA5F" w14:textId="77777777" w:rsidR="00FE075A"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that the assistance provided for the developing countries by the Union in the field of telecommunications in cooperation with other United Nations specialized agencies, such as the United Nations Development </w:t>
            </w:r>
            <w:proofErr w:type="spellStart"/>
            <w:r w:rsidRPr="00D30ACB">
              <w:rPr>
                <w:rFonts w:eastAsia="Malgun Gothic" w:cstheme="minorHAnsi"/>
                <w:sz w:val="20"/>
                <w:lang w:val="en-US" w:eastAsia="ko-KR"/>
              </w:rPr>
              <w:t>Programme</w:t>
            </w:r>
            <w:proofErr w:type="spellEnd"/>
            <w:r w:rsidRPr="00D30ACB">
              <w:rPr>
                <w:rFonts w:eastAsia="Malgun Gothic" w:cstheme="minorHAnsi"/>
                <w:sz w:val="20"/>
                <w:lang w:val="en-US" w:eastAsia="ko-KR"/>
              </w:rPr>
              <w:t xml:space="preserve"> (UNDP), augurs well for the future,</w:t>
            </w:r>
          </w:p>
          <w:p w14:paraId="72D44C65" w14:textId="77777777" w:rsidR="00FE075A" w:rsidRPr="00680253"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5583AF62" w14:textId="77777777" w:rsidR="00FE075A" w:rsidRPr="00680253"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w:t>
            </w:r>
            <w:proofErr w:type="gramStart"/>
            <w:r w:rsidRPr="00680253">
              <w:rPr>
                <w:rFonts w:eastAsia="Malgun Gothic" w:cstheme="minorHAnsi"/>
                <w:sz w:val="20"/>
                <w:lang w:eastAsia="ko-KR"/>
              </w:rPr>
              <w:t>radiocommunications;</w:t>
            </w:r>
            <w:proofErr w:type="gramEnd"/>
          </w:p>
          <w:p w14:paraId="37EC23A2" w14:textId="77777777" w:rsidR="00FE075A" w:rsidRPr="00680253" w:rsidRDefault="00FE075A" w:rsidP="000B3058">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791FE04E"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 xml:space="preserve">to arrange funds and resources for this purpose from the UNDP or other sources </w:t>
            </w:r>
            <w:proofErr w:type="gramStart"/>
            <w:r w:rsidRPr="00680253">
              <w:rPr>
                <w:rFonts w:eastAsia="Malgun Gothic" w:cstheme="minorHAnsi"/>
                <w:sz w:val="20"/>
                <w:lang w:eastAsia="ko-KR"/>
              </w:rPr>
              <w:t>in order to</w:t>
            </w:r>
            <w:proofErr w:type="gramEnd"/>
            <w:r w:rsidRPr="00680253">
              <w:rPr>
                <w:rFonts w:eastAsia="Malgun Gothic" w:cstheme="minorHAnsi"/>
                <w:sz w:val="20"/>
                <w:lang w:eastAsia="ko-KR"/>
              </w:rPr>
              <w:t xml:space="preserve"> enable the Union to provide the countries concerned with adequate and effective technical assistance for the purpose of this Resolution,</w:t>
            </w:r>
            <w:r>
              <w:rPr>
                <w:rFonts w:eastAsia="Malgun Gothic" w:cstheme="minorHAnsi"/>
                <w:sz w:val="20"/>
                <w:lang w:eastAsia="ko-KR"/>
              </w:rPr>
              <w:br/>
            </w:r>
          </w:p>
        </w:tc>
      </w:tr>
      <w:tr w:rsidR="00FE075A" w:rsidRPr="00D30ACB" w14:paraId="1441F725"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DC32559"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227CA140"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Assistance and support to Palestine</w:t>
            </w:r>
          </w:p>
        </w:tc>
        <w:tc>
          <w:tcPr>
            <w:tcW w:w="387" w:type="pct"/>
          </w:tcPr>
          <w:p w14:paraId="2242C687"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76C6FE4F"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4B1711A9"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4F0D6F10"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h) Resolution 9 (Rev. Kigali, 2022), Resolution 9 (Rev. Buenos Aires, 2017) and Resolution 9 (Rev. Dubai, 2014) of WTDC, which recognize that it is the sovereign right of every State to manage spectrum use within its territories.</w:t>
            </w:r>
          </w:p>
          <w:p w14:paraId="516A9D84" w14:textId="77777777" w:rsidR="00FE075A" w:rsidRPr="00D30ACB" w:rsidRDefault="00FE075A" w:rsidP="000B3058">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0229AF97" w14:textId="77777777" w:rsidR="00FE075A" w:rsidRPr="00D30ACB" w:rsidRDefault="00FE075A" w:rsidP="000B3058">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w:t>
            </w:r>
            <w:proofErr w:type="gramStart"/>
            <w:r w:rsidRPr="00D30ACB">
              <w:rPr>
                <w:rFonts w:eastAsia="Malgun Gothic" w:cstheme="minorHAnsi"/>
                <w:sz w:val="20"/>
                <w:lang w:val="en-US" w:eastAsia="ko-KR"/>
              </w:rPr>
              <w:t>provide assistance to</w:t>
            </w:r>
            <w:proofErr w:type="gramEnd"/>
            <w:r w:rsidRPr="00D30ACB">
              <w:rPr>
                <w:rFonts w:eastAsia="Malgun Gothic" w:cstheme="minorHAnsi"/>
                <w:sz w:val="20"/>
                <w:lang w:val="en-US" w:eastAsia="ko-KR"/>
              </w:rPr>
              <w:t xml:space="preserve">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FE075A" w:rsidRPr="00D30ACB" w14:paraId="025D566C"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1B2FE4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0AD14D8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1A98BB5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057DD62"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75D4DE34"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FE075A" w:rsidRPr="00D30ACB" w14:paraId="485DCDC2"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1C9258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2CB0AF8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114A29C8"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531946D" w14:textId="77777777" w:rsidR="00FE075A" w:rsidRPr="00D30ACB" w:rsidRDefault="00FE075A" w:rsidP="000B3058">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A181155" w14:textId="77777777" w:rsidR="00FE075A" w:rsidRPr="00D30ACB" w:rsidRDefault="00FE075A" w:rsidP="000B3058">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E075A" w:rsidRPr="00D30ACB" w14:paraId="277539EA"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51AB6A2F"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38157DB1"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2B83C95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79D0DB5C" w14:textId="77777777" w:rsidR="00FE075A" w:rsidRPr="00D30ACB" w:rsidRDefault="00FE075A" w:rsidP="000B3058">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5C7C4BCF" w14:textId="77777777" w:rsidR="00FE075A" w:rsidRPr="00D30ACB" w:rsidRDefault="00FE075A" w:rsidP="000B3058">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FE075A" w:rsidRPr="00D30ACB" w14:paraId="1C0450AF"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573B873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21BE640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20112D3A"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E00D021" w14:textId="77777777" w:rsidR="00FE075A" w:rsidRPr="00D30ACB" w:rsidRDefault="00FE075A" w:rsidP="000B3058">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103D5576" w14:textId="77777777" w:rsidR="00FE075A" w:rsidRPr="00D30ACB" w:rsidRDefault="00FE075A" w:rsidP="000B3058">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FE075A" w:rsidRPr="00D30ACB" w14:paraId="53FA045B" w14:textId="77777777" w:rsidTr="000B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6C98019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1E830582"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2377107D"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9C05118" w14:textId="77777777" w:rsidR="00FE075A" w:rsidRPr="00D30ACB" w:rsidRDefault="00FE075A" w:rsidP="000B3058">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51F3DCB6"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367078A"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7298EF4E"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702169AF"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4CE06392"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5758C1C3" w14:textId="77777777" w:rsidR="00FE075A" w:rsidRPr="00D30ACB" w:rsidRDefault="00FE075A" w:rsidP="000B3058">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030E3AFF" w14:textId="77777777" w:rsidR="00FE075A" w:rsidRPr="00D30ACB" w:rsidRDefault="00FE075A" w:rsidP="000B3058">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r w:rsidRPr="00D30ACB">
              <w:rPr>
                <w:rFonts w:cstheme="minorHAnsi"/>
                <w:i/>
                <w:iCs/>
                <w:sz w:val="20"/>
                <w:lang w:val="en-US"/>
              </w:rPr>
              <w:t xml:space="preserve">invites the ITU Telecommunication Development Sector </w:t>
            </w:r>
            <w:r w:rsidRPr="00D30ACB">
              <w:rPr>
                <w:rFonts w:cstheme="minorHAnsi"/>
                <w:sz w:val="20"/>
                <w:lang w:val="en-US"/>
              </w:rPr>
              <w:t>by encouraging joint activities between the relevant study groups of both ITU-D and ITU-R,</w:t>
            </w:r>
          </w:p>
        </w:tc>
      </w:tr>
      <w:tr w:rsidR="00FE075A" w:rsidRPr="00D30ACB" w14:paraId="68F20E59" w14:textId="77777777" w:rsidTr="000B3058">
        <w:tc>
          <w:tcPr>
            <w:cnfStyle w:val="001000000000" w:firstRow="0" w:lastRow="0" w:firstColumn="1" w:lastColumn="0" w:oddVBand="0" w:evenVBand="0" w:oddHBand="0" w:evenHBand="0" w:firstRowFirstColumn="0" w:firstRowLastColumn="0" w:lastRowFirstColumn="0" w:lastRowLastColumn="0"/>
            <w:tcW w:w="711" w:type="pct"/>
          </w:tcPr>
          <w:p w14:paraId="3985E7FC"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61217F9E"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D29BEC4" w14:textId="77777777" w:rsidR="00FE075A" w:rsidRPr="00D30ACB" w:rsidRDefault="00FE075A" w:rsidP="000B305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25885466" w14:textId="77777777" w:rsidR="00FE075A" w:rsidRPr="00D30ACB" w:rsidRDefault="00FE075A" w:rsidP="000B3058">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7A1A95CF" w14:textId="77777777" w:rsidR="00FE075A" w:rsidRPr="00D30ACB" w:rsidRDefault="00FE075A" w:rsidP="000B3058">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w:t>
            </w:r>
            <w:proofErr w:type="gramStart"/>
            <w:r w:rsidRPr="00D30ACB">
              <w:rPr>
                <w:rFonts w:cstheme="minorHAnsi"/>
                <w:sz w:val="20"/>
                <w:lang w:val="en-US"/>
              </w:rPr>
              <w:t>in order to</w:t>
            </w:r>
            <w:proofErr w:type="gramEnd"/>
            <w:r w:rsidRPr="00D30ACB">
              <w:rPr>
                <w:rFonts w:cstheme="minorHAnsi"/>
                <w:sz w:val="20"/>
                <w:lang w:val="en-US"/>
              </w:rPr>
              <w:t xml:space="preserve"> help these administrations to determine the modifications of the GE06 entries according to their needs,</w:t>
            </w:r>
          </w:p>
        </w:tc>
      </w:tr>
    </w:tbl>
    <w:p w14:paraId="1DC30005" w14:textId="61FC848C" w:rsidR="00D83BF5" w:rsidRPr="0084734D" w:rsidRDefault="00D83BF5" w:rsidP="00C90315">
      <w:pPr>
        <w:jc w:val="center"/>
        <w:rPr>
          <w:szCs w:val="24"/>
        </w:rPr>
      </w:pPr>
      <w:r w:rsidRPr="00403C69">
        <w:rPr>
          <w:szCs w:val="24"/>
        </w:rPr>
        <w:t>______________</w:t>
      </w:r>
    </w:p>
    <w:sectPr w:rsidR="00D83BF5" w:rsidRPr="0084734D" w:rsidSect="00E003A4">
      <w:headerReference w:type="default" r:id="rId73"/>
      <w:headerReference w:type="first" r:id="rId74"/>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6D92" w14:textId="77777777" w:rsidR="00482295" w:rsidRDefault="00482295">
      <w:r>
        <w:separator/>
      </w:r>
    </w:p>
    <w:p w14:paraId="3D8436E2" w14:textId="77777777" w:rsidR="00482295" w:rsidRDefault="00482295"/>
  </w:endnote>
  <w:endnote w:type="continuationSeparator" w:id="0">
    <w:p w14:paraId="1A1471DA" w14:textId="77777777" w:rsidR="00482295" w:rsidRDefault="00482295">
      <w:r>
        <w:continuationSeparator/>
      </w:r>
    </w:p>
    <w:p w14:paraId="1D606887" w14:textId="77777777" w:rsidR="00482295" w:rsidRDefault="00482295"/>
  </w:endnote>
  <w:endnote w:type="continuationNotice" w:id="1">
    <w:p w14:paraId="2FCDB384" w14:textId="77777777" w:rsidR="00482295" w:rsidRDefault="00482295">
      <w:pPr>
        <w:spacing w:before="0"/>
      </w:pPr>
    </w:p>
    <w:p w14:paraId="016C8D73" w14:textId="77777777" w:rsidR="00482295" w:rsidRDefault="00482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5A4A" w14:textId="77777777" w:rsidR="009A077D" w:rsidRDefault="009A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0CB6" w14:textId="77777777" w:rsidR="009A077D" w:rsidRDefault="009A0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D495C"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9105A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9105A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1FC7DB30" w:rsidR="003447A8" w:rsidRPr="002B0159" w:rsidRDefault="00376141" w:rsidP="009A077D">
          <w:pPr>
            <w:pStyle w:val="FirstFooter"/>
            <w:tabs>
              <w:tab w:val="left" w:pos="2302"/>
            </w:tabs>
            <w:rPr>
              <w:sz w:val="18"/>
              <w:szCs w:val="18"/>
              <w:lang w:val="en-US"/>
            </w:rPr>
          </w:pPr>
          <w:proofErr w:type="spellStart"/>
          <w:r w:rsidRPr="002B0159">
            <w:rPr>
              <w:sz w:val="18"/>
              <w:szCs w:val="18"/>
              <w:lang w:val="en-US"/>
            </w:rPr>
            <w:t>Mr</w:t>
          </w:r>
          <w:proofErr w:type="spellEnd"/>
          <w:r w:rsidRPr="002B0159">
            <w:rPr>
              <w:sz w:val="18"/>
              <w:szCs w:val="18"/>
              <w:lang w:val="en-US"/>
            </w:rPr>
            <w:t xml:space="preserve"> Marco Obiso, Chief, </w:t>
          </w:r>
          <w:r w:rsidR="009A077D">
            <w:rPr>
              <w:sz w:val="18"/>
              <w:szCs w:val="18"/>
              <w:lang w:val="en-US"/>
            </w:rPr>
            <w:t>Digital Networks &amp; Environment Department, Telecommunication Development Bureau</w:t>
          </w:r>
        </w:p>
      </w:tc>
      <w:bookmarkStart w:id="10" w:name="OrgName"/>
      <w:bookmarkEnd w:id="10"/>
    </w:tr>
    <w:tr w:rsidR="003447A8" w:rsidRPr="004D495C" w14:paraId="1CC09AE7" w14:textId="77777777" w:rsidTr="003447A8">
      <w:tc>
        <w:tcPr>
          <w:tcW w:w="1526" w:type="dxa"/>
          <w:shd w:val="clear" w:color="auto" w:fill="auto"/>
        </w:tcPr>
        <w:p w14:paraId="7BB1BEC2" w14:textId="77777777" w:rsidR="003447A8" w:rsidRPr="004D495C" w:rsidRDefault="003447A8" w:rsidP="009105AA">
          <w:pPr>
            <w:pStyle w:val="FirstFooter"/>
            <w:tabs>
              <w:tab w:val="left" w:pos="1559"/>
              <w:tab w:val="left" w:pos="3828"/>
            </w:tabs>
            <w:rPr>
              <w:sz w:val="20"/>
              <w:lang w:val="en-US"/>
            </w:rPr>
          </w:pPr>
        </w:p>
      </w:tc>
      <w:tc>
        <w:tcPr>
          <w:tcW w:w="2410" w:type="dxa"/>
          <w:shd w:val="clear" w:color="auto" w:fill="auto"/>
        </w:tcPr>
        <w:p w14:paraId="6CF01C6C" w14:textId="77777777" w:rsidR="003447A8" w:rsidRPr="004D495C" w:rsidRDefault="003447A8" w:rsidP="009105AA">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0B796000" w:rsidR="003447A8" w:rsidRPr="002B0159" w:rsidRDefault="002B0159" w:rsidP="009105AA">
          <w:pPr>
            <w:pStyle w:val="FirstFooter"/>
            <w:tabs>
              <w:tab w:val="left" w:pos="2302"/>
            </w:tabs>
            <w:rPr>
              <w:sz w:val="18"/>
              <w:szCs w:val="18"/>
              <w:lang w:val="en-US"/>
            </w:rPr>
          </w:pPr>
          <w:r w:rsidRPr="002B0159">
            <w:rPr>
              <w:sz w:val="18"/>
              <w:szCs w:val="18"/>
              <w:lang w:val="en-US"/>
            </w:rPr>
            <w:t>+41 22 730 6760</w:t>
          </w:r>
        </w:p>
      </w:tc>
      <w:bookmarkStart w:id="11" w:name="PhoneNo"/>
      <w:bookmarkEnd w:id="11"/>
    </w:tr>
    <w:tr w:rsidR="003447A8" w:rsidRPr="004D495C" w14:paraId="34A468D3" w14:textId="77777777" w:rsidTr="003447A8">
      <w:tc>
        <w:tcPr>
          <w:tcW w:w="1526" w:type="dxa"/>
          <w:shd w:val="clear" w:color="auto" w:fill="auto"/>
        </w:tcPr>
        <w:p w14:paraId="2403414C" w14:textId="77777777" w:rsidR="003447A8" w:rsidRPr="004D495C" w:rsidRDefault="003447A8" w:rsidP="009105AA">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9105AA">
          <w:pPr>
            <w:pStyle w:val="FirstFooter"/>
            <w:tabs>
              <w:tab w:val="left" w:pos="2302"/>
            </w:tabs>
            <w:rPr>
              <w:sz w:val="18"/>
              <w:szCs w:val="18"/>
              <w:lang w:val="en-US"/>
            </w:rPr>
          </w:pPr>
          <w:r w:rsidRPr="004D495C">
            <w:rPr>
              <w:sz w:val="18"/>
              <w:szCs w:val="18"/>
              <w:lang w:val="en-US"/>
            </w:rPr>
            <w:t>E-mail:</w:t>
          </w:r>
        </w:p>
      </w:tc>
      <w:tc>
        <w:tcPr>
          <w:tcW w:w="5987" w:type="dxa"/>
        </w:tcPr>
        <w:p w14:paraId="36CD733D" w14:textId="1CA70CBE" w:rsidR="003447A8" w:rsidRPr="002B0159" w:rsidRDefault="002B0159" w:rsidP="009105AA">
          <w:pPr>
            <w:pStyle w:val="FirstFooter"/>
            <w:tabs>
              <w:tab w:val="left" w:pos="2302"/>
            </w:tabs>
            <w:rPr>
              <w:sz w:val="18"/>
              <w:szCs w:val="18"/>
            </w:rPr>
          </w:pPr>
          <w:hyperlink r:id="rId1" w:history="1">
            <w:r w:rsidRPr="002B0159">
              <w:rPr>
                <w:rStyle w:val="Hyperlink"/>
                <w:sz w:val="18"/>
                <w:szCs w:val="18"/>
              </w:rPr>
              <w:t>marco.obiso@itu.int</w:t>
            </w:r>
          </w:hyperlink>
          <w:r w:rsidRPr="002B0159">
            <w:rPr>
              <w:sz w:val="18"/>
              <w:szCs w:val="18"/>
            </w:rPr>
            <w:t xml:space="preserve"> </w:t>
          </w:r>
        </w:p>
      </w:tc>
      <w:bookmarkStart w:id="12" w:name="Email"/>
      <w:bookmarkEnd w:id="12"/>
    </w:tr>
  </w:tbl>
  <w:p w14:paraId="3FF320CD" w14:textId="77777777" w:rsidR="003447A8" w:rsidRDefault="003447A8" w:rsidP="009105AA">
    <w:pPr>
      <w:pStyle w:val="Footer"/>
      <w:spacing w:before="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AE87" w14:textId="77777777" w:rsidR="00482295" w:rsidRPr="0054377E" w:rsidRDefault="00482295" w:rsidP="0054377E">
      <w:pPr>
        <w:spacing w:before="0"/>
      </w:pPr>
      <w:r w:rsidRPr="0054377E">
        <w:rPr>
          <w:b/>
        </w:rPr>
        <w:t>_______________</w:t>
      </w:r>
    </w:p>
  </w:footnote>
  <w:footnote w:type="continuationSeparator" w:id="0">
    <w:p w14:paraId="208C654A" w14:textId="77777777" w:rsidR="00482295" w:rsidRDefault="00482295" w:rsidP="0054377E">
      <w:pPr>
        <w:spacing w:before="0"/>
      </w:pPr>
      <w:r>
        <w:continuationSeparator/>
      </w:r>
    </w:p>
    <w:p w14:paraId="45167CB5" w14:textId="77777777" w:rsidR="00482295" w:rsidRDefault="00482295"/>
  </w:footnote>
  <w:footnote w:type="continuationNotice" w:id="1">
    <w:p w14:paraId="4425C624" w14:textId="77777777" w:rsidR="00482295" w:rsidRDefault="00482295">
      <w:pPr>
        <w:spacing w:before="0"/>
      </w:pPr>
    </w:p>
    <w:p w14:paraId="782F280B" w14:textId="77777777" w:rsidR="00482295" w:rsidRDefault="00482295"/>
  </w:footnote>
  <w:footnote w:id="2">
    <w:p w14:paraId="291D58C1" w14:textId="77777777" w:rsidR="00FE075A" w:rsidRPr="007101D2" w:rsidRDefault="00FE075A" w:rsidP="00FE075A">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436F" w14:textId="77777777" w:rsidR="009A077D" w:rsidRDefault="009A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6E3BC7E"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D61C34">
      <w:rPr>
        <w:sz w:val="22"/>
        <w:szCs w:val="22"/>
        <w:lang w:val="es-ES_tradnl"/>
      </w:rPr>
      <w:t>25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72C3" w14:textId="77777777" w:rsidR="009A077D" w:rsidRDefault="009A0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BFA0" w14:textId="77777777" w:rsidR="00D61C34" w:rsidRPr="00A7027A" w:rsidRDefault="00D61C34" w:rsidP="00D61C34">
    <w:pPr>
      <w:tabs>
        <w:tab w:val="clear" w:pos="1134"/>
        <w:tab w:val="clear" w:pos="1871"/>
        <w:tab w:val="clear" w:pos="2268"/>
        <w:tab w:val="center" w:pos="7088"/>
        <w:tab w:val="right" w:pos="14175"/>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p w14:paraId="288E85B8" w14:textId="33331837" w:rsidR="00D61C34" w:rsidRPr="00D61C34" w:rsidRDefault="00D61C34" w:rsidP="00D61C34">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A72F" w14:textId="77777777" w:rsidR="00D61C34" w:rsidRPr="00A7027A" w:rsidRDefault="00D61C34" w:rsidP="00D61C34">
    <w:pPr>
      <w:tabs>
        <w:tab w:val="clear" w:pos="1134"/>
        <w:tab w:val="clear" w:pos="1871"/>
        <w:tab w:val="clear" w:pos="2268"/>
        <w:tab w:val="center" w:pos="7088"/>
        <w:tab w:val="right" w:pos="14175"/>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Pr>
        <w:sz w:val="22"/>
        <w:szCs w:val="22"/>
        <w:lang w:val="es-ES_tradnl"/>
      </w:rPr>
      <w:t>25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p>
  <w:p w14:paraId="1A033652" w14:textId="77777777" w:rsidR="00D61C34" w:rsidRDefault="00D61C34" w:rsidP="00D61C3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637130"/>
    <w:multiLevelType w:val="hybridMultilevel"/>
    <w:tmpl w:val="B5F878B6"/>
    <w:lvl w:ilvl="0" w:tplc="4A200462">
      <w:start w:val="1"/>
      <w:numFmt w:val="decimal"/>
      <w:lvlText w:val="%1."/>
      <w:lvlJc w:val="left"/>
      <w:pPr>
        <w:ind w:left="6" w:hanging="360"/>
      </w:pPr>
      <w:rPr>
        <w:color w:val="auto"/>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9"/>
  </w:num>
  <w:num w:numId="4" w16cid:durableId="1830174465">
    <w:abstractNumId w:val="3"/>
  </w:num>
  <w:num w:numId="5" w16cid:durableId="1479105461">
    <w:abstractNumId w:val="31"/>
  </w:num>
  <w:num w:numId="6" w16cid:durableId="869954702">
    <w:abstractNumId w:val="37"/>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9"/>
  </w:num>
  <w:num w:numId="12" w16cid:durableId="1514690498">
    <w:abstractNumId w:val="36"/>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2"/>
  </w:num>
  <w:num w:numId="18" w16cid:durableId="1354573477">
    <w:abstractNumId w:val="34"/>
  </w:num>
  <w:num w:numId="19" w16cid:durableId="435754545">
    <w:abstractNumId w:val="18"/>
  </w:num>
  <w:num w:numId="20" w16cid:durableId="1066875134">
    <w:abstractNumId w:val="28"/>
  </w:num>
  <w:num w:numId="21" w16cid:durableId="1689939216">
    <w:abstractNumId w:val="27"/>
  </w:num>
  <w:num w:numId="22" w16cid:durableId="1257783837">
    <w:abstractNumId w:val="43"/>
  </w:num>
  <w:num w:numId="23" w16cid:durableId="970285242">
    <w:abstractNumId w:val="23"/>
  </w:num>
  <w:num w:numId="24" w16cid:durableId="1876889861">
    <w:abstractNumId w:val="17"/>
  </w:num>
  <w:num w:numId="25" w16cid:durableId="138228398">
    <w:abstractNumId w:val="20"/>
  </w:num>
  <w:num w:numId="26" w16cid:durableId="1871145006">
    <w:abstractNumId w:val="21"/>
  </w:num>
  <w:num w:numId="27" w16cid:durableId="1946108508">
    <w:abstractNumId w:val="24"/>
  </w:num>
  <w:num w:numId="28" w16cid:durableId="1629045729">
    <w:abstractNumId w:val="10"/>
  </w:num>
  <w:num w:numId="29" w16cid:durableId="2010906637">
    <w:abstractNumId w:val="25"/>
  </w:num>
  <w:num w:numId="30" w16cid:durableId="290525213">
    <w:abstractNumId w:val="41"/>
  </w:num>
  <w:num w:numId="31" w16cid:durableId="191966975">
    <w:abstractNumId w:val="26"/>
  </w:num>
  <w:num w:numId="32" w16cid:durableId="2014406757">
    <w:abstractNumId w:val="32"/>
  </w:num>
  <w:num w:numId="33" w16cid:durableId="648558829">
    <w:abstractNumId w:val="19"/>
  </w:num>
  <w:num w:numId="34" w16cid:durableId="2071807613">
    <w:abstractNumId w:val="9"/>
  </w:num>
  <w:num w:numId="35" w16cid:durableId="271744889">
    <w:abstractNumId w:val="35"/>
  </w:num>
  <w:num w:numId="36" w16cid:durableId="1457527817">
    <w:abstractNumId w:val="22"/>
  </w:num>
  <w:num w:numId="37" w16cid:durableId="1066101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3"/>
  </w:num>
  <w:num w:numId="39" w16cid:durableId="359361948">
    <w:abstractNumId w:val="38"/>
  </w:num>
  <w:num w:numId="40" w16cid:durableId="1037706265">
    <w:abstractNumId w:val="7"/>
  </w:num>
  <w:num w:numId="41" w16cid:durableId="447436251">
    <w:abstractNumId w:val="44"/>
  </w:num>
  <w:num w:numId="42" w16cid:durableId="655766109">
    <w:abstractNumId w:val="16"/>
  </w:num>
  <w:num w:numId="43" w16cid:durableId="577523632">
    <w:abstractNumId w:val="15"/>
  </w:num>
  <w:num w:numId="44" w16cid:durableId="1138063662">
    <w:abstractNumId w:val="40"/>
  </w:num>
  <w:num w:numId="45" w16cid:durableId="1082601882">
    <w:abstractNumId w:val="14"/>
  </w:num>
  <w:num w:numId="46" w16cid:durableId="45452299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0B5B"/>
    <w:rsid w:val="000355FD"/>
    <w:rsid w:val="0003589F"/>
    <w:rsid w:val="000447FC"/>
    <w:rsid w:val="00050191"/>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727"/>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449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159"/>
    <w:rsid w:val="002B074A"/>
    <w:rsid w:val="002B10D5"/>
    <w:rsid w:val="002B3296"/>
    <w:rsid w:val="002B3C84"/>
    <w:rsid w:val="002B5490"/>
    <w:rsid w:val="002C12ED"/>
    <w:rsid w:val="002C49BA"/>
    <w:rsid w:val="002C4B75"/>
    <w:rsid w:val="002C6B70"/>
    <w:rsid w:val="002C73F6"/>
    <w:rsid w:val="002C7D5E"/>
    <w:rsid w:val="002D4EC2"/>
    <w:rsid w:val="002D58BE"/>
    <w:rsid w:val="002D5CE8"/>
    <w:rsid w:val="002E4D1D"/>
    <w:rsid w:val="002E51E0"/>
    <w:rsid w:val="002E5411"/>
    <w:rsid w:val="002E5470"/>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6141"/>
    <w:rsid w:val="00377BD3"/>
    <w:rsid w:val="003807EA"/>
    <w:rsid w:val="003829D8"/>
    <w:rsid w:val="00382DFC"/>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1074"/>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2295"/>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1664"/>
    <w:rsid w:val="00585238"/>
    <w:rsid w:val="005855FC"/>
    <w:rsid w:val="00586D48"/>
    <w:rsid w:val="00586EB9"/>
    <w:rsid w:val="00591AB2"/>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67D"/>
    <w:rsid w:val="00680225"/>
    <w:rsid w:val="00680FEC"/>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1F48"/>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2B"/>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1801"/>
    <w:rsid w:val="009023DF"/>
    <w:rsid w:val="0090293E"/>
    <w:rsid w:val="0091016B"/>
    <w:rsid w:val="00910408"/>
    <w:rsid w:val="009105AA"/>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077D"/>
    <w:rsid w:val="009A234F"/>
    <w:rsid w:val="009A291A"/>
    <w:rsid w:val="009A7CBE"/>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0485"/>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0416"/>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62B6"/>
    <w:rsid w:val="00AD0AEB"/>
    <w:rsid w:val="00AD2A43"/>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086F"/>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4C02"/>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315"/>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1C34"/>
    <w:rsid w:val="00D62D8E"/>
    <w:rsid w:val="00D634E2"/>
    <w:rsid w:val="00D67A2E"/>
    <w:rsid w:val="00D71278"/>
    <w:rsid w:val="00D724BE"/>
    <w:rsid w:val="00D73CFE"/>
    <w:rsid w:val="00D74898"/>
    <w:rsid w:val="00D75941"/>
    <w:rsid w:val="00D75EB3"/>
    <w:rsid w:val="00D76143"/>
    <w:rsid w:val="00D801ED"/>
    <w:rsid w:val="00D83BF5"/>
    <w:rsid w:val="00D84E6C"/>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4DAC"/>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34DA"/>
    <w:rsid w:val="00DE434C"/>
    <w:rsid w:val="00DE5692"/>
    <w:rsid w:val="00DE5E67"/>
    <w:rsid w:val="00DE7766"/>
    <w:rsid w:val="00DE79F1"/>
    <w:rsid w:val="00DF02A0"/>
    <w:rsid w:val="00DF1E46"/>
    <w:rsid w:val="00DF21DF"/>
    <w:rsid w:val="00DF2D60"/>
    <w:rsid w:val="00DF6F8E"/>
    <w:rsid w:val="00E003A4"/>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2D03"/>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075A"/>
    <w:rsid w:val="00FE3346"/>
    <w:rsid w:val="00FE3926"/>
    <w:rsid w:val="00FE399E"/>
    <w:rsid w:val="00FE43D6"/>
    <w:rsid w:val="00FE48BE"/>
    <w:rsid w:val="00FE7205"/>
    <w:rsid w:val="00FE78C7"/>
    <w:rsid w:val="00FF21ED"/>
    <w:rsid w:val="00FF220A"/>
    <w:rsid w:val="00FF2A26"/>
    <w:rsid w:val="00FF3D55"/>
    <w:rsid w:val="00FF43AC"/>
    <w:rsid w:val="00FF7C84"/>
    <w:rsid w:val="13A0C545"/>
    <w:rsid w:val="7ADFB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spelle">
    <w:name w:val="spelle"/>
    <w:basedOn w:val="DefaultParagraphFont"/>
    <w:rsid w:val="00FE075A"/>
    <w:rPr>
      <w:rFonts w:cs="Times New Roman"/>
    </w:rPr>
  </w:style>
  <w:style w:type="character" w:customStyle="1" w:styleId="FR1">
    <w:name w:val="FR1"/>
    <w:basedOn w:val="DefaultParagraphFont"/>
    <w:uiPriority w:val="99"/>
    <w:rsid w:val="00FE075A"/>
    <w:rPr>
      <w:rFonts w:ascii="Calibri" w:hAnsi="Calibri"/>
      <w:position w:val="6"/>
      <w:sz w:val="18"/>
    </w:rPr>
  </w:style>
  <w:style w:type="character" w:customStyle="1" w:styleId="CEOHyperlink1">
    <w:name w:val="CEO_Hyperlink1"/>
    <w:basedOn w:val="DefaultParagraphFont"/>
    <w:uiPriority w:val="99"/>
    <w:rsid w:val="00FE075A"/>
    <w:rPr>
      <w:color w:val="0000FF"/>
      <w:u w:val="single"/>
    </w:rPr>
  </w:style>
  <w:style w:type="table" w:customStyle="1" w:styleId="GridTable5Dark-Accent11">
    <w:name w:val="Grid Table 5 Dark - Accent 11"/>
    <w:basedOn w:val="TableNormal"/>
    <w:next w:val="GridTable5Dark-Accent1"/>
    <w:uiPriority w:val="50"/>
    <w:rsid w:val="00FE075A"/>
    <w:rPr>
      <w:rFonts w:ascii="CG Times" w:eastAsia="Times New Roman"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FE07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https://www.itu.int/pub/publications.aspx?lang=en&amp;parent=R-RES-R.28-2-2012" TargetMode="External"/><Relationship Id="rId47" Type="http://schemas.openxmlformats.org/officeDocument/2006/relationships/hyperlink" Target="https://www.itu.int/pub/publications.aspx?lang=en&amp;parent=R-RES-R.48-3-2019" TargetMode="External"/><Relationship Id="rId63" Type="http://schemas.openxmlformats.org/officeDocument/2006/relationships/hyperlink" Target="https://www.itu.int/pub/publications.aspx?lang=en&amp;parent=R-RES-R.66-2-2023" TargetMode="External"/><Relationship Id="rId68" Type="http://schemas.openxmlformats.org/officeDocument/2006/relationships/hyperlink" Target="https://www.itu.int/pub/publications.aspx?lang=en&amp;parent=R-RES-R.71-1-2023" TargetMode="Externa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9" Type="http://schemas.openxmlformats.org/officeDocument/2006/relationships/hyperlink" Target="https://www.itu.int/pub/publications.aspx?lang=en&amp;parent=R-RES-R.4-9-2023"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itu.int/pub/publications.aspx?lang=en&amp;parent=R-RES-R.7-4-2019" TargetMode="External"/><Relationship Id="rId37" Type="http://schemas.openxmlformats.org/officeDocument/2006/relationships/hyperlink" Target="https://www.itu.int/pub/publications.aspx?lang=en&amp;parent=R-RES-R.15-6-2015" TargetMode="External"/><Relationship Id="rId40" Type="http://schemas.openxmlformats.org/officeDocument/2006/relationships/hyperlink" Target="https://www.itu.int/pub/publications.aspx?lang=en&amp;parent=R-RES-R.23-4-2023" TargetMode="External"/><Relationship Id="rId45" Type="http://schemas.openxmlformats.org/officeDocument/2006/relationships/hyperlink" Target="https://www.itu.int/pub/publications.aspx?lang=en&amp;parent=R-RES-R.40-4-2015" TargetMode="External"/><Relationship Id="rId53" Type="http://schemas.openxmlformats.org/officeDocument/2006/relationships/hyperlink" Target="https://www.itu.int/hub/publication/d-stg-sg02-05-2-2021/" TargetMode="External"/><Relationship Id="rId58" Type="http://schemas.openxmlformats.org/officeDocument/2006/relationships/hyperlink" Target="https://www.itu.int/pub/publications.aspx?lang=en&amp;parent=R-RES-R.60-3-2023" TargetMode="External"/><Relationship Id="rId66" Type="http://schemas.openxmlformats.org/officeDocument/2006/relationships/hyperlink" Target="https://www.itu.int/pub/publications.aspx?lang=en&amp;parent=R-RES-R.69-2-2023" TargetMode="External"/><Relationship Id="rId74"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itu.int/pub/publications.aspx?lang=en&amp;parent=R-RES-R.64-2015" TargetMode="External"/><Relationship Id="rId19" Type="http://schemas.openxmlformats.org/officeDocument/2006/relationships/hyperlink" Target="https://www.itu.int/en/ITU-R/study-groups/rcpm/Pages/cpm-23.aspx" TargetMode="External"/><Relationship Id="rId14" Type="http://schemas.openxmlformats.org/officeDocument/2006/relationships/hyperlink" Target="https://www.itu.int/wrc-23/" TargetMode="External"/><Relationship Id="rId22" Type="http://schemas.openxmlformats.org/officeDocument/2006/relationships/header" Target="header2.xml"/><Relationship Id="rId27" Type="http://schemas.openxmlformats.org/officeDocument/2006/relationships/hyperlink" Target="https://www.itu.int/pub/publications.aspx?lang=en&amp;parent=R-RES-R.1-9-2023" TargetMode="External"/><Relationship Id="rId30" Type="http://schemas.openxmlformats.org/officeDocument/2006/relationships/hyperlink" Target="https://www.itu.int/pub/publications.aspx?lang=en&amp;parent=R-RES-R.5" TargetMode="External"/><Relationship Id="rId35" Type="http://schemas.openxmlformats.org/officeDocument/2006/relationships/hyperlink" Target="https://www.itu.int/pub/publications.aspx?lang=en&amp;parent=R-RES-R.11-6-2023" TargetMode="External"/><Relationship Id="rId43" Type="http://schemas.openxmlformats.org/officeDocument/2006/relationships/hyperlink" Target="https://www.itu.int/pub/publications.aspx?lang=en&amp;parent=R-RES-R.36-6-2023" TargetMode="External"/><Relationship Id="rId48" Type="http://schemas.openxmlformats.org/officeDocument/2006/relationships/hyperlink" Target="https://www.itu.int/pub/publications.aspx?lang=en&amp;parent=R-RES-R.50-5-2023" TargetMode="External"/><Relationship Id="rId56" Type="http://schemas.openxmlformats.org/officeDocument/2006/relationships/hyperlink" Target="https://www.itu.int/pub/publications.aspx?lang=en&amp;parent=R-RES-R.58-2-2019" TargetMode="External"/><Relationship Id="rId64" Type="http://schemas.openxmlformats.org/officeDocument/2006/relationships/hyperlink" Target="https://www.itu.int/pub/publications.aspx?lang=en&amp;parent=R-RES-R.67-2-2023" TargetMode="External"/><Relationship Id="rId69" Type="http://schemas.openxmlformats.org/officeDocument/2006/relationships/hyperlink" Target="https://www.itu.int/pub/publications.aspx?lang=en&amp;parent=R-RES-R.72-2023" TargetMode="External"/><Relationship Id="rId8" Type="http://schemas.openxmlformats.org/officeDocument/2006/relationships/webSettings" Target="webSettings.xml"/><Relationship Id="rId51" Type="http://schemas.openxmlformats.org/officeDocument/2006/relationships/hyperlink" Target="https://www.itu.int/pub/publications.aspx?lang=en&amp;parent=R-RES-R.55-4-2023" TargetMode="External"/><Relationship Id="rId72" Type="http://schemas.openxmlformats.org/officeDocument/2006/relationships/hyperlink" Target="https://www.itu.int/pub/publications.aspx?lang=en&amp;parent=R-RES-R.75-2023"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eader" Target="header3.xml"/><Relationship Id="rId33" Type="http://schemas.openxmlformats.org/officeDocument/2006/relationships/hyperlink" Target="https://www.itu.int/pub/publications.aspx?lang=en&amp;parent=R-RES-R.8-4-2023" TargetMode="External"/><Relationship Id="rId38" Type="http://schemas.openxmlformats.org/officeDocument/2006/relationships/hyperlink" Target="https://www.itu.int/pub/publications.aspx?lang=en&amp;parent=R-RES-R.19-6-2023" TargetMode="External"/><Relationship Id="rId46" Type="http://schemas.openxmlformats.org/officeDocument/2006/relationships/hyperlink" Target="https://www.itu.int/pub/publications.aspx?lang=en&amp;parent=R-RES-R.47-2-2012" TargetMode="External"/><Relationship Id="rId59" Type="http://schemas.openxmlformats.org/officeDocument/2006/relationships/hyperlink" Target="https://www.itu.int/pub/publications.aspx?lang=en&amp;parent=R-RES-R.61-3-2023" TargetMode="External"/><Relationship Id="rId67" Type="http://schemas.openxmlformats.org/officeDocument/2006/relationships/hyperlink" Target="https://www.itu.int/pub/publications.aspx?lang=en&amp;parent=R-RES-R.70-1-2023" TargetMode="External"/><Relationship Id="rId20" Type="http://schemas.openxmlformats.org/officeDocument/2006/relationships/hyperlink" Target="https://www.itu.int/md/R23-CPM27.1-C-0005/en" TargetMode="External"/><Relationship Id="rId41" Type="http://schemas.openxmlformats.org/officeDocument/2006/relationships/hyperlink" Target="https://www.itu.int/pub/publications.aspx?lang=en&amp;parent=R-RES-R.25-3-2012" TargetMode="External"/><Relationship Id="rId54" Type="http://schemas.openxmlformats.org/officeDocument/2006/relationships/hyperlink" Target="https://www.itu.int/pub/publications.aspx?lang=en&amp;parent=R-RES-R.56-3-2023" TargetMode="External"/><Relationship Id="rId62" Type="http://schemas.openxmlformats.org/officeDocument/2006/relationships/hyperlink" Target="https://www.itu.int/pub/publications.aspx?lang=en&amp;parent=R-RES-R.65-1-2023" TargetMode="External"/><Relationship Id="rId70" Type="http://schemas.openxmlformats.org/officeDocument/2006/relationships/hyperlink" Target="https://www.itu.int/pub/publications.aspx?lang=en&amp;parent=R-RES-R.73-202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footer" Target="footer1.xml"/><Relationship Id="rId28" Type="http://schemas.openxmlformats.org/officeDocument/2006/relationships/hyperlink" Target="https://www.itu.int/pub/publications.aspx?lang=en&amp;parent=R-RES-R.2-9-2023" TargetMode="External"/><Relationship Id="rId36" Type="http://schemas.openxmlformats.org/officeDocument/2006/relationships/hyperlink" Target="https://www.itu.int/pub/publications.aspx?lang=en&amp;parent=R-RES-R.12-2-2023" TargetMode="External"/><Relationship Id="rId49" Type="http://schemas.openxmlformats.org/officeDocument/2006/relationships/hyperlink" Target="https://www.itu.int/pub/publications.aspx?lang=en&amp;parent=R-RES-R.52-1-2015" TargetMode="External"/><Relationship Id="rId57" Type="http://schemas.openxmlformats.org/officeDocument/2006/relationships/hyperlink" Target="https://www.itu.int/pub/publications.aspx?lang=en&amp;parent=R-RES-R.59-3-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6-3-2019" TargetMode="External"/><Relationship Id="rId44" Type="http://schemas.openxmlformats.org/officeDocument/2006/relationships/hyperlink" Target="https://www.itu.int/pub/publications.aspx?lang=en&amp;parent=R-RES-R.37-1995" TargetMode="External"/><Relationship Id="rId52" Type="http://schemas.openxmlformats.org/officeDocument/2006/relationships/hyperlink" Target="http://www.itu.int/net/ITU-R/index.asp?category=information&amp;rlink=emergency&amp;lang=en" TargetMode="External"/><Relationship Id="rId60" Type="http://schemas.openxmlformats.org/officeDocument/2006/relationships/hyperlink" Target="https://www.itu.int/pub/publications.aspx?lang=en&amp;parent=R-RES-R.62-3-2023" TargetMode="External"/><Relationship Id="rId65" Type="http://schemas.openxmlformats.org/officeDocument/2006/relationships/hyperlink" Target="https://www.itu.int/pub/publications.aspx?lang=en&amp;parent=R-RES-R.68-2015" TargetMode="External"/><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22-6-2023" TargetMode="External"/><Relationship Id="rId34" Type="http://schemas.openxmlformats.org/officeDocument/2006/relationships/hyperlink" Target="https://www.itu.int/pub/publications.aspx?lang=en&amp;parent=R-RES-R.9-7-2023" TargetMode="External"/><Relationship Id="rId50" Type="http://schemas.openxmlformats.org/officeDocument/2006/relationships/hyperlink" Target="https://www.itu.int/pub/publications.aspx?lang=en&amp;parent=R-RES-R.54-4-2023" TargetMode="External"/><Relationship Id="rId55" Type="http://schemas.openxmlformats.org/officeDocument/2006/relationships/hyperlink" Target="https://www.itu.int/pub/publications.aspx?lang=en&amp;parent=R-RES-R.57-2-2015"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pub/publications.aspx?lang=en&amp;parent=R-RES-R.74-20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3610</Words>
  <Characters>26851</Characters>
  <Application>Microsoft Office Word</Application>
  <DocSecurity>0</DocSecurity>
  <Lines>223</Lines>
  <Paragraphs>60</Paragraphs>
  <ScaleCrop>false</ScaleCrop>
  <Manager>General Secretariat - Pool</Manager>
  <Company/>
  <LinksUpToDate>false</LinksUpToDate>
  <CharactersWithSpaces>30401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62</cp:revision>
  <cp:lastPrinted>2019-01-16T07:57:00Z</cp:lastPrinted>
  <dcterms:created xsi:type="dcterms:W3CDTF">2025-02-11T10:46:00Z</dcterms:created>
  <dcterms:modified xsi:type="dcterms:W3CDTF">2025-04-07T12:00:00Z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