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horzAnchor="margin" w:tblpY="-492"/>
        <w:tblW w:w="10031" w:type="dxa"/>
        <w:tblLayout w:type="fixed"/>
        <w:tblLook w:val="0000" w:firstRow="0" w:lastRow="0" w:firstColumn="0" w:lastColumn="0" w:noHBand="0" w:noVBand="0"/>
      </w:tblPr>
      <w:tblGrid>
        <w:gridCol w:w="1985"/>
        <w:gridCol w:w="4678"/>
        <w:gridCol w:w="1984"/>
        <w:gridCol w:w="1384"/>
      </w:tblGrid>
      <w:tr w:rsidR="00AE1244" w:rsidRPr="00915038" w14:paraId="5736F9B6" w14:textId="77777777" w:rsidTr="000D6EAB">
        <w:trPr>
          <w:cantSplit/>
          <w:trHeight w:val="1276"/>
        </w:trPr>
        <w:tc>
          <w:tcPr>
            <w:tcW w:w="1985" w:type="dxa"/>
          </w:tcPr>
          <w:p w14:paraId="0AEDA171" w14:textId="61002D49" w:rsidR="00AE1244" w:rsidRPr="00915038" w:rsidRDefault="000E1F4F" w:rsidP="00A259A2">
            <w:pPr>
              <w:spacing w:after="40"/>
              <w:rPr>
                <w:b/>
                <w:bCs/>
                <w:sz w:val="30"/>
                <w:szCs w:val="30"/>
              </w:rPr>
            </w:pPr>
            <w:r w:rsidRPr="00915038">
              <w:rPr>
                <w:b/>
                <w:bCs/>
                <w:sz w:val="30"/>
                <w:szCs w:val="30"/>
              </w:rPr>
              <w:drawing>
                <wp:inline distT="0" distB="0" distL="0" distR="0" wp14:anchorId="3F2D1389" wp14:editId="0A6A42DE">
                  <wp:extent cx="1080000" cy="975600"/>
                  <wp:effectExtent l="0" t="0" r="0" b="0"/>
                  <wp:docPr id="10441203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148" t="10732" r="24949" b="17421"/>
                          <a:stretch/>
                        </pic:blipFill>
                        <pic:spPr bwMode="auto">
                          <a:xfrm>
                            <a:off x="0" y="0"/>
                            <a:ext cx="1080000" cy="9756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662" w:type="dxa"/>
            <w:gridSpan w:val="2"/>
          </w:tcPr>
          <w:p w14:paraId="0362F8A8" w14:textId="77777777" w:rsidR="008E1A73" w:rsidRPr="00915038" w:rsidRDefault="008E1A73" w:rsidP="002978E6">
            <w:pPr>
              <w:tabs>
                <w:tab w:val="clear" w:pos="1134"/>
              </w:tabs>
              <w:spacing w:before="240" w:after="240" w:line="240" w:lineRule="atLeast"/>
              <w:ind w:left="34"/>
              <w:rPr>
                <w:b/>
                <w:bCs/>
                <w:sz w:val="30"/>
                <w:szCs w:val="30"/>
              </w:rPr>
            </w:pPr>
            <w:r w:rsidRPr="00915038">
              <w:rPr>
                <w:b/>
                <w:bCs/>
                <w:sz w:val="30"/>
                <w:szCs w:val="30"/>
              </w:rPr>
              <w:t xml:space="preserve">Консультативная группа </w:t>
            </w:r>
            <w:r w:rsidRPr="00915038">
              <w:rPr>
                <w:b/>
                <w:bCs/>
                <w:sz w:val="30"/>
                <w:szCs w:val="30"/>
              </w:rPr>
              <w:br/>
              <w:t>по развитию электросвязи (КГРЭ)</w:t>
            </w:r>
          </w:p>
          <w:p w14:paraId="2DCF59CB" w14:textId="488DCFA0" w:rsidR="00AE1244" w:rsidRPr="00915038" w:rsidRDefault="00AE1244" w:rsidP="00294BF6">
            <w:pPr>
              <w:tabs>
                <w:tab w:val="clear" w:pos="1134"/>
              </w:tabs>
              <w:spacing w:after="48" w:line="240" w:lineRule="atLeast"/>
              <w:ind w:left="34"/>
              <w:rPr>
                <w:b/>
                <w:bCs/>
                <w:szCs w:val="22"/>
              </w:rPr>
            </w:pPr>
            <w:r w:rsidRPr="00915038">
              <w:rPr>
                <w:rFonts w:cstheme="minorHAnsi"/>
                <w:b/>
                <w:bCs/>
                <w:szCs w:val="22"/>
                <w:lang w:eastAsia="zh-CN"/>
              </w:rPr>
              <w:t>32-е собрание, Женева, Швейцария, 12–16 мая 2025 года</w:t>
            </w:r>
          </w:p>
        </w:tc>
        <w:tc>
          <w:tcPr>
            <w:tcW w:w="1384" w:type="dxa"/>
          </w:tcPr>
          <w:p w14:paraId="06B48AA1" w14:textId="516DD633" w:rsidR="00AE1244" w:rsidRPr="00915038" w:rsidRDefault="00AE1244" w:rsidP="00303F7C">
            <w:pPr>
              <w:spacing w:before="240" w:after="120"/>
              <w:jc w:val="right"/>
              <w:rPr>
                <w:rFonts w:cstheme="minorHAnsi"/>
              </w:rPr>
            </w:pPr>
            <w:bookmarkStart w:id="0" w:name="ditulogo"/>
            <w:bookmarkEnd w:id="0"/>
            <w:r w:rsidRPr="00915038">
              <w:rPr>
                <w:lang w:eastAsia="fr-FR"/>
              </w:rPr>
              <w:drawing>
                <wp:inline distT="0" distB="0" distL="0" distR="0" wp14:anchorId="7DBF473A" wp14:editId="2E1C811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D83BF5" w:rsidRPr="00915038" w14:paraId="6DE5ABA3" w14:textId="77777777" w:rsidTr="005C3173">
        <w:trPr>
          <w:cantSplit/>
        </w:trPr>
        <w:tc>
          <w:tcPr>
            <w:tcW w:w="6663" w:type="dxa"/>
            <w:gridSpan w:val="2"/>
            <w:tcBorders>
              <w:top w:val="single" w:sz="12" w:space="0" w:color="auto"/>
            </w:tcBorders>
          </w:tcPr>
          <w:p w14:paraId="73168FEF" w14:textId="77777777" w:rsidR="00D83BF5" w:rsidRPr="00915038" w:rsidRDefault="00D83BF5" w:rsidP="00CE66E4">
            <w:pPr>
              <w:spacing w:before="0"/>
              <w:rPr>
                <w:rFonts w:cstheme="minorHAnsi"/>
                <w:b/>
                <w:smallCaps/>
                <w:sz w:val="20"/>
              </w:rPr>
            </w:pPr>
            <w:bookmarkStart w:id="1" w:name="dhead"/>
          </w:p>
        </w:tc>
        <w:tc>
          <w:tcPr>
            <w:tcW w:w="3368" w:type="dxa"/>
            <w:gridSpan w:val="2"/>
            <w:tcBorders>
              <w:top w:val="single" w:sz="12" w:space="0" w:color="auto"/>
            </w:tcBorders>
          </w:tcPr>
          <w:p w14:paraId="439CB557" w14:textId="716EF333" w:rsidR="00D83BF5" w:rsidRPr="00915038" w:rsidRDefault="00D83BF5" w:rsidP="00CE66E4">
            <w:pPr>
              <w:spacing w:before="0"/>
              <w:rPr>
                <w:rFonts w:cstheme="minorHAnsi"/>
                <w:sz w:val="20"/>
              </w:rPr>
            </w:pPr>
          </w:p>
        </w:tc>
      </w:tr>
      <w:tr w:rsidR="00D87035" w:rsidRPr="00915038" w14:paraId="02BC550A" w14:textId="77777777" w:rsidTr="005C3173">
        <w:trPr>
          <w:cantSplit/>
          <w:trHeight w:val="23"/>
        </w:trPr>
        <w:tc>
          <w:tcPr>
            <w:tcW w:w="6663" w:type="dxa"/>
            <w:gridSpan w:val="2"/>
            <w:shd w:val="clear" w:color="auto" w:fill="auto"/>
          </w:tcPr>
          <w:p w14:paraId="1EF66EAC" w14:textId="77777777" w:rsidR="00D87035" w:rsidRPr="00915038" w:rsidRDefault="00D87035" w:rsidP="00CE66E4">
            <w:pPr>
              <w:pStyle w:val="Committee"/>
              <w:framePr w:hSpace="0" w:wrap="auto" w:hAnchor="text" w:yAlign="inline"/>
              <w:spacing w:line="240" w:lineRule="auto"/>
            </w:pPr>
            <w:bookmarkStart w:id="2" w:name="dnum" w:colFirst="1" w:colLast="1"/>
            <w:bookmarkStart w:id="3" w:name="dmeeting" w:colFirst="0" w:colLast="0"/>
            <w:bookmarkEnd w:id="1"/>
          </w:p>
        </w:tc>
        <w:tc>
          <w:tcPr>
            <w:tcW w:w="3368" w:type="dxa"/>
            <w:gridSpan w:val="2"/>
          </w:tcPr>
          <w:p w14:paraId="6F008A08" w14:textId="28CDCB8F" w:rsidR="00D87035" w:rsidRPr="00915038" w:rsidRDefault="005E032D" w:rsidP="00CE66E4">
            <w:pPr>
              <w:tabs>
                <w:tab w:val="left" w:pos="851"/>
              </w:tabs>
              <w:spacing w:before="0"/>
              <w:rPr>
                <w:rFonts w:cstheme="minorHAnsi"/>
                <w:szCs w:val="22"/>
              </w:rPr>
            </w:pPr>
            <w:r w:rsidRPr="00915038">
              <w:rPr>
                <w:b/>
                <w:bCs/>
                <w:szCs w:val="22"/>
              </w:rPr>
              <w:t>Документ</w:t>
            </w:r>
            <w:r w:rsidR="00D87035" w:rsidRPr="00915038">
              <w:rPr>
                <w:b/>
                <w:bCs/>
                <w:szCs w:val="22"/>
              </w:rPr>
              <w:t xml:space="preserve"> </w:t>
            </w:r>
            <w:bookmarkStart w:id="4" w:name="DocRef1"/>
            <w:bookmarkEnd w:id="4"/>
            <w:r w:rsidR="00D87035" w:rsidRPr="00915038">
              <w:rPr>
                <w:b/>
                <w:bCs/>
                <w:szCs w:val="22"/>
              </w:rPr>
              <w:t>TDAG-</w:t>
            </w:r>
            <w:r w:rsidR="00523934" w:rsidRPr="00915038">
              <w:rPr>
                <w:b/>
                <w:bCs/>
                <w:szCs w:val="22"/>
              </w:rPr>
              <w:t>2</w:t>
            </w:r>
            <w:r w:rsidR="0081159E" w:rsidRPr="00915038">
              <w:rPr>
                <w:b/>
                <w:bCs/>
                <w:szCs w:val="22"/>
              </w:rPr>
              <w:t>5</w:t>
            </w:r>
            <w:r w:rsidR="00D87035" w:rsidRPr="00915038">
              <w:rPr>
                <w:b/>
                <w:bCs/>
                <w:szCs w:val="22"/>
              </w:rPr>
              <w:t>/</w:t>
            </w:r>
            <w:bookmarkStart w:id="5" w:name="DocNo1"/>
            <w:bookmarkEnd w:id="5"/>
            <w:r w:rsidR="00082D75" w:rsidRPr="00915038">
              <w:rPr>
                <w:b/>
                <w:bCs/>
                <w:szCs w:val="22"/>
              </w:rPr>
              <w:t>24</w:t>
            </w:r>
            <w:r w:rsidR="00597C6A" w:rsidRPr="00915038">
              <w:rPr>
                <w:b/>
                <w:bCs/>
                <w:szCs w:val="22"/>
              </w:rPr>
              <w:t>(Rev.1)</w:t>
            </w:r>
            <w:r w:rsidR="00D87035" w:rsidRPr="00915038">
              <w:rPr>
                <w:b/>
                <w:bCs/>
                <w:szCs w:val="22"/>
              </w:rPr>
              <w:t>-</w:t>
            </w:r>
            <w:r w:rsidRPr="00915038">
              <w:rPr>
                <w:b/>
                <w:bCs/>
                <w:szCs w:val="22"/>
              </w:rPr>
              <w:t>R</w:t>
            </w:r>
          </w:p>
        </w:tc>
      </w:tr>
      <w:tr w:rsidR="00D87035" w:rsidRPr="00915038" w14:paraId="55AD5FBA" w14:textId="77777777" w:rsidTr="005C3173">
        <w:trPr>
          <w:cantSplit/>
          <w:trHeight w:val="23"/>
        </w:trPr>
        <w:tc>
          <w:tcPr>
            <w:tcW w:w="6663" w:type="dxa"/>
            <w:gridSpan w:val="2"/>
            <w:shd w:val="clear" w:color="auto" w:fill="auto"/>
          </w:tcPr>
          <w:p w14:paraId="0E170520" w14:textId="77777777" w:rsidR="00D87035" w:rsidRPr="00915038" w:rsidRDefault="00D87035" w:rsidP="00CE66E4">
            <w:pPr>
              <w:tabs>
                <w:tab w:val="left" w:pos="851"/>
              </w:tabs>
              <w:spacing w:before="0"/>
              <w:rPr>
                <w:rFonts w:cstheme="minorHAnsi"/>
                <w:b/>
                <w:szCs w:val="24"/>
              </w:rPr>
            </w:pPr>
            <w:bookmarkStart w:id="6" w:name="ddate" w:colFirst="1" w:colLast="1"/>
            <w:bookmarkStart w:id="7" w:name="dblank" w:colFirst="0" w:colLast="0"/>
            <w:bookmarkEnd w:id="2"/>
            <w:bookmarkEnd w:id="3"/>
          </w:p>
        </w:tc>
        <w:tc>
          <w:tcPr>
            <w:tcW w:w="3368" w:type="dxa"/>
            <w:gridSpan w:val="2"/>
          </w:tcPr>
          <w:p w14:paraId="242C61B7" w14:textId="66022FFA" w:rsidR="00D87035" w:rsidRPr="00915038" w:rsidRDefault="00597C6A" w:rsidP="00CE66E4">
            <w:pPr>
              <w:spacing w:before="0"/>
              <w:rPr>
                <w:rFonts w:cstheme="minorHAnsi"/>
                <w:szCs w:val="22"/>
              </w:rPr>
            </w:pPr>
            <w:r w:rsidRPr="00915038">
              <w:rPr>
                <w:b/>
                <w:bCs/>
                <w:szCs w:val="22"/>
              </w:rPr>
              <w:t>6</w:t>
            </w:r>
            <w:r w:rsidR="00082D75" w:rsidRPr="00915038">
              <w:rPr>
                <w:b/>
                <w:bCs/>
                <w:szCs w:val="22"/>
              </w:rPr>
              <w:t xml:space="preserve"> </w:t>
            </w:r>
            <w:r w:rsidRPr="00915038">
              <w:rPr>
                <w:b/>
                <w:bCs/>
                <w:szCs w:val="22"/>
              </w:rPr>
              <w:t>мая</w:t>
            </w:r>
            <w:r w:rsidR="00082D75" w:rsidRPr="00915038">
              <w:rPr>
                <w:b/>
                <w:bCs/>
                <w:szCs w:val="22"/>
              </w:rPr>
              <w:t xml:space="preserve"> </w:t>
            </w:r>
            <w:r w:rsidR="002955DA" w:rsidRPr="00915038">
              <w:rPr>
                <w:b/>
                <w:bCs/>
                <w:szCs w:val="22"/>
              </w:rPr>
              <w:t>2025</w:t>
            </w:r>
            <w:r w:rsidR="005E032D" w:rsidRPr="00915038">
              <w:rPr>
                <w:b/>
                <w:bCs/>
                <w:szCs w:val="22"/>
              </w:rPr>
              <w:t xml:space="preserve"> года</w:t>
            </w:r>
          </w:p>
        </w:tc>
      </w:tr>
      <w:bookmarkEnd w:id="6"/>
      <w:bookmarkEnd w:id="7"/>
      <w:tr w:rsidR="00D87035" w:rsidRPr="00915038" w14:paraId="07260C0B" w14:textId="77777777" w:rsidTr="005C3173">
        <w:trPr>
          <w:cantSplit/>
          <w:trHeight w:val="23"/>
        </w:trPr>
        <w:tc>
          <w:tcPr>
            <w:tcW w:w="6663" w:type="dxa"/>
            <w:gridSpan w:val="2"/>
            <w:shd w:val="clear" w:color="auto" w:fill="auto"/>
          </w:tcPr>
          <w:p w14:paraId="773E4FE3" w14:textId="77777777" w:rsidR="00D87035" w:rsidRPr="00915038" w:rsidRDefault="00D87035" w:rsidP="00CE66E4">
            <w:pPr>
              <w:tabs>
                <w:tab w:val="left" w:pos="851"/>
              </w:tabs>
              <w:spacing w:before="0"/>
              <w:rPr>
                <w:rFonts w:cstheme="minorHAnsi"/>
                <w:szCs w:val="24"/>
              </w:rPr>
            </w:pPr>
          </w:p>
        </w:tc>
        <w:tc>
          <w:tcPr>
            <w:tcW w:w="3368" w:type="dxa"/>
            <w:gridSpan w:val="2"/>
          </w:tcPr>
          <w:p w14:paraId="2C8BB831" w14:textId="6BD75EC4" w:rsidR="00D87035" w:rsidRPr="00915038" w:rsidRDefault="005E032D" w:rsidP="00CE66E4">
            <w:pPr>
              <w:tabs>
                <w:tab w:val="left" w:pos="993"/>
              </w:tabs>
              <w:spacing w:before="0"/>
              <w:rPr>
                <w:rFonts w:cstheme="minorHAnsi"/>
                <w:b/>
                <w:szCs w:val="22"/>
              </w:rPr>
            </w:pPr>
            <w:r w:rsidRPr="00915038">
              <w:rPr>
                <w:b/>
                <w:bCs/>
                <w:szCs w:val="22"/>
              </w:rPr>
              <w:t>Оригинал</w:t>
            </w:r>
            <w:r w:rsidR="00D87035" w:rsidRPr="00915038">
              <w:rPr>
                <w:b/>
                <w:bCs/>
                <w:szCs w:val="22"/>
              </w:rPr>
              <w:t xml:space="preserve">: </w:t>
            </w:r>
            <w:r w:rsidRPr="00915038">
              <w:rPr>
                <w:b/>
                <w:bCs/>
                <w:szCs w:val="22"/>
              </w:rPr>
              <w:t>английский</w:t>
            </w:r>
          </w:p>
        </w:tc>
      </w:tr>
      <w:tr w:rsidR="00D83BF5" w:rsidRPr="00915038" w14:paraId="35F96F24" w14:textId="77777777" w:rsidTr="00D87035">
        <w:trPr>
          <w:cantSplit/>
          <w:trHeight w:val="23"/>
        </w:trPr>
        <w:tc>
          <w:tcPr>
            <w:tcW w:w="10031" w:type="dxa"/>
            <w:gridSpan w:val="4"/>
            <w:shd w:val="clear" w:color="auto" w:fill="auto"/>
          </w:tcPr>
          <w:p w14:paraId="59A8A61C" w14:textId="16D84C76" w:rsidR="00D83BF5" w:rsidRPr="00915038" w:rsidRDefault="00082D75" w:rsidP="006774C6">
            <w:pPr>
              <w:pStyle w:val="Source"/>
            </w:pPr>
            <w:bookmarkStart w:id="8" w:name="dbluepink" w:colFirst="0" w:colLast="0"/>
            <w:bookmarkStart w:id="9" w:name="dorlang" w:colFirst="1" w:colLast="1"/>
            <w:r w:rsidRPr="00915038">
              <w:t>Директор Бюро развития электросвязи</w:t>
            </w:r>
          </w:p>
        </w:tc>
      </w:tr>
      <w:tr w:rsidR="00D83BF5" w:rsidRPr="00915038" w14:paraId="7EDE1565" w14:textId="77777777" w:rsidTr="00D87035">
        <w:trPr>
          <w:cantSplit/>
          <w:trHeight w:val="23"/>
        </w:trPr>
        <w:tc>
          <w:tcPr>
            <w:tcW w:w="10031" w:type="dxa"/>
            <w:gridSpan w:val="4"/>
            <w:shd w:val="clear" w:color="auto" w:fill="auto"/>
            <w:vAlign w:val="center"/>
          </w:tcPr>
          <w:p w14:paraId="3D29924B" w14:textId="641A067D" w:rsidR="00D83BF5" w:rsidRPr="00915038" w:rsidRDefault="00082D75" w:rsidP="006774C6">
            <w:pPr>
              <w:pStyle w:val="Title1"/>
              <w:rPr>
                <w:caps/>
              </w:rPr>
            </w:pPr>
            <w:r w:rsidRPr="00915038">
              <w:t xml:space="preserve">Укрепление регионального присутствия МСЭ − </w:t>
            </w:r>
            <w:r w:rsidRPr="00915038">
              <w:br/>
              <w:t>Критерии создания региональных и зональных отделений в будущем</w:t>
            </w:r>
          </w:p>
        </w:tc>
      </w:tr>
      <w:tr w:rsidR="00D83BF5" w:rsidRPr="00915038" w14:paraId="5B2B3E5A" w14:textId="77777777" w:rsidTr="00D87035">
        <w:trPr>
          <w:cantSplit/>
          <w:trHeight w:val="23"/>
        </w:trPr>
        <w:tc>
          <w:tcPr>
            <w:tcW w:w="10031" w:type="dxa"/>
            <w:gridSpan w:val="4"/>
            <w:tcBorders>
              <w:bottom w:val="single" w:sz="4" w:space="0" w:color="auto"/>
            </w:tcBorders>
            <w:shd w:val="clear" w:color="auto" w:fill="auto"/>
          </w:tcPr>
          <w:p w14:paraId="28E7AED7" w14:textId="77777777" w:rsidR="00D83BF5" w:rsidRPr="00915038" w:rsidRDefault="00D83BF5" w:rsidP="00403C69">
            <w:pPr>
              <w:pStyle w:val="Title1"/>
              <w:spacing w:before="120" w:after="120"/>
              <w:jc w:val="left"/>
              <w:rPr>
                <w:rFonts w:cs="Times New Roman Bold"/>
                <w:caps/>
                <w:szCs w:val="28"/>
              </w:rPr>
            </w:pPr>
          </w:p>
        </w:tc>
      </w:tr>
      <w:tr w:rsidR="001E252D" w:rsidRPr="00915038" w14:paraId="6C9BA039" w14:textId="77777777" w:rsidTr="00D87035">
        <w:trPr>
          <w:cantSplit/>
          <w:trHeight w:val="23"/>
        </w:trPr>
        <w:tc>
          <w:tcPr>
            <w:tcW w:w="10031" w:type="dxa"/>
            <w:gridSpan w:val="4"/>
            <w:tcBorders>
              <w:top w:val="single" w:sz="4" w:space="0" w:color="auto"/>
              <w:left w:val="single" w:sz="4" w:space="0" w:color="auto"/>
              <w:bottom w:val="single" w:sz="4" w:space="0" w:color="auto"/>
              <w:right w:val="single" w:sz="4" w:space="0" w:color="auto"/>
            </w:tcBorders>
            <w:shd w:val="clear" w:color="auto" w:fill="auto"/>
          </w:tcPr>
          <w:p w14:paraId="1DBB4473" w14:textId="77777777" w:rsidR="005E032D" w:rsidRPr="00915038" w:rsidRDefault="005E032D" w:rsidP="00EB4AE6">
            <w:pPr>
              <w:pStyle w:val="Headingb"/>
              <w:rPr>
                <w:szCs w:val="22"/>
                <w:lang w:val="ru-RU"/>
              </w:rPr>
            </w:pPr>
            <w:r w:rsidRPr="00915038">
              <w:rPr>
                <w:szCs w:val="22"/>
                <w:lang w:val="ru-RU"/>
              </w:rPr>
              <w:t>Резюме</w:t>
            </w:r>
          </w:p>
          <w:p w14:paraId="4F70BA09" w14:textId="737138A3" w:rsidR="001E252D" w:rsidRPr="00915038" w:rsidRDefault="00597C6A" w:rsidP="00EB4AE6">
            <w:pPr>
              <w:rPr>
                <w:szCs w:val="22"/>
              </w:rPr>
            </w:pPr>
            <w:r w:rsidRPr="00915038">
              <w:rPr>
                <w:szCs w:val="22"/>
              </w:rPr>
              <w:t xml:space="preserve">В настоящем документе </w:t>
            </w:r>
            <w:r w:rsidR="00CE5E8A" w:rsidRPr="00915038">
              <w:rPr>
                <w:szCs w:val="22"/>
              </w:rPr>
              <w:t xml:space="preserve">сообщается </w:t>
            </w:r>
            <w:r w:rsidRPr="00915038">
              <w:rPr>
                <w:szCs w:val="22"/>
              </w:rPr>
              <w:t xml:space="preserve">о вкладе регионального присутствия МСЭ в выполнение мандата МСЭ. </w:t>
            </w:r>
            <w:r w:rsidR="00082D75" w:rsidRPr="00915038">
              <w:rPr>
                <w:szCs w:val="22"/>
              </w:rPr>
              <w:t xml:space="preserve">В </w:t>
            </w:r>
            <w:r w:rsidRPr="00915038">
              <w:rPr>
                <w:szCs w:val="22"/>
              </w:rPr>
              <w:t xml:space="preserve">нем приводится информация о </w:t>
            </w:r>
            <w:r w:rsidR="00B154F7" w:rsidRPr="00915038">
              <w:rPr>
                <w:szCs w:val="22"/>
              </w:rPr>
              <w:t xml:space="preserve">региональной работе по </w:t>
            </w:r>
            <w:r w:rsidRPr="00915038">
              <w:rPr>
                <w:szCs w:val="22"/>
              </w:rPr>
              <w:t>выполнени</w:t>
            </w:r>
            <w:r w:rsidR="00B154F7" w:rsidRPr="00915038">
              <w:rPr>
                <w:szCs w:val="22"/>
              </w:rPr>
              <w:t>ю</w:t>
            </w:r>
            <w:r w:rsidRPr="00915038">
              <w:rPr>
                <w:szCs w:val="22"/>
              </w:rPr>
              <w:t xml:space="preserve"> </w:t>
            </w:r>
            <w:r w:rsidR="00082D75" w:rsidRPr="00915038">
              <w:rPr>
                <w:szCs w:val="22"/>
              </w:rPr>
              <w:t>Стратегическ</w:t>
            </w:r>
            <w:r w:rsidRPr="00915038">
              <w:rPr>
                <w:szCs w:val="22"/>
              </w:rPr>
              <w:t>ого</w:t>
            </w:r>
            <w:r w:rsidR="00082D75" w:rsidRPr="00915038">
              <w:rPr>
                <w:szCs w:val="22"/>
              </w:rPr>
              <w:t xml:space="preserve"> план</w:t>
            </w:r>
            <w:r w:rsidRPr="00915038">
              <w:rPr>
                <w:szCs w:val="22"/>
              </w:rPr>
              <w:t>а</w:t>
            </w:r>
            <w:r w:rsidR="00082D75" w:rsidRPr="00915038">
              <w:rPr>
                <w:szCs w:val="22"/>
              </w:rPr>
              <w:t xml:space="preserve"> МСЭ</w:t>
            </w:r>
            <w:r w:rsidRPr="00915038">
              <w:rPr>
                <w:szCs w:val="22"/>
              </w:rPr>
              <w:t>,</w:t>
            </w:r>
            <w:r w:rsidR="00082D75" w:rsidRPr="00915038">
              <w:rPr>
                <w:szCs w:val="22"/>
              </w:rPr>
              <w:t xml:space="preserve"> Кигалийск</w:t>
            </w:r>
            <w:r w:rsidRPr="00915038">
              <w:rPr>
                <w:szCs w:val="22"/>
              </w:rPr>
              <w:t>ого</w:t>
            </w:r>
            <w:r w:rsidR="00082D75" w:rsidRPr="00915038">
              <w:rPr>
                <w:szCs w:val="22"/>
              </w:rPr>
              <w:t xml:space="preserve"> план</w:t>
            </w:r>
            <w:r w:rsidRPr="00915038">
              <w:rPr>
                <w:szCs w:val="22"/>
              </w:rPr>
              <w:t>а</w:t>
            </w:r>
            <w:r w:rsidR="00082D75" w:rsidRPr="00915038">
              <w:rPr>
                <w:szCs w:val="22"/>
              </w:rPr>
              <w:t xml:space="preserve"> действий</w:t>
            </w:r>
            <w:r w:rsidRPr="00915038">
              <w:rPr>
                <w:szCs w:val="22"/>
              </w:rPr>
              <w:t xml:space="preserve"> и региональных инициатив</w:t>
            </w:r>
            <w:r w:rsidR="00082D75" w:rsidRPr="00915038">
              <w:rPr>
                <w:szCs w:val="22"/>
              </w:rPr>
              <w:t>.</w:t>
            </w:r>
          </w:p>
          <w:p w14:paraId="404BE8A6" w14:textId="77777777" w:rsidR="005E032D" w:rsidRPr="00915038" w:rsidRDefault="005E032D" w:rsidP="00EB4AE6">
            <w:pPr>
              <w:pStyle w:val="Headingb"/>
              <w:rPr>
                <w:szCs w:val="22"/>
                <w:lang w:val="ru-RU"/>
              </w:rPr>
            </w:pPr>
            <w:r w:rsidRPr="00915038">
              <w:rPr>
                <w:szCs w:val="22"/>
                <w:lang w:val="ru-RU"/>
              </w:rPr>
              <w:t>Необходимые действия</w:t>
            </w:r>
          </w:p>
          <w:p w14:paraId="6BDE7AFA" w14:textId="358E66EB" w:rsidR="001E252D" w:rsidRPr="00915038" w:rsidRDefault="00CE5E8A" w:rsidP="00EB4AE6">
            <w:pPr>
              <w:rPr>
                <w:szCs w:val="22"/>
              </w:rPr>
            </w:pPr>
            <w:r w:rsidRPr="00915038">
              <w:rPr>
                <w:szCs w:val="22"/>
              </w:rPr>
              <w:t>КГРЭ предлагается принять настоящий документ к сведению и представить руководящие указания, которые она сочтет необходимыми</w:t>
            </w:r>
            <w:r w:rsidR="003F1363" w:rsidRPr="00915038">
              <w:rPr>
                <w:szCs w:val="22"/>
              </w:rPr>
              <w:t>.</w:t>
            </w:r>
          </w:p>
          <w:p w14:paraId="2563D3A0" w14:textId="77777777" w:rsidR="00082D75" w:rsidRPr="00915038" w:rsidRDefault="004A3CDF" w:rsidP="00082D75">
            <w:pPr>
              <w:spacing w:after="120"/>
              <w:rPr>
                <w:b/>
                <w:bCs/>
                <w:szCs w:val="22"/>
              </w:rPr>
            </w:pPr>
            <w:r w:rsidRPr="00915038">
              <w:rPr>
                <w:b/>
                <w:bCs/>
                <w:szCs w:val="22"/>
              </w:rPr>
              <w:t>Справочные материалы</w:t>
            </w:r>
          </w:p>
          <w:p w14:paraId="6EF29DC6" w14:textId="10D43AB5" w:rsidR="001E252D" w:rsidRPr="00915038" w:rsidRDefault="00597C6A" w:rsidP="00B154F7">
            <w:pPr>
              <w:tabs>
                <w:tab w:val="left" w:pos="708"/>
              </w:tabs>
              <w:overflowPunct/>
              <w:autoSpaceDE/>
              <w:adjustRightInd/>
              <w:spacing w:after="120"/>
              <w:rPr>
                <w:szCs w:val="22"/>
              </w:rPr>
            </w:pPr>
            <w:hyperlink r:id="rId13" w:history="1">
              <w:r w:rsidRPr="00915038">
                <w:rPr>
                  <w:rStyle w:val="Hyperlink"/>
                  <w:szCs w:val="24"/>
                </w:rPr>
                <w:t>Резолюция 25</w:t>
              </w:r>
            </w:hyperlink>
            <w:r w:rsidRPr="00915038">
              <w:rPr>
                <w:szCs w:val="24"/>
              </w:rPr>
              <w:t xml:space="preserve"> (Пересм. Дубай, 2018 г.), </w:t>
            </w:r>
            <w:hyperlink r:id="rId14" w:history="1">
              <w:r w:rsidRPr="00915038">
                <w:rPr>
                  <w:rStyle w:val="Hyperlink"/>
                  <w:szCs w:val="24"/>
                </w:rPr>
                <w:t>Резолюция 25</w:t>
              </w:r>
            </w:hyperlink>
            <w:r w:rsidRPr="00915038">
              <w:rPr>
                <w:szCs w:val="24"/>
              </w:rPr>
              <w:t xml:space="preserve"> (Пересм. Бухарест, 2022 г.), Резолюция 135 (Пересм. Бухарест, 2022 г.) и Резолюция 157 (Пересм. Бухарест, 2022 г.) </w:t>
            </w:r>
            <w:r w:rsidR="00082D75" w:rsidRPr="00915038">
              <w:rPr>
                <w:szCs w:val="22"/>
              </w:rPr>
              <w:t>Полномочной конференции</w:t>
            </w:r>
            <w:r w:rsidRPr="00915038">
              <w:rPr>
                <w:szCs w:val="22"/>
              </w:rPr>
              <w:t xml:space="preserve">; </w:t>
            </w:r>
            <w:hyperlink r:id="rId15" w:history="1">
              <w:r w:rsidRPr="00915038">
                <w:rPr>
                  <w:rStyle w:val="Hyperlink"/>
                  <w:szCs w:val="24"/>
                </w:rPr>
                <w:t>Кигалийский план действий, Заключительный отчет Всемирной конференции по развитию электросвязи</w:t>
              </w:r>
            </w:hyperlink>
            <w:r w:rsidRPr="00915038">
              <w:rPr>
                <w:rStyle w:val="Hyperlink"/>
                <w:szCs w:val="24"/>
              </w:rPr>
              <w:t xml:space="preserve"> (Кигали, 2022 г.)</w:t>
            </w:r>
            <w:r w:rsidRPr="00915038">
              <w:rPr>
                <w:szCs w:val="22"/>
              </w:rPr>
              <w:t>, Документ</w:t>
            </w:r>
            <w:r w:rsidRPr="00915038">
              <w:t xml:space="preserve"> </w:t>
            </w:r>
            <w:hyperlink r:id="rId16" w:history="1">
              <w:r w:rsidRPr="00915038">
                <w:rPr>
                  <w:rStyle w:val="Hyperlink"/>
                  <w:rFonts w:eastAsia="Aptos"/>
                  <w:szCs w:val="24"/>
                </w:rPr>
                <w:t>TDAG31-C002</w:t>
              </w:r>
            </w:hyperlink>
            <w:r w:rsidRPr="00915038">
              <w:rPr>
                <w:rFonts w:eastAsia="Aptos"/>
                <w:szCs w:val="24"/>
              </w:rPr>
              <w:t>.</w:t>
            </w:r>
          </w:p>
        </w:tc>
      </w:tr>
      <w:bookmarkEnd w:id="8"/>
      <w:bookmarkEnd w:id="9"/>
    </w:tbl>
    <w:p w14:paraId="295EAF1B" w14:textId="77777777" w:rsidR="001E252D" w:rsidRPr="00915038" w:rsidRDefault="001E252D" w:rsidP="00CE66E4"/>
    <w:p w14:paraId="30707726" w14:textId="77777777" w:rsidR="00075C63" w:rsidRPr="00915038" w:rsidRDefault="00075C63" w:rsidP="00CE66E4">
      <w:pPr>
        <w:rPr>
          <w:szCs w:val="24"/>
        </w:rPr>
      </w:pPr>
      <w:r w:rsidRPr="00915038">
        <w:rPr>
          <w:szCs w:val="24"/>
        </w:rPr>
        <w:br w:type="page"/>
      </w:r>
    </w:p>
    <w:p w14:paraId="5946CF89" w14:textId="10543FB7" w:rsidR="0037217C" w:rsidRPr="00915038" w:rsidRDefault="00CB60FF" w:rsidP="00A0707B">
      <w:pPr>
        <w:pStyle w:val="Heading1"/>
      </w:pPr>
      <w:r w:rsidRPr="00915038">
        <w:lastRenderedPageBreak/>
        <w:t>1</w:t>
      </w:r>
      <w:r w:rsidRPr="00915038">
        <w:tab/>
      </w:r>
      <w:r w:rsidR="00B154F7" w:rsidRPr="00915038">
        <w:t>Базовая информация</w:t>
      </w:r>
    </w:p>
    <w:p w14:paraId="67B0F513" w14:textId="54FC9F36" w:rsidR="00B154F7" w:rsidRPr="00915038" w:rsidRDefault="00D65B63" w:rsidP="00CB60FF">
      <w:r w:rsidRPr="00915038">
        <w:t>1.1</w:t>
      </w:r>
      <w:r w:rsidRPr="00915038">
        <w:tab/>
      </w:r>
      <w:r w:rsidR="00CE5E8A" w:rsidRPr="00915038">
        <w:t>С учетом</w:t>
      </w:r>
      <w:r w:rsidR="00B154F7" w:rsidRPr="00915038">
        <w:t xml:space="preserve"> Статей 1 и 21 Устава МСЭ, Статей 5 и 14 Конвенции МСЭ, а также Резолюции 17 (Пересм. Буэнос-Айрес, 2017 г.) ВКРЭ в Резолюции 25 (Пересм. Бухарест, 2022 г.) Полномочной конференции об укреплении регионального присутствия МСЭ содержится призыв к МСЭ, среди прочего, "продолжать укреплять функции региональных и зональных отделений, с тем чтобы они могли играть важную роль в осуществлении Стратегического плана, программ и проектов МСЭ, а также региональных инициатив, изложенных в Кигалийском плане действий в соответствии с Резолюцией 17 (Пересм. Кигали, 2022 г.) Всемирной конференции по развитию электросвязи (ВКРЭ), в пределах имеющихся ресурсов, в том числе выделенных в финансовом плане, и поступающих из других соответствующих источников, таких как добровольные взносы и спонсорская помощь".</w:t>
      </w:r>
    </w:p>
    <w:p w14:paraId="2D3EAE0C" w14:textId="2C47DA13" w:rsidR="00B154F7" w:rsidRPr="00915038" w:rsidRDefault="00D65B63" w:rsidP="00CB60FF">
      <w:r w:rsidRPr="00915038">
        <w:t>1.2</w:t>
      </w:r>
      <w:r w:rsidRPr="00915038">
        <w:tab/>
      </w:r>
      <w:r w:rsidR="00B154F7" w:rsidRPr="00915038">
        <w:t xml:space="preserve">В Резолюции 25 подчеркивается важная роль региональных и зональных отделений в обеспечении возможности МСЭ (трех Секторов и Генерального секретариата) работать в наиболее тесном контакте со своими членами; они служат каналом для осуществления программ, проектов, видов деятельности, распространения информации о деятельности Союза, помогают налаживать более тесные связи с региональными и субрегиональными организациями электросвязи и организациями системы Организации Объединенных Наций </w:t>
      </w:r>
      <w:r w:rsidR="00FC754F" w:rsidRPr="00915038">
        <w:t xml:space="preserve">и </w:t>
      </w:r>
      <w:r w:rsidR="00B154F7" w:rsidRPr="00915038">
        <w:t>оказыва</w:t>
      </w:r>
      <w:r w:rsidR="00FC754F" w:rsidRPr="00915038">
        <w:t>ю</w:t>
      </w:r>
      <w:r w:rsidR="00B154F7" w:rsidRPr="00915038">
        <w:t>т техническую помощь странам с особыми потребностями, включая НРС.</w:t>
      </w:r>
      <w:r w:rsidR="00FC754F" w:rsidRPr="00915038">
        <w:t xml:space="preserve"> В </w:t>
      </w:r>
      <w:r w:rsidR="00CE5E8A" w:rsidRPr="00915038">
        <w:t xml:space="preserve">Резолюции </w:t>
      </w:r>
      <w:r w:rsidR="00FC754F" w:rsidRPr="00915038">
        <w:t>также отмечается важность участия развивающихся стран в деятельности МСЭ.</w:t>
      </w:r>
    </w:p>
    <w:p w14:paraId="3BBD1EBE" w14:textId="14F28B43" w:rsidR="00FC754F" w:rsidRPr="00915038" w:rsidRDefault="00D65B63" w:rsidP="00CB60FF">
      <w:r w:rsidRPr="00915038">
        <w:t>1.3</w:t>
      </w:r>
      <w:r w:rsidRPr="00915038">
        <w:tab/>
      </w:r>
      <w:r w:rsidR="00FC754F" w:rsidRPr="00915038">
        <w:t xml:space="preserve">Полномочная конференция 2022 года (ПК-22) обратилась с просьбой представить отчет о деятельности региональных и зональных отделений, заключающейся в осуществлении конкретных региональных мероприятий в соответствии со Стратегическим планом Союза, которая направлена на содействие выполнению общей задачи по достижению стратегических целей МСЭ, при обеспечении действенного представительства работы Союза, а также </w:t>
      </w:r>
      <w:r w:rsidR="00CE5E8A" w:rsidRPr="00915038">
        <w:t xml:space="preserve">учета </w:t>
      </w:r>
      <w:r w:rsidR="00FC754F" w:rsidRPr="00915038">
        <w:t>географического разнообразия и конкретных потребностей региона.</w:t>
      </w:r>
    </w:p>
    <w:p w14:paraId="3A54D19D" w14:textId="13C973AA" w:rsidR="007F1430" w:rsidRPr="00915038" w:rsidRDefault="00D65B63" w:rsidP="00CB60FF">
      <w:pPr>
        <w:rPr>
          <w:rFonts w:cstheme="minorHAnsi"/>
          <w:szCs w:val="22"/>
        </w:rPr>
      </w:pPr>
      <w:r w:rsidRPr="00915038">
        <w:t>1.</w:t>
      </w:r>
      <w:r w:rsidRPr="00915038">
        <w:rPr>
          <w:rFonts w:cstheme="minorHAnsi"/>
          <w:szCs w:val="22"/>
        </w:rPr>
        <w:t>4</w:t>
      </w:r>
      <w:r w:rsidRPr="00915038">
        <w:rPr>
          <w:rFonts w:cstheme="minorHAnsi"/>
          <w:szCs w:val="22"/>
        </w:rPr>
        <w:tab/>
      </w:r>
      <w:r w:rsidR="007F1430" w:rsidRPr="00915038">
        <w:rPr>
          <w:rFonts w:cstheme="minorHAnsi"/>
          <w:szCs w:val="22"/>
        </w:rPr>
        <w:t xml:space="preserve">В настоящем отчете представлена информация об осуществлении отделениями МСЭ на местах видов деятельности на местах, относящихся к трем Секторам Союза; также в Приложении </w:t>
      </w:r>
      <w:r w:rsidR="007F1430" w:rsidRPr="00915038">
        <w:rPr>
          <w:szCs w:val="24"/>
        </w:rPr>
        <w:t>1 (</w:t>
      </w:r>
      <w:hyperlink r:id="rId17" w:history="1">
        <w:r w:rsidR="007F1430" w:rsidRPr="00915038">
          <w:rPr>
            <w:rStyle w:val="Hyperlink"/>
            <w:rFonts w:cstheme="minorHAnsi"/>
            <w:szCs w:val="24"/>
          </w:rPr>
          <w:t>TDAG25/24(Ann.1)</w:t>
        </w:r>
      </w:hyperlink>
      <w:r w:rsidR="007F1430" w:rsidRPr="00915038">
        <w:t>)</w:t>
      </w:r>
      <w:r w:rsidR="007F1430" w:rsidRPr="00915038">
        <w:rPr>
          <w:szCs w:val="24"/>
        </w:rPr>
        <w:t xml:space="preserve"> к настоящему документу содержится отчет </w:t>
      </w:r>
      <w:r w:rsidR="007F1430" w:rsidRPr="00915038">
        <w:rPr>
          <w:rFonts w:cstheme="minorHAnsi"/>
          <w:szCs w:val="22"/>
        </w:rPr>
        <w:t>работающей по переписке онлайновой группы по разработке круга ведения МСЭ для завершения обзора регионального присутствия в соответствии с Резолюцией 25.</w:t>
      </w:r>
    </w:p>
    <w:p w14:paraId="2E431E88" w14:textId="24FBECF0" w:rsidR="007F1430" w:rsidRPr="00915038" w:rsidRDefault="007F1430" w:rsidP="007F1430">
      <w:pPr>
        <w:pStyle w:val="Heading1"/>
      </w:pPr>
      <w:r w:rsidRPr="00915038">
        <w:t>2</w:t>
      </w:r>
      <w:r w:rsidRPr="00915038">
        <w:tab/>
      </w:r>
      <w:r w:rsidR="00CE5E8A" w:rsidRPr="00915038">
        <w:t>Деятельность, связанная с Сектором развития МСЭ и БРЭ</w:t>
      </w:r>
    </w:p>
    <w:p w14:paraId="1A38F87D" w14:textId="22C55829" w:rsidR="008433F8" w:rsidRPr="00915038" w:rsidRDefault="007F1430" w:rsidP="00982D14">
      <w:pPr>
        <w:pStyle w:val="Heading2"/>
      </w:pPr>
      <w:r w:rsidRPr="00915038">
        <w:t>2.1</w:t>
      </w:r>
      <w:r w:rsidRPr="00915038">
        <w:tab/>
      </w:r>
      <w:bookmarkStart w:id="10" w:name="_Hlk197691292"/>
      <w:r w:rsidR="008433F8" w:rsidRPr="00915038">
        <w:t xml:space="preserve">Региональные форумы по вопросам развития </w:t>
      </w:r>
      <w:bookmarkEnd w:id="10"/>
      <w:r w:rsidR="008433F8" w:rsidRPr="00915038">
        <w:t>(РФР) и региональные подготовительные собрания (РПС)</w:t>
      </w:r>
    </w:p>
    <w:p w14:paraId="2E7E0D16" w14:textId="053EE599" w:rsidR="008433F8" w:rsidRPr="00915038" w:rsidRDefault="008433F8" w:rsidP="00CB60FF">
      <w:pPr>
        <w:rPr>
          <w:rFonts w:cstheme="minorHAnsi"/>
          <w:szCs w:val="22"/>
        </w:rPr>
      </w:pPr>
      <w:r w:rsidRPr="00915038">
        <w:rPr>
          <w:rFonts w:cstheme="minorHAnsi"/>
          <w:szCs w:val="22"/>
        </w:rPr>
        <w:t xml:space="preserve">Региональные форумы по вопросам развития, проведенные в </w:t>
      </w:r>
      <w:r w:rsidR="00D65B63" w:rsidRPr="00915038">
        <w:rPr>
          <w:rFonts w:cstheme="minorHAnsi"/>
          <w:szCs w:val="22"/>
        </w:rPr>
        <w:t>2025 год</w:t>
      </w:r>
      <w:r w:rsidRPr="00915038">
        <w:rPr>
          <w:rFonts w:cstheme="minorHAnsi"/>
          <w:szCs w:val="22"/>
        </w:rPr>
        <w:t xml:space="preserve">у, были </w:t>
      </w:r>
      <w:r w:rsidR="00D65B63" w:rsidRPr="00915038">
        <w:rPr>
          <w:rFonts w:cstheme="minorHAnsi"/>
          <w:szCs w:val="22"/>
        </w:rPr>
        <w:t>приурочены к региональным подготовительным собраниям к ВКРЭ-25</w:t>
      </w:r>
      <w:r w:rsidRPr="00915038">
        <w:rPr>
          <w:rFonts w:cstheme="minorHAnsi"/>
          <w:szCs w:val="22"/>
        </w:rPr>
        <w:t>, как показано в приведенной ниже таблице</w:t>
      </w:r>
      <w:r w:rsidR="00D65B63" w:rsidRPr="00915038">
        <w:rPr>
          <w:rFonts w:cstheme="minorHAnsi"/>
          <w:szCs w:val="22"/>
        </w:rPr>
        <w:t>.</w:t>
      </w:r>
    </w:p>
    <w:p w14:paraId="699A319D" w14:textId="77777777" w:rsidR="00982D14" w:rsidRPr="00915038" w:rsidRDefault="00982D14" w:rsidP="00982D14">
      <w:pPr>
        <w:pStyle w:val="TableNo"/>
      </w:pPr>
      <w:r w:rsidRPr="00915038">
        <w:t>Таблица 1</w:t>
      </w:r>
    </w:p>
    <w:p w14:paraId="5B6E421A" w14:textId="030A97C6" w:rsidR="00982D14" w:rsidRPr="00915038" w:rsidRDefault="00982D14" w:rsidP="00982D14">
      <w:pPr>
        <w:pStyle w:val="Tabletitle"/>
      </w:pPr>
      <w:r w:rsidRPr="00915038">
        <w:t>Даты и место проведения РФР и РПС, организованных в 2025 году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2"/>
        <w:gridCol w:w="2511"/>
        <w:gridCol w:w="1820"/>
        <w:gridCol w:w="1623"/>
        <w:gridCol w:w="2403"/>
      </w:tblGrid>
      <w:tr w:rsidR="00EF778B" w:rsidRPr="00915038" w14:paraId="1CD61E5A" w14:textId="77777777" w:rsidTr="00A0707B">
        <w:trPr>
          <w:tblHeader/>
          <w:jc w:val="center"/>
        </w:trPr>
        <w:tc>
          <w:tcPr>
            <w:tcW w:w="660" w:type="pct"/>
            <w:tcMar>
              <w:top w:w="0" w:type="dxa"/>
              <w:left w:w="108" w:type="dxa"/>
              <w:bottom w:w="0" w:type="dxa"/>
              <w:right w:w="108" w:type="dxa"/>
            </w:tcMar>
            <w:vAlign w:val="center"/>
          </w:tcPr>
          <w:p w14:paraId="72908907" w14:textId="77777777" w:rsidR="001B21BC" w:rsidRPr="00915038" w:rsidRDefault="001B21BC" w:rsidP="00801AD9">
            <w:pPr>
              <w:keepNext/>
              <w:spacing w:before="80" w:after="80"/>
              <w:jc w:val="center"/>
              <w:rPr>
                <w:rFonts w:eastAsiaTheme="minorHAnsi" w:cs="Times New Roman Bold"/>
                <w:b/>
                <w:sz w:val="20"/>
              </w:rPr>
            </w:pPr>
            <w:r w:rsidRPr="00915038">
              <w:rPr>
                <w:rFonts w:cs="Times New Roman Bold"/>
                <w:b/>
                <w:sz w:val="20"/>
              </w:rPr>
              <w:t>Регион</w:t>
            </w:r>
          </w:p>
        </w:tc>
        <w:tc>
          <w:tcPr>
            <w:tcW w:w="1304" w:type="pct"/>
            <w:tcMar>
              <w:top w:w="0" w:type="dxa"/>
              <w:left w:w="108" w:type="dxa"/>
              <w:bottom w:w="0" w:type="dxa"/>
              <w:right w:w="108" w:type="dxa"/>
            </w:tcMar>
            <w:vAlign w:val="center"/>
          </w:tcPr>
          <w:p w14:paraId="2DE5BABE" w14:textId="77777777" w:rsidR="001B21BC" w:rsidRPr="00915038" w:rsidRDefault="001B21BC" w:rsidP="00801AD9">
            <w:pPr>
              <w:keepNext/>
              <w:spacing w:before="80" w:after="80"/>
              <w:jc w:val="center"/>
              <w:rPr>
                <w:rFonts w:cs="Times New Roman Bold"/>
                <w:b/>
                <w:sz w:val="20"/>
              </w:rPr>
            </w:pPr>
            <w:r w:rsidRPr="00915038">
              <w:rPr>
                <w:rFonts w:cs="Times New Roman Bold"/>
                <w:b/>
                <w:sz w:val="20"/>
              </w:rPr>
              <w:t>Даты</w:t>
            </w:r>
          </w:p>
        </w:tc>
        <w:tc>
          <w:tcPr>
            <w:tcW w:w="945" w:type="pct"/>
            <w:vAlign w:val="center"/>
          </w:tcPr>
          <w:p w14:paraId="6139E5C3" w14:textId="5B99D31E" w:rsidR="001B21BC" w:rsidRPr="00915038" w:rsidRDefault="001B21BC" w:rsidP="00801AD9">
            <w:pPr>
              <w:keepNext/>
              <w:spacing w:before="80" w:after="80"/>
              <w:jc w:val="center"/>
              <w:rPr>
                <w:rFonts w:cs="Times New Roman Bold"/>
                <w:b/>
                <w:sz w:val="20"/>
              </w:rPr>
            </w:pPr>
            <w:r w:rsidRPr="00915038">
              <w:rPr>
                <w:rFonts w:cs="Times New Roman Bold"/>
                <w:b/>
                <w:sz w:val="20"/>
              </w:rPr>
              <w:t>Город и</w:t>
            </w:r>
            <w:r w:rsidR="006D02EE" w:rsidRPr="00915038">
              <w:rPr>
                <w:rFonts w:cs="Times New Roman Bold"/>
                <w:b/>
                <w:sz w:val="20"/>
              </w:rPr>
              <w:t> </w:t>
            </w:r>
            <w:r w:rsidRPr="00915038">
              <w:rPr>
                <w:rFonts w:cs="Times New Roman Bold"/>
                <w:b/>
                <w:sz w:val="20"/>
              </w:rPr>
              <w:t>принимающая страна</w:t>
            </w:r>
          </w:p>
        </w:tc>
        <w:tc>
          <w:tcPr>
            <w:tcW w:w="843" w:type="pct"/>
            <w:vAlign w:val="center"/>
          </w:tcPr>
          <w:p w14:paraId="05304269" w14:textId="55DBB513" w:rsidR="001B21BC" w:rsidRPr="00915038" w:rsidRDefault="00EF778B" w:rsidP="00801AD9">
            <w:pPr>
              <w:keepNext/>
              <w:spacing w:before="80" w:after="80"/>
              <w:jc w:val="center"/>
              <w:rPr>
                <w:rFonts w:cs="Times New Roman Bold"/>
                <w:b/>
                <w:sz w:val="20"/>
              </w:rPr>
            </w:pPr>
            <w:r w:rsidRPr="00915038">
              <w:rPr>
                <w:rFonts w:cs="Times New Roman Bold"/>
                <w:b/>
                <w:sz w:val="20"/>
              </w:rPr>
              <w:t>Заключительный отчет РПС</w:t>
            </w:r>
          </w:p>
        </w:tc>
        <w:tc>
          <w:tcPr>
            <w:tcW w:w="1248" w:type="pct"/>
          </w:tcPr>
          <w:p w14:paraId="27705E15" w14:textId="23CABDE9" w:rsidR="001B21BC" w:rsidRPr="00915038" w:rsidRDefault="001B21BC" w:rsidP="00801AD9">
            <w:pPr>
              <w:keepNext/>
              <w:spacing w:before="80" w:after="80"/>
              <w:jc w:val="center"/>
              <w:rPr>
                <w:rFonts w:cs="Times New Roman Bold"/>
                <w:b/>
                <w:sz w:val="20"/>
              </w:rPr>
            </w:pPr>
            <w:r w:rsidRPr="00915038">
              <w:rPr>
                <w:rFonts w:cs="Times New Roman Bold"/>
                <w:b/>
                <w:sz w:val="20"/>
              </w:rPr>
              <w:t>Ссылка на видеоролик о</w:t>
            </w:r>
            <w:r w:rsidR="006D02EE" w:rsidRPr="00915038">
              <w:rPr>
                <w:rFonts w:cs="Times New Roman Bold"/>
                <w:b/>
                <w:sz w:val="20"/>
              </w:rPr>
              <w:t> </w:t>
            </w:r>
            <w:r w:rsidRPr="00915038">
              <w:rPr>
                <w:rFonts w:cs="Times New Roman Bold"/>
                <w:b/>
                <w:sz w:val="20"/>
              </w:rPr>
              <w:t>выполнении Кигалийского плана действий (КПД)</w:t>
            </w:r>
          </w:p>
        </w:tc>
      </w:tr>
      <w:tr w:rsidR="00EF778B" w:rsidRPr="00915038" w14:paraId="541C2C0D" w14:textId="77777777" w:rsidTr="00A0707B">
        <w:trPr>
          <w:jc w:val="center"/>
        </w:trPr>
        <w:tc>
          <w:tcPr>
            <w:tcW w:w="660" w:type="pct"/>
            <w:tcMar>
              <w:top w:w="0" w:type="dxa"/>
              <w:left w:w="108" w:type="dxa"/>
              <w:bottom w:w="0" w:type="dxa"/>
              <w:right w:w="108" w:type="dxa"/>
            </w:tcMar>
          </w:tcPr>
          <w:p w14:paraId="5D572A8D" w14:textId="63777DEF" w:rsidR="001B21BC" w:rsidRPr="00915038" w:rsidRDefault="001B21BC" w:rsidP="001B21BC">
            <w:pPr>
              <w:tabs>
                <w:tab w:val="left" w:pos="284"/>
                <w:tab w:val="left" w:pos="851"/>
                <w:tab w:val="left" w:pos="1418"/>
                <w:tab w:val="left" w:pos="1985"/>
                <w:tab w:val="left" w:pos="2552"/>
                <w:tab w:val="left" w:pos="3119"/>
                <w:tab w:val="left" w:pos="3402"/>
                <w:tab w:val="left" w:pos="3686"/>
                <w:tab w:val="left" w:pos="3969"/>
              </w:tabs>
              <w:spacing w:before="40" w:after="40"/>
              <w:rPr>
                <w:rFonts w:eastAsiaTheme="minorHAnsi"/>
                <w:sz w:val="20"/>
              </w:rPr>
            </w:pPr>
            <w:hyperlink r:id="rId18" w:history="1">
              <w:r w:rsidRPr="00915038">
                <w:rPr>
                  <w:rStyle w:val="Hyperlink"/>
                  <w:rFonts w:eastAsia="Calibri" w:cs="Calibri"/>
                  <w:sz w:val="20"/>
                </w:rPr>
                <w:t>РФР</w:t>
              </w:r>
            </w:hyperlink>
            <w:r w:rsidRPr="00915038">
              <w:rPr>
                <w:rFonts w:eastAsia="Calibri" w:cs="Calibri"/>
                <w:color w:val="000000" w:themeColor="text1"/>
                <w:sz w:val="20"/>
              </w:rPr>
              <w:t xml:space="preserve"> </w:t>
            </w:r>
            <w:r w:rsidR="00982D14" w:rsidRPr="00915038">
              <w:rPr>
                <w:rFonts w:eastAsia="Calibri" w:cs="Calibri"/>
                <w:color w:val="000000" w:themeColor="text1"/>
                <w:sz w:val="20"/>
              </w:rPr>
              <w:t>и</w:t>
            </w:r>
            <w:r w:rsidRPr="00915038">
              <w:rPr>
                <w:rFonts w:eastAsia="Calibri" w:cs="Calibri"/>
                <w:color w:val="000000" w:themeColor="text1"/>
                <w:sz w:val="20"/>
              </w:rPr>
              <w:t xml:space="preserve"> </w:t>
            </w:r>
            <w:hyperlink r:id="rId19" w:history="1">
              <w:r w:rsidR="00982D14" w:rsidRPr="00915038">
                <w:rPr>
                  <w:rStyle w:val="Hyperlink"/>
                  <w:rFonts w:eastAsia="Calibri" w:cs="Calibri"/>
                  <w:sz w:val="20"/>
                </w:rPr>
                <w:t>РПС</w:t>
              </w:r>
              <w:r w:rsidR="00A0707B" w:rsidRPr="00915038">
                <w:rPr>
                  <w:rStyle w:val="Hyperlink"/>
                  <w:rFonts w:eastAsia="Calibri" w:cs="Calibri"/>
                  <w:sz w:val="20"/>
                </w:rPr>
                <w:noBreakHyphen/>
              </w:r>
              <w:r w:rsidR="00982D14" w:rsidRPr="00915038">
                <w:rPr>
                  <w:rStyle w:val="Hyperlink"/>
                  <w:rFonts w:eastAsia="Calibri" w:cs="Calibri"/>
                  <w:sz w:val="20"/>
                </w:rPr>
                <w:t>АРБ</w:t>
              </w:r>
            </w:hyperlink>
          </w:p>
        </w:tc>
        <w:tc>
          <w:tcPr>
            <w:tcW w:w="1304" w:type="pct"/>
            <w:tcMar>
              <w:top w:w="0" w:type="dxa"/>
              <w:left w:w="108" w:type="dxa"/>
              <w:bottom w:w="0" w:type="dxa"/>
              <w:right w:w="108" w:type="dxa"/>
            </w:tcMar>
          </w:tcPr>
          <w:p w14:paraId="7408447A" w14:textId="6DA9409B" w:rsidR="001B21BC" w:rsidRPr="00915038" w:rsidRDefault="00982D14" w:rsidP="006D02EE">
            <w:pPr>
              <w:tabs>
                <w:tab w:val="left" w:pos="284"/>
                <w:tab w:val="left" w:pos="851"/>
                <w:tab w:val="left" w:pos="1418"/>
                <w:tab w:val="left" w:pos="1985"/>
                <w:tab w:val="left" w:pos="2552"/>
                <w:tab w:val="left" w:pos="3119"/>
                <w:tab w:val="left" w:pos="3402"/>
                <w:tab w:val="left" w:pos="3686"/>
                <w:tab w:val="left" w:pos="3969"/>
              </w:tabs>
              <w:spacing w:before="40" w:after="40"/>
              <w:rPr>
                <w:sz w:val="20"/>
              </w:rPr>
            </w:pPr>
            <w:r w:rsidRPr="00915038">
              <w:rPr>
                <w:sz w:val="20"/>
              </w:rPr>
              <w:t>3 февраля 2025 г.</w:t>
            </w:r>
            <w:r w:rsidR="006D02EE" w:rsidRPr="00915038">
              <w:rPr>
                <w:sz w:val="20"/>
              </w:rPr>
              <w:br/>
            </w:r>
            <w:r w:rsidR="001B21BC" w:rsidRPr="00915038">
              <w:rPr>
                <w:sz w:val="20"/>
              </w:rPr>
              <w:t>4</w:t>
            </w:r>
            <w:r w:rsidRPr="00915038">
              <w:rPr>
                <w:sz w:val="20"/>
              </w:rPr>
              <w:t>−</w:t>
            </w:r>
            <w:r w:rsidR="001B21BC" w:rsidRPr="00915038">
              <w:rPr>
                <w:sz w:val="20"/>
              </w:rPr>
              <w:t>5 февраля 2025</w:t>
            </w:r>
            <w:r w:rsidRPr="00915038">
              <w:rPr>
                <w:sz w:val="20"/>
              </w:rPr>
              <w:t xml:space="preserve"> г.</w:t>
            </w:r>
          </w:p>
        </w:tc>
        <w:tc>
          <w:tcPr>
            <w:tcW w:w="945" w:type="pct"/>
          </w:tcPr>
          <w:p w14:paraId="7C37F3AE" w14:textId="77777777" w:rsidR="001B21BC" w:rsidRPr="00915038" w:rsidRDefault="001B21BC" w:rsidP="006D02EE">
            <w:pPr>
              <w:tabs>
                <w:tab w:val="left" w:pos="284"/>
                <w:tab w:val="left" w:pos="851"/>
                <w:tab w:val="left" w:pos="1418"/>
                <w:tab w:val="left" w:pos="1985"/>
                <w:tab w:val="left" w:pos="2552"/>
                <w:tab w:val="left" w:pos="3119"/>
                <w:tab w:val="left" w:pos="3402"/>
                <w:tab w:val="left" w:pos="3686"/>
                <w:tab w:val="left" w:pos="3969"/>
              </w:tabs>
              <w:spacing w:before="40" w:after="40"/>
              <w:ind w:left="41"/>
              <w:jc w:val="center"/>
              <w:rPr>
                <w:sz w:val="20"/>
              </w:rPr>
            </w:pPr>
            <w:r w:rsidRPr="00915038">
              <w:rPr>
                <w:sz w:val="20"/>
              </w:rPr>
              <w:t>Амман, Иордания</w:t>
            </w:r>
          </w:p>
        </w:tc>
        <w:tc>
          <w:tcPr>
            <w:tcW w:w="843" w:type="pct"/>
          </w:tcPr>
          <w:p w14:paraId="098C41B1" w14:textId="33451E2A" w:rsidR="001B21BC" w:rsidRPr="00915038" w:rsidRDefault="001B21BC" w:rsidP="006D02EE">
            <w:pPr>
              <w:tabs>
                <w:tab w:val="left" w:pos="284"/>
                <w:tab w:val="left" w:pos="851"/>
                <w:tab w:val="left" w:pos="1418"/>
                <w:tab w:val="left" w:pos="1985"/>
                <w:tab w:val="left" w:pos="2552"/>
                <w:tab w:val="left" w:pos="3119"/>
                <w:tab w:val="left" w:pos="3402"/>
                <w:tab w:val="left" w:pos="3686"/>
                <w:tab w:val="left" w:pos="3969"/>
              </w:tabs>
              <w:spacing w:before="40" w:after="40"/>
              <w:ind w:left="147"/>
              <w:jc w:val="center"/>
              <w:rPr>
                <w:color w:val="0000E1"/>
                <w:sz w:val="20"/>
              </w:rPr>
            </w:pPr>
            <w:hyperlink r:id="rId20">
              <w:r w:rsidRPr="00915038">
                <w:rPr>
                  <w:rStyle w:val="Hyperlink"/>
                  <w:rFonts w:eastAsia="Calibri" w:cs="Calibri"/>
                  <w:sz w:val="20"/>
                </w:rPr>
                <w:t>Отчет</w:t>
              </w:r>
            </w:hyperlink>
          </w:p>
        </w:tc>
        <w:tc>
          <w:tcPr>
            <w:tcW w:w="1248" w:type="pct"/>
          </w:tcPr>
          <w:p w14:paraId="64C0D0EE" w14:textId="1ABAF1B1" w:rsidR="001B21BC" w:rsidRPr="00915038" w:rsidRDefault="001B21BC" w:rsidP="006D02EE">
            <w:pPr>
              <w:tabs>
                <w:tab w:val="left" w:pos="284"/>
                <w:tab w:val="left" w:pos="851"/>
                <w:tab w:val="left" w:pos="1418"/>
                <w:tab w:val="left" w:pos="1985"/>
                <w:tab w:val="left" w:pos="2552"/>
                <w:tab w:val="left" w:pos="3119"/>
                <w:tab w:val="left" w:pos="3402"/>
                <w:tab w:val="left" w:pos="3686"/>
                <w:tab w:val="left" w:pos="3969"/>
              </w:tabs>
              <w:spacing w:before="40" w:after="40"/>
              <w:ind w:left="147"/>
              <w:jc w:val="center"/>
              <w:rPr>
                <w:sz w:val="20"/>
              </w:rPr>
            </w:pPr>
            <w:hyperlink r:id="rId21">
              <w:r w:rsidRPr="00915038">
                <w:rPr>
                  <w:rStyle w:val="Hyperlink"/>
                  <w:rFonts w:eastAsia="Calibri" w:cs="Calibri"/>
                  <w:sz w:val="20"/>
                </w:rPr>
                <w:t>Видео</w:t>
              </w:r>
            </w:hyperlink>
          </w:p>
        </w:tc>
      </w:tr>
      <w:tr w:rsidR="00EF778B" w:rsidRPr="00915038" w14:paraId="03C284BB" w14:textId="77777777" w:rsidTr="00A0707B">
        <w:trPr>
          <w:jc w:val="center"/>
        </w:trPr>
        <w:tc>
          <w:tcPr>
            <w:tcW w:w="660" w:type="pct"/>
            <w:tcMar>
              <w:top w:w="0" w:type="dxa"/>
              <w:left w:w="108" w:type="dxa"/>
              <w:bottom w:w="0" w:type="dxa"/>
              <w:right w:w="108" w:type="dxa"/>
            </w:tcMar>
          </w:tcPr>
          <w:p w14:paraId="57D2D6A6" w14:textId="4DB352AC" w:rsidR="001B21BC" w:rsidRPr="00915038" w:rsidRDefault="001B21BC" w:rsidP="001B21BC">
            <w:pPr>
              <w:tabs>
                <w:tab w:val="left" w:pos="284"/>
                <w:tab w:val="left" w:pos="851"/>
                <w:tab w:val="left" w:pos="1418"/>
                <w:tab w:val="left" w:pos="1985"/>
                <w:tab w:val="left" w:pos="2552"/>
                <w:tab w:val="left" w:pos="3119"/>
                <w:tab w:val="left" w:pos="3402"/>
                <w:tab w:val="left" w:pos="3686"/>
                <w:tab w:val="left" w:pos="3969"/>
              </w:tabs>
              <w:spacing w:before="40" w:after="40"/>
              <w:rPr>
                <w:sz w:val="20"/>
              </w:rPr>
            </w:pPr>
            <w:hyperlink r:id="rId22" w:history="1">
              <w:r w:rsidRPr="00915038">
                <w:rPr>
                  <w:rStyle w:val="Hyperlink"/>
                  <w:rFonts w:eastAsia="Calibri" w:cs="Calibri"/>
                  <w:sz w:val="20"/>
                </w:rPr>
                <w:t>РФР</w:t>
              </w:r>
            </w:hyperlink>
            <w:r w:rsidRPr="00915038">
              <w:rPr>
                <w:rFonts w:eastAsia="Calibri" w:cs="Calibri"/>
                <w:color w:val="000000" w:themeColor="text1"/>
                <w:sz w:val="20"/>
              </w:rPr>
              <w:t xml:space="preserve"> </w:t>
            </w:r>
            <w:r w:rsidR="00982D14" w:rsidRPr="00915038">
              <w:rPr>
                <w:rFonts w:eastAsia="Calibri" w:cs="Calibri"/>
                <w:color w:val="000000" w:themeColor="text1"/>
                <w:sz w:val="20"/>
              </w:rPr>
              <w:t>и</w:t>
            </w:r>
            <w:r w:rsidRPr="00915038">
              <w:rPr>
                <w:rFonts w:eastAsia="Calibri" w:cs="Calibri"/>
                <w:color w:val="000000" w:themeColor="text1"/>
                <w:sz w:val="20"/>
              </w:rPr>
              <w:t xml:space="preserve"> </w:t>
            </w:r>
            <w:hyperlink r:id="rId23" w:history="1">
              <w:r w:rsidR="00982D14" w:rsidRPr="00915038">
                <w:rPr>
                  <w:rStyle w:val="Hyperlink"/>
                  <w:rFonts w:eastAsia="Calibri" w:cs="Calibri"/>
                  <w:sz w:val="20"/>
                </w:rPr>
                <w:t>РПС</w:t>
              </w:r>
              <w:r w:rsidR="00A0707B" w:rsidRPr="00915038">
                <w:rPr>
                  <w:rStyle w:val="Hyperlink"/>
                  <w:rFonts w:eastAsia="Calibri" w:cs="Calibri"/>
                  <w:sz w:val="20"/>
                </w:rPr>
                <w:noBreakHyphen/>
              </w:r>
              <w:r w:rsidR="00982D14" w:rsidRPr="00915038">
                <w:rPr>
                  <w:rStyle w:val="Hyperlink"/>
                  <w:rFonts w:eastAsia="Calibri" w:cs="Calibri"/>
                  <w:sz w:val="20"/>
                </w:rPr>
                <w:t>ЕВР</w:t>
              </w:r>
            </w:hyperlink>
          </w:p>
        </w:tc>
        <w:tc>
          <w:tcPr>
            <w:tcW w:w="1304" w:type="pct"/>
            <w:tcMar>
              <w:top w:w="0" w:type="dxa"/>
              <w:left w:w="108" w:type="dxa"/>
              <w:bottom w:w="0" w:type="dxa"/>
              <w:right w:w="108" w:type="dxa"/>
            </w:tcMar>
          </w:tcPr>
          <w:p w14:paraId="4E8175AC" w14:textId="22992CEA" w:rsidR="001B21BC" w:rsidRPr="00915038" w:rsidRDefault="00982D14" w:rsidP="006D02EE">
            <w:pPr>
              <w:tabs>
                <w:tab w:val="left" w:pos="284"/>
                <w:tab w:val="left" w:pos="851"/>
                <w:tab w:val="left" w:pos="1418"/>
                <w:tab w:val="left" w:pos="1985"/>
                <w:tab w:val="left" w:pos="2552"/>
                <w:tab w:val="left" w:pos="3119"/>
                <w:tab w:val="left" w:pos="3402"/>
                <w:tab w:val="left" w:pos="3686"/>
                <w:tab w:val="left" w:pos="3969"/>
              </w:tabs>
              <w:spacing w:before="40" w:after="40"/>
              <w:rPr>
                <w:sz w:val="20"/>
              </w:rPr>
            </w:pPr>
            <w:r w:rsidRPr="00915038">
              <w:rPr>
                <w:sz w:val="20"/>
              </w:rPr>
              <w:t>24 февраля 2025 г.</w:t>
            </w:r>
            <w:r w:rsidR="006D02EE" w:rsidRPr="00915038">
              <w:rPr>
                <w:sz w:val="20"/>
              </w:rPr>
              <w:br/>
            </w:r>
            <w:r w:rsidR="001B21BC" w:rsidRPr="00915038">
              <w:rPr>
                <w:sz w:val="20"/>
              </w:rPr>
              <w:t>25</w:t>
            </w:r>
            <w:r w:rsidRPr="00915038">
              <w:rPr>
                <w:sz w:val="20"/>
              </w:rPr>
              <w:t>−</w:t>
            </w:r>
            <w:r w:rsidR="001B21BC" w:rsidRPr="00915038">
              <w:rPr>
                <w:sz w:val="20"/>
              </w:rPr>
              <w:t>26 февраля 2025 г</w:t>
            </w:r>
            <w:r w:rsidRPr="00915038">
              <w:rPr>
                <w:sz w:val="20"/>
              </w:rPr>
              <w:t>.</w:t>
            </w:r>
          </w:p>
        </w:tc>
        <w:tc>
          <w:tcPr>
            <w:tcW w:w="945" w:type="pct"/>
          </w:tcPr>
          <w:p w14:paraId="578C1961" w14:textId="77777777" w:rsidR="001B21BC" w:rsidRPr="00915038" w:rsidRDefault="001B21BC" w:rsidP="006D02EE">
            <w:pPr>
              <w:tabs>
                <w:tab w:val="left" w:pos="284"/>
                <w:tab w:val="left" w:pos="851"/>
                <w:tab w:val="left" w:pos="1418"/>
                <w:tab w:val="left" w:pos="1985"/>
                <w:tab w:val="left" w:pos="2552"/>
                <w:tab w:val="left" w:pos="3119"/>
                <w:tab w:val="left" w:pos="3402"/>
                <w:tab w:val="left" w:pos="3686"/>
                <w:tab w:val="left" w:pos="3969"/>
              </w:tabs>
              <w:spacing w:before="40" w:after="40"/>
              <w:ind w:left="41"/>
              <w:jc w:val="center"/>
              <w:rPr>
                <w:sz w:val="20"/>
              </w:rPr>
            </w:pPr>
            <w:r w:rsidRPr="00915038">
              <w:rPr>
                <w:sz w:val="20"/>
              </w:rPr>
              <w:t>Будапешт, Венгрия</w:t>
            </w:r>
          </w:p>
        </w:tc>
        <w:tc>
          <w:tcPr>
            <w:tcW w:w="843" w:type="pct"/>
          </w:tcPr>
          <w:p w14:paraId="34B68C89" w14:textId="3E592429" w:rsidR="001B21BC" w:rsidRPr="00915038" w:rsidRDefault="001B21BC" w:rsidP="006D02EE">
            <w:pPr>
              <w:tabs>
                <w:tab w:val="left" w:pos="284"/>
                <w:tab w:val="left" w:pos="851"/>
                <w:tab w:val="left" w:pos="1418"/>
                <w:tab w:val="left" w:pos="1985"/>
                <w:tab w:val="left" w:pos="2552"/>
                <w:tab w:val="left" w:pos="3119"/>
                <w:tab w:val="left" w:pos="3402"/>
                <w:tab w:val="left" w:pos="3686"/>
                <w:tab w:val="left" w:pos="3969"/>
              </w:tabs>
              <w:spacing w:before="40" w:after="40"/>
              <w:ind w:left="147"/>
              <w:jc w:val="center"/>
              <w:rPr>
                <w:color w:val="0000E1"/>
                <w:sz w:val="20"/>
              </w:rPr>
            </w:pPr>
            <w:hyperlink r:id="rId24">
              <w:r w:rsidRPr="00915038">
                <w:rPr>
                  <w:rStyle w:val="Hyperlink"/>
                  <w:rFonts w:eastAsia="Calibri" w:cs="Calibri"/>
                  <w:sz w:val="20"/>
                </w:rPr>
                <w:t>Отчет</w:t>
              </w:r>
            </w:hyperlink>
          </w:p>
        </w:tc>
        <w:tc>
          <w:tcPr>
            <w:tcW w:w="1248" w:type="pct"/>
          </w:tcPr>
          <w:p w14:paraId="5A3A25A1" w14:textId="1B6932FE" w:rsidR="001B21BC" w:rsidRPr="00915038" w:rsidRDefault="001B21BC" w:rsidP="006D02EE">
            <w:pPr>
              <w:tabs>
                <w:tab w:val="left" w:pos="284"/>
                <w:tab w:val="left" w:pos="851"/>
                <w:tab w:val="left" w:pos="1418"/>
                <w:tab w:val="left" w:pos="1985"/>
                <w:tab w:val="left" w:pos="2552"/>
                <w:tab w:val="left" w:pos="3119"/>
                <w:tab w:val="left" w:pos="3402"/>
                <w:tab w:val="left" w:pos="3686"/>
                <w:tab w:val="left" w:pos="3969"/>
              </w:tabs>
              <w:spacing w:before="40" w:after="40"/>
              <w:ind w:left="147"/>
              <w:jc w:val="center"/>
              <w:rPr>
                <w:sz w:val="20"/>
              </w:rPr>
            </w:pPr>
            <w:hyperlink r:id="rId25">
              <w:r w:rsidRPr="00915038">
                <w:rPr>
                  <w:rStyle w:val="Hyperlink"/>
                  <w:rFonts w:eastAsia="Calibri" w:cs="Calibri"/>
                  <w:sz w:val="20"/>
                </w:rPr>
                <w:t>Видео</w:t>
              </w:r>
            </w:hyperlink>
          </w:p>
        </w:tc>
      </w:tr>
      <w:tr w:rsidR="00EF778B" w:rsidRPr="00915038" w14:paraId="302237D0" w14:textId="77777777" w:rsidTr="00A0707B">
        <w:trPr>
          <w:jc w:val="center"/>
        </w:trPr>
        <w:tc>
          <w:tcPr>
            <w:tcW w:w="660" w:type="pct"/>
            <w:tcMar>
              <w:top w:w="0" w:type="dxa"/>
              <w:left w:w="108" w:type="dxa"/>
              <w:bottom w:w="0" w:type="dxa"/>
              <w:right w:w="108" w:type="dxa"/>
            </w:tcMar>
          </w:tcPr>
          <w:p w14:paraId="586ABB58" w14:textId="4764C1C1" w:rsidR="001B21BC" w:rsidRPr="00915038" w:rsidRDefault="001B21BC" w:rsidP="001B21BC">
            <w:pPr>
              <w:tabs>
                <w:tab w:val="left" w:pos="284"/>
                <w:tab w:val="left" w:pos="851"/>
                <w:tab w:val="left" w:pos="1418"/>
                <w:tab w:val="left" w:pos="1985"/>
                <w:tab w:val="left" w:pos="2552"/>
                <w:tab w:val="left" w:pos="3119"/>
                <w:tab w:val="left" w:pos="3402"/>
                <w:tab w:val="left" w:pos="3686"/>
                <w:tab w:val="left" w:pos="3969"/>
              </w:tabs>
              <w:spacing w:before="40" w:after="40"/>
              <w:rPr>
                <w:sz w:val="20"/>
              </w:rPr>
            </w:pPr>
            <w:hyperlink r:id="rId26" w:history="1">
              <w:r w:rsidRPr="00915038">
                <w:rPr>
                  <w:rStyle w:val="Hyperlink"/>
                  <w:rFonts w:eastAsia="Calibri" w:cs="Calibri"/>
                  <w:sz w:val="20"/>
                </w:rPr>
                <w:t>РФР</w:t>
              </w:r>
            </w:hyperlink>
            <w:r w:rsidRPr="00915038">
              <w:rPr>
                <w:rFonts w:eastAsia="Calibri" w:cs="Calibri"/>
                <w:color w:val="000000" w:themeColor="text1"/>
                <w:sz w:val="20"/>
              </w:rPr>
              <w:t xml:space="preserve"> </w:t>
            </w:r>
            <w:r w:rsidR="00982D14" w:rsidRPr="00915038">
              <w:rPr>
                <w:rFonts w:eastAsia="Calibri" w:cs="Calibri"/>
                <w:color w:val="000000" w:themeColor="text1"/>
                <w:sz w:val="20"/>
              </w:rPr>
              <w:t>и</w:t>
            </w:r>
            <w:r w:rsidRPr="00915038">
              <w:rPr>
                <w:rFonts w:eastAsia="Calibri" w:cs="Calibri"/>
                <w:color w:val="000000" w:themeColor="text1"/>
                <w:sz w:val="20"/>
              </w:rPr>
              <w:t xml:space="preserve"> </w:t>
            </w:r>
            <w:hyperlink r:id="rId27" w:history="1">
              <w:r w:rsidR="00982D14" w:rsidRPr="00915038">
                <w:rPr>
                  <w:rStyle w:val="Hyperlink"/>
                  <w:rFonts w:eastAsia="Calibri" w:cs="Calibri"/>
                  <w:sz w:val="20"/>
                </w:rPr>
                <w:t>РПС</w:t>
              </w:r>
              <w:r w:rsidR="00A0707B" w:rsidRPr="00915038">
                <w:rPr>
                  <w:rStyle w:val="Hyperlink"/>
                  <w:rFonts w:eastAsia="Calibri" w:cs="Calibri"/>
                  <w:sz w:val="20"/>
                </w:rPr>
                <w:noBreakHyphen/>
              </w:r>
              <w:r w:rsidR="00982D14" w:rsidRPr="00915038">
                <w:rPr>
                  <w:rStyle w:val="Hyperlink"/>
                  <w:rFonts w:eastAsia="Calibri" w:cs="Calibri"/>
                  <w:sz w:val="20"/>
                </w:rPr>
                <w:t>АТР</w:t>
              </w:r>
            </w:hyperlink>
          </w:p>
        </w:tc>
        <w:tc>
          <w:tcPr>
            <w:tcW w:w="1304" w:type="pct"/>
            <w:tcMar>
              <w:top w:w="0" w:type="dxa"/>
              <w:left w:w="108" w:type="dxa"/>
              <w:bottom w:w="0" w:type="dxa"/>
              <w:right w:w="108" w:type="dxa"/>
            </w:tcMar>
          </w:tcPr>
          <w:p w14:paraId="11A20EC4" w14:textId="268D8401" w:rsidR="001B21BC" w:rsidRPr="00915038" w:rsidRDefault="00982D14" w:rsidP="006D02EE">
            <w:pPr>
              <w:tabs>
                <w:tab w:val="left" w:pos="284"/>
                <w:tab w:val="left" w:pos="851"/>
                <w:tab w:val="left" w:pos="1418"/>
                <w:tab w:val="left" w:pos="1985"/>
                <w:tab w:val="left" w:pos="2552"/>
                <w:tab w:val="left" w:pos="3119"/>
                <w:tab w:val="left" w:pos="3402"/>
                <w:tab w:val="left" w:pos="3686"/>
                <w:tab w:val="left" w:pos="3969"/>
              </w:tabs>
              <w:spacing w:before="40" w:after="40"/>
              <w:rPr>
                <w:sz w:val="20"/>
              </w:rPr>
            </w:pPr>
            <w:r w:rsidRPr="00915038">
              <w:rPr>
                <w:sz w:val="20"/>
              </w:rPr>
              <w:t>19 марта 2025 г.</w:t>
            </w:r>
            <w:r w:rsidR="006D02EE" w:rsidRPr="00915038">
              <w:rPr>
                <w:sz w:val="20"/>
              </w:rPr>
              <w:br/>
            </w:r>
            <w:r w:rsidR="001B21BC" w:rsidRPr="00915038">
              <w:rPr>
                <w:sz w:val="20"/>
              </w:rPr>
              <w:t>20</w:t>
            </w:r>
            <w:r w:rsidRPr="00915038">
              <w:rPr>
                <w:sz w:val="20"/>
              </w:rPr>
              <w:t>−</w:t>
            </w:r>
            <w:r w:rsidR="001B21BC" w:rsidRPr="00915038">
              <w:rPr>
                <w:sz w:val="20"/>
              </w:rPr>
              <w:t>21 марта 2025 г</w:t>
            </w:r>
            <w:r w:rsidRPr="00915038">
              <w:rPr>
                <w:sz w:val="20"/>
              </w:rPr>
              <w:t>.</w:t>
            </w:r>
          </w:p>
        </w:tc>
        <w:tc>
          <w:tcPr>
            <w:tcW w:w="945" w:type="pct"/>
          </w:tcPr>
          <w:p w14:paraId="111D28FB" w14:textId="77777777" w:rsidR="001B21BC" w:rsidRPr="00915038" w:rsidRDefault="001B21BC" w:rsidP="006D02EE">
            <w:pPr>
              <w:tabs>
                <w:tab w:val="left" w:pos="284"/>
                <w:tab w:val="left" w:pos="851"/>
                <w:tab w:val="left" w:pos="1418"/>
                <w:tab w:val="left" w:pos="1985"/>
                <w:tab w:val="left" w:pos="2552"/>
                <w:tab w:val="left" w:pos="3119"/>
                <w:tab w:val="left" w:pos="3402"/>
                <w:tab w:val="left" w:pos="3686"/>
                <w:tab w:val="left" w:pos="3969"/>
              </w:tabs>
              <w:spacing w:before="40" w:after="40"/>
              <w:ind w:left="41"/>
              <w:jc w:val="center"/>
              <w:rPr>
                <w:sz w:val="20"/>
              </w:rPr>
            </w:pPr>
            <w:r w:rsidRPr="00915038">
              <w:rPr>
                <w:sz w:val="20"/>
              </w:rPr>
              <w:t>Бангкок, Таиланд</w:t>
            </w:r>
          </w:p>
        </w:tc>
        <w:tc>
          <w:tcPr>
            <w:tcW w:w="843" w:type="pct"/>
          </w:tcPr>
          <w:p w14:paraId="26B9EC5E" w14:textId="52CA8C4B" w:rsidR="001B21BC" w:rsidRPr="00915038" w:rsidRDefault="001B21BC" w:rsidP="006D02EE">
            <w:pPr>
              <w:tabs>
                <w:tab w:val="left" w:pos="284"/>
                <w:tab w:val="left" w:pos="851"/>
                <w:tab w:val="left" w:pos="1418"/>
                <w:tab w:val="left" w:pos="1985"/>
                <w:tab w:val="left" w:pos="2552"/>
                <w:tab w:val="left" w:pos="3119"/>
                <w:tab w:val="left" w:pos="3402"/>
                <w:tab w:val="left" w:pos="3686"/>
                <w:tab w:val="left" w:pos="3969"/>
              </w:tabs>
              <w:spacing w:before="40" w:after="40"/>
              <w:ind w:left="147"/>
              <w:jc w:val="center"/>
              <w:rPr>
                <w:color w:val="0000E1"/>
                <w:sz w:val="20"/>
              </w:rPr>
            </w:pPr>
            <w:hyperlink r:id="rId28">
              <w:r w:rsidRPr="00915038">
                <w:rPr>
                  <w:rStyle w:val="Hyperlink"/>
                  <w:rFonts w:eastAsia="Calibri" w:cs="Calibri"/>
                  <w:sz w:val="20"/>
                </w:rPr>
                <w:t>Отчет</w:t>
              </w:r>
            </w:hyperlink>
          </w:p>
        </w:tc>
        <w:tc>
          <w:tcPr>
            <w:tcW w:w="1248" w:type="pct"/>
          </w:tcPr>
          <w:p w14:paraId="45AD9B0E" w14:textId="024B4D66" w:rsidR="001B21BC" w:rsidRPr="00915038" w:rsidRDefault="001B21BC" w:rsidP="006D02EE">
            <w:pPr>
              <w:tabs>
                <w:tab w:val="left" w:pos="284"/>
                <w:tab w:val="left" w:pos="851"/>
                <w:tab w:val="left" w:pos="1418"/>
                <w:tab w:val="left" w:pos="1985"/>
                <w:tab w:val="left" w:pos="2552"/>
                <w:tab w:val="left" w:pos="3119"/>
                <w:tab w:val="left" w:pos="3402"/>
                <w:tab w:val="left" w:pos="3686"/>
                <w:tab w:val="left" w:pos="3969"/>
              </w:tabs>
              <w:spacing w:before="40" w:after="40"/>
              <w:ind w:left="147"/>
              <w:jc w:val="center"/>
              <w:rPr>
                <w:sz w:val="20"/>
              </w:rPr>
            </w:pPr>
            <w:hyperlink r:id="rId29">
              <w:r w:rsidRPr="00915038">
                <w:rPr>
                  <w:rStyle w:val="Hyperlink"/>
                  <w:rFonts w:eastAsia="Calibri" w:cs="Calibri"/>
                  <w:sz w:val="20"/>
                </w:rPr>
                <w:t>Видео</w:t>
              </w:r>
            </w:hyperlink>
          </w:p>
        </w:tc>
      </w:tr>
      <w:tr w:rsidR="00EF778B" w:rsidRPr="00915038" w14:paraId="68EBB389" w14:textId="77777777" w:rsidTr="00A0707B">
        <w:trPr>
          <w:jc w:val="center"/>
        </w:trPr>
        <w:tc>
          <w:tcPr>
            <w:tcW w:w="660" w:type="pct"/>
            <w:tcMar>
              <w:top w:w="0" w:type="dxa"/>
              <w:left w:w="108" w:type="dxa"/>
              <w:bottom w:w="0" w:type="dxa"/>
              <w:right w:w="108" w:type="dxa"/>
            </w:tcMar>
          </w:tcPr>
          <w:p w14:paraId="2BC3E43B" w14:textId="1DC6EA36" w:rsidR="001B21BC" w:rsidRPr="00915038" w:rsidRDefault="001B21BC" w:rsidP="001B21BC">
            <w:pPr>
              <w:tabs>
                <w:tab w:val="left" w:pos="284"/>
                <w:tab w:val="left" w:pos="851"/>
                <w:tab w:val="left" w:pos="1418"/>
                <w:tab w:val="left" w:pos="1985"/>
                <w:tab w:val="left" w:pos="2552"/>
                <w:tab w:val="left" w:pos="3119"/>
                <w:tab w:val="left" w:pos="3402"/>
                <w:tab w:val="left" w:pos="3686"/>
                <w:tab w:val="left" w:pos="3969"/>
              </w:tabs>
              <w:spacing w:before="40" w:after="40"/>
              <w:rPr>
                <w:sz w:val="20"/>
              </w:rPr>
            </w:pPr>
            <w:hyperlink r:id="rId30" w:history="1">
              <w:r w:rsidRPr="00915038">
                <w:rPr>
                  <w:rStyle w:val="Hyperlink"/>
                  <w:rFonts w:eastAsia="Calibri" w:cs="Calibri"/>
                  <w:sz w:val="20"/>
                </w:rPr>
                <w:t>РФР</w:t>
              </w:r>
            </w:hyperlink>
            <w:r w:rsidRPr="00915038">
              <w:rPr>
                <w:rFonts w:eastAsia="Calibri" w:cs="Calibri"/>
                <w:color w:val="000000" w:themeColor="text1"/>
                <w:sz w:val="20"/>
              </w:rPr>
              <w:t xml:space="preserve"> </w:t>
            </w:r>
            <w:r w:rsidR="00982D14" w:rsidRPr="00915038">
              <w:rPr>
                <w:rFonts w:eastAsia="Calibri" w:cs="Calibri"/>
                <w:color w:val="000000" w:themeColor="text1"/>
                <w:sz w:val="20"/>
              </w:rPr>
              <w:t>и</w:t>
            </w:r>
            <w:r w:rsidRPr="00915038">
              <w:rPr>
                <w:rFonts w:eastAsia="Calibri" w:cs="Calibri"/>
                <w:color w:val="000000" w:themeColor="text1"/>
                <w:sz w:val="20"/>
              </w:rPr>
              <w:t xml:space="preserve"> </w:t>
            </w:r>
            <w:hyperlink r:id="rId31" w:history="1">
              <w:r w:rsidR="00982D14" w:rsidRPr="00915038">
                <w:rPr>
                  <w:rStyle w:val="Hyperlink"/>
                  <w:rFonts w:eastAsia="Calibri" w:cs="Calibri"/>
                  <w:sz w:val="20"/>
                </w:rPr>
                <w:t>РПС</w:t>
              </w:r>
              <w:r w:rsidR="00A0707B" w:rsidRPr="00915038">
                <w:rPr>
                  <w:rStyle w:val="Hyperlink"/>
                  <w:rFonts w:eastAsia="Calibri" w:cs="Calibri"/>
                  <w:sz w:val="20"/>
                </w:rPr>
                <w:noBreakHyphen/>
              </w:r>
              <w:r w:rsidR="00982D14" w:rsidRPr="00915038">
                <w:rPr>
                  <w:rStyle w:val="Hyperlink"/>
                  <w:rFonts w:eastAsia="Calibri" w:cs="Calibri"/>
                  <w:sz w:val="20"/>
                </w:rPr>
                <w:t>АМР</w:t>
              </w:r>
            </w:hyperlink>
          </w:p>
        </w:tc>
        <w:tc>
          <w:tcPr>
            <w:tcW w:w="1304" w:type="pct"/>
            <w:tcMar>
              <w:top w:w="0" w:type="dxa"/>
              <w:left w:w="108" w:type="dxa"/>
              <w:bottom w:w="0" w:type="dxa"/>
              <w:right w:w="108" w:type="dxa"/>
            </w:tcMar>
          </w:tcPr>
          <w:p w14:paraId="151771B8" w14:textId="16D47248" w:rsidR="001B21BC" w:rsidRPr="00915038" w:rsidRDefault="00982D14" w:rsidP="006D02EE">
            <w:pPr>
              <w:tabs>
                <w:tab w:val="left" w:pos="284"/>
                <w:tab w:val="left" w:pos="851"/>
                <w:tab w:val="left" w:pos="1418"/>
                <w:tab w:val="left" w:pos="1985"/>
                <w:tab w:val="left" w:pos="2552"/>
                <w:tab w:val="left" w:pos="3119"/>
                <w:tab w:val="left" w:pos="3402"/>
                <w:tab w:val="left" w:pos="3686"/>
                <w:tab w:val="left" w:pos="3969"/>
              </w:tabs>
              <w:spacing w:before="40" w:after="40"/>
              <w:rPr>
                <w:sz w:val="20"/>
              </w:rPr>
            </w:pPr>
            <w:r w:rsidRPr="00915038">
              <w:rPr>
                <w:sz w:val="20"/>
              </w:rPr>
              <w:t>31 марта 2025 г.</w:t>
            </w:r>
            <w:r w:rsidR="006D02EE" w:rsidRPr="00915038">
              <w:rPr>
                <w:sz w:val="20"/>
              </w:rPr>
              <w:br/>
            </w:r>
            <w:r w:rsidR="001B21BC" w:rsidRPr="00915038">
              <w:rPr>
                <w:sz w:val="20"/>
              </w:rPr>
              <w:t>1</w:t>
            </w:r>
            <w:r w:rsidRPr="00915038">
              <w:rPr>
                <w:sz w:val="20"/>
              </w:rPr>
              <w:t>−</w:t>
            </w:r>
            <w:r w:rsidR="001B21BC" w:rsidRPr="00915038">
              <w:rPr>
                <w:sz w:val="20"/>
              </w:rPr>
              <w:t>2 апреля 2025 г</w:t>
            </w:r>
            <w:r w:rsidRPr="00915038">
              <w:rPr>
                <w:sz w:val="20"/>
              </w:rPr>
              <w:t>.</w:t>
            </w:r>
          </w:p>
        </w:tc>
        <w:tc>
          <w:tcPr>
            <w:tcW w:w="945" w:type="pct"/>
          </w:tcPr>
          <w:p w14:paraId="3F7261DB" w14:textId="77777777" w:rsidR="001B21BC" w:rsidRPr="00915038" w:rsidRDefault="001B21BC" w:rsidP="006D02EE">
            <w:pPr>
              <w:tabs>
                <w:tab w:val="left" w:pos="284"/>
                <w:tab w:val="left" w:pos="851"/>
                <w:tab w:val="left" w:pos="1418"/>
                <w:tab w:val="left" w:pos="1985"/>
                <w:tab w:val="left" w:pos="2552"/>
                <w:tab w:val="left" w:pos="3119"/>
                <w:tab w:val="left" w:pos="3402"/>
                <w:tab w:val="left" w:pos="3686"/>
                <w:tab w:val="left" w:pos="3969"/>
              </w:tabs>
              <w:spacing w:before="40" w:after="40"/>
              <w:ind w:left="41"/>
              <w:jc w:val="center"/>
              <w:rPr>
                <w:sz w:val="20"/>
              </w:rPr>
            </w:pPr>
            <w:r w:rsidRPr="00915038">
              <w:rPr>
                <w:sz w:val="20"/>
              </w:rPr>
              <w:t>Асунсьон, Парагвай</w:t>
            </w:r>
          </w:p>
        </w:tc>
        <w:tc>
          <w:tcPr>
            <w:tcW w:w="843" w:type="pct"/>
          </w:tcPr>
          <w:p w14:paraId="2220E960" w14:textId="239CB79A" w:rsidR="001B21BC" w:rsidRPr="00915038" w:rsidRDefault="001B21BC" w:rsidP="006D02EE">
            <w:pPr>
              <w:tabs>
                <w:tab w:val="left" w:pos="284"/>
                <w:tab w:val="left" w:pos="851"/>
                <w:tab w:val="left" w:pos="1418"/>
                <w:tab w:val="left" w:pos="1985"/>
                <w:tab w:val="left" w:pos="2552"/>
                <w:tab w:val="left" w:pos="3119"/>
                <w:tab w:val="left" w:pos="3402"/>
                <w:tab w:val="left" w:pos="3686"/>
                <w:tab w:val="left" w:pos="3969"/>
              </w:tabs>
              <w:spacing w:before="40" w:after="40"/>
              <w:ind w:left="147"/>
              <w:jc w:val="center"/>
              <w:rPr>
                <w:sz w:val="20"/>
              </w:rPr>
            </w:pPr>
            <w:hyperlink r:id="rId32">
              <w:r w:rsidRPr="00915038">
                <w:rPr>
                  <w:rStyle w:val="Hyperlink"/>
                  <w:rFonts w:eastAsia="Calibri" w:cs="Calibri"/>
                  <w:sz w:val="20"/>
                </w:rPr>
                <w:t>Отчет</w:t>
              </w:r>
            </w:hyperlink>
          </w:p>
        </w:tc>
        <w:tc>
          <w:tcPr>
            <w:tcW w:w="1248" w:type="pct"/>
          </w:tcPr>
          <w:p w14:paraId="63A5C10B" w14:textId="4BCA083F" w:rsidR="001B21BC" w:rsidRPr="00915038" w:rsidRDefault="001B21BC" w:rsidP="006D02EE">
            <w:pPr>
              <w:tabs>
                <w:tab w:val="left" w:pos="284"/>
                <w:tab w:val="left" w:pos="851"/>
                <w:tab w:val="left" w:pos="1418"/>
                <w:tab w:val="left" w:pos="1985"/>
                <w:tab w:val="left" w:pos="2552"/>
                <w:tab w:val="left" w:pos="3119"/>
                <w:tab w:val="left" w:pos="3402"/>
                <w:tab w:val="left" w:pos="3686"/>
                <w:tab w:val="left" w:pos="3969"/>
              </w:tabs>
              <w:spacing w:before="40" w:after="40"/>
              <w:ind w:left="147"/>
              <w:jc w:val="center"/>
              <w:rPr>
                <w:sz w:val="20"/>
              </w:rPr>
            </w:pPr>
            <w:hyperlink r:id="rId33">
              <w:r w:rsidRPr="00915038">
                <w:rPr>
                  <w:rStyle w:val="Hyperlink"/>
                  <w:rFonts w:eastAsia="Calibri" w:cs="Calibri"/>
                  <w:sz w:val="20"/>
                </w:rPr>
                <w:t>Видео</w:t>
              </w:r>
            </w:hyperlink>
          </w:p>
        </w:tc>
      </w:tr>
      <w:tr w:rsidR="00EF778B" w:rsidRPr="00915038" w14:paraId="0B00A7F3" w14:textId="77777777" w:rsidTr="00A0707B">
        <w:trPr>
          <w:jc w:val="center"/>
        </w:trPr>
        <w:tc>
          <w:tcPr>
            <w:tcW w:w="660" w:type="pct"/>
            <w:tcMar>
              <w:top w:w="0" w:type="dxa"/>
              <w:left w:w="108" w:type="dxa"/>
              <w:bottom w:w="0" w:type="dxa"/>
              <w:right w:w="108" w:type="dxa"/>
            </w:tcMar>
          </w:tcPr>
          <w:p w14:paraId="3553883B" w14:textId="596AE67E" w:rsidR="001B21BC" w:rsidRPr="00915038" w:rsidRDefault="001B21BC" w:rsidP="001B21BC">
            <w:pPr>
              <w:tabs>
                <w:tab w:val="left" w:pos="284"/>
                <w:tab w:val="left" w:pos="851"/>
                <w:tab w:val="left" w:pos="1418"/>
                <w:tab w:val="left" w:pos="1985"/>
                <w:tab w:val="left" w:pos="2552"/>
                <w:tab w:val="left" w:pos="3119"/>
                <w:tab w:val="left" w:pos="3402"/>
                <w:tab w:val="left" w:pos="3686"/>
                <w:tab w:val="left" w:pos="3969"/>
              </w:tabs>
              <w:spacing w:before="40" w:after="40"/>
              <w:rPr>
                <w:sz w:val="20"/>
              </w:rPr>
            </w:pPr>
            <w:hyperlink r:id="rId34" w:history="1">
              <w:r w:rsidRPr="00915038">
                <w:rPr>
                  <w:rStyle w:val="Hyperlink"/>
                  <w:rFonts w:eastAsia="Calibri" w:cs="Calibri"/>
                  <w:sz w:val="20"/>
                </w:rPr>
                <w:t>РФР</w:t>
              </w:r>
            </w:hyperlink>
            <w:r w:rsidRPr="00915038">
              <w:rPr>
                <w:rFonts w:eastAsia="Calibri" w:cs="Calibri"/>
                <w:color w:val="000000" w:themeColor="text1"/>
                <w:sz w:val="20"/>
              </w:rPr>
              <w:t xml:space="preserve"> </w:t>
            </w:r>
            <w:r w:rsidR="00982D14" w:rsidRPr="00915038">
              <w:rPr>
                <w:rFonts w:eastAsia="Calibri" w:cs="Calibri"/>
                <w:color w:val="000000" w:themeColor="text1"/>
                <w:sz w:val="20"/>
              </w:rPr>
              <w:t>и</w:t>
            </w:r>
            <w:r w:rsidRPr="00915038">
              <w:rPr>
                <w:rFonts w:eastAsia="Calibri" w:cs="Calibri"/>
                <w:color w:val="000000" w:themeColor="text1"/>
                <w:sz w:val="20"/>
              </w:rPr>
              <w:t xml:space="preserve"> </w:t>
            </w:r>
            <w:hyperlink r:id="rId35" w:history="1">
              <w:r w:rsidR="00982D14" w:rsidRPr="00915038">
                <w:rPr>
                  <w:rStyle w:val="Hyperlink"/>
                  <w:rFonts w:eastAsia="Calibri" w:cs="Calibri"/>
                  <w:sz w:val="20"/>
                </w:rPr>
                <w:t>РПС</w:t>
              </w:r>
              <w:r w:rsidR="00A0707B" w:rsidRPr="00915038">
                <w:rPr>
                  <w:rStyle w:val="Hyperlink"/>
                  <w:rFonts w:eastAsia="Calibri" w:cs="Calibri"/>
                  <w:sz w:val="20"/>
                </w:rPr>
                <w:noBreakHyphen/>
              </w:r>
              <w:r w:rsidR="00982D14" w:rsidRPr="00915038">
                <w:rPr>
                  <w:rStyle w:val="Hyperlink"/>
                  <w:rFonts w:eastAsia="Calibri" w:cs="Calibri"/>
                  <w:sz w:val="20"/>
                </w:rPr>
                <w:t>АФР</w:t>
              </w:r>
            </w:hyperlink>
          </w:p>
        </w:tc>
        <w:tc>
          <w:tcPr>
            <w:tcW w:w="1304" w:type="pct"/>
            <w:tcMar>
              <w:top w:w="0" w:type="dxa"/>
              <w:left w:w="108" w:type="dxa"/>
              <w:bottom w:w="0" w:type="dxa"/>
              <w:right w:w="108" w:type="dxa"/>
            </w:tcMar>
          </w:tcPr>
          <w:p w14:paraId="609E03C4" w14:textId="4640B4D6" w:rsidR="001B21BC" w:rsidRPr="00915038" w:rsidRDefault="00982D14" w:rsidP="006D02EE">
            <w:pPr>
              <w:tabs>
                <w:tab w:val="left" w:pos="284"/>
                <w:tab w:val="left" w:pos="851"/>
                <w:tab w:val="left" w:pos="1418"/>
                <w:tab w:val="left" w:pos="1985"/>
                <w:tab w:val="left" w:pos="2552"/>
                <w:tab w:val="left" w:pos="3119"/>
                <w:tab w:val="left" w:pos="3402"/>
                <w:tab w:val="left" w:pos="3686"/>
                <w:tab w:val="left" w:pos="3969"/>
              </w:tabs>
              <w:spacing w:before="40" w:after="40"/>
              <w:rPr>
                <w:sz w:val="20"/>
              </w:rPr>
            </w:pPr>
            <w:r w:rsidRPr="00915038">
              <w:rPr>
                <w:sz w:val="20"/>
              </w:rPr>
              <w:t>7 апреля 2025 г.</w:t>
            </w:r>
            <w:r w:rsidR="006D02EE" w:rsidRPr="00915038">
              <w:rPr>
                <w:sz w:val="20"/>
              </w:rPr>
              <w:br/>
            </w:r>
            <w:r w:rsidR="001B21BC" w:rsidRPr="00915038">
              <w:rPr>
                <w:sz w:val="20"/>
              </w:rPr>
              <w:t>8</w:t>
            </w:r>
            <w:r w:rsidRPr="00915038">
              <w:rPr>
                <w:sz w:val="20"/>
              </w:rPr>
              <w:t>−</w:t>
            </w:r>
            <w:r w:rsidR="001B21BC" w:rsidRPr="00915038">
              <w:rPr>
                <w:sz w:val="20"/>
              </w:rPr>
              <w:t>9 апреля 2025 г</w:t>
            </w:r>
            <w:r w:rsidRPr="00915038">
              <w:rPr>
                <w:sz w:val="20"/>
              </w:rPr>
              <w:t>.</w:t>
            </w:r>
          </w:p>
        </w:tc>
        <w:tc>
          <w:tcPr>
            <w:tcW w:w="945" w:type="pct"/>
          </w:tcPr>
          <w:p w14:paraId="29036938" w14:textId="77777777" w:rsidR="001B21BC" w:rsidRPr="00915038" w:rsidRDefault="001B21BC" w:rsidP="006D02EE">
            <w:pPr>
              <w:tabs>
                <w:tab w:val="left" w:pos="284"/>
                <w:tab w:val="left" w:pos="851"/>
                <w:tab w:val="left" w:pos="1418"/>
                <w:tab w:val="left" w:pos="1985"/>
                <w:tab w:val="left" w:pos="2552"/>
                <w:tab w:val="left" w:pos="3119"/>
                <w:tab w:val="left" w:pos="3402"/>
                <w:tab w:val="left" w:pos="3686"/>
                <w:tab w:val="left" w:pos="3969"/>
              </w:tabs>
              <w:spacing w:before="40" w:after="40"/>
              <w:ind w:left="41"/>
              <w:jc w:val="center"/>
              <w:rPr>
                <w:sz w:val="20"/>
              </w:rPr>
            </w:pPr>
            <w:r w:rsidRPr="00915038">
              <w:rPr>
                <w:sz w:val="20"/>
              </w:rPr>
              <w:t>Найроби, Кения</w:t>
            </w:r>
          </w:p>
        </w:tc>
        <w:tc>
          <w:tcPr>
            <w:tcW w:w="843" w:type="pct"/>
          </w:tcPr>
          <w:p w14:paraId="02E85C38" w14:textId="33427115" w:rsidR="001B21BC" w:rsidRPr="00915038" w:rsidRDefault="001B21BC" w:rsidP="006D02EE">
            <w:pPr>
              <w:tabs>
                <w:tab w:val="left" w:pos="284"/>
                <w:tab w:val="left" w:pos="851"/>
                <w:tab w:val="left" w:pos="1418"/>
                <w:tab w:val="left" w:pos="1985"/>
                <w:tab w:val="left" w:pos="2552"/>
                <w:tab w:val="left" w:pos="3119"/>
                <w:tab w:val="left" w:pos="3402"/>
                <w:tab w:val="left" w:pos="3686"/>
                <w:tab w:val="left" w:pos="3969"/>
              </w:tabs>
              <w:spacing w:before="40" w:after="40"/>
              <w:ind w:left="147"/>
              <w:jc w:val="center"/>
              <w:rPr>
                <w:sz w:val="20"/>
              </w:rPr>
            </w:pPr>
            <w:hyperlink r:id="rId36">
              <w:r w:rsidRPr="00915038">
                <w:rPr>
                  <w:rStyle w:val="Hyperlink"/>
                  <w:rFonts w:eastAsia="Calibri" w:cs="Calibri"/>
                  <w:sz w:val="20"/>
                </w:rPr>
                <w:t>Отчет</w:t>
              </w:r>
            </w:hyperlink>
          </w:p>
        </w:tc>
        <w:tc>
          <w:tcPr>
            <w:tcW w:w="1248" w:type="pct"/>
          </w:tcPr>
          <w:p w14:paraId="27267FC6" w14:textId="0357A517" w:rsidR="001B21BC" w:rsidRPr="00915038" w:rsidRDefault="001B21BC" w:rsidP="006D02EE">
            <w:pPr>
              <w:tabs>
                <w:tab w:val="left" w:pos="284"/>
                <w:tab w:val="left" w:pos="851"/>
                <w:tab w:val="left" w:pos="1418"/>
                <w:tab w:val="left" w:pos="1985"/>
                <w:tab w:val="left" w:pos="2552"/>
                <w:tab w:val="left" w:pos="3119"/>
                <w:tab w:val="left" w:pos="3402"/>
                <w:tab w:val="left" w:pos="3686"/>
                <w:tab w:val="left" w:pos="3969"/>
              </w:tabs>
              <w:spacing w:before="40" w:after="40"/>
              <w:ind w:left="147"/>
              <w:jc w:val="center"/>
              <w:rPr>
                <w:sz w:val="20"/>
              </w:rPr>
            </w:pPr>
            <w:hyperlink r:id="rId37">
              <w:r w:rsidRPr="00915038">
                <w:rPr>
                  <w:rStyle w:val="Hyperlink"/>
                  <w:rFonts w:eastAsia="Calibri" w:cs="Calibri"/>
                  <w:sz w:val="20"/>
                </w:rPr>
                <w:t>Видео</w:t>
              </w:r>
            </w:hyperlink>
          </w:p>
        </w:tc>
      </w:tr>
      <w:tr w:rsidR="00EF778B" w:rsidRPr="00915038" w14:paraId="7D41F6E6" w14:textId="77777777" w:rsidTr="00A0707B">
        <w:trPr>
          <w:jc w:val="center"/>
        </w:trPr>
        <w:tc>
          <w:tcPr>
            <w:tcW w:w="660" w:type="pct"/>
            <w:tcMar>
              <w:top w:w="0" w:type="dxa"/>
              <w:left w:w="108" w:type="dxa"/>
              <w:bottom w:w="0" w:type="dxa"/>
              <w:right w:w="108" w:type="dxa"/>
            </w:tcMar>
          </w:tcPr>
          <w:p w14:paraId="3337D7AA" w14:textId="697137F1" w:rsidR="001B21BC" w:rsidRPr="00915038" w:rsidRDefault="001B21BC" w:rsidP="001B21BC">
            <w:pPr>
              <w:tabs>
                <w:tab w:val="left" w:pos="284"/>
                <w:tab w:val="left" w:pos="851"/>
                <w:tab w:val="left" w:pos="1418"/>
                <w:tab w:val="left" w:pos="1985"/>
                <w:tab w:val="left" w:pos="2552"/>
                <w:tab w:val="left" w:pos="3119"/>
                <w:tab w:val="left" w:pos="3402"/>
                <w:tab w:val="left" w:pos="3686"/>
                <w:tab w:val="left" w:pos="3969"/>
              </w:tabs>
              <w:spacing w:before="40" w:after="40"/>
              <w:rPr>
                <w:sz w:val="20"/>
              </w:rPr>
            </w:pPr>
            <w:hyperlink r:id="rId38" w:history="1">
              <w:r w:rsidRPr="00915038">
                <w:rPr>
                  <w:rStyle w:val="Hyperlink"/>
                  <w:rFonts w:eastAsia="Calibri" w:cs="Calibri"/>
                  <w:sz w:val="20"/>
                </w:rPr>
                <w:t>РФР</w:t>
              </w:r>
            </w:hyperlink>
            <w:r w:rsidRPr="00915038">
              <w:rPr>
                <w:rFonts w:eastAsia="Calibri" w:cs="Calibri"/>
                <w:color w:val="000000" w:themeColor="text1"/>
                <w:sz w:val="20"/>
              </w:rPr>
              <w:t xml:space="preserve"> </w:t>
            </w:r>
            <w:r w:rsidR="00982D14" w:rsidRPr="00915038">
              <w:rPr>
                <w:rFonts w:eastAsia="Calibri" w:cs="Calibri"/>
                <w:color w:val="000000" w:themeColor="text1"/>
                <w:sz w:val="20"/>
              </w:rPr>
              <w:t>и</w:t>
            </w:r>
            <w:r w:rsidRPr="00915038">
              <w:rPr>
                <w:rFonts w:eastAsia="Calibri" w:cs="Calibri"/>
                <w:color w:val="000000" w:themeColor="text1"/>
                <w:sz w:val="20"/>
              </w:rPr>
              <w:t xml:space="preserve"> </w:t>
            </w:r>
            <w:hyperlink r:id="rId39" w:history="1">
              <w:r w:rsidR="00982D14" w:rsidRPr="00915038">
                <w:rPr>
                  <w:rStyle w:val="Hyperlink"/>
                  <w:rFonts w:eastAsia="Calibri" w:cs="Calibri"/>
                  <w:sz w:val="20"/>
                </w:rPr>
                <w:t>РПС</w:t>
              </w:r>
              <w:r w:rsidR="00A0707B" w:rsidRPr="00915038">
                <w:rPr>
                  <w:rStyle w:val="Hyperlink"/>
                  <w:rFonts w:eastAsia="Calibri" w:cs="Calibri"/>
                  <w:sz w:val="20"/>
                </w:rPr>
                <w:noBreakHyphen/>
              </w:r>
              <w:r w:rsidR="00982D14" w:rsidRPr="00915038">
                <w:rPr>
                  <w:rStyle w:val="Hyperlink"/>
                  <w:rFonts w:eastAsia="Calibri" w:cs="Calibri"/>
                  <w:sz w:val="20"/>
                </w:rPr>
                <w:t>СНГ</w:t>
              </w:r>
            </w:hyperlink>
          </w:p>
        </w:tc>
        <w:tc>
          <w:tcPr>
            <w:tcW w:w="1304" w:type="pct"/>
            <w:tcMar>
              <w:top w:w="0" w:type="dxa"/>
              <w:left w:w="108" w:type="dxa"/>
              <w:bottom w:w="0" w:type="dxa"/>
              <w:right w:w="108" w:type="dxa"/>
            </w:tcMar>
          </w:tcPr>
          <w:p w14:paraId="00596C0E" w14:textId="603E4AD5" w:rsidR="001B21BC" w:rsidRPr="00915038" w:rsidRDefault="00982D14" w:rsidP="006D02EE">
            <w:pPr>
              <w:tabs>
                <w:tab w:val="left" w:pos="284"/>
                <w:tab w:val="left" w:pos="851"/>
                <w:tab w:val="left" w:pos="1418"/>
                <w:tab w:val="left" w:pos="1985"/>
                <w:tab w:val="left" w:pos="2552"/>
                <w:tab w:val="left" w:pos="3119"/>
                <w:tab w:val="left" w:pos="3402"/>
                <w:tab w:val="left" w:pos="3686"/>
                <w:tab w:val="left" w:pos="3969"/>
              </w:tabs>
              <w:spacing w:before="40" w:after="40"/>
              <w:rPr>
                <w:sz w:val="20"/>
              </w:rPr>
            </w:pPr>
            <w:r w:rsidRPr="00915038">
              <w:rPr>
                <w:sz w:val="20"/>
              </w:rPr>
              <w:t>23 апреля 2025 г.</w:t>
            </w:r>
            <w:r w:rsidR="006D02EE" w:rsidRPr="00915038">
              <w:rPr>
                <w:sz w:val="20"/>
              </w:rPr>
              <w:br/>
            </w:r>
            <w:r w:rsidR="001B21BC" w:rsidRPr="00915038">
              <w:rPr>
                <w:sz w:val="20"/>
              </w:rPr>
              <w:t>24</w:t>
            </w:r>
            <w:r w:rsidRPr="00915038">
              <w:rPr>
                <w:sz w:val="20"/>
              </w:rPr>
              <w:t>−</w:t>
            </w:r>
            <w:r w:rsidR="001B21BC" w:rsidRPr="00915038">
              <w:rPr>
                <w:sz w:val="20"/>
              </w:rPr>
              <w:t>25 апреля 2025 г</w:t>
            </w:r>
            <w:r w:rsidRPr="00915038">
              <w:rPr>
                <w:sz w:val="20"/>
              </w:rPr>
              <w:t>.</w:t>
            </w:r>
          </w:p>
        </w:tc>
        <w:tc>
          <w:tcPr>
            <w:tcW w:w="945" w:type="pct"/>
          </w:tcPr>
          <w:p w14:paraId="0192F9A8" w14:textId="77777777" w:rsidR="001B21BC" w:rsidRPr="00915038" w:rsidRDefault="001B21BC" w:rsidP="006D02EE">
            <w:pPr>
              <w:tabs>
                <w:tab w:val="left" w:pos="284"/>
                <w:tab w:val="left" w:pos="851"/>
                <w:tab w:val="left" w:pos="1418"/>
                <w:tab w:val="left" w:pos="1985"/>
                <w:tab w:val="left" w:pos="2552"/>
                <w:tab w:val="left" w:pos="3119"/>
                <w:tab w:val="left" w:pos="3402"/>
                <w:tab w:val="left" w:pos="3686"/>
                <w:tab w:val="left" w:pos="3969"/>
              </w:tabs>
              <w:spacing w:before="40" w:after="40"/>
              <w:ind w:left="41"/>
              <w:jc w:val="center"/>
              <w:rPr>
                <w:sz w:val="20"/>
              </w:rPr>
            </w:pPr>
            <w:r w:rsidRPr="00915038">
              <w:rPr>
                <w:sz w:val="20"/>
              </w:rPr>
              <w:t>Бишкек, Кыргызстан</w:t>
            </w:r>
          </w:p>
        </w:tc>
        <w:tc>
          <w:tcPr>
            <w:tcW w:w="843" w:type="pct"/>
          </w:tcPr>
          <w:p w14:paraId="7E8047B8" w14:textId="068241D7" w:rsidR="001B21BC" w:rsidRPr="00915038" w:rsidRDefault="001B21BC" w:rsidP="006D02EE">
            <w:pPr>
              <w:tabs>
                <w:tab w:val="left" w:pos="284"/>
                <w:tab w:val="left" w:pos="851"/>
                <w:tab w:val="left" w:pos="1418"/>
                <w:tab w:val="left" w:pos="1985"/>
                <w:tab w:val="left" w:pos="2552"/>
                <w:tab w:val="left" w:pos="3119"/>
                <w:tab w:val="left" w:pos="3402"/>
                <w:tab w:val="left" w:pos="3686"/>
                <w:tab w:val="left" w:pos="3969"/>
              </w:tabs>
              <w:spacing w:before="40" w:after="40"/>
              <w:ind w:left="147"/>
              <w:jc w:val="center"/>
              <w:rPr>
                <w:sz w:val="20"/>
              </w:rPr>
            </w:pPr>
            <w:hyperlink r:id="rId40">
              <w:r w:rsidRPr="00915038">
                <w:rPr>
                  <w:rStyle w:val="Hyperlink"/>
                  <w:rFonts w:eastAsia="Calibri" w:cs="Calibri"/>
                  <w:sz w:val="20"/>
                </w:rPr>
                <w:t>Отчет</w:t>
              </w:r>
            </w:hyperlink>
          </w:p>
        </w:tc>
        <w:tc>
          <w:tcPr>
            <w:tcW w:w="1248" w:type="pct"/>
          </w:tcPr>
          <w:p w14:paraId="1A4C5412" w14:textId="43904CBF" w:rsidR="001B21BC" w:rsidRPr="00915038" w:rsidRDefault="001B21BC" w:rsidP="006D02EE">
            <w:pPr>
              <w:tabs>
                <w:tab w:val="left" w:pos="284"/>
                <w:tab w:val="left" w:pos="851"/>
                <w:tab w:val="left" w:pos="1418"/>
                <w:tab w:val="left" w:pos="1985"/>
                <w:tab w:val="left" w:pos="2552"/>
                <w:tab w:val="left" w:pos="3119"/>
                <w:tab w:val="left" w:pos="3402"/>
                <w:tab w:val="left" w:pos="3686"/>
                <w:tab w:val="left" w:pos="3969"/>
              </w:tabs>
              <w:spacing w:before="40" w:after="40"/>
              <w:ind w:left="147"/>
              <w:jc w:val="center"/>
              <w:rPr>
                <w:sz w:val="20"/>
              </w:rPr>
            </w:pPr>
            <w:hyperlink r:id="rId41">
              <w:r w:rsidRPr="00915038">
                <w:rPr>
                  <w:rStyle w:val="Hyperlink"/>
                  <w:rFonts w:eastAsia="Calibri" w:cs="Calibri"/>
                  <w:sz w:val="20"/>
                </w:rPr>
                <w:t>Видео</w:t>
              </w:r>
            </w:hyperlink>
          </w:p>
        </w:tc>
      </w:tr>
    </w:tbl>
    <w:p w14:paraId="132DE019" w14:textId="77777777" w:rsidR="00982D14" w:rsidRPr="00915038" w:rsidRDefault="00982D14" w:rsidP="00982D14">
      <w:pPr>
        <w:pStyle w:val="Heading2"/>
      </w:pPr>
      <w:r w:rsidRPr="00915038">
        <w:t>2.2</w:t>
      </w:r>
      <w:r w:rsidRPr="00915038">
        <w:tab/>
        <w:t>Региональные форумы по вопросам развития</w:t>
      </w:r>
    </w:p>
    <w:p w14:paraId="2533AA15" w14:textId="7AB9CD2D" w:rsidR="00D65B63" w:rsidRPr="00915038" w:rsidRDefault="00982D14" w:rsidP="00CB60FF">
      <w:pPr>
        <w:rPr>
          <w:rFonts w:cstheme="minorHAnsi"/>
          <w:szCs w:val="22"/>
        </w:rPr>
      </w:pPr>
      <w:r w:rsidRPr="00915038">
        <w:t>2.2.1</w:t>
      </w:r>
      <w:r w:rsidRPr="00915038">
        <w:tab/>
      </w:r>
      <w:r w:rsidR="006858CA" w:rsidRPr="00915038">
        <w:t xml:space="preserve">В период с февраля по апрель 2025 года Бюро развития электросвязи (БРЭ) организовало серию из шести РФР, приуроченных к региональным подготовительным собраниям </w:t>
      </w:r>
      <w:r w:rsidR="00EF778B" w:rsidRPr="00915038">
        <w:t xml:space="preserve">МСЭ </w:t>
      </w:r>
      <w:r w:rsidR="006858CA" w:rsidRPr="00915038">
        <w:t xml:space="preserve">к ВКРЭ-25. </w:t>
      </w:r>
      <w:r w:rsidR="00D65B63" w:rsidRPr="00915038">
        <w:rPr>
          <w:rFonts w:cstheme="minorHAnsi"/>
          <w:szCs w:val="22"/>
        </w:rPr>
        <w:t xml:space="preserve">Региональные форумы </w:t>
      </w:r>
      <w:r w:rsidR="006858CA" w:rsidRPr="00915038">
        <w:rPr>
          <w:rFonts w:cstheme="minorHAnsi"/>
          <w:szCs w:val="22"/>
        </w:rPr>
        <w:t xml:space="preserve">по вопросам </w:t>
      </w:r>
      <w:r w:rsidR="00D65B63" w:rsidRPr="00915038">
        <w:rPr>
          <w:rFonts w:cstheme="minorHAnsi"/>
          <w:szCs w:val="22"/>
        </w:rPr>
        <w:t xml:space="preserve">развития способствуют налаживанию многосторонних партнерских отношений между Государствами-Членами, предприятиями отрасли, научными </w:t>
      </w:r>
      <w:r w:rsidR="00D65B63" w:rsidRPr="00915038">
        <w:t>кругами</w:t>
      </w:r>
      <w:r w:rsidR="00D65B63" w:rsidRPr="00915038">
        <w:rPr>
          <w:rFonts w:cstheme="minorHAnsi"/>
          <w:szCs w:val="22"/>
        </w:rPr>
        <w:t>, гражданским обществом, учреждениями системы ООН, а также региональными и международными агентствами и организациями, занимающимися вопросами развития, по конкретным региональным вопросам в сфере электросвязи и ИКТ. РФР предоставляют возможность для диалога на высоком уровне между Бюро развития электросвязи, Государствами-Членами и Членами Сектора МСЭ-D, в первую очередь по вопросам реализации региональных инициатив и Кигалийского плана действий, приня</w:t>
      </w:r>
      <w:r w:rsidR="00EF778B" w:rsidRPr="00915038">
        <w:rPr>
          <w:rFonts w:cstheme="minorHAnsi"/>
          <w:szCs w:val="22"/>
        </w:rPr>
        <w:t>тых</w:t>
      </w:r>
      <w:r w:rsidR="00D65B63" w:rsidRPr="00915038">
        <w:rPr>
          <w:rFonts w:cstheme="minorHAnsi"/>
          <w:szCs w:val="22"/>
        </w:rPr>
        <w:t xml:space="preserve"> на </w:t>
      </w:r>
      <w:hyperlink r:id="rId42">
        <w:r w:rsidR="00997AF1" w:rsidRPr="00915038">
          <w:rPr>
            <w:rStyle w:val="Hyperlink"/>
          </w:rPr>
          <w:t>ВКРЭ-22</w:t>
        </w:r>
      </w:hyperlink>
      <w:r w:rsidR="00D65B63" w:rsidRPr="00915038">
        <w:rPr>
          <w:rFonts w:cstheme="minorHAnsi"/>
          <w:szCs w:val="22"/>
        </w:rPr>
        <w:t>.</w:t>
      </w:r>
    </w:p>
    <w:p w14:paraId="4A10A778" w14:textId="55816D68" w:rsidR="00D65B63" w:rsidRPr="00915038" w:rsidRDefault="006858CA" w:rsidP="00CB60FF">
      <w:pPr>
        <w:rPr>
          <w:rFonts w:cstheme="minorHAnsi"/>
          <w:szCs w:val="22"/>
        </w:rPr>
      </w:pPr>
      <w:r w:rsidRPr="00915038">
        <w:rPr>
          <w:rFonts w:cstheme="minorHAnsi"/>
          <w:szCs w:val="22"/>
        </w:rPr>
        <w:t>2.2.2</w:t>
      </w:r>
      <w:r w:rsidR="00D65B63" w:rsidRPr="00915038">
        <w:rPr>
          <w:rFonts w:cstheme="minorHAnsi"/>
          <w:szCs w:val="22"/>
        </w:rPr>
        <w:tab/>
        <w:t xml:space="preserve">Подбор партнеров в рамках инициативы P2C. </w:t>
      </w:r>
      <w:r w:rsidRPr="00915038">
        <w:rPr>
          <w:rFonts w:cstheme="minorHAnsi"/>
          <w:szCs w:val="22"/>
        </w:rPr>
        <w:t xml:space="preserve">На </w:t>
      </w:r>
      <w:r w:rsidR="00D65B63" w:rsidRPr="00915038">
        <w:rPr>
          <w:rFonts w:cstheme="minorHAnsi"/>
          <w:szCs w:val="22"/>
        </w:rPr>
        <w:t>каждо</w:t>
      </w:r>
      <w:r w:rsidRPr="00915038">
        <w:rPr>
          <w:rFonts w:cstheme="minorHAnsi"/>
          <w:szCs w:val="22"/>
        </w:rPr>
        <w:t>м</w:t>
      </w:r>
      <w:r w:rsidR="00D65B63" w:rsidRPr="00915038">
        <w:rPr>
          <w:rFonts w:cstheme="minorHAnsi"/>
          <w:szCs w:val="22"/>
        </w:rPr>
        <w:t xml:space="preserve"> из региональных форумов по вопросам развития были </w:t>
      </w:r>
      <w:r w:rsidRPr="00915038">
        <w:rPr>
          <w:rFonts w:cstheme="minorHAnsi"/>
          <w:szCs w:val="22"/>
        </w:rPr>
        <w:t xml:space="preserve">проведены </w:t>
      </w:r>
      <w:r w:rsidR="00D65B63" w:rsidRPr="00915038">
        <w:rPr>
          <w:rFonts w:cstheme="minorHAnsi"/>
          <w:szCs w:val="22"/>
        </w:rPr>
        <w:t>следующие круглые столы для подбора партнеров в рамках инициативы P2C:</w:t>
      </w:r>
    </w:p>
    <w:p w14:paraId="7BF57723" w14:textId="6A5390E7" w:rsidR="00D65B63" w:rsidRPr="00915038" w:rsidRDefault="00113D3F" w:rsidP="00CB60FF">
      <w:pPr>
        <w:pStyle w:val="enumlev1"/>
      </w:pPr>
      <w:r w:rsidRPr="00915038">
        <w:t>−</w:t>
      </w:r>
      <w:r w:rsidR="00CB60FF" w:rsidRPr="00915038">
        <w:tab/>
      </w:r>
      <w:r w:rsidR="00D65B63" w:rsidRPr="00915038">
        <w:t>для арабских государств (РФР/круглы</w:t>
      </w:r>
      <w:r w:rsidR="006858CA" w:rsidRPr="00915038">
        <w:t>е</w:t>
      </w:r>
      <w:r w:rsidR="00D65B63" w:rsidRPr="00915038">
        <w:t xml:space="preserve"> стол</w:t>
      </w:r>
      <w:r w:rsidR="006858CA" w:rsidRPr="00915038">
        <w:t>ы</w:t>
      </w:r>
      <w:r w:rsidR="00D65B63" w:rsidRPr="00915038">
        <w:t xml:space="preserve"> по подбору партнеров P2C) − 3 февраля 2025</w:t>
      </w:r>
      <w:r w:rsidR="008678E1" w:rsidRPr="00915038">
        <w:t> </w:t>
      </w:r>
      <w:r w:rsidR="00D65B63" w:rsidRPr="00915038">
        <w:t>года в Аммане, Иордания;</w:t>
      </w:r>
    </w:p>
    <w:p w14:paraId="12E88409" w14:textId="273FC9A5" w:rsidR="00D65B63" w:rsidRPr="00915038" w:rsidRDefault="00113D3F" w:rsidP="00CB60FF">
      <w:pPr>
        <w:pStyle w:val="enumlev1"/>
      </w:pPr>
      <w:r w:rsidRPr="00915038">
        <w:t>−</w:t>
      </w:r>
      <w:r w:rsidR="00CB60FF" w:rsidRPr="00915038">
        <w:tab/>
      </w:r>
      <w:r w:rsidR="00D65B63" w:rsidRPr="00915038">
        <w:t>для Европы (РФР/круглы</w:t>
      </w:r>
      <w:r w:rsidR="006858CA" w:rsidRPr="00915038">
        <w:t>е</w:t>
      </w:r>
      <w:r w:rsidR="00D65B63" w:rsidRPr="00915038">
        <w:t xml:space="preserve"> стол</w:t>
      </w:r>
      <w:r w:rsidR="006858CA" w:rsidRPr="00915038">
        <w:t>ы</w:t>
      </w:r>
      <w:r w:rsidR="00D65B63" w:rsidRPr="00915038">
        <w:t xml:space="preserve"> по подбору партнеров P2C) − 24 февраля 2025 года в Будапеште, Венгрия;</w:t>
      </w:r>
    </w:p>
    <w:p w14:paraId="7D1E0CBB" w14:textId="6A2B8D30" w:rsidR="00D65B63" w:rsidRPr="00915038" w:rsidRDefault="00113D3F" w:rsidP="00CB60FF">
      <w:pPr>
        <w:pStyle w:val="enumlev1"/>
      </w:pPr>
      <w:r w:rsidRPr="00915038">
        <w:t>−</w:t>
      </w:r>
      <w:r w:rsidR="00CB60FF" w:rsidRPr="00915038">
        <w:tab/>
      </w:r>
      <w:r w:rsidR="00D65B63" w:rsidRPr="00915038">
        <w:t>для Азиатско-Тихоокеанского региона (РФР/круглый стол по подбору партнеров P2C) − 19</w:t>
      </w:r>
      <w:r w:rsidR="008678E1" w:rsidRPr="00915038">
        <w:t> </w:t>
      </w:r>
      <w:r w:rsidR="00D65B63" w:rsidRPr="00915038">
        <w:t>марта 2025 года в Бангкоке, Таиланд;</w:t>
      </w:r>
    </w:p>
    <w:p w14:paraId="04DB5C5F" w14:textId="271D267A" w:rsidR="00D65B63" w:rsidRPr="00915038" w:rsidRDefault="00113D3F" w:rsidP="00CB60FF">
      <w:pPr>
        <w:pStyle w:val="enumlev1"/>
      </w:pPr>
      <w:r w:rsidRPr="00915038">
        <w:t>−</w:t>
      </w:r>
      <w:r w:rsidR="00CB60FF" w:rsidRPr="00915038">
        <w:tab/>
      </w:r>
      <w:r w:rsidR="00D65B63" w:rsidRPr="00915038">
        <w:t>для Северной и Южной Америки (РФР/круглы</w:t>
      </w:r>
      <w:r w:rsidR="006858CA" w:rsidRPr="00915038">
        <w:t>е</w:t>
      </w:r>
      <w:r w:rsidR="00D65B63" w:rsidRPr="00915038">
        <w:t xml:space="preserve"> стол</w:t>
      </w:r>
      <w:r w:rsidR="006858CA" w:rsidRPr="00915038">
        <w:t>ы</w:t>
      </w:r>
      <w:r w:rsidR="00D65B63" w:rsidRPr="00915038">
        <w:t xml:space="preserve"> по подбору партнеров P2C) − 31</w:t>
      </w:r>
      <w:r w:rsidR="008678E1" w:rsidRPr="00915038">
        <w:t> </w:t>
      </w:r>
      <w:r w:rsidR="00D65B63" w:rsidRPr="00915038">
        <w:t>марта 2025 года в Асунсьоне, Парагвай;</w:t>
      </w:r>
    </w:p>
    <w:p w14:paraId="6E73547E" w14:textId="25995206" w:rsidR="00D65B63" w:rsidRPr="00915038" w:rsidRDefault="00113D3F" w:rsidP="00CB60FF">
      <w:pPr>
        <w:pStyle w:val="enumlev1"/>
      </w:pPr>
      <w:r w:rsidRPr="00915038">
        <w:t>−</w:t>
      </w:r>
      <w:r w:rsidR="00CB60FF" w:rsidRPr="00915038">
        <w:tab/>
      </w:r>
      <w:r w:rsidR="00D65B63" w:rsidRPr="00915038">
        <w:t>для Африки (РФР/круглы</w:t>
      </w:r>
      <w:r w:rsidR="006858CA" w:rsidRPr="00915038">
        <w:t>е</w:t>
      </w:r>
      <w:r w:rsidR="00D65B63" w:rsidRPr="00915038">
        <w:t xml:space="preserve"> стол</w:t>
      </w:r>
      <w:r w:rsidR="006858CA" w:rsidRPr="00915038">
        <w:t>ы</w:t>
      </w:r>
      <w:r w:rsidR="00D65B63" w:rsidRPr="00915038">
        <w:t xml:space="preserve"> по подбору партнеров P2C) − 7 апреля 2025 года в Найроби, Кения;</w:t>
      </w:r>
    </w:p>
    <w:p w14:paraId="597D5783" w14:textId="5930B045" w:rsidR="00D65B63" w:rsidRPr="00915038" w:rsidRDefault="00113D3F" w:rsidP="00CB60FF">
      <w:pPr>
        <w:pStyle w:val="enumlev1"/>
      </w:pPr>
      <w:r w:rsidRPr="00915038">
        <w:t>−</w:t>
      </w:r>
      <w:r w:rsidR="00CB60FF" w:rsidRPr="00915038">
        <w:tab/>
      </w:r>
      <w:r w:rsidR="00D65B63" w:rsidRPr="00915038">
        <w:t>для Содружества Независимых Государств (СНГ) (РФР/круглы</w:t>
      </w:r>
      <w:r w:rsidR="006858CA" w:rsidRPr="00915038">
        <w:t>е</w:t>
      </w:r>
      <w:r w:rsidR="00D65B63" w:rsidRPr="00915038">
        <w:t xml:space="preserve"> стол</w:t>
      </w:r>
      <w:r w:rsidR="006858CA" w:rsidRPr="00915038">
        <w:t>ы</w:t>
      </w:r>
      <w:r w:rsidR="00D65B63" w:rsidRPr="00915038">
        <w:t xml:space="preserve"> по подбору партнеров P2C) – 23 апреля 2025 года в Бишкеке, Кыргызстан.</w:t>
      </w:r>
    </w:p>
    <w:p w14:paraId="07523774" w14:textId="26527CCE" w:rsidR="00DE5F80" w:rsidRPr="00915038" w:rsidRDefault="00050352" w:rsidP="00DE5F80">
      <w:r w:rsidRPr="00915038">
        <w:t>2.2.3</w:t>
      </w:r>
      <w:r w:rsidRPr="00915038">
        <w:tab/>
        <w:t>Региональный форум МСЭ по вопросам развития для Африки (РФР-АФР) 2025 года был проведен 7 апреля 2025 года в Найроби, Кения. Это мероприятие, организованное Управлением связи Кении (CA) совместно с Африканским союзом электросвязи (АСЭ), предшествовало Региональному подготовительному собранию к ВКРЭ-25. На мероприятии собрались 304 участника (представ</w:t>
      </w:r>
      <w:r w:rsidR="00EF778B" w:rsidRPr="00915038">
        <w:t xml:space="preserve">ители </w:t>
      </w:r>
      <w:r w:rsidRPr="00915038">
        <w:t>35 Государств-Членов, Членов Сектора МСЭ-D</w:t>
      </w:r>
      <w:r w:rsidR="00EF778B" w:rsidRPr="00915038">
        <w:t xml:space="preserve"> и</w:t>
      </w:r>
      <w:r w:rsidRPr="00915038">
        <w:t xml:space="preserve"> Академически</w:t>
      </w:r>
      <w:r w:rsidR="00EF778B" w:rsidRPr="00915038">
        <w:t>х</w:t>
      </w:r>
      <w:r w:rsidRPr="00915038">
        <w:t xml:space="preserve"> организаци</w:t>
      </w:r>
      <w:r w:rsidR="00EF778B" w:rsidRPr="00915038">
        <w:t>й</w:t>
      </w:r>
      <w:r w:rsidRPr="00915038">
        <w:t>, наблюдател</w:t>
      </w:r>
      <w:r w:rsidR="00EF778B" w:rsidRPr="00915038">
        <w:t>и</w:t>
      </w:r>
      <w:r w:rsidRPr="00915038">
        <w:t xml:space="preserve"> и сотрудник</w:t>
      </w:r>
      <w:r w:rsidR="00EF778B" w:rsidRPr="00915038">
        <w:t>и</w:t>
      </w:r>
      <w:r w:rsidRPr="00915038">
        <w:t xml:space="preserve"> МСЭ) для </w:t>
      </w:r>
      <w:r w:rsidR="00DE5F80" w:rsidRPr="00915038">
        <w:t>ведения диалога</w:t>
      </w:r>
      <w:r w:rsidRPr="00915038">
        <w:t xml:space="preserve"> на высоком уровне </w:t>
      </w:r>
      <w:r w:rsidR="00DE5F80" w:rsidRPr="00915038">
        <w:t xml:space="preserve">по вопросам </w:t>
      </w:r>
      <w:r w:rsidRPr="00915038">
        <w:t>обеспечени</w:t>
      </w:r>
      <w:r w:rsidR="00DE5F80" w:rsidRPr="00915038">
        <w:t>я</w:t>
      </w:r>
      <w:r w:rsidRPr="00915038">
        <w:t xml:space="preserve"> реальной возможности установления соединений и устойчивой цифровой трансформации в Африке. Дискуссии были посвящены оценке прогресса, достигнутого со времени принятия Кигалийского плана действий, рассмотрению таких проблем, как стоимость подключения и цифровой разрыв, а </w:t>
      </w:r>
      <w:r w:rsidRPr="00915038">
        <w:lastRenderedPageBreak/>
        <w:t>также укреплени</w:t>
      </w:r>
      <w:r w:rsidR="00DE5F80" w:rsidRPr="00915038">
        <w:t>ю</w:t>
      </w:r>
      <w:r w:rsidRPr="00915038">
        <w:t xml:space="preserve"> партнерских отношений, в том числе в рамках коалиции "Партнерства для подключения" (P2C), которая сообщила о 189 обязательствах для Африки на сумму около 32 млрд. долл</w:t>
      </w:r>
      <w:r w:rsidR="00EF778B" w:rsidRPr="00915038">
        <w:t>аров</w:t>
      </w:r>
      <w:r w:rsidR="00DE5F80" w:rsidRPr="00915038">
        <w:t xml:space="preserve"> США. Участники форума особо отметили региональное сотрудничество, инвестиции в инфраструктуру, цифровые навыки и инновации для использования ИКТ в интересах достижения Целей в области устойчивого развития (ЦУР) на всем континенте. На этом мероприятии также было </w:t>
      </w:r>
      <w:r w:rsidR="00EF778B" w:rsidRPr="00915038">
        <w:t xml:space="preserve">объявлено о </w:t>
      </w:r>
      <w:r w:rsidR="00DE5F80" w:rsidRPr="00915038">
        <w:t>проект</w:t>
      </w:r>
      <w:r w:rsidR="00EF778B" w:rsidRPr="00915038">
        <w:t>е</w:t>
      </w:r>
      <w:r w:rsidR="00DE5F80" w:rsidRPr="00915038">
        <w:t xml:space="preserve"> по созданию национальных систем картирования широкополосной связи в странах Африки (Africa-BB-Maps).</w:t>
      </w:r>
    </w:p>
    <w:p w14:paraId="63212946" w14:textId="2FA39666" w:rsidR="00050352" w:rsidRPr="00915038" w:rsidRDefault="00050352" w:rsidP="00CB60FF">
      <w:r w:rsidRPr="00915038">
        <w:t>2.2.4</w:t>
      </w:r>
      <w:r w:rsidRPr="00915038">
        <w:tab/>
        <w:t>Региональный форум МСЭ по вопросам развития для Северной и Южной Америки (РФР</w:t>
      </w:r>
      <w:r w:rsidR="00113D3F" w:rsidRPr="00915038">
        <w:noBreakHyphen/>
      </w:r>
      <w:r w:rsidRPr="00915038">
        <w:t>АМР) 2025 года был организован БРЭ по приглашению Национальной комиссии по электросвязи (CONATEL) Парагвая в Асунсьоне 31 марта 2025 года.</w:t>
      </w:r>
      <w:r w:rsidR="00DE5F80" w:rsidRPr="00915038">
        <w:t xml:space="preserve"> Форум, проведенный параллельно с Региональным подготовительным собранием к ВКРЭ-25 и собранием СИТЕЛ, способствовал ведению диалога на высоком уровне по вопросам обеспечения реальной возможности установления соединений и устойчивой цифровой трансформации в Северной и Южной Америке. На нем присутствовали 168 участников, представлявших 29 Государств-Членов, Членов Сектора МСЭ-D и другие заинтересованные стороны. В ходе обсуждений был освещен прогресс, достигнутый в регионе: </w:t>
      </w:r>
      <w:r w:rsidR="00FA39FC" w:rsidRPr="00915038">
        <w:t xml:space="preserve">согласно предоставленной информации, уровень использования интернета </w:t>
      </w:r>
      <w:r w:rsidR="00EF778B" w:rsidRPr="00915038">
        <w:t>составляет</w:t>
      </w:r>
      <w:r w:rsidR="00FA39FC" w:rsidRPr="00915038">
        <w:t xml:space="preserve"> </w:t>
      </w:r>
      <w:r w:rsidR="00DE5F80" w:rsidRPr="00915038">
        <w:t>87%</w:t>
      </w:r>
      <w:r w:rsidR="00FA39FC" w:rsidRPr="00915038">
        <w:t xml:space="preserve">, а уровень владения мобильными телефонами − </w:t>
      </w:r>
      <w:r w:rsidR="00DE5F80" w:rsidRPr="00915038">
        <w:t xml:space="preserve">89%, но </w:t>
      </w:r>
      <w:r w:rsidR="00FA39FC" w:rsidRPr="00915038">
        <w:t xml:space="preserve">при этом было </w:t>
      </w:r>
      <w:r w:rsidR="00DE5F80" w:rsidRPr="00915038">
        <w:t>призна</w:t>
      </w:r>
      <w:r w:rsidR="00FA39FC" w:rsidRPr="00915038">
        <w:t xml:space="preserve">но </w:t>
      </w:r>
      <w:r w:rsidR="00DE5F80" w:rsidRPr="00915038">
        <w:t>существование устойчивого цифрового разрыва.</w:t>
      </w:r>
      <w:r w:rsidR="00FA39FC" w:rsidRPr="00915038">
        <w:t xml:space="preserve"> Особо отмечалась роль Цифровой коалиции "Партнерства для подключения" (P2C): согласно данным отчетов, в интересах региона было принято около 225</w:t>
      </w:r>
      <w:r w:rsidR="00EF778B" w:rsidRPr="00915038">
        <w:t> </w:t>
      </w:r>
      <w:r w:rsidR="00FA39FC" w:rsidRPr="00915038">
        <w:t>обязательств на общую сумму более 25 млрд. долл</w:t>
      </w:r>
      <w:r w:rsidR="00EF778B" w:rsidRPr="00915038">
        <w:t xml:space="preserve">аров </w:t>
      </w:r>
      <w:r w:rsidR="00FA39FC" w:rsidRPr="00915038">
        <w:t>США, основное внимание в которых уделяется доступу, приемлемости в ценовом отношении и кибербезопасности. Для содействия выполнению этих обязательств были проведены круглые столы по подбору партнеров.</w:t>
      </w:r>
      <w:r w:rsidR="00CE5E8A" w:rsidRPr="00915038">
        <w:t xml:space="preserve"> На форуме было также объявлено о новом финансируемом ЕС проекте по региональным инновациям в сфере регулирования для Центральной Америки.</w:t>
      </w:r>
    </w:p>
    <w:p w14:paraId="6A0ED479" w14:textId="24CC3EFB" w:rsidR="000B44F9" w:rsidRPr="00915038" w:rsidRDefault="000B44F9" w:rsidP="000B44F9">
      <w:pPr>
        <w:rPr>
          <w:rFonts w:eastAsia="SimSun" w:cstheme="minorHAnsi"/>
          <w:szCs w:val="24"/>
        </w:rPr>
      </w:pPr>
      <w:r w:rsidRPr="00915038">
        <w:t>2.2.5</w:t>
      </w:r>
      <w:r w:rsidRPr="00915038">
        <w:tab/>
        <w:t>Региональный форум МСЭ по вопросам развития для арабских государств (РФР-АРБ), организованный БРЭ по приглашению Комиссии по регулированию электросвязи (TRC) Иордании, был проведен в Аммане 3 февраля 2025 года. Форум, приуроченный к Региональному подготовительному собранию к ВКРЭ-25, стал платформой для диалога на высоком уровне между 111</w:t>
      </w:r>
      <w:r w:rsidR="00705166" w:rsidRPr="00915038">
        <w:t> </w:t>
      </w:r>
      <w:r w:rsidRPr="00915038">
        <w:t>участниками, представляющими 17 Государств-Членов и различные группы заинтересованных сторон, включая Членов Сектора, Академические организации, учреждения ООН и региональные организации. Основные обсуждения были посвящены реализации региональных инициатив арабских государств, принятых на ВКРЭ-22, решению проблем и использованию возможностей в обеспечении реальной возможности установления соединений, а также содействию устойчивой цифровой трансформации. Значительное внимание уделялось Цифровой коалиции "Партнерства для подключения" (P2C), которая организовала круглые столы по подбору партнеров, призванные обеспечить согласование обязательств партнеров с потребностями Государств-Членов; было отмечено, что Арабский регион обеспечил обязательства в рамках P2C на сумму 24,7 млрд. долл</w:t>
      </w:r>
      <w:r w:rsidR="00705166" w:rsidRPr="00915038">
        <w:t xml:space="preserve">аров </w:t>
      </w:r>
      <w:r w:rsidRPr="00915038">
        <w:t>США. В рамках мероприятия также была подписана Совместная декларация МСЭ и RIPE NCC о содействии развитию инфраструктуры интернета и развертыванию IPv6 в регионе.</w:t>
      </w:r>
    </w:p>
    <w:p w14:paraId="55FA0B2F" w14:textId="668611C7" w:rsidR="000B44F9" w:rsidRPr="00915038" w:rsidRDefault="000B44F9" w:rsidP="000B44F9">
      <w:pPr>
        <w:rPr>
          <w:rFonts w:cstheme="minorHAnsi"/>
          <w:szCs w:val="24"/>
        </w:rPr>
      </w:pPr>
      <w:r w:rsidRPr="00915038">
        <w:t>2.2.6</w:t>
      </w:r>
      <w:r w:rsidRPr="00915038">
        <w:tab/>
        <w:t xml:space="preserve">Региональный форум МСЭ по вопросам развития для Азиатско-Тихоокеанского региона (РФР-АТР) 2025 года был организован БРЭ по приглашению Национальной комиссии по радиовещанию и электросвязи (NBTC) Таиланда в сотрудничестве с Азиатско-Тихоокеанским сообществом электросвязи (АТСЭ). В этом форуме, состоявшемся в Бангкоке 19 марта 2025 года, приняли участие 167 представителей от 36 Государств-Членов, Членов Сектора и других заинтересованных сторон. Главной темой для диалога стали обеспечение реальной возможности установления соединений и устойчивая цифровая трансформация в регионе, определение стратегических приоритетов и рассмотрение хода реализации региональных инициатив и Кигалийского плана действий. Наряду с возможностями в области появляющихся технологий обсуждались такие проблемы, как цифровой разрыв, особенно в СИДС и НРС, кибербезопасность и устойчивое развитие. Коалиция "Партнерства для подключения" P2C) представила информацию об </w:t>
      </w:r>
      <w:r w:rsidRPr="00915038">
        <w:lastRenderedPageBreak/>
        <w:t>обязательствах для региона на сумму 17,5 млрд. долл</w:t>
      </w:r>
      <w:r w:rsidR="00705166" w:rsidRPr="00915038">
        <w:t>аров</w:t>
      </w:r>
      <w:r w:rsidRPr="00915038">
        <w:t xml:space="preserve"> США, уделив основное внимание приемлемости в ценовом отношении и кибербезопасности, а также провела сессии по подбору партнеров, направленные на установление партнерских отношений. Было также особо отмечено сотрудничество с такими партнерами, как Япония (в области наращивания потенциала в сфере ИИ и развития цифровой инфраструктуры) и Таиланд (в рамках Международного дня "Девушки в ИКТ" 2025 г.).</w:t>
      </w:r>
    </w:p>
    <w:p w14:paraId="748BF31F" w14:textId="5FC54CDB" w:rsidR="000B44F9" w:rsidRPr="00915038" w:rsidRDefault="000B44F9" w:rsidP="000B44F9">
      <w:pPr>
        <w:rPr>
          <w:rFonts w:eastAsiaTheme="minorEastAsia" w:cstheme="minorHAnsi"/>
          <w:szCs w:val="24"/>
        </w:rPr>
      </w:pPr>
      <w:r w:rsidRPr="00915038">
        <w:t>2.2.7</w:t>
      </w:r>
      <w:r w:rsidRPr="00915038">
        <w:tab/>
        <w:t>Региональный форум МСЭ по вопросам развития для стран Содружества Независимых Государств (РФР-СНГ), организованный по приглашению Министерства цифрового развития и инновационных технологий Кыргызской Республики, был проведен в Бишкеке, Кыргызская Республика, 23 апреля 2025 года. Объединив 75 участников из Государств-Членов, Членов Сектора, Академических организаций, учреждений ООН, региональных организаций и других сторон, форум послужил площадкой для диалога на высоком уровне по вопросам обеспечения реальной возможности установления соединений и устойчивой цифровой трансформации для ускорения достижения ЦУР в регионе. В рамках обсуждений был рассмотрен ход выполнения решений ВКРЭ-22, в том числе пяти региональных инициатив для региона СНГ, а также были затронуты региональные тенденции, проблемы и возможности, изложенные в отчете "Состояние цифрового развития и тенденции в цифровой сфере региона СНГ". На форуме также прошли сессии, посвященные Цифровой коалиции "Партнерства для подключения" (P2C), в рамках которых состоялись круглые столы по подбору партнеров, направленные на укрепление партнерских отношений и согласование 60 обязательств (на сумму 4,4 млрд. долл</w:t>
      </w:r>
      <w:r w:rsidR="00705166" w:rsidRPr="00915038">
        <w:t>аров</w:t>
      </w:r>
      <w:r w:rsidRPr="00915038">
        <w:t xml:space="preserve"> США), полученных для региона, с приоритетными потребностями, с тем чтобы содействовать цифровому развитию.</w:t>
      </w:r>
    </w:p>
    <w:p w14:paraId="37FADF6D" w14:textId="7AD767C3" w:rsidR="000B44F9" w:rsidRPr="00915038" w:rsidRDefault="000B44F9" w:rsidP="000B44F9">
      <w:pPr>
        <w:rPr>
          <w:rFonts w:eastAsia="Calibri" w:cstheme="minorHAnsi"/>
          <w:color w:val="000000" w:themeColor="text1"/>
          <w:szCs w:val="24"/>
        </w:rPr>
      </w:pPr>
      <w:r w:rsidRPr="00915038">
        <w:t>2.2.8</w:t>
      </w:r>
      <w:r w:rsidRPr="00915038">
        <w:tab/>
        <w:t xml:space="preserve">Региональный форум МСЭ по вопросам развития для Европы (РФР-ЕВР), организованный по приглашению Национального управления средств массовой информации и инфокоммуникаций Венгрии в сотрудничестве с СЕПТ и приуроченный к собранию РПС-ЕВР, был проведен в Будапеште, Венгрия, 24 февраля 2025 года. На форуме, на котором присутствовали 98 участников, включая представителей из 32 Государств-Членов, Членов Сектора МСЭ-D и гостей, состоялся диалог на высоком уровне по вопросам обеспечения реальной возможности установления соединений и устойчивой цифровой трансформации. В ходе обсуждений был рассмотрен ход реализации пяти региональных инициатив для Европы и были затронуты региональные тенденции, проблемы и возможности, в том числе лидерство Европы в таких областях, как кибербезопасность и приемлемость широкополосной связи в ценовом отношении, а также сохраняющиеся разрывы в возможности установления соединений в сельских районах. На форуме были проведены сессии по подбору партнеров в рамках инициативы "Партнерства для подключения" (P2C), направленные на укрепление партнерских отношений в целях развития. Основные заявления включали поддержку инициативы по системам раннего предупреждения для Западных Балкан, соглашение с Кипром в области развития потенциала по вопросам устойчивости инфраструктуры, а также соглашение с Андоррой в области защиты ребенка в онлайновой среде и соглашение между ООН и МОТ, направленное на обеспечение цифровой грамотности в Молдове. </w:t>
      </w:r>
    </w:p>
    <w:p w14:paraId="2E5A397B" w14:textId="10201618" w:rsidR="000B44F9" w:rsidRPr="00915038" w:rsidRDefault="000B44F9" w:rsidP="000B44F9">
      <w:pPr>
        <w:pStyle w:val="Heading2"/>
        <w:rPr>
          <w:rFonts w:eastAsia="Calibri"/>
          <w:color w:val="000000" w:themeColor="text1"/>
        </w:rPr>
      </w:pPr>
      <w:r w:rsidRPr="00915038">
        <w:t>2.3</w:t>
      </w:r>
      <w:r w:rsidRPr="00915038">
        <w:tab/>
        <w:t>Региональные подготовительные собрания к ВКРЭ-25</w:t>
      </w:r>
    </w:p>
    <w:p w14:paraId="565BF834" w14:textId="2F226299" w:rsidR="000B44F9" w:rsidRPr="00915038" w:rsidRDefault="000B44F9" w:rsidP="000B44F9">
      <w:r w:rsidRPr="00915038">
        <w:t>2.3.1</w:t>
      </w:r>
      <w:r w:rsidRPr="00915038">
        <w:tab/>
        <w:t xml:space="preserve">В соответствии с </w:t>
      </w:r>
      <w:hyperlink r:id="rId43" w:history="1">
        <w:r w:rsidRPr="00915038">
          <w:rPr>
            <w:rStyle w:val="Hyperlink"/>
            <w:rFonts w:cstheme="minorHAnsi"/>
          </w:rPr>
          <w:t>Резолюцией 31 (Пересм. Кигали, 2022 г.)</w:t>
        </w:r>
      </w:hyperlink>
      <w:r w:rsidRPr="00915038">
        <w:t xml:space="preserve"> было организовано шесть региональных подготовительных собраний (РПС), как показано в Таблице 1</w:t>
      </w:r>
      <w:r w:rsidR="00705166" w:rsidRPr="00915038">
        <w:t>,</w:t>
      </w:r>
      <w:r w:rsidRPr="00915038">
        <w:t xml:space="preserve"> выше. Цель РПС заключалась в привлечении членов к процессу подготовки к ВКРЭ-25, с тем чтобы обеспечить региональную координацию в преддверии конференции. Они также призваны выявить проблемы регионального уровня, которые необходимо решить для содействия развитию электросвязи/ИКТ, принимая во внимание наиболее насущные потребности Государств-Членов и Членов Сектора этого региона. Итоги работы РПС сведены воедино на межрегиональном координационном собрании и будут обсуждаться на КГРЭ-25. Итоги работы КГРЭ представляются на рассмотрение ВКРЭ в виде проектов документов.</w:t>
      </w:r>
    </w:p>
    <w:p w14:paraId="214DB889" w14:textId="39E51FA2" w:rsidR="000B44F9" w:rsidRPr="00915038" w:rsidRDefault="000B44F9" w:rsidP="000B44F9">
      <w:pPr>
        <w:rPr>
          <w:szCs w:val="24"/>
        </w:rPr>
      </w:pPr>
      <w:r w:rsidRPr="00915038">
        <w:rPr>
          <w:szCs w:val="24"/>
        </w:rPr>
        <w:lastRenderedPageBreak/>
        <w:t>2.3.2</w:t>
      </w:r>
      <w:r w:rsidRPr="00915038">
        <w:rPr>
          <w:szCs w:val="24"/>
        </w:rPr>
        <w:tab/>
        <w:t>На РПС был рассмотрен ряд документов, в том числе о выполнении Кигалийского плана действий ВКРЭ-22, состоянии цифрового развития и тенденций в цифровой сфере в Европе, решениях других конференций МСЭ, касающихся работы МСЭ-D, ходе работы Рабочей группы КГРЭ по приоритетам МСЭ-D и будущим Вопросам исследовательских комиссий, а также усилиях по упорядочению Резолюций и Декларации ВКРЭ.</w:t>
      </w:r>
    </w:p>
    <w:p w14:paraId="3DAD2AD9" w14:textId="36CD9EC0" w:rsidR="000B44F9" w:rsidRPr="00915038" w:rsidRDefault="000B44F9" w:rsidP="000B44F9">
      <w:pPr>
        <w:rPr>
          <w:rFonts w:eastAsia="Calibri"/>
          <w:color w:val="000000" w:themeColor="text1"/>
        </w:rPr>
      </w:pPr>
      <w:r w:rsidRPr="00915038">
        <w:t>2.3.3</w:t>
      </w:r>
      <w:r w:rsidRPr="00915038">
        <w:tab/>
        <w:t xml:space="preserve">Участники собраний также обсудили и приняли к сведению вклады различных стран, касающиеся новых региональных инициатив, включая укрепление кибербезопасности, содействие гендерному равенству, расширение охвата молодежи, совершенствование электросвязи в чрезвычайных ситуациях и содействие развитию благоприятных экосистем цифровых инноваций. На РПС также были разработаны проекты региональных инициатив для каждого региона на период 2026−2029 годов. Более подробную информацию о вкладах, сделанных для каждого РПС, можно получить на </w:t>
      </w:r>
      <w:hyperlink r:id="rId44" w:history="1">
        <w:r w:rsidRPr="00915038">
          <w:rPr>
            <w:rStyle w:val="Hyperlink"/>
            <w:rFonts w:cstheme="minorHAnsi"/>
          </w:rPr>
          <w:t>веб-сайте РПС</w:t>
        </w:r>
      </w:hyperlink>
      <w:r w:rsidRPr="00915038">
        <w:t>.</w:t>
      </w:r>
    </w:p>
    <w:p w14:paraId="3751A0D2" w14:textId="568E8C45" w:rsidR="000B44F9" w:rsidRPr="00915038" w:rsidRDefault="000B44F9" w:rsidP="00705166">
      <w:pPr>
        <w:pStyle w:val="Heading2"/>
      </w:pPr>
      <w:r w:rsidRPr="00915038">
        <w:t>2.4</w:t>
      </w:r>
      <w:r w:rsidRPr="00915038">
        <w:tab/>
        <w:t>Реализация Оперативного плана МСЭ-D</w:t>
      </w:r>
    </w:p>
    <w:p w14:paraId="519377E6" w14:textId="4D56ABC0" w:rsidR="000B44F9" w:rsidRPr="00915038" w:rsidRDefault="000B44F9" w:rsidP="00705166">
      <w:pPr>
        <w:rPr>
          <w:rFonts w:eastAsia="Calibri" w:cstheme="minorHAnsi"/>
          <w:color w:val="000000" w:themeColor="text1"/>
          <w:szCs w:val="24"/>
        </w:rPr>
      </w:pPr>
      <w:r w:rsidRPr="00915038">
        <w:t>2.4.1</w:t>
      </w:r>
      <w:r w:rsidR="00705166" w:rsidRPr="00915038">
        <w:tab/>
      </w:r>
      <w:r w:rsidRPr="00915038">
        <w:t>Эффективность региональной деятельности МСЭ вносит существенный вклад в выполнение его глобальной миссии – соединить весь мир и содействовать устойчивой цифровой трансформации – и тем самым оказывает воздействие на местном уровне в рамках деятельности БРЭ в области развития и обеспечения результатов в Государствах-Членах. Эти стратегически важные усилия направлены на то, чтобы МСЭ оставался способным реагировать на быстро меняющиеся потребности цифровой экономики и цифрового общества во всем мире.</w:t>
      </w:r>
    </w:p>
    <w:p w14:paraId="216B83B4" w14:textId="64645B9C" w:rsidR="000B44F9" w:rsidRPr="00915038" w:rsidRDefault="000B44F9" w:rsidP="00705166">
      <w:pPr>
        <w:rPr>
          <w:rFonts w:eastAsia="Aptos" w:cstheme="minorHAnsi"/>
          <w:szCs w:val="24"/>
        </w:rPr>
      </w:pPr>
      <w:r w:rsidRPr="00915038">
        <w:t>2.4.2</w:t>
      </w:r>
      <w:r w:rsidR="00705166" w:rsidRPr="00915038">
        <w:tab/>
      </w:r>
      <w:r w:rsidRPr="00915038">
        <w:t xml:space="preserve">Оперативный план МСЭ-D соответствует структуре Стратегического плана Союза на 2024−2027 годы. Структура плана соответствует Кигалийскому плану действий (КПД), поскольку в нем определены приоритеты и средства достижения целей МСЭ-D, соответствующие конечные результаты, продукты и услуги, а также показатели деятельности (KPI) для измерения уровня достижения целей в результате деятельности Сектора. В настоящее время во всем мире и в регионах осуществляется в общей сложности сто тридцать пять (135) видов деятельности. Для того чтобы повысить эффективность работы, необходимо добиться эффекта синергии в рамках региональных мероприятий и между региональными и глобальными мероприятиями, а также в сотрудничестве с другими </w:t>
      </w:r>
      <w:r w:rsidR="00705166" w:rsidRPr="00915038">
        <w:t>Б</w:t>
      </w:r>
      <w:r w:rsidRPr="00915038">
        <w:t>юро МСЭ и Генеральным секретариатом.</w:t>
      </w:r>
    </w:p>
    <w:p w14:paraId="34A85F5E" w14:textId="3F599E68" w:rsidR="000B44F9" w:rsidRPr="00915038" w:rsidRDefault="000B44F9" w:rsidP="00705166">
      <w:pPr>
        <w:rPr>
          <w:rFonts w:eastAsia="Aptos" w:cstheme="minorHAnsi"/>
          <w:szCs w:val="24"/>
        </w:rPr>
      </w:pPr>
      <w:r w:rsidRPr="00915038">
        <w:t>2.4.3</w:t>
      </w:r>
      <w:r w:rsidR="00705166" w:rsidRPr="00915038">
        <w:tab/>
      </w:r>
      <w:r w:rsidRPr="00915038">
        <w:t>Региональные отделения являются неотъемлемой частью процесса оперативного планирования, о чем свидетельствуют информационные панели БРЭ для ОП и проектов. Региональные и зональные отделения МСЭ тесно сотрудничают со штаб-квартирой в определении, реализации и мониторинге оперативных планов, а также в разработке, осуществлении и мониторинге проектов технической помощи в своих соответствующих регионах. Распределение бюджетных средств и оценка результатов работы осуществляются совместно с региональными отделениями. Это включает в себя обеспечение намеченных результатов (продукты и услуги МСЭ-D) и конечных результатов (итогов) для Государств-Членов, а также удовлетворение потребностей конкретных стран в соответствии с приоритетами, средствами достижения целей и региональными инициативами МСЭ-D, принятыми на ВКРЭ-22. Такой комплексный подход позволяет БРЭ обеспечить значительные результаты Государствам</w:t>
      </w:r>
      <w:r w:rsidR="00705166" w:rsidRPr="00915038">
        <w:t xml:space="preserve"> − </w:t>
      </w:r>
      <w:r w:rsidRPr="00915038">
        <w:t>Членам МСЭ и использовать взаимосвязь между регулярными и внебюджетными видами деятельности, осуществляемой Бюро.</w:t>
      </w:r>
    </w:p>
    <w:p w14:paraId="3A5F5DDC" w14:textId="6C1EC476" w:rsidR="000B44F9" w:rsidRPr="00915038" w:rsidRDefault="000B44F9" w:rsidP="00705166">
      <w:pPr>
        <w:rPr>
          <w:rFonts w:eastAsia="Aptos" w:cstheme="minorHAnsi"/>
          <w:szCs w:val="24"/>
        </w:rPr>
      </w:pPr>
      <w:r w:rsidRPr="00915038">
        <w:t>2.4.4</w:t>
      </w:r>
      <w:r w:rsidR="00705166" w:rsidRPr="00915038">
        <w:tab/>
      </w:r>
      <w:r w:rsidRPr="00915038">
        <w:t>Разработка оперативных планов БРЭ с учетом KPI, намеченных и конечных результатов, а также управление такими планами и представление по ним отчетности осуществляются совместно региональными отделениями и штаб-квартирой на слаженной основе. Благодаря близости к Членам, региональные отделения могут эффективно удовлетворять их потребности.</w:t>
      </w:r>
    </w:p>
    <w:p w14:paraId="77A08A0C" w14:textId="5564F0D3" w:rsidR="000B44F9" w:rsidRPr="00915038" w:rsidRDefault="000B44F9" w:rsidP="00705166">
      <w:pPr>
        <w:rPr>
          <w:rFonts w:eastAsia="Aptos" w:cstheme="minorHAnsi"/>
          <w:szCs w:val="24"/>
        </w:rPr>
      </w:pPr>
      <w:r w:rsidRPr="00915038">
        <w:t>2.4.5</w:t>
      </w:r>
      <w:r w:rsidR="00705166" w:rsidRPr="00915038">
        <w:tab/>
      </w:r>
      <w:r w:rsidRPr="00915038">
        <w:t xml:space="preserve">В части видов деятельности, предусмотренных Оперативным планом, региональные и зональные отделения отвечают за осуществление деятельности, охватывающей несколько регионов, а службы БРЭ в штаб-квартире руководят этой деятельностью. В региональных и зональных отделениях работают менеджеры проектов, относящихся к конкретным регионам или странам. </w:t>
      </w:r>
      <w:r w:rsidRPr="00915038">
        <w:lastRenderedPageBreak/>
        <w:t>Все</w:t>
      </w:r>
      <w:r w:rsidR="00705166" w:rsidRPr="00915038">
        <w:t> </w:t>
      </w:r>
      <w:r w:rsidRPr="00915038">
        <w:t>результаты деятельности и проектов в рамках оперативного планирования измеряются с помощью KPI, принятых Консультативной группой по развитию электросвязи (КГРЭ).</w:t>
      </w:r>
    </w:p>
    <w:p w14:paraId="64DCF959" w14:textId="6C420276" w:rsidR="000B44F9" w:rsidRPr="00915038" w:rsidRDefault="000B44F9" w:rsidP="00705166">
      <w:pPr>
        <w:rPr>
          <w:rFonts w:eastAsia="Aptos" w:cstheme="minorHAnsi"/>
          <w:szCs w:val="24"/>
        </w:rPr>
      </w:pPr>
      <w:r w:rsidRPr="00915038">
        <w:t>2.4.6</w:t>
      </w:r>
      <w:r w:rsidRPr="00915038">
        <w:tab/>
        <w:t>Региональные и зональные отделения МСЭ работают в координации с департаментами и отделами БРЭ над претворением в жизнь Кигалийского плана действий (КПД), утвержденного Всемирной конференцией по развитию электросвязи (ВКРЭ-22). КПД опирается на систему управления, ориентированного на результаты (УОР), которая базируется на приоритетах МСЭ-D, определенных как ключевые области работы, способствующие выполнению Стратегического плана МСЭ на 2024–2027 годы.</w:t>
      </w:r>
    </w:p>
    <w:p w14:paraId="0C56C971" w14:textId="2188D25C" w:rsidR="000B44F9" w:rsidRPr="00915038" w:rsidRDefault="000B44F9" w:rsidP="00705166">
      <w:r w:rsidRPr="00915038">
        <w:t>2.4.7</w:t>
      </w:r>
      <w:r w:rsidRPr="00915038">
        <w:tab/>
        <w:t xml:space="preserve">Подробная информация, касающаяся осуществления видов деятельности БРЭ на местах с июня 2024 года по май 2025 года, содержится в Документе </w:t>
      </w:r>
      <w:hyperlink r:id="rId45" w:history="1">
        <w:r w:rsidRPr="00915038">
          <w:rPr>
            <w:rStyle w:val="Hyperlink"/>
            <w:rFonts w:eastAsia="Aptos" w:cstheme="minorHAnsi"/>
            <w:szCs w:val="24"/>
          </w:rPr>
          <w:t>TDAG-25/2</w:t>
        </w:r>
      </w:hyperlink>
      <w:r w:rsidRPr="00915038">
        <w:t>, в котором освещаются основные достижения в различных регионах.</w:t>
      </w:r>
    </w:p>
    <w:p w14:paraId="5CC09D86" w14:textId="011AF3ED" w:rsidR="00FA6529" w:rsidRPr="00915038" w:rsidRDefault="00FA6529" w:rsidP="00FA6529">
      <w:pPr>
        <w:pStyle w:val="Heading2"/>
      </w:pPr>
      <w:bookmarkStart w:id="11" w:name="_Hlk194484853"/>
      <w:r w:rsidRPr="00915038">
        <w:rPr>
          <w:rFonts w:eastAsia="Aptos"/>
        </w:rPr>
        <w:t>2.5</w:t>
      </w:r>
      <w:r w:rsidRPr="00915038">
        <w:rPr>
          <w:rFonts w:eastAsia="Aptos"/>
        </w:rPr>
        <w:tab/>
      </w:r>
      <w:r w:rsidRPr="00915038">
        <w:t>Участие региональных отделений в реализации проектов МСЭ-D</w:t>
      </w:r>
    </w:p>
    <w:p w14:paraId="6467FE56" w14:textId="020C81A6" w:rsidR="00FA6529" w:rsidRPr="00915038" w:rsidRDefault="00FA6529" w:rsidP="00FA6529">
      <w:r w:rsidRPr="00915038">
        <w:rPr>
          <w:szCs w:val="24"/>
        </w:rPr>
        <w:t>2.5.1</w:t>
      </w:r>
      <w:r w:rsidRPr="00915038">
        <w:rPr>
          <w:szCs w:val="24"/>
        </w:rPr>
        <w:tab/>
      </w:r>
      <w:r w:rsidRPr="00915038">
        <w:t>Проекты МСЭ-D, призванные облегчить и ускорить развитие электросвязи/ИКТ посредством технического сотрудничества и помощи, реализуются во всех шести регионах МСЭ: Африке, Северной и Южной Америке, арабских государствах, Азиатско-Тихоокеанском регионе, СНГ и Европе. БРЭ отвечает за составление концепций, разработку, реализацию и оценку проектов в этих регионах.</w:t>
      </w:r>
    </w:p>
    <w:p w14:paraId="04950F39" w14:textId="34D679C6" w:rsidR="00FA6529" w:rsidRPr="00915038" w:rsidRDefault="00FA6529" w:rsidP="00FA6529">
      <w:r w:rsidRPr="00915038">
        <w:rPr>
          <w:szCs w:val="24"/>
        </w:rPr>
        <w:t>2.5.2</w:t>
      </w:r>
      <w:r w:rsidRPr="00915038">
        <w:rPr>
          <w:szCs w:val="24"/>
        </w:rPr>
        <w:tab/>
        <w:t xml:space="preserve">Региональные и зональные отделения играют важную роль, выступая в качестве первого контактного звена МСЭ при взаимодействии с местными заинтересованными сторонами и органами власти. </w:t>
      </w:r>
      <w:r w:rsidRPr="00915038">
        <w:t>Они работают в тесной координации со штаб-квартирой над определением, реализацией и мониторингом проектов по предоставлению технической помощи, продуктов и услуг МСЭ-D, а также над удовлетворением потребностей конкретных стран в соответствии с Кигалийским планом действий и региональными инициативами. Такой комплексный подход, обеспечивающий взаимосвязь между регулярными и внебюджетными видами деятельности, позволяет БРЭ предоставлять более качественные услуги Государствам-Членам.</w:t>
      </w:r>
    </w:p>
    <w:p w14:paraId="6575B959" w14:textId="636989EE" w:rsidR="00FA6529" w:rsidRPr="00915038" w:rsidRDefault="00FA6529" w:rsidP="00FA6529">
      <w:r w:rsidRPr="00915038">
        <w:rPr>
          <w:rFonts w:eastAsia="Aptos"/>
          <w:szCs w:val="24"/>
        </w:rPr>
        <w:t>2.5.3</w:t>
      </w:r>
      <w:r w:rsidRPr="00915038">
        <w:rPr>
          <w:rFonts w:eastAsia="Aptos"/>
          <w:szCs w:val="24"/>
        </w:rPr>
        <w:tab/>
      </w:r>
      <w:r w:rsidRPr="00915038">
        <w:t xml:space="preserve">БРЭ усовершенствовало практику управления проектами, в том числе повысило квалификацию руководителей проектов с помощью программ обучения, создало четкие механизмы управления через Комитет по проектам БРЭ, улучшило отчетность перед партнерами и внедрило надежные системы мониторинга. </w:t>
      </w:r>
      <w:r w:rsidRPr="00915038">
        <w:rPr>
          <w:szCs w:val="24"/>
        </w:rPr>
        <w:t>Реализация проектов находится под постоянным мониторингом, а информация о ходе выполнения представляется ежеквартально через отчеты об оценке и внутренние информационные панели для поддержки принятия решений на основе данных.</w:t>
      </w:r>
      <w:r w:rsidRPr="00915038">
        <w:rPr>
          <w:rFonts w:eastAsia="Aptos"/>
          <w:szCs w:val="24"/>
        </w:rPr>
        <w:t xml:space="preserve"> Комитет по проектам БРЭ играет важную роль в обеспечении разработки и реализации проектов в соответствии с Кигалийским планом действий, а также в обеспечении надлежащего управления портфелем проектов БРЭ.</w:t>
      </w:r>
    </w:p>
    <w:p w14:paraId="70547BA6" w14:textId="66A2F57B" w:rsidR="00FA6529" w:rsidRPr="00915038" w:rsidRDefault="00FA6529" w:rsidP="00FA6529">
      <w:r w:rsidRPr="00915038">
        <w:rPr>
          <w:rFonts w:eastAsia="Aptos"/>
          <w:szCs w:val="24"/>
        </w:rPr>
        <w:t>2.5.4</w:t>
      </w:r>
      <w:r w:rsidRPr="00915038">
        <w:rPr>
          <w:rFonts w:eastAsia="Aptos"/>
          <w:szCs w:val="24"/>
        </w:rPr>
        <w:tab/>
      </w:r>
      <w:r w:rsidRPr="00915038">
        <w:rPr>
          <w:szCs w:val="24"/>
        </w:rPr>
        <w:t xml:space="preserve">Успешная реализация портфеля проектов, включавшего в 2024 году мероприятия в рамках 105 действующих проектов, является результатом тесной координации и сотрудничества между всеми командами БРЭ, как на местах (в региональных отделениях), так и в штаб-квартире. </w:t>
      </w:r>
      <w:r w:rsidRPr="00915038">
        <w:t>Эта совместная работа обеспечивает эффективный вклад проектов МСЭ в реализацию Кигалийского плана действий и позволяет предоставлять эффективную техническую помощь и решения в области цифрового развития для Государств-Членов.</w:t>
      </w:r>
    </w:p>
    <w:p w14:paraId="741873DB" w14:textId="5EFCE8FC" w:rsidR="00FA6529" w:rsidRPr="00915038" w:rsidRDefault="00FA6529" w:rsidP="00FA6529">
      <w:pPr>
        <w:rPr>
          <w:rFonts w:eastAsia="Aptos"/>
          <w:szCs w:val="24"/>
        </w:rPr>
      </w:pPr>
      <w:r w:rsidRPr="00915038">
        <w:rPr>
          <w:rFonts w:eastAsia="Aptos"/>
          <w:szCs w:val="24"/>
        </w:rPr>
        <w:t>2.5.5</w:t>
      </w:r>
      <w:r w:rsidRPr="00915038">
        <w:rPr>
          <w:rFonts w:eastAsia="Aptos"/>
          <w:szCs w:val="24"/>
        </w:rPr>
        <w:tab/>
        <w:t>После ВКРЭ-22 БРЭ в сотрудничестве с соответствующими партнерами определило, сформулировало и реализовало широкий круг проектов, которые способствовали выполнению приоритетных задач, поставленных для ВКРЭ-22. Эти проекты также способствуют реализации региональных инициатив, направленных на удовлетворение особых потребностей регионов. В каждом из шести регионов МСЭ проекты БРЭ способствуют разработке различных продуктов и услуг в соответствии с приоритетами и средствами достижения целей МСЭ-D, определенными в Кигалийском плане действий, а также в Стратегическом плане МСЭ.</w:t>
      </w:r>
    </w:p>
    <w:p w14:paraId="69218FC4" w14:textId="6948B2CF" w:rsidR="00FA6529" w:rsidRPr="00915038" w:rsidRDefault="00FA6529" w:rsidP="00FA6529">
      <w:pPr>
        <w:rPr>
          <w:rFonts w:eastAsia="Aptos"/>
        </w:rPr>
      </w:pPr>
      <w:r w:rsidRPr="00915038">
        <w:rPr>
          <w:rFonts w:eastAsia="Aptos"/>
          <w:szCs w:val="24"/>
        </w:rPr>
        <w:lastRenderedPageBreak/>
        <w:t>2.5.6</w:t>
      </w:r>
      <w:r w:rsidRPr="00915038">
        <w:rPr>
          <w:rFonts w:eastAsia="Aptos"/>
          <w:szCs w:val="24"/>
        </w:rPr>
        <w:tab/>
      </w:r>
      <w:r w:rsidRPr="00915038">
        <w:rPr>
          <w:rFonts w:eastAsia="Aptos"/>
        </w:rPr>
        <w:t>Все проекты в регионах реализуются руководителями проектов из соответствующего регионального или зонального отделения при поддержке штаб-квартиры и с использованием продуктов и услуг, разработанных штаб-квартирой. Кроме того, они получают поддержку от других служб БРЭ, связанную с разработкой, мониторингом и оценкой проектов. Для обеспечения объективной оценки прогресса ежеквартальные отчеты рассматриваются и оцениваются независимыми группами (поддержка проектов), не участвующими в реализации проекта. Сведения о р</w:t>
      </w:r>
      <w:r w:rsidRPr="00915038">
        <w:rPr>
          <w:rFonts w:eastAsia="Aptos"/>
          <w:szCs w:val="24"/>
        </w:rPr>
        <w:t xml:space="preserve">еализованных проектах и/или проектах, реализация которых продолжается в рамках каждой из региональных инициатив на период 2023−2025 годов, принятых на ВКРЭ-22, приведены в Информационном документе </w:t>
      </w:r>
      <w:hyperlink r:id="rId46" w:history="1">
        <w:r w:rsidRPr="00915038">
          <w:rPr>
            <w:rStyle w:val="Hyperlink"/>
            <w:rFonts w:eastAsia="Aptos" w:cstheme="minorHAnsi"/>
            <w:szCs w:val="24"/>
          </w:rPr>
          <w:t>TDAG-25/INF/4</w:t>
        </w:r>
      </w:hyperlink>
      <w:r w:rsidRPr="00915038">
        <w:rPr>
          <w:rFonts w:eastAsia="Aptos"/>
          <w:szCs w:val="24"/>
        </w:rPr>
        <w:t>.</w:t>
      </w:r>
    </w:p>
    <w:p w14:paraId="4795521B" w14:textId="263355A5" w:rsidR="00FA6529" w:rsidRPr="00915038" w:rsidRDefault="00FA6529" w:rsidP="00FA6529">
      <w:pPr>
        <w:rPr>
          <w:rFonts w:eastAsia="Aptos"/>
          <w:szCs w:val="24"/>
        </w:rPr>
      </w:pPr>
      <w:r w:rsidRPr="00915038">
        <w:rPr>
          <w:rFonts w:eastAsia="Aptos"/>
          <w:szCs w:val="24"/>
        </w:rPr>
        <w:t>2.5.7</w:t>
      </w:r>
      <w:r w:rsidRPr="00915038">
        <w:rPr>
          <w:rFonts w:eastAsia="Aptos"/>
          <w:szCs w:val="24"/>
        </w:rPr>
        <w:tab/>
        <w:t xml:space="preserve">В течение 2024 года БРЭ продолжило совершенствовать практику управления проектами в рамках всех проектов МСЭ. В течение года была осуществлена деятельность по следующим направлениям: улучшение отчетности, предоставляемой партнерам по финансированию, продолжение работы Комитета по проектам БРЭ и совершенствование структуры Бюро для дальнейшего укрепления поддержки реализации проектов. Более подробная информация о проектах МСЭ-D содержится в Документе </w:t>
      </w:r>
      <w:hyperlink r:id="rId47" w:history="1">
        <w:r w:rsidRPr="00915038">
          <w:rPr>
            <w:rStyle w:val="Hyperlink"/>
            <w:rFonts w:eastAsia="Aptos" w:cstheme="minorHAnsi"/>
            <w:szCs w:val="24"/>
          </w:rPr>
          <w:t>TDAG-25/5</w:t>
        </w:r>
      </w:hyperlink>
      <w:r w:rsidRPr="00915038">
        <w:rPr>
          <w:rFonts w:eastAsia="Aptos"/>
          <w:szCs w:val="24"/>
        </w:rPr>
        <w:t>.</w:t>
      </w:r>
    </w:p>
    <w:p w14:paraId="467BB1F8" w14:textId="568A5E2D" w:rsidR="00FA6529" w:rsidRPr="00915038" w:rsidRDefault="00FA6529" w:rsidP="00FA6529">
      <w:pPr>
        <w:rPr>
          <w:rFonts w:eastAsia="Aptos"/>
          <w:szCs w:val="24"/>
        </w:rPr>
      </w:pPr>
      <w:r w:rsidRPr="00915038">
        <w:rPr>
          <w:rFonts w:eastAsia="Aptos"/>
          <w:szCs w:val="24"/>
        </w:rPr>
        <w:t>2.5.8</w:t>
      </w:r>
      <w:r w:rsidRPr="00915038">
        <w:rPr>
          <w:rFonts w:eastAsia="Aptos"/>
          <w:szCs w:val="24"/>
        </w:rPr>
        <w:tab/>
        <w:t xml:space="preserve">С мая 2024 года по март 2025 года МСЭ подписал в общей сложности 35 соглашений о новых проектах на общую сумму 26,7 млн. швейцарских франков. </w:t>
      </w:r>
      <w:r w:rsidRPr="00915038">
        <w:rPr>
          <w:rFonts w:eastAsia="Aptos"/>
        </w:rPr>
        <w:t xml:space="preserve">Эти цифры подтверждают успех усилий по мобилизации ресурсов, предпринятых БРЭ. </w:t>
      </w:r>
      <w:r w:rsidRPr="00915038">
        <w:rPr>
          <w:rFonts w:eastAsia="Aptos"/>
          <w:szCs w:val="24"/>
        </w:rPr>
        <w:t>Более подробную информацию о портфеле проектов МСЭ-D можно найти в Документе TDAG-25/5, а также на портале проектов МСЭ-D.</w:t>
      </w:r>
    </w:p>
    <w:p w14:paraId="126760F8" w14:textId="2782FFC3" w:rsidR="00FA6529" w:rsidRPr="00915038" w:rsidRDefault="00FA6529" w:rsidP="00FA6529">
      <w:pPr>
        <w:rPr>
          <w:rFonts w:eastAsia="Aptos"/>
          <w:szCs w:val="24"/>
        </w:rPr>
      </w:pPr>
      <w:r w:rsidRPr="00915038">
        <w:rPr>
          <w:rFonts w:eastAsia="Aptos"/>
          <w:szCs w:val="24"/>
        </w:rPr>
        <w:t>2.5.9</w:t>
      </w:r>
      <w:r w:rsidRPr="00915038">
        <w:rPr>
          <w:rFonts w:eastAsia="Aptos"/>
          <w:szCs w:val="24"/>
        </w:rPr>
        <w:tab/>
        <w:t>В период с мая 2024 года по март 2025 года МСЭ подписал 73 соглашения с широким кругом партнеров. Более подробная информация размещена на веб-странице, посвященной партнерским отношениям МСЭ-D.</w:t>
      </w:r>
    </w:p>
    <w:p w14:paraId="22FFD6D3" w14:textId="750F8885" w:rsidR="00FA6529" w:rsidRPr="00915038" w:rsidRDefault="00FA6529" w:rsidP="00FA6529">
      <w:pPr>
        <w:pStyle w:val="Heading1"/>
      </w:pPr>
      <w:r w:rsidRPr="00915038">
        <w:t>3</w:t>
      </w:r>
      <w:r w:rsidRPr="00915038">
        <w:tab/>
        <w:t>Деятельность, связанная с другими Секторами и Бюро МСЭ</w:t>
      </w:r>
    </w:p>
    <w:p w14:paraId="4BE11021" w14:textId="51F8678E" w:rsidR="00FA6529" w:rsidRPr="00915038" w:rsidRDefault="00FA6529" w:rsidP="00FA6529">
      <w:pPr>
        <w:pStyle w:val="Heading2"/>
      </w:pPr>
      <w:r w:rsidRPr="00915038">
        <w:t>3.1</w:t>
      </w:r>
      <w:r w:rsidRPr="00915038">
        <w:tab/>
        <w:t>Общее сотрудничество</w:t>
      </w:r>
    </w:p>
    <w:p w14:paraId="143493AA" w14:textId="77777777" w:rsidR="00FA6529" w:rsidRPr="00915038" w:rsidRDefault="00FA6529" w:rsidP="00FA6529">
      <w:r w:rsidRPr="00915038">
        <w:t>БРЭ в сотрудничестве и тесной координации с БР, БСЭ и Генеральным секретариатом активно работало над укреплением регионального присутствия, стремясь улучшить предоставление услуг Государствам-Членам. Кроме того, в региональное отделение для Африки были командированы три сотрудника БСЭ. Аналогичным образом в региональном отделении МСЭ для Азиатско-Тихоокеанского региона также работает один сотрудник, командированный из БСЭ.</w:t>
      </w:r>
    </w:p>
    <w:p w14:paraId="401193C9" w14:textId="2EF31549" w:rsidR="00FA6529" w:rsidRPr="00915038" w:rsidRDefault="00FA6529" w:rsidP="00FA6529">
      <w:pPr>
        <w:pStyle w:val="Heading2"/>
      </w:pPr>
      <w:r w:rsidRPr="00915038">
        <w:t>3.2</w:t>
      </w:r>
      <w:r w:rsidRPr="00915038">
        <w:tab/>
        <w:t>Региональное отделение для Африки (РО-АФР)/деятельность в Африке</w:t>
      </w:r>
    </w:p>
    <w:p w14:paraId="7D5F543E" w14:textId="77777777" w:rsidR="00FA6529" w:rsidRPr="00915038" w:rsidRDefault="00FA6529" w:rsidP="00FA6529">
      <w:pPr>
        <w:pStyle w:val="Headingb"/>
        <w:rPr>
          <w:rFonts w:eastAsia="Aptos" w:cstheme="minorHAnsi"/>
          <w:szCs w:val="24"/>
          <w:lang w:val="ru-RU"/>
        </w:rPr>
      </w:pPr>
      <w:r w:rsidRPr="00915038">
        <w:rPr>
          <w:lang w:val="ru-RU"/>
        </w:rPr>
        <w:t xml:space="preserve">Вопросы, связанные с деятельностью </w:t>
      </w:r>
      <w:r w:rsidRPr="00915038">
        <w:rPr>
          <w:rFonts w:eastAsia="Aptos" w:cstheme="minorHAnsi"/>
          <w:szCs w:val="24"/>
          <w:lang w:val="ru-RU"/>
        </w:rPr>
        <w:t>БР</w:t>
      </w:r>
    </w:p>
    <w:p w14:paraId="4D2FC0A4" w14:textId="38BFA007" w:rsidR="00FA6529" w:rsidRPr="00915038" w:rsidRDefault="00FA6529" w:rsidP="00FA6529">
      <w:pPr>
        <w:pStyle w:val="enumlev1"/>
      </w:pPr>
      <w:r w:rsidRPr="00915038">
        <w:t>−</w:t>
      </w:r>
      <w:r w:rsidRPr="00915038">
        <w:tab/>
        <w:t>РО-АФР оказало содействие в проведении семинара-практикума МСЭ по национальным таблицам распределения частот (NTFA) для Района 1, который состоялся 20−23 мая 2024</w:t>
      </w:r>
      <w:r w:rsidR="00CE4D62" w:rsidRPr="00915038">
        <w:t> </w:t>
      </w:r>
      <w:r w:rsidRPr="00915038">
        <w:t>года в Аддис</w:t>
      </w:r>
      <w:r w:rsidR="00CE4D62" w:rsidRPr="00915038">
        <w:t>-</w:t>
      </w:r>
      <w:r w:rsidRPr="00915038">
        <w:t>Абебе.</w:t>
      </w:r>
    </w:p>
    <w:p w14:paraId="3BFE1FA2" w14:textId="2F14A185" w:rsidR="00FA6529" w:rsidRPr="00915038" w:rsidRDefault="00FA6529" w:rsidP="00FA6529">
      <w:pPr>
        <w:pStyle w:val="enumlev1"/>
      </w:pPr>
      <w:r w:rsidRPr="00915038">
        <w:t>−</w:t>
      </w:r>
      <w:r w:rsidRPr="00915038">
        <w:tab/>
        <w:t>РО-АФР оказывает содействие в организации регионального семинара МСЭ по радиосвязи 2025 года для Африки (РСР-25 для Африки), проводимого 5−8 мая 2025 года в Джибути.</w:t>
      </w:r>
    </w:p>
    <w:p w14:paraId="1F104B57" w14:textId="206832FF" w:rsidR="00FA6529" w:rsidRPr="00915038" w:rsidRDefault="00FA6529" w:rsidP="00FA6529">
      <w:pPr>
        <w:pStyle w:val="enumlev1"/>
      </w:pPr>
      <w:r w:rsidRPr="00915038">
        <w:t>−</w:t>
      </w:r>
      <w:r w:rsidRPr="00915038">
        <w:tab/>
        <w:t>В марте 2025 года в Аддис-Абебе, Эфиопия, было проведено техническое обучение по использованию программного обеспечения для согласованного метода расчета для Африки (HCM4A) (для координации частоты), в котором приняли участие представители 45 Государств-Членов.</w:t>
      </w:r>
    </w:p>
    <w:p w14:paraId="4F271901" w14:textId="34CC4F1D" w:rsidR="00FA6529" w:rsidRPr="00915038" w:rsidRDefault="00FA6529" w:rsidP="00FA6529">
      <w:pPr>
        <w:pStyle w:val="enumlev1"/>
      </w:pPr>
      <w:r w:rsidRPr="00915038">
        <w:t>−</w:t>
      </w:r>
      <w:r w:rsidRPr="00915038">
        <w:tab/>
        <w:t>При поддержке Европейской комиссии был запущен проект "Африканские системы картирования широкополосной связи", призванный помочь 11 странам в создании систем картирования инфраструктуры. (Подразумевается участие БР по аспектам использования спектра</w:t>
      </w:r>
      <w:r w:rsidR="00CE4D62" w:rsidRPr="00915038">
        <w:t>.</w:t>
      </w:r>
      <w:r w:rsidRPr="00915038">
        <w:t>)</w:t>
      </w:r>
    </w:p>
    <w:p w14:paraId="29F71162" w14:textId="77777777" w:rsidR="00FA6529" w:rsidRPr="00915038" w:rsidRDefault="00FA6529" w:rsidP="00FA6529">
      <w:pPr>
        <w:pStyle w:val="Headingb"/>
        <w:rPr>
          <w:rFonts w:eastAsia="Aptos" w:cstheme="minorHAnsi"/>
          <w:szCs w:val="24"/>
          <w:lang w:val="ru-RU"/>
        </w:rPr>
      </w:pPr>
      <w:r w:rsidRPr="00915038">
        <w:rPr>
          <w:lang w:val="ru-RU"/>
        </w:rPr>
        <w:lastRenderedPageBreak/>
        <w:t xml:space="preserve">Вопросы, связанные с деятельностью </w:t>
      </w:r>
      <w:r w:rsidRPr="00915038">
        <w:rPr>
          <w:rFonts w:eastAsia="Aptos" w:cstheme="minorHAnsi"/>
          <w:szCs w:val="24"/>
          <w:lang w:val="ru-RU"/>
        </w:rPr>
        <w:t>БСЭ</w:t>
      </w:r>
    </w:p>
    <w:p w14:paraId="0662A429" w14:textId="17F13C99" w:rsidR="00FA6529" w:rsidRPr="00915038" w:rsidRDefault="00FA6529" w:rsidP="00FA6529">
      <w:pPr>
        <w:pStyle w:val="enumlev1"/>
      </w:pPr>
      <w:r w:rsidRPr="00915038">
        <w:t>−</w:t>
      </w:r>
      <w:r w:rsidRPr="00915038">
        <w:tab/>
        <w:t>В сотрудничестве с БСЭ была проведена серия практикумов по безопасности цифровых финансовых услуг (ЦФУ) для Гамбии, Южного Судана, Ганы, Зимбабве, Малави, Лесото, Эфиопии, Эсватини, Сьерра-Леоне, Буркина-Фасо и Габона.</w:t>
      </w:r>
    </w:p>
    <w:p w14:paraId="11407E48" w14:textId="304B65E7" w:rsidR="00FA6529" w:rsidRPr="00915038" w:rsidRDefault="00FA6529" w:rsidP="00FA6529">
      <w:pPr>
        <w:pStyle w:val="enumlev1"/>
      </w:pPr>
      <w:r w:rsidRPr="00915038">
        <w:t>−</w:t>
      </w:r>
      <w:r w:rsidRPr="00915038">
        <w:tab/>
        <w:t>В сотрудничестве с Африканским союзом электросвязи (АСЭ) БРЭ провело вебинар по инициативе "Раннее предупреждение для всех" (EW4ALL).</w:t>
      </w:r>
    </w:p>
    <w:p w14:paraId="72394B46" w14:textId="73743313" w:rsidR="00FA6529" w:rsidRPr="00915038" w:rsidRDefault="00FA6529" w:rsidP="00FA6529">
      <w:pPr>
        <w:pStyle w:val="enumlev1"/>
      </w:pPr>
      <w:r w:rsidRPr="00915038">
        <w:t>−</w:t>
      </w:r>
      <w:r w:rsidRPr="00915038">
        <w:tab/>
        <w:t>БРЭ оказало поддержку в разработке национальных планов электросвязи в чрезвычайных ситуациях (NETP) в Гвинее-Бисау, Гамбии, Намибии, Танзании, Зимбабве, Кабо-Верде, Ботсване, на Сейшельских Островах и в Замбии. Региональные рамочные документы по NETP также были разработаны для САДК и англоязычных стран Африки.</w:t>
      </w:r>
    </w:p>
    <w:p w14:paraId="1B09A256" w14:textId="2646D130" w:rsidR="00FA6529" w:rsidRPr="00915038" w:rsidRDefault="00FA6529" w:rsidP="00CE4D62">
      <w:pPr>
        <w:pStyle w:val="Heading2"/>
      </w:pPr>
      <w:r w:rsidRPr="00915038">
        <w:rPr>
          <w:szCs w:val="24"/>
        </w:rPr>
        <w:t>3.3</w:t>
      </w:r>
      <w:r w:rsidRPr="00915038">
        <w:rPr>
          <w:szCs w:val="24"/>
        </w:rPr>
        <w:tab/>
      </w:r>
      <w:r w:rsidRPr="00915038">
        <w:t>Региональное отделение для Северной и Южной Америки (РО-АМР)/</w:t>
      </w:r>
      <w:r w:rsidR="00CE4D62" w:rsidRPr="00915038">
        <w:t>д</w:t>
      </w:r>
      <w:r w:rsidRPr="00915038">
        <w:t>еятельность в</w:t>
      </w:r>
      <w:r w:rsidR="00CE4D62" w:rsidRPr="00915038">
        <w:t> </w:t>
      </w:r>
      <w:r w:rsidRPr="00915038">
        <w:t>Северной и Южной Америке</w:t>
      </w:r>
    </w:p>
    <w:p w14:paraId="5BA571EA" w14:textId="77777777" w:rsidR="00FA6529" w:rsidRPr="00915038" w:rsidRDefault="00FA6529" w:rsidP="00FA6529">
      <w:pPr>
        <w:pStyle w:val="Headingb"/>
        <w:rPr>
          <w:rFonts w:eastAsia="Aptos" w:cstheme="minorHAnsi"/>
          <w:szCs w:val="24"/>
          <w:lang w:val="ru-RU"/>
        </w:rPr>
      </w:pPr>
      <w:r w:rsidRPr="00915038">
        <w:rPr>
          <w:lang w:val="ru-RU"/>
        </w:rPr>
        <w:t xml:space="preserve">Вопросы, связанные с деятельностью </w:t>
      </w:r>
      <w:r w:rsidRPr="00915038">
        <w:rPr>
          <w:rFonts w:eastAsia="Aptos" w:cstheme="minorHAnsi"/>
          <w:szCs w:val="24"/>
          <w:lang w:val="ru-RU"/>
        </w:rPr>
        <w:t>БР</w:t>
      </w:r>
    </w:p>
    <w:p w14:paraId="75101272" w14:textId="765D4EDB" w:rsidR="00FA6529" w:rsidRPr="00915038" w:rsidRDefault="00FA6529" w:rsidP="00FA6529">
      <w:pPr>
        <w:pStyle w:val="enumlev1"/>
      </w:pPr>
      <w:r w:rsidRPr="00915038">
        <w:t>−</w:t>
      </w:r>
      <w:r w:rsidRPr="00915038">
        <w:tab/>
        <w:t>В качестве поддержки усилий по реагированию на ураганы спутниковое оборудование было развернуто на Ямайке, в Гренаде и Сент-Винсенте и Гренадинах. (Центр предварительного размещения оборудования также был создан на Барбадосе).</w:t>
      </w:r>
    </w:p>
    <w:p w14:paraId="04A08399" w14:textId="4A3D4624" w:rsidR="00FA6529" w:rsidRPr="00915038" w:rsidRDefault="00FA6529" w:rsidP="00FA6529">
      <w:pPr>
        <w:pStyle w:val="enumlev1"/>
      </w:pPr>
      <w:r w:rsidRPr="00915038">
        <w:t>−</w:t>
      </w:r>
      <w:r w:rsidRPr="00915038">
        <w:tab/>
        <w:t>БРЭ и Intelsat объявили о заключении соглашения о сотрудничестве с целью повышения готовности к бедствиям и усиления соответствующих мер реагирования с помощью спутниковой электросвязи, включая безвозмездную передачу оборудования и проведение профессиональной подготовки.</w:t>
      </w:r>
    </w:p>
    <w:p w14:paraId="1CE53284" w14:textId="665B8A37" w:rsidR="00FA6529" w:rsidRPr="00915038" w:rsidRDefault="00FA6529" w:rsidP="00FA6529">
      <w:pPr>
        <w:pStyle w:val="enumlev1"/>
      </w:pPr>
      <w:r w:rsidRPr="00915038">
        <w:t>−</w:t>
      </w:r>
      <w:r w:rsidRPr="00915038">
        <w:tab/>
        <w:t>Региональное и зональные отделения сотрудничали в организации региональных семинаров по радиосвязи; следующий такой семинар пройдет с 12 по 16 июня в Тегусигальпе, Гондурас.</w:t>
      </w:r>
    </w:p>
    <w:p w14:paraId="1FCFB2B2" w14:textId="7DA4AC13" w:rsidR="00FA6529" w:rsidRPr="00915038" w:rsidRDefault="00FA6529" w:rsidP="00FA6529">
      <w:pPr>
        <w:pStyle w:val="enumlev1"/>
      </w:pPr>
      <w:r w:rsidRPr="00915038">
        <w:t>−</w:t>
      </w:r>
      <w:r w:rsidRPr="00915038">
        <w:tab/>
        <w:t>Кроме того, БРЭ участвовало в различных программах по созданию потенциала по темам, связанным с управлением использованием радиочастотного спектра, в партнерстве с АТС Перу и Бразилии.</w:t>
      </w:r>
    </w:p>
    <w:p w14:paraId="7E0707BD" w14:textId="77777777" w:rsidR="00FA6529" w:rsidRPr="00915038" w:rsidRDefault="00FA6529" w:rsidP="00FA6529">
      <w:pPr>
        <w:pStyle w:val="Headingb"/>
        <w:rPr>
          <w:rFonts w:eastAsia="Aptos" w:cstheme="minorHAnsi"/>
          <w:szCs w:val="24"/>
          <w:lang w:val="ru-RU"/>
        </w:rPr>
      </w:pPr>
      <w:r w:rsidRPr="00915038">
        <w:rPr>
          <w:lang w:val="ru-RU"/>
        </w:rPr>
        <w:t xml:space="preserve">Вопросы, связанные с деятельностью </w:t>
      </w:r>
      <w:r w:rsidRPr="00915038">
        <w:rPr>
          <w:rFonts w:eastAsia="Aptos" w:cstheme="minorHAnsi"/>
          <w:szCs w:val="24"/>
          <w:lang w:val="ru-RU"/>
        </w:rPr>
        <w:t>БСЭ</w:t>
      </w:r>
    </w:p>
    <w:p w14:paraId="6EC0DCE3" w14:textId="41D9910E" w:rsidR="00FA6529" w:rsidRPr="00915038" w:rsidRDefault="00FA6529" w:rsidP="00FA6529">
      <w:pPr>
        <w:pStyle w:val="enumlev1"/>
      </w:pPr>
      <w:r w:rsidRPr="00915038">
        <w:t>−</w:t>
      </w:r>
      <w:r w:rsidRPr="00915038">
        <w:tab/>
        <w:t>БРЭ в сотрудничестве с Тематическим блоком по вопросам электросвязи в чрезвычайных ситуациях провело семинар-практикум для Карибского региона, позволивший укрепить сотрудничество между заинтересованными сторонами по вопросам практического использования NETP и повысить потенциал по внедрению систем раннего предупреждения (EWS).</w:t>
      </w:r>
    </w:p>
    <w:p w14:paraId="77E6DAC9" w14:textId="2BC30940" w:rsidR="00FA6529" w:rsidRPr="00915038" w:rsidRDefault="00FA6529" w:rsidP="00FA6529">
      <w:pPr>
        <w:pStyle w:val="enumlev1"/>
      </w:pPr>
      <w:r w:rsidRPr="00915038">
        <w:t>−</w:t>
      </w:r>
      <w:r w:rsidRPr="00915038">
        <w:tab/>
        <w:t>Через свои региональные отделения БРЭ содействовало активному участию Государств-Членов из региона Северной и Южной Америки и представителей отрасли в работе исследовательских комиссий БСЭ на различных собраниях.</w:t>
      </w:r>
    </w:p>
    <w:p w14:paraId="6E6447A1" w14:textId="58541B8F" w:rsidR="00FA6529" w:rsidRPr="00915038" w:rsidRDefault="00FA6529" w:rsidP="00FA6529">
      <w:pPr>
        <w:pStyle w:val="enumlev1"/>
      </w:pPr>
      <w:r w:rsidRPr="00915038">
        <w:t>−</w:t>
      </w:r>
      <w:r w:rsidRPr="00915038">
        <w:tab/>
        <w:t>Механизмы координации и сотрудничества с системой ООН.</w:t>
      </w:r>
    </w:p>
    <w:p w14:paraId="181CDA03" w14:textId="27AD6C31" w:rsidR="00FA6529" w:rsidRPr="00915038" w:rsidRDefault="00FA6529" w:rsidP="00FA6529">
      <w:pPr>
        <w:pStyle w:val="enumlev1"/>
      </w:pPr>
      <w:r w:rsidRPr="00915038">
        <w:t>−</w:t>
      </w:r>
      <w:r w:rsidRPr="00915038">
        <w:tab/>
        <w:t>БРЭ и РО-АМР активно участвовали в работе страновых групп ООН (СГООН) и координировали действия с канцеляриями координаторов-резидентов ООН и другими структурами.</w:t>
      </w:r>
    </w:p>
    <w:p w14:paraId="25E45592" w14:textId="2F267D9F" w:rsidR="00FA6529" w:rsidRPr="00915038" w:rsidRDefault="00FA6529" w:rsidP="00FA6529">
      <w:pPr>
        <w:pStyle w:val="enumlev1"/>
      </w:pPr>
      <w:r w:rsidRPr="00915038">
        <w:t>−</w:t>
      </w:r>
      <w:r w:rsidRPr="00915038">
        <w:tab/>
        <w:t>БРЭ и РО-АМР также подписали рамочные соглашения о сотрудничестве с такими странами, как Бразилия, Сальвадор, Гондурас и Доминиканская Республика, и реализовали соответствующие мероприятия; в настоящее время ведется работа над подготовкой нового рамочного соглашения о сотрудничестве с Панамой.</w:t>
      </w:r>
    </w:p>
    <w:p w14:paraId="43B38985" w14:textId="2BB85DB4" w:rsidR="00FA6529" w:rsidRPr="00915038" w:rsidRDefault="00FA6529" w:rsidP="00FA6529">
      <w:pPr>
        <w:pStyle w:val="Heading2"/>
      </w:pPr>
      <w:r w:rsidRPr="00915038">
        <w:lastRenderedPageBreak/>
        <w:t>3.4</w:t>
      </w:r>
      <w:r w:rsidRPr="00915038">
        <w:tab/>
        <w:t>Региональное отделение для арабских государств (РО-АРБ)/</w:t>
      </w:r>
      <w:r w:rsidR="00CE4D62" w:rsidRPr="00915038">
        <w:t>д</w:t>
      </w:r>
      <w:r w:rsidRPr="00915038">
        <w:t>еятельность в арабских государствах</w:t>
      </w:r>
    </w:p>
    <w:p w14:paraId="59AF9818" w14:textId="77777777" w:rsidR="00FA6529" w:rsidRPr="00915038" w:rsidRDefault="00FA6529" w:rsidP="00FA6529">
      <w:pPr>
        <w:pStyle w:val="Headingb"/>
        <w:rPr>
          <w:rFonts w:eastAsia="Aptos" w:cstheme="minorHAnsi"/>
          <w:szCs w:val="24"/>
          <w:lang w:val="ru-RU"/>
        </w:rPr>
      </w:pPr>
      <w:r w:rsidRPr="00915038">
        <w:rPr>
          <w:lang w:val="ru-RU"/>
        </w:rPr>
        <w:t xml:space="preserve">Вопросы, связанные с деятельностью </w:t>
      </w:r>
      <w:r w:rsidRPr="00915038">
        <w:rPr>
          <w:rFonts w:eastAsia="Aptos" w:cstheme="minorHAnsi"/>
          <w:szCs w:val="24"/>
          <w:lang w:val="ru-RU"/>
        </w:rPr>
        <w:t>БР</w:t>
      </w:r>
    </w:p>
    <w:p w14:paraId="406AB652" w14:textId="0462E5D0" w:rsidR="00FA6529" w:rsidRPr="00915038" w:rsidRDefault="00FA6529" w:rsidP="00FA6529">
      <w:pPr>
        <w:pStyle w:val="enumlev1"/>
      </w:pPr>
      <w:r w:rsidRPr="00915038">
        <w:t>−</w:t>
      </w:r>
      <w:r w:rsidRPr="00915038">
        <w:tab/>
        <w:t>В Алжире был организован региональный семинар-практикум МСЭ для региона арабских государств на тему "Универсальная и реальная возможность установления соединений", на котором рассматривались проблемы, связанные с развитием инфраструктуры и возможностью установления соединений.</w:t>
      </w:r>
    </w:p>
    <w:p w14:paraId="58E14D51" w14:textId="2256142B" w:rsidR="00FA6529" w:rsidRPr="00915038" w:rsidRDefault="00FA6529" w:rsidP="00FA6529">
      <w:pPr>
        <w:pStyle w:val="enumlev1"/>
      </w:pPr>
      <w:r w:rsidRPr="00915038">
        <w:t>−</w:t>
      </w:r>
      <w:r w:rsidRPr="00915038">
        <w:tab/>
        <w:t>Национальные консультативные семинары-практикумы, включая учебные занятия по NETP и Протоколу общего оповещения (CAP), были проведены на Коморских Островах, в Джибути, Сомали, Мавритании и Судане. (Подразумевается участие БР по вопросам использования спектра/сотового вещания</w:t>
      </w:r>
      <w:r w:rsidR="00CE4D62" w:rsidRPr="00915038">
        <w:t>.</w:t>
      </w:r>
      <w:r w:rsidRPr="00915038">
        <w:t>)</w:t>
      </w:r>
    </w:p>
    <w:p w14:paraId="565FFAFC" w14:textId="77777777" w:rsidR="00FA6529" w:rsidRPr="00915038" w:rsidRDefault="00FA6529" w:rsidP="00FA6529">
      <w:pPr>
        <w:pStyle w:val="Headingb"/>
        <w:rPr>
          <w:rFonts w:eastAsia="Aptos" w:cstheme="minorHAnsi"/>
          <w:szCs w:val="24"/>
          <w:lang w:val="ru-RU"/>
        </w:rPr>
      </w:pPr>
      <w:r w:rsidRPr="00915038">
        <w:rPr>
          <w:lang w:val="ru-RU"/>
        </w:rPr>
        <w:t xml:space="preserve">Вопросы, связанные с деятельностью </w:t>
      </w:r>
      <w:r w:rsidRPr="00915038">
        <w:rPr>
          <w:rFonts w:eastAsia="Aptos" w:cstheme="minorHAnsi"/>
          <w:szCs w:val="24"/>
          <w:lang w:val="ru-RU"/>
        </w:rPr>
        <w:t>БСЭ</w:t>
      </w:r>
    </w:p>
    <w:p w14:paraId="3B2C783A" w14:textId="7E5E34D4" w:rsidR="00FA6529" w:rsidRPr="00915038" w:rsidRDefault="00FA6529" w:rsidP="00FA6529">
      <w:pPr>
        <w:pStyle w:val="enumlev1"/>
      </w:pPr>
      <w:r w:rsidRPr="00915038">
        <w:t>−</w:t>
      </w:r>
      <w:r w:rsidRPr="00915038">
        <w:tab/>
        <w:t>БРЭ оказало поддержку в разработке NETP Джибути, Коморским Островам и Мавритании.</w:t>
      </w:r>
      <w:bookmarkEnd w:id="11"/>
    </w:p>
    <w:p w14:paraId="218016DF" w14:textId="4E627523" w:rsidR="00915038" w:rsidRPr="00915038" w:rsidRDefault="00915038" w:rsidP="00915038">
      <w:pPr>
        <w:pStyle w:val="Heading2"/>
        <w:rPr>
          <w:rFonts w:eastAsia="Aptos" w:cstheme="minorHAnsi"/>
          <w:szCs w:val="24"/>
        </w:rPr>
      </w:pPr>
      <w:r w:rsidRPr="00915038">
        <w:t>3.5</w:t>
      </w:r>
      <w:r w:rsidRPr="00915038">
        <w:tab/>
      </w:r>
      <w:r w:rsidRPr="00915038">
        <w:t>Региональное отделение для Азиатско-Тихоокеанского региона (РО-АТР)/</w:t>
      </w:r>
      <w:r w:rsidR="00C26073">
        <w:t>д</w:t>
      </w:r>
      <w:r w:rsidRPr="00915038">
        <w:t>еятельность в Азиатско-Тихоокеанском регионе</w:t>
      </w:r>
    </w:p>
    <w:p w14:paraId="49FA3510" w14:textId="77777777" w:rsidR="00915038" w:rsidRPr="00915038" w:rsidRDefault="00915038" w:rsidP="00915038">
      <w:pPr>
        <w:pStyle w:val="Headingb"/>
        <w:rPr>
          <w:rFonts w:eastAsia="Aptos" w:cstheme="minorHAnsi"/>
          <w:szCs w:val="24"/>
          <w:lang w:val="ru-RU"/>
        </w:rPr>
      </w:pPr>
      <w:r w:rsidRPr="00915038">
        <w:rPr>
          <w:lang w:val="ru-RU"/>
        </w:rPr>
        <w:t>Вопросы, связанные с деятельностью БР</w:t>
      </w:r>
    </w:p>
    <w:p w14:paraId="1ED28EAA" w14:textId="24C0017D" w:rsidR="00915038" w:rsidRPr="00915038" w:rsidRDefault="00915038" w:rsidP="00915038">
      <w:pPr>
        <w:pStyle w:val="enumlev1"/>
        <w:rPr>
          <w:rFonts w:eastAsia="Aptos" w:cstheme="minorHAnsi"/>
          <w:szCs w:val="24"/>
        </w:rPr>
      </w:pPr>
      <w:r w:rsidRPr="00915038">
        <w:t>−</w:t>
      </w:r>
      <w:r w:rsidRPr="00915038">
        <w:tab/>
      </w:r>
      <w:r w:rsidRPr="00915038">
        <w:t>БРЭ оказало поддержку БР в организации регионального семинара по радиосвязи (РСР) для Азиатско-Тихоокеанского региона в сентябре 2024 года в Самоа для обмена передовым опытом по таким темам, как переход от аналогового к цифровому радиовещанию и SMS4DC.</w:t>
      </w:r>
    </w:p>
    <w:p w14:paraId="0EB7E029" w14:textId="491156D8" w:rsidR="00915038" w:rsidRPr="00915038" w:rsidRDefault="00915038" w:rsidP="00915038">
      <w:pPr>
        <w:pStyle w:val="enumlev1"/>
        <w:rPr>
          <w:rFonts w:eastAsia="Aptos" w:cstheme="minorHAnsi"/>
          <w:szCs w:val="24"/>
        </w:rPr>
      </w:pPr>
      <w:r w:rsidRPr="00915038">
        <w:t>−</w:t>
      </w:r>
      <w:r w:rsidRPr="00915038">
        <w:tab/>
      </w:r>
      <w:r w:rsidRPr="00915038">
        <w:t>РО-АТР содействовало проведению семинара-практикума МСЭ по национальным таблицам распределения частот (NTFA) для Района 3, который состоялся 28–31 мая 2024</w:t>
      </w:r>
      <w:r w:rsidRPr="00915038">
        <w:t> </w:t>
      </w:r>
      <w:r w:rsidRPr="00915038">
        <w:t>года в Шанхае.</w:t>
      </w:r>
    </w:p>
    <w:p w14:paraId="3F1F348D" w14:textId="606EBF26" w:rsidR="00915038" w:rsidRPr="00915038" w:rsidRDefault="00915038" w:rsidP="00915038">
      <w:pPr>
        <w:pStyle w:val="enumlev1"/>
        <w:rPr>
          <w:rFonts w:eastAsia="Aptos" w:cstheme="minorHAnsi"/>
          <w:szCs w:val="24"/>
        </w:rPr>
      </w:pPr>
      <w:r w:rsidRPr="00915038">
        <w:t>−</w:t>
      </w:r>
      <w:r w:rsidRPr="00915038">
        <w:tab/>
      </w:r>
      <w:r w:rsidRPr="00915038">
        <w:t>МСЭ организовал курс подготовки по Системе управления использованием спектра для развивающихся стран (SMS4DC) в ходе ежегодного общего собрания PITA в Вануату (апрель/май 2024 г.).</w:t>
      </w:r>
    </w:p>
    <w:p w14:paraId="2B2FCCC8" w14:textId="7457C229" w:rsidR="00915038" w:rsidRPr="00915038" w:rsidRDefault="00915038" w:rsidP="00915038">
      <w:pPr>
        <w:pStyle w:val="Headingb"/>
        <w:rPr>
          <w:rFonts w:eastAsia="Aptos" w:cstheme="minorHAnsi"/>
          <w:szCs w:val="24"/>
          <w:lang w:val="ru-RU"/>
        </w:rPr>
      </w:pPr>
      <w:r w:rsidRPr="00915038">
        <w:rPr>
          <w:lang w:val="ru-RU"/>
        </w:rPr>
        <w:t>Вопросы, связанные с деятельностью БСЭ</w:t>
      </w:r>
    </w:p>
    <w:p w14:paraId="63CFDA0A" w14:textId="238EA74C" w:rsidR="00915038" w:rsidRPr="00915038" w:rsidRDefault="00915038" w:rsidP="00915038">
      <w:pPr>
        <w:pStyle w:val="enumlev1"/>
        <w:rPr>
          <w:rFonts w:eastAsia="Aptos" w:cstheme="minorHAnsi"/>
          <w:szCs w:val="24"/>
        </w:rPr>
      </w:pPr>
      <w:r w:rsidRPr="00915038">
        <w:t>−</w:t>
      </w:r>
      <w:r w:rsidRPr="00915038">
        <w:tab/>
      </w:r>
      <w:r w:rsidRPr="00915038">
        <w:t>По итогам консультаций с БСЭ и обсуждений с Министерством иностранных дел и торговли (DFAT) Австралии 4 июня 2021 года руководство МСЭ успешно подписало с DFAT соглашение о предоставлении гранта на проект в рамках его Программы сотрудничества в области кибертехнологий и критически важных технологий. Этот проект был успешно продлен в 2022 году до полного четырехлетнего срока и завершен 31 декабря 2024 года. Региональное отделение МСЭ и Зональное отделение в Дели оказывали поддержку организации ВАСЭ-24 различными способами, включая проведение ежемесячных/еженедельных координационных собраний с правительственными органами Индии, организацию сопутствующих мероприятий с участием различных партнеров, предложения по докладчикам и организацию участия страновой команды ООН в праздновании Дня ООН 24 октября, сопутствующие мероприятия, а также выставочную зону ЦУР.</w:t>
      </w:r>
    </w:p>
    <w:p w14:paraId="37EC931E" w14:textId="6C3C510F" w:rsidR="00915038" w:rsidRPr="00915038" w:rsidRDefault="00915038" w:rsidP="00915038">
      <w:pPr>
        <w:pStyle w:val="enumlev1"/>
        <w:rPr>
          <w:rFonts w:eastAsia="Aptos" w:cstheme="minorHAnsi"/>
          <w:szCs w:val="24"/>
        </w:rPr>
      </w:pPr>
      <w:r w:rsidRPr="00915038">
        <w:t>−</w:t>
      </w:r>
      <w:r w:rsidRPr="00915038">
        <w:tab/>
      </w:r>
      <w:r w:rsidRPr="00915038">
        <w:t xml:space="preserve">По итогам консультаций с Министерством инфраструктуры, транспорта, регионального развития, связи и искусств правительства Австралии (DITRDCA) 18 июня 2024 года МСЭ подписал соглашение по проекту SAPEIC. Цель этого проекта заключается в расширении участия Государств – Членов МСЭ из числа развивающихся стран Азиатско-Тихоокеанского региона в глобальных конференциях МСЭ, что позволит им вносить реальный вклад в работу предстоящих конференций МСЭ, а именно Всемирной </w:t>
      </w:r>
      <w:r w:rsidRPr="00915038">
        <w:lastRenderedPageBreak/>
        <w:t>ассамблеи по стандартизации электросвязи (ВАСЭ) 2024 года и Всемирной конференции по развитию электросвязи (ВКРЭ) 2025 года.</w:t>
      </w:r>
    </w:p>
    <w:p w14:paraId="09D4A571" w14:textId="5141996E" w:rsidR="00915038" w:rsidRPr="00915038" w:rsidRDefault="00915038" w:rsidP="00915038">
      <w:pPr>
        <w:pStyle w:val="enumlev1"/>
        <w:rPr>
          <w:rFonts w:cstheme="minorHAnsi"/>
          <w:szCs w:val="24"/>
        </w:rPr>
      </w:pPr>
      <w:r w:rsidRPr="00915038">
        <w:t>−</w:t>
      </w:r>
      <w:r w:rsidRPr="00915038">
        <w:tab/>
      </w:r>
      <w:r w:rsidRPr="00915038">
        <w:t xml:space="preserve">Для этого будут организованы специализированные и структурированные курсы подготовки, </w:t>
      </w:r>
      <w:r w:rsidR="00C26073" w:rsidRPr="00915038">
        <w:t>направленные</w:t>
      </w:r>
      <w:r w:rsidRPr="00915038">
        <w:t xml:space="preserve"> на обеспечение понимания деятельности Секторов стандартизации и развития электросвязи МСЭ, а также методов работы ВАСЭ и ВКРЭ, с тем чтобы делегаты могли вносить значимый вклад в работу этих конференций. В течение отчетного периода 23 участника из 13 Государств – Членов МСЭ ознакомились с частью программы, касающейся ВАСЭ. Они приняли участие в виртуальном учебном занятии по ВАСЭ 10−13 сентября 2024 года и дополнительном часовом занятии 18</w:t>
      </w:r>
      <w:r w:rsidR="00C26073">
        <w:t> </w:t>
      </w:r>
      <w:r w:rsidRPr="00915038">
        <w:t>сентября 2024 года. Обучение проводилось под руководством сотрудников МСЭ из Бюро стандартизации электросвязи (БСЭ) и Регионального отделения МСЭ для Азиатско-Тихоокеанского региона, и в его рамках выполнялись интерактивные упражнения и создавались пробные вклады. Впоследствии 23 участникам в рамках проекта SAPEIC были предоставлены стипендии для участия в Глобальном симпозиуме по стандартам (ГСС) и ВАСЭ в Дели, Индия, 14 октября 2024 года и 15–24 октября 2024 года</w:t>
      </w:r>
      <w:r w:rsidR="00EC720B">
        <w:t>,</w:t>
      </w:r>
      <w:r w:rsidRPr="00915038">
        <w:t xml:space="preserve"> соответственно. Стипендиаты успешно приняли участие в обоих мероприятиях и выполняют требования по отчетности.</w:t>
      </w:r>
    </w:p>
    <w:p w14:paraId="3DDB94BA" w14:textId="000C688E" w:rsidR="00915038" w:rsidRPr="00915038" w:rsidRDefault="00915038" w:rsidP="00915038">
      <w:pPr>
        <w:pStyle w:val="enumlev1"/>
        <w:rPr>
          <w:rFonts w:eastAsia="Aptos" w:cstheme="minorHAnsi"/>
          <w:szCs w:val="24"/>
        </w:rPr>
      </w:pPr>
      <w:r w:rsidRPr="00915038">
        <w:t>−</w:t>
      </w:r>
      <w:r w:rsidRPr="00915038">
        <w:tab/>
      </w:r>
      <w:r w:rsidRPr="00915038">
        <w:t>После консультаций с БСЭ и обсуждений с Министерством внутренних дел и связи (MIC) Японии группа МСЭ и представители MIC обменялись письмами 6 февраля 2025 года, после чего МСЭ были выделены средства для проведения деятельности в рамках этого проекта. В настоящее время обеспечено финансирование на один год до февраля 2026</w:t>
      </w:r>
      <w:r w:rsidR="00C26073">
        <w:t> </w:t>
      </w:r>
      <w:r w:rsidRPr="00915038">
        <w:t>года.</w:t>
      </w:r>
    </w:p>
    <w:p w14:paraId="2BE571A6" w14:textId="6C61484B" w:rsidR="00915038" w:rsidRPr="00915038" w:rsidRDefault="00915038" w:rsidP="00915038">
      <w:pPr>
        <w:pStyle w:val="enumlev1"/>
        <w:rPr>
          <w:rFonts w:eastAsia="Aptos" w:cstheme="minorHAnsi"/>
          <w:szCs w:val="24"/>
        </w:rPr>
      </w:pPr>
      <w:r w:rsidRPr="00915038">
        <w:t>−</w:t>
      </w:r>
      <w:r w:rsidRPr="00915038">
        <w:tab/>
      </w:r>
      <w:r w:rsidRPr="00915038">
        <w:t>2–3 сентября 2024 года Зональное отделение в сотрудничестве с Национальной академией финансов в сфере связи (NCA-F, ранее NICF) и Департаментом электросвязи организовало семинар-практикум "Преодоление разрыва в стандартизации (ПРС)" в Индийском научном институте (IISc), Бангалор. В работе семинара-практикума приняли участие более 270 представителей правительственных органов, компаний отрасли, академических организаций и стартапов; они узнали, как вносить вклады и принимать участие в обсуждениях разработки и внедрения стандартов МСЭ-Т; мероприятие способствовало созданию потенциала, и в завершение участники играли роли руководителей в этой сфере в рамках интерактивных ролевых игр и вопросников.</w:t>
      </w:r>
    </w:p>
    <w:p w14:paraId="1C45AB1F" w14:textId="36610CEC" w:rsidR="00915038" w:rsidRPr="00915038" w:rsidRDefault="00915038" w:rsidP="00915038">
      <w:pPr>
        <w:pStyle w:val="enumlev1"/>
        <w:rPr>
          <w:rFonts w:eastAsia="Aptos" w:cstheme="minorHAnsi"/>
          <w:szCs w:val="24"/>
        </w:rPr>
      </w:pPr>
      <w:r w:rsidRPr="00915038">
        <w:t>−</w:t>
      </w:r>
      <w:r w:rsidRPr="00915038">
        <w:tab/>
      </w:r>
      <w:r w:rsidRPr="00915038">
        <w:t>10 октября 2024 года Региональное отделение и Зональное отделение МСЭ в Дели организовали обсуждение с участием Управления информационно-коммуникационных технологий и СМИ Бутана (BICMA) и БСЭ по лаборатории безопасности ЦФУ. По итогам этого обсуждения МСЭ и BICMA в настоящее время обсуждают потенциальную программу передачи знаний МСЭ в области безопасности ЦФУ.</w:t>
      </w:r>
    </w:p>
    <w:p w14:paraId="37C2987B" w14:textId="2101619F" w:rsidR="00915038" w:rsidRPr="00915038" w:rsidRDefault="00915038" w:rsidP="00915038">
      <w:pPr>
        <w:pStyle w:val="enumlev1"/>
        <w:rPr>
          <w:rFonts w:cstheme="minorHAnsi"/>
          <w:szCs w:val="24"/>
        </w:rPr>
      </w:pPr>
      <w:r w:rsidRPr="00915038">
        <w:t>−</w:t>
      </w:r>
      <w:r w:rsidRPr="00915038">
        <w:tab/>
      </w:r>
      <w:r w:rsidRPr="00915038">
        <w:t>После этих обсуждений 14 октября и 22 октября 2024 года состоялся обмен письмами между Директором БСЭ и BICMA. В настоящее время BICMA оценивает финансовые показатели со своей стороны, и ожидается официальный ответ от организации.</w:t>
      </w:r>
    </w:p>
    <w:p w14:paraId="3F6086D1" w14:textId="33D2EA85" w:rsidR="00915038" w:rsidRPr="00915038" w:rsidRDefault="00915038" w:rsidP="00915038">
      <w:pPr>
        <w:pStyle w:val="Heading2"/>
        <w:rPr>
          <w:rFonts w:eastAsia="Aptos" w:cstheme="minorHAnsi"/>
          <w:szCs w:val="24"/>
        </w:rPr>
      </w:pPr>
      <w:r w:rsidRPr="00915038">
        <w:t>3.6</w:t>
      </w:r>
      <w:r w:rsidRPr="00915038">
        <w:tab/>
      </w:r>
      <w:r w:rsidRPr="00915038">
        <w:t>Региональное отделение для СНГ (РО-СНГ)/</w:t>
      </w:r>
      <w:r w:rsidR="00EC720B">
        <w:t>д</w:t>
      </w:r>
      <w:r w:rsidRPr="00915038">
        <w:t>еятельность в СНГ</w:t>
      </w:r>
    </w:p>
    <w:p w14:paraId="7520DB7C" w14:textId="77777777" w:rsidR="00915038" w:rsidRPr="00915038" w:rsidRDefault="00915038" w:rsidP="00915038">
      <w:pPr>
        <w:pStyle w:val="Headingb"/>
        <w:rPr>
          <w:rFonts w:eastAsia="Aptos" w:cstheme="minorHAnsi"/>
          <w:szCs w:val="24"/>
        </w:rPr>
      </w:pPr>
      <w:r w:rsidRPr="00915038">
        <w:t>Вопросы, связанные с деятельностью БР</w:t>
      </w:r>
    </w:p>
    <w:p w14:paraId="089122E7" w14:textId="3D7BCC67" w:rsidR="00915038" w:rsidRPr="00915038" w:rsidRDefault="00915038" w:rsidP="00915038">
      <w:pPr>
        <w:pStyle w:val="enumlev1"/>
        <w:rPr>
          <w:rFonts w:eastAsia="Aptos" w:cstheme="minorHAnsi"/>
          <w:szCs w:val="24"/>
        </w:rPr>
      </w:pPr>
      <w:r w:rsidRPr="00915038">
        <w:t>−</w:t>
      </w:r>
      <w:r w:rsidRPr="00915038">
        <w:tab/>
      </w:r>
      <w:r w:rsidRPr="00915038">
        <w:t>Начата реализация проекта планирования частот цифрового звукового радиовещания (DAB) в полосе 174–230 МГц для Армении, Азербайджана и Грузии.</w:t>
      </w:r>
    </w:p>
    <w:p w14:paraId="42F4BF53" w14:textId="515D6E53" w:rsidR="00915038" w:rsidRPr="00915038" w:rsidRDefault="00915038" w:rsidP="00915038">
      <w:pPr>
        <w:pStyle w:val="enumlev1"/>
        <w:rPr>
          <w:rFonts w:eastAsia="Aptos" w:cstheme="minorHAnsi"/>
          <w:szCs w:val="24"/>
        </w:rPr>
      </w:pPr>
      <w:r w:rsidRPr="00915038">
        <w:t>−</w:t>
      </w:r>
      <w:r w:rsidRPr="00915038">
        <w:tab/>
      </w:r>
      <w:r w:rsidRPr="00915038">
        <w:t>В Ташкенте, Узбекистан, был организован круглый стол по вопросам присоединения VoLTE (передача голоса по сетям LTE) и VoWiFi, на котором рассматривались технические аспекты и стратегии реализации.</w:t>
      </w:r>
    </w:p>
    <w:p w14:paraId="425CB0F6" w14:textId="7779112D" w:rsidR="00915038" w:rsidRPr="00915038" w:rsidRDefault="00915038" w:rsidP="00915038">
      <w:pPr>
        <w:pStyle w:val="enumlev1"/>
        <w:rPr>
          <w:rFonts w:eastAsia="Aptos" w:cstheme="minorHAnsi"/>
          <w:szCs w:val="24"/>
        </w:rPr>
      </w:pPr>
      <w:r w:rsidRPr="00915038">
        <w:t>−</w:t>
      </w:r>
      <w:r w:rsidRPr="00915038">
        <w:tab/>
      </w:r>
      <w:r w:rsidRPr="00915038">
        <w:t xml:space="preserve">Целью Рабочей подгруппы по ИИ для инициативы EW4All, координируемой и возглавляемой МСЭ, является изучение, внедрение и масштабирование приложений ИИ </w:t>
      </w:r>
      <w:r w:rsidRPr="00915038">
        <w:lastRenderedPageBreak/>
        <w:t>в поддержку осуществления инициативы EW4All. (Этот вопрос касается БР в части данных о спектре/распространении радиосигнала</w:t>
      </w:r>
      <w:r w:rsidR="00EC720B" w:rsidRPr="00915038">
        <w:t>.</w:t>
      </w:r>
      <w:r w:rsidRPr="00915038">
        <w:t>)</w:t>
      </w:r>
    </w:p>
    <w:p w14:paraId="78FDB716" w14:textId="7E0ADB45" w:rsidR="00915038" w:rsidRPr="00915038" w:rsidRDefault="00915038" w:rsidP="00915038">
      <w:pPr>
        <w:pStyle w:val="enumlev1"/>
        <w:rPr>
          <w:rFonts w:eastAsia="Aptos" w:cstheme="minorHAnsi"/>
          <w:szCs w:val="24"/>
        </w:rPr>
      </w:pPr>
      <w:r w:rsidRPr="00915038">
        <w:t>−</w:t>
      </w:r>
      <w:r w:rsidRPr="00915038">
        <w:tab/>
      </w:r>
      <w:r w:rsidRPr="00915038">
        <w:t>В сентябре 2024 года совместно с БР в Алматы, Казахстан, был организован Глобальный региональный семинар МСЭ/ВМО "Наблюдения Земли для достижения Целей в области устойчивого развития: технологии, спектр, применения, воздействие", в работе которого приняли участие более 100 специалистов. Он был приурочен к собраниям рабочих групп 7-й Исследовательской комиссии МСЭ-R.</w:t>
      </w:r>
    </w:p>
    <w:p w14:paraId="3865D282" w14:textId="1768C24C" w:rsidR="00915038" w:rsidRPr="00915038" w:rsidRDefault="00915038" w:rsidP="00915038">
      <w:pPr>
        <w:pStyle w:val="enumlev1"/>
        <w:rPr>
          <w:rFonts w:eastAsia="Aptos" w:cstheme="minorHAnsi"/>
          <w:szCs w:val="24"/>
        </w:rPr>
      </w:pPr>
      <w:r w:rsidRPr="00915038">
        <w:t>−</w:t>
      </w:r>
      <w:r w:rsidRPr="00915038">
        <w:tab/>
      </w:r>
      <w:r w:rsidRPr="00915038">
        <w:t>В феврале 2025 года БРЭ совместно с МОКС "Интерспутник" и при участии экспертов БР организовало семинар-практикум "Космическая деятельность в современных реалиях". Это мероприятие, в котором приняли участие представители сообщества спутниковой связи, давшие ему высокую оценку, предоставило уникальную возможность обменяться примерами передового опыта в разработке либо совершенствовании национального законодательства в области космической деятельности и уделить внимание вопросам, связанным с национальной политикой доступа к рынку спутниковых систем.</w:t>
      </w:r>
    </w:p>
    <w:p w14:paraId="3549A775" w14:textId="77777777" w:rsidR="00915038" w:rsidRPr="00915038" w:rsidRDefault="00915038" w:rsidP="00915038">
      <w:pPr>
        <w:pStyle w:val="Headingb"/>
        <w:rPr>
          <w:rFonts w:eastAsia="Aptos" w:cstheme="minorHAnsi"/>
          <w:szCs w:val="24"/>
        </w:rPr>
      </w:pPr>
      <w:r w:rsidRPr="00915038">
        <w:t>Вопросы, связанные с деятельностью БСЭ</w:t>
      </w:r>
    </w:p>
    <w:p w14:paraId="65AA125C" w14:textId="54B74C1F" w:rsidR="00915038" w:rsidRPr="00915038" w:rsidRDefault="00915038" w:rsidP="00915038">
      <w:pPr>
        <w:pStyle w:val="enumlev1"/>
        <w:rPr>
          <w:rFonts w:eastAsia="Aptos" w:cstheme="minorHAnsi"/>
          <w:szCs w:val="24"/>
        </w:rPr>
      </w:pPr>
      <w:r w:rsidRPr="00915038">
        <w:t>−</w:t>
      </w:r>
      <w:r w:rsidRPr="00915038">
        <w:tab/>
      </w:r>
      <w:r w:rsidRPr="00915038">
        <w:t>В рамках мероприятий по повышению осведомленности Региональное отделение для СНГ содействовало принятию Рекомендаций и KPI, касающихся "умных" городов и сообществ, разработанных в рамках инициативы U4SCC.</w:t>
      </w:r>
    </w:p>
    <w:p w14:paraId="488F51FA" w14:textId="0EDF304E" w:rsidR="00915038" w:rsidRPr="00915038" w:rsidRDefault="00915038" w:rsidP="00915038">
      <w:pPr>
        <w:pStyle w:val="enumlev1"/>
        <w:rPr>
          <w:rFonts w:eastAsia="Aptos" w:cstheme="minorHAnsi"/>
          <w:szCs w:val="24"/>
        </w:rPr>
      </w:pPr>
      <w:r w:rsidRPr="00915038">
        <w:t>−</w:t>
      </w:r>
      <w:r w:rsidRPr="00915038">
        <w:tab/>
      </w:r>
      <w:r w:rsidRPr="00915038">
        <w:t>Совместно с БСЭ ведется подготовка к Региональному форуму МСЭ "Технологии будущего: искусственный интеллект, метавселенная, голография и другие ИКТ, приложения и услуги. Перспектива 2030", который пройдет с 9 по 11 июня 2025 года в Санкт-Петербурге, Российская Федерация. Форум будет приурочен к собраниям региональных групп 11-й, 13-й и 20-й Исследовательских комиссий МСЭ-Т.</w:t>
      </w:r>
    </w:p>
    <w:p w14:paraId="3D48B5A4" w14:textId="08CEAB46" w:rsidR="00915038" w:rsidRPr="00915038" w:rsidRDefault="00915038" w:rsidP="00915038">
      <w:pPr>
        <w:pStyle w:val="Headingb"/>
        <w:rPr>
          <w:rFonts w:eastAsia="Aptos" w:cstheme="minorHAnsi"/>
          <w:szCs w:val="24"/>
          <w:lang w:val="ru-RU"/>
        </w:rPr>
      </w:pPr>
      <w:r w:rsidRPr="00915038">
        <w:rPr>
          <w:lang w:val="ru-RU"/>
        </w:rPr>
        <w:t>3.7</w:t>
      </w:r>
      <w:r w:rsidRPr="00915038">
        <w:rPr>
          <w:lang w:val="ru-RU"/>
        </w:rPr>
        <w:tab/>
      </w:r>
      <w:r w:rsidRPr="00915038">
        <w:rPr>
          <w:lang w:val="ru-RU"/>
        </w:rPr>
        <w:t>Региональное отделение МСЭ для Европы/</w:t>
      </w:r>
      <w:r w:rsidRPr="00915038">
        <w:rPr>
          <w:lang w:val="ru-RU"/>
        </w:rPr>
        <w:t>д</w:t>
      </w:r>
      <w:r w:rsidRPr="00915038">
        <w:rPr>
          <w:lang w:val="ru-RU"/>
        </w:rPr>
        <w:t>еятельность в Европе</w:t>
      </w:r>
    </w:p>
    <w:p w14:paraId="296D3BE8" w14:textId="77777777" w:rsidR="00915038" w:rsidRPr="00915038" w:rsidRDefault="00915038" w:rsidP="00915038">
      <w:pPr>
        <w:pStyle w:val="Headingb"/>
        <w:rPr>
          <w:rFonts w:eastAsia="Aptos" w:cstheme="minorHAnsi"/>
          <w:szCs w:val="24"/>
        </w:rPr>
      </w:pPr>
      <w:r w:rsidRPr="00915038">
        <w:t>Вопросы, связанные с деятельностью БР</w:t>
      </w:r>
    </w:p>
    <w:p w14:paraId="5E9FF943" w14:textId="6703B623" w:rsidR="00915038" w:rsidRPr="00915038" w:rsidRDefault="00915038" w:rsidP="00915038">
      <w:pPr>
        <w:pStyle w:val="enumlev1"/>
        <w:rPr>
          <w:rFonts w:eastAsia="Aptos" w:cstheme="minorHAnsi"/>
          <w:szCs w:val="24"/>
        </w:rPr>
      </w:pPr>
      <w:r w:rsidRPr="00915038">
        <w:t>−</w:t>
      </w:r>
      <w:r w:rsidRPr="00915038">
        <w:tab/>
      </w:r>
      <w:r w:rsidRPr="00915038">
        <w:t>27 марта 2025 года в Брюсселе был проведен брифинг по вопросам, связанным с деятельностью БР, для Рабочей группы Совета ЕС по электросвязи и информационному обществу.</w:t>
      </w:r>
    </w:p>
    <w:p w14:paraId="3A2A7235" w14:textId="0DAF08FB" w:rsidR="00915038" w:rsidRPr="00915038" w:rsidRDefault="00915038" w:rsidP="00915038">
      <w:pPr>
        <w:pStyle w:val="enumlev1"/>
        <w:rPr>
          <w:rFonts w:eastAsia="Aptos" w:cstheme="minorHAnsi"/>
          <w:szCs w:val="24"/>
        </w:rPr>
      </w:pPr>
      <w:r w:rsidRPr="00915038">
        <w:t>−</w:t>
      </w:r>
      <w:r w:rsidRPr="00915038">
        <w:tab/>
      </w:r>
      <w:r w:rsidRPr="00915038">
        <w:t>Эксперты БР вносят свой вклад в оказание технической помощи Украине в соответствии с Резолюцией 1408 Совета МСЭ. Это включало экспертную поддержку технической оценки радиовещательных станций, проведение специального онлайнового семинара-практикума по вопросам, касающимся радиочастотного спектра для украинских должностных лиц, а также организацию семинара-практикума МСЭ и TAIEX Европейской комиссии, который состоялся в декабре 2024 года в Варшаве, Польша.</w:t>
      </w:r>
    </w:p>
    <w:p w14:paraId="096C2031" w14:textId="12A49AE6" w:rsidR="00915038" w:rsidRPr="00915038" w:rsidRDefault="00915038" w:rsidP="00915038">
      <w:pPr>
        <w:pStyle w:val="enumlev1"/>
        <w:rPr>
          <w:rFonts w:eastAsia="Aptos" w:cstheme="minorHAnsi"/>
          <w:szCs w:val="24"/>
        </w:rPr>
      </w:pPr>
      <w:r w:rsidRPr="00915038">
        <w:t>−</w:t>
      </w:r>
      <w:r w:rsidRPr="00915038">
        <w:tab/>
      </w:r>
      <w:r w:rsidRPr="00915038">
        <w:t>Эксперты БР внесли свой вклад в семинары-практикумы EaPeReg, что способствовало дальнейшему укреплению сотрудничества между МСЭ и членами EaPeReg.</w:t>
      </w:r>
    </w:p>
    <w:p w14:paraId="141BAF7A" w14:textId="2C3236AD" w:rsidR="00915038" w:rsidRPr="00915038" w:rsidRDefault="00915038" w:rsidP="00915038">
      <w:pPr>
        <w:pStyle w:val="enumlev1"/>
        <w:rPr>
          <w:rFonts w:eastAsia="Aptos" w:cstheme="minorHAnsi"/>
          <w:szCs w:val="24"/>
        </w:rPr>
      </w:pPr>
      <w:r w:rsidRPr="00915038">
        <w:t>−</w:t>
      </w:r>
      <w:r w:rsidRPr="00915038">
        <w:tab/>
      </w:r>
      <w:r w:rsidRPr="00915038">
        <w:t>Региональный семинар МСЭ по радиосвязи для Европы запланирован на февраль 2026</w:t>
      </w:r>
      <w:r>
        <w:t> </w:t>
      </w:r>
      <w:r w:rsidRPr="00915038">
        <w:t>года в целях дальнейшего развития человеческого потенциала европейских стран.</w:t>
      </w:r>
    </w:p>
    <w:p w14:paraId="05278D3A" w14:textId="77777777" w:rsidR="00915038" w:rsidRPr="00915038" w:rsidRDefault="00915038" w:rsidP="00915038">
      <w:pPr>
        <w:pStyle w:val="Headingb"/>
        <w:rPr>
          <w:rFonts w:eastAsia="Aptos" w:cstheme="minorHAnsi"/>
          <w:szCs w:val="24"/>
        </w:rPr>
      </w:pPr>
      <w:r w:rsidRPr="00915038">
        <w:t>Вопросы, связанные с деятельностью БСЭ</w:t>
      </w:r>
    </w:p>
    <w:p w14:paraId="59619C7F" w14:textId="7E77A3E3" w:rsidR="00915038" w:rsidRPr="00915038" w:rsidRDefault="00915038" w:rsidP="00915038">
      <w:pPr>
        <w:pStyle w:val="enumlev1"/>
        <w:rPr>
          <w:rFonts w:eastAsia="Aptos" w:cstheme="minorHAnsi"/>
          <w:szCs w:val="24"/>
        </w:rPr>
      </w:pPr>
      <w:r w:rsidRPr="00915038">
        <w:t>−</w:t>
      </w:r>
      <w:r w:rsidRPr="00915038">
        <w:tab/>
      </w:r>
      <w:r w:rsidRPr="00915038">
        <w:t>В ноябре 2024 года состоялся Семинар-практикум "Будущее телевидения в Европе", организованный в сотрудничестве с БР и БСЭ.</w:t>
      </w:r>
    </w:p>
    <w:p w14:paraId="10BD9758" w14:textId="33944FCC" w:rsidR="00915038" w:rsidRPr="00915038" w:rsidRDefault="00915038" w:rsidP="00915038">
      <w:pPr>
        <w:pStyle w:val="enumlev1"/>
        <w:rPr>
          <w:rFonts w:eastAsia="Aptos" w:cstheme="minorHAnsi"/>
          <w:szCs w:val="24"/>
        </w:rPr>
      </w:pPr>
      <w:r w:rsidRPr="00915038">
        <w:t>−</w:t>
      </w:r>
      <w:r w:rsidRPr="00915038">
        <w:tab/>
      </w:r>
      <w:r w:rsidRPr="00915038">
        <w:t>19 февраля 2025 года в Брюсселе был организован семинар-практикум по синхронизации между БСЭ и Европейской комиссией, направленный на определение областей потенциального укрепления сотрудничества.</w:t>
      </w:r>
    </w:p>
    <w:p w14:paraId="5463D153" w14:textId="3F051D55" w:rsidR="00915038" w:rsidRPr="00915038" w:rsidRDefault="00915038" w:rsidP="00915038">
      <w:pPr>
        <w:pStyle w:val="enumlev1"/>
        <w:rPr>
          <w:rFonts w:eastAsia="Aptos" w:cstheme="minorHAnsi"/>
          <w:szCs w:val="24"/>
        </w:rPr>
      </w:pPr>
      <w:r w:rsidRPr="00915038">
        <w:lastRenderedPageBreak/>
        <w:t>−</w:t>
      </w:r>
      <w:r w:rsidRPr="00915038">
        <w:tab/>
      </w:r>
      <w:r w:rsidRPr="00915038">
        <w:t>20 февраля 2025 года в Брюсселе был организован брифинг по вопросам, связанным с деятельностью БСЭ, для Рабочей группы Совета ЕС по электросвязи и информационному обществу.</w:t>
      </w:r>
    </w:p>
    <w:p w14:paraId="14624C80" w14:textId="24ABC170" w:rsidR="00915038" w:rsidRPr="00915038" w:rsidRDefault="00915038" w:rsidP="00915038">
      <w:pPr>
        <w:pStyle w:val="Heading2"/>
        <w:rPr>
          <w:rFonts w:eastAsia="Aptos" w:cstheme="minorHAnsi"/>
          <w:szCs w:val="24"/>
        </w:rPr>
      </w:pPr>
      <w:r w:rsidRPr="00915038">
        <w:t>3.8</w:t>
      </w:r>
      <w:r w:rsidRPr="00915038">
        <w:tab/>
      </w:r>
      <w:r w:rsidRPr="00915038">
        <w:t>Межрегиональная координация</w:t>
      </w:r>
    </w:p>
    <w:p w14:paraId="1A1D7AD5" w14:textId="77777777" w:rsidR="00915038" w:rsidRPr="00915038" w:rsidRDefault="00915038" w:rsidP="00915038">
      <w:pPr>
        <w:pStyle w:val="Headingb"/>
        <w:rPr>
          <w:rFonts w:eastAsia="Aptos" w:cstheme="minorHAnsi"/>
          <w:szCs w:val="24"/>
        </w:rPr>
      </w:pPr>
      <w:r w:rsidRPr="00915038">
        <w:t>Вопросы, связанные с деятельностью БР</w:t>
      </w:r>
    </w:p>
    <w:p w14:paraId="77FDF6EC" w14:textId="7A94EC4C" w:rsidR="00915038" w:rsidRPr="00915038" w:rsidRDefault="00915038" w:rsidP="00915038">
      <w:pPr>
        <w:rPr>
          <w:rFonts w:eastAsia="Aptos" w:cstheme="minorHAnsi"/>
          <w:szCs w:val="24"/>
        </w:rPr>
      </w:pPr>
      <w:r w:rsidRPr="00915038">
        <w:t>Предварительное стратегическое размещение спутникового оборудования электросвязи в чрезвычайных ситуациях в Дубае (охватывает арабские государства, Африку, Азиатско-Тихоокеанский регион), Зимбабве (обслуживает САДК) и на Барбадосе (обслуживает Северную и Южную Америку/Карибский бассейн).</w:t>
      </w:r>
    </w:p>
    <w:p w14:paraId="64F6A8C1" w14:textId="77777777" w:rsidR="00915038" w:rsidRPr="00915038" w:rsidRDefault="00915038" w:rsidP="00915038">
      <w:pPr>
        <w:pStyle w:val="Headingb"/>
        <w:rPr>
          <w:rFonts w:eastAsia="Aptos" w:cstheme="minorHAnsi"/>
          <w:szCs w:val="24"/>
        </w:rPr>
      </w:pPr>
      <w:r w:rsidRPr="00915038">
        <w:t>Вопросы, связанные с деятельностью БСЭ</w:t>
      </w:r>
    </w:p>
    <w:p w14:paraId="65B4D90A" w14:textId="76556E90" w:rsidR="00915038" w:rsidRPr="00915038" w:rsidRDefault="00915038" w:rsidP="00915038">
      <w:pPr>
        <w:rPr>
          <w:rFonts w:eastAsia="Aptos" w:cstheme="minorHAnsi"/>
          <w:szCs w:val="24"/>
        </w:rPr>
      </w:pPr>
      <w:r w:rsidRPr="00915038">
        <w:t>В составе Группы "ИИ для EW4All" МСЭ разрабатывает каталог решений на основе ИИ, который представляет собой онлайновый архив инструментов на основе ИИ для систем раннего предупреждения. Группа БРЭ также выступила на 15-м Симпозиуме по ИКТ, окружающей среде, изменению климата и циркуляционной экономике (май 2024 г.).</w:t>
      </w:r>
    </w:p>
    <w:p w14:paraId="65F7482C" w14:textId="219275B3" w:rsidR="00915038" w:rsidRPr="00915038" w:rsidRDefault="00915038" w:rsidP="00915038">
      <w:pPr>
        <w:pStyle w:val="Heading1"/>
      </w:pPr>
      <w:r w:rsidRPr="00915038">
        <w:t>4</w:t>
      </w:r>
      <w:r w:rsidRPr="00915038">
        <w:tab/>
      </w:r>
      <w:r w:rsidRPr="00915038">
        <w:t>Заключение</w:t>
      </w:r>
    </w:p>
    <w:p w14:paraId="5A989D45" w14:textId="77777777" w:rsidR="00915038" w:rsidRPr="00915038" w:rsidRDefault="00915038" w:rsidP="00915038">
      <w:pPr>
        <w:rPr>
          <w:rFonts w:cstheme="minorHAnsi"/>
          <w:szCs w:val="24"/>
        </w:rPr>
      </w:pPr>
      <w:r w:rsidRPr="00915038">
        <w:t>КГРЭ предлагается принять настоящий документ к сведению и представить руководящие указания, которые она сочтет необходимыми.</w:t>
      </w:r>
    </w:p>
    <w:p w14:paraId="438B942F" w14:textId="58512871" w:rsidR="00FA6529" w:rsidRPr="00915038" w:rsidRDefault="00915038" w:rsidP="00915038">
      <w:pPr>
        <w:spacing w:before="480"/>
        <w:jc w:val="center"/>
      </w:pPr>
      <w:r w:rsidRPr="00915038">
        <w:t>_______________</w:t>
      </w:r>
    </w:p>
    <w:sectPr w:rsidR="00FA6529" w:rsidRPr="00915038" w:rsidSect="00CE66E4">
      <w:headerReference w:type="default" r:id="rId48"/>
      <w:footerReference w:type="first" r:id="rId49"/>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9C918" w14:textId="77777777" w:rsidR="003410C0" w:rsidRDefault="003410C0">
      <w:r>
        <w:separator/>
      </w:r>
    </w:p>
    <w:p w14:paraId="6F94638D" w14:textId="77777777" w:rsidR="003410C0" w:rsidRDefault="003410C0"/>
  </w:endnote>
  <w:endnote w:type="continuationSeparator" w:id="0">
    <w:p w14:paraId="08EB8E6C" w14:textId="77777777" w:rsidR="003410C0" w:rsidRDefault="003410C0">
      <w:r>
        <w:continuationSeparator/>
      </w:r>
    </w:p>
    <w:p w14:paraId="4FC38320" w14:textId="77777777" w:rsidR="003410C0" w:rsidRDefault="003410C0"/>
  </w:endnote>
  <w:endnote w:type="continuationNotice" w:id="1">
    <w:p w14:paraId="44723093" w14:textId="77777777" w:rsidR="003410C0" w:rsidRDefault="003410C0">
      <w:pPr>
        <w:spacing w:before="0"/>
      </w:pPr>
    </w:p>
    <w:p w14:paraId="6BBE5356" w14:textId="77777777" w:rsidR="003410C0" w:rsidRDefault="003410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2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CG Times">
    <w:altName w:val="Times New Roman"/>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Фамилия и данные контактного лица по документу"/>
    </w:tblPr>
    <w:tblGrid>
      <w:gridCol w:w="1526"/>
      <w:gridCol w:w="3260"/>
      <w:gridCol w:w="4853"/>
    </w:tblGrid>
    <w:tr w:rsidR="00CB60FF" w:rsidRPr="00365AB0" w14:paraId="1B414EE2" w14:textId="77777777" w:rsidTr="00CB60FF">
      <w:tc>
        <w:tcPr>
          <w:tcW w:w="1526" w:type="dxa"/>
          <w:tcBorders>
            <w:top w:val="single" w:sz="4" w:space="0" w:color="000000" w:themeColor="text1"/>
          </w:tcBorders>
        </w:tcPr>
        <w:p w14:paraId="300F1366" w14:textId="77777777" w:rsidR="00CB60FF" w:rsidRPr="00365AB0" w:rsidRDefault="00CB60FF" w:rsidP="008E0DBE">
          <w:pPr>
            <w:pStyle w:val="FirstFooter"/>
            <w:rPr>
              <w:sz w:val="18"/>
              <w:szCs w:val="18"/>
            </w:rPr>
          </w:pPr>
          <w:r w:rsidRPr="00365AB0">
            <w:rPr>
              <w:sz w:val="18"/>
              <w:szCs w:val="18"/>
            </w:rPr>
            <w:t>Для контактов:</w:t>
          </w:r>
        </w:p>
      </w:tc>
      <w:tc>
        <w:tcPr>
          <w:tcW w:w="3260" w:type="dxa"/>
          <w:tcBorders>
            <w:top w:val="single" w:sz="4" w:space="0" w:color="000000" w:themeColor="text1"/>
          </w:tcBorders>
        </w:tcPr>
        <w:p w14:paraId="4D680DDD" w14:textId="77777777" w:rsidR="00CB60FF" w:rsidRPr="00365AB0" w:rsidRDefault="00CB60FF" w:rsidP="008E0DBE">
          <w:pPr>
            <w:pStyle w:val="FirstFooter"/>
            <w:ind w:left="3010" w:hanging="3010"/>
            <w:rPr>
              <w:sz w:val="18"/>
              <w:szCs w:val="18"/>
              <w:lang w:val="en-US"/>
            </w:rPr>
          </w:pPr>
          <w:r w:rsidRPr="00365AB0">
            <w:rPr>
              <w:sz w:val="18"/>
              <w:szCs w:val="18"/>
            </w:rPr>
            <w:t>Фамилия/организация/объединение:</w:t>
          </w:r>
        </w:p>
      </w:tc>
      <w:tc>
        <w:tcPr>
          <w:tcW w:w="4853" w:type="dxa"/>
          <w:tcBorders>
            <w:top w:val="single" w:sz="4" w:space="0" w:color="000000" w:themeColor="text1"/>
          </w:tcBorders>
        </w:tcPr>
        <w:p w14:paraId="56C8FBAE" w14:textId="774AB833" w:rsidR="00CB60FF" w:rsidRPr="00CB60FF" w:rsidRDefault="00CB60FF" w:rsidP="008E0DBE">
          <w:pPr>
            <w:pStyle w:val="FirstFooter"/>
            <w:rPr>
              <w:sz w:val="18"/>
              <w:szCs w:val="18"/>
            </w:rPr>
          </w:pPr>
          <w:r w:rsidRPr="008E0DBE">
            <w:rPr>
              <w:sz w:val="18"/>
              <w:szCs w:val="18"/>
            </w:rPr>
            <w:t>г-жа Арчана Гулати</w:t>
          </w:r>
          <w:r>
            <w:rPr>
              <w:sz w:val="18"/>
              <w:szCs w:val="18"/>
            </w:rPr>
            <w:t xml:space="preserve"> (</w:t>
          </w:r>
          <w:r w:rsidRPr="00941B59">
            <w:rPr>
              <w:sz w:val="18"/>
              <w:szCs w:val="18"/>
              <w:lang w:val="en-US"/>
            </w:rPr>
            <w:t>Ms</w:t>
          </w:r>
          <w:r w:rsidRPr="00CB60FF">
            <w:rPr>
              <w:sz w:val="18"/>
              <w:szCs w:val="18"/>
            </w:rPr>
            <w:t xml:space="preserve"> </w:t>
          </w:r>
          <w:r w:rsidRPr="00941B59">
            <w:rPr>
              <w:sz w:val="18"/>
              <w:szCs w:val="18"/>
              <w:lang w:val="en-US"/>
            </w:rPr>
            <w:t>Archana</w:t>
          </w:r>
          <w:r w:rsidRPr="00CB60FF">
            <w:rPr>
              <w:sz w:val="18"/>
              <w:szCs w:val="18"/>
            </w:rPr>
            <w:t xml:space="preserve"> </w:t>
          </w:r>
          <w:r w:rsidRPr="00941B59">
            <w:rPr>
              <w:sz w:val="18"/>
              <w:szCs w:val="18"/>
              <w:lang w:val="en-US"/>
            </w:rPr>
            <w:t>Gulati</w:t>
          </w:r>
          <w:r>
            <w:rPr>
              <w:sz w:val="18"/>
              <w:szCs w:val="18"/>
            </w:rPr>
            <w:t>),</w:t>
          </w:r>
          <w:r w:rsidRPr="00CB60FF">
            <w:rPr>
              <w:sz w:val="18"/>
              <w:szCs w:val="18"/>
            </w:rPr>
            <w:t xml:space="preserve"> </w:t>
          </w:r>
          <w:r w:rsidRPr="008E0DBE">
            <w:rPr>
              <w:sz w:val="18"/>
              <w:szCs w:val="18"/>
            </w:rPr>
            <w:t>заместитель Директора Бюро развития электросвязи</w:t>
          </w:r>
        </w:p>
      </w:tc>
      <w:bookmarkStart w:id="12" w:name="OrgName"/>
      <w:bookmarkEnd w:id="12"/>
    </w:tr>
    <w:tr w:rsidR="00CB60FF" w:rsidRPr="00365AB0" w14:paraId="5E4AD7CB" w14:textId="77777777" w:rsidTr="00CB60FF">
      <w:trPr>
        <w:trHeight w:val="165"/>
      </w:trPr>
      <w:tc>
        <w:tcPr>
          <w:tcW w:w="1526" w:type="dxa"/>
        </w:tcPr>
        <w:p w14:paraId="337BEFD2" w14:textId="77777777" w:rsidR="00CB60FF" w:rsidRPr="00CB60FF" w:rsidRDefault="00CB60FF" w:rsidP="008E0DBE">
          <w:pPr>
            <w:pStyle w:val="FirstFooter"/>
            <w:rPr>
              <w:sz w:val="18"/>
              <w:szCs w:val="18"/>
            </w:rPr>
          </w:pPr>
        </w:p>
      </w:tc>
      <w:tc>
        <w:tcPr>
          <w:tcW w:w="3260" w:type="dxa"/>
        </w:tcPr>
        <w:p w14:paraId="34AC1C36" w14:textId="77777777" w:rsidR="00CB60FF" w:rsidRPr="00365AB0" w:rsidRDefault="00CB60FF" w:rsidP="008E0DBE">
          <w:pPr>
            <w:pStyle w:val="FirstFooter"/>
            <w:ind w:left="3010" w:hanging="3010"/>
            <w:rPr>
              <w:sz w:val="18"/>
              <w:szCs w:val="18"/>
              <w:lang w:val="en-US"/>
            </w:rPr>
          </w:pPr>
          <w:r w:rsidRPr="00365AB0">
            <w:rPr>
              <w:sz w:val="18"/>
              <w:szCs w:val="18"/>
            </w:rPr>
            <w:t>Тел.:</w:t>
          </w:r>
        </w:p>
      </w:tc>
      <w:tc>
        <w:tcPr>
          <w:tcW w:w="4853" w:type="dxa"/>
        </w:tcPr>
        <w:p w14:paraId="0C3770F9" w14:textId="703E626E" w:rsidR="00CB60FF" w:rsidRPr="00113D3F" w:rsidRDefault="00B154F7" w:rsidP="008E0DBE">
          <w:pPr>
            <w:pStyle w:val="FirstFooter"/>
            <w:rPr>
              <w:sz w:val="18"/>
              <w:szCs w:val="18"/>
              <w:lang w:val="en-GB"/>
            </w:rPr>
          </w:pPr>
          <w:r>
            <w:rPr>
              <w:rStyle w:val="normaltextrun"/>
              <w:rFonts w:cs="Calibri"/>
              <w:color w:val="000000"/>
              <w:sz w:val="18"/>
              <w:szCs w:val="18"/>
              <w:shd w:val="clear" w:color="auto" w:fill="FFFFFF"/>
            </w:rPr>
            <w:t>+41 22 730 6475</w:t>
          </w:r>
        </w:p>
      </w:tc>
      <w:bookmarkStart w:id="13" w:name="PhoneNo"/>
      <w:bookmarkEnd w:id="13"/>
    </w:tr>
    <w:tr w:rsidR="00CB60FF" w:rsidRPr="00365AB0" w14:paraId="0E4D2617" w14:textId="77777777" w:rsidTr="00CB60FF">
      <w:tc>
        <w:tcPr>
          <w:tcW w:w="1526" w:type="dxa"/>
        </w:tcPr>
        <w:p w14:paraId="7845751D" w14:textId="77777777" w:rsidR="00CB60FF" w:rsidRPr="00365AB0" w:rsidRDefault="00CB60FF" w:rsidP="008E0DBE">
          <w:pPr>
            <w:pStyle w:val="FirstFooter"/>
            <w:rPr>
              <w:sz w:val="18"/>
              <w:szCs w:val="18"/>
            </w:rPr>
          </w:pPr>
        </w:p>
      </w:tc>
      <w:tc>
        <w:tcPr>
          <w:tcW w:w="3260" w:type="dxa"/>
        </w:tcPr>
        <w:p w14:paraId="1BAAC8BB" w14:textId="77777777" w:rsidR="00CB60FF" w:rsidRPr="00365AB0" w:rsidRDefault="00CB60FF" w:rsidP="008E0DBE">
          <w:pPr>
            <w:pStyle w:val="FirstFooter"/>
            <w:ind w:left="3010" w:hanging="3010"/>
            <w:rPr>
              <w:sz w:val="18"/>
              <w:szCs w:val="18"/>
            </w:rPr>
          </w:pPr>
          <w:r w:rsidRPr="00365AB0">
            <w:rPr>
              <w:sz w:val="18"/>
              <w:szCs w:val="18"/>
            </w:rPr>
            <w:t>Эл.</w:t>
          </w:r>
          <w:r w:rsidRPr="00365AB0">
            <w:rPr>
              <w:sz w:val="18"/>
              <w:szCs w:val="18"/>
              <w:lang w:val="en-US"/>
            </w:rPr>
            <w:t> </w:t>
          </w:r>
          <w:r w:rsidRPr="00365AB0">
            <w:rPr>
              <w:sz w:val="18"/>
              <w:szCs w:val="18"/>
            </w:rPr>
            <w:t>почта:</w:t>
          </w:r>
        </w:p>
      </w:tc>
      <w:tc>
        <w:tcPr>
          <w:tcW w:w="4853" w:type="dxa"/>
        </w:tcPr>
        <w:p w14:paraId="7D5DF0FE" w14:textId="245317D0" w:rsidR="00CB60FF" w:rsidRPr="00113D3F" w:rsidRDefault="00CB60FF" w:rsidP="008E0DBE">
          <w:pPr>
            <w:pStyle w:val="FirstFooter"/>
            <w:rPr>
              <w:sz w:val="18"/>
              <w:szCs w:val="18"/>
              <w:lang w:val="en-GB"/>
            </w:rPr>
          </w:pPr>
          <w:hyperlink r:id="rId1" w:history="1">
            <w:r w:rsidRPr="00941B59">
              <w:rPr>
                <w:rStyle w:val="Hyperlink"/>
                <w:sz w:val="18"/>
                <w:szCs w:val="18"/>
              </w:rPr>
              <w:t>archana.gulati@itu.int</w:t>
            </w:r>
          </w:hyperlink>
        </w:p>
      </w:tc>
      <w:bookmarkStart w:id="14" w:name="Email"/>
      <w:bookmarkEnd w:id="14"/>
    </w:tr>
  </w:tbl>
  <w:p w14:paraId="7B8DD400" w14:textId="77777777" w:rsidR="00F723AC" w:rsidRPr="00F723AC" w:rsidRDefault="00F723AC">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0AA3D" w14:textId="77777777" w:rsidR="003410C0" w:rsidRPr="00CB60FF" w:rsidRDefault="003410C0" w:rsidP="0054377E">
      <w:pPr>
        <w:spacing w:before="0"/>
        <w:rPr>
          <w:bCs/>
        </w:rPr>
      </w:pPr>
      <w:r w:rsidRPr="00CB60FF">
        <w:rPr>
          <w:bCs/>
        </w:rPr>
        <w:t>_______________</w:t>
      </w:r>
    </w:p>
  </w:footnote>
  <w:footnote w:type="continuationSeparator" w:id="0">
    <w:p w14:paraId="3F1B1119" w14:textId="77777777" w:rsidR="003410C0" w:rsidRDefault="003410C0" w:rsidP="0054377E">
      <w:pPr>
        <w:spacing w:before="0"/>
      </w:pPr>
      <w:r>
        <w:continuationSeparator/>
      </w:r>
    </w:p>
    <w:p w14:paraId="0C6BC972" w14:textId="77777777" w:rsidR="003410C0" w:rsidRDefault="003410C0"/>
  </w:footnote>
  <w:footnote w:type="continuationNotice" w:id="1">
    <w:p w14:paraId="2D93A009" w14:textId="77777777" w:rsidR="003410C0" w:rsidRDefault="003410C0">
      <w:pPr>
        <w:spacing w:before="0"/>
      </w:pPr>
    </w:p>
    <w:p w14:paraId="136F32BE" w14:textId="77777777" w:rsidR="003410C0" w:rsidRDefault="003410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91B53" w14:textId="45151FDB" w:rsidR="00636181" w:rsidRPr="00CB60FF" w:rsidRDefault="00636181" w:rsidP="00CE66E4">
    <w:pPr>
      <w:tabs>
        <w:tab w:val="clear" w:pos="1134"/>
        <w:tab w:val="clear" w:pos="1871"/>
        <w:tab w:val="clear" w:pos="2268"/>
        <w:tab w:val="center" w:pos="4820"/>
        <w:tab w:val="right" w:pos="14003"/>
      </w:tabs>
      <w:spacing w:before="0"/>
      <w:rPr>
        <w:smallCaps/>
        <w:spacing w:val="24"/>
        <w:szCs w:val="22"/>
        <w:lang w:val="es-ES_tradnl"/>
      </w:rPr>
    </w:pPr>
    <w:r w:rsidRPr="00CB60FF">
      <w:rPr>
        <w:szCs w:val="22"/>
      </w:rPr>
      <w:tab/>
    </w:r>
    <w:r w:rsidRPr="00CB60FF">
      <w:rPr>
        <w:szCs w:val="22"/>
        <w:lang w:val="es-ES_tradnl"/>
      </w:rPr>
      <w:t>TDAG-2</w:t>
    </w:r>
    <w:r w:rsidR="003273BC" w:rsidRPr="00CB60FF">
      <w:rPr>
        <w:szCs w:val="22"/>
        <w:lang w:val="es-ES_tradnl"/>
      </w:rPr>
      <w:t>5</w:t>
    </w:r>
    <w:r w:rsidRPr="00CB60FF">
      <w:rPr>
        <w:szCs w:val="22"/>
        <w:lang w:val="es-ES_tradnl"/>
      </w:rPr>
      <w:t>/</w:t>
    </w:r>
    <w:r w:rsidR="008E0DBE" w:rsidRPr="00CB60FF">
      <w:rPr>
        <w:szCs w:val="22"/>
      </w:rPr>
      <w:t>24</w:t>
    </w:r>
    <w:r w:rsidR="006858CA">
      <w:rPr>
        <w:szCs w:val="22"/>
        <w:lang w:val="en-US"/>
      </w:rPr>
      <w:t>(Rev.1)</w:t>
    </w:r>
    <w:r w:rsidRPr="00CB60FF">
      <w:rPr>
        <w:szCs w:val="22"/>
        <w:lang w:val="es-ES_tradnl"/>
      </w:rPr>
      <w:t>-</w:t>
    </w:r>
    <w:r w:rsidR="007606A7" w:rsidRPr="00CB60FF">
      <w:rPr>
        <w:szCs w:val="22"/>
        <w:lang w:val="es-ES_tradnl"/>
      </w:rPr>
      <w:t>R</w:t>
    </w:r>
    <w:r w:rsidRPr="00CB60FF">
      <w:rPr>
        <w:szCs w:val="22"/>
        <w:lang w:val="es-ES_tradnl"/>
      </w:rPr>
      <w:tab/>
    </w:r>
    <w:r w:rsidR="007606A7" w:rsidRPr="00CB60FF">
      <w:rPr>
        <w:szCs w:val="22"/>
      </w:rPr>
      <w:t>Страница</w:t>
    </w:r>
    <w:r w:rsidRPr="00CB60FF">
      <w:rPr>
        <w:szCs w:val="22"/>
        <w:lang w:val="es-ES_tradnl"/>
      </w:rPr>
      <w:t xml:space="preserve"> </w:t>
    </w:r>
    <w:r w:rsidRPr="00CB60FF">
      <w:rPr>
        <w:szCs w:val="22"/>
      </w:rPr>
      <w:fldChar w:fldCharType="begin"/>
    </w:r>
    <w:r w:rsidRPr="00CB60FF">
      <w:rPr>
        <w:szCs w:val="22"/>
        <w:lang w:val="es-ES_tradnl"/>
      </w:rPr>
      <w:instrText xml:space="preserve"> PAGE </w:instrText>
    </w:r>
    <w:r w:rsidRPr="00CB60FF">
      <w:rPr>
        <w:szCs w:val="22"/>
      </w:rPr>
      <w:fldChar w:fldCharType="separate"/>
    </w:r>
    <w:r w:rsidR="00893B2C" w:rsidRPr="00CB60FF">
      <w:rPr>
        <w:noProof/>
        <w:szCs w:val="22"/>
        <w:lang w:val="es-ES_tradnl"/>
      </w:rPr>
      <w:t>19</w:t>
    </w:r>
    <w:r w:rsidRPr="00CB60FF">
      <w:rPr>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A7356"/>
    <w:multiLevelType w:val="hybridMultilevel"/>
    <w:tmpl w:val="2EDAEE18"/>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C9246D3"/>
    <w:multiLevelType w:val="hybridMultilevel"/>
    <w:tmpl w:val="FC36453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C200B0D"/>
    <w:multiLevelType w:val="hybridMultilevel"/>
    <w:tmpl w:val="73701956"/>
    <w:lvl w:ilvl="0" w:tplc="93E6492E">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2DAA11C7"/>
    <w:multiLevelType w:val="hybridMultilevel"/>
    <w:tmpl w:val="51CC9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41617C"/>
    <w:multiLevelType w:val="hybridMultilevel"/>
    <w:tmpl w:val="4E745178"/>
    <w:lvl w:ilvl="0" w:tplc="D8AA70EE">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5" w15:restartNumberingAfterBreak="0">
    <w:nsid w:val="579008F7"/>
    <w:multiLevelType w:val="hybridMultilevel"/>
    <w:tmpl w:val="3AEE4A30"/>
    <w:lvl w:ilvl="0" w:tplc="93E6492E">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78C0410F"/>
    <w:multiLevelType w:val="hybridMultilevel"/>
    <w:tmpl w:val="E7BC9B74"/>
    <w:lvl w:ilvl="0" w:tplc="93E6492E">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7B136339"/>
    <w:multiLevelType w:val="hybridMultilevel"/>
    <w:tmpl w:val="4D9E3D68"/>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4344639">
    <w:abstractNumId w:val="4"/>
  </w:num>
  <w:num w:numId="2" w16cid:durableId="2090690033">
    <w:abstractNumId w:val="1"/>
  </w:num>
  <w:num w:numId="3" w16cid:durableId="1662150910">
    <w:abstractNumId w:val="3"/>
  </w:num>
  <w:num w:numId="4" w16cid:durableId="1521774019">
    <w:abstractNumId w:val="7"/>
  </w:num>
  <w:num w:numId="5" w16cid:durableId="46952682">
    <w:abstractNumId w:val="0"/>
  </w:num>
  <w:num w:numId="6" w16cid:durableId="585842422">
    <w:abstractNumId w:val="5"/>
  </w:num>
  <w:num w:numId="7" w16cid:durableId="780228871">
    <w:abstractNumId w:val="2"/>
  </w:num>
  <w:num w:numId="8" w16cid:durableId="61683206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2BBA"/>
    <w:rsid w:val="000041EA"/>
    <w:rsid w:val="00004EB7"/>
    <w:rsid w:val="00005A53"/>
    <w:rsid w:val="00005FBD"/>
    <w:rsid w:val="00011ECB"/>
    <w:rsid w:val="000139F4"/>
    <w:rsid w:val="000150B0"/>
    <w:rsid w:val="00015E52"/>
    <w:rsid w:val="00021004"/>
    <w:rsid w:val="00022A29"/>
    <w:rsid w:val="00025926"/>
    <w:rsid w:val="00025965"/>
    <w:rsid w:val="000355FD"/>
    <w:rsid w:val="0003589F"/>
    <w:rsid w:val="00050352"/>
    <w:rsid w:val="0005184F"/>
    <w:rsid w:val="00051E39"/>
    <w:rsid w:val="00053725"/>
    <w:rsid w:val="00054B72"/>
    <w:rsid w:val="0005581A"/>
    <w:rsid w:val="0005619C"/>
    <w:rsid w:val="0005747E"/>
    <w:rsid w:val="000604E5"/>
    <w:rsid w:val="000617DF"/>
    <w:rsid w:val="0006550B"/>
    <w:rsid w:val="0007000B"/>
    <w:rsid w:val="000735FD"/>
    <w:rsid w:val="00074109"/>
    <w:rsid w:val="00074C4D"/>
    <w:rsid w:val="00075C63"/>
    <w:rsid w:val="00076288"/>
    <w:rsid w:val="00077239"/>
    <w:rsid w:val="000778CA"/>
    <w:rsid w:val="000805BB"/>
    <w:rsid w:val="00080905"/>
    <w:rsid w:val="00081C9D"/>
    <w:rsid w:val="000822BE"/>
    <w:rsid w:val="000829BB"/>
    <w:rsid w:val="00082B11"/>
    <w:rsid w:val="00082D75"/>
    <w:rsid w:val="000840A7"/>
    <w:rsid w:val="00085C6A"/>
    <w:rsid w:val="00086491"/>
    <w:rsid w:val="000904F9"/>
    <w:rsid w:val="000909ED"/>
    <w:rsid w:val="00091346"/>
    <w:rsid w:val="00091C80"/>
    <w:rsid w:val="0009581F"/>
    <w:rsid w:val="00095901"/>
    <w:rsid w:val="00097074"/>
    <w:rsid w:val="000A3B54"/>
    <w:rsid w:val="000A59AE"/>
    <w:rsid w:val="000B44F9"/>
    <w:rsid w:val="000B738A"/>
    <w:rsid w:val="000C03F4"/>
    <w:rsid w:val="000C17EA"/>
    <w:rsid w:val="000C2108"/>
    <w:rsid w:val="000C2592"/>
    <w:rsid w:val="000C42BA"/>
    <w:rsid w:val="000C4FD1"/>
    <w:rsid w:val="000D1759"/>
    <w:rsid w:val="000D38EB"/>
    <w:rsid w:val="000D4875"/>
    <w:rsid w:val="000D6891"/>
    <w:rsid w:val="000D6E8D"/>
    <w:rsid w:val="000D6EAB"/>
    <w:rsid w:val="000E1F4F"/>
    <w:rsid w:val="000E71F8"/>
    <w:rsid w:val="000F29EC"/>
    <w:rsid w:val="000F38EA"/>
    <w:rsid w:val="000F542E"/>
    <w:rsid w:val="000F641B"/>
    <w:rsid w:val="000F73FF"/>
    <w:rsid w:val="000F7F1C"/>
    <w:rsid w:val="00102175"/>
    <w:rsid w:val="00102343"/>
    <w:rsid w:val="001029B3"/>
    <w:rsid w:val="00105DCD"/>
    <w:rsid w:val="001066B3"/>
    <w:rsid w:val="001114AC"/>
    <w:rsid w:val="00113D3F"/>
    <w:rsid w:val="00114584"/>
    <w:rsid w:val="00114CF7"/>
    <w:rsid w:val="00115411"/>
    <w:rsid w:val="00115B33"/>
    <w:rsid w:val="00116B95"/>
    <w:rsid w:val="00117233"/>
    <w:rsid w:val="00123B68"/>
    <w:rsid w:val="00124AF4"/>
    <w:rsid w:val="00124CAA"/>
    <w:rsid w:val="00125E69"/>
    <w:rsid w:val="00126F2E"/>
    <w:rsid w:val="00127FC6"/>
    <w:rsid w:val="001424DC"/>
    <w:rsid w:val="00143A87"/>
    <w:rsid w:val="00144E69"/>
    <w:rsid w:val="00146F6F"/>
    <w:rsid w:val="0014714E"/>
    <w:rsid w:val="00147DA1"/>
    <w:rsid w:val="00152957"/>
    <w:rsid w:val="00166196"/>
    <w:rsid w:val="001664A7"/>
    <w:rsid w:val="00167327"/>
    <w:rsid w:val="00167A9D"/>
    <w:rsid w:val="00170C5A"/>
    <w:rsid w:val="00171758"/>
    <w:rsid w:val="00174C26"/>
    <w:rsid w:val="0017500F"/>
    <w:rsid w:val="00176991"/>
    <w:rsid w:val="00180444"/>
    <w:rsid w:val="001832B9"/>
    <w:rsid w:val="00184128"/>
    <w:rsid w:val="00185737"/>
    <w:rsid w:val="00187BD9"/>
    <w:rsid w:val="0019060A"/>
    <w:rsid w:val="00190B55"/>
    <w:rsid w:val="00191F5C"/>
    <w:rsid w:val="00192FA9"/>
    <w:rsid w:val="00194CFB"/>
    <w:rsid w:val="001A1FFD"/>
    <w:rsid w:val="001A3858"/>
    <w:rsid w:val="001A4BD2"/>
    <w:rsid w:val="001A5373"/>
    <w:rsid w:val="001B0D7E"/>
    <w:rsid w:val="001B21BC"/>
    <w:rsid w:val="001B2ED3"/>
    <w:rsid w:val="001B643A"/>
    <w:rsid w:val="001B6675"/>
    <w:rsid w:val="001B7EA3"/>
    <w:rsid w:val="001C3B5F"/>
    <w:rsid w:val="001C61EA"/>
    <w:rsid w:val="001D058F"/>
    <w:rsid w:val="001D2025"/>
    <w:rsid w:val="001D216E"/>
    <w:rsid w:val="001D520B"/>
    <w:rsid w:val="001D5CA3"/>
    <w:rsid w:val="001E0384"/>
    <w:rsid w:val="001E24AF"/>
    <w:rsid w:val="001E252D"/>
    <w:rsid w:val="001E43DC"/>
    <w:rsid w:val="001F2F69"/>
    <w:rsid w:val="002009EA"/>
    <w:rsid w:val="00202CA0"/>
    <w:rsid w:val="00207A5D"/>
    <w:rsid w:val="002154A6"/>
    <w:rsid w:val="002162CD"/>
    <w:rsid w:val="00216478"/>
    <w:rsid w:val="00220634"/>
    <w:rsid w:val="00221C1D"/>
    <w:rsid w:val="002226B9"/>
    <w:rsid w:val="00224B7C"/>
    <w:rsid w:val="00224CDD"/>
    <w:rsid w:val="002255B3"/>
    <w:rsid w:val="0023164A"/>
    <w:rsid w:val="002319F6"/>
    <w:rsid w:val="0023409C"/>
    <w:rsid w:val="002346C7"/>
    <w:rsid w:val="002351D4"/>
    <w:rsid w:val="00236E8A"/>
    <w:rsid w:val="00240BC8"/>
    <w:rsid w:val="002420D0"/>
    <w:rsid w:val="00242487"/>
    <w:rsid w:val="00243411"/>
    <w:rsid w:val="00246B32"/>
    <w:rsid w:val="00251A53"/>
    <w:rsid w:val="0025489C"/>
    <w:rsid w:val="0026406F"/>
    <w:rsid w:val="002653F2"/>
    <w:rsid w:val="00266589"/>
    <w:rsid w:val="00267792"/>
    <w:rsid w:val="002712A9"/>
    <w:rsid w:val="00271316"/>
    <w:rsid w:val="00272417"/>
    <w:rsid w:val="00274CC3"/>
    <w:rsid w:val="00276414"/>
    <w:rsid w:val="00283F74"/>
    <w:rsid w:val="00286C1D"/>
    <w:rsid w:val="00286C4C"/>
    <w:rsid w:val="00294BF6"/>
    <w:rsid w:val="00294D5A"/>
    <w:rsid w:val="002955DA"/>
    <w:rsid w:val="00295A71"/>
    <w:rsid w:val="00296313"/>
    <w:rsid w:val="00296DA0"/>
    <w:rsid w:val="00297006"/>
    <w:rsid w:val="002978E6"/>
    <w:rsid w:val="002A0A7A"/>
    <w:rsid w:val="002A0C56"/>
    <w:rsid w:val="002A0D8C"/>
    <w:rsid w:val="002A27F8"/>
    <w:rsid w:val="002A51DF"/>
    <w:rsid w:val="002A684E"/>
    <w:rsid w:val="002A6C06"/>
    <w:rsid w:val="002B074A"/>
    <w:rsid w:val="002B10D5"/>
    <w:rsid w:val="002B3296"/>
    <w:rsid w:val="002B3C84"/>
    <w:rsid w:val="002B5490"/>
    <w:rsid w:val="002C12ED"/>
    <w:rsid w:val="002C49BA"/>
    <w:rsid w:val="002C4B75"/>
    <w:rsid w:val="002C73F6"/>
    <w:rsid w:val="002C7D5E"/>
    <w:rsid w:val="002D58BE"/>
    <w:rsid w:val="002E4D1D"/>
    <w:rsid w:val="002E51E0"/>
    <w:rsid w:val="002E5411"/>
    <w:rsid w:val="002E7A84"/>
    <w:rsid w:val="002F1BD0"/>
    <w:rsid w:val="002F2664"/>
    <w:rsid w:val="003013EE"/>
    <w:rsid w:val="00303F7C"/>
    <w:rsid w:val="00304031"/>
    <w:rsid w:val="00311808"/>
    <w:rsid w:val="00311851"/>
    <w:rsid w:val="00311CD5"/>
    <w:rsid w:val="00316725"/>
    <w:rsid w:val="00316A69"/>
    <w:rsid w:val="003231C6"/>
    <w:rsid w:val="00323E49"/>
    <w:rsid w:val="003247A5"/>
    <w:rsid w:val="00325939"/>
    <w:rsid w:val="003273BC"/>
    <w:rsid w:val="00331F05"/>
    <w:rsid w:val="0033396F"/>
    <w:rsid w:val="00335759"/>
    <w:rsid w:val="00337750"/>
    <w:rsid w:val="003410C0"/>
    <w:rsid w:val="0034384D"/>
    <w:rsid w:val="00345D42"/>
    <w:rsid w:val="00346224"/>
    <w:rsid w:val="0034636C"/>
    <w:rsid w:val="0035089A"/>
    <w:rsid w:val="003511BC"/>
    <w:rsid w:val="00356083"/>
    <w:rsid w:val="00361609"/>
    <w:rsid w:val="00361C59"/>
    <w:rsid w:val="00364098"/>
    <w:rsid w:val="00366978"/>
    <w:rsid w:val="0037003F"/>
    <w:rsid w:val="0037217C"/>
    <w:rsid w:val="00372BCF"/>
    <w:rsid w:val="00373365"/>
    <w:rsid w:val="00377BD3"/>
    <w:rsid w:val="003807EA"/>
    <w:rsid w:val="003829D8"/>
    <w:rsid w:val="0038304D"/>
    <w:rsid w:val="00384088"/>
    <w:rsid w:val="0038489B"/>
    <w:rsid w:val="00385BE9"/>
    <w:rsid w:val="0039169B"/>
    <w:rsid w:val="00392277"/>
    <w:rsid w:val="00394B90"/>
    <w:rsid w:val="003968CC"/>
    <w:rsid w:val="003A03FF"/>
    <w:rsid w:val="003A04F5"/>
    <w:rsid w:val="003A22FC"/>
    <w:rsid w:val="003A5137"/>
    <w:rsid w:val="003A6BAC"/>
    <w:rsid w:val="003A6BED"/>
    <w:rsid w:val="003A7F8C"/>
    <w:rsid w:val="003B08DA"/>
    <w:rsid w:val="003B11F9"/>
    <w:rsid w:val="003B2B56"/>
    <w:rsid w:val="003B532E"/>
    <w:rsid w:val="003B6306"/>
    <w:rsid w:val="003B6602"/>
    <w:rsid w:val="003B6F14"/>
    <w:rsid w:val="003B6F60"/>
    <w:rsid w:val="003C1870"/>
    <w:rsid w:val="003C5DD6"/>
    <w:rsid w:val="003C6136"/>
    <w:rsid w:val="003D0F8B"/>
    <w:rsid w:val="003D39F2"/>
    <w:rsid w:val="003D5A63"/>
    <w:rsid w:val="003D6425"/>
    <w:rsid w:val="003D66A7"/>
    <w:rsid w:val="003D7EE8"/>
    <w:rsid w:val="003E3B14"/>
    <w:rsid w:val="003F0A6C"/>
    <w:rsid w:val="003F0F49"/>
    <w:rsid w:val="003F1363"/>
    <w:rsid w:val="00403C69"/>
    <w:rsid w:val="00405EC2"/>
    <w:rsid w:val="00406278"/>
    <w:rsid w:val="00406297"/>
    <w:rsid w:val="00412C81"/>
    <w:rsid w:val="004131D4"/>
    <w:rsid w:val="0041348E"/>
    <w:rsid w:val="00414895"/>
    <w:rsid w:val="004208C6"/>
    <w:rsid w:val="00420B7C"/>
    <w:rsid w:val="00421605"/>
    <w:rsid w:val="004269E6"/>
    <w:rsid w:val="00433357"/>
    <w:rsid w:val="00435762"/>
    <w:rsid w:val="00435E45"/>
    <w:rsid w:val="004364D9"/>
    <w:rsid w:val="00437819"/>
    <w:rsid w:val="00437A8D"/>
    <w:rsid w:val="00440C4F"/>
    <w:rsid w:val="00441E8B"/>
    <w:rsid w:val="004445FD"/>
    <w:rsid w:val="00446FBA"/>
    <w:rsid w:val="00447308"/>
    <w:rsid w:val="00447990"/>
    <w:rsid w:val="004500BC"/>
    <w:rsid w:val="00451B1B"/>
    <w:rsid w:val="00455245"/>
    <w:rsid w:val="004552B4"/>
    <w:rsid w:val="00460CF8"/>
    <w:rsid w:val="00462253"/>
    <w:rsid w:val="00462CB2"/>
    <w:rsid w:val="004631CC"/>
    <w:rsid w:val="00467DB2"/>
    <w:rsid w:val="00472FC1"/>
    <w:rsid w:val="004755BA"/>
    <w:rsid w:val="004765FF"/>
    <w:rsid w:val="00481E58"/>
    <w:rsid w:val="0048520E"/>
    <w:rsid w:val="00486163"/>
    <w:rsid w:val="00486317"/>
    <w:rsid w:val="004908EA"/>
    <w:rsid w:val="00492075"/>
    <w:rsid w:val="0049304E"/>
    <w:rsid w:val="00495290"/>
    <w:rsid w:val="004969AD"/>
    <w:rsid w:val="00496E2A"/>
    <w:rsid w:val="004A0244"/>
    <w:rsid w:val="004A3CDF"/>
    <w:rsid w:val="004A3FF4"/>
    <w:rsid w:val="004A7674"/>
    <w:rsid w:val="004A783D"/>
    <w:rsid w:val="004B13CB"/>
    <w:rsid w:val="004B2466"/>
    <w:rsid w:val="004B3C6F"/>
    <w:rsid w:val="004B4FDF"/>
    <w:rsid w:val="004B4FF2"/>
    <w:rsid w:val="004B716F"/>
    <w:rsid w:val="004B7C16"/>
    <w:rsid w:val="004B7E77"/>
    <w:rsid w:val="004C012F"/>
    <w:rsid w:val="004C3355"/>
    <w:rsid w:val="004D04E2"/>
    <w:rsid w:val="004D3C01"/>
    <w:rsid w:val="004D4243"/>
    <w:rsid w:val="004D5D5C"/>
    <w:rsid w:val="004D752D"/>
    <w:rsid w:val="004D7763"/>
    <w:rsid w:val="004E27DE"/>
    <w:rsid w:val="004E2F10"/>
    <w:rsid w:val="004E3276"/>
    <w:rsid w:val="004E4F74"/>
    <w:rsid w:val="004E5959"/>
    <w:rsid w:val="004E704A"/>
    <w:rsid w:val="004F051F"/>
    <w:rsid w:val="004F3D95"/>
    <w:rsid w:val="004F660E"/>
    <w:rsid w:val="004F7270"/>
    <w:rsid w:val="005004A4"/>
    <w:rsid w:val="0050139F"/>
    <w:rsid w:val="0050712D"/>
    <w:rsid w:val="00510692"/>
    <w:rsid w:val="00510F4D"/>
    <w:rsid w:val="00516722"/>
    <w:rsid w:val="00517624"/>
    <w:rsid w:val="00520565"/>
    <w:rsid w:val="00521223"/>
    <w:rsid w:val="00523934"/>
    <w:rsid w:val="00523D3E"/>
    <w:rsid w:val="00524DF1"/>
    <w:rsid w:val="005252E6"/>
    <w:rsid w:val="0052716E"/>
    <w:rsid w:val="00531317"/>
    <w:rsid w:val="00532A8A"/>
    <w:rsid w:val="00533CBA"/>
    <w:rsid w:val="00536513"/>
    <w:rsid w:val="00536DB4"/>
    <w:rsid w:val="00541D24"/>
    <w:rsid w:val="00543159"/>
    <w:rsid w:val="0054377E"/>
    <w:rsid w:val="00543F0D"/>
    <w:rsid w:val="0054450F"/>
    <w:rsid w:val="0055140B"/>
    <w:rsid w:val="00551B05"/>
    <w:rsid w:val="00552F9E"/>
    <w:rsid w:val="00554C4F"/>
    <w:rsid w:val="00560ACF"/>
    <w:rsid w:val="00561D72"/>
    <w:rsid w:val="00564F36"/>
    <w:rsid w:val="00566EEB"/>
    <w:rsid w:val="00570C55"/>
    <w:rsid w:val="00570FA3"/>
    <w:rsid w:val="00571767"/>
    <w:rsid w:val="00574F66"/>
    <w:rsid w:val="00576FB4"/>
    <w:rsid w:val="00581664"/>
    <w:rsid w:val="00585238"/>
    <w:rsid w:val="005855FC"/>
    <w:rsid w:val="00586EB9"/>
    <w:rsid w:val="00590B21"/>
    <w:rsid w:val="00592321"/>
    <w:rsid w:val="005933B2"/>
    <w:rsid w:val="00593B87"/>
    <w:rsid w:val="005950C2"/>
    <w:rsid w:val="005964AB"/>
    <w:rsid w:val="00597C6A"/>
    <w:rsid w:val="005A2BEB"/>
    <w:rsid w:val="005A3485"/>
    <w:rsid w:val="005A5E0C"/>
    <w:rsid w:val="005A6739"/>
    <w:rsid w:val="005B0278"/>
    <w:rsid w:val="005B25C3"/>
    <w:rsid w:val="005B2DD6"/>
    <w:rsid w:val="005B41B7"/>
    <w:rsid w:val="005B44F5"/>
    <w:rsid w:val="005B6D88"/>
    <w:rsid w:val="005C099A"/>
    <w:rsid w:val="005C116F"/>
    <w:rsid w:val="005C13B5"/>
    <w:rsid w:val="005C26D1"/>
    <w:rsid w:val="005C293D"/>
    <w:rsid w:val="005C3173"/>
    <w:rsid w:val="005C31A5"/>
    <w:rsid w:val="005C3248"/>
    <w:rsid w:val="005C3F17"/>
    <w:rsid w:val="005C4740"/>
    <w:rsid w:val="005D0BEA"/>
    <w:rsid w:val="005D4916"/>
    <w:rsid w:val="005E032D"/>
    <w:rsid w:val="005E0641"/>
    <w:rsid w:val="005E0D2B"/>
    <w:rsid w:val="005E10C9"/>
    <w:rsid w:val="005E61DD"/>
    <w:rsid w:val="005E6321"/>
    <w:rsid w:val="005F5413"/>
    <w:rsid w:val="005F666F"/>
    <w:rsid w:val="005F7D38"/>
    <w:rsid w:val="00600B9C"/>
    <w:rsid w:val="006023DF"/>
    <w:rsid w:val="0060693B"/>
    <w:rsid w:val="006117C6"/>
    <w:rsid w:val="00611CD2"/>
    <w:rsid w:val="00614339"/>
    <w:rsid w:val="00615AB9"/>
    <w:rsid w:val="00617602"/>
    <w:rsid w:val="00620ECD"/>
    <w:rsid w:val="00621FDD"/>
    <w:rsid w:val="00622B63"/>
    <w:rsid w:val="00624A81"/>
    <w:rsid w:val="0062697F"/>
    <w:rsid w:val="00627881"/>
    <w:rsid w:val="00631323"/>
    <w:rsid w:val="00636181"/>
    <w:rsid w:val="00637E99"/>
    <w:rsid w:val="006422AD"/>
    <w:rsid w:val="006430DA"/>
    <w:rsid w:val="0064322F"/>
    <w:rsid w:val="006449A5"/>
    <w:rsid w:val="00644F99"/>
    <w:rsid w:val="006463EE"/>
    <w:rsid w:val="00657DE0"/>
    <w:rsid w:val="006608C4"/>
    <w:rsid w:val="006612C2"/>
    <w:rsid w:val="00661FB8"/>
    <w:rsid w:val="00665B75"/>
    <w:rsid w:val="00667F38"/>
    <w:rsid w:val="0067199F"/>
    <w:rsid w:val="006747D8"/>
    <w:rsid w:val="00674AEF"/>
    <w:rsid w:val="00675DB5"/>
    <w:rsid w:val="00676ED7"/>
    <w:rsid w:val="00677048"/>
    <w:rsid w:val="006774C6"/>
    <w:rsid w:val="00680225"/>
    <w:rsid w:val="00685313"/>
    <w:rsid w:val="006858CA"/>
    <w:rsid w:val="00690B44"/>
    <w:rsid w:val="006912F3"/>
    <w:rsid w:val="00696E7A"/>
    <w:rsid w:val="006A0D14"/>
    <w:rsid w:val="006A47E5"/>
    <w:rsid w:val="006A6E9B"/>
    <w:rsid w:val="006A747C"/>
    <w:rsid w:val="006B1038"/>
    <w:rsid w:val="006B502E"/>
    <w:rsid w:val="006B5AA9"/>
    <w:rsid w:val="006B73C2"/>
    <w:rsid w:val="006B7C2A"/>
    <w:rsid w:val="006B7CC5"/>
    <w:rsid w:val="006C03CD"/>
    <w:rsid w:val="006C23DA"/>
    <w:rsid w:val="006C7898"/>
    <w:rsid w:val="006C7CA9"/>
    <w:rsid w:val="006D02EE"/>
    <w:rsid w:val="006D2DD5"/>
    <w:rsid w:val="006D4843"/>
    <w:rsid w:val="006D6130"/>
    <w:rsid w:val="006D6DDA"/>
    <w:rsid w:val="006E099C"/>
    <w:rsid w:val="006E3D45"/>
    <w:rsid w:val="006E64F1"/>
    <w:rsid w:val="006E7629"/>
    <w:rsid w:val="006F0C99"/>
    <w:rsid w:val="006F1889"/>
    <w:rsid w:val="006F7874"/>
    <w:rsid w:val="006F7BD3"/>
    <w:rsid w:val="007034D9"/>
    <w:rsid w:val="00705054"/>
    <w:rsid w:val="00705166"/>
    <w:rsid w:val="00705932"/>
    <w:rsid w:val="007149F9"/>
    <w:rsid w:val="0071531C"/>
    <w:rsid w:val="0071541F"/>
    <w:rsid w:val="007167D5"/>
    <w:rsid w:val="00720DD1"/>
    <w:rsid w:val="007265FE"/>
    <w:rsid w:val="00730009"/>
    <w:rsid w:val="00733A30"/>
    <w:rsid w:val="007372E2"/>
    <w:rsid w:val="007379E5"/>
    <w:rsid w:val="00743072"/>
    <w:rsid w:val="00745AEE"/>
    <w:rsid w:val="00747028"/>
    <w:rsid w:val="007479EA"/>
    <w:rsid w:val="00747A98"/>
    <w:rsid w:val="00750F10"/>
    <w:rsid w:val="0075242F"/>
    <w:rsid w:val="00756ADC"/>
    <w:rsid w:val="007606A7"/>
    <w:rsid w:val="00761CEF"/>
    <w:rsid w:val="007654FE"/>
    <w:rsid w:val="00765BA5"/>
    <w:rsid w:val="007664D4"/>
    <w:rsid w:val="00770D7E"/>
    <w:rsid w:val="007742CA"/>
    <w:rsid w:val="0077509B"/>
    <w:rsid w:val="00776DB1"/>
    <w:rsid w:val="0077768B"/>
    <w:rsid w:val="0077794B"/>
    <w:rsid w:val="00782A76"/>
    <w:rsid w:val="00792DB8"/>
    <w:rsid w:val="00793BB0"/>
    <w:rsid w:val="00794ABD"/>
    <w:rsid w:val="00795C00"/>
    <w:rsid w:val="0079605E"/>
    <w:rsid w:val="007A49CF"/>
    <w:rsid w:val="007A7FAF"/>
    <w:rsid w:val="007B12EB"/>
    <w:rsid w:val="007B1FF1"/>
    <w:rsid w:val="007B2EB6"/>
    <w:rsid w:val="007B3BF6"/>
    <w:rsid w:val="007B4578"/>
    <w:rsid w:val="007C0A4D"/>
    <w:rsid w:val="007C2360"/>
    <w:rsid w:val="007C5A7B"/>
    <w:rsid w:val="007D06F0"/>
    <w:rsid w:val="007D35D0"/>
    <w:rsid w:val="007D3C25"/>
    <w:rsid w:val="007D45E3"/>
    <w:rsid w:val="007D5320"/>
    <w:rsid w:val="007D714B"/>
    <w:rsid w:val="007E065B"/>
    <w:rsid w:val="007E0A1D"/>
    <w:rsid w:val="007E1D58"/>
    <w:rsid w:val="007E28A9"/>
    <w:rsid w:val="007E4F6C"/>
    <w:rsid w:val="007E713F"/>
    <w:rsid w:val="007E7819"/>
    <w:rsid w:val="007E799D"/>
    <w:rsid w:val="007F1430"/>
    <w:rsid w:val="007F236E"/>
    <w:rsid w:val="007F2668"/>
    <w:rsid w:val="007F26E3"/>
    <w:rsid w:val="007F535C"/>
    <w:rsid w:val="007F54EB"/>
    <w:rsid w:val="007F735C"/>
    <w:rsid w:val="00800972"/>
    <w:rsid w:val="00804475"/>
    <w:rsid w:val="0081159E"/>
    <w:rsid w:val="00811633"/>
    <w:rsid w:val="00814C00"/>
    <w:rsid w:val="00821CEF"/>
    <w:rsid w:val="00823BDC"/>
    <w:rsid w:val="00832828"/>
    <w:rsid w:val="008334AF"/>
    <w:rsid w:val="0083645A"/>
    <w:rsid w:val="0083797D"/>
    <w:rsid w:val="00837AB9"/>
    <w:rsid w:val="0084040D"/>
    <w:rsid w:val="00840B0F"/>
    <w:rsid w:val="00840FD0"/>
    <w:rsid w:val="008433F8"/>
    <w:rsid w:val="0084590A"/>
    <w:rsid w:val="00845C0D"/>
    <w:rsid w:val="008476F2"/>
    <w:rsid w:val="008529D3"/>
    <w:rsid w:val="00854840"/>
    <w:rsid w:val="0085555B"/>
    <w:rsid w:val="00855FDC"/>
    <w:rsid w:val="00860F8A"/>
    <w:rsid w:val="0086299C"/>
    <w:rsid w:val="00863578"/>
    <w:rsid w:val="00863FC4"/>
    <w:rsid w:val="008678E1"/>
    <w:rsid w:val="00867B8E"/>
    <w:rsid w:val="008711AE"/>
    <w:rsid w:val="00872FC8"/>
    <w:rsid w:val="00874817"/>
    <w:rsid w:val="00876ED8"/>
    <w:rsid w:val="00877397"/>
    <w:rsid w:val="00877D80"/>
    <w:rsid w:val="008801D3"/>
    <w:rsid w:val="00880325"/>
    <w:rsid w:val="008806F3"/>
    <w:rsid w:val="00881B16"/>
    <w:rsid w:val="00881DBB"/>
    <w:rsid w:val="00882996"/>
    <w:rsid w:val="00883866"/>
    <w:rsid w:val="008845D0"/>
    <w:rsid w:val="0089151A"/>
    <w:rsid w:val="00893B2C"/>
    <w:rsid w:val="00894F96"/>
    <w:rsid w:val="0089709B"/>
    <w:rsid w:val="008A0BFE"/>
    <w:rsid w:val="008A2753"/>
    <w:rsid w:val="008A3933"/>
    <w:rsid w:val="008A7165"/>
    <w:rsid w:val="008B20A4"/>
    <w:rsid w:val="008B3713"/>
    <w:rsid w:val="008B43F2"/>
    <w:rsid w:val="008B54AB"/>
    <w:rsid w:val="008B54D9"/>
    <w:rsid w:val="008B61EA"/>
    <w:rsid w:val="008B63AA"/>
    <w:rsid w:val="008B6CFF"/>
    <w:rsid w:val="008C28A0"/>
    <w:rsid w:val="008C3D02"/>
    <w:rsid w:val="008C4ADD"/>
    <w:rsid w:val="008D06CB"/>
    <w:rsid w:val="008D279B"/>
    <w:rsid w:val="008D2B46"/>
    <w:rsid w:val="008D678E"/>
    <w:rsid w:val="008E0DBE"/>
    <w:rsid w:val="008E1A73"/>
    <w:rsid w:val="008E33DA"/>
    <w:rsid w:val="008E6B36"/>
    <w:rsid w:val="008E795B"/>
    <w:rsid w:val="008E7DF8"/>
    <w:rsid w:val="008F04EE"/>
    <w:rsid w:val="008F238A"/>
    <w:rsid w:val="008F3284"/>
    <w:rsid w:val="008F36FB"/>
    <w:rsid w:val="009006A0"/>
    <w:rsid w:val="00900E22"/>
    <w:rsid w:val="009023DF"/>
    <w:rsid w:val="0090293E"/>
    <w:rsid w:val="00907F09"/>
    <w:rsid w:val="0091016B"/>
    <w:rsid w:val="00910408"/>
    <w:rsid w:val="00910B26"/>
    <w:rsid w:val="00912004"/>
    <w:rsid w:val="00915038"/>
    <w:rsid w:val="009164B4"/>
    <w:rsid w:val="009238B9"/>
    <w:rsid w:val="009274B4"/>
    <w:rsid w:val="00934743"/>
    <w:rsid w:val="00934EA2"/>
    <w:rsid w:val="00936F7C"/>
    <w:rsid w:val="009373C9"/>
    <w:rsid w:val="00941B98"/>
    <w:rsid w:val="00942FC1"/>
    <w:rsid w:val="00943545"/>
    <w:rsid w:val="00944A5C"/>
    <w:rsid w:val="00944A99"/>
    <w:rsid w:val="00951816"/>
    <w:rsid w:val="00952A66"/>
    <w:rsid w:val="00953C32"/>
    <w:rsid w:val="00964C68"/>
    <w:rsid w:val="00980AD1"/>
    <w:rsid w:val="00980AD6"/>
    <w:rsid w:val="009828A4"/>
    <w:rsid w:val="00982D14"/>
    <w:rsid w:val="00985001"/>
    <w:rsid w:val="00986EBB"/>
    <w:rsid w:val="009907F3"/>
    <w:rsid w:val="00990A55"/>
    <w:rsid w:val="00992F9A"/>
    <w:rsid w:val="009944BE"/>
    <w:rsid w:val="00996913"/>
    <w:rsid w:val="00996ACA"/>
    <w:rsid w:val="00997678"/>
    <w:rsid w:val="00997AF1"/>
    <w:rsid w:val="009A04EC"/>
    <w:rsid w:val="009A234F"/>
    <w:rsid w:val="009A291A"/>
    <w:rsid w:val="009B28F2"/>
    <w:rsid w:val="009B5126"/>
    <w:rsid w:val="009B71C3"/>
    <w:rsid w:val="009B75FF"/>
    <w:rsid w:val="009C39A2"/>
    <w:rsid w:val="009C4D44"/>
    <w:rsid w:val="009C56E5"/>
    <w:rsid w:val="009C6F7B"/>
    <w:rsid w:val="009D3343"/>
    <w:rsid w:val="009D3429"/>
    <w:rsid w:val="009E3F7C"/>
    <w:rsid w:val="009E5FC8"/>
    <w:rsid w:val="009E687A"/>
    <w:rsid w:val="009E72E7"/>
    <w:rsid w:val="009F1203"/>
    <w:rsid w:val="009F1542"/>
    <w:rsid w:val="00A00AC6"/>
    <w:rsid w:val="00A03C5C"/>
    <w:rsid w:val="00A04FB0"/>
    <w:rsid w:val="00A066F1"/>
    <w:rsid w:val="00A0707B"/>
    <w:rsid w:val="00A1280A"/>
    <w:rsid w:val="00A141AF"/>
    <w:rsid w:val="00A15958"/>
    <w:rsid w:val="00A16D29"/>
    <w:rsid w:val="00A20232"/>
    <w:rsid w:val="00A20E5E"/>
    <w:rsid w:val="00A2101B"/>
    <w:rsid w:val="00A21E18"/>
    <w:rsid w:val="00A235FD"/>
    <w:rsid w:val="00A259A2"/>
    <w:rsid w:val="00A2618D"/>
    <w:rsid w:val="00A27146"/>
    <w:rsid w:val="00A30305"/>
    <w:rsid w:val="00A31315"/>
    <w:rsid w:val="00A31D2D"/>
    <w:rsid w:val="00A32267"/>
    <w:rsid w:val="00A32291"/>
    <w:rsid w:val="00A33D45"/>
    <w:rsid w:val="00A34772"/>
    <w:rsid w:val="00A35D6D"/>
    <w:rsid w:val="00A4049B"/>
    <w:rsid w:val="00A43642"/>
    <w:rsid w:val="00A44D51"/>
    <w:rsid w:val="00A4600A"/>
    <w:rsid w:val="00A51083"/>
    <w:rsid w:val="00A524E6"/>
    <w:rsid w:val="00A53605"/>
    <w:rsid w:val="00A538A6"/>
    <w:rsid w:val="00A54C25"/>
    <w:rsid w:val="00A56C71"/>
    <w:rsid w:val="00A612BB"/>
    <w:rsid w:val="00A62F73"/>
    <w:rsid w:val="00A67FB8"/>
    <w:rsid w:val="00A710E7"/>
    <w:rsid w:val="00A7140C"/>
    <w:rsid w:val="00A7372E"/>
    <w:rsid w:val="00A74739"/>
    <w:rsid w:val="00A75449"/>
    <w:rsid w:val="00A76372"/>
    <w:rsid w:val="00A76BD5"/>
    <w:rsid w:val="00A80D65"/>
    <w:rsid w:val="00A81F59"/>
    <w:rsid w:val="00A83E00"/>
    <w:rsid w:val="00A853F5"/>
    <w:rsid w:val="00A9323C"/>
    <w:rsid w:val="00A93364"/>
    <w:rsid w:val="00A93B85"/>
    <w:rsid w:val="00A96F7D"/>
    <w:rsid w:val="00AA05FD"/>
    <w:rsid w:val="00AA0B18"/>
    <w:rsid w:val="00AA4774"/>
    <w:rsid w:val="00AA666F"/>
    <w:rsid w:val="00AA7A11"/>
    <w:rsid w:val="00AB15BE"/>
    <w:rsid w:val="00AB4006"/>
    <w:rsid w:val="00AB4927"/>
    <w:rsid w:val="00AB4EF9"/>
    <w:rsid w:val="00AC007A"/>
    <w:rsid w:val="00AC034F"/>
    <w:rsid w:val="00AC1A8E"/>
    <w:rsid w:val="00AC4C17"/>
    <w:rsid w:val="00AC4DB5"/>
    <w:rsid w:val="00AD0AEB"/>
    <w:rsid w:val="00AD4C7B"/>
    <w:rsid w:val="00AE1244"/>
    <w:rsid w:val="00AE7CD5"/>
    <w:rsid w:val="00AF17A2"/>
    <w:rsid w:val="00AF2081"/>
    <w:rsid w:val="00AF2664"/>
    <w:rsid w:val="00AF45E8"/>
    <w:rsid w:val="00AF57EF"/>
    <w:rsid w:val="00B004E5"/>
    <w:rsid w:val="00B053F3"/>
    <w:rsid w:val="00B10A09"/>
    <w:rsid w:val="00B124F9"/>
    <w:rsid w:val="00B13FFC"/>
    <w:rsid w:val="00B154F7"/>
    <w:rsid w:val="00B15F9D"/>
    <w:rsid w:val="00B17325"/>
    <w:rsid w:val="00B17BDC"/>
    <w:rsid w:val="00B20035"/>
    <w:rsid w:val="00B20480"/>
    <w:rsid w:val="00B20F6D"/>
    <w:rsid w:val="00B21BEA"/>
    <w:rsid w:val="00B2212C"/>
    <w:rsid w:val="00B232A2"/>
    <w:rsid w:val="00B247C3"/>
    <w:rsid w:val="00B27180"/>
    <w:rsid w:val="00B27EA8"/>
    <w:rsid w:val="00B30ECC"/>
    <w:rsid w:val="00B35A1C"/>
    <w:rsid w:val="00B35BC5"/>
    <w:rsid w:val="00B36A3C"/>
    <w:rsid w:val="00B4012B"/>
    <w:rsid w:val="00B41159"/>
    <w:rsid w:val="00B41367"/>
    <w:rsid w:val="00B423AE"/>
    <w:rsid w:val="00B43D73"/>
    <w:rsid w:val="00B44083"/>
    <w:rsid w:val="00B441B1"/>
    <w:rsid w:val="00B45C98"/>
    <w:rsid w:val="00B50520"/>
    <w:rsid w:val="00B5544A"/>
    <w:rsid w:val="00B639E9"/>
    <w:rsid w:val="00B6598C"/>
    <w:rsid w:val="00B66F17"/>
    <w:rsid w:val="00B71863"/>
    <w:rsid w:val="00B7345F"/>
    <w:rsid w:val="00B817CD"/>
    <w:rsid w:val="00B81D00"/>
    <w:rsid w:val="00B825BC"/>
    <w:rsid w:val="00B830CC"/>
    <w:rsid w:val="00B850F8"/>
    <w:rsid w:val="00B86916"/>
    <w:rsid w:val="00B87DA1"/>
    <w:rsid w:val="00B9105F"/>
    <w:rsid w:val="00B911B2"/>
    <w:rsid w:val="00B917E9"/>
    <w:rsid w:val="00B92195"/>
    <w:rsid w:val="00B92520"/>
    <w:rsid w:val="00B951D0"/>
    <w:rsid w:val="00B95DA2"/>
    <w:rsid w:val="00B97990"/>
    <w:rsid w:val="00B97C6E"/>
    <w:rsid w:val="00BA231A"/>
    <w:rsid w:val="00BA2D00"/>
    <w:rsid w:val="00BA2FE8"/>
    <w:rsid w:val="00BA48E4"/>
    <w:rsid w:val="00BB1F53"/>
    <w:rsid w:val="00BB29C8"/>
    <w:rsid w:val="00BB3A95"/>
    <w:rsid w:val="00BB42AD"/>
    <w:rsid w:val="00BB4491"/>
    <w:rsid w:val="00BB66DD"/>
    <w:rsid w:val="00BB6DD0"/>
    <w:rsid w:val="00BC00FB"/>
    <w:rsid w:val="00BC0382"/>
    <w:rsid w:val="00BC1DBF"/>
    <w:rsid w:val="00BC31AC"/>
    <w:rsid w:val="00BC401E"/>
    <w:rsid w:val="00BC6488"/>
    <w:rsid w:val="00BD11D6"/>
    <w:rsid w:val="00BD239D"/>
    <w:rsid w:val="00BD31E7"/>
    <w:rsid w:val="00BD50BD"/>
    <w:rsid w:val="00BD618D"/>
    <w:rsid w:val="00BD62C6"/>
    <w:rsid w:val="00BE34A3"/>
    <w:rsid w:val="00BE7042"/>
    <w:rsid w:val="00BE7870"/>
    <w:rsid w:val="00BF06ED"/>
    <w:rsid w:val="00BF095D"/>
    <w:rsid w:val="00BF3618"/>
    <w:rsid w:val="00BF4F16"/>
    <w:rsid w:val="00BF65C9"/>
    <w:rsid w:val="00BF70B2"/>
    <w:rsid w:val="00C0018F"/>
    <w:rsid w:val="00C0166D"/>
    <w:rsid w:val="00C02828"/>
    <w:rsid w:val="00C03779"/>
    <w:rsid w:val="00C05634"/>
    <w:rsid w:val="00C07B4E"/>
    <w:rsid w:val="00C10393"/>
    <w:rsid w:val="00C13755"/>
    <w:rsid w:val="00C14872"/>
    <w:rsid w:val="00C14874"/>
    <w:rsid w:val="00C166D0"/>
    <w:rsid w:val="00C16D39"/>
    <w:rsid w:val="00C20466"/>
    <w:rsid w:val="00C214ED"/>
    <w:rsid w:val="00C227EF"/>
    <w:rsid w:val="00C234E6"/>
    <w:rsid w:val="00C24E20"/>
    <w:rsid w:val="00C26073"/>
    <w:rsid w:val="00C324A8"/>
    <w:rsid w:val="00C349B4"/>
    <w:rsid w:val="00C35C13"/>
    <w:rsid w:val="00C36662"/>
    <w:rsid w:val="00C40DF2"/>
    <w:rsid w:val="00C54517"/>
    <w:rsid w:val="00C55DBA"/>
    <w:rsid w:val="00C56E3C"/>
    <w:rsid w:val="00C60AEF"/>
    <w:rsid w:val="00C6240E"/>
    <w:rsid w:val="00C6439C"/>
    <w:rsid w:val="00C64CD8"/>
    <w:rsid w:val="00C66A4C"/>
    <w:rsid w:val="00C67297"/>
    <w:rsid w:val="00C720B0"/>
    <w:rsid w:val="00C73347"/>
    <w:rsid w:val="00C75E0E"/>
    <w:rsid w:val="00C75FF8"/>
    <w:rsid w:val="00C76A6C"/>
    <w:rsid w:val="00C80652"/>
    <w:rsid w:val="00C80A64"/>
    <w:rsid w:val="00C87447"/>
    <w:rsid w:val="00C90579"/>
    <w:rsid w:val="00C976EE"/>
    <w:rsid w:val="00C97C68"/>
    <w:rsid w:val="00CA18A2"/>
    <w:rsid w:val="00CA1A47"/>
    <w:rsid w:val="00CA36C5"/>
    <w:rsid w:val="00CA48CF"/>
    <w:rsid w:val="00CB1404"/>
    <w:rsid w:val="00CB1D84"/>
    <w:rsid w:val="00CB3537"/>
    <w:rsid w:val="00CB40E5"/>
    <w:rsid w:val="00CB58DA"/>
    <w:rsid w:val="00CB60FF"/>
    <w:rsid w:val="00CB615D"/>
    <w:rsid w:val="00CB6664"/>
    <w:rsid w:val="00CB76A2"/>
    <w:rsid w:val="00CC247A"/>
    <w:rsid w:val="00CC41F6"/>
    <w:rsid w:val="00CD2733"/>
    <w:rsid w:val="00CD2A68"/>
    <w:rsid w:val="00CD2BC1"/>
    <w:rsid w:val="00CD3139"/>
    <w:rsid w:val="00CD4117"/>
    <w:rsid w:val="00CD5FEA"/>
    <w:rsid w:val="00CD7BC2"/>
    <w:rsid w:val="00CD7EC4"/>
    <w:rsid w:val="00CE4D62"/>
    <w:rsid w:val="00CE5ACA"/>
    <w:rsid w:val="00CE5E47"/>
    <w:rsid w:val="00CE5E8A"/>
    <w:rsid w:val="00CE66E4"/>
    <w:rsid w:val="00CE7A25"/>
    <w:rsid w:val="00CF020F"/>
    <w:rsid w:val="00CF269A"/>
    <w:rsid w:val="00CF2A29"/>
    <w:rsid w:val="00CF2B5B"/>
    <w:rsid w:val="00CF33C0"/>
    <w:rsid w:val="00CF4A84"/>
    <w:rsid w:val="00D00E2A"/>
    <w:rsid w:val="00D0723D"/>
    <w:rsid w:val="00D10D23"/>
    <w:rsid w:val="00D12A27"/>
    <w:rsid w:val="00D14CE0"/>
    <w:rsid w:val="00D217E0"/>
    <w:rsid w:val="00D233CB"/>
    <w:rsid w:val="00D27D0F"/>
    <w:rsid w:val="00D33DC1"/>
    <w:rsid w:val="00D36333"/>
    <w:rsid w:val="00D42CDE"/>
    <w:rsid w:val="00D42FEE"/>
    <w:rsid w:val="00D44DE2"/>
    <w:rsid w:val="00D45A9C"/>
    <w:rsid w:val="00D51309"/>
    <w:rsid w:val="00D53EAE"/>
    <w:rsid w:val="00D541E4"/>
    <w:rsid w:val="00D5651D"/>
    <w:rsid w:val="00D56836"/>
    <w:rsid w:val="00D61378"/>
    <w:rsid w:val="00D62D8E"/>
    <w:rsid w:val="00D634E2"/>
    <w:rsid w:val="00D65B63"/>
    <w:rsid w:val="00D67A2E"/>
    <w:rsid w:val="00D71278"/>
    <w:rsid w:val="00D724BE"/>
    <w:rsid w:val="00D73CFE"/>
    <w:rsid w:val="00D74898"/>
    <w:rsid w:val="00D75941"/>
    <w:rsid w:val="00D75EB3"/>
    <w:rsid w:val="00D801ED"/>
    <w:rsid w:val="00D83BF5"/>
    <w:rsid w:val="00D8609B"/>
    <w:rsid w:val="00D864B0"/>
    <w:rsid w:val="00D87035"/>
    <w:rsid w:val="00D87E9C"/>
    <w:rsid w:val="00D91F0E"/>
    <w:rsid w:val="00D925C2"/>
    <w:rsid w:val="00D936BC"/>
    <w:rsid w:val="00D95534"/>
    <w:rsid w:val="00D9621A"/>
    <w:rsid w:val="00D96530"/>
    <w:rsid w:val="00D96B4B"/>
    <w:rsid w:val="00DA2345"/>
    <w:rsid w:val="00DA273A"/>
    <w:rsid w:val="00DA3AC1"/>
    <w:rsid w:val="00DA3AC4"/>
    <w:rsid w:val="00DA453A"/>
    <w:rsid w:val="00DA561A"/>
    <w:rsid w:val="00DA5C6F"/>
    <w:rsid w:val="00DA6B46"/>
    <w:rsid w:val="00DA7078"/>
    <w:rsid w:val="00DB1086"/>
    <w:rsid w:val="00DB2FB8"/>
    <w:rsid w:val="00DB4598"/>
    <w:rsid w:val="00DB4E0A"/>
    <w:rsid w:val="00DB71F7"/>
    <w:rsid w:val="00DB750F"/>
    <w:rsid w:val="00DC02E2"/>
    <w:rsid w:val="00DC19DC"/>
    <w:rsid w:val="00DC2A65"/>
    <w:rsid w:val="00DC3758"/>
    <w:rsid w:val="00DC3FC1"/>
    <w:rsid w:val="00DC574F"/>
    <w:rsid w:val="00DC6EEA"/>
    <w:rsid w:val="00DD08B4"/>
    <w:rsid w:val="00DD44AF"/>
    <w:rsid w:val="00DE2AC3"/>
    <w:rsid w:val="00DE434C"/>
    <w:rsid w:val="00DE5692"/>
    <w:rsid w:val="00DE5E67"/>
    <w:rsid w:val="00DE5F80"/>
    <w:rsid w:val="00DE7766"/>
    <w:rsid w:val="00DE79F1"/>
    <w:rsid w:val="00DF02A0"/>
    <w:rsid w:val="00DF1E46"/>
    <w:rsid w:val="00DF21DF"/>
    <w:rsid w:val="00DF2347"/>
    <w:rsid w:val="00DF2D60"/>
    <w:rsid w:val="00DF6F8E"/>
    <w:rsid w:val="00DF7DC2"/>
    <w:rsid w:val="00E02014"/>
    <w:rsid w:val="00E03C94"/>
    <w:rsid w:val="00E03CF8"/>
    <w:rsid w:val="00E06AEA"/>
    <w:rsid w:val="00E07105"/>
    <w:rsid w:val="00E11115"/>
    <w:rsid w:val="00E12074"/>
    <w:rsid w:val="00E1307C"/>
    <w:rsid w:val="00E17BAD"/>
    <w:rsid w:val="00E21B22"/>
    <w:rsid w:val="00E236C9"/>
    <w:rsid w:val="00E239BD"/>
    <w:rsid w:val="00E241C9"/>
    <w:rsid w:val="00E26226"/>
    <w:rsid w:val="00E31B77"/>
    <w:rsid w:val="00E36E67"/>
    <w:rsid w:val="00E378D8"/>
    <w:rsid w:val="00E4021C"/>
    <w:rsid w:val="00E4059F"/>
    <w:rsid w:val="00E4165C"/>
    <w:rsid w:val="00E422AC"/>
    <w:rsid w:val="00E425D0"/>
    <w:rsid w:val="00E45D05"/>
    <w:rsid w:val="00E528F8"/>
    <w:rsid w:val="00E5442B"/>
    <w:rsid w:val="00E55816"/>
    <w:rsid w:val="00E55AEF"/>
    <w:rsid w:val="00E61442"/>
    <w:rsid w:val="00E64B4B"/>
    <w:rsid w:val="00E66A93"/>
    <w:rsid w:val="00E71B64"/>
    <w:rsid w:val="00E75187"/>
    <w:rsid w:val="00E81961"/>
    <w:rsid w:val="00E82877"/>
    <w:rsid w:val="00E83BBB"/>
    <w:rsid w:val="00E84088"/>
    <w:rsid w:val="00E90BE9"/>
    <w:rsid w:val="00E976C1"/>
    <w:rsid w:val="00EA025D"/>
    <w:rsid w:val="00EA07F0"/>
    <w:rsid w:val="00EA12E5"/>
    <w:rsid w:val="00EA2136"/>
    <w:rsid w:val="00EA36A2"/>
    <w:rsid w:val="00EA3D99"/>
    <w:rsid w:val="00EA66A4"/>
    <w:rsid w:val="00EB00F7"/>
    <w:rsid w:val="00EB0E5E"/>
    <w:rsid w:val="00EB2238"/>
    <w:rsid w:val="00EB4AE6"/>
    <w:rsid w:val="00EB4C45"/>
    <w:rsid w:val="00EC00DF"/>
    <w:rsid w:val="00EC0FC2"/>
    <w:rsid w:val="00EC3585"/>
    <w:rsid w:val="00EC6B65"/>
    <w:rsid w:val="00EC720B"/>
    <w:rsid w:val="00ED29AB"/>
    <w:rsid w:val="00ED335C"/>
    <w:rsid w:val="00ED44A8"/>
    <w:rsid w:val="00ED5AAF"/>
    <w:rsid w:val="00EE3198"/>
    <w:rsid w:val="00EE4646"/>
    <w:rsid w:val="00EE67EC"/>
    <w:rsid w:val="00EF33D5"/>
    <w:rsid w:val="00EF481F"/>
    <w:rsid w:val="00EF778B"/>
    <w:rsid w:val="00F000EA"/>
    <w:rsid w:val="00F02766"/>
    <w:rsid w:val="00F03EB7"/>
    <w:rsid w:val="00F04067"/>
    <w:rsid w:val="00F0520E"/>
    <w:rsid w:val="00F05BD4"/>
    <w:rsid w:val="00F07F46"/>
    <w:rsid w:val="00F10890"/>
    <w:rsid w:val="00F11A98"/>
    <w:rsid w:val="00F13242"/>
    <w:rsid w:val="00F1463E"/>
    <w:rsid w:val="00F15368"/>
    <w:rsid w:val="00F15E05"/>
    <w:rsid w:val="00F16F35"/>
    <w:rsid w:val="00F20CA2"/>
    <w:rsid w:val="00F21A1D"/>
    <w:rsid w:val="00F21D10"/>
    <w:rsid w:val="00F239E5"/>
    <w:rsid w:val="00F277F9"/>
    <w:rsid w:val="00F339E3"/>
    <w:rsid w:val="00F340C8"/>
    <w:rsid w:val="00F349CB"/>
    <w:rsid w:val="00F354F7"/>
    <w:rsid w:val="00F357E0"/>
    <w:rsid w:val="00F45892"/>
    <w:rsid w:val="00F53615"/>
    <w:rsid w:val="00F579D6"/>
    <w:rsid w:val="00F61818"/>
    <w:rsid w:val="00F623D9"/>
    <w:rsid w:val="00F64274"/>
    <w:rsid w:val="00F64DBC"/>
    <w:rsid w:val="00F659A6"/>
    <w:rsid w:val="00F65C19"/>
    <w:rsid w:val="00F6660F"/>
    <w:rsid w:val="00F66B3A"/>
    <w:rsid w:val="00F67276"/>
    <w:rsid w:val="00F723AC"/>
    <w:rsid w:val="00F7338B"/>
    <w:rsid w:val="00F7440E"/>
    <w:rsid w:val="00F760DC"/>
    <w:rsid w:val="00F76603"/>
    <w:rsid w:val="00F772D4"/>
    <w:rsid w:val="00F808C6"/>
    <w:rsid w:val="00F83F60"/>
    <w:rsid w:val="00F8476E"/>
    <w:rsid w:val="00F848EE"/>
    <w:rsid w:val="00F84DF8"/>
    <w:rsid w:val="00F91898"/>
    <w:rsid w:val="00F9323D"/>
    <w:rsid w:val="00F94FEF"/>
    <w:rsid w:val="00F971FB"/>
    <w:rsid w:val="00FA39FC"/>
    <w:rsid w:val="00FA4CD4"/>
    <w:rsid w:val="00FA579C"/>
    <w:rsid w:val="00FA6529"/>
    <w:rsid w:val="00FA668B"/>
    <w:rsid w:val="00FB20E0"/>
    <w:rsid w:val="00FB34B9"/>
    <w:rsid w:val="00FC0BEF"/>
    <w:rsid w:val="00FC24DA"/>
    <w:rsid w:val="00FC4678"/>
    <w:rsid w:val="00FC6545"/>
    <w:rsid w:val="00FC754F"/>
    <w:rsid w:val="00FD0183"/>
    <w:rsid w:val="00FD037B"/>
    <w:rsid w:val="00FD2546"/>
    <w:rsid w:val="00FD772E"/>
    <w:rsid w:val="00FE3346"/>
    <w:rsid w:val="00FE3926"/>
    <w:rsid w:val="00FE48BE"/>
    <w:rsid w:val="00FE4D2F"/>
    <w:rsid w:val="00FE7205"/>
    <w:rsid w:val="00FE78C7"/>
    <w:rsid w:val="00FF21ED"/>
    <w:rsid w:val="00FF2A26"/>
    <w:rsid w:val="00FF3D55"/>
    <w:rsid w:val="00FF43AC"/>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024FD"/>
  <w15:docId w15:val="{2B1DDD2B-189C-45BE-AE9C-2EE3A3BAF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Batang"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4AE6"/>
    <w:pPr>
      <w:tabs>
        <w:tab w:val="left" w:pos="1134"/>
        <w:tab w:val="left" w:pos="1871"/>
        <w:tab w:val="left" w:pos="2268"/>
      </w:tabs>
      <w:overflowPunct w:val="0"/>
      <w:autoSpaceDE w:val="0"/>
      <w:autoSpaceDN w:val="0"/>
      <w:adjustRightInd w:val="0"/>
      <w:spacing w:before="120"/>
      <w:textAlignment w:val="baseline"/>
    </w:pPr>
    <w:rPr>
      <w:rFonts w:ascii="Calibri" w:hAnsi="Calibri"/>
      <w:sz w:val="22"/>
      <w:lang w:val="ru-RU" w:eastAsia="en-US"/>
    </w:rPr>
  </w:style>
  <w:style w:type="paragraph" w:styleId="Heading1">
    <w:name w:val="heading 1"/>
    <w:basedOn w:val="Normal"/>
    <w:next w:val="Normal"/>
    <w:qFormat/>
    <w:rsid w:val="00EB4AE6"/>
    <w:pPr>
      <w:keepNext/>
      <w:keepLines/>
      <w:spacing w:before="280"/>
      <w:ind w:left="1134" w:hanging="1134"/>
      <w:outlineLvl w:val="0"/>
    </w:pPr>
    <w:rPr>
      <w:b/>
      <w:sz w:val="26"/>
    </w:rPr>
  </w:style>
  <w:style w:type="paragraph" w:styleId="Heading2">
    <w:name w:val="heading 2"/>
    <w:basedOn w:val="Heading1"/>
    <w:next w:val="Normal"/>
    <w:qFormat/>
    <w:rsid w:val="00EB4AE6"/>
    <w:pPr>
      <w:spacing w:before="200"/>
      <w:outlineLvl w:val="1"/>
    </w:pPr>
    <w:rPr>
      <w:sz w:val="22"/>
    </w:rPr>
  </w:style>
  <w:style w:type="paragraph" w:styleId="Heading3">
    <w:name w:val="heading 3"/>
    <w:basedOn w:val="Heading1"/>
    <w:next w:val="Normal"/>
    <w:qFormat/>
    <w:rsid w:val="00EB4AE6"/>
    <w:pPr>
      <w:tabs>
        <w:tab w:val="clear" w:pos="1134"/>
      </w:tabs>
      <w:spacing w:before="200"/>
      <w:outlineLvl w:val="2"/>
    </w:pPr>
    <w:rPr>
      <w:sz w:val="22"/>
    </w:rPr>
  </w:style>
  <w:style w:type="paragraph" w:styleId="Heading4">
    <w:name w:val="heading 4"/>
    <w:basedOn w:val="Heading3"/>
    <w:next w:val="Normal"/>
    <w:qFormat/>
    <w:rsid w:val="00CB3537"/>
    <w:pPr>
      <w:outlineLvl w:val="3"/>
    </w:pPr>
  </w:style>
  <w:style w:type="paragraph" w:styleId="Heading5">
    <w:name w:val="heading 5"/>
    <w:basedOn w:val="Heading4"/>
    <w:next w:val="Normal"/>
    <w:qFormat/>
    <w:rsid w:val="00CB3537"/>
    <w:pPr>
      <w:outlineLvl w:val="4"/>
    </w:pPr>
  </w:style>
  <w:style w:type="paragraph" w:styleId="Heading6">
    <w:name w:val="heading 6"/>
    <w:basedOn w:val="Heading4"/>
    <w:next w:val="Normal"/>
    <w:qFormat/>
    <w:rsid w:val="00CB3537"/>
    <w:pPr>
      <w:outlineLvl w:val="5"/>
    </w:pPr>
  </w:style>
  <w:style w:type="paragraph" w:styleId="Heading7">
    <w:name w:val="heading 7"/>
    <w:basedOn w:val="Heading6"/>
    <w:next w:val="Normal"/>
    <w:qFormat/>
    <w:rsid w:val="00CB3537"/>
    <w:pPr>
      <w:outlineLvl w:val="6"/>
    </w:pPr>
  </w:style>
  <w:style w:type="paragraph" w:styleId="Heading8">
    <w:name w:val="heading 8"/>
    <w:basedOn w:val="Heading6"/>
    <w:next w:val="Normal"/>
    <w:qFormat/>
    <w:rsid w:val="00CB3537"/>
    <w:pPr>
      <w:outlineLvl w:val="7"/>
    </w:pPr>
  </w:style>
  <w:style w:type="paragraph" w:styleId="Heading9">
    <w:name w:val="heading 9"/>
    <w:basedOn w:val="Heading6"/>
    <w:next w:val="Normal"/>
    <w:qFormat/>
    <w:rsid w:val="00CB353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EB4AE6"/>
    <w:pPr>
      <w:overflowPunct/>
      <w:autoSpaceDE/>
      <w:autoSpaceDN/>
      <w:adjustRightInd/>
      <w:spacing w:before="240"/>
      <w:jc w:val="center"/>
      <w:textAlignment w:val="auto"/>
    </w:pPr>
    <w:rPr>
      <w:sz w:val="26"/>
      <w:lang w:val="es-ES_tradnl"/>
    </w:rPr>
  </w:style>
  <w:style w:type="paragraph" w:customStyle="1" w:styleId="AnnexNo">
    <w:name w:val="Annex_No"/>
    <w:basedOn w:val="Normal"/>
    <w:next w:val="Normal"/>
    <w:rsid w:val="00EB4AE6"/>
    <w:pPr>
      <w:keepNext/>
      <w:keepLines/>
      <w:spacing w:before="480" w:after="80"/>
      <w:jc w:val="center"/>
    </w:pPr>
    <w:rPr>
      <w:caps/>
      <w:sz w:val="26"/>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EB4AE6"/>
    <w:pPr>
      <w:keepNext/>
      <w:keepLines/>
      <w:spacing w:before="240" w:after="280"/>
      <w:jc w:val="center"/>
    </w:pPr>
    <w:rPr>
      <w:b/>
      <w:sz w:val="26"/>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EB4AE6"/>
    <w:pPr>
      <w:spacing w:before="480"/>
      <w:jc w:val="center"/>
    </w:pPr>
    <w:rPr>
      <w:b/>
      <w:sz w:val="26"/>
    </w:rPr>
  </w:style>
  <w:style w:type="paragraph" w:customStyle="1" w:styleId="ArtNo">
    <w:name w:val="Art_No"/>
    <w:basedOn w:val="Normal"/>
    <w:next w:val="Normal"/>
    <w:rsid w:val="00EB4AE6"/>
    <w:pPr>
      <w:keepNext/>
      <w:keepLines/>
      <w:spacing w:before="480"/>
      <w:jc w:val="center"/>
    </w:pPr>
    <w:rPr>
      <w:caps/>
      <w:sz w:val="26"/>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EB4AE6"/>
    <w:pPr>
      <w:keepNext/>
      <w:keepLines/>
      <w:spacing w:before="240"/>
      <w:jc w:val="center"/>
    </w:pPr>
    <w:rPr>
      <w:b/>
      <w:sz w:val="26"/>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EB4AE6"/>
    <w:rPr>
      <w:rFonts w:asciiTheme="minorHAnsi" w:hAnsiTheme="minorHAnsi"/>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qFormat/>
    <w:rsid w:val="00EB4AE6"/>
    <w:pPr>
      <w:keepLines/>
      <w:tabs>
        <w:tab w:val="clear" w:pos="1134"/>
        <w:tab w:val="clear" w:pos="1871"/>
        <w:tab w:val="clear" w:pos="2268"/>
        <w:tab w:val="left" w:pos="284"/>
      </w:tabs>
      <w:spacing w:before="60"/>
      <w:ind w:left="284" w:hanging="284"/>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qFormat/>
    <w:rsid w:val="00EB4AE6"/>
    <w:rPr>
      <w:rFonts w:ascii="Calibri" w:hAnsi="Calibri"/>
      <w:lang w:val="ru-RU"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EB4AE6"/>
    <w:pPr>
      <w:spacing w:before="840"/>
      <w:jc w:val="center"/>
    </w:pPr>
    <w:rPr>
      <w:b/>
      <w:sz w:val="26"/>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style>
  <w:style w:type="paragraph" w:customStyle="1" w:styleId="QuestionNo">
    <w:name w:val="Question_No"/>
    <w:basedOn w:val="Normal"/>
    <w:next w:val="Normal"/>
    <w:rsid w:val="00EB4AE6"/>
    <w:pPr>
      <w:keepNext/>
      <w:keepLines/>
      <w:spacing w:before="480"/>
      <w:jc w:val="center"/>
    </w:pPr>
    <w:rPr>
      <w:caps/>
      <w:sz w:val="26"/>
    </w:rPr>
  </w:style>
  <w:style w:type="paragraph" w:customStyle="1" w:styleId="Questiontitle">
    <w:name w:val="Question_title"/>
    <w:basedOn w:val="Normal"/>
    <w:next w:val="Normal"/>
    <w:rsid w:val="00EB4AE6"/>
    <w:pPr>
      <w:keepNext/>
      <w:keepLines/>
      <w:spacing w:before="240"/>
      <w:jc w:val="center"/>
    </w:pPr>
    <w:rPr>
      <w:b/>
      <w:sz w:val="26"/>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CB76A2"/>
    <w:pPr>
      <w:spacing w:before="240"/>
    </w:pPr>
    <w:rPr>
      <w:b w:val="0"/>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FA6529"/>
    <w:pPr>
      <w:keepNext/>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style>
  <w:style w:type="paragraph" w:customStyle="1" w:styleId="RecNo">
    <w:name w:val="Rec_No"/>
    <w:basedOn w:val="Normal"/>
    <w:next w:val="Normal"/>
    <w:rsid w:val="00EB4AE6"/>
    <w:pPr>
      <w:keepNext/>
      <w:keepLines/>
      <w:spacing w:before="480"/>
      <w:jc w:val="center"/>
    </w:pPr>
    <w:rPr>
      <w:caps/>
      <w:sz w:val="26"/>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EB4AE6"/>
  </w:style>
  <w:style w:type="paragraph" w:customStyle="1" w:styleId="AppArttitle">
    <w:name w:val="App_Art_title"/>
    <w:basedOn w:val="Arttitle"/>
    <w:qFormat/>
    <w:rsid w:val="00A066F1"/>
  </w:style>
  <w:style w:type="paragraph" w:customStyle="1" w:styleId="Opiniontitle">
    <w:name w:val="Opinion_title"/>
    <w:basedOn w:val="Rectitle"/>
    <w:next w:val="Normalaftertitle"/>
    <w:qFormat/>
    <w:rsid w:val="00EB4AE6"/>
  </w:style>
  <w:style w:type="paragraph" w:customStyle="1" w:styleId="OpinionNo">
    <w:name w:val="Opinion_No"/>
    <w:basedOn w:val="RecNo"/>
    <w:next w:val="Opiniontitle"/>
    <w:qFormat/>
    <w:rsid w:val="00EB4AE6"/>
  </w:style>
  <w:style w:type="paragraph" w:customStyle="1" w:styleId="Volumetitle">
    <w:name w:val="Volume_title"/>
    <w:basedOn w:val="Normal"/>
    <w:qFormat/>
    <w:rsid w:val="00EB4AE6"/>
    <w:pPr>
      <w:tabs>
        <w:tab w:val="clear" w:pos="1134"/>
        <w:tab w:val="clear" w:pos="2268"/>
      </w:tabs>
      <w:overflowPunct/>
      <w:autoSpaceDE/>
      <w:autoSpaceDN/>
      <w:adjustRightInd/>
      <w:spacing w:before="0"/>
      <w:textAlignment w:val="auto"/>
    </w:pPr>
    <w:rPr>
      <w:b/>
      <w:sz w:val="26"/>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超?级链,Style 58,超????,하이퍼링크2,超链接1,超?级链?,Style?,S,하이퍼링크21,ECC Hyperlink"/>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semiHidden/>
    <w:unhideWhenUsed/>
    <w:rsid w:val="00412C81"/>
    <w:rPr>
      <w:color w:val="800080" w:themeColor="followedHyperlink"/>
      <w:u w:val="single"/>
    </w:rPr>
  </w:style>
  <w:style w:type="paragraph" w:customStyle="1" w:styleId="Default">
    <w:name w:val="Default"/>
    <w:rsid w:val="00DB4598"/>
    <w:pPr>
      <w:autoSpaceDE w:val="0"/>
      <w:autoSpaceDN w:val="0"/>
      <w:adjustRightInd w:val="0"/>
    </w:pPr>
    <w:rPr>
      <w:rFonts w:ascii="Verdana" w:hAnsi="Verdana" w:cs="Verdana"/>
      <w:color w:val="000000"/>
      <w:sz w:val="24"/>
      <w:szCs w:val="24"/>
      <w:lang w:val="en-GB"/>
    </w:rPr>
  </w:style>
  <w:style w:type="paragraph" w:customStyle="1" w:styleId="CEOcontributionStart">
    <w:name w:val="CEO_contributionStart"/>
    <w:basedOn w:val="Normal"/>
    <w:rsid w:val="003C1870"/>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styleId="CommentReference">
    <w:name w:val="annotation reference"/>
    <w:basedOn w:val="DefaultParagraphFont"/>
    <w:semiHidden/>
    <w:unhideWhenUsed/>
    <w:rsid w:val="006747D8"/>
    <w:rPr>
      <w:sz w:val="16"/>
      <w:szCs w:val="16"/>
    </w:rPr>
  </w:style>
  <w:style w:type="paragraph" w:styleId="CommentText">
    <w:name w:val="annotation text"/>
    <w:basedOn w:val="Normal"/>
    <w:link w:val="CommentTextChar"/>
    <w:unhideWhenUsed/>
    <w:rsid w:val="006747D8"/>
    <w:rPr>
      <w:sz w:val="20"/>
    </w:rPr>
  </w:style>
  <w:style w:type="character" w:customStyle="1" w:styleId="CommentTextChar">
    <w:name w:val="Comment Text Char"/>
    <w:basedOn w:val="DefaultParagraphFont"/>
    <w:link w:val="CommentText"/>
    <w:rsid w:val="006747D8"/>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6747D8"/>
    <w:rPr>
      <w:b/>
      <w:bCs/>
    </w:rPr>
  </w:style>
  <w:style w:type="character" w:customStyle="1" w:styleId="CommentSubjectChar">
    <w:name w:val="Comment Subject Char"/>
    <w:basedOn w:val="CommentTextChar"/>
    <w:link w:val="CommentSubject"/>
    <w:semiHidden/>
    <w:rsid w:val="006747D8"/>
    <w:rPr>
      <w:rFonts w:asciiTheme="minorHAnsi" w:hAnsiTheme="minorHAnsi"/>
      <w:b/>
      <w:bCs/>
      <w:lang w:val="en-GB" w:eastAsia="en-US"/>
    </w:rPr>
  </w:style>
  <w:style w:type="paragraph" w:styleId="Revision">
    <w:name w:val="Revision"/>
    <w:hidden/>
    <w:uiPriority w:val="99"/>
    <w:semiHidden/>
    <w:rsid w:val="006747D8"/>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6449A5"/>
    <w:rPr>
      <w:color w:val="605E5C"/>
      <w:shd w:val="clear" w:color="auto" w:fill="E1DFDD"/>
    </w:rPr>
  </w:style>
  <w:style w:type="paragraph" w:customStyle="1" w:styleId="CEOAgendaItemN">
    <w:name w:val="CEO_AgendaItemN°"/>
    <w:basedOn w:val="Normal"/>
    <w:rsid w:val="00BF4F16"/>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character" w:customStyle="1" w:styleId="enumlev1Char">
    <w:name w:val="enumlev1 Char"/>
    <w:link w:val="enumlev1"/>
    <w:qFormat/>
    <w:rsid w:val="00A62F73"/>
    <w:rPr>
      <w:rFonts w:asciiTheme="minorHAnsi" w:hAnsiTheme="minorHAnsi"/>
      <w:sz w:val="24"/>
      <w:lang w:val="en-GB" w:eastAsia="en-US"/>
    </w:rPr>
  </w:style>
  <w:style w:type="character" w:customStyle="1" w:styleId="UnresolvedMention2">
    <w:name w:val="Unresolved Mention2"/>
    <w:basedOn w:val="DefaultParagraphFont"/>
    <w:uiPriority w:val="99"/>
    <w:semiHidden/>
    <w:unhideWhenUsed/>
    <w:rsid w:val="00B7345F"/>
    <w:rPr>
      <w:color w:val="605E5C"/>
      <w:shd w:val="clear" w:color="auto" w:fill="E1DFDD"/>
    </w:rPr>
  </w:style>
  <w:style w:type="character" w:styleId="UnresolvedMention">
    <w:name w:val="Unresolved Mention"/>
    <w:basedOn w:val="DefaultParagraphFont"/>
    <w:uiPriority w:val="99"/>
    <w:semiHidden/>
    <w:unhideWhenUsed/>
    <w:rsid w:val="00D10D23"/>
    <w:rPr>
      <w:color w:val="605E5C"/>
      <w:shd w:val="clear" w:color="auto" w:fill="E1DFDD"/>
    </w:rPr>
  </w:style>
  <w:style w:type="character" w:customStyle="1" w:styleId="HeadingbChar">
    <w:name w:val="Heading_b Char"/>
    <w:basedOn w:val="DefaultParagraphFont"/>
    <w:link w:val="Headingb"/>
    <w:locked/>
    <w:rsid w:val="00FA6529"/>
    <w:rPr>
      <w:rFonts w:ascii="Calibri" w:hAnsi="Calibri" w:cs="Times New Roman Bold"/>
      <w:b/>
      <w:sz w:val="22"/>
      <w:lang w:val="fr-CH" w:eastAsia="en-US"/>
    </w:rPr>
  </w:style>
  <w:style w:type="paragraph" w:styleId="ListParagraph">
    <w:name w:val="List Paragraph"/>
    <w:aliases w:val="List Paragraph1,Recommendation,List Paragraph11,O5,Para_sk,Resume Title,- Bullets,Equipment,Numbered Indented Text,Figure_name,NUMBERED PARAGRAPH,List Paragraph 1,List Paragraph (numbered (a)),Use Case List Paragraph,References,lp1"/>
    <w:basedOn w:val="Normal"/>
    <w:link w:val="ListParagraphChar"/>
    <w:uiPriority w:val="34"/>
    <w:qFormat/>
    <w:rsid w:val="00082D75"/>
    <w:pPr>
      <w:ind w:left="720"/>
      <w:contextualSpacing/>
    </w:pPr>
    <w:rPr>
      <w:rFonts w:asciiTheme="minorHAnsi" w:hAnsiTheme="minorHAnsi"/>
      <w:sz w:val="24"/>
      <w:lang w:val="en-GB"/>
    </w:r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NUMBERED PARAGRAPH Char,List Paragraph 1 Char,lp1 Char"/>
    <w:link w:val="ListParagraph"/>
    <w:uiPriority w:val="34"/>
    <w:qFormat/>
    <w:rsid w:val="00082D75"/>
    <w:rPr>
      <w:rFonts w:asciiTheme="minorHAnsi" w:hAnsiTheme="minorHAnsi"/>
      <w:sz w:val="24"/>
      <w:lang w:val="en-GB" w:eastAsia="en-US"/>
    </w:rPr>
  </w:style>
  <w:style w:type="character" w:customStyle="1" w:styleId="normaltextrun">
    <w:name w:val="normaltextrun"/>
    <w:basedOn w:val="DefaultParagraphFont"/>
    <w:rsid w:val="0037217C"/>
  </w:style>
  <w:style w:type="character" w:customStyle="1" w:styleId="eop">
    <w:name w:val="eop"/>
    <w:basedOn w:val="DefaultParagraphFont"/>
    <w:rsid w:val="00B154F7"/>
  </w:style>
  <w:style w:type="paragraph" w:styleId="NormalWeb">
    <w:name w:val="Normal (Web)"/>
    <w:basedOn w:val="Normal"/>
    <w:uiPriority w:val="99"/>
    <w:unhideWhenUsed/>
    <w:rsid w:val="000B44F9"/>
    <w:pPr>
      <w:tabs>
        <w:tab w:val="clear" w:pos="1871"/>
        <w:tab w:val="left" w:pos="567"/>
        <w:tab w:val="left" w:pos="1701"/>
        <w:tab w:val="left" w:pos="2835"/>
      </w:tabs>
    </w:pPr>
    <w:rPr>
      <w:rFonts w:ascii="Times New Roman" w:eastAsia="Times New Roman" w:hAnsi="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06998">
      <w:bodyDiv w:val="1"/>
      <w:marLeft w:val="0"/>
      <w:marRight w:val="0"/>
      <w:marTop w:val="0"/>
      <w:marBottom w:val="0"/>
      <w:divBdr>
        <w:top w:val="none" w:sz="0" w:space="0" w:color="auto"/>
        <w:left w:val="none" w:sz="0" w:space="0" w:color="auto"/>
        <w:bottom w:val="none" w:sz="0" w:space="0" w:color="auto"/>
        <w:right w:val="none" w:sz="0" w:space="0" w:color="auto"/>
      </w:divBdr>
    </w:div>
    <w:div w:id="297612129">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452552559">
      <w:bodyDiv w:val="1"/>
      <w:marLeft w:val="0"/>
      <w:marRight w:val="0"/>
      <w:marTop w:val="0"/>
      <w:marBottom w:val="0"/>
      <w:divBdr>
        <w:top w:val="none" w:sz="0" w:space="0" w:color="auto"/>
        <w:left w:val="none" w:sz="0" w:space="0" w:color="auto"/>
        <w:bottom w:val="none" w:sz="0" w:space="0" w:color="auto"/>
        <w:right w:val="none" w:sz="0" w:space="0" w:color="auto"/>
      </w:divBdr>
    </w:div>
    <w:div w:id="452796831">
      <w:bodyDiv w:val="1"/>
      <w:marLeft w:val="0"/>
      <w:marRight w:val="0"/>
      <w:marTop w:val="0"/>
      <w:marBottom w:val="0"/>
      <w:divBdr>
        <w:top w:val="none" w:sz="0" w:space="0" w:color="auto"/>
        <w:left w:val="none" w:sz="0" w:space="0" w:color="auto"/>
        <w:bottom w:val="none" w:sz="0" w:space="0" w:color="auto"/>
        <w:right w:val="none" w:sz="0" w:space="0" w:color="auto"/>
      </w:divBdr>
    </w:div>
    <w:div w:id="667026217">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633516485">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2000844044">
      <w:bodyDiv w:val="1"/>
      <w:marLeft w:val="0"/>
      <w:marRight w:val="0"/>
      <w:marTop w:val="0"/>
      <w:marBottom w:val="0"/>
      <w:divBdr>
        <w:top w:val="none" w:sz="0" w:space="0" w:color="auto"/>
        <w:left w:val="none" w:sz="0" w:space="0" w:color="auto"/>
        <w:bottom w:val="none" w:sz="0" w:space="0" w:color="auto"/>
        <w:right w:val="none" w:sz="0" w:space="0" w:color="auto"/>
      </w:divBdr>
    </w:div>
    <w:div w:id="210884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council/Documents/basic-texts/RES-025-E.pdf" TargetMode="External"/><Relationship Id="rId18" Type="http://schemas.openxmlformats.org/officeDocument/2006/relationships/hyperlink" Target="https://www.itu.int/itu-d/meetings/rdf/arb/" TargetMode="External"/><Relationship Id="rId26" Type="http://schemas.openxmlformats.org/officeDocument/2006/relationships/hyperlink" Target="https://www.itu.int/itu-d/meetings/rdf/asp/" TargetMode="External"/><Relationship Id="rId39" Type="http://schemas.openxmlformats.org/officeDocument/2006/relationships/hyperlink" Target="https://www.itu.int/itu-d/meetings/wtdc25/rpm/cis/" TargetMode="External"/><Relationship Id="rId21" Type="http://schemas.openxmlformats.org/officeDocument/2006/relationships/hyperlink" Target="https://youtu.be/_TmRrANEy9Y?feature=shared" TargetMode="External"/><Relationship Id="rId34" Type="http://schemas.openxmlformats.org/officeDocument/2006/relationships/hyperlink" Target="https://www.itu.int/itu-d/meetings/rdf/afr/" TargetMode="External"/><Relationship Id="rId42" Type="http://schemas.openxmlformats.org/officeDocument/2006/relationships/hyperlink" Target="https://www.itu.int/wtdc" TargetMode="External"/><Relationship Id="rId47" Type="http://schemas.openxmlformats.org/officeDocument/2006/relationships/hyperlink" Target="https://www.itu.int/md/D22-TDAG32-C-0005/en"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D22-TDAG31-C-0002/en" TargetMode="External"/><Relationship Id="rId29" Type="http://schemas.openxmlformats.org/officeDocument/2006/relationships/hyperlink" Target="https://youtu.be/n-9xwzs0i9I?feature=shared" TargetMode="External"/><Relationship Id="rId11" Type="http://schemas.openxmlformats.org/officeDocument/2006/relationships/image" Target="media/image1.png"/><Relationship Id="rId24" Type="http://schemas.openxmlformats.org/officeDocument/2006/relationships/hyperlink" Target="https://www.itu.int/md/D22-RPMEUR-C-0030/en" TargetMode="External"/><Relationship Id="rId32" Type="http://schemas.openxmlformats.org/officeDocument/2006/relationships/hyperlink" Target="https://www.itu.int/md/D22-RPMAMS-C-0021/en" TargetMode="External"/><Relationship Id="rId37" Type="http://schemas.openxmlformats.org/officeDocument/2006/relationships/hyperlink" Target="https://youtu.be/TQMlkFoVHQ4?feature=shared" TargetMode="External"/><Relationship Id="rId40" Type="http://schemas.openxmlformats.org/officeDocument/2006/relationships/hyperlink" Target="https://www.itu.int/md/meetingdoc.asp?lang=en&amp;parent=D22-RPMCIS-C-0018" TargetMode="External"/><Relationship Id="rId45" Type="http://schemas.openxmlformats.org/officeDocument/2006/relationships/hyperlink" Target="https://www.itu.int/md/meetingdoc.asp?lang=en&amp;parent=D22-TDAG32-C-0002" TargetMode="External"/><Relationship Id="rId5" Type="http://schemas.openxmlformats.org/officeDocument/2006/relationships/numbering" Target="numbering.xml"/><Relationship Id="rId15" Type="http://schemas.openxmlformats.org/officeDocument/2006/relationships/hyperlink" Target="https://www.itu.int/en/publications/ITU-D/pages/publications.aspx?parent=D-TDC-WTDC-2022&amp;media=electronic" TargetMode="External"/><Relationship Id="rId23" Type="http://schemas.openxmlformats.org/officeDocument/2006/relationships/hyperlink" Target="https://www.itu.int/itu-d/meetings/wtdc25/rpm/eur/" TargetMode="External"/><Relationship Id="rId28" Type="http://schemas.openxmlformats.org/officeDocument/2006/relationships/hyperlink" Target="https://www.itu.int/md/D22-RPMASP-C-0018/en" TargetMode="External"/><Relationship Id="rId36" Type="http://schemas.openxmlformats.org/officeDocument/2006/relationships/hyperlink" Target="https://www.itu.int/md/D22-RPMAFR-C-0019/en"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tu.int/itu-d/meetings/wtdc25/rpm/arb/" TargetMode="External"/><Relationship Id="rId31" Type="http://schemas.openxmlformats.org/officeDocument/2006/relationships/hyperlink" Target="https://www.itu.int/itu-d/meetings/wtdc25/rpm/ams/" TargetMode="External"/><Relationship Id="rId44" Type="http://schemas.openxmlformats.org/officeDocument/2006/relationships/hyperlink" Target="https://www.itu.int/itu-d/meetings/wtdc25/rpm/ho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council/Documents/basic-texts-2023/RES-025-E.pdf" TargetMode="External"/><Relationship Id="rId22" Type="http://schemas.openxmlformats.org/officeDocument/2006/relationships/hyperlink" Target="https://www.itu.int/itu-d/meetings/rdf/eur/" TargetMode="External"/><Relationship Id="rId27" Type="http://schemas.openxmlformats.org/officeDocument/2006/relationships/hyperlink" Target="https://www.itu.int/itu-d/meetings/wtdc25/rpm/asp/" TargetMode="External"/><Relationship Id="rId30" Type="http://schemas.openxmlformats.org/officeDocument/2006/relationships/hyperlink" Target="https://www.itu.int/itu-d/meetings/rdf/ams/home/" TargetMode="External"/><Relationship Id="rId35" Type="http://schemas.openxmlformats.org/officeDocument/2006/relationships/hyperlink" Target="https://www.itu.int/itu-d/meetings/wtdc25/rpm/afr/" TargetMode="External"/><Relationship Id="rId43" Type="http://schemas.openxmlformats.org/officeDocument/2006/relationships/hyperlink" Target="https://www.itu.int/dms_pub/itu-d/opb/res/D-RES-D.31-2022-PDF-E.pdf"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itu.int/md/D22-TDAG32-C-0024/" TargetMode="External"/><Relationship Id="rId25" Type="http://schemas.openxmlformats.org/officeDocument/2006/relationships/hyperlink" Target="https://youtu.be/KbGUKDoOwoU?feature=shared" TargetMode="External"/><Relationship Id="rId33" Type="http://schemas.openxmlformats.org/officeDocument/2006/relationships/hyperlink" Target="https://youtu.be/0Q1A-_uFb2U?feature=shared" TargetMode="External"/><Relationship Id="rId38" Type="http://schemas.openxmlformats.org/officeDocument/2006/relationships/hyperlink" Target="https://www.itu.int/itu-d/meetings/rdf/cis/home/" TargetMode="External"/><Relationship Id="rId46" Type="http://schemas.openxmlformats.org/officeDocument/2006/relationships/hyperlink" Target="https://www.itu.int/md/D22-TDAG32-INF-0004/en" TargetMode="External"/><Relationship Id="rId20" Type="http://schemas.openxmlformats.org/officeDocument/2006/relationships/hyperlink" Target="https://www.itu.int/md/D22-RPMARB-C-0020/en" TargetMode="External"/><Relationship Id="rId41" Type="http://schemas.openxmlformats.org/officeDocument/2006/relationships/hyperlink" Target="https://youtu.be/lWymn4RNG0I?feature=shared"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mailto:archana.gulati@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12A876-AB41-4784-9C7F-CAA56FAF5040}">
  <ds:schemaRefs>
    <ds:schemaRef ds:uri="http://schemas.openxmlformats.org/officeDocument/2006/bibliography"/>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F0956209-827A-46EE-A275-09CD40437EA2}"/>
</file>

<file path=docProps/app.xml><?xml version="1.0" encoding="utf-8"?>
<Properties xmlns="http://schemas.openxmlformats.org/officeDocument/2006/extended-properties" xmlns:vt="http://schemas.openxmlformats.org/officeDocument/2006/docPropsVTypes">
  <Template>Normal.dotm</Template>
  <TotalTime>166</TotalTime>
  <Pages>13</Pages>
  <Words>5101</Words>
  <Characters>36926</Characters>
  <Application>Microsoft Office Word</Application>
  <DocSecurity>0</DocSecurity>
  <Lines>307</Lines>
  <Paragraphs>83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General Secretariat - Pool</Manager>
  <Company/>
  <LinksUpToDate>false</LinksUpToDate>
  <CharactersWithSpaces>41944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Manias, Michel</dc:creator>
  <cp:lastModifiedBy>NA</cp:lastModifiedBy>
  <cp:revision>16</cp:revision>
  <cp:lastPrinted>2025-05-09T15:28:00Z</cp:lastPrinted>
  <dcterms:created xsi:type="dcterms:W3CDTF">2025-05-07T12:27:00Z</dcterms:created>
  <dcterms:modified xsi:type="dcterms:W3CDTF">2025-05-09T16:04:00Z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0x0101000421F7F6C5263B4B928A068E40912AB8</vt:lpwstr>
  </property>
  <property fmtid="{D5CDD505-2E9C-101B-9397-08002B2CF9AE}" pid="10" name="_dlc_DocIdItemGuid">
    <vt:lpwstr>1277586e-23f4-4a9c-8b22-c68c4fc349db</vt:lpwstr>
  </property>
  <property fmtid="{D5CDD505-2E9C-101B-9397-08002B2CF9AE}" pid="11" name="Mendeley Recent Style Id 0_1">
    <vt:lpwstr>http://www.zotero.org/styles/american-medical-association</vt:lpwstr>
  </property>
  <property fmtid="{D5CDD505-2E9C-101B-9397-08002B2CF9AE}" pid="12" name="Mendeley Recent Style Name 0_1">
    <vt:lpwstr>American Medical Association</vt:lpwstr>
  </property>
  <property fmtid="{D5CDD505-2E9C-101B-9397-08002B2CF9AE}" pid="13" name="Mendeley Recent Style Id 1_1">
    <vt:lpwstr>http://www.zotero.org/styles/american-political-science-association</vt:lpwstr>
  </property>
  <property fmtid="{D5CDD505-2E9C-101B-9397-08002B2CF9AE}" pid="14" name="Mendeley Recent Style Name 1_1">
    <vt:lpwstr>American Political Science Association</vt:lpwstr>
  </property>
  <property fmtid="{D5CDD505-2E9C-101B-9397-08002B2CF9AE}" pid="15" name="Mendeley Recent Style Id 2_1">
    <vt:lpwstr>http://www.zotero.org/styles/apa</vt:lpwstr>
  </property>
  <property fmtid="{D5CDD505-2E9C-101B-9397-08002B2CF9AE}" pid="16" name="Mendeley Recent Style Name 2_1">
    <vt:lpwstr>American Psychological Association 6th edition</vt:lpwstr>
  </property>
  <property fmtid="{D5CDD505-2E9C-101B-9397-08002B2CF9AE}" pid="17" name="Mendeley Recent Style Id 3_1">
    <vt:lpwstr>http://www.zotero.org/styles/american-sociological-association</vt:lpwstr>
  </property>
  <property fmtid="{D5CDD505-2E9C-101B-9397-08002B2CF9AE}" pid="18" name="Mendeley Recent Style Name 3_1">
    <vt:lpwstr>American Sociological Association</vt:lpwstr>
  </property>
  <property fmtid="{D5CDD505-2E9C-101B-9397-08002B2CF9AE}" pid="19" name="Mendeley Recent Style Id 4_1">
    <vt:lpwstr>http://www.zotero.org/styles/chicago-author-date</vt:lpwstr>
  </property>
  <property fmtid="{D5CDD505-2E9C-101B-9397-08002B2CF9AE}" pid="20" name="Mendeley Recent Style Name 4_1">
    <vt:lpwstr>Chicago Manual of Style 16th edition (author-date)</vt:lpwstr>
  </property>
  <property fmtid="{D5CDD505-2E9C-101B-9397-08002B2CF9AE}" pid="21" name="Mendeley Recent Style Id 5_1">
    <vt:lpwstr>http://www.zotero.org/styles/harvard1</vt:lpwstr>
  </property>
  <property fmtid="{D5CDD505-2E9C-101B-9397-08002B2CF9AE}" pid="22" name="Mendeley Recent Style Name 5_1">
    <vt:lpwstr>Harvard Reference format 1 (author-date)</vt:lpwstr>
  </property>
  <property fmtid="{D5CDD505-2E9C-101B-9397-08002B2CF9AE}" pid="23" name="Mendeley Recent Style Id 6_1">
    <vt:lpwstr>http://www.zotero.org/styles/ieee</vt:lpwstr>
  </property>
  <property fmtid="{D5CDD505-2E9C-101B-9397-08002B2CF9AE}" pid="24" name="Mendeley Recent Style Name 6_1">
    <vt:lpwstr>IEEE</vt:lpwstr>
  </property>
  <property fmtid="{D5CDD505-2E9C-101B-9397-08002B2CF9AE}" pid="25" name="Mendeley Recent Style Id 7_1">
    <vt:lpwstr>http://www.zotero.org/styles/modern-humanities-research-association</vt:lpwstr>
  </property>
  <property fmtid="{D5CDD505-2E9C-101B-9397-08002B2CF9AE}" pid="26" name="Mendeley Recent Style Name 7_1">
    <vt:lpwstr>Modern Humanities Research Association 3rd edition (note with bibliography)</vt:lpwstr>
  </property>
  <property fmtid="{D5CDD505-2E9C-101B-9397-08002B2CF9AE}" pid="27" name="Mendeley Recent Style Id 8_1">
    <vt:lpwstr>http://www.zotero.org/styles/modern-language-association</vt:lpwstr>
  </property>
  <property fmtid="{D5CDD505-2E9C-101B-9397-08002B2CF9AE}" pid="28" name="Mendeley Recent Style Name 8_1">
    <vt:lpwstr>Modern Language Association 7th edition</vt:lpwstr>
  </property>
  <property fmtid="{D5CDD505-2E9C-101B-9397-08002B2CF9AE}" pid="29" name="Mendeley Recent Style Id 9_1">
    <vt:lpwstr>http://www.zotero.org/styles/nature</vt:lpwstr>
  </property>
  <property fmtid="{D5CDD505-2E9C-101B-9397-08002B2CF9AE}" pid="30" name="Mendeley Recent Style Name 9_1">
    <vt:lpwstr>Nature</vt:lpwstr>
  </property>
</Properties>
</file>