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E2C62" w14:textId="24198B57" w:rsidR="00FF220A" w:rsidRDefault="00FF220A">
      <w:pPr>
        <w:tabs>
          <w:tab w:val="clear" w:pos="1134"/>
          <w:tab w:val="clear" w:pos="1871"/>
          <w:tab w:val="clear" w:pos="2268"/>
        </w:tabs>
        <w:overflowPunct/>
        <w:autoSpaceDE/>
        <w:autoSpaceDN/>
        <w:adjustRightInd/>
        <w:spacing w:before="0"/>
        <w:textAlignment w:val="auto"/>
        <w:rPr>
          <w:szCs w:val="24"/>
        </w:rPr>
      </w:pPr>
    </w:p>
    <w:tbl>
      <w:tblPr>
        <w:tblpPr w:leftFromText="181" w:rightFromText="181" w:horzAnchor="margin" w:tblpY="-492"/>
        <w:tblW w:w="10095" w:type="dxa"/>
        <w:tblLayout w:type="fixed"/>
        <w:tblLook w:val="0000" w:firstRow="0" w:lastRow="0" w:firstColumn="0" w:lastColumn="0" w:noHBand="0" w:noVBand="0"/>
      </w:tblPr>
      <w:tblGrid>
        <w:gridCol w:w="1985"/>
        <w:gridCol w:w="4515"/>
        <w:gridCol w:w="1847"/>
        <w:gridCol w:w="1748"/>
      </w:tblGrid>
      <w:tr w:rsidR="000404DE" w:rsidRPr="00403C69" w14:paraId="4E752655" w14:textId="77777777" w:rsidTr="000404DE">
        <w:trPr>
          <w:cantSplit/>
          <w:trHeight w:val="1134"/>
        </w:trPr>
        <w:tc>
          <w:tcPr>
            <w:tcW w:w="1985" w:type="dxa"/>
          </w:tcPr>
          <w:p w14:paraId="4446F277" w14:textId="77777777" w:rsidR="005F4465" w:rsidRDefault="005F4465" w:rsidP="00DC48B9">
            <w:pPr>
              <w:spacing w:after="40"/>
              <w:ind w:left="34"/>
              <w:jc w:val="both"/>
              <w:rPr>
                <w:b/>
                <w:bCs/>
                <w:sz w:val="32"/>
                <w:szCs w:val="32"/>
              </w:rPr>
            </w:pPr>
            <w:bookmarkStart w:id="0" w:name="_Hlk194484853"/>
            <w:r>
              <w:rPr>
                <w:noProof/>
                <w:sz w:val="32"/>
                <w:szCs w:val="32"/>
              </w:rPr>
              <w:drawing>
                <wp:inline distT="0" distB="0" distL="0" distR="0" wp14:anchorId="0FA6A999" wp14:editId="36B75F2D">
                  <wp:extent cx="1080000" cy="946800"/>
                  <wp:effectExtent l="0" t="0" r="6350" b="0"/>
                  <wp:docPr id="1524544783" name="Picture 3"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544783" name="Picture 3" descr="A logo with a black background&#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62" w:type="dxa"/>
            <w:gridSpan w:val="2"/>
          </w:tcPr>
          <w:p w14:paraId="70D08669" w14:textId="77777777" w:rsidR="005F4465" w:rsidRDefault="005F4465" w:rsidP="00DC48B9">
            <w:pPr>
              <w:tabs>
                <w:tab w:val="clear" w:pos="1134"/>
              </w:tabs>
              <w:spacing w:before="240" w:after="240"/>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0AC1596B" w14:textId="77777777" w:rsidR="005F4465" w:rsidRPr="00403C69" w:rsidRDefault="005F4465" w:rsidP="00DC48B9">
            <w:pPr>
              <w:tabs>
                <w:tab w:val="clear" w:pos="1134"/>
              </w:tabs>
              <w:spacing w:after="120"/>
              <w:rPr>
                <w:b/>
                <w:bCs/>
                <w:sz w:val="28"/>
                <w:szCs w:val="28"/>
              </w:rPr>
            </w:pPr>
            <w:r>
              <w:rPr>
                <w:b/>
                <w:bCs/>
                <w:sz w:val="26"/>
                <w:szCs w:val="26"/>
              </w:rPr>
              <w:t>32nd Meeting, Geneva, Switzerland, 12-16</w:t>
            </w:r>
            <w:r w:rsidRPr="006F24AF">
              <w:rPr>
                <w:b/>
                <w:bCs/>
                <w:sz w:val="26"/>
                <w:szCs w:val="26"/>
              </w:rPr>
              <w:t xml:space="preserve"> May 202</w:t>
            </w:r>
            <w:r>
              <w:rPr>
                <w:b/>
                <w:bCs/>
                <w:sz w:val="26"/>
                <w:szCs w:val="26"/>
              </w:rPr>
              <w:t>5</w:t>
            </w:r>
          </w:p>
        </w:tc>
        <w:tc>
          <w:tcPr>
            <w:tcW w:w="1748" w:type="dxa"/>
          </w:tcPr>
          <w:p w14:paraId="3690074F" w14:textId="77777777" w:rsidR="005F4465" w:rsidRPr="00403C69" w:rsidRDefault="005F4465" w:rsidP="00DC48B9">
            <w:pPr>
              <w:tabs>
                <w:tab w:val="clear" w:pos="1134"/>
              </w:tabs>
              <w:spacing w:before="240" w:after="120"/>
              <w:jc w:val="right"/>
              <w:rPr>
                <w:rFonts w:cstheme="minorHAnsi"/>
              </w:rPr>
            </w:pPr>
            <w:r>
              <w:rPr>
                <w:noProof/>
                <w:lang w:val="fr-FR" w:eastAsia="fr-FR"/>
              </w:rPr>
              <w:drawing>
                <wp:inline distT="0" distB="0" distL="0" distR="0" wp14:anchorId="2E29EC3E" wp14:editId="1958C5B1">
                  <wp:extent cx="712470" cy="785495"/>
                  <wp:effectExtent l="0" t="0" r="0" b="0"/>
                  <wp:docPr id="1095978970" name="Picture 1095978970"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0404DE" w:rsidRPr="00403C69" w14:paraId="5A5C8C10" w14:textId="77777777" w:rsidTr="000404DE">
        <w:trPr>
          <w:cantSplit/>
        </w:trPr>
        <w:tc>
          <w:tcPr>
            <w:tcW w:w="6500" w:type="dxa"/>
            <w:gridSpan w:val="2"/>
            <w:tcBorders>
              <w:top w:val="single" w:sz="12" w:space="0" w:color="auto"/>
            </w:tcBorders>
          </w:tcPr>
          <w:p w14:paraId="7F4C7366" w14:textId="77777777" w:rsidR="005F4465" w:rsidRPr="00403C69" w:rsidRDefault="005F4465" w:rsidP="00DC48B9">
            <w:pPr>
              <w:spacing w:before="0" w:after="48" w:line="240" w:lineRule="atLeast"/>
              <w:rPr>
                <w:rFonts w:cstheme="minorHAnsi"/>
                <w:b/>
                <w:smallCaps/>
                <w:sz w:val="20"/>
              </w:rPr>
            </w:pPr>
          </w:p>
        </w:tc>
        <w:tc>
          <w:tcPr>
            <w:tcW w:w="3595" w:type="dxa"/>
            <w:gridSpan w:val="2"/>
            <w:tcBorders>
              <w:top w:val="single" w:sz="12" w:space="0" w:color="auto"/>
            </w:tcBorders>
          </w:tcPr>
          <w:p w14:paraId="32F41F2B" w14:textId="77777777" w:rsidR="005F4465" w:rsidRPr="00403C69" w:rsidRDefault="005F4465" w:rsidP="00DC48B9">
            <w:pPr>
              <w:spacing w:before="0" w:line="240" w:lineRule="atLeast"/>
              <w:rPr>
                <w:rFonts w:cstheme="minorHAnsi"/>
                <w:sz w:val="20"/>
              </w:rPr>
            </w:pPr>
          </w:p>
        </w:tc>
      </w:tr>
      <w:tr w:rsidR="000404DE" w:rsidRPr="00403C69" w14:paraId="73002D6A" w14:textId="77777777" w:rsidTr="000404DE">
        <w:trPr>
          <w:cantSplit/>
          <w:trHeight w:val="23"/>
        </w:trPr>
        <w:tc>
          <w:tcPr>
            <w:tcW w:w="6500" w:type="dxa"/>
            <w:gridSpan w:val="2"/>
            <w:shd w:val="clear" w:color="auto" w:fill="auto"/>
          </w:tcPr>
          <w:p w14:paraId="2B761AAE" w14:textId="77777777" w:rsidR="005F4465" w:rsidRPr="00403C69" w:rsidRDefault="005F4465" w:rsidP="00DC48B9">
            <w:pPr>
              <w:pStyle w:val="Committee"/>
              <w:framePr w:hSpace="0" w:wrap="auto" w:hAnchor="text" w:yAlign="inline"/>
            </w:pPr>
          </w:p>
        </w:tc>
        <w:tc>
          <w:tcPr>
            <w:tcW w:w="3595" w:type="dxa"/>
            <w:gridSpan w:val="2"/>
          </w:tcPr>
          <w:p w14:paraId="6CEA4905" w14:textId="2D85AE7B" w:rsidR="005F4465" w:rsidRPr="00403C69" w:rsidRDefault="005F4465" w:rsidP="00DC48B9">
            <w:pPr>
              <w:tabs>
                <w:tab w:val="left" w:pos="851"/>
              </w:tabs>
              <w:spacing w:before="0" w:line="240" w:lineRule="atLeast"/>
              <w:rPr>
                <w:rFonts w:cstheme="minorHAnsi"/>
                <w:szCs w:val="24"/>
              </w:rPr>
            </w:pPr>
            <w:r w:rsidRPr="00403C69">
              <w:rPr>
                <w:b/>
                <w:bCs/>
                <w:lang w:val="en-US"/>
              </w:rPr>
              <w:t>Document TDAG-2</w:t>
            </w:r>
            <w:r>
              <w:rPr>
                <w:b/>
                <w:bCs/>
                <w:lang w:val="en-US"/>
              </w:rPr>
              <w:t>5</w:t>
            </w:r>
            <w:r w:rsidRPr="00403C69">
              <w:rPr>
                <w:b/>
                <w:bCs/>
                <w:lang w:val="en-US"/>
              </w:rPr>
              <w:t>/</w:t>
            </w:r>
            <w:r w:rsidR="0097485E">
              <w:rPr>
                <w:b/>
                <w:bCs/>
                <w:lang w:val="en-US"/>
              </w:rPr>
              <w:t>24</w:t>
            </w:r>
            <w:r w:rsidR="000404DE">
              <w:rPr>
                <w:b/>
                <w:bCs/>
                <w:lang w:val="en-US"/>
              </w:rPr>
              <w:t>(Rev.1)</w:t>
            </w:r>
            <w:r w:rsidR="009E1438">
              <w:rPr>
                <w:b/>
                <w:bCs/>
                <w:lang w:val="en-US"/>
              </w:rPr>
              <w:t>-</w:t>
            </w:r>
            <w:r w:rsidRPr="00403C69">
              <w:rPr>
                <w:b/>
                <w:bCs/>
                <w:lang w:val="en-US"/>
              </w:rPr>
              <w:t>E</w:t>
            </w:r>
          </w:p>
        </w:tc>
      </w:tr>
      <w:tr w:rsidR="000404DE" w:rsidRPr="00403C69" w14:paraId="5B55ACB2" w14:textId="77777777" w:rsidTr="000404DE">
        <w:trPr>
          <w:cantSplit/>
          <w:trHeight w:val="23"/>
        </w:trPr>
        <w:tc>
          <w:tcPr>
            <w:tcW w:w="6500" w:type="dxa"/>
            <w:gridSpan w:val="2"/>
            <w:shd w:val="clear" w:color="auto" w:fill="auto"/>
          </w:tcPr>
          <w:p w14:paraId="68DB2B39" w14:textId="77777777" w:rsidR="005F4465" w:rsidRPr="00403C69" w:rsidRDefault="005F4465" w:rsidP="00DC48B9">
            <w:pPr>
              <w:tabs>
                <w:tab w:val="left" w:pos="851"/>
              </w:tabs>
              <w:spacing w:before="0" w:line="240" w:lineRule="atLeast"/>
              <w:rPr>
                <w:rFonts w:cstheme="minorHAnsi"/>
                <w:b/>
                <w:szCs w:val="24"/>
              </w:rPr>
            </w:pPr>
          </w:p>
        </w:tc>
        <w:tc>
          <w:tcPr>
            <w:tcW w:w="3595" w:type="dxa"/>
            <w:gridSpan w:val="2"/>
          </w:tcPr>
          <w:p w14:paraId="3B162351" w14:textId="3898D67C" w:rsidR="005F4465" w:rsidRPr="00403C69" w:rsidRDefault="00EF444D" w:rsidP="00DC48B9">
            <w:pPr>
              <w:spacing w:before="0" w:line="240" w:lineRule="atLeast"/>
              <w:rPr>
                <w:rFonts w:cstheme="minorHAnsi"/>
                <w:szCs w:val="24"/>
              </w:rPr>
            </w:pPr>
            <w:r>
              <w:rPr>
                <w:b/>
                <w:bCs/>
                <w:szCs w:val="28"/>
              </w:rPr>
              <w:t>6</w:t>
            </w:r>
            <w:r w:rsidR="007734F6">
              <w:rPr>
                <w:b/>
                <w:bCs/>
                <w:szCs w:val="28"/>
              </w:rPr>
              <w:t xml:space="preserve"> </w:t>
            </w:r>
            <w:r>
              <w:rPr>
                <w:b/>
                <w:bCs/>
                <w:szCs w:val="28"/>
              </w:rPr>
              <w:t>May</w:t>
            </w:r>
            <w:r w:rsidR="005F4465">
              <w:rPr>
                <w:b/>
                <w:bCs/>
                <w:szCs w:val="28"/>
              </w:rPr>
              <w:t xml:space="preserve"> 2025</w:t>
            </w:r>
          </w:p>
        </w:tc>
      </w:tr>
      <w:tr w:rsidR="000404DE" w:rsidRPr="00403C69" w14:paraId="0A9F3C74" w14:textId="77777777" w:rsidTr="000404DE">
        <w:trPr>
          <w:cantSplit/>
          <w:trHeight w:val="23"/>
        </w:trPr>
        <w:tc>
          <w:tcPr>
            <w:tcW w:w="6500" w:type="dxa"/>
            <w:gridSpan w:val="2"/>
            <w:shd w:val="clear" w:color="auto" w:fill="auto"/>
          </w:tcPr>
          <w:p w14:paraId="00CF1371" w14:textId="77777777" w:rsidR="005F4465" w:rsidRPr="00403C69" w:rsidRDefault="005F4465" w:rsidP="00DC48B9">
            <w:pPr>
              <w:tabs>
                <w:tab w:val="left" w:pos="851"/>
              </w:tabs>
              <w:spacing w:before="0" w:line="240" w:lineRule="atLeast"/>
              <w:rPr>
                <w:rFonts w:cstheme="minorHAnsi"/>
                <w:szCs w:val="24"/>
              </w:rPr>
            </w:pPr>
          </w:p>
        </w:tc>
        <w:tc>
          <w:tcPr>
            <w:tcW w:w="3595" w:type="dxa"/>
            <w:gridSpan w:val="2"/>
          </w:tcPr>
          <w:p w14:paraId="2329834F" w14:textId="362BF690" w:rsidR="005F4465" w:rsidRPr="00403C69" w:rsidRDefault="00531EFB" w:rsidP="00DC48B9">
            <w:pPr>
              <w:tabs>
                <w:tab w:val="left" w:pos="993"/>
              </w:tabs>
              <w:spacing w:before="0"/>
              <w:rPr>
                <w:rFonts w:cstheme="minorHAnsi"/>
                <w:b/>
                <w:szCs w:val="24"/>
              </w:rPr>
            </w:pPr>
            <w:r>
              <w:rPr>
                <w:b/>
                <w:bCs/>
                <w:szCs w:val="24"/>
              </w:rPr>
              <w:t xml:space="preserve">Original: </w:t>
            </w:r>
            <w:r w:rsidR="005F4465" w:rsidRPr="00403C69">
              <w:rPr>
                <w:b/>
                <w:bCs/>
                <w:szCs w:val="24"/>
              </w:rPr>
              <w:t>English</w:t>
            </w:r>
          </w:p>
        </w:tc>
      </w:tr>
      <w:tr w:rsidR="000404DE" w:rsidRPr="00403C69" w14:paraId="17AE9E8F" w14:textId="77777777" w:rsidTr="000404DE">
        <w:trPr>
          <w:cantSplit/>
          <w:trHeight w:val="23"/>
        </w:trPr>
        <w:tc>
          <w:tcPr>
            <w:tcW w:w="10095" w:type="dxa"/>
            <w:gridSpan w:val="4"/>
            <w:shd w:val="clear" w:color="auto" w:fill="auto"/>
          </w:tcPr>
          <w:p w14:paraId="19DEE973" w14:textId="77777777" w:rsidR="005F4465" w:rsidRPr="00403C69" w:rsidRDefault="005F4465" w:rsidP="00DC48B9">
            <w:pPr>
              <w:pStyle w:val="Source"/>
              <w:spacing w:before="240" w:after="240"/>
            </w:pPr>
            <w:r>
              <w:t>Director, Telecommunication Development Bureau</w:t>
            </w:r>
          </w:p>
        </w:tc>
      </w:tr>
      <w:tr w:rsidR="000404DE" w:rsidRPr="00403C69" w14:paraId="6DABD0DF" w14:textId="77777777" w:rsidTr="000404DE">
        <w:trPr>
          <w:cantSplit/>
          <w:trHeight w:val="23"/>
        </w:trPr>
        <w:tc>
          <w:tcPr>
            <w:tcW w:w="10095" w:type="dxa"/>
            <w:gridSpan w:val="4"/>
            <w:shd w:val="clear" w:color="auto" w:fill="auto"/>
            <w:vAlign w:val="center"/>
          </w:tcPr>
          <w:p w14:paraId="21059181" w14:textId="4EBF7CF8" w:rsidR="005F4465" w:rsidRPr="00A93A45" w:rsidRDefault="005F4465" w:rsidP="6E9985A3">
            <w:pPr>
              <w:pStyle w:val="Title1"/>
              <w:spacing w:before="120" w:after="120"/>
              <w:rPr>
                <w:caps w:val="0"/>
              </w:rPr>
            </w:pPr>
            <w:r w:rsidRPr="00A93A45">
              <w:rPr>
                <w:caps w:val="0"/>
              </w:rPr>
              <w:t xml:space="preserve">Strengthening the Regional Presence - </w:t>
            </w:r>
            <w:r w:rsidR="00A93A45">
              <w:rPr>
                <w:caps w:val="0"/>
              </w:rPr>
              <w:br/>
            </w:r>
            <w:r w:rsidRPr="00A93A45">
              <w:rPr>
                <w:caps w:val="0"/>
              </w:rPr>
              <w:t>Criteria for Establishing Future Regional and Area Offices</w:t>
            </w:r>
          </w:p>
        </w:tc>
      </w:tr>
      <w:tr w:rsidR="000404DE" w:rsidRPr="00403C69" w14:paraId="03852C0B" w14:textId="77777777" w:rsidTr="000404DE">
        <w:trPr>
          <w:cantSplit/>
          <w:trHeight w:val="23"/>
        </w:trPr>
        <w:tc>
          <w:tcPr>
            <w:tcW w:w="10095" w:type="dxa"/>
            <w:gridSpan w:val="4"/>
            <w:shd w:val="clear" w:color="auto" w:fill="auto"/>
            <w:vAlign w:val="center"/>
          </w:tcPr>
          <w:p w14:paraId="7378FCBF" w14:textId="77777777" w:rsidR="005F4465" w:rsidRDefault="005F4465" w:rsidP="00DC48B9">
            <w:pPr>
              <w:pStyle w:val="Title1"/>
              <w:spacing w:before="120" w:after="120"/>
              <w:jc w:val="left"/>
              <w:rPr>
                <w:caps w:val="0"/>
                <w:szCs w:val="28"/>
                <w:lang w:val="en-US"/>
              </w:rPr>
            </w:pPr>
          </w:p>
        </w:tc>
      </w:tr>
      <w:tr w:rsidR="000404DE" w:rsidRPr="00403C69" w14:paraId="5BD56658" w14:textId="77777777" w:rsidTr="000404DE">
        <w:trPr>
          <w:cantSplit/>
          <w:trHeight w:val="23"/>
        </w:trPr>
        <w:tc>
          <w:tcPr>
            <w:tcW w:w="10095" w:type="dxa"/>
            <w:gridSpan w:val="4"/>
            <w:tcBorders>
              <w:top w:val="single" w:sz="4" w:space="0" w:color="auto"/>
              <w:left w:val="single" w:sz="4" w:space="0" w:color="auto"/>
              <w:bottom w:val="single" w:sz="4" w:space="0" w:color="auto"/>
              <w:right w:val="single" w:sz="4" w:space="0" w:color="auto"/>
            </w:tcBorders>
            <w:shd w:val="clear" w:color="auto" w:fill="auto"/>
          </w:tcPr>
          <w:p w14:paraId="26F750D4" w14:textId="77777777" w:rsidR="005F4465" w:rsidRPr="00403C69" w:rsidRDefault="005F4465" w:rsidP="00DC48B9">
            <w:pPr>
              <w:spacing w:after="120"/>
              <w:rPr>
                <w:b/>
                <w:bCs/>
                <w:szCs w:val="24"/>
              </w:rPr>
            </w:pPr>
            <w:r w:rsidRPr="00403C69">
              <w:rPr>
                <w:b/>
                <w:bCs/>
                <w:szCs w:val="24"/>
              </w:rPr>
              <w:t>Summary:</w:t>
            </w:r>
          </w:p>
          <w:p w14:paraId="78E49CA5" w14:textId="6A7B371E" w:rsidR="005F4465" w:rsidRDefault="00B05439" w:rsidP="00DC48B9">
            <w:pPr>
              <w:rPr>
                <w:rFonts w:cstheme="minorBidi"/>
                <w:lang w:val="en-US"/>
              </w:rPr>
            </w:pPr>
            <w:r w:rsidRPr="001E401B">
              <w:t>This document reports on the contribution of the ITU Regional Presence to the fulfilment of the mandate of ITU. It provides information on the regional work towards the implementation of the ITU Strategic Plan, the Kigali Action Plan and Regional Initiatives</w:t>
            </w:r>
            <w:r w:rsidR="005F4465" w:rsidRPr="7DA98CC1">
              <w:rPr>
                <w:rFonts w:cstheme="minorBidi"/>
                <w:lang w:val="en-US"/>
              </w:rPr>
              <w:t>.</w:t>
            </w:r>
          </w:p>
          <w:p w14:paraId="755A58A7" w14:textId="77777777" w:rsidR="005F4465" w:rsidRPr="00403C69" w:rsidRDefault="005F4465" w:rsidP="00DC48B9">
            <w:pPr>
              <w:spacing w:after="120"/>
              <w:rPr>
                <w:b/>
                <w:bCs/>
                <w:szCs w:val="24"/>
              </w:rPr>
            </w:pPr>
            <w:r w:rsidRPr="00403C69">
              <w:rPr>
                <w:b/>
                <w:bCs/>
              </w:rPr>
              <w:t>Action required:</w:t>
            </w:r>
          </w:p>
          <w:p w14:paraId="26080278" w14:textId="77777777" w:rsidR="005F4465" w:rsidRPr="00403C69" w:rsidRDefault="005F4465" w:rsidP="00DC48B9">
            <w:pPr>
              <w:spacing w:after="120"/>
              <w:rPr>
                <w:szCs w:val="24"/>
              </w:rPr>
            </w:pPr>
            <w:r w:rsidRPr="00403C69">
              <w:t>TDAG is invited to note this document and provide guidance as deemed appropriate.</w:t>
            </w:r>
          </w:p>
          <w:p w14:paraId="1C537C8E" w14:textId="77777777" w:rsidR="005F4465" w:rsidRPr="00403C69" w:rsidRDefault="005F4465" w:rsidP="00DC48B9">
            <w:pPr>
              <w:spacing w:after="120"/>
              <w:rPr>
                <w:b/>
                <w:bCs/>
                <w:szCs w:val="24"/>
              </w:rPr>
            </w:pPr>
            <w:r w:rsidRPr="00403C69">
              <w:rPr>
                <w:b/>
                <w:bCs/>
                <w:szCs w:val="24"/>
              </w:rPr>
              <w:t>References:</w:t>
            </w:r>
          </w:p>
          <w:p w14:paraId="664E1054" w14:textId="272F6D12" w:rsidR="005F4465" w:rsidRPr="000404DE" w:rsidRDefault="000404DE" w:rsidP="000404DE">
            <w:pPr>
              <w:tabs>
                <w:tab w:val="left" w:pos="708"/>
              </w:tabs>
              <w:overflowPunct/>
              <w:autoSpaceDE/>
              <w:adjustRightInd/>
              <w:spacing w:after="120"/>
              <w:rPr>
                <w:szCs w:val="24"/>
              </w:rPr>
            </w:pPr>
            <w:hyperlink r:id="rId13" w:history="1">
              <w:r w:rsidRPr="000404DE">
                <w:rPr>
                  <w:rStyle w:val="Hyperlink"/>
                  <w:szCs w:val="24"/>
                </w:rPr>
                <w:t>Resolution 25</w:t>
              </w:r>
            </w:hyperlink>
            <w:r w:rsidRPr="000404DE">
              <w:rPr>
                <w:szCs w:val="24"/>
              </w:rPr>
              <w:t xml:space="preserve"> (Rev. Dubai, 2018), </w:t>
            </w:r>
            <w:hyperlink r:id="rId14" w:history="1">
              <w:r w:rsidRPr="000404DE">
                <w:rPr>
                  <w:rStyle w:val="Hyperlink"/>
                  <w:szCs w:val="24"/>
                </w:rPr>
                <w:t>Resolution 25</w:t>
              </w:r>
            </w:hyperlink>
            <w:r w:rsidRPr="000404DE">
              <w:rPr>
                <w:szCs w:val="24"/>
              </w:rPr>
              <w:t xml:space="preserve"> (Rev. Bucharest, 2022), Resolution 135 (Rev. Bucharest, 2022), Resolution 157 (Rev. Bucharest, 2022) of the Plenipotentiary Conference; </w:t>
            </w:r>
            <w:hyperlink r:id="rId15" w:history="1">
              <w:r w:rsidRPr="000404DE">
                <w:rPr>
                  <w:rStyle w:val="Hyperlink"/>
                  <w:szCs w:val="24"/>
                </w:rPr>
                <w:t>Kigali Action Plan</w:t>
              </w:r>
            </w:hyperlink>
            <w:r w:rsidRPr="000404DE">
              <w:rPr>
                <w:rStyle w:val="Hyperlink"/>
                <w:szCs w:val="24"/>
              </w:rPr>
              <w:t xml:space="preserve">, Final Report of the World Telecommunication Development Conference (Kigali, 2022), </w:t>
            </w:r>
            <w:hyperlink r:id="rId16" w:history="1">
              <w:r w:rsidRPr="000404DE">
                <w:rPr>
                  <w:rStyle w:val="Hyperlink"/>
                  <w:rFonts w:eastAsia="Aptos"/>
                  <w:szCs w:val="24"/>
                </w:rPr>
                <w:t>TDAG31-C002</w:t>
              </w:r>
            </w:hyperlink>
            <w:r w:rsidRPr="000404DE">
              <w:rPr>
                <w:rFonts w:eastAsia="Aptos"/>
                <w:szCs w:val="24"/>
              </w:rPr>
              <w:t>.</w:t>
            </w:r>
          </w:p>
        </w:tc>
      </w:tr>
    </w:tbl>
    <w:p w14:paraId="24C4132A" w14:textId="77777777" w:rsidR="005F4465" w:rsidRPr="00403C69" w:rsidRDefault="005F4465" w:rsidP="005F4465">
      <w:pPr>
        <w:tabs>
          <w:tab w:val="clear" w:pos="1134"/>
          <w:tab w:val="clear" w:pos="1871"/>
          <w:tab w:val="clear" w:pos="2268"/>
        </w:tabs>
        <w:overflowPunct/>
        <w:autoSpaceDE/>
        <w:autoSpaceDN/>
        <w:adjustRightInd/>
        <w:spacing w:before="0"/>
        <w:textAlignment w:val="auto"/>
        <w:rPr>
          <w:szCs w:val="24"/>
        </w:rPr>
      </w:pPr>
    </w:p>
    <w:p w14:paraId="111FF9E4" w14:textId="77777777" w:rsidR="005F4465" w:rsidRDefault="005F4465" w:rsidP="005F4465">
      <w:pPr>
        <w:tabs>
          <w:tab w:val="clear" w:pos="1134"/>
          <w:tab w:val="clear" w:pos="1871"/>
          <w:tab w:val="clear" w:pos="2268"/>
        </w:tabs>
        <w:overflowPunct/>
        <w:autoSpaceDE/>
        <w:autoSpaceDN/>
        <w:adjustRightInd/>
        <w:spacing w:before="0"/>
        <w:textAlignment w:val="auto"/>
        <w:rPr>
          <w:szCs w:val="24"/>
        </w:rPr>
      </w:pPr>
      <w:r>
        <w:rPr>
          <w:szCs w:val="24"/>
        </w:rPr>
        <w:br w:type="page"/>
      </w:r>
    </w:p>
    <w:p w14:paraId="52164A79" w14:textId="743F09B6" w:rsidR="00B05439" w:rsidRPr="00B05439" w:rsidRDefault="00B05439" w:rsidP="00E62D91">
      <w:pPr>
        <w:tabs>
          <w:tab w:val="clear" w:pos="1134"/>
          <w:tab w:val="clear" w:pos="2268"/>
        </w:tabs>
        <w:spacing w:after="120"/>
        <w:outlineLvl w:val="0"/>
        <w:rPr>
          <w:rFonts w:eastAsia="SimSun"/>
          <w:b/>
          <w:szCs w:val="24"/>
          <w:lang w:val="en-US"/>
        </w:rPr>
      </w:pPr>
      <w:r w:rsidRPr="00B05439">
        <w:rPr>
          <w:rFonts w:eastAsia="SimSun"/>
          <w:b/>
          <w:szCs w:val="24"/>
          <w:lang w:val="en-US"/>
        </w:rPr>
        <w:lastRenderedPageBreak/>
        <w:t>1.</w:t>
      </w:r>
      <w:r>
        <w:rPr>
          <w:rFonts w:eastAsia="SimSun"/>
          <w:b/>
          <w:szCs w:val="24"/>
          <w:lang w:val="en-US"/>
        </w:rPr>
        <w:t xml:space="preserve"> </w:t>
      </w:r>
      <w:r w:rsidRPr="00B05439">
        <w:rPr>
          <w:rFonts w:eastAsia="SimSun"/>
          <w:b/>
          <w:szCs w:val="24"/>
          <w:lang w:val="en-US"/>
        </w:rPr>
        <w:t>Background</w:t>
      </w:r>
    </w:p>
    <w:p w14:paraId="3C33E4EA" w14:textId="646C46ED" w:rsidR="00B05439" w:rsidRPr="00B05439" w:rsidRDefault="00B05439" w:rsidP="00E62D91">
      <w:pPr>
        <w:tabs>
          <w:tab w:val="clear" w:pos="1134"/>
          <w:tab w:val="clear" w:pos="2268"/>
        </w:tabs>
        <w:spacing w:after="120"/>
        <w:rPr>
          <w:rFonts w:eastAsia="Arial Unicode MS" w:cstheme="minorBidi"/>
          <w:lang w:val="en-US"/>
        </w:rPr>
      </w:pPr>
      <w:r w:rsidRPr="00B05439">
        <w:rPr>
          <w:rFonts w:eastAsia="SimSun"/>
          <w:b/>
          <w:bCs/>
          <w:lang w:val="en-US"/>
        </w:rPr>
        <w:t>1.1.</w:t>
      </w:r>
      <w:r w:rsidRPr="00B05439">
        <w:rPr>
          <w:rFonts w:eastAsia="SimSun"/>
          <w:lang w:val="en-US"/>
        </w:rPr>
        <w:t xml:space="preserve"> In </w:t>
      </w:r>
      <w:r w:rsidRPr="00B05439">
        <w:rPr>
          <w:rFonts w:eastAsia="SimSun"/>
          <w:szCs w:val="24"/>
          <w:lang w:val="en-US"/>
        </w:rPr>
        <w:t xml:space="preserve">recognition of Article 1 and Article 21 of the ITU Constitution as well as Article 5 and 14 of ITU Convention, together with WTDC </w:t>
      </w:r>
      <w:r w:rsidRPr="00B05439">
        <w:rPr>
          <w:rFonts w:eastAsia="Calibri" w:cs="Calibri"/>
          <w:szCs w:val="24"/>
          <w:lang w:val="en-US"/>
        </w:rPr>
        <w:t>Resolution 17 (Rev. Buenos Aires, 2017),</w:t>
      </w:r>
      <w:r w:rsidRPr="00B05439">
        <w:rPr>
          <w:rFonts w:eastAsia="SimSun"/>
          <w:szCs w:val="24"/>
          <w:lang w:val="en-US"/>
        </w:rPr>
        <w:t xml:space="preserve"> </w:t>
      </w:r>
      <w:r w:rsidRPr="00B05439">
        <w:rPr>
          <w:rFonts w:eastAsia="Arial Unicode MS" w:cstheme="minorBidi"/>
          <w:szCs w:val="24"/>
          <w:lang w:val="en-US"/>
        </w:rPr>
        <w:t xml:space="preserve">Resolution 25 (Rev. Bucharest, 2022) of the Plenipotentiary Conference on strengthening the ITU regional presence </w:t>
      </w:r>
      <w:r w:rsidRPr="00B05439">
        <w:rPr>
          <w:rFonts w:eastAsia="SimSun"/>
          <w:szCs w:val="24"/>
          <w:lang w:val="en-US"/>
        </w:rPr>
        <w:t xml:space="preserve">calls upon ITU, among others, to </w:t>
      </w:r>
      <w:r w:rsidRPr="00B05439">
        <w:rPr>
          <w:rFonts w:eastAsia="Arial Unicode MS" w:cstheme="minorBidi"/>
          <w:i/>
          <w:szCs w:val="24"/>
          <w:lang w:val="en-US"/>
        </w:rPr>
        <w:t>“</w:t>
      </w:r>
      <w:r w:rsidRPr="00B05439">
        <w:rPr>
          <w:rFonts w:eastAsia="Arial Unicode MS" w:cstheme="minorBidi"/>
          <w:spacing w:val="4"/>
          <w:szCs w:val="24"/>
          <w:lang w:val="en-US"/>
        </w:rPr>
        <w:t>continue to strengthen the functions of the regional and area offices so that they can play an important role in implementation of the ITU strategic plan, programmes,</w:t>
      </w:r>
      <w:r w:rsidRPr="00B05439">
        <w:rPr>
          <w:rFonts w:eastAsia="Arial Unicode MS" w:cstheme="minorBidi"/>
          <w:szCs w:val="24"/>
          <w:lang w:val="en-US"/>
        </w:rPr>
        <w:t xml:space="preserve"> and projects, and the regional initiatives set out in the Kigali Action Plan, pursuant to Resolution 17 (Rev. Kigali, 2022) of the World Telecommunication Development Conference (WTDC), within available resources, including those allocated by the financial plan and from other relevant sources</w:t>
      </w:r>
      <w:r w:rsidRPr="00B05439">
        <w:rPr>
          <w:rFonts w:eastAsia="Arial Unicode MS" w:cstheme="minorBidi"/>
          <w:lang w:val="en-US"/>
        </w:rPr>
        <w:t xml:space="preserve"> such as voluntary contributions and sponsorships.”</w:t>
      </w:r>
    </w:p>
    <w:p w14:paraId="2DE1C07F" w14:textId="28E9DC1F" w:rsidR="00B05439" w:rsidRPr="00B05439" w:rsidRDefault="00B05439" w:rsidP="00E62D91">
      <w:pPr>
        <w:tabs>
          <w:tab w:val="clear" w:pos="1134"/>
          <w:tab w:val="clear" w:pos="2268"/>
        </w:tabs>
        <w:spacing w:after="120"/>
        <w:rPr>
          <w:rFonts w:eastAsia="SimSun"/>
          <w:lang w:val="en-US"/>
        </w:rPr>
      </w:pPr>
      <w:r w:rsidRPr="00B05439">
        <w:rPr>
          <w:rFonts w:eastAsia="SimSun"/>
          <w:b/>
          <w:bCs/>
          <w:lang w:val="en-US"/>
        </w:rPr>
        <w:t>1.2.</w:t>
      </w:r>
      <w:r w:rsidRPr="00B05439">
        <w:rPr>
          <w:rFonts w:eastAsia="SimSun"/>
          <w:lang w:val="en-US"/>
        </w:rPr>
        <w:t xml:space="preserve"> Resolution 25 emphasizes the important role of</w:t>
      </w:r>
      <w:r w:rsidRPr="00B05439">
        <w:rPr>
          <w:rFonts w:eastAsia="SimSun"/>
        </w:rPr>
        <w:t xml:space="preserve"> the regional and area offices to </w:t>
      </w:r>
      <w:r w:rsidRPr="00B05439">
        <w:rPr>
          <w:rFonts w:eastAsia="SimSun"/>
          <w:lang w:val="en-US"/>
        </w:rPr>
        <w:t>enable ITU (the three sectors and the General Secretariat) to work as closely as possible with its membership, serving as a channel for executing programmes, projects, and activities, disseminating information on the Union’s activities, developing closer ties with regional and subregional telecommunication organizations and the United Nations organizations, and providing technical assistance to countries, including LDCs, with specific needs. It also places importance on the participation of developing countries in ITU activities.</w:t>
      </w:r>
    </w:p>
    <w:p w14:paraId="48A299A9" w14:textId="6C950584" w:rsidR="00B05439" w:rsidRPr="00B05439" w:rsidRDefault="00B05439" w:rsidP="00E62D91">
      <w:pPr>
        <w:tabs>
          <w:tab w:val="left" w:pos="720"/>
        </w:tabs>
        <w:spacing w:after="120"/>
        <w:rPr>
          <w:rFonts w:eastAsia="SimSun"/>
          <w:lang w:val="en-US"/>
        </w:rPr>
      </w:pPr>
      <w:r w:rsidRPr="00B05439">
        <w:rPr>
          <w:rFonts w:eastAsia="SimSun"/>
          <w:b/>
          <w:bCs/>
          <w:lang w:val="en-US"/>
        </w:rPr>
        <w:t>1.3.</w:t>
      </w:r>
      <w:r>
        <w:rPr>
          <w:rFonts w:eastAsia="SimSun"/>
          <w:lang w:val="en-US"/>
        </w:rPr>
        <w:t xml:space="preserve"> </w:t>
      </w:r>
      <w:r w:rsidRPr="00B05439">
        <w:rPr>
          <w:rFonts w:eastAsia="SimSun"/>
        </w:rPr>
        <w:t>The Plenipotentiary Conference 2022 (PP-22) requested reporting on the activities of regional and area offices, by implementing region-specific actions aligned with the Union’s Strategic Plan, to facilitate the overarching objective of achieving ITU’s strategic goals, while ensuring effective representation of the Union’s work as well as the geographical diversity and the region’s specific needs.</w:t>
      </w:r>
    </w:p>
    <w:p w14:paraId="20EDB3D9" w14:textId="6433D29C" w:rsidR="00B05439" w:rsidRDefault="00B05439" w:rsidP="00E62D91">
      <w:pPr>
        <w:tabs>
          <w:tab w:val="left" w:pos="720"/>
        </w:tabs>
        <w:spacing w:after="120"/>
        <w:rPr>
          <w:rFonts w:eastAsia="SimSun"/>
          <w:lang w:val="en-US"/>
        </w:rPr>
      </w:pPr>
      <w:r w:rsidRPr="00B05439">
        <w:rPr>
          <w:rFonts w:eastAsia="SimSun"/>
          <w:b/>
          <w:bCs/>
          <w:lang w:val="en-US"/>
        </w:rPr>
        <w:t>1.4.</w:t>
      </w:r>
      <w:r w:rsidRPr="00B05439">
        <w:rPr>
          <w:rFonts w:eastAsia="SimSun"/>
          <w:lang w:val="en-US"/>
        </w:rPr>
        <w:t xml:space="preserve"> This report provides information on the implementation of activities on the ground by the ITU Field Offices related to the three sectors of the Union</w:t>
      </w:r>
      <w:r>
        <w:rPr>
          <w:rFonts w:eastAsia="SimSun"/>
          <w:lang w:val="en-US"/>
        </w:rPr>
        <w:t xml:space="preserve"> as well as the </w:t>
      </w:r>
      <w:r w:rsidRPr="00B05439">
        <w:rPr>
          <w:szCs w:val="24"/>
        </w:rPr>
        <w:t>Report of the online correspondence group to develop terms of reference for the ITU</w:t>
      </w:r>
      <w:r>
        <w:rPr>
          <w:szCs w:val="24"/>
        </w:rPr>
        <w:t xml:space="preserve"> </w:t>
      </w:r>
      <w:r w:rsidRPr="00B05439">
        <w:rPr>
          <w:szCs w:val="24"/>
        </w:rPr>
        <w:t>to complete a review of regional presence under Resolution 25</w:t>
      </w:r>
      <w:r>
        <w:rPr>
          <w:szCs w:val="24"/>
        </w:rPr>
        <w:t xml:space="preserve"> as contained </w:t>
      </w:r>
      <w:r w:rsidRPr="00223683">
        <w:rPr>
          <w:szCs w:val="24"/>
        </w:rPr>
        <w:t xml:space="preserve">in </w:t>
      </w:r>
      <w:r w:rsidRPr="00641F12">
        <w:rPr>
          <w:szCs w:val="24"/>
        </w:rPr>
        <w:t xml:space="preserve">Annex </w:t>
      </w:r>
      <w:r>
        <w:rPr>
          <w:szCs w:val="24"/>
        </w:rPr>
        <w:t>1 (</w:t>
      </w:r>
      <w:hyperlink r:id="rId17" w:history="1">
        <w:r w:rsidRPr="00664878">
          <w:rPr>
            <w:rStyle w:val="Hyperlink"/>
            <w:rFonts w:cstheme="minorHAnsi"/>
            <w:szCs w:val="24"/>
          </w:rPr>
          <w:t>TDAG25/24(Ann.1)</w:t>
        </w:r>
      </w:hyperlink>
      <w:r>
        <w:t>)</w:t>
      </w:r>
      <w:r w:rsidRPr="00223683">
        <w:rPr>
          <w:szCs w:val="24"/>
        </w:rPr>
        <w:t xml:space="preserve"> to this document</w:t>
      </w:r>
      <w:r>
        <w:rPr>
          <w:szCs w:val="24"/>
        </w:rPr>
        <w:t>.</w:t>
      </w:r>
    </w:p>
    <w:p w14:paraId="1B50146F" w14:textId="77777777" w:rsidR="00B05439" w:rsidRPr="001E401B" w:rsidRDefault="00B05439" w:rsidP="00E62D91">
      <w:pPr>
        <w:keepNext/>
        <w:tabs>
          <w:tab w:val="clear" w:pos="1134"/>
          <w:tab w:val="clear" w:pos="2268"/>
        </w:tabs>
        <w:overflowPunct/>
        <w:autoSpaceDE/>
        <w:adjustRightInd/>
        <w:spacing w:after="120"/>
        <w:rPr>
          <w:rFonts w:eastAsia="SimSun"/>
          <w:b/>
          <w:bCs/>
          <w:lang w:val="en-US"/>
        </w:rPr>
      </w:pPr>
      <w:r w:rsidRPr="79CEA5FC">
        <w:rPr>
          <w:rFonts w:eastAsia="SimSun"/>
          <w:b/>
          <w:bCs/>
          <w:lang w:val="en-US"/>
        </w:rPr>
        <w:t>2. Activities related to ITU’s Development Sector and BDT</w:t>
      </w:r>
    </w:p>
    <w:p w14:paraId="6A2CA2CA" w14:textId="77777777" w:rsidR="00B05439" w:rsidRPr="001E401B" w:rsidRDefault="00B05439" w:rsidP="00E62D91">
      <w:pPr>
        <w:keepNext/>
        <w:tabs>
          <w:tab w:val="clear" w:pos="1134"/>
          <w:tab w:val="clear" w:pos="2268"/>
        </w:tabs>
        <w:overflowPunct/>
        <w:autoSpaceDE/>
        <w:adjustRightInd/>
        <w:spacing w:after="120"/>
        <w:rPr>
          <w:rFonts w:eastAsia="SimSun"/>
          <w:b/>
          <w:bCs/>
          <w:lang w:val="en-US"/>
        </w:rPr>
      </w:pPr>
      <w:r>
        <w:rPr>
          <w:rFonts w:eastAsia="SimSun"/>
          <w:b/>
          <w:bCs/>
          <w:lang w:val="en-US"/>
        </w:rPr>
        <w:t xml:space="preserve">2.1 </w:t>
      </w:r>
      <w:r w:rsidRPr="79CEA5FC">
        <w:rPr>
          <w:rFonts w:eastAsia="SimSun"/>
          <w:b/>
          <w:bCs/>
          <w:lang w:val="en-US"/>
        </w:rPr>
        <w:t>Regional Development Forums (RDFs) and Regional Preparatory Meeting (RPMs)</w:t>
      </w:r>
    </w:p>
    <w:p w14:paraId="4D6E0FA0" w14:textId="77777777" w:rsidR="00B05439" w:rsidRDefault="00B05439" w:rsidP="00E62D91">
      <w:pPr>
        <w:tabs>
          <w:tab w:val="left" w:pos="720"/>
        </w:tabs>
        <w:overflowPunct/>
        <w:autoSpaceDE/>
        <w:autoSpaceDN/>
        <w:adjustRightInd/>
        <w:spacing w:after="120"/>
        <w:textAlignment w:val="auto"/>
        <w:rPr>
          <w:rFonts w:eastAsia="SimSun"/>
        </w:rPr>
      </w:pPr>
      <w:r>
        <w:rPr>
          <w:rFonts w:eastAsia="SimSun"/>
        </w:rPr>
        <w:t>In 2025</w:t>
      </w:r>
      <w:r w:rsidRPr="79CEA5FC">
        <w:rPr>
          <w:rFonts w:eastAsia="SimSun"/>
        </w:rPr>
        <w:t xml:space="preserve">, the Regional Development Forums were held back-to-back with the Regional Preparatory Meetings for WTDC-25 as shown in the table below: </w:t>
      </w:r>
    </w:p>
    <w:tbl>
      <w:tblPr>
        <w:tblW w:w="934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62"/>
        <w:gridCol w:w="2070"/>
        <w:gridCol w:w="1980"/>
        <w:gridCol w:w="1358"/>
        <w:gridCol w:w="2775"/>
      </w:tblGrid>
      <w:tr w:rsidR="00B05439" w:rsidRPr="00E62D91" w14:paraId="0CB00DF7" w14:textId="77777777" w:rsidTr="00E62D91">
        <w:trPr>
          <w:trHeight w:val="300"/>
          <w:tblHeader/>
        </w:trPr>
        <w:tc>
          <w:tcPr>
            <w:tcW w:w="116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F0FCF0" w14:textId="77777777" w:rsidR="00B05439" w:rsidRPr="00E62D91" w:rsidRDefault="00B05439" w:rsidP="00E62D91">
            <w:pPr>
              <w:spacing w:before="40" w:after="40"/>
              <w:rPr>
                <w:rFonts w:eastAsia="Calibri" w:cs="Calibri"/>
                <w:color w:val="000000" w:themeColor="text1"/>
                <w:sz w:val="22"/>
                <w:szCs w:val="22"/>
              </w:rPr>
            </w:pPr>
            <w:r w:rsidRPr="00E62D91">
              <w:rPr>
                <w:rFonts w:eastAsia="Calibri" w:cs="Calibri"/>
                <w:b/>
                <w:bCs/>
                <w:color w:val="000000" w:themeColor="text1"/>
                <w:sz w:val="22"/>
                <w:szCs w:val="22"/>
              </w:rPr>
              <w:t>Region</w:t>
            </w:r>
          </w:p>
        </w:tc>
        <w:tc>
          <w:tcPr>
            <w:tcW w:w="20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244E57" w14:textId="77777777" w:rsidR="00B05439" w:rsidRPr="00E62D91" w:rsidRDefault="00B05439" w:rsidP="00E62D91">
            <w:pPr>
              <w:spacing w:before="40" w:after="40"/>
              <w:rPr>
                <w:rFonts w:eastAsia="Calibri" w:cs="Calibri"/>
                <w:color w:val="000000" w:themeColor="text1"/>
                <w:sz w:val="22"/>
                <w:szCs w:val="22"/>
              </w:rPr>
            </w:pPr>
            <w:r w:rsidRPr="00E62D91">
              <w:rPr>
                <w:rFonts w:eastAsia="Calibri" w:cs="Calibri"/>
                <w:b/>
                <w:bCs/>
                <w:color w:val="000000" w:themeColor="text1"/>
                <w:sz w:val="22"/>
                <w:szCs w:val="22"/>
              </w:rPr>
              <w:t>Dates</w:t>
            </w:r>
          </w:p>
        </w:tc>
        <w:tc>
          <w:tcPr>
            <w:tcW w:w="1980" w:type="dxa"/>
            <w:tcBorders>
              <w:top w:val="single" w:sz="6" w:space="0" w:color="auto"/>
              <w:left w:val="single" w:sz="6" w:space="0" w:color="auto"/>
              <w:bottom w:val="single" w:sz="6" w:space="0" w:color="auto"/>
              <w:right w:val="single" w:sz="6" w:space="0" w:color="auto"/>
            </w:tcBorders>
            <w:vAlign w:val="center"/>
          </w:tcPr>
          <w:p w14:paraId="6FDE408F" w14:textId="77777777" w:rsidR="00B05439" w:rsidRPr="00E62D91" w:rsidRDefault="00B05439" w:rsidP="00E62D91">
            <w:pPr>
              <w:spacing w:before="40" w:after="40"/>
              <w:rPr>
                <w:rFonts w:eastAsia="Calibri" w:cs="Calibri"/>
                <w:color w:val="000000" w:themeColor="text1"/>
                <w:sz w:val="22"/>
                <w:szCs w:val="22"/>
              </w:rPr>
            </w:pPr>
            <w:r w:rsidRPr="00E62D91">
              <w:rPr>
                <w:rFonts w:eastAsia="Calibri" w:cs="Calibri"/>
                <w:b/>
                <w:bCs/>
                <w:color w:val="000000" w:themeColor="text1"/>
                <w:sz w:val="22"/>
                <w:szCs w:val="22"/>
              </w:rPr>
              <w:t xml:space="preserve">City and Host country </w:t>
            </w:r>
          </w:p>
        </w:tc>
        <w:tc>
          <w:tcPr>
            <w:tcW w:w="1358" w:type="dxa"/>
            <w:tcBorders>
              <w:top w:val="single" w:sz="6" w:space="0" w:color="auto"/>
              <w:left w:val="single" w:sz="6" w:space="0" w:color="auto"/>
              <w:bottom w:val="single" w:sz="6" w:space="0" w:color="auto"/>
              <w:right w:val="single" w:sz="6" w:space="0" w:color="auto"/>
            </w:tcBorders>
            <w:vAlign w:val="center"/>
          </w:tcPr>
          <w:p w14:paraId="3C5FAFCD" w14:textId="77777777" w:rsidR="00B05439" w:rsidRPr="00E62D91" w:rsidRDefault="00B05439" w:rsidP="00E62D91">
            <w:pPr>
              <w:spacing w:before="40" w:after="40"/>
              <w:jc w:val="center"/>
              <w:rPr>
                <w:rFonts w:eastAsia="Calibri" w:cs="Calibri"/>
                <w:color w:val="000000" w:themeColor="text1"/>
                <w:sz w:val="22"/>
                <w:szCs w:val="22"/>
              </w:rPr>
            </w:pPr>
            <w:r w:rsidRPr="00E62D91">
              <w:rPr>
                <w:rFonts w:eastAsia="Calibri" w:cs="Calibri"/>
                <w:b/>
                <w:bCs/>
                <w:color w:val="000000" w:themeColor="text1"/>
                <w:sz w:val="22"/>
                <w:szCs w:val="22"/>
              </w:rPr>
              <w:t>Final RPM Report</w:t>
            </w:r>
          </w:p>
        </w:tc>
        <w:tc>
          <w:tcPr>
            <w:tcW w:w="2775" w:type="dxa"/>
            <w:tcBorders>
              <w:top w:val="single" w:sz="6" w:space="0" w:color="auto"/>
              <w:left w:val="single" w:sz="6" w:space="0" w:color="auto"/>
              <w:bottom w:val="single" w:sz="6" w:space="0" w:color="auto"/>
              <w:right w:val="single" w:sz="6" w:space="0" w:color="auto"/>
            </w:tcBorders>
          </w:tcPr>
          <w:p w14:paraId="3DE81D12" w14:textId="77777777" w:rsidR="00B05439" w:rsidRPr="00E62D91" w:rsidRDefault="00B05439" w:rsidP="00E62D91">
            <w:pPr>
              <w:spacing w:before="40" w:after="40"/>
              <w:jc w:val="center"/>
              <w:rPr>
                <w:rFonts w:eastAsia="Calibri" w:cs="Calibri"/>
                <w:color w:val="000000" w:themeColor="text1"/>
                <w:sz w:val="22"/>
                <w:szCs w:val="22"/>
              </w:rPr>
            </w:pPr>
            <w:r w:rsidRPr="00E62D91">
              <w:rPr>
                <w:rFonts w:eastAsia="Calibri" w:cs="Calibri"/>
                <w:b/>
                <w:bCs/>
                <w:color w:val="000000" w:themeColor="text1"/>
                <w:sz w:val="22"/>
                <w:szCs w:val="22"/>
              </w:rPr>
              <w:t>Link to the video on implementation of Kigali Action Plan (KAP)</w:t>
            </w:r>
          </w:p>
        </w:tc>
      </w:tr>
      <w:tr w:rsidR="00B05439" w:rsidRPr="00E62D91" w14:paraId="37090952" w14:textId="77777777" w:rsidTr="004D451D">
        <w:trPr>
          <w:trHeight w:val="300"/>
        </w:trPr>
        <w:tc>
          <w:tcPr>
            <w:tcW w:w="1162" w:type="dxa"/>
            <w:tcBorders>
              <w:top w:val="single" w:sz="6" w:space="0" w:color="auto"/>
              <w:left w:val="single" w:sz="6" w:space="0" w:color="auto"/>
              <w:bottom w:val="single" w:sz="6" w:space="0" w:color="auto"/>
              <w:right w:val="single" w:sz="6" w:space="0" w:color="auto"/>
            </w:tcBorders>
            <w:tcMar>
              <w:left w:w="105" w:type="dxa"/>
              <w:right w:w="105" w:type="dxa"/>
            </w:tcMar>
          </w:tcPr>
          <w:p w14:paraId="591468B6" w14:textId="77777777" w:rsidR="00B05439" w:rsidRPr="00E62D91" w:rsidRDefault="00B05439" w:rsidP="00E62D91">
            <w:pPr>
              <w:spacing w:before="40" w:after="40"/>
              <w:rPr>
                <w:rFonts w:eastAsia="Calibri" w:cs="Calibri"/>
                <w:color w:val="000000" w:themeColor="text1"/>
                <w:sz w:val="22"/>
                <w:szCs w:val="22"/>
              </w:rPr>
            </w:pPr>
            <w:hyperlink r:id="rId18" w:history="1">
              <w:r w:rsidRPr="00E62D91">
                <w:rPr>
                  <w:rStyle w:val="Hyperlink"/>
                  <w:rFonts w:eastAsia="Calibri" w:cs="Calibri"/>
                  <w:sz w:val="22"/>
                  <w:szCs w:val="22"/>
                </w:rPr>
                <w:t>RDF</w:t>
              </w:r>
            </w:hyperlink>
            <w:r w:rsidRPr="00E62D91">
              <w:rPr>
                <w:rFonts w:eastAsia="Calibri" w:cs="Calibri"/>
                <w:color w:val="000000" w:themeColor="text1"/>
                <w:sz w:val="22"/>
                <w:szCs w:val="22"/>
              </w:rPr>
              <w:t xml:space="preserve"> &amp; </w:t>
            </w:r>
            <w:hyperlink r:id="rId19" w:history="1">
              <w:r w:rsidRPr="00E62D91">
                <w:rPr>
                  <w:rStyle w:val="Hyperlink"/>
                  <w:rFonts w:eastAsia="Calibri" w:cs="Calibri"/>
                  <w:sz w:val="22"/>
                  <w:szCs w:val="22"/>
                </w:rPr>
                <w:t>RPM-ARB</w:t>
              </w:r>
            </w:hyperlink>
          </w:p>
        </w:tc>
        <w:tc>
          <w:tcPr>
            <w:tcW w:w="2070" w:type="dxa"/>
            <w:tcBorders>
              <w:top w:val="single" w:sz="6" w:space="0" w:color="auto"/>
              <w:left w:val="single" w:sz="6" w:space="0" w:color="auto"/>
              <w:bottom w:val="single" w:sz="6" w:space="0" w:color="auto"/>
              <w:right w:val="single" w:sz="6" w:space="0" w:color="auto"/>
            </w:tcBorders>
            <w:tcMar>
              <w:left w:w="105" w:type="dxa"/>
              <w:right w:w="105" w:type="dxa"/>
            </w:tcMar>
          </w:tcPr>
          <w:p w14:paraId="7F01FFDB" w14:textId="77777777" w:rsidR="00B05439" w:rsidRPr="00E62D91" w:rsidRDefault="00B05439" w:rsidP="00E62D91">
            <w:pPr>
              <w:spacing w:before="40" w:after="40"/>
              <w:rPr>
                <w:rFonts w:eastAsia="Calibri" w:cs="Calibri"/>
                <w:color w:val="000000" w:themeColor="text1"/>
                <w:sz w:val="22"/>
                <w:szCs w:val="22"/>
              </w:rPr>
            </w:pPr>
            <w:r w:rsidRPr="00E62D91">
              <w:rPr>
                <w:rFonts w:eastAsia="Calibri" w:cs="Calibri"/>
                <w:color w:val="000000" w:themeColor="text1"/>
                <w:sz w:val="22"/>
                <w:szCs w:val="22"/>
              </w:rPr>
              <w:t>3 February 2025</w:t>
            </w:r>
            <w:r w:rsidRPr="00E62D91">
              <w:rPr>
                <w:rFonts w:eastAsia="Calibri" w:cs="Calibri"/>
                <w:color w:val="000000" w:themeColor="text1"/>
                <w:sz w:val="22"/>
                <w:szCs w:val="22"/>
              </w:rPr>
              <w:br/>
              <w:t>4-5 February 2025</w:t>
            </w:r>
          </w:p>
        </w:tc>
        <w:tc>
          <w:tcPr>
            <w:tcW w:w="1980" w:type="dxa"/>
            <w:tcBorders>
              <w:top w:val="single" w:sz="6" w:space="0" w:color="auto"/>
              <w:left w:val="single" w:sz="6" w:space="0" w:color="auto"/>
              <w:bottom w:val="single" w:sz="6" w:space="0" w:color="auto"/>
              <w:right w:val="single" w:sz="6" w:space="0" w:color="auto"/>
            </w:tcBorders>
          </w:tcPr>
          <w:p w14:paraId="0AC16A6D" w14:textId="77777777" w:rsidR="00B05439" w:rsidRPr="00E62D91" w:rsidRDefault="00B05439" w:rsidP="00E62D91">
            <w:pPr>
              <w:spacing w:before="40" w:after="40"/>
              <w:ind w:left="113"/>
              <w:jc w:val="both"/>
              <w:rPr>
                <w:rFonts w:eastAsia="Calibri" w:cs="Calibri"/>
                <w:color w:val="000000" w:themeColor="text1"/>
                <w:sz w:val="22"/>
                <w:szCs w:val="22"/>
              </w:rPr>
            </w:pPr>
            <w:r w:rsidRPr="00E62D91">
              <w:rPr>
                <w:rFonts w:eastAsia="Calibri" w:cs="Calibri"/>
                <w:color w:val="000000" w:themeColor="text1"/>
                <w:sz w:val="22"/>
                <w:szCs w:val="22"/>
              </w:rPr>
              <w:t>Amman, Jordan</w:t>
            </w:r>
          </w:p>
        </w:tc>
        <w:tc>
          <w:tcPr>
            <w:tcW w:w="1358" w:type="dxa"/>
            <w:tcBorders>
              <w:top w:val="single" w:sz="6" w:space="0" w:color="auto"/>
              <w:left w:val="single" w:sz="6" w:space="0" w:color="auto"/>
              <w:bottom w:val="single" w:sz="6" w:space="0" w:color="auto"/>
              <w:right w:val="single" w:sz="6" w:space="0" w:color="auto"/>
            </w:tcBorders>
          </w:tcPr>
          <w:p w14:paraId="391C806F" w14:textId="77777777" w:rsidR="00B05439" w:rsidRPr="00E62D91" w:rsidRDefault="00B05439" w:rsidP="00E62D91">
            <w:pPr>
              <w:spacing w:before="40" w:after="40"/>
              <w:ind w:left="113"/>
              <w:jc w:val="center"/>
              <w:rPr>
                <w:rFonts w:eastAsia="Calibri" w:cs="Calibri"/>
                <w:color w:val="000000" w:themeColor="text1"/>
                <w:sz w:val="22"/>
                <w:szCs w:val="22"/>
              </w:rPr>
            </w:pPr>
            <w:hyperlink r:id="rId20">
              <w:r w:rsidRPr="00E62D91">
                <w:rPr>
                  <w:rStyle w:val="Hyperlink"/>
                  <w:rFonts w:eastAsia="Calibri" w:cs="Calibri"/>
                  <w:sz w:val="22"/>
                  <w:szCs w:val="22"/>
                </w:rPr>
                <w:t>Report</w:t>
              </w:r>
            </w:hyperlink>
          </w:p>
        </w:tc>
        <w:tc>
          <w:tcPr>
            <w:tcW w:w="2775" w:type="dxa"/>
            <w:tcBorders>
              <w:top w:val="single" w:sz="6" w:space="0" w:color="auto"/>
              <w:left w:val="single" w:sz="6" w:space="0" w:color="auto"/>
              <w:bottom w:val="single" w:sz="6" w:space="0" w:color="auto"/>
              <w:right w:val="single" w:sz="6" w:space="0" w:color="auto"/>
            </w:tcBorders>
          </w:tcPr>
          <w:p w14:paraId="1577FBF1" w14:textId="5061B242" w:rsidR="00B05439" w:rsidRPr="00E62D91" w:rsidRDefault="00B05439" w:rsidP="00E62D91">
            <w:pPr>
              <w:spacing w:before="40" w:after="40"/>
              <w:ind w:left="113"/>
              <w:jc w:val="center"/>
              <w:rPr>
                <w:rFonts w:eastAsia="Calibri" w:cs="Calibri"/>
                <w:color w:val="000000" w:themeColor="text1"/>
                <w:sz w:val="22"/>
                <w:szCs w:val="22"/>
              </w:rPr>
            </w:pPr>
            <w:hyperlink r:id="rId21">
              <w:r w:rsidRPr="00E62D91">
                <w:rPr>
                  <w:rStyle w:val="Hyperlink"/>
                  <w:rFonts w:eastAsia="Calibri" w:cs="Calibri"/>
                  <w:sz w:val="22"/>
                  <w:szCs w:val="22"/>
                </w:rPr>
                <w:t>Video</w:t>
              </w:r>
            </w:hyperlink>
          </w:p>
        </w:tc>
      </w:tr>
      <w:tr w:rsidR="00B05439" w:rsidRPr="00E62D91" w14:paraId="14B61C4A" w14:textId="77777777" w:rsidTr="004D451D">
        <w:trPr>
          <w:trHeight w:val="300"/>
        </w:trPr>
        <w:tc>
          <w:tcPr>
            <w:tcW w:w="1162" w:type="dxa"/>
            <w:tcBorders>
              <w:top w:val="single" w:sz="6" w:space="0" w:color="auto"/>
              <w:left w:val="single" w:sz="6" w:space="0" w:color="auto"/>
              <w:bottom w:val="single" w:sz="6" w:space="0" w:color="auto"/>
              <w:right w:val="single" w:sz="6" w:space="0" w:color="auto"/>
            </w:tcBorders>
            <w:tcMar>
              <w:left w:w="105" w:type="dxa"/>
              <w:right w:w="105" w:type="dxa"/>
            </w:tcMar>
          </w:tcPr>
          <w:p w14:paraId="70B74E2D" w14:textId="77777777" w:rsidR="00B05439" w:rsidRPr="00E62D91" w:rsidRDefault="00B05439" w:rsidP="00E62D91">
            <w:pPr>
              <w:spacing w:before="40" w:after="40"/>
              <w:rPr>
                <w:rFonts w:eastAsia="Calibri" w:cs="Calibri"/>
                <w:color w:val="000000" w:themeColor="text1"/>
                <w:sz w:val="22"/>
                <w:szCs w:val="22"/>
              </w:rPr>
            </w:pPr>
            <w:hyperlink r:id="rId22" w:history="1">
              <w:r w:rsidRPr="00E62D91">
                <w:rPr>
                  <w:rStyle w:val="Hyperlink"/>
                  <w:rFonts w:eastAsia="Calibri" w:cs="Calibri"/>
                  <w:sz w:val="22"/>
                  <w:szCs w:val="22"/>
                </w:rPr>
                <w:t>RDF</w:t>
              </w:r>
            </w:hyperlink>
            <w:r w:rsidRPr="00E62D91">
              <w:rPr>
                <w:rFonts w:eastAsia="Calibri" w:cs="Calibri"/>
                <w:color w:val="000000" w:themeColor="text1"/>
                <w:sz w:val="22"/>
                <w:szCs w:val="22"/>
              </w:rPr>
              <w:t xml:space="preserve"> &amp; </w:t>
            </w:r>
            <w:hyperlink r:id="rId23" w:history="1">
              <w:r w:rsidRPr="00E62D91">
                <w:rPr>
                  <w:rStyle w:val="Hyperlink"/>
                  <w:rFonts w:eastAsia="Calibri" w:cs="Calibri"/>
                  <w:sz w:val="22"/>
                  <w:szCs w:val="22"/>
                </w:rPr>
                <w:t>RPM-EUR</w:t>
              </w:r>
            </w:hyperlink>
          </w:p>
        </w:tc>
        <w:tc>
          <w:tcPr>
            <w:tcW w:w="2070" w:type="dxa"/>
            <w:tcBorders>
              <w:top w:val="single" w:sz="6" w:space="0" w:color="auto"/>
              <w:left w:val="single" w:sz="6" w:space="0" w:color="auto"/>
              <w:bottom w:val="single" w:sz="6" w:space="0" w:color="auto"/>
              <w:right w:val="single" w:sz="6" w:space="0" w:color="auto"/>
            </w:tcBorders>
            <w:tcMar>
              <w:left w:w="105" w:type="dxa"/>
              <w:right w:w="105" w:type="dxa"/>
            </w:tcMar>
          </w:tcPr>
          <w:p w14:paraId="433F07D0" w14:textId="77777777" w:rsidR="00B05439" w:rsidRPr="00E62D91" w:rsidRDefault="00B05439" w:rsidP="00E62D91">
            <w:pPr>
              <w:spacing w:before="40" w:after="40"/>
              <w:rPr>
                <w:rFonts w:eastAsia="Calibri" w:cs="Calibri"/>
                <w:color w:val="000000" w:themeColor="text1"/>
                <w:sz w:val="22"/>
                <w:szCs w:val="22"/>
              </w:rPr>
            </w:pPr>
            <w:r w:rsidRPr="00E62D91">
              <w:rPr>
                <w:rFonts w:eastAsia="Calibri" w:cs="Calibri"/>
                <w:color w:val="000000" w:themeColor="text1"/>
                <w:sz w:val="22"/>
                <w:szCs w:val="22"/>
              </w:rPr>
              <w:t>24 February 2025</w:t>
            </w:r>
            <w:r w:rsidRPr="00E62D91">
              <w:rPr>
                <w:rFonts w:eastAsia="Calibri" w:cs="Calibri"/>
                <w:color w:val="000000" w:themeColor="text1"/>
                <w:sz w:val="22"/>
                <w:szCs w:val="22"/>
              </w:rPr>
              <w:br/>
              <w:t>25-26 February 2025</w:t>
            </w:r>
          </w:p>
        </w:tc>
        <w:tc>
          <w:tcPr>
            <w:tcW w:w="1980" w:type="dxa"/>
            <w:tcBorders>
              <w:top w:val="single" w:sz="6" w:space="0" w:color="auto"/>
              <w:left w:val="single" w:sz="6" w:space="0" w:color="auto"/>
              <w:bottom w:val="single" w:sz="6" w:space="0" w:color="auto"/>
              <w:right w:val="single" w:sz="6" w:space="0" w:color="auto"/>
            </w:tcBorders>
          </w:tcPr>
          <w:p w14:paraId="641B8CF4" w14:textId="77777777" w:rsidR="00B05439" w:rsidRPr="00E62D91" w:rsidRDefault="00B05439" w:rsidP="00E62D91">
            <w:pPr>
              <w:spacing w:before="40" w:after="40"/>
              <w:jc w:val="both"/>
              <w:rPr>
                <w:rFonts w:eastAsia="Calibri" w:cs="Calibri"/>
                <w:color w:val="000000" w:themeColor="text1"/>
                <w:sz w:val="22"/>
                <w:szCs w:val="22"/>
              </w:rPr>
            </w:pPr>
            <w:r w:rsidRPr="00E62D91">
              <w:rPr>
                <w:rFonts w:eastAsia="Calibri" w:cs="Calibri"/>
                <w:color w:val="000000" w:themeColor="text1"/>
                <w:sz w:val="22"/>
                <w:szCs w:val="22"/>
              </w:rPr>
              <w:t>Budapest, Hungary</w:t>
            </w:r>
          </w:p>
        </w:tc>
        <w:tc>
          <w:tcPr>
            <w:tcW w:w="1358" w:type="dxa"/>
            <w:tcBorders>
              <w:top w:val="single" w:sz="6" w:space="0" w:color="auto"/>
              <w:left w:val="single" w:sz="6" w:space="0" w:color="auto"/>
              <w:bottom w:val="single" w:sz="6" w:space="0" w:color="auto"/>
              <w:right w:val="single" w:sz="6" w:space="0" w:color="auto"/>
            </w:tcBorders>
          </w:tcPr>
          <w:p w14:paraId="0FFB570B" w14:textId="77777777" w:rsidR="00B05439" w:rsidRPr="00E62D91" w:rsidRDefault="00B05439" w:rsidP="00E62D91">
            <w:pPr>
              <w:spacing w:before="40" w:after="40"/>
              <w:ind w:left="113"/>
              <w:jc w:val="center"/>
              <w:rPr>
                <w:rFonts w:eastAsia="Calibri" w:cs="Calibri"/>
                <w:color w:val="000000" w:themeColor="text1"/>
                <w:sz w:val="22"/>
                <w:szCs w:val="22"/>
              </w:rPr>
            </w:pPr>
            <w:hyperlink r:id="rId24">
              <w:r w:rsidRPr="00E62D91">
                <w:rPr>
                  <w:rStyle w:val="Hyperlink"/>
                  <w:rFonts w:eastAsia="Calibri" w:cs="Calibri"/>
                  <w:sz w:val="22"/>
                  <w:szCs w:val="22"/>
                </w:rPr>
                <w:t>Report</w:t>
              </w:r>
            </w:hyperlink>
          </w:p>
        </w:tc>
        <w:tc>
          <w:tcPr>
            <w:tcW w:w="2775" w:type="dxa"/>
            <w:tcBorders>
              <w:top w:val="single" w:sz="6" w:space="0" w:color="auto"/>
              <w:left w:val="single" w:sz="6" w:space="0" w:color="auto"/>
              <w:bottom w:val="single" w:sz="6" w:space="0" w:color="auto"/>
              <w:right w:val="single" w:sz="6" w:space="0" w:color="auto"/>
            </w:tcBorders>
          </w:tcPr>
          <w:p w14:paraId="3846F1C6" w14:textId="4F007980" w:rsidR="00B05439" w:rsidRPr="00E62D91" w:rsidRDefault="00B05439" w:rsidP="00E62D91">
            <w:pPr>
              <w:spacing w:before="40" w:after="40"/>
              <w:ind w:left="113"/>
              <w:jc w:val="center"/>
              <w:rPr>
                <w:rFonts w:eastAsia="Calibri" w:cs="Calibri"/>
                <w:color w:val="000000" w:themeColor="text1"/>
                <w:sz w:val="22"/>
                <w:szCs w:val="22"/>
              </w:rPr>
            </w:pPr>
            <w:hyperlink r:id="rId25">
              <w:r w:rsidRPr="00E62D91">
                <w:rPr>
                  <w:rStyle w:val="Hyperlink"/>
                  <w:rFonts w:eastAsia="Calibri" w:cs="Calibri"/>
                  <w:sz w:val="22"/>
                  <w:szCs w:val="22"/>
                </w:rPr>
                <w:t>Video</w:t>
              </w:r>
            </w:hyperlink>
          </w:p>
        </w:tc>
      </w:tr>
      <w:tr w:rsidR="00B05439" w:rsidRPr="00E62D91" w14:paraId="6C7F4119" w14:textId="77777777" w:rsidTr="004D451D">
        <w:trPr>
          <w:trHeight w:val="300"/>
        </w:trPr>
        <w:tc>
          <w:tcPr>
            <w:tcW w:w="1162" w:type="dxa"/>
            <w:tcBorders>
              <w:top w:val="single" w:sz="6" w:space="0" w:color="auto"/>
              <w:left w:val="single" w:sz="6" w:space="0" w:color="auto"/>
              <w:bottom w:val="single" w:sz="6" w:space="0" w:color="auto"/>
              <w:right w:val="single" w:sz="6" w:space="0" w:color="auto"/>
            </w:tcBorders>
            <w:tcMar>
              <w:left w:w="105" w:type="dxa"/>
              <w:right w:w="105" w:type="dxa"/>
            </w:tcMar>
          </w:tcPr>
          <w:p w14:paraId="2967F0D1" w14:textId="77777777" w:rsidR="00B05439" w:rsidRPr="00E62D91" w:rsidRDefault="00B05439" w:rsidP="00E62D91">
            <w:pPr>
              <w:spacing w:before="40" w:after="40"/>
              <w:rPr>
                <w:rFonts w:eastAsia="Calibri" w:cs="Calibri"/>
                <w:color w:val="000000" w:themeColor="text1"/>
                <w:sz w:val="22"/>
                <w:szCs w:val="22"/>
              </w:rPr>
            </w:pPr>
            <w:hyperlink r:id="rId26" w:history="1">
              <w:r w:rsidRPr="00E62D91">
                <w:rPr>
                  <w:rStyle w:val="Hyperlink"/>
                  <w:rFonts w:eastAsia="Calibri" w:cs="Calibri"/>
                  <w:sz w:val="22"/>
                  <w:szCs w:val="22"/>
                </w:rPr>
                <w:t>RDF</w:t>
              </w:r>
            </w:hyperlink>
            <w:r w:rsidRPr="00E62D91">
              <w:rPr>
                <w:rFonts w:eastAsia="Calibri" w:cs="Calibri"/>
                <w:color w:val="000000" w:themeColor="text1"/>
                <w:sz w:val="22"/>
                <w:szCs w:val="22"/>
              </w:rPr>
              <w:t xml:space="preserve"> &amp;</w:t>
            </w:r>
            <w:r w:rsidRPr="00E62D91">
              <w:rPr>
                <w:rFonts w:eastAsia="Calibri" w:cs="Calibri"/>
                <w:color w:val="000000" w:themeColor="text1"/>
                <w:sz w:val="22"/>
                <w:szCs w:val="22"/>
              </w:rPr>
              <w:br/>
            </w:r>
            <w:hyperlink r:id="rId27" w:history="1">
              <w:r w:rsidRPr="00E62D91">
                <w:rPr>
                  <w:rStyle w:val="Hyperlink"/>
                  <w:rFonts w:eastAsia="Calibri" w:cs="Calibri"/>
                  <w:sz w:val="22"/>
                  <w:szCs w:val="22"/>
                </w:rPr>
                <w:t>RPM-ASP</w:t>
              </w:r>
            </w:hyperlink>
          </w:p>
        </w:tc>
        <w:tc>
          <w:tcPr>
            <w:tcW w:w="2070" w:type="dxa"/>
            <w:tcBorders>
              <w:top w:val="single" w:sz="6" w:space="0" w:color="auto"/>
              <w:left w:val="single" w:sz="6" w:space="0" w:color="auto"/>
              <w:bottom w:val="single" w:sz="6" w:space="0" w:color="auto"/>
              <w:right w:val="single" w:sz="6" w:space="0" w:color="auto"/>
            </w:tcBorders>
            <w:tcMar>
              <w:left w:w="105" w:type="dxa"/>
              <w:right w:w="105" w:type="dxa"/>
            </w:tcMar>
          </w:tcPr>
          <w:p w14:paraId="138E42AB" w14:textId="77777777" w:rsidR="00B05439" w:rsidRPr="00E62D91" w:rsidRDefault="00B05439" w:rsidP="00E62D91">
            <w:pPr>
              <w:spacing w:before="40" w:after="40"/>
              <w:rPr>
                <w:rFonts w:eastAsia="Calibri" w:cs="Calibri"/>
                <w:color w:val="000000" w:themeColor="text1"/>
                <w:sz w:val="22"/>
                <w:szCs w:val="22"/>
              </w:rPr>
            </w:pPr>
            <w:r w:rsidRPr="00E62D91">
              <w:rPr>
                <w:rFonts w:eastAsia="Calibri" w:cs="Calibri"/>
                <w:color w:val="000000" w:themeColor="text1"/>
                <w:sz w:val="22"/>
                <w:szCs w:val="22"/>
              </w:rPr>
              <w:t>19 March 2025</w:t>
            </w:r>
            <w:r w:rsidRPr="00E62D91">
              <w:rPr>
                <w:rFonts w:eastAsia="Calibri" w:cs="Calibri"/>
                <w:color w:val="000000" w:themeColor="text1"/>
                <w:sz w:val="22"/>
                <w:szCs w:val="22"/>
              </w:rPr>
              <w:br/>
              <w:t>20-21 March 2025</w:t>
            </w:r>
          </w:p>
        </w:tc>
        <w:tc>
          <w:tcPr>
            <w:tcW w:w="1980" w:type="dxa"/>
            <w:tcBorders>
              <w:top w:val="single" w:sz="6" w:space="0" w:color="auto"/>
              <w:left w:val="single" w:sz="6" w:space="0" w:color="auto"/>
              <w:bottom w:val="single" w:sz="6" w:space="0" w:color="auto"/>
              <w:right w:val="single" w:sz="6" w:space="0" w:color="auto"/>
            </w:tcBorders>
          </w:tcPr>
          <w:p w14:paraId="53A04B33" w14:textId="77777777" w:rsidR="00B05439" w:rsidRPr="00E62D91" w:rsidRDefault="00B05439" w:rsidP="00E62D91">
            <w:pPr>
              <w:spacing w:before="40" w:after="40"/>
              <w:ind w:left="113"/>
              <w:jc w:val="both"/>
              <w:rPr>
                <w:rFonts w:eastAsia="Calibri" w:cs="Calibri"/>
                <w:color w:val="000000" w:themeColor="text1"/>
                <w:sz w:val="22"/>
                <w:szCs w:val="22"/>
              </w:rPr>
            </w:pPr>
            <w:r w:rsidRPr="00E62D91">
              <w:rPr>
                <w:rFonts w:eastAsia="Calibri" w:cs="Calibri"/>
                <w:color w:val="000000" w:themeColor="text1"/>
                <w:sz w:val="22"/>
                <w:szCs w:val="22"/>
              </w:rPr>
              <w:t>Bangkok, Thailand</w:t>
            </w:r>
          </w:p>
        </w:tc>
        <w:tc>
          <w:tcPr>
            <w:tcW w:w="1358" w:type="dxa"/>
            <w:tcBorders>
              <w:top w:val="single" w:sz="6" w:space="0" w:color="auto"/>
              <w:left w:val="single" w:sz="6" w:space="0" w:color="auto"/>
              <w:bottom w:val="single" w:sz="6" w:space="0" w:color="auto"/>
              <w:right w:val="single" w:sz="6" w:space="0" w:color="auto"/>
            </w:tcBorders>
          </w:tcPr>
          <w:p w14:paraId="4771BC64" w14:textId="77777777" w:rsidR="00B05439" w:rsidRPr="00E62D91" w:rsidRDefault="00B05439" w:rsidP="00E62D91">
            <w:pPr>
              <w:spacing w:before="40" w:after="40"/>
              <w:ind w:left="113"/>
              <w:jc w:val="center"/>
              <w:rPr>
                <w:rFonts w:eastAsia="Calibri" w:cs="Calibri"/>
                <w:color w:val="000000" w:themeColor="text1"/>
                <w:sz w:val="22"/>
                <w:szCs w:val="22"/>
              </w:rPr>
            </w:pPr>
            <w:hyperlink r:id="rId28">
              <w:r w:rsidRPr="00E62D91">
                <w:rPr>
                  <w:rStyle w:val="Hyperlink"/>
                  <w:rFonts w:eastAsia="Calibri" w:cs="Calibri"/>
                  <w:sz w:val="22"/>
                  <w:szCs w:val="22"/>
                </w:rPr>
                <w:t>Report</w:t>
              </w:r>
            </w:hyperlink>
          </w:p>
        </w:tc>
        <w:tc>
          <w:tcPr>
            <w:tcW w:w="2775" w:type="dxa"/>
            <w:tcBorders>
              <w:top w:val="single" w:sz="6" w:space="0" w:color="auto"/>
              <w:left w:val="single" w:sz="6" w:space="0" w:color="auto"/>
              <w:bottom w:val="single" w:sz="6" w:space="0" w:color="auto"/>
              <w:right w:val="single" w:sz="6" w:space="0" w:color="auto"/>
            </w:tcBorders>
          </w:tcPr>
          <w:p w14:paraId="71553280" w14:textId="6041F013" w:rsidR="00B05439" w:rsidRPr="00E62D91" w:rsidRDefault="00B05439" w:rsidP="00E62D91">
            <w:pPr>
              <w:spacing w:before="40" w:after="40"/>
              <w:ind w:left="113"/>
              <w:jc w:val="center"/>
              <w:rPr>
                <w:rFonts w:eastAsia="Calibri" w:cs="Calibri"/>
                <w:color w:val="000000" w:themeColor="text1"/>
                <w:sz w:val="22"/>
                <w:szCs w:val="22"/>
              </w:rPr>
            </w:pPr>
            <w:hyperlink r:id="rId29">
              <w:r w:rsidRPr="00E62D91">
                <w:rPr>
                  <w:rStyle w:val="Hyperlink"/>
                  <w:rFonts w:eastAsia="Calibri" w:cs="Calibri"/>
                  <w:sz w:val="22"/>
                  <w:szCs w:val="22"/>
                </w:rPr>
                <w:t>Video</w:t>
              </w:r>
            </w:hyperlink>
          </w:p>
        </w:tc>
      </w:tr>
      <w:tr w:rsidR="00B05439" w:rsidRPr="00E62D91" w14:paraId="55F43869" w14:textId="77777777" w:rsidTr="004D451D">
        <w:trPr>
          <w:trHeight w:val="300"/>
        </w:trPr>
        <w:tc>
          <w:tcPr>
            <w:tcW w:w="1162" w:type="dxa"/>
            <w:tcBorders>
              <w:top w:val="single" w:sz="6" w:space="0" w:color="auto"/>
              <w:left w:val="single" w:sz="6" w:space="0" w:color="auto"/>
              <w:bottom w:val="single" w:sz="6" w:space="0" w:color="auto"/>
              <w:right w:val="single" w:sz="6" w:space="0" w:color="auto"/>
            </w:tcBorders>
            <w:tcMar>
              <w:left w:w="105" w:type="dxa"/>
              <w:right w:w="105" w:type="dxa"/>
            </w:tcMar>
          </w:tcPr>
          <w:p w14:paraId="68F14BCC" w14:textId="77777777" w:rsidR="00B05439" w:rsidRPr="00E62D91" w:rsidRDefault="00B05439" w:rsidP="00E62D91">
            <w:pPr>
              <w:spacing w:before="40" w:after="40"/>
              <w:rPr>
                <w:rFonts w:eastAsia="Calibri" w:cs="Calibri"/>
                <w:color w:val="000000" w:themeColor="text1"/>
                <w:sz w:val="22"/>
                <w:szCs w:val="22"/>
              </w:rPr>
            </w:pPr>
            <w:hyperlink r:id="rId30" w:history="1">
              <w:r w:rsidRPr="00E62D91">
                <w:rPr>
                  <w:rStyle w:val="Hyperlink"/>
                  <w:rFonts w:eastAsia="Calibri" w:cs="Calibri"/>
                  <w:sz w:val="22"/>
                  <w:szCs w:val="22"/>
                </w:rPr>
                <w:t>RDF</w:t>
              </w:r>
            </w:hyperlink>
            <w:r w:rsidRPr="00E62D91">
              <w:rPr>
                <w:rFonts w:eastAsia="Calibri" w:cs="Calibri"/>
                <w:color w:val="000000" w:themeColor="text1"/>
                <w:sz w:val="22"/>
                <w:szCs w:val="22"/>
              </w:rPr>
              <w:t xml:space="preserve"> &amp;</w:t>
            </w:r>
            <w:r w:rsidRPr="00E62D91">
              <w:rPr>
                <w:rFonts w:eastAsia="Calibri" w:cs="Calibri"/>
                <w:color w:val="000000" w:themeColor="text1"/>
                <w:sz w:val="22"/>
                <w:szCs w:val="22"/>
              </w:rPr>
              <w:br/>
            </w:r>
            <w:hyperlink r:id="rId31" w:history="1">
              <w:r w:rsidRPr="00E62D91">
                <w:rPr>
                  <w:rStyle w:val="Hyperlink"/>
                  <w:rFonts w:eastAsia="Calibri" w:cs="Calibri"/>
                  <w:sz w:val="22"/>
                  <w:szCs w:val="22"/>
                </w:rPr>
                <w:t>RPM-AMS</w:t>
              </w:r>
            </w:hyperlink>
          </w:p>
        </w:tc>
        <w:tc>
          <w:tcPr>
            <w:tcW w:w="2070" w:type="dxa"/>
            <w:tcBorders>
              <w:top w:val="single" w:sz="6" w:space="0" w:color="auto"/>
              <w:left w:val="single" w:sz="6" w:space="0" w:color="auto"/>
              <w:bottom w:val="single" w:sz="6" w:space="0" w:color="auto"/>
              <w:right w:val="single" w:sz="6" w:space="0" w:color="auto"/>
            </w:tcBorders>
            <w:tcMar>
              <w:left w:w="105" w:type="dxa"/>
              <w:right w:w="105" w:type="dxa"/>
            </w:tcMar>
          </w:tcPr>
          <w:p w14:paraId="0BF5CAB9" w14:textId="77777777" w:rsidR="00B05439" w:rsidRPr="00E62D91" w:rsidRDefault="00B05439" w:rsidP="00E62D91">
            <w:pPr>
              <w:spacing w:before="40" w:after="40"/>
              <w:rPr>
                <w:rFonts w:eastAsia="Calibri" w:cs="Calibri"/>
                <w:color w:val="000000" w:themeColor="text1"/>
                <w:sz w:val="22"/>
                <w:szCs w:val="22"/>
              </w:rPr>
            </w:pPr>
            <w:r w:rsidRPr="00E62D91">
              <w:rPr>
                <w:rFonts w:eastAsia="Calibri" w:cs="Calibri"/>
                <w:color w:val="000000" w:themeColor="text1"/>
                <w:sz w:val="22"/>
                <w:szCs w:val="22"/>
              </w:rPr>
              <w:t>31 March 2025</w:t>
            </w:r>
            <w:r w:rsidRPr="00E62D91">
              <w:rPr>
                <w:rFonts w:eastAsia="Calibri" w:cs="Calibri"/>
                <w:color w:val="000000" w:themeColor="text1"/>
                <w:sz w:val="22"/>
                <w:szCs w:val="22"/>
              </w:rPr>
              <w:br/>
              <w:t>1-2 April 2025</w:t>
            </w:r>
          </w:p>
        </w:tc>
        <w:tc>
          <w:tcPr>
            <w:tcW w:w="1980" w:type="dxa"/>
            <w:tcBorders>
              <w:top w:val="single" w:sz="6" w:space="0" w:color="auto"/>
              <w:left w:val="single" w:sz="6" w:space="0" w:color="auto"/>
              <w:bottom w:val="single" w:sz="6" w:space="0" w:color="auto"/>
              <w:right w:val="single" w:sz="6" w:space="0" w:color="auto"/>
            </w:tcBorders>
          </w:tcPr>
          <w:p w14:paraId="6F6EC71D" w14:textId="77777777" w:rsidR="00B05439" w:rsidRPr="00E62D91" w:rsidRDefault="00B05439" w:rsidP="00E62D91">
            <w:pPr>
              <w:spacing w:before="40" w:after="40"/>
              <w:ind w:left="113"/>
              <w:jc w:val="both"/>
              <w:rPr>
                <w:rFonts w:eastAsia="Calibri" w:cs="Calibri"/>
                <w:color w:val="000000" w:themeColor="text1"/>
                <w:sz w:val="22"/>
                <w:szCs w:val="22"/>
              </w:rPr>
            </w:pPr>
            <w:r w:rsidRPr="00E62D91">
              <w:rPr>
                <w:rFonts w:eastAsia="Calibri" w:cs="Calibri"/>
                <w:color w:val="000000" w:themeColor="text1"/>
                <w:sz w:val="22"/>
                <w:szCs w:val="22"/>
              </w:rPr>
              <w:t>Asuncion, Paraguay</w:t>
            </w:r>
          </w:p>
        </w:tc>
        <w:tc>
          <w:tcPr>
            <w:tcW w:w="1358" w:type="dxa"/>
            <w:tcBorders>
              <w:top w:val="single" w:sz="6" w:space="0" w:color="auto"/>
              <w:left w:val="single" w:sz="6" w:space="0" w:color="auto"/>
              <w:bottom w:val="single" w:sz="6" w:space="0" w:color="auto"/>
              <w:right w:val="single" w:sz="6" w:space="0" w:color="auto"/>
            </w:tcBorders>
          </w:tcPr>
          <w:p w14:paraId="07D98E50" w14:textId="77777777" w:rsidR="00B05439" w:rsidRPr="00E62D91" w:rsidRDefault="00B05439" w:rsidP="00E62D91">
            <w:pPr>
              <w:spacing w:before="40" w:after="40"/>
              <w:ind w:left="113"/>
              <w:jc w:val="center"/>
              <w:rPr>
                <w:rFonts w:eastAsia="Calibri" w:cs="Calibri"/>
                <w:color w:val="000000" w:themeColor="text1"/>
                <w:sz w:val="22"/>
                <w:szCs w:val="22"/>
              </w:rPr>
            </w:pPr>
            <w:hyperlink r:id="rId32">
              <w:r w:rsidRPr="00E62D91">
                <w:rPr>
                  <w:rStyle w:val="Hyperlink"/>
                  <w:rFonts w:eastAsia="Calibri" w:cs="Calibri"/>
                  <w:sz w:val="22"/>
                  <w:szCs w:val="22"/>
                </w:rPr>
                <w:t>Report</w:t>
              </w:r>
            </w:hyperlink>
          </w:p>
        </w:tc>
        <w:tc>
          <w:tcPr>
            <w:tcW w:w="2775" w:type="dxa"/>
            <w:tcBorders>
              <w:top w:val="single" w:sz="6" w:space="0" w:color="auto"/>
              <w:left w:val="single" w:sz="6" w:space="0" w:color="auto"/>
              <w:bottom w:val="single" w:sz="6" w:space="0" w:color="auto"/>
              <w:right w:val="single" w:sz="6" w:space="0" w:color="auto"/>
            </w:tcBorders>
          </w:tcPr>
          <w:p w14:paraId="40354065" w14:textId="5CA3FB2B" w:rsidR="00B05439" w:rsidRPr="00E62D91" w:rsidRDefault="00B05439" w:rsidP="00E62D91">
            <w:pPr>
              <w:spacing w:before="40" w:after="40"/>
              <w:ind w:left="113"/>
              <w:jc w:val="center"/>
              <w:rPr>
                <w:rFonts w:eastAsia="Calibri" w:cs="Calibri"/>
                <w:color w:val="000000" w:themeColor="text1"/>
                <w:sz w:val="22"/>
                <w:szCs w:val="22"/>
              </w:rPr>
            </w:pPr>
            <w:hyperlink r:id="rId33">
              <w:r w:rsidRPr="00E62D91">
                <w:rPr>
                  <w:rStyle w:val="Hyperlink"/>
                  <w:rFonts w:eastAsia="Calibri" w:cs="Calibri"/>
                  <w:sz w:val="22"/>
                  <w:szCs w:val="22"/>
                </w:rPr>
                <w:t>Video</w:t>
              </w:r>
            </w:hyperlink>
          </w:p>
        </w:tc>
      </w:tr>
      <w:tr w:rsidR="00B05439" w:rsidRPr="00E62D91" w14:paraId="630E2908" w14:textId="77777777" w:rsidTr="004D451D">
        <w:trPr>
          <w:trHeight w:val="300"/>
        </w:trPr>
        <w:tc>
          <w:tcPr>
            <w:tcW w:w="1162" w:type="dxa"/>
            <w:tcBorders>
              <w:top w:val="single" w:sz="6" w:space="0" w:color="auto"/>
              <w:left w:val="single" w:sz="6" w:space="0" w:color="auto"/>
              <w:bottom w:val="single" w:sz="6" w:space="0" w:color="auto"/>
              <w:right w:val="single" w:sz="6" w:space="0" w:color="auto"/>
            </w:tcBorders>
            <w:tcMar>
              <w:left w:w="105" w:type="dxa"/>
              <w:right w:w="105" w:type="dxa"/>
            </w:tcMar>
          </w:tcPr>
          <w:p w14:paraId="1524E632" w14:textId="77777777" w:rsidR="00B05439" w:rsidRPr="00E62D91" w:rsidRDefault="00B05439" w:rsidP="00E62D91">
            <w:pPr>
              <w:spacing w:before="40" w:after="40"/>
              <w:rPr>
                <w:rFonts w:eastAsia="Calibri" w:cs="Calibri"/>
                <w:color w:val="000000" w:themeColor="text1"/>
                <w:sz w:val="22"/>
                <w:szCs w:val="22"/>
              </w:rPr>
            </w:pPr>
            <w:hyperlink r:id="rId34" w:history="1">
              <w:r w:rsidRPr="00E62D91">
                <w:rPr>
                  <w:rStyle w:val="Hyperlink"/>
                  <w:rFonts w:eastAsia="Calibri" w:cs="Calibri"/>
                  <w:sz w:val="22"/>
                  <w:szCs w:val="22"/>
                </w:rPr>
                <w:t>RDF</w:t>
              </w:r>
            </w:hyperlink>
            <w:r w:rsidRPr="00E62D91">
              <w:rPr>
                <w:rFonts w:eastAsia="Calibri" w:cs="Calibri"/>
                <w:color w:val="000000" w:themeColor="text1"/>
                <w:sz w:val="22"/>
                <w:szCs w:val="22"/>
              </w:rPr>
              <w:t xml:space="preserve"> &amp;</w:t>
            </w:r>
            <w:r w:rsidRPr="00E62D91">
              <w:rPr>
                <w:rFonts w:eastAsia="Calibri" w:cs="Calibri"/>
                <w:color w:val="000000" w:themeColor="text1"/>
                <w:sz w:val="22"/>
                <w:szCs w:val="22"/>
              </w:rPr>
              <w:br/>
            </w:r>
            <w:hyperlink r:id="rId35" w:history="1">
              <w:r w:rsidRPr="00E62D91">
                <w:rPr>
                  <w:rStyle w:val="Hyperlink"/>
                  <w:rFonts w:eastAsia="Calibri" w:cs="Calibri"/>
                  <w:sz w:val="22"/>
                  <w:szCs w:val="22"/>
                </w:rPr>
                <w:t>RPM-AFR</w:t>
              </w:r>
            </w:hyperlink>
          </w:p>
        </w:tc>
        <w:tc>
          <w:tcPr>
            <w:tcW w:w="2070" w:type="dxa"/>
            <w:tcBorders>
              <w:top w:val="single" w:sz="6" w:space="0" w:color="auto"/>
              <w:left w:val="single" w:sz="6" w:space="0" w:color="auto"/>
              <w:bottom w:val="single" w:sz="6" w:space="0" w:color="auto"/>
              <w:right w:val="single" w:sz="6" w:space="0" w:color="auto"/>
            </w:tcBorders>
            <w:tcMar>
              <w:left w:w="105" w:type="dxa"/>
              <w:right w:w="105" w:type="dxa"/>
            </w:tcMar>
          </w:tcPr>
          <w:p w14:paraId="439FBBAB" w14:textId="77777777" w:rsidR="00B05439" w:rsidRPr="00E62D91" w:rsidRDefault="00B05439" w:rsidP="00E62D91">
            <w:pPr>
              <w:spacing w:before="40" w:after="40"/>
              <w:rPr>
                <w:rFonts w:eastAsia="Calibri" w:cs="Calibri"/>
                <w:color w:val="000000" w:themeColor="text1"/>
                <w:sz w:val="22"/>
                <w:szCs w:val="22"/>
              </w:rPr>
            </w:pPr>
            <w:r w:rsidRPr="00E62D91">
              <w:rPr>
                <w:rFonts w:eastAsia="Calibri" w:cs="Calibri"/>
                <w:color w:val="000000" w:themeColor="text1"/>
                <w:sz w:val="22"/>
                <w:szCs w:val="22"/>
              </w:rPr>
              <w:t>7 April 2025</w:t>
            </w:r>
            <w:r w:rsidRPr="00E62D91">
              <w:rPr>
                <w:rFonts w:eastAsia="Calibri" w:cs="Calibri"/>
                <w:color w:val="000000" w:themeColor="text1"/>
                <w:sz w:val="22"/>
                <w:szCs w:val="22"/>
              </w:rPr>
              <w:br/>
              <w:t>8-9 April 2025</w:t>
            </w:r>
          </w:p>
        </w:tc>
        <w:tc>
          <w:tcPr>
            <w:tcW w:w="1980" w:type="dxa"/>
            <w:tcBorders>
              <w:top w:val="single" w:sz="6" w:space="0" w:color="auto"/>
              <w:left w:val="single" w:sz="6" w:space="0" w:color="auto"/>
              <w:bottom w:val="single" w:sz="6" w:space="0" w:color="auto"/>
              <w:right w:val="single" w:sz="6" w:space="0" w:color="auto"/>
            </w:tcBorders>
          </w:tcPr>
          <w:p w14:paraId="61EF6F1A" w14:textId="77777777" w:rsidR="00B05439" w:rsidRPr="00E62D91" w:rsidRDefault="00B05439" w:rsidP="00E62D91">
            <w:pPr>
              <w:spacing w:before="40" w:after="40"/>
              <w:ind w:left="113"/>
              <w:jc w:val="both"/>
              <w:rPr>
                <w:rFonts w:eastAsia="Calibri" w:cs="Calibri"/>
                <w:color w:val="000000" w:themeColor="text1"/>
                <w:sz w:val="22"/>
                <w:szCs w:val="22"/>
              </w:rPr>
            </w:pPr>
            <w:r w:rsidRPr="00E62D91">
              <w:rPr>
                <w:rFonts w:eastAsia="Calibri" w:cs="Calibri"/>
                <w:color w:val="000000" w:themeColor="text1"/>
                <w:sz w:val="22"/>
                <w:szCs w:val="22"/>
              </w:rPr>
              <w:t>Nairobi, Kenya</w:t>
            </w:r>
          </w:p>
        </w:tc>
        <w:tc>
          <w:tcPr>
            <w:tcW w:w="1358" w:type="dxa"/>
            <w:tcBorders>
              <w:top w:val="single" w:sz="6" w:space="0" w:color="auto"/>
              <w:left w:val="single" w:sz="6" w:space="0" w:color="auto"/>
              <w:bottom w:val="single" w:sz="6" w:space="0" w:color="auto"/>
              <w:right w:val="single" w:sz="6" w:space="0" w:color="auto"/>
            </w:tcBorders>
          </w:tcPr>
          <w:p w14:paraId="39862C6F" w14:textId="77777777" w:rsidR="00B05439" w:rsidRPr="00E62D91" w:rsidRDefault="00B05439" w:rsidP="00E62D91">
            <w:pPr>
              <w:spacing w:before="40" w:after="40"/>
              <w:ind w:left="113"/>
              <w:jc w:val="center"/>
              <w:rPr>
                <w:rFonts w:eastAsia="Calibri" w:cs="Calibri"/>
                <w:color w:val="000000" w:themeColor="text1"/>
                <w:sz w:val="22"/>
                <w:szCs w:val="22"/>
              </w:rPr>
            </w:pPr>
            <w:hyperlink r:id="rId36">
              <w:r w:rsidRPr="00E62D91">
                <w:rPr>
                  <w:rStyle w:val="Hyperlink"/>
                  <w:rFonts w:eastAsia="Calibri" w:cs="Calibri"/>
                  <w:sz w:val="22"/>
                  <w:szCs w:val="22"/>
                </w:rPr>
                <w:t>Report</w:t>
              </w:r>
            </w:hyperlink>
          </w:p>
        </w:tc>
        <w:tc>
          <w:tcPr>
            <w:tcW w:w="2775" w:type="dxa"/>
            <w:tcBorders>
              <w:top w:val="single" w:sz="6" w:space="0" w:color="auto"/>
              <w:left w:val="single" w:sz="6" w:space="0" w:color="auto"/>
              <w:bottom w:val="single" w:sz="6" w:space="0" w:color="auto"/>
              <w:right w:val="single" w:sz="6" w:space="0" w:color="auto"/>
            </w:tcBorders>
          </w:tcPr>
          <w:p w14:paraId="6B637F0E" w14:textId="19E77A8A" w:rsidR="00B05439" w:rsidRPr="00E62D91" w:rsidRDefault="00B05439" w:rsidP="00E62D91">
            <w:pPr>
              <w:spacing w:before="40" w:after="40"/>
              <w:ind w:left="113"/>
              <w:jc w:val="center"/>
              <w:rPr>
                <w:rFonts w:eastAsia="Calibri" w:cs="Calibri"/>
                <w:color w:val="000000" w:themeColor="text1"/>
                <w:sz w:val="22"/>
                <w:szCs w:val="22"/>
              </w:rPr>
            </w:pPr>
            <w:hyperlink r:id="rId37">
              <w:r w:rsidRPr="00E62D91">
                <w:rPr>
                  <w:rStyle w:val="Hyperlink"/>
                  <w:rFonts w:eastAsia="Calibri" w:cs="Calibri"/>
                  <w:sz w:val="22"/>
                  <w:szCs w:val="22"/>
                </w:rPr>
                <w:t>Video</w:t>
              </w:r>
            </w:hyperlink>
          </w:p>
        </w:tc>
      </w:tr>
      <w:tr w:rsidR="00B05439" w:rsidRPr="00E62D91" w14:paraId="23D023C7" w14:textId="77777777" w:rsidTr="004D451D">
        <w:trPr>
          <w:trHeight w:val="300"/>
        </w:trPr>
        <w:tc>
          <w:tcPr>
            <w:tcW w:w="1162" w:type="dxa"/>
            <w:tcBorders>
              <w:top w:val="single" w:sz="6" w:space="0" w:color="auto"/>
              <w:left w:val="single" w:sz="6" w:space="0" w:color="auto"/>
              <w:bottom w:val="single" w:sz="6" w:space="0" w:color="auto"/>
              <w:right w:val="single" w:sz="6" w:space="0" w:color="auto"/>
            </w:tcBorders>
            <w:tcMar>
              <w:left w:w="105" w:type="dxa"/>
              <w:right w:w="105" w:type="dxa"/>
            </w:tcMar>
          </w:tcPr>
          <w:p w14:paraId="3148F5CB" w14:textId="77777777" w:rsidR="00B05439" w:rsidRPr="00E62D91" w:rsidRDefault="00B05439" w:rsidP="00E62D91">
            <w:pPr>
              <w:spacing w:before="40" w:after="40"/>
              <w:rPr>
                <w:rFonts w:eastAsia="Calibri" w:cs="Calibri"/>
                <w:color w:val="000000" w:themeColor="text1"/>
                <w:sz w:val="22"/>
                <w:szCs w:val="22"/>
              </w:rPr>
            </w:pPr>
            <w:hyperlink r:id="rId38" w:history="1">
              <w:r w:rsidRPr="00E62D91">
                <w:rPr>
                  <w:rStyle w:val="Hyperlink"/>
                  <w:rFonts w:eastAsia="Calibri" w:cs="Calibri"/>
                  <w:sz w:val="22"/>
                  <w:szCs w:val="22"/>
                </w:rPr>
                <w:t>RDF</w:t>
              </w:r>
            </w:hyperlink>
            <w:r w:rsidRPr="00E62D91">
              <w:rPr>
                <w:rFonts w:eastAsia="Calibri" w:cs="Calibri"/>
                <w:color w:val="000000" w:themeColor="text1"/>
                <w:sz w:val="22"/>
                <w:szCs w:val="22"/>
              </w:rPr>
              <w:t xml:space="preserve"> &amp;</w:t>
            </w:r>
            <w:r w:rsidRPr="00E62D91">
              <w:rPr>
                <w:rFonts w:eastAsia="Calibri" w:cs="Calibri"/>
                <w:color w:val="000000" w:themeColor="text1"/>
                <w:sz w:val="22"/>
                <w:szCs w:val="22"/>
              </w:rPr>
              <w:br/>
            </w:r>
            <w:hyperlink r:id="rId39" w:history="1">
              <w:r w:rsidRPr="00E62D91">
                <w:rPr>
                  <w:rStyle w:val="Hyperlink"/>
                  <w:rFonts w:eastAsia="Calibri" w:cs="Calibri"/>
                  <w:sz w:val="22"/>
                  <w:szCs w:val="22"/>
                </w:rPr>
                <w:t>RPM-CIS</w:t>
              </w:r>
            </w:hyperlink>
          </w:p>
        </w:tc>
        <w:tc>
          <w:tcPr>
            <w:tcW w:w="2070" w:type="dxa"/>
            <w:tcBorders>
              <w:top w:val="single" w:sz="6" w:space="0" w:color="auto"/>
              <w:left w:val="single" w:sz="6" w:space="0" w:color="auto"/>
              <w:bottom w:val="single" w:sz="6" w:space="0" w:color="auto"/>
              <w:right w:val="single" w:sz="6" w:space="0" w:color="auto"/>
            </w:tcBorders>
            <w:tcMar>
              <w:left w:w="105" w:type="dxa"/>
              <w:right w:w="105" w:type="dxa"/>
            </w:tcMar>
          </w:tcPr>
          <w:p w14:paraId="570A3713" w14:textId="77777777" w:rsidR="00B05439" w:rsidRPr="00E62D91" w:rsidRDefault="00B05439" w:rsidP="00E62D91">
            <w:pPr>
              <w:spacing w:before="40" w:after="40"/>
              <w:rPr>
                <w:rFonts w:eastAsia="Calibri" w:cs="Calibri"/>
                <w:color w:val="000000" w:themeColor="text1"/>
                <w:sz w:val="22"/>
                <w:szCs w:val="22"/>
              </w:rPr>
            </w:pPr>
            <w:r w:rsidRPr="00E62D91">
              <w:rPr>
                <w:rFonts w:eastAsia="Calibri" w:cs="Calibri"/>
                <w:color w:val="000000" w:themeColor="text1"/>
                <w:sz w:val="22"/>
                <w:szCs w:val="22"/>
              </w:rPr>
              <w:t xml:space="preserve">23 April 2025 </w:t>
            </w:r>
            <w:r w:rsidRPr="00E62D91">
              <w:rPr>
                <w:rFonts w:eastAsia="Calibri" w:cs="Calibri"/>
                <w:color w:val="000000" w:themeColor="text1"/>
                <w:sz w:val="22"/>
                <w:szCs w:val="22"/>
              </w:rPr>
              <w:br/>
              <w:t>24-25 April 2025</w:t>
            </w:r>
          </w:p>
        </w:tc>
        <w:tc>
          <w:tcPr>
            <w:tcW w:w="1980" w:type="dxa"/>
            <w:tcBorders>
              <w:top w:val="single" w:sz="6" w:space="0" w:color="auto"/>
              <w:left w:val="single" w:sz="6" w:space="0" w:color="auto"/>
              <w:bottom w:val="single" w:sz="6" w:space="0" w:color="auto"/>
              <w:right w:val="single" w:sz="6" w:space="0" w:color="auto"/>
            </w:tcBorders>
          </w:tcPr>
          <w:p w14:paraId="3DEFB4EF" w14:textId="77777777" w:rsidR="00B05439" w:rsidRPr="00E62D91" w:rsidRDefault="00B05439" w:rsidP="00E62D91">
            <w:pPr>
              <w:spacing w:before="40" w:after="40"/>
              <w:ind w:left="113"/>
              <w:jc w:val="both"/>
              <w:rPr>
                <w:rFonts w:eastAsia="Calibri" w:cs="Calibri"/>
                <w:color w:val="000000" w:themeColor="text1"/>
                <w:sz w:val="22"/>
                <w:szCs w:val="22"/>
              </w:rPr>
            </w:pPr>
            <w:r w:rsidRPr="00E62D91">
              <w:rPr>
                <w:rFonts w:eastAsia="Calibri" w:cs="Calibri"/>
                <w:color w:val="000000" w:themeColor="text1"/>
                <w:sz w:val="22"/>
                <w:szCs w:val="22"/>
              </w:rPr>
              <w:t>Bishkek, Kyrgyzstan</w:t>
            </w:r>
          </w:p>
        </w:tc>
        <w:tc>
          <w:tcPr>
            <w:tcW w:w="1358" w:type="dxa"/>
            <w:tcBorders>
              <w:top w:val="single" w:sz="6" w:space="0" w:color="auto"/>
              <w:left w:val="single" w:sz="6" w:space="0" w:color="auto"/>
              <w:bottom w:val="single" w:sz="6" w:space="0" w:color="auto"/>
              <w:right w:val="single" w:sz="6" w:space="0" w:color="auto"/>
            </w:tcBorders>
          </w:tcPr>
          <w:p w14:paraId="2FFD1748" w14:textId="77777777" w:rsidR="00B05439" w:rsidRPr="00E62D91" w:rsidRDefault="00B05439" w:rsidP="00E62D91">
            <w:pPr>
              <w:spacing w:before="40" w:after="40"/>
              <w:ind w:left="113"/>
              <w:jc w:val="center"/>
              <w:rPr>
                <w:rFonts w:eastAsia="Calibri" w:cs="Calibri"/>
                <w:color w:val="000000" w:themeColor="text1"/>
                <w:sz w:val="22"/>
                <w:szCs w:val="22"/>
              </w:rPr>
            </w:pPr>
            <w:hyperlink r:id="rId40">
              <w:r w:rsidRPr="00E62D91">
                <w:rPr>
                  <w:rStyle w:val="Hyperlink"/>
                  <w:rFonts w:eastAsia="Calibri" w:cs="Calibri"/>
                  <w:sz w:val="22"/>
                  <w:szCs w:val="22"/>
                </w:rPr>
                <w:t>Report </w:t>
              </w:r>
            </w:hyperlink>
          </w:p>
        </w:tc>
        <w:tc>
          <w:tcPr>
            <w:tcW w:w="2775" w:type="dxa"/>
            <w:tcBorders>
              <w:top w:val="single" w:sz="6" w:space="0" w:color="auto"/>
              <w:left w:val="single" w:sz="6" w:space="0" w:color="auto"/>
              <w:bottom w:val="single" w:sz="6" w:space="0" w:color="auto"/>
              <w:right w:val="single" w:sz="6" w:space="0" w:color="auto"/>
            </w:tcBorders>
          </w:tcPr>
          <w:p w14:paraId="1B72F28F" w14:textId="6054B268" w:rsidR="00B05439" w:rsidRPr="00E62D91" w:rsidRDefault="00B05439" w:rsidP="00E62D91">
            <w:pPr>
              <w:spacing w:before="40" w:after="40"/>
              <w:ind w:left="113"/>
              <w:jc w:val="center"/>
              <w:rPr>
                <w:rFonts w:eastAsia="Calibri" w:cs="Calibri"/>
                <w:color w:val="000000" w:themeColor="text1"/>
                <w:sz w:val="22"/>
                <w:szCs w:val="22"/>
              </w:rPr>
            </w:pPr>
            <w:hyperlink r:id="rId41">
              <w:r w:rsidRPr="00E62D91">
                <w:rPr>
                  <w:rStyle w:val="Hyperlink"/>
                  <w:rFonts w:eastAsia="Calibri" w:cs="Calibri"/>
                  <w:sz w:val="22"/>
                  <w:szCs w:val="22"/>
                </w:rPr>
                <w:t>Video</w:t>
              </w:r>
            </w:hyperlink>
          </w:p>
        </w:tc>
      </w:tr>
    </w:tbl>
    <w:p w14:paraId="02F95C3E" w14:textId="77777777" w:rsidR="00B05439" w:rsidRPr="00E62D91" w:rsidRDefault="00B05439" w:rsidP="00B05439">
      <w:pPr>
        <w:tabs>
          <w:tab w:val="left" w:pos="720"/>
        </w:tabs>
        <w:overflowPunct/>
        <w:autoSpaceDE/>
        <w:autoSpaceDN/>
        <w:adjustRightInd/>
        <w:jc w:val="center"/>
        <w:textAlignment w:val="auto"/>
        <w:rPr>
          <w:rFonts w:eastAsia="SimSun"/>
          <w:b/>
          <w:bCs/>
        </w:rPr>
      </w:pPr>
      <w:r w:rsidRPr="00E62D91">
        <w:rPr>
          <w:rFonts w:eastAsia="SimSun"/>
          <w:b/>
          <w:bCs/>
        </w:rPr>
        <w:t>Table 1: Dates and locations of RDFs and RPMs organized in 2025</w:t>
      </w:r>
    </w:p>
    <w:p w14:paraId="611BC575" w14:textId="77777777" w:rsidR="00AB6B5C" w:rsidRDefault="00B05439" w:rsidP="00E62D91">
      <w:pPr>
        <w:tabs>
          <w:tab w:val="left" w:pos="720"/>
        </w:tabs>
        <w:overflowPunct/>
        <w:autoSpaceDE/>
        <w:autoSpaceDN/>
        <w:adjustRightInd/>
        <w:spacing w:after="120"/>
        <w:textAlignment w:val="auto"/>
        <w:rPr>
          <w:rFonts w:eastAsia="SimSun" w:cstheme="minorHAnsi"/>
          <w:b/>
          <w:bCs/>
          <w:szCs w:val="24"/>
        </w:rPr>
      </w:pPr>
      <w:r w:rsidRPr="00E62D91">
        <w:rPr>
          <w:rFonts w:eastAsia="SimSun" w:cstheme="minorHAnsi"/>
          <w:b/>
          <w:bCs/>
          <w:szCs w:val="24"/>
        </w:rPr>
        <w:t>2.2. Regional Development Forums</w:t>
      </w:r>
    </w:p>
    <w:p w14:paraId="20DC7FB3" w14:textId="5382EF1B" w:rsidR="00B05439" w:rsidRPr="00E62D91" w:rsidRDefault="00B05439" w:rsidP="00E62D91">
      <w:pPr>
        <w:tabs>
          <w:tab w:val="left" w:pos="720"/>
        </w:tabs>
        <w:overflowPunct/>
        <w:autoSpaceDE/>
        <w:autoSpaceDN/>
        <w:adjustRightInd/>
        <w:spacing w:after="120"/>
        <w:textAlignment w:val="auto"/>
        <w:rPr>
          <w:rFonts w:eastAsia="SimSun" w:cstheme="minorHAnsi"/>
          <w:b/>
          <w:bCs/>
          <w:szCs w:val="24"/>
        </w:rPr>
      </w:pPr>
      <w:r w:rsidRPr="00E62D91">
        <w:rPr>
          <w:rFonts w:eastAsia="SimSun" w:cstheme="minorHAnsi"/>
          <w:b/>
          <w:bCs/>
          <w:szCs w:val="24"/>
        </w:rPr>
        <w:t>2.2.1.</w:t>
      </w:r>
      <w:r w:rsidRPr="00E62D91">
        <w:rPr>
          <w:rFonts w:eastAsia="SimSun" w:cstheme="minorHAnsi"/>
          <w:szCs w:val="24"/>
        </w:rPr>
        <w:t xml:space="preserve"> </w:t>
      </w:r>
      <w:r w:rsidRPr="00E62D91">
        <w:rPr>
          <w:rFonts w:cstheme="minorHAnsi"/>
          <w:szCs w:val="24"/>
        </w:rPr>
        <w:t xml:space="preserve">In 2025, between February and April, Telecommunication Development Bureau (BDT) organized a series of six RDFs back-to-back with the ITU Regional Preparatory Meetings for WTDC-25. The Regional Development Forums promote multi-stakeholder partnerships among Member States, industry, academia, civil society, the UN system as well as regional and international development agencies and organizations, on specific regional telecommunication and ICT matters. RDFs provides an opportunity for high-level dialogue between the Telecommunication Development Bureau, Member States and ITU-D Sector Members, primarily on the implementation of the Regional Initiatives, and the Kigali Action Plan as adopted by the </w:t>
      </w:r>
      <w:hyperlink r:id="rId42">
        <w:r w:rsidRPr="00E62D91">
          <w:rPr>
            <w:rFonts w:cstheme="minorHAnsi"/>
            <w:szCs w:val="24"/>
          </w:rPr>
          <w:t>WTDC-22</w:t>
        </w:r>
      </w:hyperlink>
      <w:r w:rsidRPr="00E62D91">
        <w:rPr>
          <w:rFonts w:cstheme="minorHAnsi"/>
          <w:szCs w:val="24"/>
        </w:rPr>
        <w:t xml:space="preserve">. </w:t>
      </w:r>
    </w:p>
    <w:p w14:paraId="461BA768" w14:textId="665AEF90" w:rsidR="00B05439" w:rsidRPr="00E62D91" w:rsidRDefault="00B05439" w:rsidP="00E62D91">
      <w:pPr>
        <w:tabs>
          <w:tab w:val="clear" w:pos="1134"/>
          <w:tab w:val="clear" w:pos="2268"/>
        </w:tabs>
        <w:overflowPunct/>
        <w:autoSpaceDE/>
        <w:autoSpaceDN/>
        <w:adjustRightInd/>
        <w:spacing w:after="120"/>
        <w:textAlignment w:val="auto"/>
        <w:rPr>
          <w:rFonts w:cstheme="minorHAnsi"/>
          <w:szCs w:val="24"/>
        </w:rPr>
      </w:pPr>
      <w:r w:rsidRPr="00E62D91">
        <w:rPr>
          <w:rFonts w:cstheme="minorHAnsi"/>
          <w:b/>
          <w:szCs w:val="24"/>
        </w:rPr>
        <w:t>2.2.2.</w:t>
      </w:r>
      <w:r w:rsidR="00E62D91">
        <w:rPr>
          <w:rFonts w:cstheme="minorHAnsi"/>
          <w:b/>
          <w:szCs w:val="24"/>
        </w:rPr>
        <w:t xml:space="preserve"> </w:t>
      </w:r>
      <w:r w:rsidRPr="00E62D91">
        <w:rPr>
          <w:rFonts w:cstheme="minorHAnsi"/>
          <w:bCs/>
          <w:szCs w:val="24"/>
        </w:rPr>
        <w:t>P2C Matchmaking:</w:t>
      </w:r>
      <w:r w:rsidRPr="00E62D91">
        <w:rPr>
          <w:rFonts w:cstheme="minorHAnsi"/>
          <w:szCs w:val="24"/>
        </w:rPr>
        <w:t xml:space="preserve"> Each Regional Development Forum included P2C Matchmaking Roundtables as follows: </w:t>
      </w:r>
    </w:p>
    <w:p w14:paraId="2DF20F28" w14:textId="77777777" w:rsidR="00B05439" w:rsidRPr="00E62D91" w:rsidRDefault="00B05439" w:rsidP="00E62D91">
      <w:pPr>
        <w:pStyle w:val="ListParagraph"/>
        <w:numPr>
          <w:ilvl w:val="0"/>
          <w:numId w:val="24"/>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E62D91">
        <w:rPr>
          <w:rFonts w:cstheme="minorHAnsi"/>
          <w:szCs w:val="24"/>
        </w:rPr>
        <w:t xml:space="preserve">Arab States (RDF/ P2C Matchmaking Roundtables) took place on 3 February 2025 in Amman, Jordan. </w:t>
      </w:r>
    </w:p>
    <w:p w14:paraId="3A3C4B39" w14:textId="669147E1" w:rsidR="00B05439" w:rsidRPr="00E62D91" w:rsidRDefault="00B05439" w:rsidP="00E62D91">
      <w:pPr>
        <w:pStyle w:val="ListParagraph"/>
        <w:numPr>
          <w:ilvl w:val="0"/>
          <w:numId w:val="24"/>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E62D91">
        <w:rPr>
          <w:rFonts w:cstheme="minorHAnsi"/>
          <w:szCs w:val="24"/>
        </w:rPr>
        <w:t>Europe (RDF/ P2C Matchmaking Roundtables) were held on 24 February 2025 in Budapest, Hungary.</w:t>
      </w:r>
    </w:p>
    <w:p w14:paraId="361E8D71" w14:textId="2CBDEA00" w:rsidR="00B05439" w:rsidRPr="00E62D91" w:rsidRDefault="00B05439" w:rsidP="00E62D91">
      <w:pPr>
        <w:pStyle w:val="ListParagraph"/>
        <w:numPr>
          <w:ilvl w:val="0"/>
          <w:numId w:val="24"/>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E62D91">
        <w:rPr>
          <w:rFonts w:cstheme="minorHAnsi"/>
          <w:szCs w:val="24"/>
        </w:rPr>
        <w:t>Asia and the Pacific (RDF/ P2C Matchmaking Roundtable) took place on 19 March 2025 in Bangkok, Thailand</w:t>
      </w:r>
      <w:r w:rsidR="00E62D91">
        <w:rPr>
          <w:rFonts w:cstheme="minorHAnsi"/>
          <w:szCs w:val="24"/>
        </w:rPr>
        <w:t>.</w:t>
      </w:r>
    </w:p>
    <w:p w14:paraId="4D2509AF" w14:textId="41D03117" w:rsidR="00B05439" w:rsidRPr="00E62D91" w:rsidRDefault="00B05439" w:rsidP="00E62D91">
      <w:pPr>
        <w:pStyle w:val="ListParagraph"/>
        <w:numPr>
          <w:ilvl w:val="0"/>
          <w:numId w:val="24"/>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E62D91">
        <w:rPr>
          <w:rFonts w:cstheme="minorHAnsi"/>
          <w:szCs w:val="24"/>
        </w:rPr>
        <w:t>Americas (RDF/ P2C Matchmaking Roundtables) were held on 31 March 2025 in Asunción, Paraguay</w:t>
      </w:r>
      <w:r w:rsidR="00E62D91">
        <w:rPr>
          <w:rFonts w:cstheme="minorHAnsi"/>
          <w:szCs w:val="24"/>
        </w:rPr>
        <w:t>.</w:t>
      </w:r>
    </w:p>
    <w:p w14:paraId="20F14C0D" w14:textId="4BF998AE" w:rsidR="00B05439" w:rsidRPr="00E62D91" w:rsidRDefault="00B05439" w:rsidP="00E62D91">
      <w:pPr>
        <w:pStyle w:val="ListParagraph"/>
        <w:numPr>
          <w:ilvl w:val="0"/>
          <w:numId w:val="24"/>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E62D91">
        <w:rPr>
          <w:rFonts w:cstheme="minorHAnsi"/>
          <w:szCs w:val="24"/>
        </w:rPr>
        <w:t>Africa (RDF/ P2C Matchmaking Roundtables) took place on 7 April 2025 in Nairobi, Kenya</w:t>
      </w:r>
      <w:r w:rsidR="00E62D91">
        <w:rPr>
          <w:rFonts w:cstheme="minorHAnsi"/>
          <w:szCs w:val="24"/>
        </w:rPr>
        <w:t>.</w:t>
      </w:r>
    </w:p>
    <w:p w14:paraId="63FF6184" w14:textId="416320DB" w:rsidR="00B05439" w:rsidRPr="00E62D91" w:rsidRDefault="00B05439" w:rsidP="00E62D91">
      <w:pPr>
        <w:pStyle w:val="ListParagraph"/>
        <w:numPr>
          <w:ilvl w:val="0"/>
          <w:numId w:val="24"/>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E62D91">
        <w:rPr>
          <w:rFonts w:cstheme="minorHAnsi"/>
          <w:szCs w:val="24"/>
        </w:rPr>
        <w:t>Commonwealth of Independent States – CIS (RDF/ P2C Matchmaking Roundtables) were held on 23 April 2025 in Bishkek, Kyrgyzstan</w:t>
      </w:r>
      <w:r w:rsidR="00E62D91">
        <w:rPr>
          <w:rFonts w:cstheme="minorHAnsi"/>
          <w:szCs w:val="24"/>
        </w:rPr>
        <w:t>.</w:t>
      </w:r>
    </w:p>
    <w:p w14:paraId="574CFA24" w14:textId="4AE7463C" w:rsidR="00B05439" w:rsidRPr="00E62D91" w:rsidRDefault="00B05439" w:rsidP="00E62D91">
      <w:pPr>
        <w:tabs>
          <w:tab w:val="clear" w:pos="1134"/>
          <w:tab w:val="clear" w:pos="2268"/>
        </w:tabs>
        <w:overflowPunct/>
        <w:autoSpaceDE/>
        <w:adjustRightInd/>
        <w:spacing w:after="120"/>
        <w:rPr>
          <w:rFonts w:eastAsia="Calibri" w:cstheme="minorHAnsi"/>
          <w:szCs w:val="24"/>
          <w:lang w:val="en-US"/>
        </w:rPr>
      </w:pPr>
      <w:r w:rsidRPr="00E62D91">
        <w:rPr>
          <w:rFonts w:eastAsia="Calibri" w:cstheme="minorHAnsi"/>
          <w:b/>
          <w:bCs/>
          <w:szCs w:val="24"/>
        </w:rPr>
        <w:t>2.2.3.</w:t>
      </w:r>
      <w:r w:rsidRPr="00E62D91">
        <w:rPr>
          <w:rFonts w:eastAsia="Calibri" w:cstheme="minorHAnsi"/>
          <w:szCs w:val="24"/>
        </w:rPr>
        <w:t xml:space="preserve"> </w:t>
      </w:r>
      <w:r w:rsidRPr="00E62D91">
        <w:rPr>
          <w:rFonts w:eastAsia="Calibri" w:cstheme="minorHAnsi"/>
          <w:szCs w:val="24"/>
          <w:lang w:val="en-US"/>
        </w:rPr>
        <w:t>The ITU Regional Development Forum for Africa (RDF-AFR) 2025 was held on 7 April 2025 in Nairobi, Kenya. Hosted by the Communications Authority of Kenya (CA) in cooperation with the African Telecommunications Union (ATU), the event preceded the Regional Preparatory Meeting for WTDC-25. It gathered 304 participants (representing 35 Member States, ITU-D Sector Members, Academia, observers, and ITU staff) for high-level dialogue on achieving meaningful connectivity and sustainable digital transformation in Africa. Discussions focused on evaluating progress since the Kigali Action Plan, addressing challenges like connectivity costs and the digital divide, and fostering partnerships, including through the Partner2Connect (P2C) coalition which reported 189 pledges valued around USD 32 billion for Africa. The forum emphasized regional cooperation, infrastructure investment, digital skills, and innovation to leverage ICTs for attaining the Sustainable Development Goals (SDGs) across the continent. The event also saw the launch of the Africa Broadband Mapping Systems (Africa-BB-Maps) project.</w:t>
      </w:r>
    </w:p>
    <w:p w14:paraId="3F251437" w14:textId="257E5A9E" w:rsidR="00B05439" w:rsidRPr="00E62D91" w:rsidRDefault="00B05439" w:rsidP="00E62D91">
      <w:pPr>
        <w:tabs>
          <w:tab w:val="clear" w:pos="1134"/>
          <w:tab w:val="clear" w:pos="2268"/>
        </w:tabs>
        <w:overflowPunct/>
        <w:autoSpaceDE/>
        <w:adjustRightInd/>
        <w:spacing w:after="120"/>
        <w:rPr>
          <w:rFonts w:eastAsia="Calibri" w:cstheme="minorHAnsi"/>
          <w:szCs w:val="24"/>
          <w:lang w:val="en-US"/>
        </w:rPr>
      </w:pPr>
      <w:r w:rsidRPr="00E62D91">
        <w:rPr>
          <w:rFonts w:eastAsia="Calibri" w:cstheme="minorHAnsi"/>
          <w:b/>
          <w:bCs/>
          <w:szCs w:val="24"/>
        </w:rPr>
        <w:t>2.2.4</w:t>
      </w:r>
      <w:r w:rsidRPr="00E62D91">
        <w:rPr>
          <w:rFonts w:eastAsia="Calibri" w:cstheme="minorHAnsi"/>
          <w:b/>
          <w:bCs/>
          <w:szCs w:val="24"/>
          <w:lang w:val="en-MY"/>
        </w:rPr>
        <w:t>.</w:t>
      </w:r>
      <w:r w:rsidRPr="00E62D91">
        <w:rPr>
          <w:rFonts w:eastAsia="Calibri" w:cstheme="minorHAnsi"/>
          <w:szCs w:val="24"/>
          <w:lang w:val="en-MY"/>
        </w:rPr>
        <w:t xml:space="preserve"> </w:t>
      </w:r>
      <w:r w:rsidRPr="00E62D91">
        <w:rPr>
          <w:rFonts w:eastAsia="Calibri" w:cstheme="minorHAnsi"/>
          <w:szCs w:val="24"/>
          <w:lang w:val="en-US"/>
        </w:rPr>
        <w:t xml:space="preserve">The ITU Regional Development Forum for the Americas (RDF-AMS) 2025 was organized by the BDT and hosted by the National Telecommunication Commission (CONATEL) of Paraguay in Asunción on 31 March 2025. Held back-to-back with the Regional Preparatory Meeting for WTDC-25 and a CITEL meeting, the forum facilitated high-level dialogue on achieving meaningful </w:t>
      </w:r>
      <w:r w:rsidRPr="00E62D91">
        <w:rPr>
          <w:rFonts w:eastAsia="Calibri" w:cstheme="minorHAnsi"/>
          <w:szCs w:val="24"/>
          <w:lang w:val="en-US"/>
        </w:rPr>
        <w:lastRenderedPageBreak/>
        <w:t>connectivity and sustainable digital transformation in the Americas. It welcomed 168 participants representing 29 Member States, ITU-D Sector Members, and other stakeholders. Discussions highlighted regional progress, with 87% internet usage and 89% mobile phone ownership reported, but acknowledged persistent digital divides. The Partner2Connect (P2C) Digital Coalition's role was emphasized, with reports indicating around 225 pledges worth over USD 25 billion had been secured for the region, focusing on access, affordability, and cybersecurity. Matchmaking roundtables were held to advance these commitments. The forum also saw the announcement of a new EU-funded project on Regional Regulatory Innovation for Central America.</w:t>
      </w:r>
    </w:p>
    <w:p w14:paraId="0C85535B" w14:textId="7B672BAC" w:rsidR="00B05439" w:rsidRPr="00E62D91" w:rsidRDefault="00B05439" w:rsidP="00E62D91">
      <w:pPr>
        <w:tabs>
          <w:tab w:val="clear" w:pos="1134"/>
          <w:tab w:val="clear" w:pos="2268"/>
        </w:tabs>
        <w:spacing w:after="120"/>
        <w:rPr>
          <w:rFonts w:eastAsia="SimSun" w:cstheme="minorHAnsi"/>
          <w:szCs w:val="24"/>
          <w:lang w:val="en-US"/>
        </w:rPr>
      </w:pPr>
      <w:r w:rsidRPr="00E62D91">
        <w:rPr>
          <w:rFonts w:eastAsia="Calibri" w:cstheme="minorHAnsi"/>
          <w:b/>
          <w:bCs/>
          <w:szCs w:val="24"/>
        </w:rPr>
        <w:t>2.2</w:t>
      </w:r>
      <w:r w:rsidRPr="00E62D91">
        <w:rPr>
          <w:rFonts w:eastAsia="SimSun" w:cstheme="minorHAnsi"/>
          <w:b/>
          <w:bCs/>
          <w:szCs w:val="24"/>
          <w:lang w:val="en-MY"/>
        </w:rPr>
        <w:t>.5.</w:t>
      </w:r>
      <w:r w:rsidRPr="00E62D91">
        <w:rPr>
          <w:rFonts w:eastAsia="SimSun" w:cstheme="minorHAnsi"/>
          <w:szCs w:val="24"/>
          <w:lang w:val="en-MY"/>
        </w:rPr>
        <w:t xml:space="preserve"> </w:t>
      </w:r>
      <w:r w:rsidRPr="00E62D91">
        <w:rPr>
          <w:rFonts w:eastAsia="SimSun" w:cstheme="minorHAnsi"/>
          <w:szCs w:val="24"/>
          <w:lang w:val="en-US"/>
        </w:rPr>
        <w:t>The ITU Regional Development Forum for the Arab States (RDF-ARB) 2025 was organized by the BDT and hosted by the Telecommunications Regulatory Commission (TRC) of Jordan in Amman on 3 February 2025. The forum, held back-to-back with the Regional Preparatory Meeting for WTDC-25, provided a platform for high-level dialogue among 111 participants representing 17 Member States and various stakeholder groups, including Sector Members, Academia, UN agencies, and regional organizations. Key discussions centered on implementing the WTDC-22 Arab Regional Initiatives, addressing challenges and opportunities in achieving meaningful connectivity, and fostering sustainable digital transformation. A significant focus was placed on the Partner2Connect (P2C) Digital Coalition, with matchmaking roundtables designed to align partner pledges with Member State needs; it was noted the Arab Region has secured P2C commitments valued at USD 24.7 billion. The event also featured the signing of a Joint Declaration between ITU and RIPE NCC to promote internet infrastructure development and IPv6 deployment in the region.</w:t>
      </w:r>
    </w:p>
    <w:p w14:paraId="71DB8792" w14:textId="3D9DB79B" w:rsidR="00B05439" w:rsidRPr="00E62D91" w:rsidRDefault="00B05439" w:rsidP="00E62D91">
      <w:pPr>
        <w:tabs>
          <w:tab w:val="clear" w:pos="1134"/>
          <w:tab w:val="clear" w:pos="2268"/>
        </w:tabs>
        <w:spacing w:after="120"/>
        <w:rPr>
          <w:rFonts w:cstheme="minorHAnsi"/>
          <w:szCs w:val="24"/>
        </w:rPr>
      </w:pPr>
      <w:r w:rsidRPr="00E62D91">
        <w:rPr>
          <w:rFonts w:eastAsia="Calibri" w:cstheme="minorHAnsi"/>
          <w:b/>
          <w:bCs/>
          <w:szCs w:val="24"/>
        </w:rPr>
        <w:t>2.2.6.</w:t>
      </w:r>
      <w:r w:rsidRPr="00E62D91">
        <w:rPr>
          <w:rFonts w:eastAsia="Calibri" w:cstheme="minorHAnsi"/>
          <w:szCs w:val="24"/>
        </w:rPr>
        <w:t xml:space="preserve"> </w:t>
      </w:r>
      <w:r w:rsidRPr="00E62D91">
        <w:rPr>
          <w:rFonts w:cstheme="minorHAnsi"/>
          <w:szCs w:val="24"/>
        </w:rPr>
        <w:t>The ITU Regional Development Forum for Asia and the Pacific (RDF-ASP) 2025 was organized by the BDT and hosted by the National Broadcasting and Telecommunication Commission (NBTC) of Thailand, in cooperation with the Asia Pacific Telecommunity (APT). Held in Bangkok on 19</w:t>
      </w:r>
      <w:r w:rsidR="00E62D91">
        <w:rPr>
          <w:rFonts w:cstheme="minorHAnsi"/>
          <w:szCs w:val="24"/>
        </w:rPr>
        <w:t> </w:t>
      </w:r>
      <w:r w:rsidRPr="00E62D91">
        <w:rPr>
          <w:rFonts w:cstheme="minorHAnsi"/>
          <w:szCs w:val="24"/>
        </w:rPr>
        <w:t>March 2025, the forum convened 167 participants from 36 Member States, Sector Members, and other stakeholders. The dialogue focused on achieving meaningful connectivity and sustainable digital transformation across the region, setting strategic priorities, and reviewing progress on regional initiatives and the Kigali Action Plan implementation. Challenges such as the digital divide, particularly in SIDS and LDCs, cybersecurity, and sustainability were discussed alongside opportunities in emerging technologies. The Partner2Connect (P2C) coalition reported pledges worth USD 17.5 billion for the region, focusing on access, affordability, and cybersecurity, with matchmaking sessions designed to foster partnerships. Collaborations with partners like Japan (on AI capacity building and digital infrastructure) and Thailand (on Girls in ICT Day 2025) were also highlighted.</w:t>
      </w:r>
    </w:p>
    <w:p w14:paraId="0DECF11D" w14:textId="77777777" w:rsidR="00B05439" w:rsidRPr="00E62D91" w:rsidRDefault="00B05439" w:rsidP="00E62D91">
      <w:pPr>
        <w:tabs>
          <w:tab w:val="clear" w:pos="1134"/>
          <w:tab w:val="clear" w:pos="2268"/>
        </w:tabs>
        <w:spacing w:after="120"/>
        <w:rPr>
          <w:rFonts w:eastAsiaTheme="minorEastAsia" w:cstheme="minorHAnsi"/>
          <w:szCs w:val="24"/>
          <w:lang w:eastAsia="zh-CN"/>
        </w:rPr>
      </w:pPr>
      <w:r w:rsidRPr="00E62D91">
        <w:rPr>
          <w:rFonts w:eastAsiaTheme="minorEastAsia" w:cstheme="minorHAnsi"/>
          <w:b/>
          <w:bCs/>
          <w:szCs w:val="24"/>
          <w:lang w:val="en-MY" w:eastAsia="zh-CN"/>
        </w:rPr>
        <w:t>2.2.7.</w:t>
      </w:r>
      <w:r w:rsidRPr="00E62D91">
        <w:rPr>
          <w:rFonts w:eastAsiaTheme="minorEastAsia" w:cstheme="minorHAnsi"/>
          <w:szCs w:val="24"/>
          <w:lang w:val="en-MY" w:eastAsia="zh-CN"/>
        </w:rPr>
        <w:t xml:space="preserve"> </w:t>
      </w:r>
      <w:r w:rsidRPr="00E62D91">
        <w:rPr>
          <w:rFonts w:eastAsiaTheme="minorEastAsia" w:cstheme="minorHAnsi"/>
          <w:szCs w:val="24"/>
          <w:lang w:eastAsia="zh-CN"/>
        </w:rPr>
        <w:t>The ITU Regional Development Forum for the Commonwealth of Independent States (RDF-CIS) 2025 was held on 23 April 2025 in Bishkek, Kyrgyz Republic, hosted by the Ministry of Digital Development and Innovative Technologies of the Kyrgyz Republic. Bringing together 75 participants from Member States, Sector Members, Academia, UN agencies, regional organizations, and others, the forum served as a platform for high-level dialogue on achieving meaningful connectivity and sustainable digital transformation to accelerate the attainment of the SDGs in the region. Discussions reviewed progress on implementing the outcomes of WTDC-22, including the five Regional Initiatives for the CIS region, and addressed regional trends, challenges, and opportunities outlined in the "State of Digital Development and Trends in the CIS Region" report. The forum also dedicated sessions to the Partner2Connect (P2C) Digital Coalition, featuring matchmaking roundtables aimed at fostering partnerships and aligning the 60 pledges (worth USD 4.4 billion) received for the region with priority needs to advance digital development.</w:t>
      </w:r>
    </w:p>
    <w:p w14:paraId="55EAAFCA" w14:textId="761E8364" w:rsidR="00B05439" w:rsidRPr="00E62D91" w:rsidRDefault="00B05439" w:rsidP="00E62D91">
      <w:pPr>
        <w:tabs>
          <w:tab w:val="clear" w:pos="1134"/>
          <w:tab w:val="clear" w:pos="2268"/>
        </w:tabs>
        <w:spacing w:after="120"/>
        <w:rPr>
          <w:rFonts w:eastAsia="Calibri" w:cstheme="minorHAnsi"/>
          <w:color w:val="000000" w:themeColor="text1"/>
          <w:szCs w:val="24"/>
          <w:lang w:val="en-US"/>
        </w:rPr>
      </w:pPr>
      <w:r w:rsidRPr="00E62D91">
        <w:rPr>
          <w:rFonts w:eastAsia="Calibri" w:cstheme="minorHAnsi"/>
          <w:b/>
          <w:bCs/>
          <w:color w:val="000000" w:themeColor="text1"/>
          <w:szCs w:val="24"/>
          <w:lang w:val="en-MY"/>
        </w:rPr>
        <w:lastRenderedPageBreak/>
        <w:t>2.2.8.</w:t>
      </w:r>
      <w:r w:rsidRPr="00E62D91">
        <w:rPr>
          <w:rFonts w:eastAsia="Calibri" w:cstheme="minorHAnsi"/>
          <w:color w:val="000000" w:themeColor="text1"/>
          <w:szCs w:val="24"/>
          <w:lang w:val="en-MY"/>
        </w:rPr>
        <w:t xml:space="preserve"> </w:t>
      </w:r>
      <w:r w:rsidRPr="00E62D91">
        <w:rPr>
          <w:rFonts w:eastAsia="Calibri" w:cstheme="minorHAnsi"/>
          <w:color w:val="000000" w:themeColor="text1"/>
          <w:szCs w:val="24"/>
          <w:lang w:val="en-US"/>
        </w:rPr>
        <w:t>The ITU Regional Development Forum for Europe (RDF-EUR) 2025 was held on 24 February 2025 in Budapest, Hungary, hosted by the National Media and Infocommunications Authority of Hungary in cooperation with CEPT, and held back-to-back with the RPM-EUR meeting. Attended by 98 participants representing 32 Member States, ITU-D Sector Members, and guests, the forum facilitated high-level dialogue on achieving meaningful connectivity and sustainable digital transformation. Discussions reviewed the implementation of the five Regional Initiatives for Europe and addressed regional trends, challenges, and opportunities, including Europe's leadership in areas like cybersecurity and broadband affordability, alongside persistent rural connectivity gaps. The forum included Partner2Connect (P2C) matchmaking sessions aimed at fostering partnerships for development. Key announcements included support for the Western Balkans on Early Warning Systems, agreements with Cyprus on infrastructure resilience capacity development and with Andorra on child online protection, and a UN agreement with ILO focused on digital literacy in Moldova.</w:t>
      </w:r>
      <w:r w:rsidR="00E62D91">
        <w:rPr>
          <w:rFonts w:eastAsia="Calibri" w:cstheme="minorHAnsi"/>
          <w:color w:val="000000" w:themeColor="text1"/>
          <w:szCs w:val="24"/>
          <w:lang w:val="en-US"/>
        </w:rPr>
        <w:t xml:space="preserve"> </w:t>
      </w:r>
    </w:p>
    <w:p w14:paraId="2766B273" w14:textId="77777777" w:rsidR="00B05439" w:rsidRPr="00E62D91" w:rsidRDefault="00B05439" w:rsidP="00E62D91">
      <w:pPr>
        <w:pStyle w:val="NormalWeb"/>
        <w:spacing w:after="120"/>
        <w:rPr>
          <w:rFonts w:asciiTheme="minorHAnsi" w:eastAsia="Calibri" w:hAnsiTheme="minorHAnsi" w:cstheme="minorHAnsi"/>
          <w:b/>
          <w:bCs/>
          <w:color w:val="000000" w:themeColor="text1"/>
          <w:lang w:val="en-US"/>
        </w:rPr>
      </w:pPr>
      <w:r w:rsidRPr="00E62D91">
        <w:rPr>
          <w:rFonts w:asciiTheme="minorHAnsi" w:eastAsia="Calibri" w:hAnsiTheme="minorHAnsi" w:cstheme="minorHAnsi"/>
          <w:b/>
          <w:bCs/>
          <w:color w:val="000000" w:themeColor="text1"/>
          <w:lang w:val="en-US"/>
        </w:rPr>
        <w:t>2.3. Regional Preparatory Meetings for WTDC 2025</w:t>
      </w:r>
    </w:p>
    <w:p w14:paraId="29D8A5FE" w14:textId="04E8EF57" w:rsidR="00B05439" w:rsidRPr="00E62D91" w:rsidRDefault="00B05439" w:rsidP="00E62D91">
      <w:pPr>
        <w:pStyle w:val="NormalWeb"/>
        <w:spacing w:after="120"/>
        <w:rPr>
          <w:rFonts w:asciiTheme="minorHAnsi" w:hAnsiTheme="minorHAnsi" w:cstheme="minorHAnsi"/>
        </w:rPr>
      </w:pPr>
      <w:r w:rsidRPr="00E62D91">
        <w:rPr>
          <w:rFonts w:asciiTheme="minorHAnsi" w:eastAsia="Calibri" w:hAnsiTheme="minorHAnsi" w:cstheme="minorHAnsi"/>
          <w:b/>
          <w:color w:val="000000" w:themeColor="text1"/>
          <w:lang w:val="en-US"/>
        </w:rPr>
        <w:t>2.3.1</w:t>
      </w:r>
      <w:r w:rsidRPr="00E62D91">
        <w:rPr>
          <w:rFonts w:asciiTheme="minorHAnsi" w:eastAsia="Calibri" w:hAnsiTheme="minorHAnsi" w:cstheme="minorHAnsi"/>
          <w:color w:val="000000" w:themeColor="text1"/>
          <w:lang w:val="en-US"/>
        </w:rPr>
        <w:t>.</w:t>
      </w:r>
      <w:r w:rsidRPr="00E62D91">
        <w:rPr>
          <w:rFonts w:asciiTheme="minorHAnsi" w:eastAsia="Calibri" w:hAnsiTheme="minorHAnsi" w:cstheme="minorHAnsi"/>
          <w:b/>
          <w:color w:val="000000" w:themeColor="text1"/>
          <w:lang w:val="en-US"/>
        </w:rPr>
        <w:t xml:space="preserve"> </w:t>
      </w:r>
      <w:r w:rsidRPr="00E62D91">
        <w:rPr>
          <w:rFonts w:asciiTheme="minorHAnsi" w:hAnsiTheme="minorHAnsi" w:cstheme="minorHAnsi"/>
        </w:rPr>
        <w:t xml:space="preserve">In accordance with </w:t>
      </w:r>
      <w:hyperlink r:id="rId43">
        <w:r w:rsidRPr="00E62D91">
          <w:rPr>
            <w:rStyle w:val="Hyperlink"/>
            <w:rFonts w:asciiTheme="minorHAnsi" w:hAnsiTheme="minorHAnsi" w:cstheme="minorHAnsi"/>
          </w:rPr>
          <w:t>Resolution 31 (Rev. Kigali, 2022),</w:t>
        </w:r>
      </w:hyperlink>
      <w:r w:rsidRPr="00E62D91">
        <w:rPr>
          <w:rFonts w:asciiTheme="minorHAnsi" w:hAnsiTheme="minorHAnsi" w:cstheme="minorHAnsi"/>
        </w:rPr>
        <w:t xml:space="preserve"> six Regional Preparatory Meetings (RPMs) were organized a</w:t>
      </w:r>
      <w:r w:rsidRPr="00E62D91">
        <w:rPr>
          <w:rFonts w:asciiTheme="minorHAnsi" w:eastAsia="Calibri" w:hAnsiTheme="minorHAnsi" w:cstheme="minorHAnsi"/>
          <w:color w:val="000000" w:themeColor="text1"/>
          <w:lang w:val="en-US"/>
        </w:rPr>
        <w:t>s shown in Table 1 above.</w:t>
      </w:r>
      <w:r w:rsidR="00E62D91">
        <w:rPr>
          <w:rFonts w:asciiTheme="minorHAnsi" w:eastAsia="Calibri" w:hAnsiTheme="minorHAnsi" w:cstheme="minorHAnsi"/>
          <w:color w:val="000000" w:themeColor="text1"/>
          <w:lang w:val="en-US"/>
        </w:rPr>
        <w:t xml:space="preserve"> </w:t>
      </w:r>
      <w:r w:rsidRPr="00E62D91">
        <w:rPr>
          <w:rFonts w:asciiTheme="minorHAnsi" w:hAnsiTheme="minorHAnsi" w:cstheme="minorHAnsi"/>
        </w:rPr>
        <w:t>The RPMs aimed at engaging the membership in the preparations of the WTDC-25 in order to achieve regional coordination before the conference itself. They also seek to identify issues at the regional level that need to be addressed to foster the development of telecommunications and ICTs, taking into account the most pressing needs faced by the Member States and Sector Members of the region. Outcomes of RPMs are consolidated at the inter-regional coordination meeting and discussed at TDAG 2025. The outcomes of TDAG are submitted to WTDC as draft documents for consideration.</w:t>
      </w:r>
    </w:p>
    <w:p w14:paraId="7764CE4C" w14:textId="77777777" w:rsidR="00B05439" w:rsidRPr="00E62D91" w:rsidRDefault="00B05439" w:rsidP="00E62D91">
      <w:pPr>
        <w:spacing w:after="120"/>
        <w:rPr>
          <w:rFonts w:cstheme="minorHAnsi"/>
          <w:szCs w:val="24"/>
        </w:rPr>
      </w:pPr>
      <w:r w:rsidRPr="00E62D91">
        <w:rPr>
          <w:rFonts w:cstheme="minorHAnsi"/>
          <w:b/>
          <w:bCs/>
          <w:szCs w:val="24"/>
        </w:rPr>
        <w:t>2.3.2.</w:t>
      </w:r>
      <w:r w:rsidRPr="00E62D91">
        <w:rPr>
          <w:rFonts w:cstheme="minorHAnsi"/>
          <w:szCs w:val="24"/>
        </w:rPr>
        <w:t xml:space="preserve"> The RPMs reviewed several documents, including those on the implementation of the WTDC-22 Kigali Action Plan, state of digital development and trends in Europe, decisions of other ITU Conferences related to ITU-D work, progress of the TDAG Working Group on ITU-D Priorities and Future Study Group Questions, and efforts on streamlining resolutions and the WTDC Declaration.</w:t>
      </w:r>
    </w:p>
    <w:p w14:paraId="714B2F52" w14:textId="77777777" w:rsidR="00B05439" w:rsidRPr="00E62D91" w:rsidRDefault="00B05439" w:rsidP="00E62D91">
      <w:pPr>
        <w:pStyle w:val="NormalWeb"/>
        <w:spacing w:after="120"/>
        <w:rPr>
          <w:rFonts w:asciiTheme="minorHAnsi" w:eastAsia="Calibri" w:hAnsiTheme="minorHAnsi" w:cstheme="minorHAnsi"/>
          <w:color w:val="000000" w:themeColor="text1"/>
          <w:lang w:val="en-US"/>
        </w:rPr>
      </w:pPr>
      <w:r w:rsidRPr="00E62D91">
        <w:rPr>
          <w:rFonts w:asciiTheme="minorHAnsi" w:hAnsiTheme="minorHAnsi" w:cstheme="minorHAnsi"/>
          <w:b/>
          <w:bCs/>
        </w:rPr>
        <w:t>2.3.3.</w:t>
      </w:r>
      <w:r w:rsidRPr="00E62D91">
        <w:rPr>
          <w:rFonts w:asciiTheme="minorHAnsi" w:hAnsiTheme="minorHAnsi" w:cstheme="minorHAnsi"/>
        </w:rPr>
        <w:t xml:space="preserve"> The meetings also discussed and took note of contributions from various countries regarding new regional initiatives, including enhancing cybersecurity, promoting gender equality, advancing youth inclusion, improving emergency telecommunications, and fostering digital innovation ecosystems. The RPMs also elaborated on draft regional initiatives for each region for the 2026-2029 period.</w:t>
      </w:r>
      <w:r w:rsidRPr="00E62D91">
        <w:rPr>
          <w:rFonts w:asciiTheme="minorHAnsi" w:eastAsia="Calibri" w:hAnsiTheme="minorHAnsi" w:cstheme="minorHAnsi"/>
          <w:color w:val="000000" w:themeColor="text1"/>
          <w:lang w:val="en-US"/>
        </w:rPr>
        <w:t xml:space="preserve"> </w:t>
      </w:r>
      <w:r w:rsidRPr="00E62D91">
        <w:rPr>
          <w:rFonts w:asciiTheme="minorHAnsi" w:hAnsiTheme="minorHAnsi" w:cstheme="minorHAnsi"/>
        </w:rPr>
        <w:t>For more information on the contributions made to each RPM, please visit</w:t>
      </w:r>
      <w:r w:rsidRPr="00E62D91">
        <w:rPr>
          <w:rFonts w:asciiTheme="minorHAnsi" w:hAnsiTheme="minorHAnsi" w:cstheme="minorHAnsi"/>
          <w:lang w:eastAsia="ko-KR"/>
        </w:rPr>
        <w:t xml:space="preserve"> the</w:t>
      </w:r>
      <w:r w:rsidRPr="00E62D91">
        <w:rPr>
          <w:rFonts w:asciiTheme="minorHAnsi" w:hAnsiTheme="minorHAnsi" w:cstheme="minorHAnsi"/>
        </w:rPr>
        <w:t xml:space="preserve"> </w:t>
      </w:r>
      <w:hyperlink r:id="rId44" w:history="1">
        <w:r w:rsidRPr="00E62D91">
          <w:rPr>
            <w:rStyle w:val="Hyperlink"/>
            <w:rFonts w:asciiTheme="minorHAnsi" w:hAnsiTheme="minorHAnsi" w:cstheme="minorHAnsi"/>
          </w:rPr>
          <w:t>RPMs website.</w:t>
        </w:r>
      </w:hyperlink>
    </w:p>
    <w:p w14:paraId="183E2CF7" w14:textId="77777777" w:rsidR="003B4E1C" w:rsidRDefault="00B05439" w:rsidP="00E62D91">
      <w:pPr>
        <w:tabs>
          <w:tab w:val="clear" w:pos="1134"/>
          <w:tab w:val="clear" w:pos="2268"/>
        </w:tabs>
        <w:spacing w:after="120"/>
        <w:rPr>
          <w:rFonts w:eastAsia="Calibri" w:cstheme="minorHAnsi"/>
          <w:b/>
          <w:bCs/>
          <w:color w:val="000000" w:themeColor="text1"/>
          <w:szCs w:val="24"/>
          <w:lang w:val="en-US"/>
        </w:rPr>
      </w:pPr>
      <w:r w:rsidRPr="00E62D91">
        <w:rPr>
          <w:rFonts w:eastAsia="Calibri" w:cstheme="minorHAnsi"/>
          <w:b/>
          <w:bCs/>
          <w:color w:val="000000" w:themeColor="text1"/>
          <w:szCs w:val="24"/>
          <w:lang w:val="en-US"/>
        </w:rPr>
        <w:t>2.4. Implementation of ITU-D Operational Plan</w:t>
      </w:r>
    </w:p>
    <w:p w14:paraId="6C63446A" w14:textId="5CDCA8A2" w:rsidR="00B05439" w:rsidRPr="00E62D91" w:rsidRDefault="00B05439" w:rsidP="00E62D91">
      <w:pPr>
        <w:tabs>
          <w:tab w:val="clear" w:pos="1134"/>
          <w:tab w:val="clear" w:pos="2268"/>
        </w:tabs>
        <w:spacing w:after="120"/>
        <w:rPr>
          <w:rFonts w:eastAsia="Calibri" w:cstheme="minorHAnsi"/>
          <w:b/>
          <w:bCs/>
          <w:color w:val="000000" w:themeColor="text1"/>
          <w:szCs w:val="24"/>
          <w:lang w:val="en-US"/>
        </w:rPr>
      </w:pPr>
      <w:r w:rsidRPr="00E62D91">
        <w:rPr>
          <w:rFonts w:eastAsia="SimSun" w:cstheme="minorHAnsi"/>
          <w:b/>
          <w:bCs/>
          <w:szCs w:val="24"/>
          <w:lang w:val="en-US"/>
        </w:rPr>
        <w:t xml:space="preserve">2.4.1. </w:t>
      </w:r>
      <w:r w:rsidRPr="00E62D91">
        <w:rPr>
          <w:rFonts w:eastAsia="SimSun" w:cstheme="minorHAnsi"/>
          <w:szCs w:val="24"/>
          <w:lang w:val="en-US"/>
        </w:rPr>
        <w:t>The</w:t>
      </w:r>
      <w:r w:rsidRPr="00E62D91">
        <w:rPr>
          <w:rFonts w:eastAsia="Aptos" w:cstheme="minorHAnsi"/>
          <w:szCs w:val="24"/>
          <w:lang w:val="en-US"/>
        </w:rPr>
        <w:t xml:space="preserve"> effectiveness of ITU’s regional activities significantly contributes to its global mission of connecting the world and fostering sustainable digital transformation, thereby creating impact at local level as part of BDT’s development activities and delivery in the Member States. These efforts are strategically designed to ensure that ITU remains responsive to the fast-evolving needs of digital economies and societies worldwide. </w:t>
      </w:r>
    </w:p>
    <w:p w14:paraId="37447871" w14:textId="77777777" w:rsidR="00B05439" w:rsidRPr="00E62D91" w:rsidRDefault="00B05439" w:rsidP="00E62D91">
      <w:pPr>
        <w:tabs>
          <w:tab w:val="clear" w:pos="1134"/>
          <w:tab w:val="clear" w:pos="2268"/>
        </w:tabs>
        <w:spacing w:after="120"/>
        <w:rPr>
          <w:rFonts w:eastAsia="Aptos" w:cstheme="minorHAnsi"/>
          <w:szCs w:val="24"/>
          <w:lang w:val="en-US"/>
        </w:rPr>
      </w:pPr>
      <w:r w:rsidRPr="00E62D91">
        <w:rPr>
          <w:rFonts w:eastAsia="Aptos" w:cstheme="minorHAnsi"/>
          <w:b/>
          <w:bCs/>
          <w:szCs w:val="24"/>
          <w:lang w:val="en-US"/>
        </w:rPr>
        <w:t>2.4.2</w:t>
      </w:r>
      <w:r w:rsidRPr="00E62D91">
        <w:rPr>
          <w:rFonts w:eastAsia="Aptos" w:cstheme="minorHAnsi"/>
          <w:szCs w:val="24"/>
          <w:lang w:val="en-US"/>
        </w:rPr>
        <w:t xml:space="preserve">. The ITU-D Operational Plan is aligned with the structure of the strategic plan for the Union for 2024-2027. The structure follows the Kigali Action Plan (KAP), outlining the ITU-D Priorities and Enablers, and their corresponding outcomes, products and services as well as the performance indicators (KPIs) to measure their achievement level produced by the activities of the Sector. Currently, a total of one hundred and thirty-five (135) activities are being deployed globally and across regions. To enhance implementation, synergies are sought among regional outputs, as well </w:t>
      </w:r>
      <w:r w:rsidRPr="00E62D91">
        <w:rPr>
          <w:rFonts w:eastAsia="Aptos" w:cstheme="minorHAnsi"/>
          <w:szCs w:val="24"/>
          <w:lang w:val="en-US"/>
        </w:rPr>
        <w:lastRenderedPageBreak/>
        <w:t xml:space="preserve">as between regional and global initiatives, in collaboration with other ITU Bureaux and the General Secretariat. </w:t>
      </w:r>
    </w:p>
    <w:p w14:paraId="58CD4A1C" w14:textId="77777777" w:rsidR="00B05439" w:rsidRPr="00E62D91" w:rsidRDefault="00B05439" w:rsidP="00E62D91">
      <w:pPr>
        <w:tabs>
          <w:tab w:val="clear" w:pos="1134"/>
          <w:tab w:val="clear" w:pos="2268"/>
        </w:tabs>
        <w:spacing w:after="120"/>
        <w:rPr>
          <w:rFonts w:eastAsia="Aptos" w:cstheme="minorHAnsi"/>
          <w:szCs w:val="24"/>
          <w:lang w:val="en-US"/>
        </w:rPr>
      </w:pPr>
      <w:r w:rsidRPr="00E62D91">
        <w:rPr>
          <w:rFonts w:eastAsia="Aptos" w:cstheme="minorHAnsi"/>
          <w:b/>
          <w:bCs/>
          <w:szCs w:val="24"/>
          <w:lang w:val="en-US"/>
        </w:rPr>
        <w:t>2.4.3.</w:t>
      </w:r>
      <w:r w:rsidRPr="00E62D91">
        <w:rPr>
          <w:rFonts w:eastAsia="Aptos" w:cstheme="minorHAnsi"/>
          <w:szCs w:val="24"/>
          <w:lang w:val="en-US"/>
        </w:rPr>
        <w:t xml:space="preserve"> Regional offices are an integral part of the operational planning process, demonstrated by the BDT dashboards for OP and projects. ITU’s Regional and Area Offices work closely with Headquarters on the identification, implementation and monitoring of the operational plans, as well as on the design, implementation and monitoring of projects for technical assistance within their respective regions. Budget allocation and performance evaluation are carried out jointly with the regional offices. This includes the delivery of outputs (ITU-D products and services) and outcomes (results) to Member States as well as addressing country specific needs, in alignment with the ITU-D Priority and Enablers and Regional Initiatives adopted at the WTDC-22. This integrated approach allows BDT to provide impactful results to ITU Member States, and to leverage on the synergies between the regular and extrabudgetary activities undertaken by the Bureau. </w:t>
      </w:r>
    </w:p>
    <w:p w14:paraId="56A103D0" w14:textId="77777777" w:rsidR="00B05439" w:rsidRPr="00E62D91" w:rsidRDefault="00B05439" w:rsidP="00E62D91">
      <w:pPr>
        <w:tabs>
          <w:tab w:val="clear" w:pos="1134"/>
          <w:tab w:val="clear" w:pos="2268"/>
        </w:tabs>
        <w:spacing w:after="120"/>
        <w:rPr>
          <w:rFonts w:eastAsia="Aptos" w:cstheme="minorHAnsi"/>
          <w:szCs w:val="24"/>
          <w:lang w:val="en-US"/>
        </w:rPr>
      </w:pPr>
      <w:r w:rsidRPr="00E62D91">
        <w:rPr>
          <w:rFonts w:eastAsia="Aptos" w:cstheme="minorHAnsi"/>
          <w:b/>
          <w:bCs/>
          <w:szCs w:val="24"/>
          <w:lang w:val="en-US"/>
        </w:rPr>
        <w:t>2.4.4.</w:t>
      </w:r>
      <w:r w:rsidRPr="00E62D91">
        <w:rPr>
          <w:rFonts w:eastAsia="Aptos" w:cstheme="minorHAnsi"/>
          <w:szCs w:val="24"/>
          <w:lang w:val="en-US"/>
        </w:rPr>
        <w:t xml:space="preserve"> Operational plans for BDT, based on KPIs outputs and outcomes, are seamlessly developed, managed, and reported jointly by regional offices and headquarters. The regional offices are close to membership and can effectively address their needs. </w:t>
      </w:r>
    </w:p>
    <w:p w14:paraId="7A1C3520" w14:textId="77777777" w:rsidR="00B05439" w:rsidRPr="00E62D91" w:rsidRDefault="00B05439" w:rsidP="00E62D91">
      <w:pPr>
        <w:tabs>
          <w:tab w:val="clear" w:pos="1134"/>
          <w:tab w:val="clear" w:pos="2268"/>
        </w:tabs>
        <w:spacing w:after="120"/>
        <w:rPr>
          <w:rFonts w:eastAsia="Aptos" w:cstheme="minorHAnsi"/>
          <w:szCs w:val="24"/>
          <w:lang w:val="en-US"/>
        </w:rPr>
      </w:pPr>
      <w:r w:rsidRPr="00E62D91">
        <w:rPr>
          <w:rFonts w:eastAsia="Aptos" w:cstheme="minorHAnsi"/>
          <w:b/>
          <w:bCs/>
          <w:szCs w:val="24"/>
          <w:lang w:val="en-US"/>
        </w:rPr>
        <w:t>2.4.5.</w:t>
      </w:r>
      <w:r w:rsidRPr="00E62D91">
        <w:rPr>
          <w:rFonts w:eastAsia="Aptos" w:cstheme="minorHAnsi"/>
          <w:szCs w:val="24"/>
          <w:lang w:val="en-US"/>
        </w:rPr>
        <w:t xml:space="preserve"> For Operational Plan activities, Regional and Area Offices are responsible for the implementation while BDT services at HQ manage multi-regional activities. For projects that are region or country specific, project managers are based in the Regional or Area Offices. All results from operational planning activities and projects are measured through KPIs adopted by the Telecommunication Development Advisory Group (TDAG).</w:t>
      </w:r>
    </w:p>
    <w:p w14:paraId="272F026A" w14:textId="77777777" w:rsidR="00B05439" w:rsidRPr="00E62D91" w:rsidRDefault="00B05439" w:rsidP="00E62D91">
      <w:pPr>
        <w:tabs>
          <w:tab w:val="clear" w:pos="1134"/>
          <w:tab w:val="clear" w:pos="2268"/>
        </w:tabs>
        <w:overflowPunct/>
        <w:spacing w:after="120"/>
        <w:textAlignment w:val="auto"/>
        <w:rPr>
          <w:rFonts w:eastAsia="Aptos" w:cstheme="minorHAnsi"/>
          <w:szCs w:val="24"/>
        </w:rPr>
      </w:pPr>
      <w:r w:rsidRPr="00E62D91">
        <w:rPr>
          <w:rFonts w:cstheme="minorHAnsi"/>
          <w:b/>
          <w:bCs/>
          <w:szCs w:val="24"/>
        </w:rPr>
        <w:t>2.4.6.</w:t>
      </w:r>
      <w:r w:rsidRPr="00E62D91">
        <w:rPr>
          <w:rFonts w:cstheme="minorHAnsi"/>
          <w:szCs w:val="24"/>
        </w:rPr>
        <w:t xml:space="preserve"> ITU Regional and Area Offices work in coordination with BDT Departments and Divisions in the implementation of the Kigali Action Plan (KAP), approved by the World Telecommunication Development Conference (WTDC-22). </w:t>
      </w:r>
      <w:r w:rsidRPr="00E62D91">
        <w:rPr>
          <w:rFonts w:eastAsia="Aptos" w:cstheme="minorHAnsi"/>
          <w:spacing w:val="-2"/>
          <w:szCs w:val="24"/>
        </w:rPr>
        <w:t>The KAP follows a result-based management (RBM) framework based on the</w:t>
      </w:r>
      <w:r w:rsidRPr="00E62D91">
        <w:rPr>
          <w:rFonts w:eastAsia="Aptos" w:cstheme="minorHAnsi"/>
          <w:szCs w:val="24"/>
        </w:rPr>
        <w:t xml:space="preserve"> ITU-D priorities identified as key work areas that support the achievement of the ITU strategic plan for 2024-2027.</w:t>
      </w:r>
    </w:p>
    <w:p w14:paraId="517C64AA" w14:textId="77777777" w:rsidR="00B05439" w:rsidRPr="00E62D91" w:rsidRDefault="00B05439" w:rsidP="00E62D91">
      <w:pPr>
        <w:tabs>
          <w:tab w:val="clear" w:pos="1134"/>
          <w:tab w:val="clear" w:pos="2268"/>
        </w:tabs>
        <w:overflowPunct/>
        <w:spacing w:after="120"/>
        <w:textAlignment w:val="auto"/>
        <w:rPr>
          <w:rFonts w:eastAsia="Aptos" w:cstheme="minorHAnsi"/>
          <w:szCs w:val="24"/>
        </w:rPr>
      </w:pPr>
      <w:r w:rsidRPr="00E62D91">
        <w:rPr>
          <w:rFonts w:eastAsia="Aptos" w:cstheme="minorHAnsi"/>
          <w:b/>
          <w:bCs/>
          <w:szCs w:val="24"/>
        </w:rPr>
        <w:t xml:space="preserve">2.4.7 </w:t>
      </w:r>
      <w:r w:rsidRPr="00E62D91">
        <w:rPr>
          <w:rFonts w:eastAsia="Aptos" w:cstheme="minorHAnsi"/>
          <w:szCs w:val="24"/>
        </w:rPr>
        <w:t xml:space="preserve">The detailed information related to the implementation of activities on the ground from June 2024 until May 2025 related to the BDT can be found in document </w:t>
      </w:r>
      <w:hyperlink r:id="rId45" w:history="1">
        <w:r w:rsidRPr="00E62D91">
          <w:rPr>
            <w:rStyle w:val="Hyperlink"/>
            <w:rFonts w:eastAsia="Aptos" w:cstheme="minorHAnsi"/>
            <w:szCs w:val="24"/>
          </w:rPr>
          <w:t>TDAG-25/2</w:t>
        </w:r>
      </w:hyperlink>
      <w:r w:rsidRPr="00E62D91">
        <w:rPr>
          <w:rFonts w:eastAsia="Aptos" w:cstheme="minorHAnsi"/>
          <w:szCs w:val="24"/>
        </w:rPr>
        <w:t>, highlighting key achievements across regions.</w:t>
      </w:r>
    </w:p>
    <w:p w14:paraId="2E53ED5A" w14:textId="77777777" w:rsidR="003B4E1C" w:rsidRDefault="00B05439" w:rsidP="00E62D91">
      <w:pPr>
        <w:tabs>
          <w:tab w:val="clear" w:pos="1134"/>
          <w:tab w:val="clear" w:pos="2268"/>
        </w:tabs>
        <w:overflowPunct/>
        <w:spacing w:after="120"/>
        <w:textAlignment w:val="auto"/>
        <w:rPr>
          <w:rFonts w:cstheme="minorHAnsi"/>
          <w:b/>
          <w:bCs/>
          <w:szCs w:val="24"/>
          <w:lang w:val="en-US"/>
        </w:rPr>
      </w:pPr>
      <w:r w:rsidRPr="00E62D91">
        <w:rPr>
          <w:rFonts w:eastAsia="Aptos" w:cstheme="minorHAnsi"/>
          <w:b/>
          <w:bCs/>
          <w:szCs w:val="24"/>
          <w:lang w:val="en-US"/>
        </w:rPr>
        <w:t xml:space="preserve">2.5. </w:t>
      </w:r>
      <w:r w:rsidRPr="00E62D91">
        <w:rPr>
          <w:rFonts w:cstheme="minorHAnsi"/>
          <w:b/>
          <w:bCs/>
          <w:szCs w:val="24"/>
          <w:lang w:val="en-US"/>
        </w:rPr>
        <w:t xml:space="preserve">Regional Offices’ engagement in ITU-D Project Implementation </w:t>
      </w:r>
    </w:p>
    <w:p w14:paraId="2C2EA487" w14:textId="74F67784" w:rsidR="00B05439" w:rsidRPr="00E62D91" w:rsidRDefault="00B05439" w:rsidP="00E62D91">
      <w:pPr>
        <w:tabs>
          <w:tab w:val="clear" w:pos="1134"/>
          <w:tab w:val="clear" w:pos="2268"/>
        </w:tabs>
        <w:overflowPunct/>
        <w:spacing w:after="120"/>
        <w:textAlignment w:val="auto"/>
        <w:rPr>
          <w:rFonts w:cstheme="minorHAnsi"/>
          <w:b/>
          <w:bCs/>
          <w:szCs w:val="24"/>
          <w:lang w:val="en-US"/>
        </w:rPr>
      </w:pPr>
      <w:r w:rsidRPr="00E62D91">
        <w:rPr>
          <w:rFonts w:cstheme="minorHAnsi"/>
          <w:b/>
          <w:bCs/>
          <w:szCs w:val="24"/>
          <w:lang w:val="en-US"/>
        </w:rPr>
        <w:t>2.5.1.</w:t>
      </w:r>
      <w:r w:rsidRPr="00E62D91">
        <w:rPr>
          <w:rFonts w:cstheme="minorHAnsi"/>
          <w:szCs w:val="24"/>
          <w:lang w:val="en-US"/>
        </w:rPr>
        <w:t xml:space="preserve"> ITU-D projects, designed to facilitate and enhance telecommunication/ICT development through technical cooperation and assistance, are implemented across all six ITU regions; Africa, Americas, Arab States, Asia and the Pacific, CIS, and Europe. The BDT is responsible for project design, development, implementation, and assessment within these regions.</w:t>
      </w:r>
      <w:r w:rsidR="00E62D91">
        <w:rPr>
          <w:rFonts w:cstheme="minorHAnsi"/>
          <w:szCs w:val="24"/>
          <w:lang w:val="en-US"/>
        </w:rPr>
        <w:t xml:space="preserve"> </w:t>
      </w:r>
    </w:p>
    <w:p w14:paraId="146A8F8F" w14:textId="177B11E3" w:rsidR="00B05439" w:rsidRPr="00E62D91" w:rsidRDefault="00B05439" w:rsidP="00E62D91">
      <w:pPr>
        <w:tabs>
          <w:tab w:val="clear" w:pos="1134"/>
          <w:tab w:val="clear" w:pos="2268"/>
        </w:tabs>
        <w:overflowPunct/>
        <w:spacing w:after="120"/>
        <w:textAlignment w:val="auto"/>
        <w:rPr>
          <w:rFonts w:cstheme="minorHAnsi"/>
          <w:szCs w:val="24"/>
          <w:lang w:val="en-US"/>
        </w:rPr>
      </w:pPr>
      <w:r w:rsidRPr="00E62D91">
        <w:rPr>
          <w:rFonts w:cstheme="minorHAnsi"/>
          <w:b/>
          <w:bCs/>
          <w:szCs w:val="24"/>
          <w:lang w:val="en-US"/>
        </w:rPr>
        <w:t>2.5.2.</w:t>
      </w:r>
      <w:r w:rsidRPr="00E62D91">
        <w:rPr>
          <w:rFonts w:cstheme="minorHAnsi"/>
          <w:szCs w:val="24"/>
          <w:lang w:val="en-US"/>
        </w:rPr>
        <w:t xml:space="preserve"> Regional and Area Offices play a vital role, serving as the frontline for ITU’s engagement with local stakeholders and governments. They work in close coordination with Headquarters on the identification, implementation, and monitoring of projects delivering technical assistance, ITU-D products, and services, and addressing country-specific needs aligned with the Kigali Action Plan and Regional Initiatives. This integrated approach, leveraging synergies between regular and extrabudgetary activities, allows BDT to provide better services to Member States.</w:t>
      </w:r>
      <w:r w:rsidR="00E62D91">
        <w:rPr>
          <w:rFonts w:cstheme="minorHAnsi"/>
          <w:szCs w:val="24"/>
          <w:lang w:val="en-US"/>
        </w:rPr>
        <w:t xml:space="preserve"> </w:t>
      </w:r>
    </w:p>
    <w:p w14:paraId="5712237C" w14:textId="77777777" w:rsidR="00B05439" w:rsidRPr="00E62D91" w:rsidRDefault="00B05439" w:rsidP="00E62D91">
      <w:pPr>
        <w:tabs>
          <w:tab w:val="clear" w:pos="1134"/>
          <w:tab w:val="clear" w:pos="2268"/>
        </w:tabs>
        <w:spacing w:after="120"/>
        <w:rPr>
          <w:rFonts w:eastAsia="Aptos" w:cstheme="minorHAnsi"/>
          <w:szCs w:val="24"/>
          <w:lang w:val="en-US"/>
        </w:rPr>
      </w:pPr>
      <w:r w:rsidRPr="00E62D91">
        <w:rPr>
          <w:rFonts w:eastAsia="Aptos" w:cstheme="minorHAnsi"/>
          <w:b/>
          <w:bCs/>
          <w:szCs w:val="24"/>
          <w:lang w:val="en-US"/>
        </w:rPr>
        <w:t>2.5.3.</w:t>
      </w:r>
      <w:r w:rsidRPr="00E62D91">
        <w:rPr>
          <w:rFonts w:eastAsia="Aptos" w:cstheme="minorHAnsi"/>
          <w:szCs w:val="24"/>
          <w:lang w:val="en-US"/>
        </w:rPr>
        <w:t xml:space="preserve"> </w:t>
      </w:r>
      <w:r w:rsidRPr="00E62D91">
        <w:rPr>
          <w:rFonts w:cstheme="minorHAnsi"/>
          <w:szCs w:val="24"/>
          <w:lang w:val="en-US"/>
        </w:rPr>
        <w:t>BDT has strengthened project management practices, including reinforcing the skills of project managers through training, establishing clear governance via the BDT Projects Board, enhancing reporting to partners, and implementing robust monitoring systems. Project implementation is monitored continuously and reported quarterly through assessment reports and internal dashboards to support data-driven decision-making</w:t>
      </w:r>
      <w:r w:rsidRPr="00E62D91">
        <w:rPr>
          <w:rFonts w:eastAsia="Aptos" w:cstheme="minorHAnsi"/>
          <w:szCs w:val="24"/>
          <w:lang w:val="en-US"/>
        </w:rPr>
        <w:t xml:space="preserve">. The BDT Projects Board plays an </w:t>
      </w:r>
      <w:r w:rsidRPr="00E62D91">
        <w:rPr>
          <w:rFonts w:eastAsia="Aptos" w:cstheme="minorHAnsi"/>
          <w:szCs w:val="24"/>
          <w:lang w:val="en-US"/>
        </w:rPr>
        <w:lastRenderedPageBreak/>
        <w:t xml:space="preserve">important role in ensuring that projects are formulated and implemented in alignment with the Kigali Action Plan, as well as ensuring the proper governance of the BDT project portfolio. </w:t>
      </w:r>
    </w:p>
    <w:p w14:paraId="6DE83146" w14:textId="77777777" w:rsidR="00B05439" w:rsidRPr="00E62D91" w:rsidRDefault="00B05439" w:rsidP="00E62D91">
      <w:pPr>
        <w:tabs>
          <w:tab w:val="clear" w:pos="1134"/>
          <w:tab w:val="clear" w:pos="2268"/>
        </w:tabs>
        <w:spacing w:after="120"/>
        <w:rPr>
          <w:rFonts w:eastAsia="Aptos" w:cstheme="minorHAnsi"/>
          <w:szCs w:val="24"/>
          <w:lang w:val="en-US"/>
        </w:rPr>
      </w:pPr>
      <w:r w:rsidRPr="00E62D91">
        <w:rPr>
          <w:rFonts w:eastAsia="Aptos" w:cstheme="minorHAnsi"/>
          <w:b/>
          <w:bCs/>
          <w:szCs w:val="24"/>
          <w:lang w:val="en-US"/>
        </w:rPr>
        <w:t>2.5.4.</w:t>
      </w:r>
      <w:r w:rsidRPr="00E62D91">
        <w:rPr>
          <w:rFonts w:eastAsia="Aptos" w:cstheme="minorHAnsi"/>
          <w:szCs w:val="24"/>
          <w:lang w:val="en-US"/>
        </w:rPr>
        <w:t xml:space="preserve"> </w:t>
      </w:r>
      <w:r w:rsidRPr="00E62D91">
        <w:rPr>
          <w:rFonts w:cstheme="minorHAnsi"/>
          <w:szCs w:val="24"/>
          <w:lang w:val="en-US"/>
        </w:rPr>
        <w:t>The successful implementation of the project portfolio, which included activities in 105 ongoing projects in 2024, is a result of the close coordination and cooperation among all BDT teams, both in the field (regional offices) and at headquarters. This collaborative effort ensures that ITU projects effectively contribute to the Kigali Action Plan and provide impactful technical assistance and digital development solutions to Member States</w:t>
      </w:r>
    </w:p>
    <w:p w14:paraId="7FB7337A" w14:textId="77777777" w:rsidR="00B05439" w:rsidRPr="00E62D91" w:rsidRDefault="00B05439" w:rsidP="00E62D91">
      <w:pPr>
        <w:tabs>
          <w:tab w:val="clear" w:pos="1134"/>
          <w:tab w:val="clear" w:pos="2268"/>
        </w:tabs>
        <w:spacing w:after="120"/>
        <w:rPr>
          <w:rFonts w:eastAsia="Aptos" w:cstheme="minorHAnsi"/>
          <w:szCs w:val="24"/>
          <w:lang w:val="en-US"/>
        </w:rPr>
      </w:pPr>
      <w:r w:rsidRPr="00E62D91">
        <w:rPr>
          <w:rFonts w:eastAsia="Aptos" w:cstheme="minorHAnsi"/>
          <w:b/>
          <w:bCs/>
          <w:szCs w:val="24"/>
          <w:lang w:val="en-US"/>
        </w:rPr>
        <w:t>2.5.5.</w:t>
      </w:r>
      <w:r w:rsidRPr="00E62D91">
        <w:rPr>
          <w:rFonts w:eastAsia="Aptos" w:cstheme="minorHAnsi"/>
          <w:szCs w:val="24"/>
          <w:lang w:val="en-US"/>
        </w:rPr>
        <w:t xml:space="preserve"> Following WTDC-22, the BDT, in collaboration with relevant partners, has identified, formulated and implemented a wide range of projects that have contributed to the implementation of the priorities defined for WTDC-22. These projects also contribute to the implementation of Regional Initiatives to meet the regions’ particular needs. BDT projects contribute to the development of a variety of products and services in alignment with the ITU-D priorities and enablers defined by the Kigali Action Plan, as well as by the ITU Strategic Plan in each of the ITU’s six regions. </w:t>
      </w:r>
    </w:p>
    <w:p w14:paraId="323EC27C" w14:textId="77777777" w:rsidR="00B05439" w:rsidRPr="00E62D91" w:rsidRDefault="00B05439" w:rsidP="00E62D91">
      <w:pPr>
        <w:tabs>
          <w:tab w:val="clear" w:pos="1134"/>
          <w:tab w:val="clear" w:pos="2268"/>
        </w:tabs>
        <w:spacing w:after="120"/>
        <w:rPr>
          <w:rFonts w:eastAsia="Aptos" w:cstheme="minorHAnsi"/>
          <w:szCs w:val="24"/>
          <w:lang w:val="en-US"/>
        </w:rPr>
      </w:pPr>
      <w:r w:rsidRPr="00E62D91">
        <w:rPr>
          <w:rFonts w:eastAsia="Aptos" w:cstheme="minorHAnsi"/>
          <w:b/>
          <w:bCs/>
          <w:szCs w:val="24"/>
          <w:lang w:val="en-US"/>
        </w:rPr>
        <w:t>2.5.6.</w:t>
      </w:r>
      <w:r w:rsidRPr="00E62D91">
        <w:rPr>
          <w:rFonts w:eastAsia="Aptos" w:cstheme="minorHAnsi"/>
          <w:szCs w:val="24"/>
          <w:lang w:val="en-US"/>
        </w:rPr>
        <w:t xml:space="preserve"> All projects that are implemented in the regions by project managers from the concerned Regional or Area Office, supported by headquarters and using products and services developed by the headquarters. They receive support from other BDT Services on project formulation, monitoring, and evaluation. Quarterly reports are reviewed and assessed by independent teams (Project Support) not involved in implementation so that unbiased assessment of the progress can be made. The projects implemented and/or ongoing under each Regional Initiative adopted at WTDC-22 for the period 2023-2025 are mapped in Information Document </w:t>
      </w:r>
      <w:hyperlink r:id="rId46" w:history="1">
        <w:r w:rsidRPr="00E62D91">
          <w:rPr>
            <w:rStyle w:val="Hyperlink"/>
            <w:rFonts w:eastAsia="Aptos" w:cstheme="minorHAnsi"/>
            <w:szCs w:val="24"/>
            <w:lang w:val="en-US"/>
          </w:rPr>
          <w:t>TDAG-25/INF/4</w:t>
        </w:r>
      </w:hyperlink>
      <w:r w:rsidRPr="00E62D91">
        <w:rPr>
          <w:rFonts w:eastAsia="Aptos" w:cstheme="minorHAnsi"/>
          <w:szCs w:val="24"/>
          <w:lang w:val="en-US"/>
        </w:rPr>
        <w:t xml:space="preserve">. </w:t>
      </w:r>
    </w:p>
    <w:p w14:paraId="2CB7EFEE" w14:textId="77777777" w:rsidR="00B05439" w:rsidRPr="00E62D91" w:rsidRDefault="00B05439" w:rsidP="00E62D91">
      <w:pPr>
        <w:tabs>
          <w:tab w:val="clear" w:pos="1134"/>
          <w:tab w:val="clear" w:pos="2268"/>
        </w:tabs>
        <w:spacing w:after="120"/>
        <w:rPr>
          <w:rFonts w:eastAsia="Aptos" w:cstheme="minorHAnsi"/>
          <w:szCs w:val="24"/>
          <w:lang w:val="en-US"/>
        </w:rPr>
      </w:pPr>
      <w:r w:rsidRPr="00E62D91">
        <w:rPr>
          <w:rFonts w:eastAsia="Aptos" w:cstheme="minorHAnsi"/>
          <w:b/>
          <w:bCs/>
          <w:szCs w:val="24"/>
          <w:lang w:val="en-US"/>
        </w:rPr>
        <w:t>2.5.7.</w:t>
      </w:r>
      <w:r w:rsidRPr="00E62D91">
        <w:rPr>
          <w:rFonts w:eastAsia="Aptos" w:cstheme="minorHAnsi"/>
          <w:szCs w:val="24"/>
          <w:lang w:val="en-US"/>
        </w:rPr>
        <w:t xml:space="preserve"> BDT has continued during 2024 to strengthen project management practices across all ITU projects. Actions implemented during the year include the strengthening of reporting submitted to funding partners, the operation of the BDT Projects Board and the refinement of the structure of the Bureau to further strengthen the support to project implementation. Further details of ITU-D projects are available in Document </w:t>
      </w:r>
      <w:hyperlink r:id="rId47" w:history="1">
        <w:r w:rsidRPr="00E62D91">
          <w:rPr>
            <w:rStyle w:val="Hyperlink"/>
            <w:rFonts w:eastAsia="Aptos" w:cstheme="minorHAnsi"/>
            <w:szCs w:val="24"/>
            <w:lang w:val="en-US"/>
          </w:rPr>
          <w:t>TDAG-25/5</w:t>
        </w:r>
      </w:hyperlink>
      <w:r w:rsidRPr="00E62D91">
        <w:rPr>
          <w:rFonts w:eastAsia="Aptos" w:cstheme="minorHAnsi"/>
          <w:szCs w:val="24"/>
          <w:lang w:val="en-US"/>
        </w:rPr>
        <w:t xml:space="preserve">. </w:t>
      </w:r>
    </w:p>
    <w:p w14:paraId="277C51FB" w14:textId="2139F155" w:rsidR="00B05439" w:rsidRPr="00E62D91" w:rsidRDefault="00B05439" w:rsidP="00E62D91">
      <w:pPr>
        <w:tabs>
          <w:tab w:val="clear" w:pos="1134"/>
          <w:tab w:val="clear" w:pos="2268"/>
        </w:tabs>
        <w:spacing w:after="120"/>
        <w:rPr>
          <w:rFonts w:eastAsia="Aptos" w:cstheme="minorHAnsi"/>
          <w:szCs w:val="24"/>
          <w:lang w:val="en-US"/>
        </w:rPr>
      </w:pPr>
      <w:r w:rsidRPr="00E62D91">
        <w:rPr>
          <w:rFonts w:eastAsia="Aptos" w:cstheme="minorHAnsi"/>
          <w:b/>
          <w:bCs/>
          <w:szCs w:val="24"/>
          <w:lang w:val="en-US"/>
        </w:rPr>
        <w:t>2.5.8.</w:t>
      </w:r>
      <w:r w:rsidRPr="00E62D91">
        <w:rPr>
          <w:rFonts w:eastAsia="Aptos" w:cstheme="minorHAnsi"/>
          <w:szCs w:val="24"/>
          <w:lang w:val="en-US"/>
        </w:rPr>
        <w:t xml:space="preserve"> From May 2024 and March 2025, ITU signed a total of 35 new projects and addenda valued at CHF 26.7 million. These figures confirm the success in the resource mobilization efforts undertaken by BDT. Further details on the ITU-D project portfolio are available in Document TDAG-25/5, as well as in the ITU-D projects portal. </w:t>
      </w:r>
    </w:p>
    <w:p w14:paraId="6761DFD3" w14:textId="2FA7819A" w:rsidR="00B05439" w:rsidRPr="00E62D91" w:rsidRDefault="00B05439" w:rsidP="00E62D91">
      <w:pPr>
        <w:tabs>
          <w:tab w:val="clear" w:pos="1134"/>
          <w:tab w:val="clear" w:pos="2268"/>
        </w:tabs>
        <w:spacing w:after="120"/>
        <w:rPr>
          <w:rFonts w:eastAsia="Aptos" w:cstheme="minorHAnsi"/>
          <w:szCs w:val="24"/>
          <w:lang w:val="en-US"/>
        </w:rPr>
      </w:pPr>
      <w:r w:rsidRPr="00E62D91">
        <w:rPr>
          <w:rFonts w:eastAsia="Aptos" w:cstheme="minorHAnsi"/>
          <w:b/>
          <w:bCs/>
          <w:szCs w:val="24"/>
          <w:lang w:val="en-US"/>
        </w:rPr>
        <w:t>2.5.9.</w:t>
      </w:r>
      <w:r w:rsidR="00E62D91">
        <w:rPr>
          <w:rFonts w:eastAsia="Aptos" w:cstheme="minorHAnsi"/>
          <w:szCs w:val="24"/>
          <w:lang w:val="en-US"/>
        </w:rPr>
        <w:t xml:space="preserve"> </w:t>
      </w:r>
      <w:r w:rsidRPr="00E62D91">
        <w:rPr>
          <w:rFonts w:eastAsia="Aptos" w:cstheme="minorHAnsi"/>
          <w:szCs w:val="24"/>
          <w:lang w:val="en-US"/>
        </w:rPr>
        <w:t xml:space="preserve">From May 2024 to March 2025, ITU signed 73 agreements with a wide range of partners. Further details are posted on the ITU-D Partnership webpage. </w:t>
      </w:r>
    </w:p>
    <w:p w14:paraId="6003130E" w14:textId="77777777" w:rsidR="00B05439" w:rsidRPr="00E62D91" w:rsidRDefault="00B05439" w:rsidP="00E62D91">
      <w:pPr>
        <w:keepNext/>
        <w:tabs>
          <w:tab w:val="clear" w:pos="1134"/>
          <w:tab w:val="clear" w:pos="2268"/>
        </w:tabs>
        <w:overflowPunct/>
        <w:autoSpaceDE/>
        <w:adjustRightInd/>
        <w:spacing w:after="120"/>
        <w:rPr>
          <w:rFonts w:eastAsia="SimSun" w:cstheme="minorHAnsi"/>
          <w:b/>
          <w:bCs/>
          <w:szCs w:val="24"/>
          <w:lang w:val="en-US"/>
        </w:rPr>
      </w:pPr>
      <w:r w:rsidRPr="00E62D91">
        <w:rPr>
          <w:rFonts w:eastAsia="SimSun" w:cstheme="minorHAnsi"/>
          <w:b/>
          <w:bCs/>
          <w:szCs w:val="24"/>
          <w:lang w:val="en-US"/>
        </w:rPr>
        <w:t>3. Activities related to ITU’s other sectors and Bureaux</w:t>
      </w:r>
    </w:p>
    <w:p w14:paraId="70FEF233" w14:textId="0EA3FC36" w:rsidR="00B05439" w:rsidRPr="003B4E1C" w:rsidRDefault="003B4E1C" w:rsidP="003B4E1C">
      <w:pPr>
        <w:tabs>
          <w:tab w:val="clear" w:pos="1871"/>
          <w:tab w:val="left" w:pos="567"/>
          <w:tab w:val="left" w:pos="1701"/>
          <w:tab w:val="left" w:pos="2835"/>
        </w:tabs>
        <w:spacing w:after="120"/>
        <w:rPr>
          <w:rFonts w:eastAsia="Aptos" w:cstheme="minorHAnsi"/>
          <w:szCs w:val="24"/>
          <w:lang w:val="en-US"/>
        </w:rPr>
      </w:pPr>
      <w:r>
        <w:rPr>
          <w:rFonts w:eastAsia="Aptos" w:cstheme="minorHAnsi"/>
          <w:b/>
          <w:bCs/>
          <w:szCs w:val="24"/>
          <w:lang w:val="en-US"/>
        </w:rPr>
        <w:t xml:space="preserve">3.1. </w:t>
      </w:r>
      <w:r w:rsidR="00B05439" w:rsidRPr="003B4E1C">
        <w:rPr>
          <w:rFonts w:eastAsia="Aptos" w:cstheme="minorHAnsi"/>
          <w:b/>
          <w:bCs/>
          <w:szCs w:val="24"/>
          <w:lang w:val="en-US"/>
        </w:rPr>
        <w:t>General Collaboration</w:t>
      </w:r>
    </w:p>
    <w:p w14:paraId="7F9E80DD" w14:textId="1C6CFDA1" w:rsidR="00B05439" w:rsidRPr="00400A07" w:rsidRDefault="00B05439" w:rsidP="00400A07">
      <w:pPr>
        <w:spacing w:after="120"/>
        <w:rPr>
          <w:rFonts w:eastAsia="Aptos" w:cstheme="minorHAnsi"/>
          <w:szCs w:val="24"/>
          <w:lang w:val="en-US"/>
        </w:rPr>
      </w:pPr>
      <w:r w:rsidRPr="00400A07">
        <w:rPr>
          <w:rFonts w:eastAsia="Aptos" w:cstheme="minorHAnsi"/>
          <w:szCs w:val="24"/>
          <w:lang w:val="en-US"/>
        </w:rPr>
        <w:t>BDT, in collaboration and close coordination with BR, TSB, and the General Secretariat, has been actively working to strengthen regional presence, aiming to improve service delivery to Member States.</w:t>
      </w:r>
      <w:r w:rsidR="00E62D91" w:rsidRPr="00400A07">
        <w:rPr>
          <w:rFonts w:eastAsia="Aptos" w:cstheme="minorHAnsi"/>
          <w:szCs w:val="24"/>
          <w:lang w:val="en-US"/>
        </w:rPr>
        <w:t xml:space="preserve"> </w:t>
      </w:r>
      <w:r w:rsidRPr="00400A07">
        <w:rPr>
          <w:rFonts w:eastAsia="Aptos" w:cstheme="minorHAnsi"/>
          <w:szCs w:val="24"/>
          <w:lang w:val="en-US"/>
        </w:rPr>
        <w:t>In addition, three staff from TSB are seconded to the Regional Office for Africa Region. Similarly, ITU Regional Office for the Asia and Pacific Region also has one staff member seconded by TSB.</w:t>
      </w:r>
    </w:p>
    <w:p w14:paraId="0C552701" w14:textId="001EB359" w:rsidR="00B05439" w:rsidRPr="003B4E1C" w:rsidRDefault="003B4E1C" w:rsidP="003B4E1C">
      <w:pPr>
        <w:tabs>
          <w:tab w:val="clear" w:pos="1134"/>
          <w:tab w:val="clear" w:pos="1871"/>
          <w:tab w:val="clear" w:pos="2268"/>
        </w:tabs>
        <w:overflowPunct/>
        <w:spacing w:after="120"/>
        <w:textAlignment w:val="auto"/>
        <w:rPr>
          <w:rFonts w:eastAsia="Aptos" w:cstheme="minorHAnsi"/>
          <w:szCs w:val="24"/>
          <w:lang w:val="en-US"/>
        </w:rPr>
      </w:pPr>
      <w:r>
        <w:rPr>
          <w:rFonts w:eastAsia="Aptos" w:cstheme="minorHAnsi"/>
          <w:b/>
          <w:bCs/>
          <w:szCs w:val="24"/>
          <w:lang w:val="en-US"/>
        </w:rPr>
        <w:t>3.2</w:t>
      </w:r>
      <w:r w:rsidR="00400A07">
        <w:rPr>
          <w:rFonts w:eastAsia="Aptos" w:cstheme="minorHAnsi"/>
          <w:b/>
          <w:bCs/>
          <w:szCs w:val="24"/>
          <w:lang w:val="en-US"/>
        </w:rPr>
        <w:t xml:space="preserve">. </w:t>
      </w:r>
      <w:r w:rsidR="00B05439" w:rsidRPr="003B4E1C">
        <w:rPr>
          <w:rFonts w:eastAsia="Aptos" w:cstheme="minorHAnsi"/>
          <w:b/>
          <w:bCs/>
          <w:szCs w:val="24"/>
          <w:lang w:val="en-US"/>
        </w:rPr>
        <w:t>Regional Office for Africa (RO-AFR) / Africa Activities</w:t>
      </w:r>
    </w:p>
    <w:p w14:paraId="39C607B0" w14:textId="436B97B5" w:rsidR="00B05439" w:rsidRPr="00E62D91" w:rsidRDefault="00B05439" w:rsidP="00400A07">
      <w:pPr>
        <w:tabs>
          <w:tab w:val="clear" w:pos="1134"/>
          <w:tab w:val="clear" w:pos="2268"/>
        </w:tabs>
        <w:overflowPunct/>
        <w:spacing w:after="120"/>
        <w:textAlignment w:val="auto"/>
        <w:rPr>
          <w:rFonts w:eastAsia="Aptos" w:cstheme="minorHAnsi"/>
          <w:szCs w:val="24"/>
          <w:lang w:val="en-US"/>
        </w:rPr>
      </w:pPr>
      <w:r w:rsidRPr="00E62D91">
        <w:rPr>
          <w:rFonts w:eastAsia="Aptos" w:cstheme="minorHAnsi"/>
          <w:b/>
          <w:bCs/>
          <w:szCs w:val="24"/>
          <w:lang w:val="en-US"/>
        </w:rPr>
        <w:t>BR Related Activities</w:t>
      </w:r>
    </w:p>
    <w:p w14:paraId="7D21B8DC" w14:textId="77777777" w:rsidR="00B05439" w:rsidRPr="00E62D91" w:rsidRDefault="00B05439" w:rsidP="00400A07">
      <w:pPr>
        <w:pStyle w:val="ListParagraph"/>
        <w:numPr>
          <w:ilvl w:val="0"/>
          <w:numId w:val="25"/>
        </w:numPr>
        <w:tabs>
          <w:tab w:val="clear" w:pos="1134"/>
          <w:tab w:val="clear" w:pos="1871"/>
          <w:tab w:val="clear" w:pos="2268"/>
        </w:tabs>
        <w:overflowPunct/>
        <w:spacing w:before="60" w:after="60"/>
        <w:ind w:left="714" w:hanging="357"/>
        <w:contextualSpacing w:val="0"/>
        <w:textAlignment w:val="auto"/>
        <w:rPr>
          <w:rFonts w:eastAsia="Aptos" w:cstheme="minorHAnsi"/>
          <w:szCs w:val="24"/>
          <w:lang w:val="en-US"/>
        </w:rPr>
      </w:pPr>
      <w:r w:rsidRPr="00E62D91">
        <w:rPr>
          <w:rFonts w:eastAsia="Aptos" w:cstheme="minorHAnsi"/>
          <w:szCs w:val="24"/>
          <w:lang w:val="en-US"/>
        </w:rPr>
        <w:t>RO-AFR supported the ITU Workshop on National Tables of Frequency Allocation (NTFA) for region 1, held May 20-23, 2024, in Addis Ababa.</w:t>
      </w:r>
    </w:p>
    <w:p w14:paraId="11BDCC88" w14:textId="215A88A0" w:rsidR="00B05439" w:rsidRPr="00E62D91" w:rsidRDefault="00B05439" w:rsidP="00400A07">
      <w:pPr>
        <w:pStyle w:val="ListParagraph"/>
        <w:numPr>
          <w:ilvl w:val="0"/>
          <w:numId w:val="25"/>
        </w:numPr>
        <w:tabs>
          <w:tab w:val="clear" w:pos="1134"/>
          <w:tab w:val="clear" w:pos="1871"/>
          <w:tab w:val="clear" w:pos="2268"/>
        </w:tabs>
        <w:overflowPunct/>
        <w:spacing w:before="60" w:after="60"/>
        <w:ind w:left="714" w:hanging="357"/>
        <w:contextualSpacing w:val="0"/>
        <w:textAlignment w:val="auto"/>
        <w:rPr>
          <w:rFonts w:eastAsia="Aptos" w:cstheme="minorHAnsi"/>
          <w:szCs w:val="24"/>
          <w:lang w:val="en-US"/>
        </w:rPr>
      </w:pPr>
      <w:r w:rsidRPr="00E62D91">
        <w:rPr>
          <w:rFonts w:eastAsia="Aptos" w:cstheme="minorHAnsi"/>
          <w:szCs w:val="24"/>
          <w:lang w:val="en-US"/>
        </w:rPr>
        <w:lastRenderedPageBreak/>
        <w:t>RO-AFR is providing support to organization of the ITU Regional Radiocommunication Seminar 2025 for Africa (RRS-25-Africa), 5-8 May 2025, Djibouti</w:t>
      </w:r>
      <w:r w:rsidR="00400A07">
        <w:rPr>
          <w:rFonts w:eastAsia="Aptos" w:cstheme="minorHAnsi"/>
          <w:szCs w:val="24"/>
          <w:lang w:val="en-US"/>
        </w:rPr>
        <w:t>.</w:t>
      </w:r>
    </w:p>
    <w:p w14:paraId="395C3395" w14:textId="418834B3" w:rsidR="00B05439" w:rsidRPr="00E62D91" w:rsidRDefault="00B05439" w:rsidP="00400A07">
      <w:pPr>
        <w:pStyle w:val="ListParagraph"/>
        <w:numPr>
          <w:ilvl w:val="0"/>
          <w:numId w:val="25"/>
        </w:numPr>
        <w:tabs>
          <w:tab w:val="clear" w:pos="1134"/>
          <w:tab w:val="clear" w:pos="1871"/>
          <w:tab w:val="clear" w:pos="2268"/>
        </w:tabs>
        <w:overflowPunct/>
        <w:spacing w:before="60" w:after="60"/>
        <w:ind w:left="714" w:hanging="357"/>
        <w:contextualSpacing w:val="0"/>
        <w:textAlignment w:val="auto"/>
        <w:rPr>
          <w:rFonts w:eastAsia="Aptos" w:cstheme="minorHAnsi"/>
          <w:szCs w:val="24"/>
          <w:lang w:val="en-US"/>
        </w:rPr>
      </w:pPr>
      <w:r w:rsidRPr="00E62D91">
        <w:rPr>
          <w:rFonts w:eastAsia="Aptos" w:cstheme="minorHAnsi"/>
          <w:szCs w:val="24"/>
          <w:lang w:val="en-US"/>
        </w:rPr>
        <w:t>Technical training on the Harmonized Calculation Method for Africa (HCM4A) software (for frequency coordination) was conducted in Addis Ababa, Ethiopia (March 2025), attended by representatives from 45 member states.</w:t>
      </w:r>
    </w:p>
    <w:p w14:paraId="21339B1F" w14:textId="5DAFEF9D" w:rsidR="00B05439" w:rsidRPr="00E62D91" w:rsidRDefault="00B05439" w:rsidP="00400A07">
      <w:pPr>
        <w:pStyle w:val="ListParagraph"/>
        <w:numPr>
          <w:ilvl w:val="0"/>
          <w:numId w:val="25"/>
        </w:numPr>
        <w:tabs>
          <w:tab w:val="clear" w:pos="1134"/>
          <w:tab w:val="clear" w:pos="1871"/>
          <w:tab w:val="clear" w:pos="2268"/>
        </w:tabs>
        <w:overflowPunct/>
        <w:spacing w:before="60" w:after="60"/>
        <w:ind w:left="714" w:hanging="357"/>
        <w:contextualSpacing w:val="0"/>
        <w:textAlignment w:val="auto"/>
        <w:rPr>
          <w:rFonts w:eastAsia="Aptos" w:cstheme="minorHAnsi"/>
          <w:szCs w:val="24"/>
          <w:lang w:val="en-US"/>
        </w:rPr>
      </w:pPr>
      <w:r w:rsidRPr="00E62D91">
        <w:rPr>
          <w:rFonts w:eastAsia="Aptos" w:cstheme="minorHAnsi"/>
          <w:szCs w:val="24"/>
          <w:lang w:val="en-US"/>
        </w:rPr>
        <w:t>The Africa Broadband Mapping Systems project, supported by the European Commission, was launched to assist 11 countries in establishing infrastructure mapping systems. (BR relevance implied for spectrum aspects).</w:t>
      </w:r>
    </w:p>
    <w:p w14:paraId="53D2AC62" w14:textId="77777777" w:rsidR="00B05439" w:rsidRPr="00E62D91" w:rsidRDefault="00B05439" w:rsidP="00400A07">
      <w:pPr>
        <w:tabs>
          <w:tab w:val="clear" w:pos="1134"/>
          <w:tab w:val="clear" w:pos="2268"/>
        </w:tabs>
        <w:overflowPunct/>
        <w:spacing w:after="120"/>
        <w:textAlignment w:val="auto"/>
        <w:rPr>
          <w:rFonts w:eastAsia="Aptos" w:cstheme="minorHAnsi"/>
          <w:szCs w:val="24"/>
          <w:lang w:val="en-US"/>
        </w:rPr>
      </w:pPr>
      <w:r w:rsidRPr="00E62D91">
        <w:rPr>
          <w:rFonts w:eastAsia="Aptos" w:cstheme="minorHAnsi"/>
          <w:b/>
          <w:bCs/>
          <w:szCs w:val="24"/>
          <w:lang w:val="en-US"/>
        </w:rPr>
        <w:t>TSB Related Activities</w:t>
      </w:r>
    </w:p>
    <w:p w14:paraId="542C0750" w14:textId="608EB483" w:rsidR="00B05439" w:rsidRPr="00E62D91" w:rsidRDefault="00B05439" w:rsidP="00400A07">
      <w:pPr>
        <w:pStyle w:val="ListParagraph"/>
        <w:numPr>
          <w:ilvl w:val="0"/>
          <w:numId w:val="25"/>
        </w:numPr>
        <w:tabs>
          <w:tab w:val="clear" w:pos="1134"/>
          <w:tab w:val="clear" w:pos="1871"/>
          <w:tab w:val="clear" w:pos="2268"/>
        </w:tabs>
        <w:overflowPunct/>
        <w:spacing w:before="60" w:after="60"/>
        <w:ind w:left="714" w:hanging="357"/>
        <w:contextualSpacing w:val="0"/>
        <w:textAlignment w:val="auto"/>
        <w:rPr>
          <w:rFonts w:eastAsia="Aptos" w:cstheme="minorHAnsi"/>
          <w:szCs w:val="24"/>
          <w:lang w:val="en-US"/>
        </w:rPr>
      </w:pPr>
      <w:r w:rsidRPr="00E62D91">
        <w:rPr>
          <w:rFonts w:eastAsia="Aptos" w:cstheme="minorHAnsi"/>
          <w:szCs w:val="24"/>
          <w:lang w:val="en-US"/>
        </w:rPr>
        <w:t>In collaboration with TSB, a series of Digital Financial Services (DFS) Security Clinics were held for The Gambia, South Sudan, Ghana, Zimbabwe, Malawi, Lesotho, Ethiopia, Eswatini, Sierra Leone, Burkina Faso, and Gabon.</w:t>
      </w:r>
    </w:p>
    <w:p w14:paraId="38216E7E" w14:textId="7223C021" w:rsidR="00B05439" w:rsidRPr="00E62D91" w:rsidRDefault="00B05439" w:rsidP="00400A07">
      <w:pPr>
        <w:pStyle w:val="ListParagraph"/>
        <w:numPr>
          <w:ilvl w:val="0"/>
          <w:numId w:val="25"/>
        </w:numPr>
        <w:tabs>
          <w:tab w:val="clear" w:pos="1134"/>
          <w:tab w:val="clear" w:pos="1871"/>
          <w:tab w:val="clear" w:pos="2268"/>
        </w:tabs>
        <w:overflowPunct/>
        <w:spacing w:before="60" w:after="60"/>
        <w:ind w:left="714" w:hanging="357"/>
        <w:contextualSpacing w:val="0"/>
        <w:textAlignment w:val="auto"/>
        <w:rPr>
          <w:rFonts w:eastAsia="Aptos" w:cstheme="minorHAnsi"/>
          <w:szCs w:val="24"/>
          <w:lang w:val="en-US"/>
        </w:rPr>
      </w:pPr>
      <w:r w:rsidRPr="00E62D91">
        <w:rPr>
          <w:rFonts w:eastAsia="Aptos" w:cstheme="minorHAnsi"/>
          <w:szCs w:val="24"/>
          <w:lang w:val="en-US"/>
        </w:rPr>
        <w:t>In collaboration with the African Telecommunications Union (ATU), BDT delivered a webinar on the Early Warning for All initiative (EW4ALL).</w:t>
      </w:r>
    </w:p>
    <w:p w14:paraId="759896DC" w14:textId="1193E779" w:rsidR="00B05439" w:rsidRPr="00E62D91" w:rsidRDefault="00B05439" w:rsidP="00400A07">
      <w:pPr>
        <w:pStyle w:val="ListParagraph"/>
        <w:numPr>
          <w:ilvl w:val="0"/>
          <w:numId w:val="25"/>
        </w:numPr>
        <w:tabs>
          <w:tab w:val="clear" w:pos="1134"/>
          <w:tab w:val="clear" w:pos="1871"/>
          <w:tab w:val="clear" w:pos="2268"/>
        </w:tabs>
        <w:overflowPunct/>
        <w:spacing w:before="60" w:after="60"/>
        <w:ind w:left="714" w:hanging="357"/>
        <w:contextualSpacing w:val="0"/>
        <w:textAlignment w:val="auto"/>
        <w:rPr>
          <w:rFonts w:eastAsia="Aptos" w:cstheme="minorHAnsi"/>
          <w:szCs w:val="24"/>
          <w:lang w:val="en-US"/>
        </w:rPr>
      </w:pPr>
      <w:r w:rsidRPr="00E62D91">
        <w:rPr>
          <w:rFonts w:eastAsia="Aptos" w:cstheme="minorHAnsi"/>
          <w:szCs w:val="24"/>
          <w:lang w:val="en-US"/>
        </w:rPr>
        <w:t>BDT provided support in the development of National Emergency Telecommunication Plans (NETPs) in Guinea Bissau, The Gambia, Namibia, Tanzania, Zimbabwe, Cabo Verde, Botswana, Seychelles, and Zambia. Regional NETP frameworks were also developed for SADC and English-speaking African countries.</w:t>
      </w:r>
    </w:p>
    <w:p w14:paraId="79E073E0" w14:textId="5FE3DD92" w:rsidR="00B05439" w:rsidRPr="00E62D91" w:rsidRDefault="00400A07" w:rsidP="00400A07">
      <w:pPr>
        <w:tabs>
          <w:tab w:val="clear" w:pos="1134"/>
          <w:tab w:val="clear" w:pos="1871"/>
          <w:tab w:val="clear" w:pos="2268"/>
        </w:tabs>
        <w:overflowPunct/>
        <w:spacing w:after="120"/>
        <w:textAlignment w:val="auto"/>
        <w:rPr>
          <w:rFonts w:eastAsia="Aptos" w:cstheme="minorHAnsi"/>
          <w:szCs w:val="24"/>
          <w:lang w:val="en-US"/>
        </w:rPr>
      </w:pPr>
      <w:r>
        <w:rPr>
          <w:rFonts w:eastAsia="Aptos" w:cstheme="minorHAnsi"/>
          <w:b/>
          <w:bCs/>
          <w:szCs w:val="24"/>
          <w:lang w:val="en-US"/>
        </w:rPr>
        <w:t xml:space="preserve">3.3. </w:t>
      </w:r>
      <w:r w:rsidR="00B05439" w:rsidRPr="00E62D91">
        <w:rPr>
          <w:rFonts w:eastAsia="Aptos" w:cstheme="minorHAnsi"/>
          <w:b/>
          <w:bCs/>
          <w:szCs w:val="24"/>
          <w:lang w:val="en-US"/>
        </w:rPr>
        <w:t>Regional Office for Americas (RO-AMS) / Americas Activities</w:t>
      </w:r>
    </w:p>
    <w:p w14:paraId="32CA3F41" w14:textId="77777777" w:rsidR="00B05439" w:rsidRPr="00E62D91" w:rsidRDefault="00B05439" w:rsidP="00400A07">
      <w:pPr>
        <w:tabs>
          <w:tab w:val="clear" w:pos="1134"/>
          <w:tab w:val="clear" w:pos="2268"/>
        </w:tabs>
        <w:overflowPunct/>
        <w:spacing w:after="120"/>
        <w:textAlignment w:val="auto"/>
        <w:rPr>
          <w:rFonts w:eastAsia="Aptos" w:cstheme="minorHAnsi"/>
          <w:szCs w:val="24"/>
          <w:lang w:val="en-US"/>
        </w:rPr>
      </w:pPr>
      <w:r w:rsidRPr="00E62D91">
        <w:rPr>
          <w:rFonts w:eastAsia="Aptos" w:cstheme="minorHAnsi"/>
          <w:b/>
          <w:bCs/>
          <w:szCs w:val="24"/>
          <w:lang w:val="en-US"/>
        </w:rPr>
        <w:t>BR Related Activities</w:t>
      </w:r>
    </w:p>
    <w:p w14:paraId="13E9633A" w14:textId="54184A37" w:rsidR="00B05439" w:rsidRPr="00E62D91" w:rsidRDefault="00B05439" w:rsidP="00400A07">
      <w:pPr>
        <w:pStyle w:val="ListParagraph"/>
        <w:numPr>
          <w:ilvl w:val="0"/>
          <w:numId w:val="25"/>
        </w:numPr>
        <w:tabs>
          <w:tab w:val="clear" w:pos="1134"/>
          <w:tab w:val="clear" w:pos="1871"/>
          <w:tab w:val="clear" w:pos="2268"/>
        </w:tabs>
        <w:overflowPunct/>
        <w:spacing w:before="60" w:after="60"/>
        <w:ind w:left="714" w:hanging="357"/>
        <w:contextualSpacing w:val="0"/>
        <w:textAlignment w:val="auto"/>
        <w:rPr>
          <w:rFonts w:eastAsia="Aptos" w:cstheme="minorHAnsi"/>
          <w:szCs w:val="24"/>
          <w:lang w:val="en-US"/>
        </w:rPr>
      </w:pPr>
      <w:r w:rsidRPr="00E62D91">
        <w:rPr>
          <w:rFonts w:eastAsia="Aptos" w:cstheme="minorHAnsi"/>
          <w:szCs w:val="24"/>
          <w:lang w:val="en-US"/>
        </w:rPr>
        <w:t>Satellite equipment was deployed to Jamaica, Grenada, St. Vincent and the Grenadines as support to hurricane response efforts. (Pre-positioning hub also established in Barbados).</w:t>
      </w:r>
    </w:p>
    <w:p w14:paraId="7B906DE6" w14:textId="224BE18B" w:rsidR="00B05439" w:rsidRPr="00E62D91" w:rsidRDefault="00B05439" w:rsidP="00400A07">
      <w:pPr>
        <w:pStyle w:val="ListParagraph"/>
        <w:numPr>
          <w:ilvl w:val="0"/>
          <w:numId w:val="25"/>
        </w:numPr>
        <w:tabs>
          <w:tab w:val="clear" w:pos="1134"/>
          <w:tab w:val="clear" w:pos="1871"/>
          <w:tab w:val="clear" w:pos="2268"/>
        </w:tabs>
        <w:overflowPunct/>
        <w:spacing w:before="60" w:after="60"/>
        <w:ind w:left="714" w:hanging="357"/>
        <w:contextualSpacing w:val="0"/>
        <w:textAlignment w:val="auto"/>
        <w:rPr>
          <w:rFonts w:eastAsia="Aptos" w:cstheme="minorHAnsi"/>
          <w:szCs w:val="24"/>
          <w:lang w:val="en-US"/>
        </w:rPr>
      </w:pPr>
      <w:r w:rsidRPr="00E62D91">
        <w:rPr>
          <w:rFonts w:eastAsia="Aptos" w:cstheme="minorHAnsi"/>
          <w:szCs w:val="24"/>
          <w:lang w:val="en-US"/>
        </w:rPr>
        <w:t>BDT and Intelsat announced a cooperation agreement to enhance disaster preparedness and response through satellite telecommunications, including equipment donation and training.</w:t>
      </w:r>
    </w:p>
    <w:p w14:paraId="6ED51BD8" w14:textId="42E40D14" w:rsidR="00B05439" w:rsidRPr="00E62D91" w:rsidRDefault="00B05439" w:rsidP="00400A07">
      <w:pPr>
        <w:pStyle w:val="ListParagraph"/>
        <w:numPr>
          <w:ilvl w:val="0"/>
          <w:numId w:val="25"/>
        </w:numPr>
        <w:tabs>
          <w:tab w:val="clear" w:pos="1134"/>
          <w:tab w:val="clear" w:pos="1871"/>
          <w:tab w:val="clear" w:pos="2268"/>
        </w:tabs>
        <w:overflowPunct/>
        <w:spacing w:before="60" w:after="60"/>
        <w:ind w:left="714" w:hanging="357"/>
        <w:contextualSpacing w:val="0"/>
        <w:textAlignment w:val="auto"/>
        <w:rPr>
          <w:rFonts w:eastAsia="Aptos" w:cstheme="minorHAnsi"/>
          <w:szCs w:val="24"/>
          <w:lang w:val="en-US"/>
        </w:rPr>
      </w:pPr>
      <w:r w:rsidRPr="00400A07">
        <w:rPr>
          <w:rFonts w:eastAsia="Aptos" w:cstheme="minorHAnsi"/>
          <w:szCs w:val="24"/>
          <w:lang w:val="en-US"/>
        </w:rPr>
        <w:t>The Regional Office and Area Offices have collaborated in organizing regional radiocommunications seminars; the next one will take place from June 12 to 16 in Tegucigalpa, Honduras.</w:t>
      </w:r>
    </w:p>
    <w:p w14:paraId="009A2116" w14:textId="41D67DB9" w:rsidR="00B05439" w:rsidRPr="00E62D91" w:rsidRDefault="00B05439" w:rsidP="00400A07">
      <w:pPr>
        <w:pStyle w:val="ListParagraph"/>
        <w:numPr>
          <w:ilvl w:val="0"/>
          <w:numId w:val="25"/>
        </w:numPr>
        <w:tabs>
          <w:tab w:val="clear" w:pos="1134"/>
          <w:tab w:val="clear" w:pos="1871"/>
          <w:tab w:val="clear" w:pos="2268"/>
        </w:tabs>
        <w:overflowPunct/>
        <w:spacing w:before="60" w:after="60"/>
        <w:ind w:left="714" w:hanging="357"/>
        <w:contextualSpacing w:val="0"/>
        <w:textAlignment w:val="auto"/>
        <w:rPr>
          <w:rFonts w:eastAsia="Aptos" w:cstheme="minorHAnsi"/>
          <w:szCs w:val="24"/>
          <w:lang w:val="en-US"/>
        </w:rPr>
      </w:pPr>
      <w:r w:rsidRPr="00400A07">
        <w:rPr>
          <w:rFonts w:eastAsia="Aptos" w:cstheme="minorHAnsi"/>
          <w:szCs w:val="24"/>
          <w:lang w:val="en-US"/>
        </w:rPr>
        <w:t>Likewise, BDT has collaborated on various capacity-building programs on topics related to Radio Spectrum Management, in partnership with the ATCs of Peru and Brazil.</w:t>
      </w:r>
    </w:p>
    <w:p w14:paraId="33F406F5" w14:textId="11A7D74B" w:rsidR="00B05439" w:rsidRPr="00E62D91" w:rsidRDefault="00B05439" w:rsidP="00400A07">
      <w:pPr>
        <w:tabs>
          <w:tab w:val="clear" w:pos="1134"/>
          <w:tab w:val="clear" w:pos="2268"/>
        </w:tabs>
        <w:overflowPunct/>
        <w:spacing w:after="120"/>
        <w:textAlignment w:val="auto"/>
        <w:rPr>
          <w:rFonts w:eastAsia="Aptos" w:cstheme="minorHAnsi"/>
          <w:szCs w:val="24"/>
          <w:lang w:val="en-US"/>
        </w:rPr>
      </w:pPr>
      <w:r w:rsidRPr="00E62D91">
        <w:rPr>
          <w:rFonts w:eastAsia="Aptos" w:cstheme="minorHAnsi"/>
          <w:b/>
          <w:bCs/>
          <w:szCs w:val="24"/>
          <w:lang w:val="en-US"/>
        </w:rPr>
        <w:t>TSB Related Activities</w:t>
      </w:r>
    </w:p>
    <w:p w14:paraId="33BBC72A" w14:textId="6F340868" w:rsidR="00B05439" w:rsidRPr="00E62D91" w:rsidRDefault="00B05439" w:rsidP="00400A07">
      <w:pPr>
        <w:pStyle w:val="ListParagraph"/>
        <w:numPr>
          <w:ilvl w:val="0"/>
          <w:numId w:val="25"/>
        </w:numPr>
        <w:tabs>
          <w:tab w:val="clear" w:pos="1134"/>
          <w:tab w:val="clear" w:pos="1871"/>
          <w:tab w:val="clear" w:pos="2268"/>
        </w:tabs>
        <w:overflowPunct/>
        <w:spacing w:before="60" w:after="60"/>
        <w:ind w:left="714" w:hanging="357"/>
        <w:contextualSpacing w:val="0"/>
        <w:textAlignment w:val="auto"/>
        <w:rPr>
          <w:rFonts w:eastAsia="Aptos" w:cstheme="minorHAnsi"/>
          <w:szCs w:val="24"/>
          <w:lang w:val="en-US"/>
        </w:rPr>
      </w:pPr>
      <w:r w:rsidRPr="00E62D91">
        <w:rPr>
          <w:rFonts w:eastAsia="Aptos" w:cstheme="minorHAnsi"/>
          <w:szCs w:val="24"/>
          <w:lang w:val="en-US"/>
        </w:rPr>
        <w:t>BDT, in collaboration with the Emergency Telecommunications Cluster, delivered a workshop in the Caribbean which strengthened collaboration among stakeholders to operationalize NETPs and enhanced capacity to implement EWS.</w:t>
      </w:r>
    </w:p>
    <w:p w14:paraId="45D45349" w14:textId="77777777" w:rsidR="00B05439" w:rsidRPr="00E62D91" w:rsidRDefault="00B05439" w:rsidP="00400A07">
      <w:pPr>
        <w:pStyle w:val="ListParagraph"/>
        <w:numPr>
          <w:ilvl w:val="0"/>
          <w:numId w:val="25"/>
        </w:numPr>
        <w:tabs>
          <w:tab w:val="clear" w:pos="1134"/>
          <w:tab w:val="clear" w:pos="1871"/>
          <w:tab w:val="clear" w:pos="2268"/>
        </w:tabs>
        <w:overflowPunct/>
        <w:spacing w:before="60" w:after="60"/>
        <w:ind w:left="714" w:hanging="357"/>
        <w:contextualSpacing w:val="0"/>
        <w:textAlignment w:val="auto"/>
        <w:rPr>
          <w:rFonts w:eastAsia="Aptos" w:cstheme="minorHAnsi"/>
          <w:szCs w:val="24"/>
          <w:lang w:val="en-US"/>
        </w:rPr>
      </w:pPr>
      <w:r w:rsidRPr="00E62D91">
        <w:rPr>
          <w:rFonts w:eastAsia="Aptos" w:cstheme="minorHAnsi"/>
          <w:szCs w:val="24"/>
          <w:lang w:val="en-US"/>
        </w:rPr>
        <w:t>Through its Regional Offices, BDT has promoted the active participation of Member States of the Americas and industry members in TSB study groups at various meetings.</w:t>
      </w:r>
    </w:p>
    <w:p w14:paraId="7D8C027A" w14:textId="53BC05B6" w:rsidR="00B05439" w:rsidRPr="00400A07" w:rsidRDefault="00B05439" w:rsidP="00400A07">
      <w:pPr>
        <w:pStyle w:val="ListParagraph"/>
        <w:numPr>
          <w:ilvl w:val="0"/>
          <w:numId w:val="25"/>
        </w:numPr>
        <w:tabs>
          <w:tab w:val="clear" w:pos="1134"/>
          <w:tab w:val="clear" w:pos="1871"/>
          <w:tab w:val="clear" w:pos="2268"/>
        </w:tabs>
        <w:overflowPunct/>
        <w:spacing w:before="60" w:after="60"/>
        <w:ind w:left="714" w:hanging="357"/>
        <w:contextualSpacing w:val="0"/>
        <w:textAlignment w:val="auto"/>
        <w:rPr>
          <w:rFonts w:eastAsia="Aptos" w:cstheme="minorHAnsi"/>
          <w:szCs w:val="24"/>
          <w:lang w:val="en-US"/>
        </w:rPr>
      </w:pPr>
      <w:r w:rsidRPr="00400A07">
        <w:rPr>
          <w:rFonts w:eastAsia="Aptos" w:cstheme="minorHAnsi"/>
          <w:szCs w:val="24"/>
          <w:lang w:val="en-US"/>
        </w:rPr>
        <w:t>UN Coordination and Cooperation Frameworks</w:t>
      </w:r>
      <w:r w:rsidR="00400A07">
        <w:rPr>
          <w:rFonts w:eastAsia="Aptos" w:cstheme="minorHAnsi"/>
          <w:szCs w:val="24"/>
          <w:lang w:val="en-US"/>
        </w:rPr>
        <w:t>.</w:t>
      </w:r>
    </w:p>
    <w:p w14:paraId="7F47FA94" w14:textId="785E105D" w:rsidR="00B05439" w:rsidRPr="00400A07" w:rsidRDefault="00B05439" w:rsidP="00400A07">
      <w:pPr>
        <w:pStyle w:val="ListParagraph"/>
        <w:numPr>
          <w:ilvl w:val="0"/>
          <w:numId w:val="25"/>
        </w:numPr>
        <w:tabs>
          <w:tab w:val="clear" w:pos="1134"/>
          <w:tab w:val="clear" w:pos="1871"/>
          <w:tab w:val="clear" w:pos="2268"/>
        </w:tabs>
        <w:overflowPunct/>
        <w:spacing w:before="60" w:after="60"/>
        <w:ind w:left="714" w:hanging="357"/>
        <w:contextualSpacing w:val="0"/>
        <w:textAlignment w:val="auto"/>
        <w:rPr>
          <w:rFonts w:eastAsia="Aptos" w:cstheme="minorHAnsi"/>
          <w:szCs w:val="24"/>
          <w:lang w:val="en-US"/>
        </w:rPr>
      </w:pPr>
      <w:r w:rsidRPr="00400A07">
        <w:rPr>
          <w:rFonts w:eastAsia="Aptos" w:cstheme="minorHAnsi"/>
          <w:szCs w:val="24"/>
          <w:lang w:val="en-US"/>
        </w:rPr>
        <w:t>BDT and AMS RO have actively participated in the UNCTs and coordinated actions with the UN Resident Coordinator offices and other entities.</w:t>
      </w:r>
    </w:p>
    <w:p w14:paraId="0764EE24" w14:textId="77777777" w:rsidR="00B05439" w:rsidRPr="00E62D91" w:rsidRDefault="00B05439" w:rsidP="00400A07">
      <w:pPr>
        <w:pStyle w:val="ListParagraph"/>
        <w:numPr>
          <w:ilvl w:val="0"/>
          <w:numId w:val="25"/>
        </w:numPr>
        <w:tabs>
          <w:tab w:val="clear" w:pos="1134"/>
          <w:tab w:val="clear" w:pos="1871"/>
          <w:tab w:val="clear" w:pos="2268"/>
        </w:tabs>
        <w:overflowPunct/>
        <w:spacing w:before="60" w:after="60"/>
        <w:ind w:left="714" w:hanging="357"/>
        <w:contextualSpacing w:val="0"/>
        <w:textAlignment w:val="auto"/>
        <w:rPr>
          <w:rFonts w:eastAsia="Aptos" w:cstheme="minorHAnsi"/>
          <w:szCs w:val="24"/>
        </w:rPr>
      </w:pPr>
      <w:r w:rsidRPr="00400A07">
        <w:rPr>
          <w:rFonts w:eastAsia="Aptos" w:cstheme="minorHAnsi"/>
          <w:szCs w:val="24"/>
          <w:lang w:val="en-US"/>
        </w:rPr>
        <w:t>BDT and AMS RO have also signed and implemented actions through cooperation frameworks with countries such as Brazil, El Salvador, Honduras, and the Dominican</w:t>
      </w:r>
      <w:r w:rsidRPr="00E62D91">
        <w:rPr>
          <w:rFonts w:eastAsia="Aptos" w:cstheme="minorHAnsi"/>
          <w:szCs w:val="24"/>
        </w:rPr>
        <w:t xml:space="preserve"> Republic, and is currently working on drafting the new cooperation framework for Panama.</w:t>
      </w:r>
    </w:p>
    <w:p w14:paraId="46107D9F" w14:textId="74BE3F6A" w:rsidR="00B05439" w:rsidRPr="00E62D91" w:rsidRDefault="00400A07" w:rsidP="00400A07">
      <w:pPr>
        <w:tabs>
          <w:tab w:val="clear" w:pos="1134"/>
          <w:tab w:val="clear" w:pos="1871"/>
          <w:tab w:val="clear" w:pos="2268"/>
        </w:tabs>
        <w:overflowPunct/>
        <w:spacing w:after="120"/>
        <w:textAlignment w:val="auto"/>
        <w:rPr>
          <w:rFonts w:eastAsia="Aptos" w:cstheme="minorHAnsi"/>
          <w:szCs w:val="24"/>
          <w:lang w:val="en-US"/>
        </w:rPr>
      </w:pPr>
      <w:r>
        <w:rPr>
          <w:rFonts w:eastAsia="Aptos" w:cstheme="minorHAnsi"/>
          <w:b/>
          <w:bCs/>
          <w:szCs w:val="24"/>
        </w:rPr>
        <w:lastRenderedPageBreak/>
        <w:t xml:space="preserve">3.4. </w:t>
      </w:r>
      <w:r w:rsidR="00B05439" w:rsidRPr="00E62D91">
        <w:rPr>
          <w:rFonts w:eastAsia="Aptos" w:cstheme="minorHAnsi"/>
          <w:b/>
          <w:bCs/>
          <w:szCs w:val="24"/>
          <w:lang w:val="en-US"/>
        </w:rPr>
        <w:t>Regional Office for Arab States (RO-ARB) / Arab States Activities</w:t>
      </w:r>
    </w:p>
    <w:p w14:paraId="01B00C7D" w14:textId="77777777" w:rsidR="00B05439" w:rsidRPr="00E62D91" w:rsidRDefault="00B05439" w:rsidP="00400A07">
      <w:pPr>
        <w:tabs>
          <w:tab w:val="clear" w:pos="1134"/>
          <w:tab w:val="clear" w:pos="2268"/>
        </w:tabs>
        <w:overflowPunct/>
        <w:spacing w:after="120"/>
        <w:textAlignment w:val="auto"/>
        <w:rPr>
          <w:rFonts w:eastAsia="Aptos" w:cstheme="minorHAnsi"/>
          <w:szCs w:val="24"/>
          <w:lang w:val="en-US"/>
        </w:rPr>
      </w:pPr>
      <w:r w:rsidRPr="00E62D91">
        <w:rPr>
          <w:rFonts w:eastAsia="Aptos" w:cstheme="minorHAnsi"/>
          <w:b/>
          <w:bCs/>
          <w:szCs w:val="24"/>
          <w:lang w:val="en-US"/>
        </w:rPr>
        <w:t>BR Related Activities</w:t>
      </w:r>
    </w:p>
    <w:p w14:paraId="59DBD513" w14:textId="31B0CCF8" w:rsidR="00B05439" w:rsidRPr="00E62D91" w:rsidRDefault="00B05439" w:rsidP="00400A07">
      <w:pPr>
        <w:pStyle w:val="ListParagraph"/>
        <w:numPr>
          <w:ilvl w:val="0"/>
          <w:numId w:val="25"/>
        </w:numPr>
        <w:tabs>
          <w:tab w:val="clear" w:pos="1134"/>
          <w:tab w:val="clear" w:pos="1871"/>
          <w:tab w:val="clear" w:pos="2268"/>
        </w:tabs>
        <w:overflowPunct/>
        <w:spacing w:before="60" w:after="60"/>
        <w:ind w:left="714" w:hanging="357"/>
        <w:contextualSpacing w:val="0"/>
        <w:textAlignment w:val="auto"/>
        <w:rPr>
          <w:rFonts w:eastAsia="Aptos" w:cstheme="minorHAnsi"/>
          <w:szCs w:val="24"/>
          <w:lang w:val="en-US"/>
        </w:rPr>
      </w:pPr>
      <w:r w:rsidRPr="00E62D91">
        <w:rPr>
          <w:rFonts w:eastAsia="Aptos" w:cstheme="minorHAnsi"/>
          <w:szCs w:val="24"/>
          <w:lang w:val="en-US"/>
        </w:rPr>
        <w:t>The ITU Regional Workshop Towards Universal and Meaningful Connectivity for the Arab Region was organized in Algiers, addressing infrastructure development and connectivity challenges.</w:t>
      </w:r>
    </w:p>
    <w:p w14:paraId="618A268D" w14:textId="66B40AF3" w:rsidR="00B05439" w:rsidRPr="00E62D91" w:rsidRDefault="00B05439" w:rsidP="00400A07">
      <w:pPr>
        <w:pStyle w:val="ListParagraph"/>
        <w:numPr>
          <w:ilvl w:val="0"/>
          <w:numId w:val="25"/>
        </w:numPr>
        <w:tabs>
          <w:tab w:val="clear" w:pos="1134"/>
          <w:tab w:val="clear" w:pos="1871"/>
          <w:tab w:val="clear" w:pos="2268"/>
        </w:tabs>
        <w:overflowPunct/>
        <w:spacing w:before="60" w:after="60"/>
        <w:ind w:left="714" w:hanging="357"/>
        <w:contextualSpacing w:val="0"/>
        <w:textAlignment w:val="auto"/>
        <w:rPr>
          <w:rFonts w:eastAsia="Aptos" w:cstheme="minorHAnsi"/>
          <w:szCs w:val="24"/>
          <w:lang w:val="en-US"/>
        </w:rPr>
      </w:pPr>
      <w:r w:rsidRPr="00E62D91">
        <w:rPr>
          <w:rFonts w:eastAsia="Aptos" w:cstheme="minorHAnsi"/>
          <w:szCs w:val="24"/>
          <w:lang w:val="en-US"/>
        </w:rPr>
        <w:t>National consultation workshops, including NETP and Common Alerting Protocol (CAP) trainings, were held in Comoros, Djibouti, Somalia, Mauritania, and Sudan. (BR relevance implied for spectrum/cell-broadcast).</w:t>
      </w:r>
    </w:p>
    <w:p w14:paraId="0BF5C83E" w14:textId="6EFB183B" w:rsidR="00B05439" w:rsidRPr="00E62D91" w:rsidRDefault="00B05439" w:rsidP="00400A07">
      <w:pPr>
        <w:tabs>
          <w:tab w:val="clear" w:pos="1134"/>
          <w:tab w:val="clear" w:pos="2268"/>
        </w:tabs>
        <w:overflowPunct/>
        <w:spacing w:after="120"/>
        <w:textAlignment w:val="auto"/>
        <w:rPr>
          <w:rFonts w:eastAsia="Aptos" w:cstheme="minorHAnsi"/>
          <w:szCs w:val="24"/>
          <w:lang w:val="en-US"/>
        </w:rPr>
      </w:pPr>
      <w:r w:rsidRPr="00E62D91">
        <w:rPr>
          <w:rFonts w:eastAsia="Aptos" w:cstheme="minorHAnsi"/>
          <w:b/>
          <w:bCs/>
          <w:szCs w:val="24"/>
          <w:lang w:val="en-US"/>
        </w:rPr>
        <w:t>TSB Related Activities</w:t>
      </w:r>
    </w:p>
    <w:p w14:paraId="6F0F9DE8" w14:textId="30F89A53" w:rsidR="00B05439" w:rsidRPr="00E62D91" w:rsidRDefault="00B05439" w:rsidP="00400A07">
      <w:pPr>
        <w:pStyle w:val="ListParagraph"/>
        <w:numPr>
          <w:ilvl w:val="0"/>
          <w:numId w:val="25"/>
        </w:numPr>
        <w:tabs>
          <w:tab w:val="clear" w:pos="1134"/>
          <w:tab w:val="clear" w:pos="1871"/>
          <w:tab w:val="clear" w:pos="2268"/>
        </w:tabs>
        <w:overflowPunct/>
        <w:spacing w:before="60" w:after="60"/>
        <w:ind w:left="714" w:hanging="357"/>
        <w:contextualSpacing w:val="0"/>
        <w:textAlignment w:val="auto"/>
        <w:rPr>
          <w:rFonts w:eastAsia="Aptos" w:cstheme="minorHAnsi"/>
          <w:szCs w:val="24"/>
          <w:lang w:val="en-US"/>
        </w:rPr>
      </w:pPr>
      <w:r w:rsidRPr="00E62D91">
        <w:rPr>
          <w:rFonts w:eastAsia="Aptos" w:cstheme="minorHAnsi"/>
          <w:szCs w:val="24"/>
          <w:lang w:val="en-US"/>
        </w:rPr>
        <w:t>BDT provided support in the development of NETPs in Djibouti, Comoros, and Mauritania.</w:t>
      </w:r>
    </w:p>
    <w:p w14:paraId="4529ADA4" w14:textId="0C829920" w:rsidR="00B05439" w:rsidRPr="00E62D91" w:rsidRDefault="00400A07" w:rsidP="00400A07">
      <w:pPr>
        <w:tabs>
          <w:tab w:val="clear" w:pos="1134"/>
          <w:tab w:val="clear" w:pos="1871"/>
          <w:tab w:val="clear" w:pos="2268"/>
        </w:tabs>
        <w:overflowPunct/>
        <w:spacing w:after="120"/>
        <w:textAlignment w:val="auto"/>
        <w:rPr>
          <w:rFonts w:eastAsia="Aptos" w:cstheme="minorHAnsi"/>
          <w:szCs w:val="24"/>
          <w:lang w:val="en-US"/>
        </w:rPr>
      </w:pPr>
      <w:r>
        <w:rPr>
          <w:rFonts w:eastAsia="Aptos" w:cstheme="minorHAnsi"/>
          <w:b/>
          <w:bCs/>
          <w:szCs w:val="24"/>
          <w:lang w:val="en-US"/>
        </w:rPr>
        <w:t xml:space="preserve">3.5. </w:t>
      </w:r>
      <w:r w:rsidR="00B05439" w:rsidRPr="00E62D91">
        <w:rPr>
          <w:rFonts w:eastAsia="Aptos" w:cstheme="minorHAnsi"/>
          <w:b/>
          <w:bCs/>
          <w:szCs w:val="24"/>
          <w:lang w:val="en-US"/>
        </w:rPr>
        <w:t>Regional Office for Asia and the Pacific (RO-ASP) / Asia-Pacific Activities</w:t>
      </w:r>
    </w:p>
    <w:p w14:paraId="6AF736AE" w14:textId="31DD9448" w:rsidR="00B05439" w:rsidRPr="00E62D91" w:rsidRDefault="00B05439" w:rsidP="00400A07">
      <w:pPr>
        <w:tabs>
          <w:tab w:val="clear" w:pos="1134"/>
          <w:tab w:val="clear" w:pos="2268"/>
        </w:tabs>
        <w:overflowPunct/>
        <w:spacing w:after="120"/>
        <w:textAlignment w:val="auto"/>
        <w:rPr>
          <w:rFonts w:eastAsia="Aptos" w:cstheme="minorHAnsi"/>
          <w:szCs w:val="24"/>
          <w:lang w:val="en-US"/>
        </w:rPr>
      </w:pPr>
      <w:r w:rsidRPr="00E62D91">
        <w:rPr>
          <w:rFonts w:eastAsia="Aptos" w:cstheme="minorHAnsi"/>
          <w:b/>
          <w:bCs/>
          <w:szCs w:val="24"/>
          <w:lang w:val="en-US"/>
        </w:rPr>
        <w:t>BR Related Activities</w:t>
      </w:r>
    </w:p>
    <w:p w14:paraId="28F9A3B4" w14:textId="2AF24D6D" w:rsidR="00B05439" w:rsidRPr="00E62D91" w:rsidRDefault="00B05439" w:rsidP="00400A07">
      <w:pPr>
        <w:pStyle w:val="ListParagraph"/>
        <w:numPr>
          <w:ilvl w:val="0"/>
          <w:numId w:val="25"/>
        </w:numPr>
        <w:tabs>
          <w:tab w:val="clear" w:pos="1134"/>
          <w:tab w:val="clear" w:pos="1871"/>
          <w:tab w:val="clear" w:pos="2268"/>
        </w:tabs>
        <w:overflowPunct/>
        <w:spacing w:before="60" w:after="60"/>
        <w:ind w:left="714" w:hanging="357"/>
        <w:contextualSpacing w:val="0"/>
        <w:textAlignment w:val="auto"/>
        <w:rPr>
          <w:rFonts w:eastAsia="Aptos" w:cstheme="minorHAnsi"/>
          <w:szCs w:val="24"/>
          <w:lang w:val="en-US"/>
        </w:rPr>
      </w:pPr>
      <w:r w:rsidRPr="00E62D91">
        <w:rPr>
          <w:rFonts w:eastAsia="Aptos" w:cstheme="minorHAnsi"/>
          <w:szCs w:val="24"/>
          <w:lang w:val="en-US"/>
        </w:rPr>
        <w:t>BDT supported BR in organizing the Regional Radio Seminar (RRS) for Asia and the Pacific in September 2024 in Samoa, sharing best practices on topics like Analog to Digital transition and SMS4DC.</w:t>
      </w:r>
    </w:p>
    <w:p w14:paraId="0C09F8DA" w14:textId="0F82E0AF" w:rsidR="00B05439" w:rsidRPr="00E62D91" w:rsidRDefault="00B05439" w:rsidP="00400A07">
      <w:pPr>
        <w:pStyle w:val="ListParagraph"/>
        <w:numPr>
          <w:ilvl w:val="0"/>
          <w:numId w:val="25"/>
        </w:numPr>
        <w:tabs>
          <w:tab w:val="clear" w:pos="1134"/>
          <w:tab w:val="clear" w:pos="1871"/>
          <w:tab w:val="clear" w:pos="2268"/>
        </w:tabs>
        <w:overflowPunct/>
        <w:spacing w:before="60" w:after="60"/>
        <w:ind w:left="714" w:hanging="357"/>
        <w:contextualSpacing w:val="0"/>
        <w:textAlignment w:val="auto"/>
        <w:rPr>
          <w:rFonts w:eastAsia="Aptos" w:cstheme="minorHAnsi"/>
          <w:szCs w:val="24"/>
          <w:lang w:val="en-US"/>
        </w:rPr>
      </w:pPr>
      <w:r w:rsidRPr="00E62D91">
        <w:rPr>
          <w:rFonts w:eastAsia="Aptos" w:cstheme="minorHAnsi"/>
          <w:szCs w:val="24"/>
          <w:lang w:val="en-US"/>
        </w:rPr>
        <w:t>RO-ASP supported the ITU Workshop on National Tables of Frequency Allocation (NTFA) for region 3, held May 28-31, 2024, in Shanghai.</w:t>
      </w:r>
    </w:p>
    <w:p w14:paraId="759C691B" w14:textId="2C911CC0" w:rsidR="00B05439" w:rsidRPr="00E62D91" w:rsidRDefault="00B05439" w:rsidP="00400A07">
      <w:pPr>
        <w:pStyle w:val="ListParagraph"/>
        <w:numPr>
          <w:ilvl w:val="0"/>
          <w:numId w:val="25"/>
        </w:numPr>
        <w:tabs>
          <w:tab w:val="clear" w:pos="1134"/>
          <w:tab w:val="clear" w:pos="1871"/>
          <w:tab w:val="clear" w:pos="2268"/>
        </w:tabs>
        <w:overflowPunct/>
        <w:spacing w:before="60" w:after="60"/>
        <w:ind w:left="714" w:hanging="357"/>
        <w:contextualSpacing w:val="0"/>
        <w:textAlignment w:val="auto"/>
        <w:rPr>
          <w:rFonts w:eastAsia="Aptos" w:cstheme="minorHAnsi"/>
          <w:szCs w:val="24"/>
          <w:lang w:val="en-US"/>
        </w:rPr>
      </w:pPr>
      <w:r w:rsidRPr="00E62D91">
        <w:rPr>
          <w:rFonts w:eastAsia="Aptos" w:cstheme="minorHAnsi"/>
          <w:szCs w:val="24"/>
          <w:lang w:val="en-US"/>
        </w:rPr>
        <w:t>ITU organized training on the Spectrum Management System for Developing Countries (SMS4DC) during the PITA Annual General Meeting in Vanuatu (April/May 2024).</w:t>
      </w:r>
    </w:p>
    <w:p w14:paraId="0C792D91" w14:textId="77777777" w:rsidR="00B05439" w:rsidRPr="00E62D91" w:rsidRDefault="00B05439" w:rsidP="00400A07">
      <w:pPr>
        <w:tabs>
          <w:tab w:val="clear" w:pos="1134"/>
          <w:tab w:val="clear" w:pos="2268"/>
        </w:tabs>
        <w:overflowPunct/>
        <w:spacing w:after="120"/>
        <w:textAlignment w:val="auto"/>
        <w:rPr>
          <w:rFonts w:eastAsia="Aptos" w:cstheme="minorHAnsi"/>
          <w:szCs w:val="24"/>
          <w:lang w:val="en-US"/>
        </w:rPr>
      </w:pPr>
      <w:r w:rsidRPr="00E62D91">
        <w:rPr>
          <w:rFonts w:eastAsia="Aptos" w:cstheme="minorHAnsi"/>
          <w:b/>
          <w:bCs/>
          <w:szCs w:val="24"/>
          <w:lang w:val="en-US"/>
        </w:rPr>
        <w:t>TSB Related Activities</w:t>
      </w:r>
      <w:r w:rsidRPr="00E62D91">
        <w:rPr>
          <w:rFonts w:eastAsia="Aptos" w:cstheme="minorHAnsi"/>
          <w:szCs w:val="24"/>
          <w:lang w:val="en-US"/>
        </w:rPr>
        <w:t xml:space="preserve"> </w:t>
      </w:r>
    </w:p>
    <w:p w14:paraId="1FD5D7CA" w14:textId="25215682" w:rsidR="00B05439" w:rsidRPr="00E62D91" w:rsidRDefault="00B05439" w:rsidP="00400A07">
      <w:pPr>
        <w:pStyle w:val="ListParagraph"/>
        <w:numPr>
          <w:ilvl w:val="0"/>
          <w:numId w:val="26"/>
        </w:numPr>
        <w:tabs>
          <w:tab w:val="clear" w:pos="1134"/>
          <w:tab w:val="clear" w:pos="1871"/>
          <w:tab w:val="clear" w:pos="2268"/>
        </w:tabs>
        <w:overflowPunct/>
        <w:spacing w:before="60" w:after="60"/>
        <w:ind w:left="714" w:hanging="357"/>
        <w:contextualSpacing w:val="0"/>
        <w:textAlignment w:val="auto"/>
        <w:rPr>
          <w:rFonts w:eastAsia="Aptos" w:cstheme="minorHAnsi"/>
          <w:szCs w:val="24"/>
          <w:lang w:val="en-US"/>
        </w:rPr>
      </w:pPr>
      <w:r w:rsidRPr="00E62D91">
        <w:rPr>
          <w:rFonts w:eastAsia="Aptos" w:cstheme="minorHAnsi"/>
          <w:szCs w:val="24"/>
          <w:lang w:val="en-US"/>
        </w:rPr>
        <w:t>Following consultations with TSB and discussions with the Government of Australia’s Department for Foreign Affairs and Trade (DFAT), the ITU team successfully signed a grant agreement on 4 June 2021 with DFAT on this project, under its Cyber and Critical Tech Cooperation Program. This project was successfully extended in 2022 for the full four-year duration and was successfully concluded on 31 December 2024</w:t>
      </w:r>
      <w:r w:rsidR="00E62D91">
        <w:rPr>
          <w:rFonts w:eastAsia="Aptos" w:cstheme="minorHAnsi"/>
          <w:szCs w:val="24"/>
          <w:lang w:val="en-US"/>
        </w:rPr>
        <w:t xml:space="preserve"> </w:t>
      </w:r>
      <w:r w:rsidRPr="00E62D91">
        <w:rPr>
          <w:rFonts w:eastAsia="Aptos" w:cstheme="minorHAnsi"/>
          <w:szCs w:val="24"/>
          <w:lang w:val="en-US"/>
        </w:rPr>
        <w:t>ITU Regional Office and Area Office in Delhi supported the organization of WTSA24 in multiple ways including monthly/weekly coordination meetings with the Indian government, organization of side events with various partners, suggestion for speakers and arranging the participation of the UN Country team for UN Day on Oct 24, side events as well as the SDG exhibition zone.</w:t>
      </w:r>
    </w:p>
    <w:p w14:paraId="69C41821" w14:textId="77777777" w:rsidR="00B05439" w:rsidRPr="00E62D91" w:rsidRDefault="00B05439" w:rsidP="00400A07">
      <w:pPr>
        <w:pStyle w:val="ListParagraph"/>
        <w:numPr>
          <w:ilvl w:val="0"/>
          <w:numId w:val="26"/>
        </w:numPr>
        <w:tabs>
          <w:tab w:val="clear" w:pos="1134"/>
          <w:tab w:val="clear" w:pos="1871"/>
          <w:tab w:val="clear" w:pos="2268"/>
        </w:tabs>
        <w:overflowPunct/>
        <w:spacing w:before="60" w:after="60"/>
        <w:ind w:left="714" w:hanging="357"/>
        <w:contextualSpacing w:val="0"/>
        <w:textAlignment w:val="auto"/>
        <w:rPr>
          <w:rFonts w:eastAsia="Aptos" w:cstheme="minorHAnsi"/>
          <w:szCs w:val="24"/>
          <w:lang w:val="en-US"/>
        </w:rPr>
      </w:pPr>
      <w:r w:rsidRPr="00E62D91">
        <w:rPr>
          <w:rFonts w:eastAsia="Aptos" w:cstheme="minorHAnsi"/>
          <w:szCs w:val="24"/>
          <w:lang w:val="en-US"/>
        </w:rPr>
        <w:t>Following consultations with the Government of Australia’s Department of Infrastructure, Transport, Regional Development, Communications and the Arts (DITRDCA), ITU signed a project agreement on 18 June 2024 for the SAPEIC project. This project aims to enhance the engagement of ITU’s Asia and the Pacific developing country member states in global ITU conferences by capacitating them to meaningfully contribute to upcoming ITU conferences, namely the 2024 World Telecommunication Standardization Assembly (WTSA), and the 2025 World Telecommunication Development Conference (WTDC).</w:t>
      </w:r>
    </w:p>
    <w:p w14:paraId="22DE8939" w14:textId="77777777" w:rsidR="00B05439" w:rsidRPr="00E62D91" w:rsidRDefault="00B05439" w:rsidP="00400A07">
      <w:pPr>
        <w:pStyle w:val="ListParagraph"/>
        <w:numPr>
          <w:ilvl w:val="0"/>
          <w:numId w:val="26"/>
        </w:numPr>
        <w:tabs>
          <w:tab w:val="clear" w:pos="1871"/>
          <w:tab w:val="left" w:pos="567"/>
          <w:tab w:val="left" w:pos="1701"/>
          <w:tab w:val="left" w:pos="2835"/>
        </w:tabs>
        <w:overflowPunct/>
        <w:spacing w:before="60" w:after="60"/>
        <w:ind w:left="714" w:hanging="357"/>
        <w:contextualSpacing w:val="0"/>
        <w:textAlignment w:val="auto"/>
        <w:rPr>
          <w:rFonts w:cstheme="minorHAnsi"/>
          <w:szCs w:val="24"/>
          <w:lang w:val="en-US"/>
        </w:rPr>
      </w:pPr>
      <w:r w:rsidRPr="00E62D91">
        <w:rPr>
          <w:rFonts w:cstheme="minorHAnsi"/>
          <w:szCs w:val="24"/>
        </w:rPr>
        <w:t xml:space="preserve">To achieve this, structured and dedicated training will be provided to build understanding of ITU’s Standardization and Development Sectors, and the working methods of WTSA and WTDC, to ensure delegates can meaningfully contribute to these conferences. </w:t>
      </w:r>
      <w:r w:rsidRPr="00E62D91">
        <w:rPr>
          <w:rFonts w:eastAsia="Aptos" w:cstheme="minorHAnsi"/>
          <w:szCs w:val="24"/>
          <w:lang w:val="en-US"/>
        </w:rPr>
        <w:t xml:space="preserve">During this reporting period, 23 participants from 13 ITU member states underwent the WTSA portion of the program. They joined the virtual training on WTSA from 10-13 September 2024 and an optional office hour on 18 September 2024. The training was led by ITU staff from the Telecommunication Standardization Bureau (TSB) and the ITU Regional Office for Asia and </w:t>
      </w:r>
      <w:r w:rsidRPr="00E62D91">
        <w:rPr>
          <w:rFonts w:eastAsia="Aptos" w:cstheme="minorHAnsi"/>
          <w:szCs w:val="24"/>
          <w:lang w:val="en-US"/>
        </w:rPr>
        <w:lastRenderedPageBreak/>
        <w:t xml:space="preserve">the Pacific, featuring interactive exercises and mock contribution creation. </w:t>
      </w:r>
      <w:r w:rsidRPr="00E62D91">
        <w:rPr>
          <w:rFonts w:cstheme="minorHAnsi"/>
          <w:szCs w:val="24"/>
        </w:rPr>
        <w:t>Subsequently, the 23 participants were granted fellowships through the SAPEIC project to join the Global Standards Symposium (GSS) and the WTSA in Delhi, India, on 14 October 2024 and 15-24 October 2024 respectively. The fellows successfully participated in both events and are completing their reporting requirements.</w:t>
      </w:r>
    </w:p>
    <w:p w14:paraId="4E432460" w14:textId="77777777" w:rsidR="00B05439" w:rsidRPr="00E62D91" w:rsidRDefault="00B05439" w:rsidP="00400A07">
      <w:pPr>
        <w:pStyle w:val="ListParagraph"/>
        <w:numPr>
          <w:ilvl w:val="0"/>
          <w:numId w:val="26"/>
        </w:numPr>
        <w:tabs>
          <w:tab w:val="clear" w:pos="1134"/>
          <w:tab w:val="clear" w:pos="1871"/>
          <w:tab w:val="clear" w:pos="2268"/>
        </w:tabs>
        <w:overflowPunct/>
        <w:spacing w:before="60" w:after="60"/>
        <w:ind w:left="714" w:hanging="357"/>
        <w:contextualSpacing w:val="0"/>
        <w:textAlignment w:val="auto"/>
        <w:rPr>
          <w:rFonts w:eastAsia="Aptos" w:cstheme="minorHAnsi"/>
          <w:szCs w:val="24"/>
          <w:lang w:val="en-US"/>
        </w:rPr>
      </w:pPr>
      <w:r w:rsidRPr="00E62D91">
        <w:rPr>
          <w:rFonts w:eastAsia="Aptos" w:cstheme="minorHAnsi"/>
          <w:szCs w:val="24"/>
          <w:lang w:val="en-US"/>
        </w:rPr>
        <w:t>Following consultations with TSB and discussions with the Ministry of Internal Affairs and Communications (MIC) of Japan, the ITU team and MIC exchanged letters on 6 February 2025, post which the funds were allocated to ITU to conduct activities under this project. It is currently funded for a period of one year, until February 2026.</w:t>
      </w:r>
    </w:p>
    <w:p w14:paraId="00D75A75" w14:textId="77777777" w:rsidR="00B05439" w:rsidRPr="00E62D91" w:rsidRDefault="00B05439" w:rsidP="00400A07">
      <w:pPr>
        <w:pStyle w:val="ListParagraph"/>
        <w:numPr>
          <w:ilvl w:val="0"/>
          <w:numId w:val="26"/>
        </w:numPr>
        <w:tabs>
          <w:tab w:val="clear" w:pos="1134"/>
          <w:tab w:val="clear" w:pos="1871"/>
          <w:tab w:val="clear" w:pos="2268"/>
        </w:tabs>
        <w:overflowPunct/>
        <w:spacing w:before="60" w:after="60"/>
        <w:ind w:left="714" w:hanging="357"/>
        <w:contextualSpacing w:val="0"/>
        <w:textAlignment w:val="auto"/>
        <w:rPr>
          <w:rFonts w:eastAsia="Aptos" w:cstheme="minorHAnsi"/>
          <w:szCs w:val="24"/>
          <w:lang w:val="en-US"/>
        </w:rPr>
      </w:pPr>
      <w:r w:rsidRPr="00E62D91">
        <w:rPr>
          <w:rFonts w:eastAsia="Aptos" w:cstheme="minorHAnsi"/>
          <w:szCs w:val="24"/>
          <w:lang w:val="en-US"/>
        </w:rPr>
        <w:t>On 2-3 September 2024, the Area Office in collaboration with the National Communications Academy - Finance (NCA-F, erstwhile NICF) and the Department of Telecommunications organized a workshop on Bridging the Standardization Gap (BSG) at Indian Institute of Science (IISc), Bangalore. With over 270 participants from the government, industry, academia and startups, the workshop guided the participants on how to contribute to and negotiate for the development and implementation of ITU-T standards; and helped build capacity to eventually play leadership roles in this field through interactive role plays and quizzes.</w:t>
      </w:r>
    </w:p>
    <w:p w14:paraId="60B5FD57" w14:textId="77777777" w:rsidR="00B05439" w:rsidRPr="00E62D91" w:rsidRDefault="00B05439" w:rsidP="00400A07">
      <w:pPr>
        <w:pStyle w:val="ListParagraph"/>
        <w:numPr>
          <w:ilvl w:val="0"/>
          <w:numId w:val="26"/>
        </w:numPr>
        <w:tabs>
          <w:tab w:val="clear" w:pos="1134"/>
          <w:tab w:val="clear" w:pos="1871"/>
          <w:tab w:val="clear" w:pos="2268"/>
        </w:tabs>
        <w:overflowPunct/>
        <w:spacing w:before="60" w:after="60"/>
        <w:ind w:left="714" w:hanging="357"/>
        <w:contextualSpacing w:val="0"/>
        <w:textAlignment w:val="auto"/>
        <w:rPr>
          <w:rFonts w:eastAsia="Aptos" w:cstheme="minorHAnsi"/>
          <w:szCs w:val="24"/>
          <w:lang w:val="en-US"/>
        </w:rPr>
      </w:pPr>
      <w:r w:rsidRPr="00E62D91">
        <w:rPr>
          <w:rFonts w:eastAsia="Aptos" w:cstheme="minorHAnsi"/>
          <w:szCs w:val="24"/>
          <w:lang w:val="en-US"/>
        </w:rPr>
        <w:t>ITU Regional Office and the Area Office in Delhi facilitated discussions with the Bhutan InfoComm and Media Authority (BICMA) and TSB on the DFS Security Lab on 10 October 2024. Following this discussion, ITU and BICMA are now discussing a potential ITU knowledge transfer programme for DFS Security.</w:t>
      </w:r>
    </w:p>
    <w:p w14:paraId="40C4CD58" w14:textId="77777777" w:rsidR="00B05439" w:rsidRPr="00E62D91" w:rsidRDefault="00B05439" w:rsidP="00400A07">
      <w:pPr>
        <w:pStyle w:val="ListParagraph"/>
        <w:numPr>
          <w:ilvl w:val="0"/>
          <w:numId w:val="26"/>
        </w:numPr>
        <w:tabs>
          <w:tab w:val="clear" w:pos="1871"/>
          <w:tab w:val="left" w:pos="567"/>
          <w:tab w:val="left" w:pos="1701"/>
          <w:tab w:val="left" w:pos="2835"/>
        </w:tabs>
        <w:overflowPunct/>
        <w:spacing w:before="60" w:after="60"/>
        <w:ind w:left="714" w:hanging="357"/>
        <w:contextualSpacing w:val="0"/>
        <w:textAlignment w:val="auto"/>
        <w:rPr>
          <w:rFonts w:cstheme="minorHAnsi"/>
          <w:szCs w:val="24"/>
          <w:lang w:val="en-US"/>
        </w:rPr>
      </w:pPr>
      <w:r w:rsidRPr="00E62D91">
        <w:rPr>
          <w:rFonts w:cstheme="minorHAnsi"/>
          <w:szCs w:val="24"/>
        </w:rPr>
        <w:t>Post these discussions, there was an exchange of letters between TSB Director and BICMA, on 14 Oct and 22 Oct 2024. BICMA is currently evaluating the financials at their end, and a formal response from them is awaited.</w:t>
      </w:r>
    </w:p>
    <w:p w14:paraId="59068CFF" w14:textId="0E69E9A2" w:rsidR="00B05439" w:rsidRPr="00E62D91" w:rsidRDefault="00400A07" w:rsidP="00400A07">
      <w:pPr>
        <w:tabs>
          <w:tab w:val="clear" w:pos="1134"/>
          <w:tab w:val="clear" w:pos="1871"/>
          <w:tab w:val="clear" w:pos="2268"/>
        </w:tabs>
        <w:overflowPunct/>
        <w:spacing w:after="120"/>
        <w:textAlignment w:val="auto"/>
        <w:rPr>
          <w:rFonts w:eastAsia="Aptos" w:cstheme="minorHAnsi"/>
          <w:szCs w:val="24"/>
          <w:lang w:val="en-US"/>
        </w:rPr>
      </w:pPr>
      <w:r>
        <w:rPr>
          <w:rFonts w:eastAsia="Aptos" w:cstheme="minorHAnsi"/>
          <w:b/>
          <w:bCs/>
          <w:szCs w:val="24"/>
          <w:lang w:val="en-US"/>
        </w:rPr>
        <w:t>3.6.</w:t>
      </w:r>
      <w:r w:rsidR="009C2CB0">
        <w:rPr>
          <w:rFonts w:eastAsia="Aptos" w:cstheme="minorHAnsi"/>
          <w:b/>
          <w:bCs/>
          <w:szCs w:val="24"/>
          <w:lang w:val="en-US"/>
        </w:rPr>
        <w:t xml:space="preserve"> </w:t>
      </w:r>
      <w:r w:rsidR="00B05439" w:rsidRPr="00E62D91">
        <w:rPr>
          <w:rFonts w:eastAsia="Aptos" w:cstheme="minorHAnsi"/>
          <w:b/>
          <w:bCs/>
          <w:szCs w:val="24"/>
          <w:lang w:val="en-US"/>
        </w:rPr>
        <w:t>Regional Office for CIS (RO-CIS) / CIS Activities</w:t>
      </w:r>
    </w:p>
    <w:p w14:paraId="6B5BFF48" w14:textId="016B6E41" w:rsidR="00B05439" w:rsidRPr="00E62D91" w:rsidRDefault="00B05439" w:rsidP="00400A07">
      <w:pPr>
        <w:tabs>
          <w:tab w:val="clear" w:pos="1134"/>
          <w:tab w:val="clear" w:pos="2268"/>
        </w:tabs>
        <w:overflowPunct/>
        <w:spacing w:after="120"/>
        <w:textAlignment w:val="auto"/>
        <w:rPr>
          <w:rFonts w:eastAsia="Aptos" w:cstheme="minorHAnsi"/>
          <w:szCs w:val="24"/>
          <w:lang w:val="en-US"/>
        </w:rPr>
      </w:pPr>
      <w:r w:rsidRPr="00E62D91">
        <w:rPr>
          <w:rFonts w:eastAsia="Aptos" w:cstheme="minorHAnsi"/>
          <w:b/>
          <w:bCs/>
          <w:szCs w:val="24"/>
          <w:lang w:val="en-US"/>
        </w:rPr>
        <w:t>BR Related Activities</w:t>
      </w:r>
    </w:p>
    <w:p w14:paraId="435D5588" w14:textId="1C758DD4" w:rsidR="00B05439" w:rsidRPr="00E62D91" w:rsidRDefault="00B05439" w:rsidP="009C2CB0">
      <w:pPr>
        <w:pStyle w:val="ListParagraph"/>
        <w:numPr>
          <w:ilvl w:val="0"/>
          <w:numId w:val="27"/>
        </w:numPr>
        <w:tabs>
          <w:tab w:val="clear" w:pos="1134"/>
          <w:tab w:val="clear" w:pos="1871"/>
          <w:tab w:val="clear" w:pos="2268"/>
        </w:tabs>
        <w:overflowPunct/>
        <w:spacing w:before="60" w:after="60"/>
        <w:ind w:left="714" w:hanging="357"/>
        <w:contextualSpacing w:val="0"/>
        <w:textAlignment w:val="auto"/>
        <w:rPr>
          <w:rFonts w:eastAsia="Aptos" w:cstheme="minorHAnsi"/>
          <w:szCs w:val="24"/>
          <w:lang w:val="en-US"/>
        </w:rPr>
      </w:pPr>
      <w:r w:rsidRPr="00E62D91">
        <w:rPr>
          <w:rFonts w:eastAsia="Aptos" w:cstheme="minorHAnsi"/>
          <w:szCs w:val="24"/>
          <w:lang w:val="en-US"/>
        </w:rPr>
        <w:t>A project on Digital Audio Broadcasting (DAB) frequency planning in 174 - 230 MHz for Armenia, Azerbaijan, and Georgia has been launched.</w:t>
      </w:r>
      <w:r w:rsidR="00E62D91">
        <w:rPr>
          <w:rFonts w:eastAsia="Aptos" w:cstheme="minorHAnsi"/>
          <w:szCs w:val="24"/>
          <w:lang w:val="en-US"/>
        </w:rPr>
        <w:t xml:space="preserve"> </w:t>
      </w:r>
    </w:p>
    <w:p w14:paraId="6EA71D4B" w14:textId="6850E262" w:rsidR="00B05439" w:rsidRPr="00E62D91" w:rsidRDefault="00B05439" w:rsidP="009C2CB0">
      <w:pPr>
        <w:pStyle w:val="ListParagraph"/>
        <w:numPr>
          <w:ilvl w:val="0"/>
          <w:numId w:val="27"/>
        </w:numPr>
        <w:tabs>
          <w:tab w:val="clear" w:pos="1134"/>
          <w:tab w:val="clear" w:pos="1871"/>
          <w:tab w:val="clear" w:pos="2268"/>
        </w:tabs>
        <w:overflowPunct/>
        <w:spacing w:before="60" w:after="60"/>
        <w:ind w:left="714" w:hanging="357"/>
        <w:contextualSpacing w:val="0"/>
        <w:textAlignment w:val="auto"/>
        <w:rPr>
          <w:rFonts w:eastAsia="Aptos" w:cstheme="minorHAnsi"/>
          <w:szCs w:val="24"/>
          <w:lang w:val="en-US"/>
        </w:rPr>
      </w:pPr>
      <w:r w:rsidRPr="00E62D91">
        <w:rPr>
          <w:rFonts w:eastAsia="Aptos" w:cstheme="minorHAnsi"/>
          <w:szCs w:val="24"/>
          <w:lang w:val="en-US"/>
        </w:rPr>
        <w:t>A roundtable on VoLTE (Voice over LTE) interconnection and VoWiFi was organized in Tashkent, Uzbekistan, addressing technical aspects and implementation strategies.</w:t>
      </w:r>
      <w:r w:rsidR="00E62D91">
        <w:rPr>
          <w:rFonts w:eastAsia="Aptos" w:cstheme="minorHAnsi"/>
          <w:szCs w:val="24"/>
          <w:lang w:val="en-US"/>
        </w:rPr>
        <w:t xml:space="preserve"> </w:t>
      </w:r>
    </w:p>
    <w:p w14:paraId="1C1BACC0" w14:textId="4A427005" w:rsidR="00B05439" w:rsidRPr="00E62D91" w:rsidRDefault="00B05439" w:rsidP="009C2CB0">
      <w:pPr>
        <w:pStyle w:val="ListParagraph"/>
        <w:numPr>
          <w:ilvl w:val="0"/>
          <w:numId w:val="27"/>
        </w:numPr>
        <w:tabs>
          <w:tab w:val="clear" w:pos="1134"/>
          <w:tab w:val="clear" w:pos="1871"/>
          <w:tab w:val="clear" w:pos="2268"/>
        </w:tabs>
        <w:overflowPunct/>
        <w:spacing w:before="60" w:after="60"/>
        <w:ind w:left="714" w:hanging="357"/>
        <w:contextualSpacing w:val="0"/>
        <w:textAlignment w:val="auto"/>
        <w:rPr>
          <w:rFonts w:eastAsia="Aptos" w:cstheme="minorHAnsi"/>
          <w:szCs w:val="24"/>
          <w:lang w:val="en-US"/>
        </w:rPr>
      </w:pPr>
      <w:r w:rsidRPr="00E62D91">
        <w:rPr>
          <w:rFonts w:eastAsia="Aptos" w:cstheme="minorHAnsi"/>
          <w:szCs w:val="24"/>
          <w:lang w:val="en-US"/>
        </w:rPr>
        <w:t>The AI for Early Warnings for All Sub-group, coordinated and led by ITU, aims to explore, implement, and scale AI applications supporting the EW4All initiative. (BR relevance implied through spectrum/propagation data).</w:t>
      </w:r>
      <w:r w:rsidR="00E62D91">
        <w:rPr>
          <w:rFonts w:eastAsia="Aptos" w:cstheme="minorHAnsi"/>
          <w:szCs w:val="24"/>
          <w:lang w:val="en-US"/>
        </w:rPr>
        <w:t xml:space="preserve"> </w:t>
      </w:r>
    </w:p>
    <w:p w14:paraId="6CBF07CE" w14:textId="77777777" w:rsidR="00B05439" w:rsidRPr="00E62D91" w:rsidRDefault="00B05439" w:rsidP="009C2CB0">
      <w:pPr>
        <w:pStyle w:val="ListParagraph"/>
        <w:numPr>
          <w:ilvl w:val="0"/>
          <w:numId w:val="27"/>
        </w:numPr>
        <w:tabs>
          <w:tab w:val="clear" w:pos="1134"/>
          <w:tab w:val="clear" w:pos="1871"/>
          <w:tab w:val="clear" w:pos="2268"/>
        </w:tabs>
        <w:overflowPunct/>
        <w:spacing w:before="60" w:after="60"/>
        <w:ind w:left="714" w:hanging="357"/>
        <w:contextualSpacing w:val="0"/>
        <w:textAlignment w:val="auto"/>
        <w:rPr>
          <w:rFonts w:eastAsia="Aptos" w:cstheme="minorHAnsi"/>
          <w:szCs w:val="24"/>
          <w:lang w:val="en-US"/>
        </w:rPr>
      </w:pPr>
      <w:r w:rsidRPr="00E62D91">
        <w:rPr>
          <w:rFonts w:eastAsia="Aptos" w:cstheme="minorHAnsi"/>
          <w:szCs w:val="24"/>
          <w:lang w:val="en-US"/>
        </w:rPr>
        <w:t>A global ITU/WMO Regional Seminar "Earth observations for Sustainable Development Goals: technologies, spectrum, applications, impacts" was organized in September 2024 jointly with BR in Almaty, Kazakhstan, attended by over 100 specialists. It was held back-to-back with the meeting of the working groups of ITU-R Study Group 7.</w:t>
      </w:r>
    </w:p>
    <w:p w14:paraId="779B63AB" w14:textId="77777777" w:rsidR="00B05439" w:rsidRPr="00E62D91" w:rsidRDefault="00B05439" w:rsidP="009C2CB0">
      <w:pPr>
        <w:pStyle w:val="ListParagraph"/>
        <w:numPr>
          <w:ilvl w:val="0"/>
          <w:numId w:val="27"/>
        </w:numPr>
        <w:tabs>
          <w:tab w:val="clear" w:pos="1134"/>
          <w:tab w:val="clear" w:pos="1871"/>
          <w:tab w:val="clear" w:pos="2268"/>
        </w:tabs>
        <w:overflowPunct/>
        <w:spacing w:before="60" w:after="60"/>
        <w:ind w:left="714" w:hanging="357"/>
        <w:contextualSpacing w:val="0"/>
        <w:textAlignment w:val="auto"/>
        <w:rPr>
          <w:rFonts w:eastAsia="Aptos" w:cstheme="minorHAnsi"/>
          <w:szCs w:val="24"/>
          <w:lang w:val="en-US"/>
        </w:rPr>
      </w:pPr>
      <w:r w:rsidRPr="00E62D91">
        <w:rPr>
          <w:rFonts w:eastAsia="Aptos" w:cstheme="minorHAnsi"/>
          <w:szCs w:val="24"/>
          <w:lang w:val="en-US"/>
        </w:rPr>
        <w:t>In February 2025 BDT jointly with Intersputnik and with participation of BR experts organized a workshop "Space activities in modern realities”. The event, attended by the satellite communications community and highly appreciated by the participants, offered a unique opportunity to share best practices in creating or improving national legislation for space activities while addressing the challenges surrounding national market access policies for satellite systems</w:t>
      </w:r>
    </w:p>
    <w:p w14:paraId="1F4B7E4D" w14:textId="1C8E69F2" w:rsidR="00B05439" w:rsidRPr="00E62D91" w:rsidRDefault="00B05439" w:rsidP="00816B1F">
      <w:pPr>
        <w:keepNext/>
        <w:tabs>
          <w:tab w:val="clear" w:pos="1134"/>
          <w:tab w:val="clear" w:pos="2268"/>
        </w:tabs>
        <w:overflowPunct/>
        <w:spacing w:after="120"/>
        <w:textAlignment w:val="auto"/>
        <w:rPr>
          <w:rFonts w:eastAsia="Aptos" w:cstheme="minorHAnsi"/>
          <w:szCs w:val="24"/>
          <w:lang w:val="en-US"/>
        </w:rPr>
      </w:pPr>
      <w:r w:rsidRPr="00E62D91">
        <w:rPr>
          <w:rFonts w:eastAsia="Aptos" w:cstheme="minorHAnsi"/>
          <w:b/>
          <w:bCs/>
          <w:szCs w:val="24"/>
          <w:lang w:val="en-US"/>
        </w:rPr>
        <w:lastRenderedPageBreak/>
        <w:t>TSB Related Activities</w:t>
      </w:r>
    </w:p>
    <w:p w14:paraId="2E390818" w14:textId="77777777" w:rsidR="00B05439" w:rsidRPr="00E62D91" w:rsidRDefault="00B05439" w:rsidP="009C2CB0">
      <w:pPr>
        <w:pStyle w:val="ListParagraph"/>
        <w:numPr>
          <w:ilvl w:val="0"/>
          <w:numId w:val="27"/>
        </w:numPr>
        <w:tabs>
          <w:tab w:val="clear" w:pos="1134"/>
          <w:tab w:val="clear" w:pos="1871"/>
          <w:tab w:val="clear" w:pos="2268"/>
        </w:tabs>
        <w:overflowPunct/>
        <w:spacing w:before="60" w:after="60"/>
        <w:ind w:left="714" w:hanging="357"/>
        <w:contextualSpacing w:val="0"/>
        <w:textAlignment w:val="auto"/>
        <w:rPr>
          <w:rFonts w:eastAsia="Aptos" w:cstheme="minorHAnsi"/>
          <w:szCs w:val="24"/>
          <w:lang w:val="en-US"/>
        </w:rPr>
      </w:pPr>
      <w:r w:rsidRPr="00E62D91">
        <w:rPr>
          <w:rFonts w:eastAsia="Aptos" w:cstheme="minorHAnsi"/>
          <w:szCs w:val="24"/>
          <w:lang w:val="en-US"/>
        </w:rPr>
        <w:t>Through awareness raising activities RO CIS has supported adoption of Recommendations and KPIs related to Smart Cities and Communities developed within U4SCC initiative.</w:t>
      </w:r>
    </w:p>
    <w:p w14:paraId="5CF85C6E" w14:textId="78C9AB36" w:rsidR="00B05439" w:rsidRPr="00E62D91" w:rsidRDefault="00B05439" w:rsidP="009C2CB0">
      <w:pPr>
        <w:pStyle w:val="ListParagraph"/>
        <w:numPr>
          <w:ilvl w:val="0"/>
          <w:numId w:val="27"/>
        </w:numPr>
        <w:tabs>
          <w:tab w:val="clear" w:pos="1134"/>
          <w:tab w:val="clear" w:pos="1871"/>
          <w:tab w:val="clear" w:pos="2268"/>
        </w:tabs>
        <w:overflowPunct/>
        <w:spacing w:before="60" w:after="60"/>
        <w:ind w:left="714" w:hanging="357"/>
        <w:contextualSpacing w:val="0"/>
        <w:textAlignment w:val="auto"/>
        <w:rPr>
          <w:rFonts w:eastAsia="Aptos" w:cstheme="minorHAnsi"/>
          <w:szCs w:val="24"/>
          <w:lang w:val="en-US"/>
        </w:rPr>
      </w:pPr>
      <w:r w:rsidRPr="00E62D91">
        <w:rPr>
          <w:rFonts w:eastAsia="Aptos" w:cstheme="minorHAnsi"/>
          <w:szCs w:val="24"/>
          <w:lang w:val="en-US"/>
        </w:rPr>
        <w:t>Preparations are ongoing jointly with TSB for the ITU Regional Forum “Future Technologies: Artificial Intelligence, Metaverse, Holography and other ICT Applications and Services. Vision 2030”, to be held from 9 to 11 June 2025 in St. Petersburg, Russian Federation.</w:t>
      </w:r>
      <w:r w:rsidR="00E62D91">
        <w:rPr>
          <w:rFonts w:eastAsia="Aptos" w:cstheme="minorHAnsi"/>
          <w:szCs w:val="24"/>
          <w:lang w:val="en-US"/>
        </w:rPr>
        <w:t xml:space="preserve"> </w:t>
      </w:r>
      <w:r w:rsidRPr="00E62D91">
        <w:rPr>
          <w:rFonts w:eastAsia="Aptos" w:cstheme="minorHAnsi"/>
          <w:szCs w:val="24"/>
          <w:lang w:val="en-US"/>
        </w:rPr>
        <w:t>It will be held back-to-back with meetings of the regional groups of ITU-T Study Groups 11, 13 and 20.</w:t>
      </w:r>
    </w:p>
    <w:p w14:paraId="3EFECE63" w14:textId="558B1685" w:rsidR="00B05439" w:rsidRPr="00E62D91" w:rsidRDefault="009C2CB0" w:rsidP="009C2CB0">
      <w:pPr>
        <w:tabs>
          <w:tab w:val="clear" w:pos="1134"/>
          <w:tab w:val="clear" w:pos="1871"/>
          <w:tab w:val="clear" w:pos="2268"/>
        </w:tabs>
        <w:overflowPunct/>
        <w:spacing w:after="120"/>
        <w:textAlignment w:val="auto"/>
        <w:rPr>
          <w:rFonts w:eastAsia="Aptos" w:cstheme="minorHAnsi"/>
          <w:szCs w:val="24"/>
          <w:lang w:val="en-US"/>
        </w:rPr>
      </w:pPr>
      <w:r>
        <w:rPr>
          <w:rFonts w:eastAsia="Aptos" w:cstheme="minorHAnsi"/>
          <w:b/>
          <w:bCs/>
          <w:szCs w:val="24"/>
          <w:lang w:val="en-US"/>
        </w:rPr>
        <w:t xml:space="preserve">3.7. </w:t>
      </w:r>
      <w:r w:rsidR="00B05439" w:rsidRPr="00E62D91">
        <w:rPr>
          <w:rFonts w:eastAsia="Aptos" w:cstheme="minorHAnsi"/>
          <w:b/>
          <w:bCs/>
          <w:szCs w:val="24"/>
          <w:lang w:val="en-US"/>
        </w:rPr>
        <w:t>ITU Office for Europe / Europe Activities</w:t>
      </w:r>
    </w:p>
    <w:p w14:paraId="5040916B" w14:textId="0292987B" w:rsidR="00B05439" w:rsidRPr="00E62D91" w:rsidRDefault="00B05439" w:rsidP="009C2CB0">
      <w:pPr>
        <w:tabs>
          <w:tab w:val="clear" w:pos="1134"/>
          <w:tab w:val="clear" w:pos="2268"/>
        </w:tabs>
        <w:overflowPunct/>
        <w:spacing w:after="120"/>
        <w:textAlignment w:val="auto"/>
        <w:rPr>
          <w:rFonts w:eastAsia="Aptos" w:cstheme="minorHAnsi"/>
          <w:szCs w:val="24"/>
          <w:lang w:val="en-US"/>
        </w:rPr>
      </w:pPr>
      <w:r w:rsidRPr="00E62D91">
        <w:rPr>
          <w:rFonts w:eastAsia="Aptos" w:cstheme="minorHAnsi"/>
          <w:b/>
          <w:bCs/>
          <w:szCs w:val="24"/>
          <w:lang w:val="en-US"/>
        </w:rPr>
        <w:t>BR Related Activities</w:t>
      </w:r>
    </w:p>
    <w:p w14:paraId="58178D76" w14:textId="4111666F" w:rsidR="00B05439" w:rsidRPr="00E62D91" w:rsidRDefault="00B05439" w:rsidP="009C2CB0">
      <w:pPr>
        <w:pStyle w:val="ListParagraph"/>
        <w:numPr>
          <w:ilvl w:val="0"/>
          <w:numId w:val="27"/>
        </w:numPr>
        <w:tabs>
          <w:tab w:val="clear" w:pos="1134"/>
          <w:tab w:val="clear" w:pos="1871"/>
          <w:tab w:val="clear" w:pos="2268"/>
        </w:tabs>
        <w:overflowPunct/>
        <w:spacing w:before="60" w:after="60"/>
        <w:ind w:left="714" w:hanging="357"/>
        <w:contextualSpacing w:val="0"/>
        <w:textAlignment w:val="auto"/>
        <w:rPr>
          <w:rFonts w:eastAsia="Aptos" w:cstheme="minorHAnsi"/>
          <w:szCs w:val="24"/>
          <w:lang w:val="en-US"/>
        </w:rPr>
      </w:pPr>
      <w:r w:rsidRPr="00E62D91">
        <w:rPr>
          <w:rFonts w:eastAsia="Aptos" w:cstheme="minorHAnsi"/>
          <w:szCs w:val="24"/>
          <w:lang w:val="en-US"/>
        </w:rPr>
        <w:t>Executive briefing on BR-related issues to the EU Council Working Party on Telecommunications and Information Society was organized on 27 March 2025 in Brussels.</w:t>
      </w:r>
    </w:p>
    <w:p w14:paraId="1A9ACEAC" w14:textId="77777777" w:rsidR="00B05439" w:rsidRPr="00E62D91" w:rsidRDefault="00B05439" w:rsidP="009C2CB0">
      <w:pPr>
        <w:pStyle w:val="ListParagraph"/>
        <w:numPr>
          <w:ilvl w:val="0"/>
          <w:numId w:val="27"/>
        </w:numPr>
        <w:tabs>
          <w:tab w:val="clear" w:pos="1134"/>
          <w:tab w:val="clear" w:pos="1871"/>
          <w:tab w:val="clear" w:pos="2268"/>
        </w:tabs>
        <w:overflowPunct/>
        <w:spacing w:before="60" w:after="60"/>
        <w:ind w:left="714" w:hanging="357"/>
        <w:contextualSpacing w:val="0"/>
        <w:textAlignment w:val="auto"/>
        <w:rPr>
          <w:rFonts w:eastAsia="Aptos" w:cstheme="minorHAnsi"/>
          <w:szCs w:val="24"/>
          <w:lang w:val="en-US"/>
        </w:rPr>
      </w:pPr>
      <w:r w:rsidRPr="00E62D91">
        <w:rPr>
          <w:rFonts w:eastAsia="Aptos" w:cstheme="minorHAnsi"/>
          <w:szCs w:val="24"/>
          <w:lang w:val="en-US"/>
        </w:rPr>
        <w:t>BR Experts have been contributing to the technical assistance to Ukraine in line with the ITU Council resolution 1408. This included expert support to the technical assessment of broadcasting stations, holding a special spectrum-related online workshop for the Ukrainian officials, organization of the ITU-EC TAIEX Workshop, held in December 2024, Warsaw, Poland.</w:t>
      </w:r>
    </w:p>
    <w:p w14:paraId="3FF7580D" w14:textId="2F03D50F" w:rsidR="00B05439" w:rsidRPr="00E62D91" w:rsidRDefault="00B05439" w:rsidP="009C2CB0">
      <w:pPr>
        <w:pStyle w:val="ListParagraph"/>
        <w:numPr>
          <w:ilvl w:val="0"/>
          <w:numId w:val="27"/>
        </w:numPr>
        <w:tabs>
          <w:tab w:val="clear" w:pos="1134"/>
          <w:tab w:val="clear" w:pos="1871"/>
          <w:tab w:val="clear" w:pos="2268"/>
        </w:tabs>
        <w:overflowPunct/>
        <w:spacing w:before="60" w:after="60"/>
        <w:ind w:left="714" w:hanging="357"/>
        <w:contextualSpacing w:val="0"/>
        <w:textAlignment w:val="auto"/>
        <w:rPr>
          <w:rFonts w:eastAsia="Aptos" w:cstheme="minorHAnsi"/>
          <w:szCs w:val="24"/>
          <w:lang w:val="en-US"/>
        </w:rPr>
      </w:pPr>
      <w:r w:rsidRPr="00E62D91">
        <w:rPr>
          <w:rFonts w:eastAsia="Aptos" w:cstheme="minorHAnsi"/>
          <w:szCs w:val="24"/>
          <w:lang w:val="en-US"/>
        </w:rPr>
        <w:t>BR Experts contributed to the EaPeReg workshops, further strengthening our cooperation between ITU and members of EaPeReg.</w:t>
      </w:r>
    </w:p>
    <w:p w14:paraId="0EF9D413" w14:textId="58E6F2F7" w:rsidR="00B05439" w:rsidRPr="00E62D91" w:rsidRDefault="00B05439" w:rsidP="009C2CB0">
      <w:pPr>
        <w:pStyle w:val="ListParagraph"/>
        <w:numPr>
          <w:ilvl w:val="0"/>
          <w:numId w:val="27"/>
        </w:numPr>
        <w:tabs>
          <w:tab w:val="clear" w:pos="1134"/>
          <w:tab w:val="clear" w:pos="1871"/>
          <w:tab w:val="clear" w:pos="2268"/>
        </w:tabs>
        <w:overflowPunct/>
        <w:spacing w:before="60" w:after="60"/>
        <w:ind w:left="714" w:hanging="357"/>
        <w:contextualSpacing w:val="0"/>
        <w:textAlignment w:val="auto"/>
        <w:rPr>
          <w:rFonts w:eastAsia="Aptos" w:cstheme="minorHAnsi"/>
          <w:szCs w:val="24"/>
          <w:lang w:val="en-US"/>
        </w:rPr>
      </w:pPr>
      <w:r w:rsidRPr="00E62D91">
        <w:rPr>
          <w:rFonts w:eastAsia="Aptos" w:cstheme="minorHAnsi"/>
          <w:szCs w:val="24"/>
          <w:lang w:val="en-US"/>
        </w:rPr>
        <w:t>ITU Regional Radiocommunication Seminar for Europe has been scheduled for February 2026 to further develop the human capacities of European countries.</w:t>
      </w:r>
    </w:p>
    <w:p w14:paraId="21499F37" w14:textId="77777777" w:rsidR="00B05439" w:rsidRPr="00E62D91" w:rsidRDefault="00B05439" w:rsidP="009C2CB0">
      <w:pPr>
        <w:tabs>
          <w:tab w:val="clear" w:pos="1134"/>
          <w:tab w:val="clear" w:pos="2268"/>
        </w:tabs>
        <w:overflowPunct/>
        <w:spacing w:after="120"/>
        <w:textAlignment w:val="auto"/>
        <w:rPr>
          <w:rFonts w:eastAsia="Aptos" w:cstheme="minorHAnsi"/>
          <w:szCs w:val="24"/>
          <w:lang w:val="en-US"/>
        </w:rPr>
      </w:pPr>
      <w:r w:rsidRPr="00E62D91">
        <w:rPr>
          <w:rFonts w:eastAsia="Aptos" w:cstheme="minorHAnsi"/>
          <w:b/>
          <w:bCs/>
          <w:szCs w:val="24"/>
          <w:lang w:val="en-US"/>
        </w:rPr>
        <w:t>TSB Related Activities</w:t>
      </w:r>
    </w:p>
    <w:p w14:paraId="206DD14E" w14:textId="7DB9B879" w:rsidR="00B05439" w:rsidRPr="00E62D91" w:rsidRDefault="00B05439" w:rsidP="009C2CB0">
      <w:pPr>
        <w:pStyle w:val="ListParagraph"/>
        <w:numPr>
          <w:ilvl w:val="0"/>
          <w:numId w:val="27"/>
        </w:numPr>
        <w:tabs>
          <w:tab w:val="clear" w:pos="1134"/>
          <w:tab w:val="clear" w:pos="1871"/>
          <w:tab w:val="clear" w:pos="2268"/>
        </w:tabs>
        <w:overflowPunct/>
        <w:spacing w:before="60" w:after="60"/>
        <w:ind w:left="714" w:hanging="357"/>
        <w:contextualSpacing w:val="0"/>
        <w:textAlignment w:val="auto"/>
        <w:rPr>
          <w:rFonts w:eastAsia="Aptos" w:cstheme="minorHAnsi"/>
          <w:szCs w:val="24"/>
          <w:lang w:val="en-US"/>
        </w:rPr>
      </w:pPr>
      <w:r w:rsidRPr="00E62D91">
        <w:rPr>
          <w:rFonts w:eastAsia="Aptos" w:cstheme="minorHAnsi"/>
          <w:szCs w:val="24"/>
          <w:lang w:val="en-US"/>
        </w:rPr>
        <w:t>A workshop on the Future of Television for Europe, in cooperation with BR and TSB, took place in November 2024.</w:t>
      </w:r>
    </w:p>
    <w:p w14:paraId="30036C63" w14:textId="7B080521" w:rsidR="00B05439" w:rsidRPr="00E62D91" w:rsidRDefault="00B05439" w:rsidP="009C2CB0">
      <w:pPr>
        <w:pStyle w:val="ListParagraph"/>
        <w:numPr>
          <w:ilvl w:val="0"/>
          <w:numId w:val="27"/>
        </w:numPr>
        <w:tabs>
          <w:tab w:val="clear" w:pos="1134"/>
          <w:tab w:val="clear" w:pos="1871"/>
          <w:tab w:val="clear" w:pos="2268"/>
        </w:tabs>
        <w:overflowPunct/>
        <w:spacing w:before="60" w:after="60"/>
        <w:ind w:left="714" w:hanging="357"/>
        <w:contextualSpacing w:val="0"/>
        <w:textAlignment w:val="auto"/>
        <w:rPr>
          <w:rFonts w:eastAsia="Aptos" w:cstheme="minorHAnsi"/>
          <w:szCs w:val="24"/>
          <w:lang w:val="en-US"/>
        </w:rPr>
      </w:pPr>
      <w:r w:rsidRPr="00E62D91">
        <w:rPr>
          <w:rFonts w:eastAsia="Aptos" w:cstheme="minorHAnsi"/>
          <w:szCs w:val="24"/>
          <w:lang w:val="en-US"/>
        </w:rPr>
        <w:t>A synchronization workshop between TSB and the European Commission was organized on 19 February 2025 in Brussels, aiming at the identification of areas of potential strengthened cooperation.</w:t>
      </w:r>
    </w:p>
    <w:p w14:paraId="5B80C7F3" w14:textId="4CE63182" w:rsidR="00B05439" w:rsidRPr="009C2CB0" w:rsidRDefault="00B05439" w:rsidP="009C2CB0">
      <w:pPr>
        <w:pStyle w:val="ListParagraph"/>
        <w:numPr>
          <w:ilvl w:val="0"/>
          <w:numId w:val="27"/>
        </w:numPr>
        <w:tabs>
          <w:tab w:val="clear" w:pos="1134"/>
          <w:tab w:val="clear" w:pos="1871"/>
          <w:tab w:val="clear" w:pos="2268"/>
        </w:tabs>
        <w:overflowPunct/>
        <w:spacing w:before="60" w:after="60"/>
        <w:ind w:left="714" w:hanging="357"/>
        <w:contextualSpacing w:val="0"/>
        <w:textAlignment w:val="auto"/>
        <w:rPr>
          <w:rFonts w:eastAsia="Aptos" w:cstheme="minorHAnsi"/>
          <w:szCs w:val="24"/>
          <w:lang w:val="en-US"/>
        </w:rPr>
      </w:pPr>
      <w:r w:rsidRPr="00E62D91">
        <w:rPr>
          <w:rFonts w:eastAsia="Aptos" w:cstheme="minorHAnsi"/>
          <w:szCs w:val="24"/>
          <w:lang w:val="en-US"/>
        </w:rPr>
        <w:t>Executive briefing on TSB-related issues to the EU Council Working Party on Telecommunications and Information Society was organized on 20 February 2025 in Brussels.</w:t>
      </w:r>
    </w:p>
    <w:p w14:paraId="76839A47" w14:textId="5A54709B" w:rsidR="00B05439" w:rsidRPr="00E62D91" w:rsidRDefault="009C2CB0" w:rsidP="009C2CB0">
      <w:pPr>
        <w:tabs>
          <w:tab w:val="clear" w:pos="1134"/>
          <w:tab w:val="clear" w:pos="1871"/>
          <w:tab w:val="clear" w:pos="2268"/>
        </w:tabs>
        <w:overflowPunct/>
        <w:spacing w:after="120"/>
        <w:textAlignment w:val="auto"/>
        <w:rPr>
          <w:rFonts w:eastAsia="Aptos" w:cstheme="minorHAnsi"/>
          <w:szCs w:val="24"/>
          <w:lang w:val="en-US"/>
        </w:rPr>
      </w:pPr>
      <w:r>
        <w:rPr>
          <w:rFonts w:eastAsia="Aptos" w:cstheme="minorHAnsi"/>
          <w:b/>
          <w:bCs/>
          <w:szCs w:val="24"/>
          <w:lang w:val="en-US"/>
        </w:rPr>
        <w:t xml:space="preserve">3.8. </w:t>
      </w:r>
      <w:r w:rsidR="00B05439" w:rsidRPr="00E62D91">
        <w:rPr>
          <w:rFonts w:eastAsia="Aptos" w:cstheme="minorHAnsi"/>
          <w:b/>
          <w:bCs/>
          <w:szCs w:val="24"/>
          <w:lang w:val="en-US"/>
        </w:rPr>
        <w:t>Cross-Regional Coordination</w:t>
      </w:r>
    </w:p>
    <w:p w14:paraId="31C2904D" w14:textId="77777777" w:rsidR="00B05439" w:rsidRPr="00E62D91" w:rsidRDefault="00B05439" w:rsidP="009C2CB0">
      <w:pPr>
        <w:tabs>
          <w:tab w:val="clear" w:pos="1134"/>
          <w:tab w:val="clear" w:pos="2268"/>
        </w:tabs>
        <w:overflowPunct/>
        <w:spacing w:after="120"/>
        <w:textAlignment w:val="auto"/>
        <w:rPr>
          <w:rFonts w:eastAsia="Aptos" w:cstheme="minorHAnsi"/>
          <w:b/>
          <w:bCs/>
          <w:szCs w:val="24"/>
          <w:lang w:val="en-US"/>
        </w:rPr>
      </w:pPr>
      <w:r w:rsidRPr="00E62D91">
        <w:rPr>
          <w:rFonts w:eastAsia="Aptos" w:cstheme="minorHAnsi"/>
          <w:b/>
          <w:bCs/>
          <w:szCs w:val="24"/>
          <w:lang w:val="en-US"/>
        </w:rPr>
        <w:t>BR Related Activities</w:t>
      </w:r>
    </w:p>
    <w:p w14:paraId="1026B337" w14:textId="4CF1BAC1" w:rsidR="00B05439" w:rsidRPr="00E62D91" w:rsidRDefault="00B05439" w:rsidP="009C2CB0">
      <w:pPr>
        <w:tabs>
          <w:tab w:val="clear" w:pos="1134"/>
          <w:tab w:val="clear" w:pos="2268"/>
        </w:tabs>
        <w:overflowPunct/>
        <w:spacing w:after="120"/>
        <w:textAlignment w:val="auto"/>
        <w:rPr>
          <w:rFonts w:eastAsia="Aptos" w:cstheme="minorHAnsi"/>
          <w:szCs w:val="24"/>
          <w:lang w:val="en-US"/>
        </w:rPr>
      </w:pPr>
      <w:r w:rsidRPr="00E62D91">
        <w:rPr>
          <w:rFonts w:eastAsia="Aptos" w:cstheme="minorHAnsi"/>
          <w:szCs w:val="24"/>
          <w:lang w:val="en-US"/>
        </w:rPr>
        <w:t>Strategic pre-positioning of emergency telecommunication satellite equipment established in Dubai (covering Arab States, Africa, Asia-Pacific), Zimbabwe (serving SADC), and Barbados (serving Americas/Caribbean).</w:t>
      </w:r>
      <w:r w:rsidR="00E62D91">
        <w:rPr>
          <w:rFonts w:eastAsia="Aptos" w:cstheme="minorHAnsi"/>
          <w:szCs w:val="24"/>
          <w:lang w:val="en-US"/>
        </w:rPr>
        <w:t xml:space="preserve"> </w:t>
      </w:r>
    </w:p>
    <w:p w14:paraId="37B60545" w14:textId="77777777" w:rsidR="00B05439" w:rsidRPr="00E62D91" w:rsidRDefault="00B05439" w:rsidP="009C2CB0">
      <w:pPr>
        <w:tabs>
          <w:tab w:val="clear" w:pos="1134"/>
          <w:tab w:val="clear" w:pos="2268"/>
        </w:tabs>
        <w:overflowPunct/>
        <w:spacing w:after="120"/>
        <w:textAlignment w:val="auto"/>
        <w:rPr>
          <w:rFonts w:eastAsia="Aptos" w:cstheme="minorHAnsi"/>
          <w:b/>
          <w:bCs/>
          <w:szCs w:val="24"/>
          <w:lang w:val="en-US"/>
        </w:rPr>
      </w:pPr>
      <w:r w:rsidRPr="00E62D91">
        <w:rPr>
          <w:rFonts w:eastAsia="Aptos" w:cstheme="minorHAnsi"/>
          <w:b/>
          <w:bCs/>
          <w:szCs w:val="24"/>
          <w:lang w:val="en-US"/>
        </w:rPr>
        <w:t>TSB Related Activities</w:t>
      </w:r>
    </w:p>
    <w:p w14:paraId="5CF4FC0F" w14:textId="54CD5A5A" w:rsidR="00B05439" w:rsidRPr="00E62D91" w:rsidRDefault="00B05439" w:rsidP="009C2CB0">
      <w:pPr>
        <w:tabs>
          <w:tab w:val="clear" w:pos="1134"/>
          <w:tab w:val="clear" w:pos="2268"/>
        </w:tabs>
        <w:overflowPunct/>
        <w:spacing w:after="120"/>
        <w:textAlignment w:val="auto"/>
        <w:rPr>
          <w:rFonts w:eastAsia="Aptos" w:cstheme="minorHAnsi"/>
          <w:szCs w:val="24"/>
          <w:lang w:val="en-US"/>
        </w:rPr>
      </w:pPr>
      <w:r w:rsidRPr="00E62D91">
        <w:rPr>
          <w:rFonts w:eastAsia="Aptos" w:cstheme="minorHAnsi"/>
          <w:szCs w:val="24"/>
          <w:lang w:val="en-US"/>
        </w:rPr>
        <w:t>As part of the AI for EW4All group, ITU is developing an AI Solutions Catalogue, an online repository of AI tools relevant to early warning systems. The BDT team also spoke at TSB's 15th Symposium on ICT, Environment, Climate Change and Circular Economy (May 2024).</w:t>
      </w:r>
      <w:r w:rsidR="00E62D91">
        <w:rPr>
          <w:rFonts w:eastAsia="Aptos" w:cstheme="minorHAnsi"/>
          <w:szCs w:val="24"/>
          <w:lang w:val="en-US"/>
        </w:rPr>
        <w:t xml:space="preserve"> </w:t>
      </w:r>
    </w:p>
    <w:p w14:paraId="23FCF844" w14:textId="77777777" w:rsidR="000404DE" w:rsidRPr="00E62D91" w:rsidRDefault="000404DE" w:rsidP="00E62D91">
      <w:pPr>
        <w:pStyle w:val="Heading1"/>
        <w:tabs>
          <w:tab w:val="num" w:pos="360"/>
        </w:tabs>
        <w:spacing w:before="120" w:after="120"/>
        <w:rPr>
          <w:rFonts w:cstheme="minorHAnsi"/>
          <w:sz w:val="24"/>
          <w:szCs w:val="24"/>
        </w:rPr>
      </w:pPr>
      <w:r w:rsidRPr="00E62D91">
        <w:rPr>
          <w:rFonts w:cstheme="minorHAnsi"/>
          <w:sz w:val="24"/>
          <w:szCs w:val="24"/>
        </w:rPr>
        <w:t>4. Conclusion</w:t>
      </w:r>
    </w:p>
    <w:p w14:paraId="1DC30005" w14:textId="3C478558" w:rsidR="00D83BF5" w:rsidRPr="009C2CB0" w:rsidRDefault="000404DE" w:rsidP="009C2CB0">
      <w:pPr>
        <w:spacing w:after="120"/>
        <w:rPr>
          <w:rFonts w:cstheme="minorHAnsi"/>
          <w:szCs w:val="24"/>
        </w:rPr>
      </w:pPr>
      <w:r w:rsidRPr="00E62D91">
        <w:rPr>
          <w:rFonts w:cstheme="minorHAnsi"/>
          <w:szCs w:val="24"/>
        </w:rPr>
        <w:t>TDAG is invited to note this document and provide guidance as deemed appropriate.</w:t>
      </w:r>
      <w:bookmarkEnd w:id="0"/>
    </w:p>
    <w:sectPr w:rsidR="00D83BF5" w:rsidRPr="009C2CB0" w:rsidSect="0081159E">
      <w:headerReference w:type="default" r:id="rId48"/>
      <w:footerReference w:type="first" r:id="rId49"/>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3A098" w14:textId="77777777" w:rsidR="0045789E" w:rsidRDefault="0045789E">
      <w:r>
        <w:separator/>
      </w:r>
    </w:p>
    <w:p w14:paraId="2BA4D3F1" w14:textId="77777777" w:rsidR="0045789E" w:rsidRDefault="0045789E"/>
  </w:endnote>
  <w:endnote w:type="continuationSeparator" w:id="0">
    <w:p w14:paraId="1F39711A" w14:textId="77777777" w:rsidR="0045789E" w:rsidRDefault="0045789E">
      <w:r>
        <w:continuationSeparator/>
      </w:r>
    </w:p>
    <w:p w14:paraId="79B4AC10" w14:textId="77777777" w:rsidR="0045789E" w:rsidRDefault="0045789E"/>
  </w:endnote>
  <w:endnote w:type="continuationNotice" w:id="1">
    <w:p w14:paraId="7CCBFA34" w14:textId="77777777" w:rsidR="0045789E" w:rsidRDefault="0045789E">
      <w:pPr>
        <w:spacing w:before="0"/>
      </w:pPr>
    </w:p>
    <w:p w14:paraId="384A89D6" w14:textId="77777777" w:rsidR="0045789E" w:rsidRDefault="004578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GulimChe">
    <w:charset w:val="81"/>
    <w:family w:val="modern"/>
    <w:pitch w:val="fixed"/>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9A74E4" w:rsidRPr="00941B59" w14:paraId="674BD8CD" w14:textId="77777777" w:rsidTr="00133A48">
      <w:trPr>
        <w:trHeight w:val="423"/>
      </w:trPr>
      <w:tc>
        <w:tcPr>
          <w:tcW w:w="1526" w:type="dxa"/>
          <w:tcBorders>
            <w:top w:val="single" w:sz="4" w:space="0" w:color="auto"/>
          </w:tcBorders>
          <w:shd w:val="clear" w:color="auto" w:fill="auto"/>
        </w:tcPr>
        <w:p w14:paraId="36B67292" w14:textId="77777777" w:rsidR="009A74E4" w:rsidRPr="00941B59" w:rsidRDefault="009A74E4" w:rsidP="009A74E4">
          <w:pPr>
            <w:pStyle w:val="FirstFooter"/>
            <w:tabs>
              <w:tab w:val="left" w:pos="1559"/>
              <w:tab w:val="left" w:pos="3828"/>
            </w:tabs>
            <w:rPr>
              <w:sz w:val="18"/>
              <w:szCs w:val="18"/>
            </w:rPr>
          </w:pPr>
          <w:r w:rsidRPr="00941B59">
            <w:rPr>
              <w:sz w:val="18"/>
              <w:szCs w:val="18"/>
              <w:lang w:val="en-US"/>
            </w:rPr>
            <w:t>Contact:</w:t>
          </w:r>
        </w:p>
      </w:tc>
      <w:tc>
        <w:tcPr>
          <w:tcW w:w="2410" w:type="dxa"/>
          <w:tcBorders>
            <w:top w:val="single" w:sz="4" w:space="0" w:color="auto"/>
          </w:tcBorders>
          <w:shd w:val="clear" w:color="auto" w:fill="auto"/>
        </w:tcPr>
        <w:p w14:paraId="10560AA8" w14:textId="77777777" w:rsidR="009A74E4" w:rsidRPr="00941B59" w:rsidRDefault="009A74E4" w:rsidP="009A74E4">
          <w:pPr>
            <w:pStyle w:val="FirstFooter"/>
            <w:tabs>
              <w:tab w:val="left" w:pos="2302"/>
            </w:tabs>
            <w:rPr>
              <w:sz w:val="18"/>
              <w:szCs w:val="18"/>
              <w:lang w:val="en-US"/>
            </w:rPr>
          </w:pPr>
          <w:r w:rsidRPr="00941B59">
            <w:rPr>
              <w:sz w:val="18"/>
              <w:szCs w:val="18"/>
              <w:lang w:val="en-US"/>
            </w:rPr>
            <w:t>Name/Organization/Entity:</w:t>
          </w:r>
        </w:p>
      </w:tc>
      <w:tc>
        <w:tcPr>
          <w:tcW w:w="5987" w:type="dxa"/>
          <w:tcBorders>
            <w:top w:val="single" w:sz="4" w:space="0" w:color="auto"/>
          </w:tcBorders>
        </w:tcPr>
        <w:p w14:paraId="4FE38AAC" w14:textId="77777777" w:rsidR="009A74E4" w:rsidRPr="00941B59" w:rsidRDefault="009A74E4" w:rsidP="009A74E4">
          <w:pPr>
            <w:pStyle w:val="FirstFooter"/>
            <w:tabs>
              <w:tab w:val="left" w:pos="2302"/>
            </w:tabs>
            <w:rPr>
              <w:sz w:val="18"/>
              <w:szCs w:val="18"/>
              <w:lang w:val="en-US"/>
            </w:rPr>
          </w:pPr>
          <w:r w:rsidRPr="00941B59">
            <w:rPr>
              <w:sz w:val="18"/>
              <w:szCs w:val="18"/>
              <w:lang w:val="en-US"/>
            </w:rPr>
            <w:t>Ms Archana Gulati, Deputy to the Director, Telecommunication Development Bureau</w:t>
          </w:r>
        </w:p>
      </w:tc>
      <w:bookmarkStart w:id="1" w:name="OrgName"/>
      <w:bookmarkEnd w:id="1"/>
    </w:tr>
    <w:tr w:rsidR="009A74E4" w:rsidRPr="00941B59" w14:paraId="70B9BC28" w14:textId="77777777" w:rsidTr="00133A48">
      <w:tc>
        <w:tcPr>
          <w:tcW w:w="1526" w:type="dxa"/>
          <w:shd w:val="clear" w:color="auto" w:fill="auto"/>
        </w:tcPr>
        <w:p w14:paraId="63C91506" w14:textId="77777777" w:rsidR="009A74E4" w:rsidRPr="00941B59" w:rsidRDefault="009A74E4" w:rsidP="009A74E4">
          <w:pPr>
            <w:pStyle w:val="FirstFooter"/>
            <w:tabs>
              <w:tab w:val="left" w:pos="1559"/>
              <w:tab w:val="left" w:pos="3828"/>
            </w:tabs>
            <w:rPr>
              <w:sz w:val="18"/>
              <w:szCs w:val="18"/>
              <w:lang w:val="en-US"/>
            </w:rPr>
          </w:pPr>
        </w:p>
      </w:tc>
      <w:tc>
        <w:tcPr>
          <w:tcW w:w="2410" w:type="dxa"/>
          <w:shd w:val="clear" w:color="auto" w:fill="auto"/>
        </w:tcPr>
        <w:p w14:paraId="34387E3E" w14:textId="77777777" w:rsidR="009A74E4" w:rsidRPr="00941B59" w:rsidRDefault="009A74E4" w:rsidP="009A74E4">
          <w:pPr>
            <w:pStyle w:val="FirstFooter"/>
            <w:tabs>
              <w:tab w:val="left" w:pos="2302"/>
            </w:tabs>
            <w:rPr>
              <w:sz w:val="18"/>
              <w:szCs w:val="18"/>
              <w:lang w:val="en-US"/>
            </w:rPr>
          </w:pPr>
          <w:r w:rsidRPr="00941B59">
            <w:rPr>
              <w:sz w:val="18"/>
              <w:szCs w:val="18"/>
              <w:lang w:val="en-US"/>
            </w:rPr>
            <w:t>Phone number:</w:t>
          </w:r>
        </w:p>
      </w:tc>
      <w:tc>
        <w:tcPr>
          <w:tcW w:w="5987" w:type="dxa"/>
        </w:tcPr>
        <w:p w14:paraId="764FDC0C" w14:textId="144AEBDC" w:rsidR="009A74E4" w:rsidRPr="00941B59" w:rsidRDefault="00B05439" w:rsidP="009A74E4">
          <w:pPr>
            <w:pStyle w:val="FirstFooter"/>
            <w:tabs>
              <w:tab w:val="left" w:pos="2302"/>
            </w:tabs>
            <w:rPr>
              <w:sz w:val="18"/>
              <w:szCs w:val="18"/>
              <w:lang w:val="en-US"/>
            </w:rPr>
          </w:pPr>
          <w:r>
            <w:rPr>
              <w:rStyle w:val="normaltextrun"/>
              <w:rFonts w:ascii="Calibri" w:hAnsi="Calibri" w:cs="Calibri"/>
              <w:color w:val="000000"/>
              <w:sz w:val="18"/>
              <w:szCs w:val="18"/>
              <w:shd w:val="clear" w:color="auto" w:fill="FFFFFF"/>
            </w:rPr>
            <w:t>+41 22 730 6475</w:t>
          </w:r>
          <w:r>
            <w:rPr>
              <w:rStyle w:val="eop"/>
              <w:rFonts w:ascii="Calibri" w:hAnsi="Calibri" w:cs="Calibri"/>
              <w:color w:val="000000"/>
              <w:sz w:val="18"/>
              <w:szCs w:val="18"/>
              <w:shd w:val="clear" w:color="auto" w:fill="FFFFFF"/>
            </w:rPr>
            <w:t> </w:t>
          </w:r>
        </w:p>
      </w:tc>
      <w:bookmarkStart w:id="2" w:name="PhoneNo"/>
      <w:bookmarkEnd w:id="2"/>
    </w:tr>
    <w:tr w:rsidR="009A74E4" w:rsidRPr="00941B59" w14:paraId="6AF10810" w14:textId="77777777" w:rsidTr="00133A48">
      <w:tc>
        <w:tcPr>
          <w:tcW w:w="1526" w:type="dxa"/>
          <w:shd w:val="clear" w:color="auto" w:fill="auto"/>
        </w:tcPr>
        <w:p w14:paraId="207437DB" w14:textId="77777777" w:rsidR="009A74E4" w:rsidRPr="00941B59" w:rsidRDefault="009A74E4" w:rsidP="009A74E4">
          <w:pPr>
            <w:pStyle w:val="FirstFooter"/>
            <w:tabs>
              <w:tab w:val="left" w:pos="1559"/>
              <w:tab w:val="left" w:pos="3828"/>
            </w:tabs>
            <w:rPr>
              <w:sz w:val="18"/>
              <w:szCs w:val="18"/>
              <w:lang w:val="en-US"/>
            </w:rPr>
          </w:pPr>
        </w:p>
      </w:tc>
      <w:tc>
        <w:tcPr>
          <w:tcW w:w="2410" w:type="dxa"/>
          <w:shd w:val="clear" w:color="auto" w:fill="auto"/>
        </w:tcPr>
        <w:p w14:paraId="258F80A3" w14:textId="77777777" w:rsidR="009A74E4" w:rsidRPr="00941B59" w:rsidRDefault="009A74E4" w:rsidP="009A74E4">
          <w:pPr>
            <w:pStyle w:val="FirstFooter"/>
            <w:tabs>
              <w:tab w:val="left" w:pos="2302"/>
            </w:tabs>
            <w:rPr>
              <w:sz w:val="18"/>
              <w:szCs w:val="18"/>
              <w:lang w:val="en-US"/>
            </w:rPr>
          </w:pPr>
          <w:r w:rsidRPr="00941B59">
            <w:rPr>
              <w:sz w:val="18"/>
              <w:szCs w:val="18"/>
              <w:lang w:val="en-US"/>
            </w:rPr>
            <w:t>E-mail:</w:t>
          </w:r>
        </w:p>
      </w:tc>
      <w:tc>
        <w:tcPr>
          <w:tcW w:w="5987" w:type="dxa"/>
        </w:tcPr>
        <w:p w14:paraId="0D46A9E9" w14:textId="77777777" w:rsidR="009A74E4" w:rsidRPr="00941B59" w:rsidRDefault="009A74E4" w:rsidP="009A74E4">
          <w:pPr>
            <w:pStyle w:val="FirstFooter"/>
            <w:tabs>
              <w:tab w:val="left" w:pos="2302"/>
            </w:tabs>
            <w:rPr>
              <w:sz w:val="18"/>
              <w:szCs w:val="18"/>
            </w:rPr>
          </w:pPr>
          <w:hyperlink r:id="rId1" w:history="1">
            <w:r w:rsidRPr="00941B59">
              <w:rPr>
                <w:rStyle w:val="Hyperlink"/>
                <w:sz w:val="18"/>
                <w:szCs w:val="18"/>
              </w:rPr>
              <w:t>archana.gulati@itu.int</w:t>
            </w:r>
          </w:hyperlink>
          <w:r w:rsidRPr="00941B59">
            <w:rPr>
              <w:sz w:val="18"/>
              <w:szCs w:val="18"/>
            </w:rPr>
            <w:t xml:space="preserve"> </w:t>
          </w:r>
        </w:p>
      </w:tc>
      <w:bookmarkStart w:id="3" w:name="Email"/>
      <w:bookmarkEnd w:id="3"/>
    </w:tr>
  </w:tbl>
  <w:p w14:paraId="3FF320CD" w14:textId="77777777" w:rsidR="003447A8" w:rsidRPr="009A74E4" w:rsidRDefault="003447A8" w:rsidP="009A7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E0246" w14:textId="77777777" w:rsidR="0045789E" w:rsidRPr="0054377E" w:rsidRDefault="0045789E" w:rsidP="0054377E">
      <w:pPr>
        <w:spacing w:before="0"/>
      </w:pPr>
      <w:r w:rsidRPr="0054377E">
        <w:rPr>
          <w:b/>
        </w:rPr>
        <w:t>_______________</w:t>
      </w:r>
    </w:p>
  </w:footnote>
  <w:footnote w:type="continuationSeparator" w:id="0">
    <w:p w14:paraId="05FB00AE" w14:textId="77777777" w:rsidR="0045789E" w:rsidRDefault="0045789E" w:rsidP="0054377E">
      <w:pPr>
        <w:spacing w:before="0"/>
      </w:pPr>
      <w:r>
        <w:continuationSeparator/>
      </w:r>
    </w:p>
    <w:p w14:paraId="0955B95A" w14:textId="77777777" w:rsidR="0045789E" w:rsidRDefault="0045789E"/>
  </w:footnote>
  <w:footnote w:type="continuationNotice" w:id="1">
    <w:p w14:paraId="7E37DC85" w14:textId="77777777" w:rsidR="0045789E" w:rsidRDefault="0045789E">
      <w:pPr>
        <w:spacing w:before="0"/>
      </w:pPr>
    </w:p>
    <w:p w14:paraId="4013D8F2" w14:textId="77777777" w:rsidR="0045789E" w:rsidRDefault="004578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1B53" w14:textId="63ADB444" w:rsidR="00636181" w:rsidRPr="00A7027A" w:rsidRDefault="00A7027A" w:rsidP="00A7027A">
    <w:pPr>
      <w:tabs>
        <w:tab w:val="clear" w:pos="1134"/>
        <w:tab w:val="clear" w:pos="1871"/>
        <w:tab w:val="clear" w:pos="2268"/>
        <w:tab w:val="center" w:pos="4820"/>
        <w:tab w:val="right" w:pos="14003"/>
      </w:tabs>
      <w:ind w:right="1"/>
      <w:rPr>
        <w:smallCaps/>
        <w:spacing w:val="24"/>
        <w:sz w:val="22"/>
        <w:szCs w:val="22"/>
        <w:lang w:val="es-ES_tradnl"/>
      </w:rPr>
    </w:pPr>
    <w:r w:rsidRPr="004D495C">
      <w:rPr>
        <w:sz w:val="22"/>
        <w:szCs w:val="22"/>
      </w:rPr>
      <w:tab/>
    </w:r>
    <w:r>
      <w:rPr>
        <w:sz w:val="22"/>
        <w:szCs w:val="22"/>
        <w:lang w:val="es-ES_tradnl"/>
      </w:rPr>
      <w:t>TDAG-25</w:t>
    </w:r>
    <w:r w:rsidRPr="00FF089C">
      <w:rPr>
        <w:sz w:val="22"/>
        <w:szCs w:val="22"/>
        <w:lang w:val="es-ES_tradnl"/>
      </w:rPr>
      <w:t>/</w:t>
    </w:r>
    <w:r w:rsidR="009A74E4">
      <w:rPr>
        <w:sz w:val="22"/>
        <w:szCs w:val="22"/>
        <w:lang w:val="es-ES_tradnl"/>
      </w:rPr>
      <w:t>24</w:t>
    </w:r>
    <w:r w:rsidR="000404DE">
      <w:rPr>
        <w:sz w:val="22"/>
        <w:szCs w:val="22"/>
        <w:lang w:val="es-ES_tradnl"/>
      </w:rPr>
      <w:t>(</w:t>
    </w:r>
    <w:r w:rsidR="0016190A">
      <w:rPr>
        <w:sz w:val="22"/>
        <w:szCs w:val="22"/>
        <w:lang w:val="es-ES_tradnl"/>
      </w:rPr>
      <w:t>R</w:t>
    </w:r>
    <w:r w:rsidR="000404DE">
      <w:rPr>
        <w:sz w:val="22"/>
        <w:szCs w:val="22"/>
        <w:lang w:val="es-ES_tradnl"/>
      </w:rPr>
      <w:t>ev.1)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1848"/>
    <w:multiLevelType w:val="hybridMultilevel"/>
    <w:tmpl w:val="EACE653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046A9"/>
    <w:multiLevelType w:val="hybridMultilevel"/>
    <w:tmpl w:val="F58696B8"/>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AB498C"/>
    <w:multiLevelType w:val="hybridMultilevel"/>
    <w:tmpl w:val="6BDE7DBA"/>
    <w:lvl w:ilvl="0" w:tplc="81FE6A5A">
      <w:start w:val="1"/>
      <w:numFmt w:val="bullet"/>
      <w:lvlText w:val="-"/>
      <w:lvlJc w:val="left"/>
      <w:pPr>
        <w:ind w:left="1440" w:hanging="360"/>
      </w:pPr>
      <w:rPr>
        <w:rFonts w:ascii="Calibri" w:eastAsia="Times New Roman"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785CD6"/>
    <w:multiLevelType w:val="hybridMultilevel"/>
    <w:tmpl w:val="95E04BDE"/>
    <w:lvl w:ilvl="0" w:tplc="81FE6A5A">
      <w:start w:val="1"/>
      <w:numFmt w:val="bullet"/>
      <w:lvlText w:val="-"/>
      <w:lvlJc w:val="left"/>
      <w:pPr>
        <w:ind w:left="1440" w:hanging="360"/>
      </w:pPr>
      <w:rPr>
        <w:rFonts w:ascii="Calibri" w:eastAsia="Times New Roman"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3235479"/>
    <w:multiLevelType w:val="hybridMultilevel"/>
    <w:tmpl w:val="27E4A1A2"/>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A305BC9"/>
    <w:multiLevelType w:val="multilevel"/>
    <w:tmpl w:val="0B620E8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AC12541"/>
    <w:multiLevelType w:val="hybridMultilevel"/>
    <w:tmpl w:val="73726D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9246D3"/>
    <w:multiLevelType w:val="hybridMultilevel"/>
    <w:tmpl w:val="FC36453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D0329BA"/>
    <w:multiLevelType w:val="hybridMultilevel"/>
    <w:tmpl w:val="0F82398A"/>
    <w:lvl w:ilvl="0" w:tplc="81FE6A5A">
      <w:start w:val="1"/>
      <w:numFmt w:val="bullet"/>
      <w:lvlText w:val="-"/>
      <w:lvlJc w:val="left"/>
      <w:pPr>
        <w:ind w:left="1440" w:hanging="360"/>
      </w:pPr>
      <w:rPr>
        <w:rFonts w:ascii="Calibri" w:eastAsia="Times New Roman"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A165198"/>
    <w:multiLevelType w:val="hybridMultilevel"/>
    <w:tmpl w:val="FFBEC982"/>
    <w:lvl w:ilvl="0" w:tplc="81FE6A5A">
      <w:start w:val="1"/>
      <w:numFmt w:val="bullet"/>
      <w:lvlText w:val="-"/>
      <w:lvlJc w:val="left"/>
      <w:pPr>
        <w:ind w:left="1440" w:hanging="360"/>
      </w:pPr>
      <w:rPr>
        <w:rFonts w:ascii="Calibri" w:eastAsia="Times New Roman"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C200B0D"/>
    <w:multiLevelType w:val="hybridMultilevel"/>
    <w:tmpl w:val="73701956"/>
    <w:lvl w:ilvl="0" w:tplc="93E6492E">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2D902C20"/>
    <w:multiLevelType w:val="hybridMultilevel"/>
    <w:tmpl w:val="F46691CE"/>
    <w:lvl w:ilvl="0" w:tplc="81FE6A5A">
      <w:start w:val="1"/>
      <w:numFmt w:val="bullet"/>
      <w:lvlText w:val="-"/>
      <w:lvlJc w:val="left"/>
      <w:pPr>
        <w:ind w:left="1440" w:hanging="360"/>
      </w:pPr>
      <w:rPr>
        <w:rFonts w:ascii="Calibri" w:eastAsia="Times New Roman"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47D4EF3"/>
    <w:multiLevelType w:val="hybridMultilevel"/>
    <w:tmpl w:val="1C22960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7C0D96"/>
    <w:multiLevelType w:val="hybridMultilevel"/>
    <w:tmpl w:val="DB32CBF2"/>
    <w:lvl w:ilvl="0" w:tplc="7486A2B2">
      <w:start w:val="3"/>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9244FD"/>
    <w:multiLevelType w:val="hybridMultilevel"/>
    <w:tmpl w:val="B72EFC32"/>
    <w:lvl w:ilvl="0" w:tplc="81FE6A5A">
      <w:start w:val="1"/>
      <w:numFmt w:val="bullet"/>
      <w:lvlText w:val="-"/>
      <w:lvlJc w:val="left"/>
      <w:pPr>
        <w:ind w:left="1440" w:hanging="360"/>
      </w:pPr>
      <w:rPr>
        <w:rFonts w:ascii="Calibri" w:eastAsia="Times New Roman"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B41617C"/>
    <w:multiLevelType w:val="hybridMultilevel"/>
    <w:tmpl w:val="4E745178"/>
    <w:lvl w:ilvl="0" w:tplc="D8AA70EE">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6" w15:restartNumberingAfterBreak="0">
    <w:nsid w:val="40264114"/>
    <w:multiLevelType w:val="hybridMultilevel"/>
    <w:tmpl w:val="1C0C52B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91618E3"/>
    <w:multiLevelType w:val="hybridMultilevel"/>
    <w:tmpl w:val="07F832FE"/>
    <w:lvl w:ilvl="0" w:tplc="81FE6A5A">
      <w:start w:val="1"/>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9B855F8"/>
    <w:multiLevelType w:val="hybridMultilevel"/>
    <w:tmpl w:val="59907CEE"/>
    <w:lvl w:ilvl="0" w:tplc="81FE6A5A">
      <w:start w:val="1"/>
      <w:numFmt w:val="bullet"/>
      <w:lvlText w:val="-"/>
      <w:lvlJc w:val="left"/>
      <w:pPr>
        <w:ind w:left="1440" w:hanging="360"/>
      </w:pPr>
      <w:rPr>
        <w:rFonts w:ascii="Calibri" w:eastAsia="Times New Roman"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DDE0E99"/>
    <w:multiLevelType w:val="hybridMultilevel"/>
    <w:tmpl w:val="4336FF1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5D10798"/>
    <w:multiLevelType w:val="hybridMultilevel"/>
    <w:tmpl w:val="26F27522"/>
    <w:lvl w:ilvl="0" w:tplc="81FE6A5A">
      <w:start w:val="1"/>
      <w:numFmt w:val="bullet"/>
      <w:lvlText w:val="-"/>
      <w:lvlJc w:val="left"/>
      <w:pPr>
        <w:ind w:left="1440" w:hanging="360"/>
      </w:pPr>
      <w:rPr>
        <w:rFonts w:ascii="Calibri" w:eastAsia="Times New Roman"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79008F7"/>
    <w:multiLevelType w:val="hybridMultilevel"/>
    <w:tmpl w:val="3AEE4A30"/>
    <w:lvl w:ilvl="0" w:tplc="93E6492E">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5C3F3901"/>
    <w:multiLevelType w:val="hybridMultilevel"/>
    <w:tmpl w:val="28140092"/>
    <w:lvl w:ilvl="0" w:tplc="81FE6A5A">
      <w:start w:val="1"/>
      <w:numFmt w:val="bullet"/>
      <w:lvlText w:val="-"/>
      <w:lvlJc w:val="left"/>
      <w:pPr>
        <w:ind w:left="1440" w:hanging="360"/>
      </w:pPr>
      <w:rPr>
        <w:rFonts w:ascii="Calibri" w:eastAsia="Times New Roman"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4FC6693"/>
    <w:multiLevelType w:val="hybridMultilevel"/>
    <w:tmpl w:val="B6D47D64"/>
    <w:lvl w:ilvl="0" w:tplc="0A048C52">
      <w:numFmt w:val="bullet"/>
      <w:lvlText w:val=""/>
      <w:lvlJc w:val="left"/>
      <w:pPr>
        <w:ind w:left="720" w:hanging="360"/>
      </w:pPr>
      <w:rPr>
        <w:rFonts w:ascii="Symbol" w:eastAsia="Batang"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4B353C"/>
    <w:multiLevelType w:val="hybridMultilevel"/>
    <w:tmpl w:val="89E0F2FC"/>
    <w:lvl w:ilvl="0" w:tplc="81FE6A5A">
      <w:start w:val="1"/>
      <w:numFmt w:val="bullet"/>
      <w:lvlText w:val="-"/>
      <w:lvlJc w:val="left"/>
      <w:pPr>
        <w:ind w:left="1440" w:hanging="360"/>
      </w:pPr>
      <w:rPr>
        <w:rFonts w:ascii="Calibri" w:eastAsia="Times New Roman"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D4A015D"/>
    <w:multiLevelType w:val="hybridMultilevel"/>
    <w:tmpl w:val="A7563466"/>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8C0410F"/>
    <w:multiLevelType w:val="hybridMultilevel"/>
    <w:tmpl w:val="E7BC9B74"/>
    <w:lvl w:ilvl="0" w:tplc="93E6492E">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54344639">
    <w:abstractNumId w:val="15"/>
  </w:num>
  <w:num w:numId="2" w16cid:durableId="1681080113">
    <w:abstractNumId w:val="16"/>
  </w:num>
  <w:num w:numId="3" w16cid:durableId="534078390">
    <w:abstractNumId w:val="23"/>
  </w:num>
  <w:num w:numId="4" w16cid:durableId="2090690033">
    <w:abstractNumId w:val="7"/>
  </w:num>
  <w:num w:numId="5" w16cid:durableId="1385059708">
    <w:abstractNumId w:val="13"/>
  </w:num>
  <w:num w:numId="6" w16cid:durableId="662515395">
    <w:abstractNumId w:val="19"/>
  </w:num>
  <w:num w:numId="7" w16cid:durableId="2051101661">
    <w:abstractNumId w:val="1"/>
  </w:num>
  <w:num w:numId="8" w16cid:durableId="1846087272">
    <w:abstractNumId w:val="25"/>
  </w:num>
  <w:num w:numId="9" w16cid:durableId="1549491577">
    <w:abstractNumId w:val="12"/>
  </w:num>
  <w:num w:numId="10" w16cid:durableId="1817138799">
    <w:abstractNumId w:val="6"/>
  </w:num>
  <w:num w:numId="11" w16cid:durableId="1571621881">
    <w:abstractNumId w:val="0"/>
  </w:num>
  <w:num w:numId="12" w16cid:durableId="651981272">
    <w:abstractNumId w:val="17"/>
  </w:num>
  <w:num w:numId="13" w16cid:durableId="1689334683">
    <w:abstractNumId w:val="5"/>
  </w:num>
  <w:num w:numId="14" w16cid:durableId="1608389161">
    <w:abstractNumId w:val="22"/>
  </w:num>
  <w:num w:numId="15" w16cid:durableId="1265766954">
    <w:abstractNumId w:val="2"/>
  </w:num>
  <w:num w:numId="16" w16cid:durableId="1304235717">
    <w:abstractNumId w:val="20"/>
  </w:num>
  <w:num w:numId="17" w16cid:durableId="48312523">
    <w:abstractNumId w:val="3"/>
  </w:num>
  <w:num w:numId="18" w16cid:durableId="202183071">
    <w:abstractNumId w:val="9"/>
  </w:num>
  <w:num w:numId="19" w16cid:durableId="867987170">
    <w:abstractNumId w:val="8"/>
  </w:num>
  <w:num w:numId="20" w16cid:durableId="2105805836">
    <w:abstractNumId w:val="24"/>
  </w:num>
  <w:num w:numId="21" w16cid:durableId="731394869">
    <w:abstractNumId w:val="11"/>
  </w:num>
  <w:num w:numId="22" w16cid:durableId="802692269">
    <w:abstractNumId w:val="18"/>
  </w:num>
  <w:num w:numId="23" w16cid:durableId="1891265557">
    <w:abstractNumId w:val="14"/>
  </w:num>
  <w:num w:numId="24" w16cid:durableId="1687555980">
    <w:abstractNumId w:val="4"/>
  </w:num>
  <w:num w:numId="25" w16cid:durableId="585842422">
    <w:abstractNumId w:val="21"/>
  </w:num>
  <w:num w:numId="26" w16cid:durableId="780228871">
    <w:abstractNumId w:val="10"/>
  </w:num>
  <w:num w:numId="27" w16cid:durableId="616832067">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2BBA"/>
    <w:rsid w:val="000041EA"/>
    <w:rsid w:val="00004EB7"/>
    <w:rsid w:val="000053A5"/>
    <w:rsid w:val="00005A53"/>
    <w:rsid w:val="00005FBD"/>
    <w:rsid w:val="00007800"/>
    <w:rsid w:val="000104B7"/>
    <w:rsid w:val="00011ECB"/>
    <w:rsid w:val="00013201"/>
    <w:rsid w:val="000150B0"/>
    <w:rsid w:val="00015A0D"/>
    <w:rsid w:val="00015E52"/>
    <w:rsid w:val="00022A29"/>
    <w:rsid w:val="0002307B"/>
    <w:rsid w:val="00023534"/>
    <w:rsid w:val="00023E43"/>
    <w:rsid w:val="0002559C"/>
    <w:rsid w:val="00025926"/>
    <w:rsid w:val="00025965"/>
    <w:rsid w:val="00030B5B"/>
    <w:rsid w:val="000313AB"/>
    <w:rsid w:val="000315E7"/>
    <w:rsid w:val="00034760"/>
    <w:rsid w:val="0003540E"/>
    <w:rsid w:val="000355FD"/>
    <w:rsid w:val="0003589F"/>
    <w:rsid w:val="00037CB3"/>
    <w:rsid w:val="000404DE"/>
    <w:rsid w:val="00041F2D"/>
    <w:rsid w:val="000447FC"/>
    <w:rsid w:val="00050E2D"/>
    <w:rsid w:val="0005184F"/>
    <w:rsid w:val="000518B8"/>
    <w:rsid w:val="00051E39"/>
    <w:rsid w:val="00052412"/>
    <w:rsid w:val="00053725"/>
    <w:rsid w:val="00054B72"/>
    <w:rsid w:val="0005581A"/>
    <w:rsid w:val="0005619C"/>
    <w:rsid w:val="0005747E"/>
    <w:rsid w:val="000604E5"/>
    <w:rsid w:val="000605B2"/>
    <w:rsid w:val="000617DF"/>
    <w:rsid w:val="000646D3"/>
    <w:rsid w:val="00065156"/>
    <w:rsid w:val="0006550B"/>
    <w:rsid w:val="0007000B"/>
    <w:rsid w:val="000735FD"/>
    <w:rsid w:val="00074109"/>
    <w:rsid w:val="0007439C"/>
    <w:rsid w:val="00074C4D"/>
    <w:rsid w:val="00075C63"/>
    <w:rsid w:val="00076288"/>
    <w:rsid w:val="00077239"/>
    <w:rsid w:val="000778CA"/>
    <w:rsid w:val="000805BB"/>
    <w:rsid w:val="00080905"/>
    <w:rsid w:val="00081C9D"/>
    <w:rsid w:val="00081D0A"/>
    <w:rsid w:val="000822BE"/>
    <w:rsid w:val="000829BB"/>
    <w:rsid w:val="00082B11"/>
    <w:rsid w:val="000840A7"/>
    <w:rsid w:val="00084195"/>
    <w:rsid w:val="00085C6A"/>
    <w:rsid w:val="00085FB9"/>
    <w:rsid w:val="00086491"/>
    <w:rsid w:val="000904F9"/>
    <w:rsid w:val="000909ED"/>
    <w:rsid w:val="00091346"/>
    <w:rsid w:val="00091C80"/>
    <w:rsid w:val="0009381F"/>
    <w:rsid w:val="00093A90"/>
    <w:rsid w:val="0009581F"/>
    <w:rsid w:val="00095901"/>
    <w:rsid w:val="00097074"/>
    <w:rsid w:val="000A002E"/>
    <w:rsid w:val="000A0174"/>
    <w:rsid w:val="000A348A"/>
    <w:rsid w:val="000A3B54"/>
    <w:rsid w:val="000A4EDF"/>
    <w:rsid w:val="000A59AE"/>
    <w:rsid w:val="000A7918"/>
    <w:rsid w:val="000A7931"/>
    <w:rsid w:val="000A7F83"/>
    <w:rsid w:val="000B6FCD"/>
    <w:rsid w:val="000B738A"/>
    <w:rsid w:val="000C03F4"/>
    <w:rsid w:val="000C090F"/>
    <w:rsid w:val="000C17EA"/>
    <w:rsid w:val="000C1A3B"/>
    <w:rsid w:val="000C1E12"/>
    <w:rsid w:val="000C2592"/>
    <w:rsid w:val="000C3632"/>
    <w:rsid w:val="000C42BA"/>
    <w:rsid w:val="000C4FD1"/>
    <w:rsid w:val="000D0339"/>
    <w:rsid w:val="000D1759"/>
    <w:rsid w:val="000D38EB"/>
    <w:rsid w:val="000D4875"/>
    <w:rsid w:val="000D6891"/>
    <w:rsid w:val="000D6E8D"/>
    <w:rsid w:val="000E2B96"/>
    <w:rsid w:val="000E6092"/>
    <w:rsid w:val="000E672B"/>
    <w:rsid w:val="000E6DE9"/>
    <w:rsid w:val="000E71F8"/>
    <w:rsid w:val="000F10B8"/>
    <w:rsid w:val="000F1DD4"/>
    <w:rsid w:val="000F20C5"/>
    <w:rsid w:val="000F29EC"/>
    <w:rsid w:val="000F38EA"/>
    <w:rsid w:val="000F3E8A"/>
    <w:rsid w:val="000F3F1A"/>
    <w:rsid w:val="000F42C1"/>
    <w:rsid w:val="000F4325"/>
    <w:rsid w:val="000F542E"/>
    <w:rsid w:val="000F641B"/>
    <w:rsid w:val="000F73FF"/>
    <w:rsid w:val="000F76F9"/>
    <w:rsid w:val="000F7F1C"/>
    <w:rsid w:val="00102175"/>
    <w:rsid w:val="00102343"/>
    <w:rsid w:val="001029B3"/>
    <w:rsid w:val="00105DCD"/>
    <w:rsid w:val="001066B3"/>
    <w:rsid w:val="001077D2"/>
    <w:rsid w:val="00111399"/>
    <w:rsid w:val="001114AC"/>
    <w:rsid w:val="00114443"/>
    <w:rsid w:val="00114584"/>
    <w:rsid w:val="00114CF7"/>
    <w:rsid w:val="00115411"/>
    <w:rsid w:val="00115B33"/>
    <w:rsid w:val="00116B95"/>
    <w:rsid w:val="00116C2C"/>
    <w:rsid w:val="00117233"/>
    <w:rsid w:val="00122245"/>
    <w:rsid w:val="001227D7"/>
    <w:rsid w:val="00123B68"/>
    <w:rsid w:val="00124AF4"/>
    <w:rsid w:val="00124CAA"/>
    <w:rsid w:val="001250AD"/>
    <w:rsid w:val="00125E69"/>
    <w:rsid w:val="00126F2E"/>
    <w:rsid w:val="00127FC6"/>
    <w:rsid w:val="00130570"/>
    <w:rsid w:val="00133A35"/>
    <w:rsid w:val="00133BA2"/>
    <w:rsid w:val="00134951"/>
    <w:rsid w:val="0013504E"/>
    <w:rsid w:val="001424DC"/>
    <w:rsid w:val="00143A87"/>
    <w:rsid w:val="00144066"/>
    <w:rsid w:val="00144C93"/>
    <w:rsid w:val="00144E69"/>
    <w:rsid w:val="001451C8"/>
    <w:rsid w:val="001456C0"/>
    <w:rsid w:val="00145CC7"/>
    <w:rsid w:val="00146F6F"/>
    <w:rsid w:val="0014714E"/>
    <w:rsid w:val="00147964"/>
    <w:rsid w:val="00147DA1"/>
    <w:rsid w:val="00151975"/>
    <w:rsid w:val="001519A2"/>
    <w:rsid w:val="00151C85"/>
    <w:rsid w:val="001520FB"/>
    <w:rsid w:val="00152957"/>
    <w:rsid w:val="001614C8"/>
    <w:rsid w:val="0016190A"/>
    <w:rsid w:val="001655E8"/>
    <w:rsid w:val="00166196"/>
    <w:rsid w:val="00166201"/>
    <w:rsid w:val="001664A7"/>
    <w:rsid w:val="00166B40"/>
    <w:rsid w:val="00167327"/>
    <w:rsid w:val="0016791B"/>
    <w:rsid w:val="00167A9D"/>
    <w:rsid w:val="00167E5B"/>
    <w:rsid w:val="00170C5A"/>
    <w:rsid w:val="0017171C"/>
    <w:rsid w:val="00171758"/>
    <w:rsid w:val="00172CB3"/>
    <w:rsid w:val="0017500F"/>
    <w:rsid w:val="00175C80"/>
    <w:rsid w:val="00176991"/>
    <w:rsid w:val="00180444"/>
    <w:rsid w:val="00182B43"/>
    <w:rsid w:val="001832B9"/>
    <w:rsid w:val="00185737"/>
    <w:rsid w:val="0018776D"/>
    <w:rsid w:val="00187BD9"/>
    <w:rsid w:val="00190227"/>
    <w:rsid w:val="0019060A"/>
    <w:rsid w:val="00190A1C"/>
    <w:rsid w:val="00190B55"/>
    <w:rsid w:val="00191F5C"/>
    <w:rsid w:val="00192FA9"/>
    <w:rsid w:val="00194CFB"/>
    <w:rsid w:val="00196986"/>
    <w:rsid w:val="00197F62"/>
    <w:rsid w:val="001A024A"/>
    <w:rsid w:val="001A1611"/>
    <w:rsid w:val="001A1FFD"/>
    <w:rsid w:val="001A3858"/>
    <w:rsid w:val="001A3A78"/>
    <w:rsid w:val="001A4BD2"/>
    <w:rsid w:val="001A58AF"/>
    <w:rsid w:val="001A5CB2"/>
    <w:rsid w:val="001A64BA"/>
    <w:rsid w:val="001A79A3"/>
    <w:rsid w:val="001B073B"/>
    <w:rsid w:val="001B0CB2"/>
    <w:rsid w:val="001B2A9D"/>
    <w:rsid w:val="001B2ED3"/>
    <w:rsid w:val="001B2F58"/>
    <w:rsid w:val="001B4FF8"/>
    <w:rsid w:val="001B643A"/>
    <w:rsid w:val="001B6675"/>
    <w:rsid w:val="001B7EA3"/>
    <w:rsid w:val="001B7F74"/>
    <w:rsid w:val="001C14AD"/>
    <w:rsid w:val="001C23D1"/>
    <w:rsid w:val="001C3376"/>
    <w:rsid w:val="001C35D5"/>
    <w:rsid w:val="001C3B5F"/>
    <w:rsid w:val="001C4877"/>
    <w:rsid w:val="001C4907"/>
    <w:rsid w:val="001C61EA"/>
    <w:rsid w:val="001C6977"/>
    <w:rsid w:val="001D058F"/>
    <w:rsid w:val="001D10F4"/>
    <w:rsid w:val="001D1B52"/>
    <w:rsid w:val="001D2025"/>
    <w:rsid w:val="001D520B"/>
    <w:rsid w:val="001D6874"/>
    <w:rsid w:val="001D77AD"/>
    <w:rsid w:val="001D78D5"/>
    <w:rsid w:val="001E0384"/>
    <w:rsid w:val="001E24AF"/>
    <w:rsid w:val="001E252D"/>
    <w:rsid w:val="001E29BE"/>
    <w:rsid w:val="001E3678"/>
    <w:rsid w:val="001E43DC"/>
    <w:rsid w:val="001E4AAF"/>
    <w:rsid w:val="001F2BFC"/>
    <w:rsid w:val="001F3E85"/>
    <w:rsid w:val="001F3F07"/>
    <w:rsid w:val="00200987"/>
    <w:rsid w:val="002009EA"/>
    <w:rsid w:val="00202CA0"/>
    <w:rsid w:val="0020514B"/>
    <w:rsid w:val="00206E7D"/>
    <w:rsid w:val="00207A5D"/>
    <w:rsid w:val="002103CC"/>
    <w:rsid w:val="0021072A"/>
    <w:rsid w:val="002139CA"/>
    <w:rsid w:val="00213A5C"/>
    <w:rsid w:val="00214607"/>
    <w:rsid w:val="002154A6"/>
    <w:rsid w:val="002162CD"/>
    <w:rsid w:val="00216478"/>
    <w:rsid w:val="00220634"/>
    <w:rsid w:val="00220AAC"/>
    <w:rsid w:val="00220F8A"/>
    <w:rsid w:val="00221C1D"/>
    <w:rsid w:val="002226B9"/>
    <w:rsid w:val="00223683"/>
    <w:rsid w:val="002237A7"/>
    <w:rsid w:val="00224A2B"/>
    <w:rsid w:val="00224B7C"/>
    <w:rsid w:val="00224CDD"/>
    <w:rsid w:val="002255B3"/>
    <w:rsid w:val="00225DE6"/>
    <w:rsid w:val="0022687F"/>
    <w:rsid w:val="0023164A"/>
    <w:rsid w:val="002319F6"/>
    <w:rsid w:val="00232DA1"/>
    <w:rsid w:val="0023409C"/>
    <w:rsid w:val="002346C7"/>
    <w:rsid w:val="00234829"/>
    <w:rsid w:val="002351D4"/>
    <w:rsid w:val="00236E8A"/>
    <w:rsid w:val="00240BC8"/>
    <w:rsid w:val="002416FB"/>
    <w:rsid w:val="00241717"/>
    <w:rsid w:val="002420D0"/>
    <w:rsid w:val="00242487"/>
    <w:rsid w:val="00243411"/>
    <w:rsid w:val="00244F0F"/>
    <w:rsid w:val="00246B32"/>
    <w:rsid w:val="00251A53"/>
    <w:rsid w:val="00253CD5"/>
    <w:rsid w:val="002543F7"/>
    <w:rsid w:val="0025489C"/>
    <w:rsid w:val="00257CF5"/>
    <w:rsid w:val="00263EA3"/>
    <w:rsid w:val="0026406F"/>
    <w:rsid w:val="002653F2"/>
    <w:rsid w:val="00266589"/>
    <w:rsid w:val="002676D5"/>
    <w:rsid w:val="00267792"/>
    <w:rsid w:val="00267EF2"/>
    <w:rsid w:val="002701F5"/>
    <w:rsid w:val="002712A9"/>
    <w:rsid w:val="00271316"/>
    <w:rsid w:val="00272417"/>
    <w:rsid w:val="00274CC3"/>
    <w:rsid w:val="00276238"/>
    <w:rsid w:val="00276414"/>
    <w:rsid w:val="002767B5"/>
    <w:rsid w:val="00277C03"/>
    <w:rsid w:val="00283F74"/>
    <w:rsid w:val="00285610"/>
    <w:rsid w:val="00286C1D"/>
    <w:rsid w:val="00286C4C"/>
    <w:rsid w:val="00290DD9"/>
    <w:rsid w:val="00291610"/>
    <w:rsid w:val="00293526"/>
    <w:rsid w:val="00293594"/>
    <w:rsid w:val="002944FF"/>
    <w:rsid w:val="00294BF6"/>
    <w:rsid w:val="00294D5A"/>
    <w:rsid w:val="002955BC"/>
    <w:rsid w:val="002955DA"/>
    <w:rsid w:val="00295A71"/>
    <w:rsid w:val="00296313"/>
    <w:rsid w:val="00296DA0"/>
    <w:rsid w:val="00297006"/>
    <w:rsid w:val="00297B5D"/>
    <w:rsid w:val="002A0A7A"/>
    <w:rsid w:val="002A0D8C"/>
    <w:rsid w:val="002A1D4A"/>
    <w:rsid w:val="002A24F8"/>
    <w:rsid w:val="002A2742"/>
    <w:rsid w:val="002A27F8"/>
    <w:rsid w:val="002A2A97"/>
    <w:rsid w:val="002A4EFF"/>
    <w:rsid w:val="002A51DF"/>
    <w:rsid w:val="002A61B2"/>
    <w:rsid w:val="002A684E"/>
    <w:rsid w:val="002A7134"/>
    <w:rsid w:val="002B05A4"/>
    <w:rsid w:val="002B074A"/>
    <w:rsid w:val="002B10D5"/>
    <w:rsid w:val="002B2AA2"/>
    <w:rsid w:val="002B3296"/>
    <w:rsid w:val="002B3C84"/>
    <w:rsid w:val="002B4CDB"/>
    <w:rsid w:val="002B500A"/>
    <w:rsid w:val="002B5490"/>
    <w:rsid w:val="002C12ED"/>
    <w:rsid w:val="002C1A2F"/>
    <w:rsid w:val="002C2AC0"/>
    <w:rsid w:val="002C49BA"/>
    <w:rsid w:val="002C4B75"/>
    <w:rsid w:val="002C6B70"/>
    <w:rsid w:val="002C73F6"/>
    <w:rsid w:val="002C7D5E"/>
    <w:rsid w:val="002D58BE"/>
    <w:rsid w:val="002D5CE8"/>
    <w:rsid w:val="002E068A"/>
    <w:rsid w:val="002E071E"/>
    <w:rsid w:val="002E0F32"/>
    <w:rsid w:val="002E4D1D"/>
    <w:rsid w:val="002E51E0"/>
    <w:rsid w:val="002E5411"/>
    <w:rsid w:val="002E7A84"/>
    <w:rsid w:val="002F1BD0"/>
    <w:rsid w:val="002F2199"/>
    <w:rsid w:val="002F619A"/>
    <w:rsid w:val="002F6709"/>
    <w:rsid w:val="002F7752"/>
    <w:rsid w:val="003013EE"/>
    <w:rsid w:val="0030313E"/>
    <w:rsid w:val="00304031"/>
    <w:rsid w:val="00306FEE"/>
    <w:rsid w:val="0031014E"/>
    <w:rsid w:val="00311808"/>
    <w:rsid w:val="00311851"/>
    <w:rsid w:val="00311CD5"/>
    <w:rsid w:val="00313B1C"/>
    <w:rsid w:val="003144DA"/>
    <w:rsid w:val="00316725"/>
    <w:rsid w:val="00316A69"/>
    <w:rsid w:val="003174D9"/>
    <w:rsid w:val="00317C58"/>
    <w:rsid w:val="00317DA9"/>
    <w:rsid w:val="00321D91"/>
    <w:rsid w:val="003231C6"/>
    <w:rsid w:val="00323651"/>
    <w:rsid w:val="00323E49"/>
    <w:rsid w:val="003243B1"/>
    <w:rsid w:val="003247A5"/>
    <w:rsid w:val="003249F3"/>
    <w:rsid w:val="00325939"/>
    <w:rsid w:val="003273BC"/>
    <w:rsid w:val="00331F05"/>
    <w:rsid w:val="003351A6"/>
    <w:rsid w:val="00335759"/>
    <w:rsid w:val="00337750"/>
    <w:rsid w:val="00342BD9"/>
    <w:rsid w:val="0034384D"/>
    <w:rsid w:val="003447A8"/>
    <w:rsid w:val="003447F5"/>
    <w:rsid w:val="00345D42"/>
    <w:rsid w:val="00346224"/>
    <w:rsid w:val="0034636C"/>
    <w:rsid w:val="00346CEE"/>
    <w:rsid w:val="0035089A"/>
    <w:rsid w:val="003511BC"/>
    <w:rsid w:val="00354A1D"/>
    <w:rsid w:val="00355E83"/>
    <w:rsid w:val="00356083"/>
    <w:rsid w:val="003572D4"/>
    <w:rsid w:val="003603B8"/>
    <w:rsid w:val="0036055B"/>
    <w:rsid w:val="00361609"/>
    <w:rsid w:val="00364098"/>
    <w:rsid w:val="003668DD"/>
    <w:rsid w:val="00366978"/>
    <w:rsid w:val="0037003F"/>
    <w:rsid w:val="00372BCF"/>
    <w:rsid w:val="00373365"/>
    <w:rsid w:val="00373B80"/>
    <w:rsid w:val="00374AED"/>
    <w:rsid w:val="00376255"/>
    <w:rsid w:val="00376280"/>
    <w:rsid w:val="00377BD3"/>
    <w:rsid w:val="00377DDD"/>
    <w:rsid w:val="003807EA"/>
    <w:rsid w:val="0038091A"/>
    <w:rsid w:val="00381C62"/>
    <w:rsid w:val="003829D8"/>
    <w:rsid w:val="00382DFC"/>
    <w:rsid w:val="0038304D"/>
    <w:rsid w:val="00384088"/>
    <w:rsid w:val="0038489B"/>
    <w:rsid w:val="00384EEE"/>
    <w:rsid w:val="0038583C"/>
    <w:rsid w:val="00385BE9"/>
    <w:rsid w:val="0039169B"/>
    <w:rsid w:val="00392277"/>
    <w:rsid w:val="003939B1"/>
    <w:rsid w:val="003948BF"/>
    <w:rsid w:val="00394B90"/>
    <w:rsid w:val="0039626D"/>
    <w:rsid w:val="003968CC"/>
    <w:rsid w:val="00396F5C"/>
    <w:rsid w:val="00397C59"/>
    <w:rsid w:val="003A03FF"/>
    <w:rsid w:val="003A04F5"/>
    <w:rsid w:val="003A22FC"/>
    <w:rsid w:val="003A260A"/>
    <w:rsid w:val="003A2C92"/>
    <w:rsid w:val="003A5137"/>
    <w:rsid w:val="003A54E2"/>
    <w:rsid w:val="003A5D2B"/>
    <w:rsid w:val="003A658E"/>
    <w:rsid w:val="003A6BAC"/>
    <w:rsid w:val="003A6BED"/>
    <w:rsid w:val="003A6EE9"/>
    <w:rsid w:val="003A722A"/>
    <w:rsid w:val="003A7F8C"/>
    <w:rsid w:val="003B08DA"/>
    <w:rsid w:val="003B0FA5"/>
    <w:rsid w:val="003B10ED"/>
    <w:rsid w:val="003B11F9"/>
    <w:rsid w:val="003B186C"/>
    <w:rsid w:val="003B2B56"/>
    <w:rsid w:val="003B4E1C"/>
    <w:rsid w:val="003B4F8E"/>
    <w:rsid w:val="003B522D"/>
    <w:rsid w:val="003B532E"/>
    <w:rsid w:val="003B621C"/>
    <w:rsid w:val="003B6306"/>
    <w:rsid w:val="003B6602"/>
    <w:rsid w:val="003B6F14"/>
    <w:rsid w:val="003B6F60"/>
    <w:rsid w:val="003C1870"/>
    <w:rsid w:val="003C3650"/>
    <w:rsid w:val="003C5D09"/>
    <w:rsid w:val="003C6136"/>
    <w:rsid w:val="003C695D"/>
    <w:rsid w:val="003C69D2"/>
    <w:rsid w:val="003C6B1E"/>
    <w:rsid w:val="003C6D08"/>
    <w:rsid w:val="003D0F8B"/>
    <w:rsid w:val="003D1814"/>
    <w:rsid w:val="003D39F2"/>
    <w:rsid w:val="003D4359"/>
    <w:rsid w:val="003D4949"/>
    <w:rsid w:val="003D5A63"/>
    <w:rsid w:val="003D6425"/>
    <w:rsid w:val="003D66A7"/>
    <w:rsid w:val="003D6847"/>
    <w:rsid w:val="003D79ED"/>
    <w:rsid w:val="003D7EE8"/>
    <w:rsid w:val="003E00F8"/>
    <w:rsid w:val="003E26C8"/>
    <w:rsid w:val="003E4AE4"/>
    <w:rsid w:val="003E5C09"/>
    <w:rsid w:val="003F0A6C"/>
    <w:rsid w:val="003F0F49"/>
    <w:rsid w:val="003F1363"/>
    <w:rsid w:val="003F23BA"/>
    <w:rsid w:val="003F3399"/>
    <w:rsid w:val="003F3440"/>
    <w:rsid w:val="003F3F0F"/>
    <w:rsid w:val="003F444A"/>
    <w:rsid w:val="003F5A6F"/>
    <w:rsid w:val="003F5E51"/>
    <w:rsid w:val="003F6342"/>
    <w:rsid w:val="003F68CC"/>
    <w:rsid w:val="003F6F8B"/>
    <w:rsid w:val="003F6FE1"/>
    <w:rsid w:val="00400A07"/>
    <w:rsid w:val="00403C69"/>
    <w:rsid w:val="00405EC2"/>
    <w:rsid w:val="00406278"/>
    <w:rsid w:val="00406297"/>
    <w:rsid w:val="004109A2"/>
    <w:rsid w:val="00412C81"/>
    <w:rsid w:val="004131D4"/>
    <w:rsid w:val="0041348E"/>
    <w:rsid w:val="00414895"/>
    <w:rsid w:val="004148E6"/>
    <w:rsid w:val="00417326"/>
    <w:rsid w:val="004208C6"/>
    <w:rsid w:val="00421605"/>
    <w:rsid w:val="00421BBC"/>
    <w:rsid w:val="00421E01"/>
    <w:rsid w:val="0042363F"/>
    <w:rsid w:val="0042649A"/>
    <w:rsid w:val="004269E6"/>
    <w:rsid w:val="00431074"/>
    <w:rsid w:val="00433357"/>
    <w:rsid w:val="00433BA1"/>
    <w:rsid w:val="00435024"/>
    <w:rsid w:val="00435662"/>
    <w:rsid w:val="00435762"/>
    <w:rsid w:val="00435E45"/>
    <w:rsid w:val="004364D9"/>
    <w:rsid w:val="00436654"/>
    <w:rsid w:val="00437819"/>
    <w:rsid w:val="00437A8D"/>
    <w:rsid w:val="00440C4F"/>
    <w:rsid w:val="00441E8B"/>
    <w:rsid w:val="004445FD"/>
    <w:rsid w:val="00446FBA"/>
    <w:rsid w:val="00447308"/>
    <w:rsid w:val="00447990"/>
    <w:rsid w:val="004500BC"/>
    <w:rsid w:val="00450DCE"/>
    <w:rsid w:val="00451B1B"/>
    <w:rsid w:val="00451B3F"/>
    <w:rsid w:val="00451C5C"/>
    <w:rsid w:val="00454AED"/>
    <w:rsid w:val="004552B4"/>
    <w:rsid w:val="0045789E"/>
    <w:rsid w:val="0046001E"/>
    <w:rsid w:val="00460CF8"/>
    <w:rsid w:val="0046100E"/>
    <w:rsid w:val="00462253"/>
    <w:rsid w:val="00462CB2"/>
    <w:rsid w:val="004631CC"/>
    <w:rsid w:val="00464EF7"/>
    <w:rsid w:val="00466AD3"/>
    <w:rsid w:val="00467DB2"/>
    <w:rsid w:val="004705EC"/>
    <w:rsid w:val="00470D7B"/>
    <w:rsid w:val="00472FC1"/>
    <w:rsid w:val="00473529"/>
    <w:rsid w:val="00474401"/>
    <w:rsid w:val="004755BA"/>
    <w:rsid w:val="00475B95"/>
    <w:rsid w:val="004765FF"/>
    <w:rsid w:val="004773CE"/>
    <w:rsid w:val="00481E58"/>
    <w:rsid w:val="00483290"/>
    <w:rsid w:val="00483F59"/>
    <w:rsid w:val="0048520E"/>
    <w:rsid w:val="00486163"/>
    <w:rsid w:val="00492075"/>
    <w:rsid w:val="0049304E"/>
    <w:rsid w:val="00493BCF"/>
    <w:rsid w:val="00495290"/>
    <w:rsid w:val="004969AD"/>
    <w:rsid w:val="00496E2A"/>
    <w:rsid w:val="004A0244"/>
    <w:rsid w:val="004A0579"/>
    <w:rsid w:val="004A078F"/>
    <w:rsid w:val="004A0B2A"/>
    <w:rsid w:val="004A14A2"/>
    <w:rsid w:val="004A3226"/>
    <w:rsid w:val="004A3FF4"/>
    <w:rsid w:val="004A46E8"/>
    <w:rsid w:val="004A6677"/>
    <w:rsid w:val="004A7674"/>
    <w:rsid w:val="004A783D"/>
    <w:rsid w:val="004B13CB"/>
    <w:rsid w:val="004B2466"/>
    <w:rsid w:val="004B2531"/>
    <w:rsid w:val="004B3C6F"/>
    <w:rsid w:val="004B46F3"/>
    <w:rsid w:val="004B4C3B"/>
    <w:rsid w:val="004B4FDF"/>
    <w:rsid w:val="004B4FF2"/>
    <w:rsid w:val="004B553C"/>
    <w:rsid w:val="004B5890"/>
    <w:rsid w:val="004B5B6C"/>
    <w:rsid w:val="004B716F"/>
    <w:rsid w:val="004B7C16"/>
    <w:rsid w:val="004B7E77"/>
    <w:rsid w:val="004C0A27"/>
    <w:rsid w:val="004C0FEF"/>
    <w:rsid w:val="004C3355"/>
    <w:rsid w:val="004C4A8B"/>
    <w:rsid w:val="004C728A"/>
    <w:rsid w:val="004C7640"/>
    <w:rsid w:val="004D04E2"/>
    <w:rsid w:val="004D0AFC"/>
    <w:rsid w:val="004D2564"/>
    <w:rsid w:val="004D4243"/>
    <w:rsid w:val="004D5D5C"/>
    <w:rsid w:val="004D752D"/>
    <w:rsid w:val="004D7763"/>
    <w:rsid w:val="004E0767"/>
    <w:rsid w:val="004E2711"/>
    <w:rsid w:val="004E27DE"/>
    <w:rsid w:val="004E2F10"/>
    <w:rsid w:val="004E3276"/>
    <w:rsid w:val="004E4F74"/>
    <w:rsid w:val="004E5959"/>
    <w:rsid w:val="004E61DD"/>
    <w:rsid w:val="004E704A"/>
    <w:rsid w:val="004F051F"/>
    <w:rsid w:val="004F2887"/>
    <w:rsid w:val="004F33AC"/>
    <w:rsid w:val="004F3D95"/>
    <w:rsid w:val="004F660E"/>
    <w:rsid w:val="004F7270"/>
    <w:rsid w:val="005003C5"/>
    <w:rsid w:val="005004A4"/>
    <w:rsid w:val="0050139F"/>
    <w:rsid w:val="00503C17"/>
    <w:rsid w:val="00503F1A"/>
    <w:rsid w:val="0050484D"/>
    <w:rsid w:val="005048DF"/>
    <w:rsid w:val="00505A48"/>
    <w:rsid w:val="0050712D"/>
    <w:rsid w:val="005071EB"/>
    <w:rsid w:val="00510692"/>
    <w:rsid w:val="00510F4D"/>
    <w:rsid w:val="00516722"/>
    <w:rsid w:val="00517624"/>
    <w:rsid w:val="00517713"/>
    <w:rsid w:val="00520565"/>
    <w:rsid w:val="00520EED"/>
    <w:rsid w:val="00521223"/>
    <w:rsid w:val="00523934"/>
    <w:rsid w:val="00523D3E"/>
    <w:rsid w:val="00524DF1"/>
    <w:rsid w:val="005252E6"/>
    <w:rsid w:val="00526DAF"/>
    <w:rsid w:val="0052716E"/>
    <w:rsid w:val="0053019A"/>
    <w:rsid w:val="00531317"/>
    <w:rsid w:val="00531EFB"/>
    <w:rsid w:val="00532527"/>
    <w:rsid w:val="00532B8C"/>
    <w:rsid w:val="00533CBA"/>
    <w:rsid w:val="00534533"/>
    <w:rsid w:val="005358BC"/>
    <w:rsid w:val="00536513"/>
    <w:rsid w:val="00536DB4"/>
    <w:rsid w:val="00537086"/>
    <w:rsid w:val="00541D24"/>
    <w:rsid w:val="00543159"/>
    <w:rsid w:val="0054377E"/>
    <w:rsid w:val="0054450F"/>
    <w:rsid w:val="005476A4"/>
    <w:rsid w:val="00550A45"/>
    <w:rsid w:val="0055140B"/>
    <w:rsid w:val="00552F4D"/>
    <w:rsid w:val="00552F9E"/>
    <w:rsid w:val="00553A3F"/>
    <w:rsid w:val="00554C4F"/>
    <w:rsid w:val="00556131"/>
    <w:rsid w:val="005569A7"/>
    <w:rsid w:val="00561199"/>
    <w:rsid w:val="00561D72"/>
    <w:rsid w:val="005629D5"/>
    <w:rsid w:val="00564F36"/>
    <w:rsid w:val="00566EEB"/>
    <w:rsid w:val="00567FAF"/>
    <w:rsid w:val="00570FA3"/>
    <w:rsid w:val="00571767"/>
    <w:rsid w:val="00575A45"/>
    <w:rsid w:val="00576FB4"/>
    <w:rsid w:val="0057783D"/>
    <w:rsid w:val="00577EF9"/>
    <w:rsid w:val="00581664"/>
    <w:rsid w:val="005821CF"/>
    <w:rsid w:val="00583918"/>
    <w:rsid w:val="00585238"/>
    <w:rsid w:val="005855FC"/>
    <w:rsid w:val="00585CC9"/>
    <w:rsid w:val="005862DC"/>
    <w:rsid w:val="00586EB9"/>
    <w:rsid w:val="005875C7"/>
    <w:rsid w:val="00590DDB"/>
    <w:rsid w:val="00590FEF"/>
    <w:rsid w:val="00591B7E"/>
    <w:rsid w:val="00592321"/>
    <w:rsid w:val="005933B2"/>
    <w:rsid w:val="00593B87"/>
    <w:rsid w:val="00594EA3"/>
    <w:rsid w:val="005964AB"/>
    <w:rsid w:val="00596504"/>
    <w:rsid w:val="005A2BEB"/>
    <w:rsid w:val="005A3485"/>
    <w:rsid w:val="005A56E7"/>
    <w:rsid w:val="005A5E0C"/>
    <w:rsid w:val="005A6739"/>
    <w:rsid w:val="005A7433"/>
    <w:rsid w:val="005A772C"/>
    <w:rsid w:val="005B0278"/>
    <w:rsid w:val="005B037E"/>
    <w:rsid w:val="005B0466"/>
    <w:rsid w:val="005B122D"/>
    <w:rsid w:val="005B1B86"/>
    <w:rsid w:val="005B25C3"/>
    <w:rsid w:val="005B2DD6"/>
    <w:rsid w:val="005B329E"/>
    <w:rsid w:val="005B41B7"/>
    <w:rsid w:val="005B44F5"/>
    <w:rsid w:val="005B6D88"/>
    <w:rsid w:val="005B718F"/>
    <w:rsid w:val="005B798C"/>
    <w:rsid w:val="005C099A"/>
    <w:rsid w:val="005C116F"/>
    <w:rsid w:val="005C13B5"/>
    <w:rsid w:val="005C26D1"/>
    <w:rsid w:val="005C3173"/>
    <w:rsid w:val="005C31A5"/>
    <w:rsid w:val="005C3248"/>
    <w:rsid w:val="005C350E"/>
    <w:rsid w:val="005C3F17"/>
    <w:rsid w:val="005C4740"/>
    <w:rsid w:val="005C5B93"/>
    <w:rsid w:val="005C5CC3"/>
    <w:rsid w:val="005D0BEA"/>
    <w:rsid w:val="005D29AC"/>
    <w:rsid w:val="005D4916"/>
    <w:rsid w:val="005D4F88"/>
    <w:rsid w:val="005D557A"/>
    <w:rsid w:val="005D7D1F"/>
    <w:rsid w:val="005E0641"/>
    <w:rsid w:val="005E0D2B"/>
    <w:rsid w:val="005E10C9"/>
    <w:rsid w:val="005E44A2"/>
    <w:rsid w:val="005E4D37"/>
    <w:rsid w:val="005E61DD"/>
    <w:rsid w:val="005E6321"/>
    <w:rsid w:val="005F151C"/>
    <w:rsid w:val="005F290A"/>
    <w:rsid w:val="005F2E29"/>
    <w:rsid w:val="005F4465"/>
    <w:rsid w:val="005F5413"/>
    <w:rsid w:val="005F7530"/>
    <w:rsid w:val="00600B9C"/>
    <w:rsid w:val="00601BB3"/>
    <w:rsid w:val="00601C21"/>
    <w:rsid w:val="006023DF"/>
    <w:rsid w:val="00604723"/>
    <w:rsid w:val="0060693B"/>
    <w:rsid w:val="00607D9D"/>
    <w:rsid w:val="00610750"/>
    <w:rsid w:val="00610811"/>
    <w:rsid w:val="006117C6"/>
    <w:rsid w:val="00611CD2"/>
    <w:rsid w:val="0061226A"/>
    <w:rsid w:val="00613295"/>
    <w:rsid w:val="00615AB9"/>
    <w:rsid w:val="00617602"/>
    <w:rsid w:val="00617E9E"/>
    <w:rsid w:val="00620ECD"/>
    <w:rsid w:val="00621FDD"/>
    <w:rsid w:val="00622B63"/>
    <w:rsid w:val="00624A81"/>
    <w:rsid w:val="00625EE2"/>
    <w:rsid w:val="0062697F"/>
    <w:rsid w:val="00627881"/>
    <w:rsid w:val="00631211"/>
    <w:rsid w:val="00631756"/>
    <w:rsid w:val="006317F9"/>
    <w:rsid w:val="00636181"/>
    <w:rsid w:val="00636E7C"/>
    <w:rsid w:val="00637E99"/>
    <w:rsid w:val="00640254"/>
    <w:rsid w:val="00641F12"/>
    <w:rsid w:val="006422AD"/>
    <w:rsid w:val="006428F2"/>
    <w:rsid w:val="00642FAF"/>
    <w:rsid w:val="006430DA"/>
    <w:rsid w:val="0064322F"/>
    <w:rsid w:val="00644364"/>
    <w:rsid w:val="006449A5"/>
    <w:rsid w:val="00644B74"/>
    <w:rsid w:val="00644F99"/>
    <w:rsid w:val="006459EE"/>
    <w:rsid w:val="0064605C"/>
    <w:rsid w:val="006463EE"/>
    <w:rsid w:val="0065209E"/>
    <w:rsid w:val="006521B2"/>
    <w:rsid w:val="00652610"/>
    <w:rsid w:val="00653BD2"/>
    <w:rsid w:val="00654A16"/>
    <w:rsid w:val="00657DE0"/>
    <w:rsid w:val="006608C4"/>
    <w:rsid w:val="006612C2"/>
    <w:rsid w:val="00661FB8"/>
    <w:rsid w:val="00665B75"/>
    <w:rsid w:val="00667F38"/>
    <w:rsid w:val="0067199F"/>
    <w:rsid w:val="006747D8"/>
    <w:rsid w:val="00674AEF"/>
    <w:rsid w:val="00675DB5"/>
    <w:rsid w:val="006765F1"/>
    <w:rsid w:val="00676ED7"/>
    <w:rsid w:val="00677048"/>
    <w:rsid w:val="00680225"/>
    <w:rsid w:val="0068384F"/>
    <w:rsid w:val="0068388D"/>
    <w:rsid w:val="00685313"/>
    <w:rsid w:val="00685B9F"/>
    <w:rsid w:val="00687B3A"/>
    <w:rsid w:val="00690B44"/>
    <w:rsid w:val="006912F3"/>
    <w:rsid w:val="006923F9"/>
    <w:rsid w:val="00692D5E"/>
    <w:rsid w:val="00696114"/>
    <w:rsid w:val="00696E7A"/>
    <w:rsid w:val="006A0BBE"/>
    <w:rsid w:val="006A0D14"/>
    <w:rsid w:val="006A47E5"/>
    <w:rsid w:val="006A6D2C"/>
    <w:rsid w:val="006A6E9B"/>
    <w:rsid w:val="006A747C"/>
    <w:rsid w:val="006B1038"/>
    <w:rsid w:val="006B4265"/>
    <w:rsid w:val="006B4C94"/>
    <w:rsid w:val="006B4D48"/>
    <w:rsid w:val="006B502E"/>
    <w:rsid w:val="006B5AA9"/>
    <w:rsid w:val="006B73C2"/>
    <w:rsid w:val="006B7C2A"/>
    <w:rsid w:val="006C03CD"/>
    <w:rsid w:val="006C0CBD"/>
    <w:rsid w:val="006C23DA"/>
    <w:rsid w:val="006C250D"/>
    <w:rsid w:val="006C35AB"/>
    <w:rsid w:val="006C6835"/>
    <w:rsid w:val="006C7898"/>
    <w:rsid w:val="006C7CA9"/>
    <w:rsid w:val="006D2DD5"/>
    <w:rsid w:val="006D4569"/>
    <w:rsid w:val="006D4843"/>
    <w:rsid w:val="006D5456"/>
    <w:rsid w:val="006D6130"/>
    <w:rsid w:val="006D64A3"/>
    <w:rsid w:val="006D6DDA"/>
    <w:rsid w:val="006D7887"/>
    <w:rsid w:val="006E099C"/>
    <w:rsid w:val="006E3D45"/>
    <w:rsid w:val="006E64F1"/>
    <w:rsid w:val="006E6FEF"/>
    <w:rsid w:val="006E7629"/>
    <w:rsid w:val="006F0619"/>
    <w:rsid w:val="006F0C99"/>
    <w:rsid w:val="006F1412"/>
    <w:rsid w:val="006F1889"/>
    <w:rsid w:val="006F7874"/>
    <w:rsid w:val="006F7BD3"/>
    <w:rsid w:val="007007ED"/>
    <w:rsid w:val="007026A2"/>
    <w:rsid w:val="0070311B"/>
    <w:rsid w:val="007034D9"/>
    <w:rsid w:val="00705369"/>
    <w:rsid w:val="00705932"/>
    <w:rsid w:val="00710D1B"/>
    <w:rsid w:val="007112FB"/>
    <w:rsid w:val="00712149"/>
    <w:rsid w:val="007149F9"/>
    <w:rsid w:val="0071531C"/>
    <w:rsid w:val="0071541F"/>
    <w:rsid w:val="00715518"/>
    <w:rsid w:val="007167D5"/>
    <w:rsid w:val="00720C37"/>
    <w:rsid w:val="00720DD1"/>
    <w:rsid w:val="0072526E"/>
    <w:rsid w:val="007265FE"/>
    <w:rsid w:val="007266CB"/>
    <w:rsid w:val="00730009"/>
    <w:rsid w:val="00731AF6"/>
    <w:rsid w:val="00732A6C"/>
    <w:rsid w:val="00733A30"/>
    <w:rsid w:val="007357C3"/>
    <w:rsid w:val="00736271"/>
    <w:rsid w:val="007372E2"/>
    <w:rsid w:val="007379E5"/>
    <w:rsid w:val="00743072"/>
    <w:rsid w:val="00743184"/>
    <w:rsid w:val="00744EBA"/>
    <w:rsid w:val="00745AEE"/>
    <w:rsid w:val="00747028"/>
    <w:rsid w:val="007479EA"/>
    <w:rsid w:val="00747A98"/>
    <w:rsid w:val="00750F10"/>
    <w:rsid w:val="00751F95"/>
    <w:rsid w:val="0075242F"/>
    <w:rsid w:val="00752942"/>
    <w:rsid w:val="00753B07"/>
    <w:rsid w:val="00755557"/>
    <w:rsid w:val="00756ADC"/>
    <w:rsid w:val="00761CEF"/>
    <w:rsid w:val="00763064"/>
    <w:rsid w:val="0076471A"/>
    <w:rsid w:val="00765410"/>
    <w:rsid w:val="007654FE"/>
    <w:rsid w:val="00765BA5"/>
    <w:rsid w:val="007664D4"/>
    <w:rsid w:val="00767B09"/>
    <w:rsid w:val="00770D7E"/>
    <w:rsid w:val="007734F6"/>
    <w:rsid w:val="00773732"/>
    <w:rsid w:val="007742CA"/>
    <w:rsid w:val="00774675"/>
    <w:rsid w:val="0077509B"/>
    <w:rsid w:val="00776272"/>
    <w:rsid w:val="00776A65"/>
    <w:rsid w:val="00776DB1"/>
    <w:rsid w:val="0077768B"/>
    <w:rsid w:val="0077794B"/>
    <w:rsid w:val="00777FA2"/>
    <w:rsid w:val="00784943"/>
    <w:rsid w:val="00785A03"/>
    <w:rsid w:val="00785DDE"/>
    <w:rsid w:val="00787B74"/>
    <w:rsid w:val="00792DB8"/>
    <w:rsid w:val="007934A5"/>
    <w:rsid w:val="00793BB0"/>
    <w:rsid w:val="00794ABD"/>
    <w:rsid w:val="0079580F"/>
    <w:rsid w:val="00795C00"/>
    <w:rsid w:val="0079605E"/>
    <w:rsid w:val="00797B5C"/>
    <w:rsid w:val="007A15DE"/>
    <w:rsid w:val="007A4C7D"/>
    <w:rsid w:val="007A5D30"/>
    <w:rsid w:val="007A633C"/>
    <w:rsid w:val="007A67D8"/>
    <w:rsid w:val="007A7077"/>
    <w:rsid w:val="007A781B"/>
    <w:rsid w:val="007A7FAF"/>
    <w:rsid w:val="007B12EB"/>
    <w:rsid w:val="007B1D3C"/>
    <w:rsid w:val="007B2EB6"/>
    <w:rsid w:val="007B3244"/>
    <w:rsid w:val="007B3BF6"/>
    <w:rsid w:val="007B4198"/>
    <w:rsid w:val="007B4578"/>
    <w:rsid w:val="007B4E3F"/>
    <w:rsid w:val="007B53BE"/>
    <w:rsid w:val="007C0A4D"/>
    <w:rsid w:val="007C2360"/>
    <w:rsid w:val="007C5A7B"/>
    <w:rsid w:val="007C7F78"/>
    <w:rsid w:val="007D01E0"/>
    <w:rsid w:val="007D06F0"/>
    <w:rsid w:val="007D0E22"/>
    <w:rsid w:val="007D35D0"/>
    <w:rsid w:val="007D3C25"/>
    <w:rsid w:val="007D45E3"/>
    <w:rsid w:val="007D4CEC"/>
    <w:rsid w:val="007D4FF4"/>
    <w:rsid w:val="007D5320"/>
    <w:rsid w:val="007D714B"/>
    <w:rsid w:val="007E065B"/>
    <w:rsid w:val="007E0A1D"/>
    <w:rsid w:val="007E28A9"/>
    <w:rsid w:val="007E2FDF"/>
    <w:rsid w:val="007E5EAC"/>
    <w:rsid w:val="007E713F"/>
    <w:rsid w:val="007E7819"/>
    <w:rsid w:val="007E799D"/>
    <w:rsid w:val="007F236E"/>
    <w:rsid w:val="007F2668"/>
    <w:rsid w:val="007F26E3"/>
    <w:rsid w:val="007F27C5"/>
    <w:rsid w:val="007F28F2"/>
    <w:rsid w:val="007F3331"/>
    <w:rsid w:val="007F35B2"/>
    <w:rsid w:val="007F535C"/>
    <w:rsid w:val="007F54EB"/>
    <w:rsid w:val="007F5787"/>
    <w:rsid w:val="007F67AF"/>
    <w:rsid w:val="007F735C"/>
    <w:rsid w:val="00800972"/>
    <w:rsid w:val="008026DE"/>
    <w:rsid w:val="00802880"/>
    <w:rsid w:val="00803BAC"/>
    <w:rsid w:val="00803BD4"/>
    <w:rsid w:val="00804475"/>
    <w:rsid w:val="0081159E"/>
    <w:rsid w:val="00811633"/>
    <w:rsid w:val="00811E18"/>
    <w:rsid w:val="00814C00"/>
    <w:rsid w:val="008163F0"/>
    <w:rsid w:val="00816B1F"/>
    <w:rsid w:val="00821CEF"/>
    <w:rsid w:val="00823AE9"/>
    <w:rsid w:val="00823BDC"/>
    <w:rsid w:val="008250D9"/>
    <w:rsid w:val="00832828"/>
    <w:rsid w:val="00833049"/>
    <w:rsid w:val="008334AF"/>
    <w:rsid w:val="00833697"/>
    <w:rsid w:val="00834E7D"/>
    <w:rsid w:val="0083645A"/>
    <w:rsid w:val="0083797D"/>
    <w:rsid w:val="00837AB9"/>
    <w:rsid w:val="00837BA2"/>
    <w:rsid w:val="00840B0F"/>
    <w:rsid w:val="00840D07"/>
    <w:rsid w:val="00840FD0"/>
    <w:rsid w:val="0084241C"/>
    <w:rsid w:val="008439D2"/>
    <w:rsid w:val="00844945"/>
    <w:rsid w:val="0084590A"/>
    <w:rsid w:val="00845C0D"/>
    <w:rsid w:val="00845F90"/>
    <w:rsid w:val="008529D3"/>
    <w:rsid w:val="00853794"/>
    <w:rsid w:val="00854840"/>
    <w:rsid w:val="00854B10"/>
    <w:rsid w:val="00854F23"/>
    <w:rsid w:val="0085555B"/>
    <w:rsid w:val="00855FDC"/>
    <w:rsid w:val="00856163"/>
    <w:rsid w:val="00857AC8"/>
    <w:rsid w:val="00860F8A"/>
    <w:rsid w:val="0086166B"/>
    <w:rsid w:val="0086299C"/>
    <w:rsid w:val="00863578"/>
    <w:rsid w:val="00863FC4"/>
    <w:rsid w:val="00864065"/>
    <w:rsid w:val="00864B17"/>
    <w:rsid w:val="008671A4"/>
    <w:rsid w:val="00867B8E"/>
    <w:rsid w:val="008711AE"/>
    <w:rsid w:val="00872FC8"/>
    <w:rsid w:val="00873FDA"/>
    <w:rsid w:val="00874817"/>
    <w:rsid w:val="00874E9B"/>
    <w:rsid w:val="00875034"/>
    <w:rsid w:val="00875992"/>
    <w:rsid w:val="00877397"/>
    <w:rsid w:val="00877D80"/>
    <w:rsid w:val="008801D3"/>
    <w:rsid w:val="00880325"/>
    <w:rsid w:val="008806F3"/>
    <w:rsid w:val="00881DBB"/>
    <w:rsid w:val="00882996"/>
    <w:rsid w:val="00883866"/>
    <w:rsid w:val="008845D0"/>
    <w:rsid w:val="00887B28"/>
    <w:rsid w:val="00890056"/>
    <w:rsid w:val="0089151A"/>
    <w:rsid w:val="008918D4"/>
    <w:rsid w:val="0089368F"/>
    <w:rsid w:val="00893B2C"/>
    <w:rsid w:val="00894A8E"/>
    <w:rsid w:val="00894F96"/>
    <w:rsid w:val="00895419"/>
    <w:rsid w:val="0089721E"/>
    <w:rsid w:val="00897881"/>
    <w:rsid w:val="008A0270"/>
    <w:rsid w:val="008A0BFE"/>
    <w:rsid w:val="008A166D"/>
    <w:rsid w:val="008A2753"/>
    <w:rsid w:val="008A370D"/>
    <w:rsid w:val="008A3933"/>
    <w:rsid w:val="008A3D37"/>
    <w:rsid w:val="008A59C3"/>
    <w:rsid w:val="008A7165"/>
    <w:rsid w:val="008A75AD"/>
    <w:rsid w:val="008B20A4"/>
    <w:rsid w:val="008B3713"/>
    <w:rsid w:val="008B3E22"/>
    <w:rsid w:val="008B43F2"/>
    <w:rsid w:val="008B54AB"/>
    <w:rsid w:val="008B54D9"/>
    <w:rsid w:val="008B5F35"/>
    <w:rsid w:val="008B61EA"/>
    <w:rsid w:val="008B63AA"/>
    <w:rsid w:val="008B6CFF"/>
    <w:rsid w:val="008B732D"/>
    <w:rsid w:val="008C26C3"/>
    <w:rsid w:val="008C28A0"/>
    <w:rsid w:val="008C2C7C"/>
    <w:rsid w:val="008C3502"/>
    <w:rsid w:val="008C3D02"/>
    <w:rsid w:val="008C4ADD"/>
    <w:rsid w:val="008C4D9E"/>
    <w:rsid w:val="008C5D48"/>
    <w:rsid w:val="008C696A"/>
    <w:rsid w:val="008C706F"/>
    <w:rsid w:val="008D06CB"/>
    <w:rsid w:val="008D20FD"/>
    <w:rsid w:val="008D279B"/>
    <w:rsid w:val="008D2AFE"/>
    <w:rsid w:val="008D2B46"/>
    <w:rsid w:val="008D3554"/>
    <w:rsid w:val="008D39F2"/>
    <w:rsid w:val="008D5372"/>
    <w:rsid w:val="008D678E"/>
    <w:rsid w:val="008E05B7"/>
    <w:rsid w:val="008E33DA"/>
    <w:rsid w:val="008E3A88"/>
    <w:rsid w:val="008E4743"/>
    <w:rsid w:val="008E6B36"/>
    <w:rsid w:val="008E7478"/>
    <w:rsid w:val="008E7DF8"/>
    <w:rsid w:val="008F04EE"/>
    <w:rsid w:val="008F1799"/>
    <w:rsid w:val="008F238A"/>
    <w:rsid w:val="008F2A23"/>
    <w:rsid w:val="008F3023"/>
    <w:rsid w:val="008F3284"/>
    <w:rsid w:val="008F36FB"/>
    <w:rsid w:val="008F53A5"/>
    <w:rsid w:val="008F54C0"/>
    <w:rsid w:val="008F7A7B"/>
    <w:rsid w:val="009006A0"/>
    <w:rsid w:val="00900E22"/>
    <w:rsid w:val="009023DF"/>
    <w:rsid w:val="0090293E"/>
    <w:rsid w:val="00902A3F"/>
    <w:rsid w:val="00903673"/>
    <w:rsid w:val="009050F2"/>
    <w:rsid w:val="0091016B"/>
    <w:rsid w:val="009103A6"/>
    <w:rsid w:val="00910408"/>
    <w:rsid w:val="00910B26"/>
    <w:rsid w:val="00912004"/>
    <w:rsid w:val="00915EEC"/>
    <w:rsid w:val="009238B9"/>
    <w:rsid w:val="0092455C"/>
    <w:rsid w:val="009263E0"/>
    <w:rsid w:val="00926C6F"/>
    <w:rsid w:val="00926D9C"/>
    <w:rsid w:val="009274B4"/>
    <w:rsid w:val="009332BF"/>
    <w:rsid w:val="00934743"/>
    <w:rsid w:val="00934EA2"/>
    <w:rsid w:val="00935123"/>
    <w:rsid w:val="009358F1"/>
    <w:rsid w:val="009373C9"/>
    <w:rsid w:val="009403AF"/>
    <w:rsid w:val="00941B98"/>
    <w:rsid w:val="00941F43"/>
    <w:rsid w:val="00942B4C"/>
    <w:rsid w:val="00942FC1"/>
    <w:rsid w:val="00943485"/>
    <w:rsid w:val="00943545"/>
    <w:rsid w:val="00944A5C"/>
    <w:rsid w:val="00944A99"/>
    <w:rsid w:val="00951816"/>
    <w:rsid w:val="00952A66"/>
    <w:rsid w:val="00953C32"/>
    <w:rsid w:val="0095479A"/>
    <w:rsid w:val="00955EDC"/>
    <w:rsid w:val="00956978"/>
    <w:rsid w:val="00962201"/>
    <w:rsid w:val="00963A7C"/>
    <w:rsid w:val="00964C68"/>
    <w:rsid w:val="00967075"/>
    <w:rsid w:val="00967081"/>
    <w:rsid w:val="00971200"/>
    <w:rsid w:val="009716D1"/>
    <w:rsid w:val="009737F9"/>
    <w:rsid w:val="0097485E"/>
    <w:rsid w:val="00974E60"/>
    <w:rsid w:val="00975082"/>
    <w:rsid w:val="0097700A"/>
    <w:rsid w:val="00980AD1"/>
    <w:rsid w:val="00980AD6"/>
    <w:rsid w:val="00980F9A"/>
    <w:rsid w:val="009817D1"/>
    <w:rsid w:val="009828A4"/>
    <w:rsid w:val="00985001"/>
    <w:rsid w:val="00986EBB"/>
    <w:rsid w:val="009907F3"/>
    <w:rsid w:val="00990A55"/>
    <w:rsid w:val="00992F9A"/>
    <w:rsid w:val="009944BE"/>
    <w:rsid w:val="00994C0B"/>
    <w:rsid w:val="00996913"/>
    <w:rsid w:val="00996ACA"/>
    <w:rsid w:val="00997678"/>
    <w:rsid w:val="009A04EC"/>
    <w:rsid w:val="009A08DF"/>
    <w:rsid w:val="009A234F"/>
    <w:rsid w:val="009A291A"/>
    <w:rsid w:val="009A448B"/>
    <w:rsid w:val="009A496D"/>
    <w:rsid w:val="009A6711"/>
    <w:rsid w:val="009A74E4"/>
    <w:rsid w:val="009B0708"/>
    <w:rsid w:val="009B0EE6"/>
    <w:rsid w:val="009B28F2"/>
    <w:rsid w:val="009B5126"/>
    <w:rsid w:val="009B71C3"/>
    <w:rsid w:val="009B75FF"/>
    <w:rsid w:val="009C1200"/>
    <w:rsid w:val="009C1CE5"/>
    <w:rsid w:val="009C2CB0"/>
    <w:rsid w:val="009C39A2"/>
    <w:rsid w:val="009C4D44"/>
    <w:rsid w:val="009C4D88"/>
    <w:rsid w:val="009C4EF1"/>
    <w:rsid w:val="009C56E5"/>
    <w:rsid w:val="009C60B3"/>
    <w:rsid w:val="009C699D"/>
    <w:rsid w:val="009C6F7B"/>
    <w:rsid w:val="009C7144"/>
    <w:rsid w:val="009D3343"/>
    <w:rsid w:val="009D3429"/>
    <w:rsid w:val="009E1438"/>
    <w:rsid w:val="009E3E98"/>
    <w:rsid w:val="009E3F7C"/>
    <w:rsid w:val="009E55AA"/>
    <w:rsid w:val="009E5FC8"/>
    <w:rsid w:val="009E687A"/>
    <w:rsid w:val="009E7257"/>
    <w:rsid w:val="009E7291"/>
    <w:rsid w:val="009E72E7"/>
    <w:rsid w:val="009E7B34"/>
    <w:rsid w:val="009F1542"/>
    <w:rsid w:val="009F32C8"/>
    <w:rsid w:val="009F459D"/>
    <w:rsid w:val="009F519E"/>
    <w:rsid w:val="009F5A46"/>
    <w:rsid w:val="00A00AC6"/>
    <w:rsid w:val="00A02E5B"/>
    <w:rsid w:val="00A03386"/>
    <w:rsid w:val="00A03878"/>
    <w:rsid w:val="00A03C5C"/>
    <w:rsid w:val="00A04417"/>
    <w:rsid w:val="00A04C6E"/>
    <w:rsid w:val="00A04FB0"/>
    <w:rsid w:val="00A05A79"/>
    <w:rsid w:val="00A05F85"/>
    <w:rsid w:val="00A065DF"/>
    <w:rsid w:val="00A066F1"/>
    <w:rsid w:val="00A107F4"/>
    <w:rsid w:val="00A1280A"/>
    <w:rsid w:val="00A1347B"/>
    <w:rsid w:val="00A141AF"/>
    <w:rsid w:val="00A14741"/>
    <w:rsid w:val="00A15958"/>
    <w:rsid w:val="00A16D29"/>
    <w:rsid w:val="00A1757C"/>
    <w:rsid w:val="00A1778F"/>
    <w:rsid w:val="00A200CF"/>
    <w:rsid w:val="00A20E5E"/>
    <w:rsid w:val="00A2101B"/>
    <w:rsid w:val="00A21E18"/>
    <w:rsid w:val="00A235FD"/>
    <w:rsid w:val="00A2413A"/>
    <w:rsid w:val="00A2618D"/>
    <w:rsid w:val="00A2673C"/>
    <w:rsid w:val="00A27146"/>
    <w:rsid w:val="00A278B7"/>
    <w:rsid w:val="00A30305"/>
    <w:rsid w:val="00A30856"/>
    <w:rsid w:val="00A31315"/>
    <w:rsid w:val="00A31D2D"/>
    <w:rsid w:val="00A32267"/>
    <w:rsid w:val="00A32291"/>
    <w:rsid w:val="00A33D45"/>
    <w:rsid w:val="00A34772"/>
    <w:rsid w:val="00A356C0"/>
    <w:rsid w:val="00A35D6D"/>
    <w:rsid w:val="00A35EF3"/>
    <w:rsid w:val="00A378E0"/>
    <w:rsid w:val="00A4049B"/>
    <w:rsid w:val="00A43642"/>
    <w:rsid w:val="00A44D51"/>
    <w:rsid w:val="00A4600A"/>
    <w:rsid w:val="00A47007"/>
    <w:rsid w:val="00A4735C"/>
    <w:rsid w:val="00A50CA8"/>
    <w:rsid w:val="00A524E6"/>
    <w:rsid w:val="00A538A6"/>
    <w:rsid w:val="00A53F56"/>
    <w:rsid w:val="00A5405B"/>
    <w:rsid w:val="00A54C25"/>
    <w:rsid w:val="00A55CBB"/>
    <w:rsid w:val="00A56100"/>
    <w:rsid w:val="00A56C71"/>
    <w:rsid w:val="00A612BB"/>
    <w:rsid w:val="00A62F73"/>
    <w:rsid w:val="00A6388D"/>
    <w:rsid w:val="00A64617"/>
    <w:rsid w:val="00A65953"/>
    <w:rsid w:val="00A659C5"/>
    <w:rsid w:val="00A66FB8"/>
    <w:rsid w:val="00A67FB8"/>
    <w:rsid w:val="00A7027A"/>
    <w:rsid w:val="00A70EB3"/>
    <w:rsid w:val="00A710E7"/>
    <w:rsid w:val="00A7140C"/>
    <w:rsid w:val="00A7372E"/>
    <w:rsid w:val="00A74272"/>
    <w:rsid w:val="00A74739"/>
    <w:rsid w:val="00A76238"/>
    <w:rsid w:val="00A76372"/>
    <w:rsid w:val="00A76BD5"/>
    <w:rsid w:val="00A76DD0"/>
    <w:rsid w:val="00A80D65"/>
    <w:rsid w:val="00A81102"/>
    <w:rsid w:val="00A812A6"/>
    <w:rsid w:val="00A81F59"/>
    <w:rsid w:val="00A83162"/>
    <w:rsid w:val="00A8341C"/>
    <w:rsid w:val="00A83AA7"/>
    <w:rsid w:val="00A83E00"/>
    <w:rsid w:val="00A853F5"/>
    <w:rsid w:val="00A870F8"/>
    <w:rsid w:val="00A87A07"/>
    <w:rsid w:val="00A905C6"/>
    <w:rsid w:val="00A90CF1"/>
    <w:rsid w:val="00A90D35"/>
    <w:rsid w:val="00A90E78"/>
    <w:rsid w:val="00A930EE"/>
    <w:rsid w:val="00A9323C"/>
    <w:rsid w:val="00A93364"/>
    <w:rsid w:val="00A93A45"/>
    <w:rsid w:val="00A93B85"/>
    <w:rsid w:val="00A965B6"/>
    <w:rsid w:val="00A96F7D"/>
    <w:rsid w:val="00AA0550"/>
    <w:rsid w:val="00AA05FD"/>
    <w:rsid w:val="00AA0B18"/>
    <w:rsid w:val="00AA4774"/>
    <w:rsid w:val="00AA4C78"/>
    <w:rsid w:val="00AA666F"/>
    <w:rsid w:val="00AA75EB"/>
    <w:rsid w:val="00AA7A11"/>
    <w:rsid w:val="00AA7FE0"/>
    <w:rsid w:val="00AB15BE"/>
    <w:rsid w:val="00AB3842"/>
    <w:rsid w:val="00AB4006"/>
    <w:rsid w:val="00AB4927"/>
    <w:rsid w:val="00AB4EF9"/>
    <w:rsid w:val="00AB4F6D"/>
    <w:rsid w:val="00AB6B5C"/>
    <w:rsid w:val="00AB73BF"/>
    <w:rsid w:val="00AB7D34"/>
    <w:rsid w:val="00AC007A"/>
    <w:rsid w:val="00AC034F"/>
    <w:rsid w:val="00AC04A8"/>
    <w:rsid w:val="00AC1A8E"/>
    <w:rsid w:val="00AC1AAB"/>
    <w:rsid w:val="00AC2950"/>
    <w:rsid w:val="00AC30E0"/>
    <w:rsid w:val="00AC4C17"/>
    <w:rsid w:val="00AC4C6B"/>
    <w:rsid w:val="00AC4DB5"/>
    <w:rsid w:val="00AC62B6"/>
    <w:rsid w:val="00AC6714"/>
    <w:rsid w:val="00AC7E9A"/>
    <w:rsid w:val="00AD0AEB"/>
    <w:rsid w:val="00AD135B"/>
    <w:rsid w:val="00AD2D22"/>
    <w:rsid w:val="00AD4C39"/>
    <w:rsid w:val="00AD4C7B"/>
    <w:rsid w:val="00AD7775"/>
    <w:rsid w:val="00AE0D58"/>
    <w:rsid w:val="00AE1B2E"/>
    <w:rsid w:val="00AE53E2"/>
    <w:rsid w:val="00AE6F34"/>
    <w:rsid w:val="00AF17A2"/>
    <w:rsid w:val="00AF19B8"/>
    <w:rsid w:val="00AF2081"/>
    <w:rsid w:val="00AF2664"/>
    <w:rsid w:val="00AF2FE4"/>
    <w:rsid w:val="00AF4BE8"/>
    <w:rsid w:val="00AF57EF"/>
    <w:rsid w:val="00AF6C5C"/>
    <w:rsid w:val="00B000F7"/>
    <w:rsid w:val="00B004E5"/>
    <w:rsid w:val="00B00FC7"/>
    <w:rsid w:val="00B0140A"/>
    <w:rsid w:val="00B053F3"/>
    <w:rsid w:val="00B05439"/>
    <w:rsid w:val="00B10240"/>
    <w:rsid w:val="00B10A09"/>
    <w:rsid w:val="00B11533"/>
    <w:rsid w:val="00B124E4"/>
    <w:rsid w:val="00B124F9"/>
    <w:rsid w:val="00B13FFC"/>
    <w:rsid w:val="00B15F9D"/>
    <w:rsid w:val="00B16267"/>
    <w:rsid w:val="00B1674D"/>
    <w:rsid w:val="00B17325"/>
    <w:rsid w:val="00B17BDC"/>
    <w:rsid w:val="00B20035"/>
    <w:rsid w:val="00B20480"/>
    <w:rsid w:val="00B20F6D"/>
    <w:rsid w:val="00B21BEA"/>
    <w:rsid w:val="00B2212C"/>
    <w:rsid w:val="00B22FF9"/>
    <w:rsid w:val="00B232A2"/>
    <w:rsid w:val="00B23AD6"/>
    <w:rsid w:val="00B247C3"/>
    <w:rsid w:val="00B27180"/>
    <w:rsid w:val="00B279B6"/>
    <w:rsid w:val="00B27EA8"/>
    <w:rsid w:val="00B3083D"/>
    <w:rsid w:val="00B30ECC"/>
    <w:rsid w:val="00B30ECE"/>
    <w:rsid w:val="00B31509"/>
    <w:rsid w:val="00B35A1C"/>
    <w:rsid w:val="00B35BC5"/>
    <w:rsid w:val="00B36A3C"/>
    <w:rsid w:val="00B37A8C"/>
    <w:rsid w:val="00B4012B"/>
    <w:rsid w:val="00B41367"/>
    <w:rsid w:val="00B41C9E"/>
    <w:rsid w:val="00B423AE"/>
    <w:rsid w:val="00B43D73"/>
    <w:rsid w:val="00B44083"/>
    <w:rsid w:val="00B441B1"/>
    <w:rsid w:val="00B442A7"/>
    <w:rsid w:val="00B45C98"/>
    <w:rsid w:val="00B470BD"/>
    <w:rsid w:val="00B50520"/>
    <w:rsid w:val="00B50CCF"/>
    <w:rsid w:val="00B547D1"/>
    <w:rsid w:val="00B5544A"/>
    <w:rsid w:val="00B6032D"/>
    <w:rsid w:val="00B639E9"/>
    <w:rsid w:val="00B6598C"/>
    <w:rsid w:val="00B66F17"/>
    <w:rsid w:val="00B67B44"/>
    <w:rsid w:val="00B7140F"/>
    <w:rsid w:val="00B71863"/>
    <w:rsid w:val="00B71B7F"/>
    <w:rsid w:val="00B71DAC"/>
    <w:rsid w:val="00B7233E"/>
    <w:rsid w:val="00B7345F"/>
    <w:rsid w:val="00B76EA0"/>
    <w:rsid w:val="00B771A5"/>
    <w:rsid w:val="00B800BB"/>
    <w:rsid w:val="00B800E8"/>
    <w:rsid w:val="00B817CD"/>
    <w:rsid w:val="00B81D00"/>
    <w:rsid w:val="00B825BC"/>
    <w:rsid w:val="00B830CC"/>
    <w:rsid w:val="00B850F8"/>
    <w:rsid w:val="00B854B2"/>
    <w:rsid w:val="00B86916"/>
    <w:rsid w:val="00B87DA1"/>
    <w:rsid w:val="00B9105F"/>
    <w:rsid w:val="00B911B2"/>
    <w:rsid w:val="00B9131B"/>
    <w:rsid w:val="00B917E9"/>
    <w:rsid w:val="00B92195"/>
    <w:rsid w:val="00B922FA"/>
    <w:rsid w:val="00B92520"/>
    <w:rsid w:val="00B94ED9"/>
    <w:rsid w:val="00B951D0"/>
    <w:rsid w:val="00B95DA2"/>
    <w:rsid w:val="00B96944"/>
    <w:rsid w:val="00B97BE8"/>
    <w:rsid w:val="00B97C6E"/>
    <w:rsid w:val="00BA1C4F"/>
    <w:rsid w:val="00BA1DB3"/>
    <w:rsid w:val="00BA231A"/>
    <w:rsid w:val="00BA2D00"/>
    <w:rsid w:val="00BA2FE8"/>
    <w:rsid w:val="00BA45B4"/>
    <w:rsid w:val="00BA46DD"/>
    <w:rsid w:val="00BA650B"/>
    <w:rsid w:val="00BB0703"/>
    <w:rsid w:val="00BB0CD0"/>
    <w:rsid w:val="00BB0DE8"/>
    <w:rsid w:val="00BB1F20"/>
    <w:rsid w:val="00BB1F53"/>
    <w:rsid w:val="00BB29C8"/>
    <w:rsid w:val="00BB3A95"/>
    <w:rsid w:val="00BB42AD"/>
    <w:rsid w:val="00BB4491"/>
    <w:rsid w:val="00BB5234"/>
    <w:rsid w:val="00BB53C6"/>
    <w:rsid w:val="00BB66DD"/>
    <w:rsid w:val="00BB6ADE"/>
    <w:rsid w:val="00BB6DD0"/>
    <w:rsid w:val="00BC00FB"/>
    <w:rsid w:val="00BC0382"/>
    <w:rsid w:val="00BC1DBF"/>
    <w:rsid w:val="00BC31AC"/>
    <w:rsid w:val="00BC401E"/>
    <w:rsid w:val="00BC6488"/>
    <w:rsid w:val="00BC71BE"/>
    <w:rsid w:val="00BC7315"/>
    <w:rsid w:val="00BD11D6"/>
    <w:rsid w:val="00BD158B"/>
    <w:rsid w:val="00BD239D"/>
    <w:rsid w:val="00BD31E7"/>
    <w:rsid w:val="00BD49BF"/>
    <w:rsid w:val="00BD50BD"/>
    <w:rsid w:val="00BD618D"/>
    <w:rsid w:val="00BD62C6"/>
    <w:rsid w:val="00BE0641"/>
    <w:rsid w:val="00BE0D26"/>
    <w:rsid w:val="00BE34A3"/>
    <w:rsid w:val="00BE51CE"/>
    <w:rsid w:val="00BE61CA"/>
    <w:rsid w:val="00BE7042"/>
    <w:rsid w:val="00BE7870"/>
    <w:rsid w:val="00BF095D"/>
    <w:rsid w:val="00BF3618"/>
    <w:rsid w:val="00BF4F16"/>
    <w:rsid w:val="00BF65C9"/>
    <w:rsid w:val="00BF6E53"/>
    <w:rsid w:val="00C0018F"/>
    <w:rsid w:val="00C02828"/>
    <w:rsid w:val="00C03779"/>
    <w:rsid w:val="00C04123"/>
    <w:rsid w:val="00C04E48"/>
    <w:rsid w:val="00C05634"/>
    <w:rsid w:val="00C06829"/>
    <w:rsid w:val="00C07B4E"/>
    <w:rsid w:val="00C10097"/>
    <w:rsid w:val="00C10393"/>
    <w:rsid w:val="00C1244B"/>
    <w:rsid w:val="00C13C55"/>
    <w:rsid w:val="00C14872"/>
    <w:rsid w:val="00C14874"/>
    <w:rsid w:val="00C14BCA"/>
    <w:rsid w:val="00C166D0"/>
    <w:rsid w:val="00C16D39"/>
    <w:rsid w:val="00C20466"/>
    <w:rsid w:val="00C20A2D"/>
    <w:rsid w:val="00C214ED"/>
    <w:rsid w:val="00C227EF"/>
    <w:rsid w:val="00C234E6"/>
    <w:rsid w:val="00C246DC"/>
    <w:rsid w:val="00C24E20"/>
    <w:rsid w:val="00C25E64"/>
    <w:rsid w:val="00C25F9D"/>
    <w:rsid w:val="00C27C6A"/>
    <w:rsid w:val="00C3078A"/>
    <w:rsid w:val="00C324A8"/>
    <w:rsid w:val="00C34589"/>
    <w:rsid w:val="00C349B4"/>
    <w:rsid w:val="00C35C13"/>
    <w:rsid w:val="00C36662"/>
    <w:rsid w:val="00C37120"/>
    <w:rsid w:val="00C3772E"/>
    <w:rsid w:val="00C40981"/>
    <w:rsid w:val="00C40DF2"/>
    <w:rsid w:val="00C42C35"/>
    <w:rsid w:val="00C46252"/>
    <w:rsid w:val="00C52A15"/>
    <w:rsid w:val="00C54517"/>
    <w:rsid w:val="00C55CE4"/>
    <w:rsid w:val="00C55D5B"/>
    <w:rsid w:val="00C55DBA"/>
    <w:rsid w:val="00C56D5D"/>
    <w:rsid w:val="00C56E3C"/>
    <w:rsid w:val="00C606BC"/>
    <w:rsid w:val="00C60AEF"/>
    <w:rsid w:val="00C6240E"/>
    <w:rsid w:val="00C631DB"/>
    <w:rsid w:val="00C634DC"/>
    <w:rsid w:val="00C6439C"/>
    <w:rsid w:val="00C64CD8"/>
    <w:rsid w:val="00C65E53"/>
    <w:rsid w:val="00C720B0"/>
    <w:rsid w:val="00C73347"/>
    <w:rsid w:val="00C75194"/>
    <w:rsid w:val="00C75A80"/>
    <w:rsid w:val="00C75E0E"/>
    <w:rsid w:val="00C75FF8"/>
    <w:rsid w:val="00C76A69"/>
    <w:rsid w:val="00C76A6C"/>
    <w:rsid w:val="00C77589"/>
    <w:rsid w:val="00C8033A"/>
    <w:rsid w:val="00C80652"/>
    <w:rsid w:val="00C80A64"/>
    <w:rsid w:val="00C8139C"/>
    <w:rsid w:val="00C81746"/>
    <w:rsid w:val="00C858CE"/>
    <w:rsid w:val="00C8594B"/>
    <w:rsid w:val="00C866B7"/>
    <w:rsid w:val="00C87447"/>
    <w:rsid w:val="00C9039B"/>
    <w:rsid w:val="00C90579"/>
    <w:rsid w:val="00C94524"/>
    <w:rsid w:val="00C953CB"/>
    <w:rsid w:val="00C976EE"/>
    <w:rsid w:val="00C97C68"/>
    <w:rsid w:val="00CA18A2"/>
    <w:rsid w:val="00CA1A47"/>
    <w:rsid w:val="00CA2929"/>
    <w:rsid w:val="00CA36C5"/>
    <w:rsid w:val="00CA48CF"/>
    <w:rsid w:val="00CA6187"/>
    <w:rsid w:val="00CB00EC"/>
    <w:rsid w:val="00CB0FF2"/>
    <w:rsid w:val="00CB137E"/>
    <w:rsid w:val="00CB1404"/>
    <w:rsid w:val="00CB1D84"/>
    <w:rsid w:val="00CB3537"/>
    <w:rsid w:val="00CB40E5"/>
    <w:rsid w:val="00CB615D"/>
    <w:rsid w:val="00CB6664"/>
    <w:rsid w:val="00CC247A"/>
    <w:rsid w:val="00CC358D"/>
    <w:rsid w:val="00CC3F0B"/>
    <w:rsid w:val="00CC41F6"/>
    <w:rsid w:val="00CC42FB"/>
    <w:rsid w:val="00CC4AC5"/>
    <w:rsid w:val="00CC6834"/>
    <w:rsid w:val="00CC74C9"/>
    <w:rsid w:val="00CC7B94"/>
    <w:rsid w:val="00CD0CBD"/>
    <w:rsid w:val="00CD16C9"/>
    <w:rsid w:val="00CD2733"/>
    <w:rsid w:val="00CD2A68"/>
    <w:rsid w:val="00CD2BC1"/>
    <w:rsid w:val="00CD3139"/>
    <w:rsid w:val="00CD4117"/>
    <w:rsid w:val="00CD7BC2"/>
    <w:rsid w:val="00CD7EC4"/>
    <w:rsid w:val="00CE4502"/>
    <w:rsid w:val="00CE45D6"/>
    <w:rsid w:val="00CE4CEE"/>
    <w:rsid w:val="00CE5ACA"/>
    <w:rsid w:val="00CE5E47"/>
    <w:rsid w:val="00CE69C8"/>
    <w:rsid w:val="00CE6A45"/>
    <w:rsid w:val="00CE6B12"/>
    <w:rsid w:val="00CE6C8F"/>
    <w:rsid w:val="00CE6F1F"/>
    <w:rsid w:val="00CE7A25"/>
    <w:rsid w:val="00CF020F"/>
    <w:rsid w:val="00CF2038"/>
    <w:rsid w:val="00CF22FC"/>
    <w:rsid w:val="00CF2374"/>
    <w:rsid w:val="00CF269A"/>
    <w:rsid w:val="00CF2A29"/>
    <w:rsid w:val="00CF2B5B"/>
    <w:rsid w:val="00CF33C0"/>
    <w:rsid w:val="00CF4A84"/>
    <w:rsid w:val="00CF5997"/>
    <w:rsid w:val="00D007A5"/>
    <w:rsid w:val="00D00E2A"/>
    <w:rsid w:val="00D05A44"/>
    <w:rsid w:val="00D06B61"/>
    <w:rsid w:val="00D06C90"/>
    <w:rsid w:val="00D0723D"/>
    <w:rsid w:val="00D10839"/>
    <w:rsid w:val="00D10D23"/>
    <w:rsid w:val="00D10DE1"/>
    <w:rsid w:val="00D11DC0"/>
    <w:rsid w:val="00D1266B"/>
    <w:rsid w:val="00D12A27"/>
    <w:rsid w:val="00D12ED0"/>
    <w:rsid w:val="00D14CE0"/>
    <w:rsid w:val="00D16AAB"/>
    <w:rsid w:val="00D217E0"/>
    <w:rsid w:val="00D21D87"/>
    <w:rsid w:val="00D22341"/>
    <w:rsid w:val="00D233CB"/>
    <w:rsid w:val="00D25FC3"/>
    <w:rsid w:val="00D26046"/>
    <w:rsid w:val="00D26DDA"/>
    <w:rsid w:val="00D27B31"/>
    <w:rsid w:val="00D27D0F"/>
    <w:rsid w:val="00D304B2"/>
    <w:rsid w:val="00D32BD7"/>
    <w:rsid w:val="00D3318C"/>
    <w:rsid w:val="00D33CD3"/>
    <w:rsid w:val="00D33DC1"/>
    <w:rsid w:val="00D342C4"/>
    <w:rsid w:val="00D35350"/>
    <w:rsid w:val="00D36333"/>
    <w:rsid w:val="00D40E92"/>
    <w:rsid w:val="00D42CDE"/>
    <w:rsid w:val="00D42FEE"/>
    <w:rsid w:val="00D44DE2"/>
    <w:rsid w:val="00D45A9C"/>
    <w:rsid w:val="00D45B0F"/>
    <w:rsid w:val="00D47013"/>
    <w:rsid w:val="00D52A10"/>
    <w:rsid w:val="00D53EAE"/>
    <w:rsid w:val="00D541E4"/>
    <w:rsid w:val="00D55B43"/>
    <w:rsid w:val="00D5651D"/>
    <w:rsid w:val="00D56836"/>
    <w:rsid w:val="00D60335"/>
    <w:rsid w:val="00D61378"/>
    <w:rsid w:val="00D62D8E"/>
    <w:rsid w:val="00D630E7"/>
    <w:rsid w:val="00D630FE"/>
    <w:rsid w:val="00D634E2"/>
    <w:rsid w:val="00D671CE"/>
    <w:rsid w:val="00D67A2E"/>
    <w:rsid w:val="00D71278"/>
    <w:rsid w:val="00D724BE"/>
    <w:rsid w:val="00D73CFE"/>
    <w:rsid w:val="00D73F34"/>
    <w:rsid w:val="00D741C8"/>
    <w:rsid w:val="00D74898"/>
    <w:rsid w:val="00D75941"/>
    <w:rsid w:val="00D75EB3"/>
    <w:rsid w:val="00D7609A"/>
    <w:rsid w:val="00D7786E"/>
    <w:rsid w:val="00D801ED"/>
    <w:rsid w:val="00D80938"/>
    <w:rsid w:val="00D8095D"/>
    <w:rsid w:val="00D817A7"/>
    <w:rsid w:val="00D83BF5"/>
    <w:rsid w:val="00D8609B"/>
    <w:rsid w:val="00D864B0"/>
    <w:rsid w:val="00D86F55"/>
    <w:rsid w:val="00D87035"/>
    <w:rsid w:val="00D87E9C"/>
    <w:rsid w:val="00D91F0E"/>
    <w:rsid w:val="00D91F53"/>
    <w:rsid w:val="00D925C2"/>
    <w:rsid w:val="00D936BC"/>
    <w:rsid w:val="00D93863"/>
    <w:rsid w:val="00D95534"/>
    <w:rsid w:val="00D9621A"/>
    <w:rsid w:val="00D96530"/>
    <w:rsid w:val="00D96B4B"/>
    <w:rsid w:val="00D9767E"/>
    <w:rsid w:val="00DA020F"/>
    <w:rsid w:val="00DA2345"/>
    <w:rsid w:val="00DA273A"/>
    <w:rsid w:val="00DA296D"/>
    <w:rsid w:val="00DA3AC1"/>
    <w:rsid w:val="00DA3AC4"/>
    <w:rsid w:val="00DA453A"/>
    <w:rsid w:val="00DA561A"/>
    <w:rsid w:val="00DA5678"/>
    <w:rsid w:val="00DA5C6F"/>
    <w:rsid w:val="00DA6B46"/>
    <w:rsid w:val="00DA7078"/>
    <w:rsid w:val="00DB1086"/>
    <w:rsid w:val="00DB2FB8"/>
    <w:rsid w:val="00DB4598"/>
    <w:rsid w:val="00DB4E0A"/>
    <w:rsid w:val="00DB71F7"/>
    <w:rsid w:val="00DB750F"/>
    <w:rsid w:val="00DC19DC"/>
    <w:rsid w:val="00DC2A65"/>
    <w:rsid w:val="00DC3758"/>
    <w:rsid w:val="00DC3FC1"/>
    <w:rsid w:val="00DC457B"/>
    <w:rsid w:val="00DC48B9"/>
    <w:rsid w:val="00DC574F"/>
    <w:rsid w:val="00DC6EEA"/>
    <w:rsid w:val="00DC7C93"/>
    <w:rsid w:val="00DD08B4"/>
    <w:rsid w:val="00DD0C6C"/>
    <w:rsid w:val="00DD10B7"/>
    <w:rsid w:val="00DD2268"/>
    <w:rsid w:val="00DD4070"/>
    <w:rsid w:val="00DD44AF"/>
    <w:rsid w:val="00DD55FE"/>
    <w:rsid w:val="00DD603D"/>
    <w:rsid w:val="00DD6283"/>
    <w:rsid w:val="00DD71EA"/>
    <w:rsid w:val="00DE2A39"/>
    <w:rsid w:val="00DE2AC3"/>
    <w:rsid w:val="00DE434C"/>
    <w:rsid w:val="00DE5692"/>
    <w:rsid w:val="00DE5E67"/>
    <w:rsid w:val="00DE6C1B"/>
    <w:rsid w:val="00DE7021"/>
    <w:rsid w:val="00DE75B4"/>
    <w:rsid w:val="00DE7766"/>
    <w:rsid w:val="00DE7918"/>
    <w:rsid w:val="00DE79F1"/>
    <w:rsid w:val="00DE7E0C"/>
    <w:rsid w:val="00DF02A0"/>
    <w:rsid w:val="00DF1BA6"/>
    <w:rsid w:val="00DF1E46"/>
    <w:rsid w:val="00DF21DF"/>
    <w:rsid w:val="00DF2D60"/>
    <w:rsid w:val="00DF393D"/>
    <w:rsid w:val="00DF503B"/>
    <w:rsid w:val="00DF6F8E"/>
    <w:rsid w:val="00E017A1"/>
    <w:rsid w:val="00E02014"/>
    <w:rsid w:val="00E03C94"/>
    <w:rsid w:val="00E03CF8"/>
    <w:rsid w:val="00E03E4E"/>
    <w:rsid w:val="00E05074"/>
    <w:rsid w:val="00E05ED3"/>
    <w:rsid w:val="00E06290"/>
    <w:rsid w:val="00E06AEA"/>
    <w:rsid w:val="00E07105"/>
    <w:rsid w:val="00E11115"/>
    <w:rsid w:val="00E117BE"/>
    <w:rsid w:val="00E12074"/>
    <w:rsid w:val="00E12368"/>
    <w:rsid w:val="00E1307C"/>
    <w:rsid w:val="00E15617"/>
    <w:rsid w:val="00E15E8F"/>
    <w:rsid w:val="00E17879"/>
    <w:rsid w:val="00E17BAD"/>
    <w:rsid w:val="00E21B22"/>
    <w:rsid w:val="00E21D2E"/>
    <w:rsid w:val="00E239BD"/>
    <w:rsid w:val="00E241C9"/>
    <w:rsid w:val="00E24817"/>
    <w:rsid w:val="00E249DE"/>
    <w:rsid w:val="00E26226"/>
    <w:rsid w:val="00E26EE1"/>
    <w:rsid w:val="00E27938"/>
    <w:rsid w:val="00E31B77"/>
    <w:rsid w:val="00E33ECD"/>
    <w:rsid w:val="00E344D5"/>
    <w:rsid w:val="00E3602F"/>
    <w:rsid w:val="00E36E67"/>
    <w:rsid w:val="00E378D8"/>
    <w:rsid w:val="00E4021C"/>
    <w:rsid w:val="00E40269"/>
    <w:rsid w:val="00E4059F"/>
    <w:rsid w:val="00E407FC"/>
    <w:rsid w:val="00E4165C"/>
    <w:rsid w:val="00E422AC"/>
    <w:rsid w:val="00E425D0"/>
    <w:rsid w:val="00E42B12"/>
    <w:rsid w:val="00E4328B"/>
    <w:rsid w:val="00E45D05"/>
    <w:rsid w:val="00E45FF5"/>
    <w:rsid w:val="00E467A6"/>
    <w:rsid w:val="00E47739"/>
    <w:rsid w:val="00E47CFE"/>
    <w:rsid w:val="00E50AF9"/>
    <w:rsid w:val="00E52521"/>
    <w:rsid w:val="00E528F8"/>
    <w:rsid w:val="00E529E4"/>
    <w:rsid w:val="00E5442B"/>
    <w:rsid w:val="00E55816"/>
    <w:rsid w:val="00E55AEF"/>
    <w:rsid w:val="00E55E9A"/>
    <w:rsid w:val="00E56178"/>
    <w:rsid w:val="00E56959"/>
    <w:rsid w:val="00E61442"/>
    <w:rsid w:val="00E6287E"/>
    <w:rsid w:val="00E62D91"/>
    <w:rsid w:val="00E636EA"/>
    <w:rsid w:val="00E64B4B"/>
    <w:rsid w:val="00E66A93"/>
    <w:rsid w:val="00E71B64"/>
    <w:rsid w:val="00E81961"/>
    <w:rsid w:val="00E82877"/>
    <w:rsid w:val="00E83BBB"/>
    <w:rsid w:val="00E84088"/>
    <w:rsid w:val="00E848C5"/>
    <w:rsid w:val="00E86FA6"/>
    <w:rsid w:val="00E90489"/>
    <w:rsid w:val="00E90BE9"/>
    <w:rsid w:val="00E9225D"/>
    <w:rsid w:val="00E939C1"/>
    <w:rsid w:val="00E946B3"/>
    <w:rsid w:val="00E9527A"/>
    <w:rsid w:val="00E976C1"/>
    <w:rsid w:val="00EA025D"/>
    <w:rsid w:val="00EA07F0"/>
    <w:rsid w:val="00EA12E5"/>
    <w:rsid w:val="00EA2136"/>
    <w:rsid w:val="00EA36A2"/>
    <w:rsid w:val="00EA3D99"/>
    <w:rsid w:val="00EA5695"/>
    <w:rsid w:val="00EA58AF"/>
    <w:rsid w:val="00EA6016"/>
    <w:rsid w:val="00EA66A4"/>
    <w:rsid w:val="00EB00F7"/>
    <w:rsid w:val="00EB0E5E"/>
    <w:rsid w:val="00EB2238"/>
    <w:rsid w:val="00EB2B69"/>
    <w:rsid w:val="00EB2BF6"/>
    <w:rsid w:val="00EB4096"/>
    <w:rsid w:val="00EB4C45"/>
    <w:rsid w:val="00EB53BD"/>
    <w:rsid w:val="00EB5B73"/>
    <w:rsid w:val="00EB5E19"/>
    <w:rsid w:val="00EB7127"/>
    <w:rsid w:val="00EB718A"/>
    <w:rsid w:val="00EC00DF"/>
    <w:rsid w:val="00EC0FC2"/>
    <w:rsid w:val="00EC31E1"/>
    <w:rsid w:val="00EC3585"/>
    <w:rsid w:val="00EC3E32"/>
    <w:rsid w:val="00EC6B11"/>
    <w:rsid w:val="00EC6B65"/>
    <w:rsid w:val="00ED29AB"/>
    <w:rsid w:val="00ED335C"/>
    <w:rsid w:val="00ED44A8"/>
    <w:rsid w:val="00ED4E8E"/>
    <w:rsid w:val="00ED5AAF"/>
    <w:rsid w:val="00ED6C2C"/>
    <w:rsid w:val="00EE130E"/>
    <w:rsid w:val="00EE1DC8"/>
    <w:rsid w:val="00EE3198"/>
    <w:rsid w:val="00EE4646"/>
    <w:rsid w:val="00EE67EC"/>
    <w:rsid w:val="00EE733C"/>
    <w:rsid w:val="00EE7488"/>
    <w:rsid w:val="00EF0BA7"/>
    <w:rsid w:val="00EF258E"/>
    <w:rsid w:val="00EF3031"/>
    <w:rsid w:val="00EF33D5"/>
    <w:rsid w:val="00EF444D"/>
    <w:rsid w:val="00EF481F"/>
    <w:rsid w:val="00EF6EB6"/>
    <w:rsid w:val="00F000EA"/>
    <w:rsid w:val="00F01125"/>
    <w:rsid w:val="00F02766"/>
    <w:rsid w:val="00F03EB7"/>
    <w:rsid w:val="00F04067"/>
    <w:rsid w:val="00F0520E"/>
    <w:rsid w:val="00F05BD4"/>
    <w:rsid w:val="00F05EA0"/>
    <w:rsid w:val="00F07798"/>
    <w:rsid w:val="00F07F46"/>
    <w:rsid w:val="00F11A98"/>
    <w:rsid w:val="00F13242"/>
    <w:rsid w:val="00F1463E"/>
    <w:rsid w:val="00F15368"/>
    <w:rsid w:val="00F15E05"/>
    <w:rsid w:val="00F15E77"/>
    <w:rsid w:val="00F16F35"/>
    <w:rsid w:val="00F202F6"/>
    <w:rsid w:val="00F20BA6"/>
    <w:rsid w:val="00F20CA2"/>
    <w:rsid w:val="00F21A1D"/>
    <w:rsid w:val="00F21D10"/>
    <w:rsid w:val="00F25E6D"/>
    <w:rsid w:val="00F277F9"/>
    <w:rsid w:val="00F3249C"/>
    <w:rsid w:val="00F339E3"/>
    <w:rsid w:val="00F340C8"/>
    <w:rsid w:val="00F349CB"/>
    <w:rsid w:val="00F34B4D"/>
    <w:rsid w:val="00F354F7"/>
    <w:rsid w:val="00F357E0"/>
    <w:rsid w:val="00F37983"/>
    <w:rsid w:val="00F409C4"/>
    <w:rsid w:val="00F44E08"/>
    <w:rsid w:val="00F45551"/>
    <w:rsid w:val="00F45892"/>
    <w:rsid w:val="00F4678F"/>
    <w:rsid w:val="00F53615"/>
    <w:rsid w:val="00F536ED"/>
    <w:rsid w:val="00F56913"/>
    <w:rsid w:val="00F56CDC"/>
    <w:rsid w:val="00F579D6"/>
    <w:rsid w:val="00F605CD"/>
    <w:rsid w:val="00F61818"/>
    <w:rsid w:val="00F623D9"/>
    <w:rsid w:val="00F62472"/>
    <w:rsid w:val="00F64274"/>
    <w:rsid w:val="00F64593"/>
    <w:rsid w:val="00F64DBC"/>
    <w:rsid w:val="00F659A6"/>
    <w:rsid w:val="00F65C19"/>
    <w:rsid w:val="00F6660F"/>
    <w:rsid w:val="00F66B3A"/>
    <w:rsid w:val="00F67276"/>
    <w:rsid w:val="00F705AB"/>
    <w:rsid w:val="00F7164A"/>
    <w:rsid w:val="00F71AD1"/>
    <w:rsid w:val="00F7223A"/>
    <w:rsid w:val="00F7338B"/>
    <w:rsid w:val="00F73799"/>
    <w:rsid w:val="00F7440E"/>
    <w:rsid w:val="00F76603"/>
    <w:rsid w:val="00F772D4"/>
    <w:rsid w:val="00F8050E"/>
    <w:rsid w:val="00F808C6"/>
    <w:rsid w:val="00F80FF5"/>
    <w:rsid w:val="00F83918"/>
    <w:rsid w:val="00F83F60"/>
    <w:rsid w:val="00F8476E"/>
    <w:rsid w:val="00F848EE"/>
    <w:rsid w:val="00F84DF8"/>
    <w:rsid w:val="00F91898"/>
    <w:rsid w:val="00F937F2"/>
    <w:rsid w:val="00F93BE2"/>
    <w:rsid w:val="00F94FEF"/>
    <w:rsid w:val="00F971FB"/>
    <w:rsid w:val="00FA1D7B"/>
    <w:rsid w:val="00FA1ECE"/>
    <w:rsid w:val="00FA2757"/>
    <w:rsid w:val="00FA45A5"/>
    <w:rsid w:val="00FA4CD4"/>
    <w:rsid w:val="00FA5792"/>
    <w:rsid w:val="00FA579C"/>
    <w:rsid w:val="00FA60C4"/>
    <w:rsid w:val="00FA668B"/>
    <w:rsid w:val="00FA6EA1"/>
    <w:rsid w:val="00FA7F6F"/>
    <w:rsid w:val="00FB143F"/>
    <w:rsid w:val="00FB1CF2"/>
    <w:rsid w:val="00FB20E0"/>
    <w:rsid w:val="00FB34B9"/>
    <w:rsid w:val="00FB4883"/>
    <w:rsid w:val="00FB699D"/>
    <w:rsid w:val="00FB6BC3"/>
    <w:rsid w:val="00FC05C9"/>
    <w:rsid w:val="00FC0868"/>
    <w:rsid w:val="00FC0BEF"/>
    <w:rsid w:val="00FC24DA"/>
    <w:rsid w:val="00FC3625"/>
    <w:rsid w:val="00FC4118"/>
    <w:rsid w:val="00FC4678"/>
    <w:rsid w:val="00FC52A3"/>
    <w:rsid w:val="00FC5425"/>
    <w:rsid w:val="00FC5767"/>
    <w:rsid w:val="00FC6545"/>
    <w:rsid w:val="00FC6755"/>
    <w:rsid w:val="00FC7003"/>
    <w:rsid w:val="00FD0183"/>
    <w:rsid w:val="00FD037B"/>
    <w:rsid w:val="00FD0A61"/>
    <w:rsid w:val="00FD0F2A"/>
    <w:rsid w:val="00FD1814"/>
    <w:rsid w:val="00FD2546"/>
    <w:rsid w:val="00FD3A5B"/>
    <w:rsid w:val="00FD4558"/>
    <w:rsid w:val="00FD5582"/>
    <w:rsid w:val="00FD5F4E"/>
    <w:rsid w:val="00FD772E"/>
    <w:rsid w:val="00FE1E19"/>
    <w:rsid w:val="00FE2D4B"/>
    <w:rsid w:val="00FE3346"/>
    <w:rsid w:val="00FE3926"/>
    <w:rsid w:val="00FE399E"/>
    <w:rsid w:val="00FE43D6"/>
    <w:rsid w:val="00FE44D7"/>
    <w:rsid w:val="00FE47A8"/>
    <w:rsid w:val="00FE48BE"/>
    <w:rsid w:val="00FE7205"/>
    <w:rsid w:val="00FE78C7"/>
    <w:rsid w:val="00FE7FA5"/>
    <w:rsid w:val="00FF161C"/>
    <w:rsid w:val="00FF21ED"/>
    <w:rsid w:val="00FF220A"/>
    <w:rsid w:val="00FF243E"/>
    <w:rsid w:val="00FF2A26"/>
    <w:rsid w:val="00FF2CE7"/>
    <w:rsid w:val="00FF3D55"/>
    <w:rsid w:val="00FF43AC"/>
    <w:rsid w:val="00FF505E"/>
    <w:rsid w:val="00FF5B5A"/>
    <w:rsid w:val="00FF64D7"/>
    <w:rsid w:val="00FF7981"/>
    <w:rsid w:val="00FF7C84"/>
    <w:rsid w:val="01A2B1B8"/>
    <w:rsid w:val="01D2998F"/>
    <w:rsid w:val="020562E6"/>
    <w:rsid w:val="0247C5E3"/>
    <w:rsid w:val="02B9EAD7"/>
    <w:rsid w:val="03524608"/>
    <w:rsid w:val="036D5F00"/>
    <w:rsid w:val="03869309"/>
    <w:rsid w:val="039CFA75"/>
    <w:rsid w:val="03F05C15"/>
    <w:rsid w:val="04481660"/>
    <w:rsid w:val="04EDED6D"/>
    <w:rsid w:val="05A93F21"/>
    <w:rsid w:val="0621699D"/>
    <w:rsid w:val="068B6AC3"/>
    <w:rsid w:val="0725E0F4"/>
    <w:rsid w:val="075BD0DE"/>
    <w:rsid w:val="078B890F"/>
    <w:rsid w:val="08250FCE"/>
    <w:rsid w:val="085515DF"/>
    <w:rsid w:val="086346E0"/>
    <w:rsid w:val="0901055A"/>
    <w:rsid w:val="090E4417"/>
    <w:rsid w:val="0A2CC8C2"/>
    <w:rsid w:val="0BAE1C68"/>
    <w:rsid w:val="0C6CD213"/>
    <w:rsid w:val="0CA1D3A2"/>
    <w:rsid w:val="0CCAC60D"/>
    <w:rsid w:val="0CFB091F"/>
    <w:rsid w:val="0DCEB973"/>
    <w:rsid w:val="0E2157CE"/>
    <w:rsid w:val="0F5828F3"/>
    <w:rsid w:val="0FFD0C4B"/>
    <w:rsid w:val="10690E73"/>
    <w:rsid w:val="12B0546A"/>
    <w:rsid w:val="12BBAAF9"/>
    <w:rsid w:val="136556F8"/>
    <w:rsid w:val="138BEF58"/>
    <w:rsid w:val="13CDD28A"/>
    <w:rsid w:val="13CF2A24"/>
    <w:rsid w:val="147F78CF"/>
    <w:rsid w:val="15002CEA"/>
    <w:rsid w:val="157BD14B"/>
    <w:rsid w:val="15D036E0"/>
    <w:rsid w:val="161F3CFB"/>
    <w:rsid w:val="16FCFBE2"/>
    <w:rsid w:val="17978648"/>
    <w:rsid w:val="17B13695"/>
    <w:rsid w:val="1803FB13"/>
    <w:rsid w:val="1828A9F7"/>
    <w:rsid w:val="183711BB"/>
    <w:rsid w:val="183B496F"/>
    <w:rsid w:val="18A659E0"/>
    <w:rsid w:val="19678B0E"/>
    <w:rsid w:val="19D88972"/>
    <w:rsid w:val="1A602B32"/>
    <w:rsid w:val="1B61CC03"/>
    <w:rsid w:val="1C5DCA9A"/>
    <w:rsid w:val="1CA3E3BA"/>
    <w:rsid w:val="1CFA9F67"/>
    <w:rsid w:val="1DD992BE"/>
    <w:rsid w:val="1E0F4684"/>
    <w:rsid w:val="1E4C3019"/>
    <w:rsid w:val="202FA4B4"/>
    <w:rsid w:val="20C41498"/>
    <w:rsid w:val="2106C2A6"/>
    <w:rsid w:val="213C4A6D"/>
    <w:rsid w:val="21BA619C"/>
    <w:rsid w:val="2281E01B"/>
    <w:rsid w:val="22B61F73"/>
    <w:rsid w:val="22F40908"/>
    <w:rsid w:val="2386F5B2"/>
    <w:rsid w:val="23A9ED4A"/>
    <w:rsid w:val="23AEF7F5"/>
    <w:rsid w:val="254D7CD5"/>
    <w:rsid w:val="266B05DF"/>
    <w:rsid w:val="267B0442"/>
    <w:rsid w:val="26D0413D"/>
    <w:rsid w:val="278E8178"/>
    <w:rsid w:val="2843EF27"/>
    <w:rsid w:val="2856E658"/>
    <w:rsid w:val="29620BC9"/>
    <w:rsid w:val="2A7917D0"/>
    <w:rsid w:val="2CE06B34"/>
    <w:rsid w:val="2E04F791"/>
    <w:rsid w:val="2ED47C41"/>
    <w:rsid w:val="2EF89635"/>
    <w:rsid w:val="2F51B40A"/>
    <w:rsid w:val="319C63A7"/>
    <w:rsid w:val="3334AA6C"/>
    <w:rsid w:val="33409047"/>
    <w:rsid w:val="33475294"/>
    <w:rsid w:val="33A4428D"/>
    <w:rsid w:val="34F23155"/>
    <w:rsid w:val="35CAB277"/>
    <w:rsid w:val="36671BFC"/>
    <w:rsid w:val="36F91F6D"/>
    <w:rsid w:val="370A4F0E"/>
    <w:rsid w:val="3710E00F"/>
    <w:rsid w:val="3740ABCB"/>
    <w:rsid w:val="3798450C"/>
    <w:rsid w:val="37B715DE"/>
    <w:rsid w:val="38804A12"/>
    <w:rsid w:val="389E4B63"/>
    <w:rsid w:val="38A3C19D"/>
    <w:rsid w:val="38E78406"/>
    <w:rsid w:val="38ECD361"/>
    <w:rsid w:val="395DD8C1"/>
    <w:rsid w:val="3969A6DB"/>
    <w:rsid w:val="39984433"/>
    <w:rsid w:val="39B6906E"/>
    <w:rsid w:val="39C05E33"/>
    <w:rsid w:val="39D83998"/>
    <w:rsid w:val="3B50519D"/>
    <w:rsid w:val="3BFDBF51"/>
    <w:rsid w:val="3C183808"/>
    <w:rsid w:val="3CF61F52"/>
    <w:rsid w:val="3D648C93"/>
    <w:rsid w:val="3E0B99E3"/>
    <w:rsid w:val="3E5864D0"/>
    <w:rsid w:val="3E5A4EFB"/>
    <w:rsid w:val="3ED6FDFD"/>
    <w:rsid w:val="40FF5E1C"/>
    <w:rsid w:val="412653A0"/>
    <w:rsid w:val="418AF797"/>
    <w:rsid w:val="419AA08A"/>
    <w:rsid w:val="41AEB52B"/>
    <w:rsid w:val="41E946F7"/>
    <w:rsid w:val="42199125"/>
    <w:rsid w:val="421CF200"/>
    <w:rsid w:val="44BDFA6D"/>
    <w:rsid w:val="4553BA83"/>
    <w:rsid w:val="46F2E226"/>
    <w:rsid w:val="471CBA92"/>
    <w:rsid w:val="485E6352"/>
    <w:rsid w:val="48E093DC"/>
    <w:rsid w:val="4929FA45"/>
    <w:rsid w:val="4960820B"/>
    <w:rsid w:val="4967932E"/>
    <w:rsid w:val="499CDA8C"/>
    <w:rsid w:val="49BD1ACA"/>
    <w:rsid w:val="49F4058F"/>
    <w:rsid w:val="4A1A0296"/>
    <w:rsid w:val="4A9F24B6"/>
    <w:rsid w:val="4B002A07"/>
    <w:rsid w:val="4B2ECA92"/>
    <w:rsid w:val="4B38E8DB"/>
    <w:rsid w:val="4BA1E021"/>
    <w:rsid w:val="4BD29E5F"/>
    <w:rsid w:val="4C142179"/>
    <w:rsid w:val="4C170008"/>
    <w:rsid w:val="4C185CFE"/>
    <w:rsid w:val="4C56103B"/>
    <w:rsid w:val="4C5DB07A"/>
    <w:rsid w:val="4CF73605"/>
    <w:rsid w:val="4D7ACAD9"/>
    <w:rsid w:val="4DAC9E78"/>
    <w:rsid w:val="4E9DA475"/>
    <w:rsid w:val="4ECC8D05"/>
    <w:rsid w:val="4EE728C1"/>
    <w:rsid w:val="504B23B7"/>
    <w:rsid w:val="50665199"/>
    <w:rsid w:val="50C8E465"/>
    <w:rsid w:val="515732A4"/>
    <w:rsid w:val="51CA57C1"/>
    <w:rsid w:val="51D79874"/>
    <w:rsid w:val="52372C77"/>
    <w:rsid w:val="524EE5C3"/>
    <w:rsid w:val="5332AFFD"/>
    <w:rsid w:val="536A0241"/>
    <w:rsid w:val="53A9ACEA"/>
    <w:rsid w:val="54581065"/>
    <w:rsid w:val="5585B2CB"/>
    <w:rsid w:val="55DA6EF3"/>
    <w:rsid w:val="56097EFD"/>
    <w:rsid w:val="56D86B76"/>
    <w:rsid w:val="57831F41"/>
    <w:rsid w:val="579EF371"/>
    <w:rsid w:val="5806F6C2"/>
    <w:rsid w:val="580D5134"/>
    <w:rsid w:val="586DEE7A"/>
    <w:rsid w:val="58A1C2A9"/>
    <w:rsid w:val="58B30B9A"/>
    <w:rsid w:val="590AF507"/>
    <w:rsid w:val="594A5973"/>
    <w:rsid w:val="59F7E292"/>
    <w:rsid w:val="5A6EDBD8"/>
    <w:rsid w:val="5C847A3D"/>
    <w:rsid w:val="5CA31935"/>
    <w:rsid w:val="5D0FE76E"/>
    <w:rsid w:val="5D4A514D"/>
    <w:rsid w:val="5DFA4699"/>
    <w:rsid w:val="5F5B18D0"/>
    <w:rsid w:val="6045B02F"/>
    <w:rsid w:val="606A7964"/>
    <w:rsid w:val="608DD1AC"/>
    <w:rsid w:val="618E618A"/>
    <w:rsid w:val="61A98BB9"/>
    <w:rsid w:val="61D3FEC6"/>
    <w:rsid w:val="621E8B87"/>
    <w:rsid w:val="625C985D"/>
    <w:rsid w:val="62B2D1D9"/>
    <w:rsid w:val="6337E9CE"/>
    <w:rsid w:val="63E22C99"/>
    <w:rsid w:val="6408CC29"/>
    <w:rsid w:val="64810A6B"/>
    <w:rsid w:val="650C2E4E"/>
    <w:rsid w:val="661C4F6E"/>
    <w:rsid w:val="673FF1D5"/>
    <w:rsid w:val="677D3D3D"/>
    <w:rsid w:val="68460019"/>
    <w:rsid w:val="69D0E1CD"/>
    <w:rsid w:val="6A0D48EB"/>
    <w:rsid w:val="6A1D7182"/>
    <w:rsid w:val="6A45E16A"/>
    <w:rsid w:val="6A4F1C43"/>
    <w:rsid w:val="6A671951"/>
    <w:rsid w:val="6A6745A9"/>
    <w:rsid w:val="6AEFFAF6"/>
    <w:rsid w:val="6B3304FF"/>
    <w:rsid w:val="6B4C7C55"/>
    <w:rsid w:val="6B59B80A"/>
    <w:rsid w:val="6BD2B049"/>
    <w:rsid w:val="6BF61101"/>
    <w:rsid w:val="6C9A8767"/>
    <w:rsid w:val="6D5E9906"/>
    <w:rsid w:val="6D6223B0"/>
    <w:rsid w:val="6DDB2647"/>
    <w:rsid w:val="6E9985A3"/>
    <w:rsid w:val="6F0DBFB6"/>
    <w:rsid w:val="6F51B810"/>
    <w:rsid w:val="705E2469"/>
    <w:rsid w:val="710E494C"/>
    <w:rsid w:val="714EFE76"/>
    <w:rsid w:val="719E9EF9"/>
    <w:rsid w:val="72EFF403"/>
    <w:rsid w:val="734B155D"/>
    <w:rsid w:val="73884AC6"/>
    <w:rsid w:val="73A99ABE"/>
    <w:rsid w:val="7439F35B"/>
    <w:rsid w:val="7441A621"/>
    <w:rsid w:val="74710039"/>
    <w:rsid w:val="749FE6F4"/>
    <w:rsid w:val="75882DF0"/>
    <w:rsid w:val="7596CD6A"/>
    <w:rsid w:val="75EA30E4"/>
    <w:rsid w:val="762AF615"/>
    <w:rsid w:val="76BEA924"/>
    <w:rsid w:val="76CF8F63"/>
    <w:rsid w:val="76FE6D39"/>
    <w:rsid w:val="77E8B7BA"/>
    <w:rsid w:val="784D52F4"/>
    <w:rsid w:val="78B611C9"/>
    <w:rsid w:val="78DADC02"/>
    <w:rsid w:val="79383A7A"/>
    <w:rsid w:val="79516C33"/>
    <w:rsid w:val="7956C21D"/>
    <w:rsid w:val="79A9E3CE"/>
    <w:rsid w:val="79B0E75E"/>
    <w:rsid w:val="7A8E254B"/>
    <w:rsid w:val="7AB836E9"/>
    <w:rsid w:val="7AC637FA"/>
    <w:rsid w:val="7AD7CDF0"/>
    <w:rsid w:val="7BA227C8"/>
    <w:rsid w:val="7BE1C749"/>
    <w:rsid w:val="7C270E91"/>
    <w:rsid w:val="7D016DE3"/>
    <w:rsid w:val="7D7D0C12"/>
    <w:rsid w:val="7DA6DE97"/>
    <w:rsid w:val="7DA98CC1"/>
    <w:rsid w:val="7EB1FFED"/>
    <w:rsid w:val="7EDBFF3A"/>
    <w:rsid w:val="7F3D8F98"/>
    <w:rsid w:val="7F9B4651"/>
    <w:rsid w:val="7FC0A99A"/>
    <w:rsid w:val="7FF8C0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024FD"/>
  <w15:docId w15:val="{82B952B8-4074-0744-8AC1-5A68AD11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B3537"/>
    <w:pPr>
      <w:keepNext/>
      <w:keepLines/>
      <w:spacing w:before="280"/>
      <w:ind w:left="1134" w:hanging="1134"/>
      <w:outlineLvl w:val="0"/>
    </w:pPr>
    <w:rPr>
      <w:b/>
      <w:sz w:val="28"/>
    </w:rPr>
  </w:style>
  <w:style w:type="paragraph" w:styleId="Heading2">
    <w:name w:val="heading 2"/>
    <w:basedOn w:val="Heading1"/>
    <w:next w:val="Normal"/>
    <w:qFormat/>
    <w:rsid w:val="00CB3537"/>
    <w:pPr>
      <w:spacing w:before="200"/>
      <w:outlineLvl w:val="1"/>
    </w:pPr>
    <w:rPr>
      <w:sz w:val="24"/>
    </w:rPr>
  </w:style>
  <w:style w:type="paragraph" w:styleId="Heading3">
    <w:name w:val="heading 3"/>
    <w:basedOn w:val="Heading1"/>
    <w:next w:val="Normal"/>
    <w:qFormat/>
    <w:rsid w:val="00CB3537"/>
    <w:pPr>
      <w:tabs>
        <w:tab w:val="clear" w:pos="1134"/>
      </w:tabs>
      <w:spacing w:before="200"/>
      <w:outlineLvl w:val="2"/>
    </w:pPr>
    <w:rPr>
      <w:sz w:val="24"/>
    </w:rPr>
  </w:style>
  <w:style w:type="paragraph" w:styleId="Heading4">
    <w:name w:val="heading 4"/>
    <w:basedOn w:val="Heading3"/>
    <w:next w:val="Normal"/>
    <w:qFormat/>
    <w:rsid w:val="00CB3537"/>
    <w:pPr>
      <w:outlineLvl w:val="3"/>
    </w:pPr>
  </w:style>
  <w:style w:type="paragraph" w:styleId="Heading5">
    <w:name w:val="heading 5"/>
    <w:basedOn w:val="Heading4"/>
    <w:next w:val="Normal"/>
    <w:qFormat/>
    <w:rsid w:val="00CB3537"/>
    <w:pPr>
      <w:outlineLvl w:val="4"/>
    </w:pPr>
  </w:style>
  <w:style w:type="paragraph" w:styleId="Heading6">
    <w:name w:val="heading 6"/>
    <w:basedOn w:val="Heading4"/>
    <w:next w:val="Normal"/>
    <w:qFormat/>
    <w:rsid w:val="00CB3537"/>
    <w:pPr>
      <w:outlineLvl w:val="5"/>
    </w:pPr>
  </w:style>
  <w:style w:type="paragraph" w:styleId="Heading7">
    <w:name w:val="heading 7"/>
    <w:basedOn w:val="Heading6"/>
    <w:next w:val="Normal"/>
    <w:qFormat/>
    <w:rsid w:val="00CB3537"/>
    <w:pPr>
      <w:outlineLvl w:val="6"/>
    </w:pPr>
  </w:style>
  <w:style w:type="paragraph" w:styleId="Heading8">
    <w:name w:val="heading 8"/>
    <w:basedOn w:val="Heading6"/>
    <w:next w:val="Normal"/>
    <w:qFormat/>
    <w:rsid w:val="00CB3537"/>
    <w:pPr>
      <w:outlineLvl w:val="7"/>
    </w:pPr>
  </w:style>
  <w:style w:type="paragraph" w:styleId="Heading9">
    <w:name w:val="heading 9"/>
    <w:basedOn w:val="Heading6"/>
    <w:next w:val="Normal"/>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NUMBERED PARAGRAPH,List Paragraph 1,List Paragraph (numbered (a)),Use Case List Paragraph,References,lp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超??级链Ú,fL????,fL?级,超??级链,超?级链ïÈ,õ±?级链,õ±链ïÈ1,õ±???,超?级链Ú,’´?级链,’´????,’´??级链Ú,’´??级"/>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NUMBERED PARAGRAPH Char,List Paragraph 1 Char,lp1 Char"/>
    <w:link w:val="ListParagraph"/>
    <w:uiPriority w:val="34"/>
    <w:qFormat/>
    <w:rsid w:val="003F1363"/>
    <w:rPr>
      <w:rFonts w:asciiTheme="minorHAnsi" w:hAnsiTheme="minorHAnsi"/>
      <w:sz w:val="24"/>
      <w:lang w:val="en-GB" w:eastAsia="en-US"/>
    </w:r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6747D8"/>
    <w:rPr>
      <w:sz w:val="16"/>
      <w:szCs w:val="16"/>
    </w:rPr>
  </w:style>
  <w:style w:type="paragraph" w:styleId="CommentText">
    <w:name w:val="annotation text"/>
    <w:basedOn w:val="Normal"/>
    <w:link w:val="CommentTextChar"/>
    <w:unhideWhenUsed/>
    <w:rsid w:val="006747D8"/>
    <w:rPr>
      <w:sz w:val="20"/>
    </w:rPr>
  </w:style>
  <w:style w:type="character" w:customStyle="1" w:styleId="CommentTextChar">
    <w:name w:val="Comment Text Char"/>
    <w:basedOn w:val="DefaultParagraphFont"/>
    <w:link w:val="CommentText"/>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449A5"/>
    <w:rPr>
      <w:color w:val="605E5C"/>
      <w:shd w:val="clear" w:color="auto" w:fill="E1DFDD"/>
    </w:rPr>
  </w:style>
  <w:style w:type="paragraph" w:customStyle="1" w:styleId="CEOAgendaItemN">
    <w:name w:val="CEO_AgendaItemN°"/>
    <w:basedOn w:val="Normal"/>
    <w:rsid w:val="00BF4F16"/>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A62F73"/>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7345F"/>
    <w:rPr>
      <w:color w:val="605E5C"/>
      <w:shd w:val="clear" w:color="auto" w:fill="E1DFDD"/>
    </w:rPr>
  </w:style>
  <w:style w:type="paragraph" w:styleId="HTMLPreformatted">
    <w:name w:val="HTML Preformatted"/>
    <w:basedOn w:val="Normal"/>
    <w:link w:val="HTMLPreformattedChar"/>
    <w:uiPriority w:val="99"/>
    <w:unhideWhenUsed/>
    <w:qFormat/>
    <w:rsid w:val="0063618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szCs w:val="24"/>
      <w:lang w:val="zh-CN" w:eastAsia="zh-CN"/>
    </w:rPr>
  </w:style>
  <w:style w:type="character" w:customStyle="1" w:styleId="HTMLPreformattedChar">
    <w:name w:val="HTML Preformatted Char"/>
    <w:basedOn w:val="DefaultParagraphFont"/>
    <w:link w:val="HTMLPreformatted"/>
    <w:uiPriority w:val="99"/>
    <w:qFormat/>
    <w:rsid w:val="00636181"/>
    <w:rPr>
      <w:rFonts w:ascii="GulimChe" w:eastAsia="GulimChe" w:hAnsi="GulimChe"/>
      <w:sz w:val="24"/>
      <w:szCs w:val="24"/>
      <w:lang w:val="zh-CN"/>
    </w:rPr>
  </w:style>
  <w:style w:type="character" w:styleId="UnresolvedMention">
    <w:name w:val="Unresolved Mention"/>
    <w:basedOn w:val="DefaultParagraphFont"/>
    <w:uiPriority w:val="99"/>
    <w:semiHidden/>
    <w:unhideWhenUsed/>
    <w:rsid w:val="00D10D23"/>
    <w:rPr>
      <w:color w:val="605E5C"/>
      <w:shd w:val="clear" w:color="auto" w:fill="E1DFDD"/>
    </w:rPr>
  </w:style>
  <w:style w:type="paragraph" w:customStyle="1" w:styleId="Tablefin">
    <w:name w:val="Table_fin"/>
    <w:basedOn w:val="Tabletext"/>
    <w:rsid w:val="005F4465"/>
    <w:pPr>
      <w:tabs>
        <w:tab w:val="clear" w:pos="284"/>
        <w:tab w:val="clear" w:pos="851"/>
        <w:tab w:val="clear" w:pos="1134"/>
        <w:tab w:val="clear" w:pos="1418"/>
        <w:tab w:val="clear" w:pos="1871"/>
        <w:tab w:val="clear" w:pos="1985"/>
        <w:tab w:val="clear" w:pos="2268"/>
        <w:tab w:val="clear" w:pos="2552"/>
        <w:tab w:val="clear" w:pos="3119"/>
        <w:tab w:val="clear" w:pos="3402"/>
        <w:tab w:val="clear" w:pos="3686"/>
        <w:tab w:val="clear" w:pos="3969"/>
      </w:tabs>
      <w:spacing w:before="0" w:after="0"/>
    </w:pPr>
    <w:rPr>
      <w:rFonts w:ascii="Calibri" w:eastAsia="Times New Roman" w:hAnsi="Calibri"/>
      <w:sz w:val="22"/>
    </w:rPr>
  </w:style>
  <w:style w:type="character" w:customStyle="1" w:styleId="normaltextrun">
    <w:name w:val="normaltextrun"/>
    <w:basedOn w:val="DefaultParagraphFont"/>
    <w:rsid w:val="005F4465"/>
  </w:style>
  <w:style w:type="character" w:customStyle="1" w:styleId="eop">
    <w:name w:val="eop"/>
    <w:basedOn w:val="DefaultParagraphFont"/>
    <w:rsid w:val="00B05439"/>
  </w:style>
  <w:style w:type="paragraph" w:styleId="NormalWeb">
    <w:name w:val="Normal (Web)"/>
    <w:basedOn w:val="Normal"/>
    <w:uiPriority w:val="99"/>
    <w:unhideWhenUsed/>
    <w:rsid w:val="00B05439"/>
    <w:pPr>
      <w:tabs>
        <w:tab w:val="clear" w:pos="1871"/>
        <w:tab w:val="left" w:pos="567"/>
        <w:tab w:val="left" w:pos="1701"/>
        <w:tab w:val="left" w:pos="2835"/>
      </w:tabs>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536623986">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00844044">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RES-025-E.pdf" TargetMode="External"/><Relationship Id="rId18" Type="http://schemas.openxmlformats.org/officeDocument/2006/relationships/hyperlink" Target="https://www.itu.int/itu-d/meetings/rdf/arb/" TargetMode="External"/><Relationship Id="rId26" Type="http://schemas.openxmlformats.org/officeDocument/2006/relationships/hyperlink" Target="https://www.itu.int/itu-d/meetings/rdf/asp/" TargetMode="External"/><Relationship Id="rId39" Type="http://schemas.openxmlformats.org/officeDocument/2006/relationships/hyperlink" Target="https://www.itu.int/itu-d/meetings/wtdc25/rpm/cis/" TargetMode="External"/><Relationship Id="rId21" Type="http://schemas.openxmlformats.org/officeDocument/2006/relationships/hyperlink" Target="https://youtu.be/_TmRrANEy9Y?feature=shared" TargetMode="External"/><Relationship Id="rId34" Type="http://schemas.openxmlformats.org/officeDocument/2006/relationships/hyperlink" Target="https://www.itu.int/itu-d/meetings/rdf/afr/" TargetMode="External"/><Relationship Id="rId42" Type="http://schemas.openxmlformats.org/officeDocument/2006/relationships/hyperlink" Target="https://www.itu.int/wtdc" TargetMode="External"/><Relationship Id="rId47" Type="http://schemas.openxmlformats.org/officeDocument/2006/relationships/hyperlink" Target="https://www.itu.int/md/D22-TDAG32-C-0005/en"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22-TDAG31-C-0002/en" TargetMode="External"/><Relationship Id="rId29" Type="http://schemas.openxmlformats.org/officeDocument/2006/relationships/hyperlink" Target="https://youtu.be/n-9xwzs0i9I?feature=shared" TargetMode="External"/><Relationship Id="rId11" Type="http://schemas.openxmlformats.org/officeDocument/2006/relationships/image" Target="media/image1.png"/><Relationship Id="rId24" Type="http://schemas.openxmlformats.org/officeDocument/2006/relationships/hyperlink" Target="https://www.itu.int/md/D22-RPMEUR-C-0030/en" TargetMode="External"/><Relationship Id="rId32" Type="http://schemas.openxmlformats.org/officeDocument/2006/relationships/hyperlink" Target="https://www.itu.int/md/D22-RPMAMS-C-0021/en" TargetMode="External"/><Relationship Id="rId37" Type="http://schemas.openxmlformats.org/officeDocument/2006/relationships/hyperlink" Target="https://youtu.be/TQMlkFoVHQ4?feature=shared" TargetMode="External"/><Relationship Id="rId40" Type="http://schemas.openxmlformats.org/officeDocument/2006/relationships/hyperlink" Target="https://www.itu.int/md/meetingdoc.asp?lang=en&amp;parent=D22-RPMCIS-C-0018" TargetMode="External"/><Relationship Id="rId45" Type="http://schemas.openxmlformats.org/officeDocument/2006/relationships/hyperlink" Target="https://www.itu.int/md/meetingdoc.asp?lang=en&amp;parent=D22-TDAG32-C-0002" TargetMode="External"/><Relationship Id="rId5" Type="http://schemas.openxmlformats.org/officeDocument/2006/relationships/numbering" Target="numbering.xml"/><Relationship Id="rId15" Type="http://schemas.openxmlformats.org/officeDocument/2006/relationships/hyperlink" Target="https://www.itu.int/en/publications/ITU-D/pages/publications.aspx?parent=D-TDC-WTDC-2022&amp;media=electronic" TargetMode="External"/><Relationship Id="rId23" Type="http://schemas.openxmlformats.org/officeDocument/2006/relationships/hyperlink" Target="https://www.itu.int/itu-d/meetings/wtdc25/rpm/eur/" TargetMode="External"/><Relationship Id="rId28" Type="http://schemas.openxmlformats.org/officeDocument/2006/relationships/hyperlink" Target="https://www.itu.int/md/D22-RPMASP-C-0018/en" TargetMode="External"/><Relationship Id="rId36" Type="http://schemas.openxmlformats.org/officeDocument/2006/relationships/hyperlink" Target="https://www.itu.int/md/D22-RPMAFR-C-0019/en"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itu-d/meetings/wtdc25/rpm/arb/" TargetMode="External"/><Relationship Id="rId31" Type="http://schemas.openxmlformats.org/officeDocument/2006/relationships/hyperlink" Target="https://www.itu.int/itu-d/meetings/wtdc25/rpm/ams/" TargetMode="External"/><Relationship Id="rId44" Type="http://schemas.openxmlformats.org/officeDocument/2006/relationships/hyperlink" Target="https://www.itu.int/itu-d/meetings/wtdc25/rpm/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2023/RES-025-E.pdf" TargetMode="External"/><Relationship Id="rId22" Type="http://schemas.openxmlformats.org/officeDocument/2006/relationships/hyperlink" Target="https://www.itu.int/itu-d/meetings/rdf/eur/" TargetMode="External"/><Relationship Id="rId27" Type="http://schemas.openxmlformats.org/officeDocument/2006/relationships/hyperlink" Target="https://www.itu.int/itu-d/meetings/wtdc25/rpm/asp/" TargetMode="External"/><Relationship Id="rId30" Type="http://schemas.openxmlformats.org/officeDocument/2006/relationships/hyperlink" Target="https://www.itu.int/itu-d/meetings/rdf/ams/home/" TargetMode="External"/><Relationship Id="rId35" Type="http://schemas.openxmlformats.org/officeDocument/2006/relationships/hyperlink" Target="https://www.itu.int/itu-d/meetings/wtdc25/rpm/afr/" TargetMode="External"/><Relationship Id="rId43" Type="http://schemas.openxmlformats.org/officeDocument/2006/relationships/hyperlink" Target="https://www.itu.int/dms_pub/itu-d/opb/res/D-RES-D.31-2022-PDF-E.pdf"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D22-TDAG32-C-0024/" TargetMode="External"/><Relationship Id="rId25" Type="http://schemas.openxmlformats.org/officeDocument/2006/relationships/hyperlink" Target="https://youtu.be/KbGUKDoOwoU?feature=shared" TargetMode="External"/><Relationship Id="rId33" Type="http://schemas.openxmlformats.org/officeDocument/2006/relationships/hyperlink" Target="https://youtu.be/0Q1A-_uFb2U?feature=shared" TargetMode="External"/><Relationship Id="rId38" Type="http://schemas.openxmlformats.org/officeDocument/2006/relationships/hyperlink" Target="https://www.itu.int/itu-d/meetings/rdf/cis/home/" TargetMode="External"/><Relationship Id="rId46" Type="http://schemas.openxmlformats.org/officeDocument/2006/relationships/hyperlink" Target="https://www.itu.int/md/D22-TDAG32-INF-0004/en" TargetMode="External"/><Relationship Id="rId20" Type="http://schemas.openxmlformats.org/officeDocument/2006/relationships/hyperlink" Target="https://www.itu.int/md/D22-RPMARB-C-0020/en" TargetMode="External"/><Relationship Id="rId41" Type="http://schemas.openxmlformats.org/officeDocument/2006/relationships/hyperlink" Target="https://youtu.be/lWymn4RNG0I?feature=shared"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DF12A876-AB41-4784-9C7F-CAA56FAF5040}">
  <ds:schemaRefs>
    <ds:schemaRef ds:uri="http://schemas.openxmlformats.org/officeDocument/2006/bibliography"/>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1CA9246-389C-4331-B114-33867B596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d4ea696a-cca3-460b-a983-57ac2621983a"/>
    <ds:schemaRef ds:uri="29399490-13b9-4c73-b71e-403b715b75a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4970</Words>
  <Characters>31730</Characters>
  <Application>Microsoft Office Word</Application>
  <DocSecurity>0</DocSecurity>
  <Lines>264</Lines>
  <Paragraphs>73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36627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cp:lastModifiedBy>BDT</cp:lastModifiedBy>
  <cp:revision>2</cp:revision>
  <cp:lastPrinted>2019-01-16T16:57:00Z</cp:lastPrinted>
  <dcterms:created xsi:type="dcterms:W3CDTF">2025-05-13T07:40:00Z</dcterms:created>
  <dcterms:modified xsi:type="dcterms:W3CDTF">2025-05-13T07:40:00Z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y fmtid="{D5CDD505-2E9C-101B-9397-08002B2CF9AE}" pid="31" name="MediaServiceImageTags">
    <vt:lpwstr/>
  </property>
</Properties>
</file>