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Pr>
      <w:tblGrid>
        <w:gridCol w:w="1699"/>
        <w:gridCol w:w="4961"/>
        <w:gridCol w:w="1559"/>
        <w:gridCol w:w="1420"/>
      </w:tblGrid>
      <w:tr w:rsidR="00AD1E92" w:rsidRPr="00783A69" w14:paraId="6693FD10" w14:textId="77777777" w:rsidTr="00AD1E92">
        <w:trPr>
          <w:cantSplit/>
          <w:trHeight w:val="1310"/>
          <w:jc w:val="center"/>
        </w:trPr>
        <w:tc>
          <w:tcPr>
            <w:tcW w:w="1699" w:type="dxa"/>
            <w:tcBorders>
              <w:bottom w:val="single" w:sz="12" w:space="0" w:color="auto"/>
            </w:tcBorders>
            <w:vAlign w:val="center"/>
          </w:tcPr>
          <w:p w14:paraId="40801B8B"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30EA97E0" wp14:editId="4CD52D6B">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0DAD7CE4"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39CDEB0"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4417F80E"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20FE2379" wp14:editId="50A3ABF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ACBA4B8" w14:textId="77777777" w:rsidTr="00AD1E92">
        <w:trPr>
          <w:cantSplit/>
          <w:jc w:val="center"/>
        </w:trPr>
        <w:tc>
          <w:tcPr>
            <w:tcW w:w="6660" w:type="dxa"/>
            <w:gridSpan w:val="2"/>
            <w:tcBorders>
              <w:top w:val="single" w:sz="12" w:space="0" w:color="auto"/>
            </w:tcBorders>
          </w:tcPr>
          <w:p w14:paraId="56602FB2"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4312942F" w14:textId="77777777" w:rsidR="00CA08BA" w:rsidRPr="00C85CB5" w:rsidRDefault="00CA08BA" w:rsidP="00B93B7B">
            <w:pPr>
              <w:spacing w:before="20" w:after="20" w:line="300" w:lineRule="exact"/>
              <w:rPr>
                <w:b/>
                <w:bCs/>
                <w:highlight w:val="yellow"/>
                <w:rtl/>
                <w:lang w:bidi="ar-EG"/>
              </w:rPr>
            </w:pPr>
          </w:p>
        </w:tc>
      </w:tr>
      <w:tr w:rsidR="00783A69" w:rsidRPr="00783A69" w14:paraId="104ACCD2" w14:textId="77777777" w:rsidTr="00AD1E92">
        <w:trPr>
          <w:cantSplit/>
          <w:jc w:val="center"/>
        </w:trPr>
        <w:tc>
          <w:tcPr>
            <w:tcW w:w="6660" w:type="dxa"/>
            <w:gridSpan w:val="2"/>
          </w:tcPr>
          <w:p w14:paraId="317AF1EC" w14:textId="77777777" w:rsidR="00783A69" w:rsidRPr="00783A69" w:rsidRDefault="00783A69" w:rsidP="00B93B7B">
            <w:pPr>
              <w:spacing w:before="20" w:after="20" w:line="300" w:lineRule="exact"/>
              <w:rPr>
                <w:b/>
                <w:bCs/>
                <w:rtl/>
                <w:lang w:bidi="ar-EG"/>
              </w:rPr>
            </w:pPr>
          </w:p>
        </w:tc>
        <w:tc>
          <w:tcPr>
            <w:tcW w:w="2979" w:type="dxa"/>
            <w:gridSpan w:val="2"/>
          </w:tcPr>
          <w:p w14:paraId="549FC4B9" w14:textId="3ABCFB7B" w:rsidR="00783A69" w:rsidRPr="00F53458" w:rsidRDefault="00F53458" w:rsidP="00F53458">
            <w:pPr>
              <w:spacing w:before="20" w:after="20" w:line="300" w:lineRule="exact"/>
              <w:rPr>
                <w:b/>
                <w:bCs/>
                <w:spacing w:val="-2"/>
                <w:rtl/>
                <w:lang w:bidi="ar-SY"/>
              </w:rPr>
            </w:pPr>
            <w:r w:rsidRPr="00F53458">
              <w:rPr>
                <w:b/>
                <w:bCs/>
                <w:spacing w:val="-2"/>
                <w:rtl/>
              </w:rPr>
              <w:t>الوثيقة TDAG-25/24(Ann.1)-A</w:t>
            </w:r>
          </w:p>
        </w:tc>
      </w:tr>
      <w:tr w:rsidR="00783A69" w:rsidRPr="00783A69" w14:paraId="2FFC9E73" w14:textId="77777777" w:rsidTr="00AD1E92">
        <w:trPr>
          <w:cantSplit/>
          <w:jc w:val="center"/>
        </w:trPr>
        <w:tc>
          <w:tcPr>
            <w:tcW w:w="6660" w:type="dxa"/>
            <w:gridSpan w:val="2"/>
          </w:tcPr>
          <w:p w14:paraId="20A03F13" w14:textId="77777777" w:rsidR="00783A69" w:rsidRPr="00783A69" w:rsidRDefault="00783A69" w:rsidP="00B93B7B">
            <w:pPr>
              <w:spacing w:before="20" w:after="20" w:line="300" w:lineRule="exact"/>
              <w:rPr>
                <w:b/>
                <w:bCs/>
              </w:rPr>
            </w:pPr>
          </w:p>
        </w:tc>
        <w:tc>
          <w:tcPr>
            <w:tcW w:w="2979" w:type="dxa"/>
            <w:gridSpan w:val="2"/>
          </w:tcPr>
          <w:p w14:paraId="3EA08AE1" w14:textId="0CB8616F" w:rsidR="00783A69" w:rsidRPr="00C85CB5" w:rsidRDefault="00F53458" w:rsidP="00F53458">
            <w:pPr>
              <w:spacing w:before="20" w:after="20" w:line="300" w:lineRule="exact"/>
              <w:rPr>
                <w:b/>
                <w:bCs/>
                <w:highlight w:val="yellow"/>
                <w:rtl/>
              </w:rPr>
            </w:pPr>
            <w:r w:rsidRPr="00F53458">
              <w:rPr>
                <w:b/>
                <w:bCs/>
                <w:rtl/>
              </w:rPr>
              <w:t>1 أبريل 2025</w:t>
            </w:r>
          </w:p>
        </w:tc>
      </w:tr>
      <w:tr w:rsidR="00783A69" w:rsidRPr="00783A69" w14:paraId="03540451" w14:textId="77777777" w:rsidTr="00AD1E92">
        <w:trPr>
          <w:cantSplit/>
          <w:jc w:val="center"/>
        </w:trPr>
        <w:tc>
          <w:tcPr>
            <w:tcW w:w="6660" w:type="dxa"/>
            <w:gridSpan w:val="2"/>
          </w:tcPr>
          <w:p w14:paraId="09576AE9" w14:textId="77777777" w:rsidR="00783A69" w:rsidRPr="00783A69" w:rsidRDefault="00783A69" w:rsidP="00B93B7B">
            <w:pPr>
              <w:spacing w:before="20" w:after="20" w:line="300" w:lineRule="exact"/>
              <w:rPr>
                <w:b/>
                <w:bCs/>
                <w:lang w:bidi="ar-EG"/>
              </w:rPr>
            </w:pPr>
          </w:p>
        </w:tc>
        <w:tc>
          <w:tcPr>
            <w:tcW w:w="2979" w:type="dxa"/>
            <w:gridSpan w:val="2"/>
          </w:tcPr>
          <w:p w14:paraId="79AD2AE8"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4026F126" w14:textId="77777777" w:rsidTr="00EE5CF2">
        <w:trPr>
          <w:cantSplit/>
          <w:jc w:val="center"/>
        </w:trPr>
        <w:tc>
          <w:tcPr>
            <w:tcW w:w="9639" w:type="dxa"/>
            <w:gridSpan w:val="4"/>
          </w:tcPr>
          <w:p w14:paraId="4936389E" w14:textId="348223B2" w:rsidR="00783A69" w:rsidRPr="00783A69" w:rsidRDefault="00F53458" w:rsidP="00F53458">
            <w:pPr>
              <w:pStyle w:val="Source"/>
            </w:pPr>
            <w:r w:rsidRPr="00F53458">
              <w:rPr>
                <w:sz w:val="28"/>
                <w:szCs w:val="28"/>
                <w:rtl/>
              </w:rPr>
              <w:t>رئيس</w:t>
            </w:r>
            <w:r w:rsidR="00A85AB7">
              <w:rPr>
                <w:rFonts w:hint="cs"/>
                <w:sz w:val="28"/>
                <w:szCs w:val="28"/>
                <w:rtl/>
              </w:rPr>
              <w:t>ة</w:t>
            </w:r>
            <w:r w:rsidRPr="00F53458">
              <w:rPr>
                <w:sz w:val="28"/>
                <w:szCs w:val="28"/>
                <w:rtl/>
              </w:rPr>
              <w:t xml:space="preserve"> فريق العمل التابع للمجلس والمعني بالموارد المالية والبشرية</w:t>
            </w:r>
          </w:p>
        </w:tc>
      </w:tr>
      <w:tr w:rsidR="00783A69" w:rsidRPr="00783A69" w14:paraId="1DDC30F0" w14:textId="77777777" w:rsidTr="00EE5CF2">
        <w:trPr>
          <w:cantSplit/>
          <w:jc w:val="center"/>
        </w:trPr>
        <w:tc>
          <w:tcPr>
            <w:tcW w:w="9639" w:type="dxa"/>
            <w:gridSpan w:val="4"/>
          </w:tcPr>
          <w:p w14:paraId="30FE10ED" w14:textId="11464BDA" w:rsidR="00783A69" w:rsidRPr="00783A69" w:rsidRDefault="00F53458" w:rsidP="00F53458">
            <w:pPr>
              <w:pStyle w:val="Title1"/>
              <w:rPr>
                <w:lang w:bidi="ar-EG"/>
              </w:rPr>
            </w:pPr>
            <w:r w:rsidRPr="00F53458">
              <w:rPr>
                <w:rtl/>
              </w:rPr>
              <w:t>الملحق 1 بالوثيقة المتعلقة بالحضور الإقليمي: تقرير فريق العمل بالمراسلة عبر الإنترنت المعني بوضع اختصاصات للاتحاد من أجل استكمال استعراض الحضور الإقليمي بموجب القرار 25</w:t>
            </w:r>
          </w:p>
        </w:tc>
      </w:tr>
    </w:tbl>
    <w:p w14:paraId="234E1CB0" w14:textId="77777777" w:rsidR="00EE5CF2" w:rsidRDefault="00EE5CF2"/>
    <w:tbl>
      <w:tblPr>
        <w:bidiVisual/>
        <w:tblW w:w="5008" w:type="pct"/>
        <w:jc w:val="center"/>
        <w:tblLayout w:type="fixed"/>
        <w:tblLook w:val="0000" w:firstRow="0" w:lastRow="0" w:firstColumn="0" w:lastColumn="0" w:noHBand="0" w:noVBand="0"/>
      </w:tblPr>
      <w:tblGrid>
        <w:gridCol w:w="9638"/>
      </w:tblGrid>
      <w:tr w:rsidR="00783A69" w:rsidRPr="00153471" w14:paraId="533A1046"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06AF59F1"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6B277793" w14:textId="77777777" w:rsidR="00F53458" w:rsidRPr="00F53458" w:rsidRDefault="00F53458" w:rsidP="00F53458">
            <w:pPr>
              <w:rPr>
                <w:lang w:val="ar-SA" w:bidi="ar-EG"/>
              </w:rPr>
            </w:pPr>
            <w:r w:rsidRPr="00F53458">
              <w:rPr>
                <w:rtl/>
                <w:lang w:val="en-GB"/>
              </w:rPr>
              <w:t xml:space="preserve">استعرض فريق العمل التابع للمجلس </w:t>
            </w:r>
            <w:r w:rsidRPr="00F53458">
              <w:rPr>
                <w:lang w:bidi="ar-EG"/>
              </w:rPr>
              <w:t>(CWG</w:t>
            </w:r>
            <w:r w:rsidRPr="00F53458">
              <w:rPr>
                <w:lang w:val="en-GB"/>
              </w:rPr>
              <w:t>)</w:t>
            </w:r>
            <w:r w:rsidRPr="00F53458">
              <w:rPr>
                <w:rtl/>
                <w:lang w:val="en-GB"/>
              </w:rPr>
              <w:t xml:space="preserve"> التقرير المقدم من فريق العمل بالمراسلة عبر الإنترنت (</w:t>
            </w:r>
            <w:r w:rsidRPr="00F53458">
              <w:rPr>
                <w:lang w:bidi="ar-EG"/>
              </w:rPr>
              <w:t>OCG</w:t>
            </w:r>
            <w:r w:rsidRPr="00F53458">
              <w:rPr>
                <w:rtl/>
                <w:lang w:val="en-GB"/>
              </w:rPr>
              <w:t>)، الذي يتضمن الاختصاصات (</w:t>
            </w:r>
            <w:proofErr w:type="spellStart"/>
            <w:r w:rsidRPr="00F53458">
              <w:rPr>
                <w:lang w:bidi="ar-EG"/>
              </w:rPr>
              <w:t>ToR</w:t>
            </w:r>
            <w:proofErr w:type="spellEnd"/>
            <w:r w:rsidRPr="00F53458">
              <w:rPr>
                <w:rtl/>
                <w:lang w:val="en-GB"/>
              </w:rPr>
              <w:t>) المراجَعة. وخلال المناقشة، التمس العديد من المندوبين توضيحات وقدموا تعليقات بشأن الجوانب الرئيسية للاختصاصات المراجَعة، بما في ذلك:</w:t>
            </w:r>
          </w:p>
          <w:p w14:paraId="6423303F" w14:textId="34450CBA" w:rsidR="00F53458" w:rsidRPr="00F53458" w:rsidRDefault="00F53458" w:rsidP="004A662D">
            <w:pPr>
              <w:pStyle w:val="enumlev1"/>
              <w:rPr>
                <w:lang w:val="ar-SA" w:bidi="ar-EG"/>
              </w:rPr>
            </w:pPr>
            <w:r>
              <w:rPr>
                <w:rFonts w:hint="cs"/>
                <w:rtl/>
                <w:lang w:val="ar-SA" w:bidi="ar-EG"/>
              </w:rPr>
              <w:t>-</w:t>
            </w:r>
            <w:r w:rsidRPr="00F53458">
              <w:rPr>
                <w:lang w:val="ar-SA" w:bidi="ar-EG"/>
              </w:rPr>
              <w:tab/>
            </w:r>
            <w:r w:rsidRPr="00F53458">
              <w:rPr>
                <w:rtl/>
                <w:lang w:val="en-GB"/>
              </w:rPr>
              <w:t>نطاق المشاورات مع أصحاب المصلحة،</w:t>
            </w:r>
          </w:p>
          <w:p w14:paraId="34FEC5D1" w14:textId="791A7539" w:rsidR="00F53458" w:rsidRPr="00F53458" w:rsidRDefault="00F53458" w:rsidP="004A662D">
            <w:pPr>
              <w:pStyle w:val="enumlev1"/>
              <w:rPr>
                <w:lang w:val="ar-SA" w:bidi="ar-EG"/>
              </w:rPr>
            </w:pPr>
            <w:r>
              <w:rPr>
                <w:rFonts w:hint="cs"/>
                <w:rtl/>
                <w:lang w:val="ar-SA" w:bidi="ar-EG"/>
              </w:rPr>
              <w:t>-</w:t>
            </w:r>
            <w:r w:rsidRPr="00F53458">
              <w:rPr>
                <w:lang w:val="ar-SA" w:bidi="ar-EG"/>
              </w:rPr>
              <w:tab/>
            </w:r>
            <w:r w:rsidRPr="00F53458">
              <w:rPr>
                <w:rtl/>
                <w:lang w:val="en-GB"/>
              </w:rPr>
              <w:t xml:space="preserve">مواءمة مؤشرات الأداء الرئيسية </w:t>
            </w:r>
            <w:r w:rsidRPr="00F53458">
              <w:rPr>
                <w:lang w:bidi="ar-EG"/>
              </w:rPr>
              <w:t>(KPI</w:t>
            </w:r>
            <w:r w:rsidRPr="00F53458">
              <w:rPr>
                <w:lang w:val="en-GB"/>
              </w:rPr>
              <w:t>)</w:t>
            </w:r>
            <w:r w:rsidRPr="00F53458">
              <w:rPr>
                <w:rtl/>
                <w:lang w:val="en-GB"/>
              </w:rPr>
              <w:t>،</w:t>
            </w:r>
          </w:p>
          <w:p w14:paraId="2CF7B01A" w14:textId="0D07A26F" w:rsidR="00F53458" w:rsidRPr="00F53458" w:rsidRDefault="00F53458" w:rsidP="004A662D">
            <w:pPr>
              <w:pStyle w:val="enumlev1"/>
              <w:rPr>
                <w:lang w:val="ar-SA" w:bidi="ar-EG"/>
              </w:rPr>
            </w:pPr>
            <w:r>
              <w:rPr>
                <w:rFonts w:hint="cs"/>
                <w:rtl/>
                <w:lang w:val="ar-SA" w:bidi="ar-EG"/>
              </w:rPr>
              <w:t>-</w:t>
            </w:r>
            <w:r w:rsidRPr="00F53458">
              <w:rPr>
                <w:lang w:val="ar-SA" w:bidi="ar-EG"/>
              </w:rPr>
              <w:tab/>
            </w:r>
            <w:r w:rsidRPr="00F53458">
              <w:rPr>
                <w:rtl/>
                <w:lang w:val="en-GB"/>
              </w:rPr>
              <w:t>عملية الاستعراض والتقييم.</w:t>
            </w:r>
          </w:p>
          <w:p w14:paraId="352BB2BB" w14:textId="77777777" w:rsidR="00F53458" w:rsidRPr="00F53458" w:rsidRDefault="00F53458" w:rsidP="00F53458">
            <w:pPr>
              <w:rPr>
                <w:lang w:val="ar-SA" w:bidi="ar-EG"/>
              </w:rPr>
            </w:pPr>
            <w:r w:rsidRPr="00F53458">
              <w:rPr>
                <w:rtl/>
                <w:lang w:val="en-GB"/>
              </w:rPr>
              <w:t>وعقب هذه المناقشات، اتُّفق على أن يتواصل رئيس فريق العمل بالمراسلة عبر الإنترنت مع الأعضاء الذين قدموا تعليقات وملاحظات في إطار مشاورات غير رسمية. وسيُسترشد بعد ذلك بنتائج هذه المشاورات لإعداد تقرير مراجَع يُعرض على فريق العمل التابع للمجلس من أجل مواصلة النظر فيه.</w:t>
            </w:r>
          </w:p>
          <w:p w14:paraId="101A2967" w14:textId="606DE7FD" w:rsidR="00783A69" w:rsidRPr="006B266A" w:rsidRDefault="00F53458" w:rsidP="00F53458">
            <w:pPr>
              <w:rPr>
                <w:rtl/>
                <w:lang w:val="en-GB"/>
              </w:rPr>
            </w:pPr>
            <w:r w:rsidRPr="00F53458">
              <w:rPr>
                <w:rtl/>
                <w:lang w:val="en-GB"/>
              </w:rPr>
              <w:t>وبعد الانتهاء من المشاورات غير الرسمية، أُدخلت تعديلات على الاختصاصات. وقُدمت الوثيقة المراج</w:t>
            </w:r>
            <w:r w:rsidR="001E5E4C">
              <w:rPr>
                <w:rFonts w:hint="cs"/>
                <w:rtl/>
                <w:lang w:val="en-GB"/>
              </w:rPr>
              <w:t>َ</w:t>
            </w:r>
            <w:r w:rsidRPr="00F53458">
              <w:rPr>
                <w:rtl/>
                <w:lang w:val="en-GB"/>
              </w:rPr>
              <w:t>عة لاحقاً إلى فريق العمل التابع للمجلس من أجل النظر فيها. ورهناً بتعديلات مطبعية طفيفة، اعتُمدت الاختصاصات المراجَعة الواردة في</w:t>
            </w:r>
            <w:r w:rsidR="002E7540">
              <w:rPr>
                <w:rFonts w:hint="cs"/>
                <w:rtl/>
                <w:lang w:val="en-GB"/>
              </w:rPr>
              <w:t> </w:t>
            </w:r>
            <w:r w:rsidRPr="00F53458">
              <w:rPr>
                <w:rtl/>
                <w:lang w:val="en-GB"/>
              </w:rPr>
              <w:t>الملحق</w:t>
            </w:r>
            <w:r w:rsidR="003C63C8">
              <w:rPr>
                <w:rFonts w:hint="cs"/>
                <w:rtl/>
                <w:lang w:val="en-GB"/>
              </w:rPr>
              <w:t> </w:t>
            </w:r>
            <w:r w:rsidRPr="00F53458">
              <w:rPr>
                <w:lang w:bidi="ar-EG"/>
              </w:rPr>
              <w:t>A</w:t>
            </w:r>
            <w:r w:rsidRPr="00F53458">
              <w:rPr>
                <w:rtl/>
                <w:lang w:val="en-GB"/>
              </w:rPr>
              <w:t xml:space="preserve"> بهذه الوثيقة.</w:t>
            </w:r>
          </w:p>
          <w:p w14:paraId="56B30665"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2D093074" w14:textId="7369D171" w:rsidR="004F0F62" w:rsidRPr="004F0F62" w:rsidRDefault="004F0F62" w:rsidP="004F0F62">
            <w:pPr>
              <w:rPr>
                <w:color w:val="000000"/>
                <w:rtl/>
                <w:lang w:bidi="ar-EG"/>
              </w:rPr>
            </w:pPr>
            <w:r w:rsidRPr="004F0F62">
              <w:rPr>
                <w:rFonts w:hint="cs"/>
                <w:color w:val="000000"/>
                <w:rtl/>
                <w:lang w:bidi="ar-EG"/>
              </w:rPr>
              <w:t>ي</w:t>
            </w:r>
            <w:r w:rsidR="002E7540">
              <w:rPr>
                <w:rFonts w:hint="cs"/>
                <w:color w:val="000000"/>
                <w:rtl/>
                <w:lang w:bidi="ar-EG"/>
              </w:rPr>
              <w:t>ُ</w:t>
            </w:r>
            <w:r w:rsidRPr="004F0F62">
              <w:rPr>
                <w:rFonts w:hint="cs"/>
                <w:color w:val="000000"/>
                <w:rtl/>
                <w:lang w:bidi="ar-EG"/>
              </w:rPr>
              <w:t>دعى الفريق الاستشاري لتنمية الاتصالات إلى الإحاطة علماً بهذه الوثيقة وتقديم التوجيهات التي يراها مناسبة.</w:t>
            </w:r>
          </w:p>
          <w:p w14:paraId="54948ADC"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61A00704" w14:textId="1496B785" w:rsidR="00783A69" w:rsidRPr="00153471" w:rsidRDefault="00F53458" w:rsidP="00F53458">
            <w:pPr>
              <w:spacing w:after="120"/>
              <w:rPr>
                <w:rtl/>
              </w:rPr>
            </w:pPr>
            <w:r w:rsidRPr="00F53458">
              <w:rPr>
                <w:rtl/>
                <w:lang w:val="en-GB"/>
              </w:rPr>
              <w:t xml:space="preserve">الوثيقتان </w:t>
            </w:r>
            <w:hyperlink r:id="rId10" w:history="1">
              <w:r w:rsidRPr="001E5E4C">
                <w:rPr>
                  <w:rStyle w:val="Hyperlink"/>
                  <w:rtl/>
                  <w:lang w:val="en-GB"/>
                </w:rPr>
                <w:t>CWG-FHR-20/2</w:t>
              </w:r>
            </w:hyperlink>
            <w:r w:rsidRPr="00F53458">
              <w:rPr>
                <w:rtl/>
                <w:lang w:val="en-GB"/>
              </w:rPr>
              <w:t xml:space="preserve"> و</w:t>
            </w:r>
            <w:hyperlink r:id="rId11" w:history="1">
              <w:r w:rsidRPr="001E5E4C">
                <w:rPr>
                  <w:rStyle w:val="Hyperlink"/>
                  <w:rtl/>
                  <w:lang w:val="en-GB"/>
                </w:rPr>
                <w:t>CWG-FHR-20/DT/1</w:t>
              </w:r>
            </w:hyperlink>
          </w:p>
        </w:tc>
      </w:tr>
    </w:tbl>
    <w:p w14:paraId="758F35E0" w14:textId="77777777" w:rsidR="00882A17" w:rsidRDefault="00882A17">
      <w:pPr>
        <w:tabs>
          <w:tab w:val="clear" w:pos="794"/>
        </w:tabs>
        <w:bidi w:val="0"/>
        <w:spacing w:before="0" w:after="160" w:line="259" w:lineRule="auto"/>
        <w:jc w:val="left"/>
        <w:rPr>
          <w:lang w:bidi="ar-EG"/>
        </w:rPr>
      </w:pPr>
      <w:r>
        <w:rPr>
          <w:rtl/>
          <w:lang w:bidi="ar-EG"/>
        </w:rPr>
        <w:br w:type="page"/>
      </w:r>
    </w:p>
    <w:p w14:paraId="5A5CFD45" w14:textId="77777777" w:rsidR="00F53458" w:rsidRPr="003373E5" w:rsidRDefault="00F53458" w:rsidP="00933AC9">
      <w:pPr>
        <w:pStyle w:val="AnnexNo"/>
        <w:rPr>
          <w:b/>
          <w:bCs/>
          <w:lang w:val="ar-SA" w:bidi="ar-EG"/>
        </w:rPr>
      </w:pPr>
      <w:r w:rsidRPr="003373E5">
        <w:rPr>
          <w:b/>
          <w:bCs/>
          <w:rtl/>
          <w:lang w:bidi="ar-SA"/>
        </w:rPr>
        <w:lastRenderedPageBreak/>
        <w:t>الملحق</w:t>
      </w:r>
      <w:r w:rsidRPr="003373E5">
        <w:rPr>
          <w:b/>
          <w:bCs/>
          <w:rtl/>
        </w:rPr>
        <w:t xml:space="preserve"> </w:t>
      </w:r>
      <w:r w:rsidRPr="003373E5">
        <w:rPr>
          <w:b/>
          <w:bCs/>
          <w:lang w:bidi="ar-EG"/>
        </w:rPr>
        <w:t>A</w:t>
      </w:r>
    </w:p>
    <w:p w14:paraId="3C6D194E" w14:textId="77777777" w:rsidR="00F53458" w:rsidRPr="00F53458" w:rsidRDefault="00F53458" w:rsidP="00EB0821">
      <w:pPr>
        <w:pStyle w:val="Annextitle"/>
        <w:rPr>
          <w:lang w:val="ar-SA" w:bidi="ar-EG"/>
        </w:rPr>
      </w:pPr>
      <w:r w:rsidRPr="00F53458">
        <w:rPr>
          <w:rtl/>
        </w:rPr>
        <w:t>الاختصاصات المتعلقة باستعراض الحضور الإقليمي للاتحاد</w:t>
      </w:r>
    </w:p>
    <w:p w14:paraId="4070ABFD" w14:textId="77777777" w:rsidR="00F53458" w:rsidRPr="00F53458" w:rsidRDefault="00F53458" w:rsidP="00EB0821">
      <w:pPr>
        <w:pStyle w:val="Headingb"/>
        <w:rPr>
          <w:lang w:val="ar-SA" w:bidi="ar-EG"/>
        </w:rPr>
      </w:pPr>
      <w:r w:rsidRPr="00F53458">
        <w:rPr>
          <w:rtl/>
        </w:rPr>
        <w:t>الغرض</w:t>
      </w:r>
    </w:p>
    <w:p w14:paraId="3D82DCE8" w14:textId="4377A367" w:rsidR="00F53458" w:rsidRPr="00F53458" w:rsidRDefault="00F53458" w:rsidP="00F53458">
      <w:pPr>
        <w:rPr>
          <w:lang w:val="ar-SA" w:bidi="ar-EG"/>
        </w:rPr>
      </w:pPr>
      <w:r w:rsidRPr="009A1A48">
        <w:rPr>
          <w:rtl/>
        </w:rPr>
        <w:t>تحدد هذه الاختصاصات</w:t>
      </w:r>
      <w:r w:rsidR="002E7540" w:rsidRPr="009A1A48">
        <w:rPr>
          <w:rFonts w:hint="cs"/>
          <w:rtl/>
        </w:rPr>
        <w:t xml:space="preserve"> </w:t>
      </w:r>
      <w:r w:rsidR="00CA7329" w:rsidRPr="009A1A48">
        <w:t>(</w:t>
      </w:r>
      <w:proofErr w:type="spellStart"/>
      <w:r w:rsidR="00CA7329" w:rsidRPr="009A1A48">
        <w:t>ToR</w:t>
      </w:r>
      <w:proofErr w:type="spellEnd"/>
      <w:r w:rsidR="00CA7329" w:rsidRPr="009A1A48">
        <w:t>)</w:t>
      </w:r>
      <w:r w:rsidRPr="009A1A48">
        <w:rPr>
          <w:rtl/>
        </w:rPr>
        <w:t xml:space="preserve"> إطار الاستعراض الشامل للحضور الإقليمي للاتحاد الدولي للاتصالات </w:t>
      </w:r>
      <w:r w:rsidRPr="009A1A48">
        <w:rPr>
          <w:lang w:bidi="ar-EG"/>
        </w:rPr>
        <w:t>(ITU</w:t>
      </w:r>
      <w:r w:rsidRPr="009A1A48">
        <w:t>)</w:t>
      </w:r>
      <w:r w:rsidRPr="009A1A48">
        <w:rPr>
          <w:rtl/>
        </w:rPr>
        <w:t>، على النحو المنصوص عليه في القرار 25 (المراجَع في بوخارست، 2022)</w:t>
      </w:r>
      <w:r w:rsidR="009A1A48">
        <w:rPr>
          <w:rFonts w:hint="cs"/>
          <w:rtl/>
        </w:rPr>
        <w:t xml:space="preserve"> لمؤتمر المندوبين المفوضين</w:t>
      </w:r>
      <w:r w:rsidRPr="009A1A48">
        <w:rPr>
          <w:rtl/>
        </w:rPr>
        <w:t>. ويهدف الاستعراض إلى تحقيق الأهداف الرئيسية التالية:</w:t>
      </w:r>
    </w:p>
    <w:p w14:paraId="60617B82" w14:textId="77777777" w:rsidR="00F53458" w:rsidRPr="00F53458" w:rsidRDefault="00F53458" w:rsidP="00EB0821">
      <w:pPr>
        <w:pStyle w:val="enumlev1"/>
        <w:rPr>
          <w:lang w:val="ar-SA" w:bidi="ar-EG"/>
        </w:rPr>
      </w:pPr>
      <w:r w:rsidRPr="00F53458">
        <w:rPr>
          <w:rtl/>
        </w:rPr>
        <w:t>1</w:t>
      </w:r>
      <w:r w:rsidRPr="00F53458">
        <w:rPr>
          <w:rtl/>
        </w:rPr>
        <w:tab/>
      </w:r>
      <w:r w:rsidRPr="00F53458">
        <w:rPr>
          <w:b/>
          <w:bCs/>
          <w:rtl/>
        </w:rPr>
        <w:t>تقدير </w:t>
      </w:r>
      <w:r w:rsidRPr="00F53458">
        <w:rPr>
          <w:rtl/>
        </w:rPr>
        <w:t>فعالية الحضور الإقليمي وكفاءته في تحقيق قيمة للأعضاء وتجسيد مفهوم "الاتحاد الواحد".</w:t>
      </w:r>
    </w:p>
    <w:p w14:paraId="16CC1228" w14:textId="64964A79" w:rsidR="00F53458" w:rsidRPr="00F53458" w:rsidRDefault="00F53458" w:rsidP="00EB0821">
      <w:pPr>
        <w:pStyle w:val="enumlev1"/>
        <w:rPr>
          <w:rFonts w:hint="cs"/>
          <w:rtl/>
          <w:lang w:val="ar-SA" w:bidi="ar-EG"/>
        </w:rPr>
      </w:pPr>
      <w:r w:rsidRPr="00F53458">
        <w:rPr>
          <w:rtl/>
        </w:rPr>
        <w:t>2</w:t>
      </w:r>
      <w:r w:rsidRPr="00F53458">
        <w:rPr>
          <w:rtl/>
        </w:rPr>
        <w:tab/>
      </w:r>
      <w:r w:rsidRPr="00F53458">
        <w:rPr>
          <w:b/>
          <w:bCs/>
          <w:rtl/>
        </w:rPr>
        <w:t xml:space="preserve">تقييم </w:t>
      </w:r>
      <w:r w:rsidRPr="00F53458">
        <w:rPr>
          <w:rtl/>
        </w:rPr>
        <w:t xml:space="preserve">تنفيذ التوصيات ذات الصلة المقدمة من المراجع الداخلي والمراجع الخارجي للحسابات واللجنة الاستشارية المستقلة للإدارة </w:t>
      </w:r>
      <w:r w:rsidRPr="00F53458">
        <w:rPr>
          <w:lang w:bidi="ar-EG"/>
        </w:rPr>
        <w:t>(IMAC</w:t>
      </w:r>
      <w:r w:rsidRPr="00F53458">
        <w:t>)</w:t>
      </w:r>
      <w:r w:rsidRPr="00F53458">
        <w:rPr>
          <w:rtl/>
        </w:rPr>
        <w:t xml:space="preserve"> بالاتحاد</w:t>
      </w:r>
      <w:r w:rsidR="009A1A48">
        <w:rPr>
          <w:rFonts w:hint="cs"/>
          <w:rtl/>
          <w:lang w:bidi="ar-EG"/>
        </w:rPr>
        <w:t>.</w:t>
      </w:r>
    </w:p>
    <w:p w14:paraId="2DE13989" w14:textId="77777777" w:rsidR="00F53458" w:rsidRPr="00F53458" w:rsidRDefault="00F53458" w:rsidP="00EB0821">
      <w:pPr>
        <w:pStyle w:val="enumlev1"/>
        <w:rPr>
          <w:lang w:val="ar-SA" w:bidi="ar-EG"/>
        </w:rPr>
      </w:pPr>
      <w:r w:rsidRPr="00F53458">
        <w:rPr>
          <w:rtl/>
        </w:rPr>
        <w:t>3</w:t>
      </w:r>
      <w:r w:rsidRPr="00F53458">
        <w:rPr>
          <w:rtl/>
        </w:rPr>
        <w:tab/>
      </w:r>
      <w:r w:rsidRPr="00F53458">
        <w:rPr>
          <w:b/>
          <w:bCs/>
          <w:rtl/>
        </w:rPr>
        <w:t xml:space="preserve">تحديد </w:t>
      </w:r>
      <w:r w:rsidRPr="00F53458">
        <w:rPr>
          <w:rtl/>
        </w:rPr>
        <w:t>فرص التحسين والتوصية بتدابير قابلة للتنفيذ لتحقيق المستوى الأمثل في العمليات الإقليمية للاتحاد.</w:t>
      </w:r>
    </w:p>
    <w:p w14:paraId="34690EAB" w14:textId="77777777" w:rsidR="00F53458" w:rsidRPr="003C63C8" w:rsidRDefault="00F53458" w:rsidP="00EB0821">
      <w:pPr>
        <w:pStyle w:val="enumlev1"/>
        <w:rPr>
          <w:spacing w:val="-2"/>
          <w:lang w:val="ar-SA" w:bidi="ar-EG"/>
        </w:rPr>
      </w:pPr>
      <w:r w:rsidRPr="00F53458">
        <w:rPr>
          <w:rtl/>
        </w:rPr>
        <w:t>4</w:t>
      </w:r>
      <w:r w:rsidRPr="00F53458">
        <w:rPr>
          <w:rtl/>
        </w:rPr>
        <w:tab/>
      </w:r>
      <w:r w:rsidRPr="003C63C8">
        <w:rPr>
          <w:b/>
          <w:bCs/>
          <w:spacing w:val="-2"/>
          <w:rtl/>
        </w:rPr>
        <w:t xml:space="preserve">مواءمة </w:t>
      </w:r>
      <w:r w:rsidRPr="003C63C8">
        <w:rPr>
          <w:spacing w:val="-2"/>
          <w:rtl/>
        </w:rPr>
        <w:t>الحضور الإقليمي مع الرؤية الاستراتيجية للاتحاد وغاياته التشغيلية، مع ضمان تقديم خدمات مستدامة ومؤثرة.</w:t>
      </w:r>
    </w:p>
    <w:p w14:paraId="3D647E0E" w14:textId="627B655D" w:rsidR="00F53458" w:rsidRPr="00F53458" w:rsidRDefault="00F53458" w:rsidP="00EB0821">
      <w:pPr>
        <w:rPr>
          <w:lang w:val="ar-SA" w:bidi="ar-EG"/>
        </w:rPr>
      </w:pPr>
      <w:r w:rsidRPr="00F53458">
        <w:rPr>
          <w:rtl/>
        </w:rPr>
        <w:t>ويجب أن يشمل الاستعراض ما يلي</w:t>
      </w:r>
      <w:r w:rsidRPr="00F53458">
        <w:rPr>
          <w:lang w:bidi="ar-EG"/>
        </w:rPr>
        <w:t>:</w:t>
      </w:r>
    </w:p>
    <w:p w14:paraId="5344A0F2" w14:textId="77777777" w:rsidR="00F53458" w:rsidRPr="00F53458" w:rsidRDefault="00F53458" w:rsidP="00EB0821">
      <w:pPr>
        <w:pStyle w:val="enumlev1"/>
        <w:rPr>
          <w:lang w:val="ar-SA" w:bidi="ar-EG"/>
        </w:rPr>
      </w:pPr>
      <w:r w:rsidRPr="00F53458">
        <w:rPr>
          <w:rtl/>
        </w:rPr>
        <w:t>1</w:t>
      </w:r>
      <w:r w:rsidRPr="00F53458">
        <w:rPr>
          <w:rtl/>
        </w:rPr>
        <w:tab/>
        <w:t>توفير الأدوات اللازمة لتحديد وتقييم وتحسين أداء المكاتب الإقليمية ومكاتب المناطق للاتحاد، وضمان تحقيقها نتائج قابلة للقياس ومؤثرة.</w:t>
      </w:r>
    </w:p>
    <w:p w14:paraId="0ADF5728" w14:textId="27BAB681" w:rsidR="00F53458" w:rsidRPr="00F53458" w:rsidRDefault="00F53458" w:rsidP="00EB0821">
      <w:pPr>
        <w:pStyle w:val="enumlev1"/>
        <w:rPr>
          <w:lang w:val="ar-SA" w:bidi="ar-EG"/>
        </w:rPr>
      </w:pPr>
      <w:r w:rsidRPr="00F53458">
        <w:rPr>
          <w:rtl/>
        </w:rPr>
        <w:t>2</w:t>
      </w:r>
      <w:r w:rsidRPr="00F53458">
        <w:rPr>
          <w:rtl/>
        </w:rPr>
        <w:tab/>
        <w:t>تمكين صقل دور وهيكل وأهداف الحضور</w:t>
      </w:r>
      <w:r w:rsidR="00B526D7">
        <w:rPr>
          <w:rFonts w:hint="cs"/>
          <w:rtl/>
        </w:rPr>
        <w:t xml:space="preserve"> </w:t>
      </w:r>
      <w:r w:rsidRPr="00F53458">
        <w:rPr>
          <w:rtl/>
        </w:rPr>
        <w:t>الإقليمي للاتحاد من أجل تحقيق أقصى قدر من التوافق مع الغايات التنظيمية.</w:t>
      </w:r>
    </w:p>
    <w:p w14:paraId="351F5AF2" w14:textId="77777777" w:rsidR="00F53458" w:rsidRPr="00F53458" w:rsidRDefault="00F53458" w:rsidP="00EB0821">
      <w:pPr>
        <w:pStyle w:val="enumlev1"/>
        <w:rPr>
          <w:lang w:val="ar-SA" w:bidi="ar-EG"/>
        </w:rPr>
      </w:pPr>
      <w:r w:rsidRPr="00F53458">
        <w:rPr>
          <w:rtl/>
        </w:rPr>
        <w:t>3</w:t>
      </w:r>
      <w:r w:rsidRPr="00F53458">
        <w:rPr>
          <w:rtl/>
        </w:rPr>
        <w:tab/>
        <w:t>ضمان أن يؤدي الحضور الإقليمي للاتحاد دوراً محورياً في تنفيذ الخطة الاستراتيجية للاتحاد وخطط العمل المطبقة بفعالية وكفاءة.</w:t>
      </w:r>
    </w:p>
    <w:p w14:paraId="0EF0BF59" w14:textId="77777777" w:rsidR="00F53458" w:rsidRPr="00F53458" w:rsidRDefault="00F53458" w:rsidP="00EB0821">
      <w:pPr>
        <w:pStyle w:val="enumlev1"/>
        <w:rPr>
          <w:lang w:val="ar-SA" w:bidi="ar-EG"/>
        </w:rPr>
      </w:pPr>
      <w:r w:rsidRPr="00F53458">
        <w:rPr>
          <w:rtl/>
        </w:rPr>
        <w:t>4</w:t>
      </w:r>
      <w:r w:rsidRPr="00F53458">
        <w:rPr>
          <w:rtl/>
        </w:rPr>
        <w:tab/>
        <w:t>ضمان أن تكون المكاتب الإقليمية ومكاتب المناطق للاتحاد مدمجة بشكل وثيق في منظومة الأمم المتحدة الإنمائية والنظام الإيكولوجي الأوسع للصناعة على الصعيدين الوطني والإقليمي، ما يؤدي إلى شراكات وأوجه تآزر هادفة.</w:t>
      </w:r>
    </w:p>
    <w:p w14:paraId="44E96D1C" w14:textId="77777777" w:rsidR="00F53458" w:rsidRPr="003C63C8" w:rsidRDefault="00F53458" w:rsidP="00EB0821">
      <w:pPr>
        <w:pStyle w:val="enumlev1"/>
        <w:rPr>
          <w:spacing w:val="-2"/>
          <w:lang w:val="ar-SA" w:bidi="ar-EG"/>
        </w:rPr>
      </w:pPr>
      <w:r w:rsidRPr="00F53458">
        <w:rPr>
          <w:rtl/>
        </w:rPr>
        <w:t>5</w:t>
      </w:r>
      <w:r w:rsidRPr="00F53458">
        <w:rPr>
          <w:rtl/>
        </w:rPr>
        <w:tab/>
      </w:r>
      <w:r w:rsidRPr="003C63C8">
        <w:rPr>
          <w:spacing w:val="-2"/>
          <w:rtl/>
        </w:rPr>
        <w:t>تحديد التدابير اللازمة لتعزيز الضوابط الداخلية في المكاتب الإقليمية ومكاتب المناطق، ما يعزز ممارسات الإدارة السليمة.</w:t>
      </w:r>
    </w:p>
    <w:p w14:paraId="4A0B925A" w14:textId="77777777" w:rsidR="00F53458" w:rsidRPr="00F53458" w:rsidRDefault="00F53458" w:rsidP="00EB0821">
      <w:pPr>
        <w:pStyle w:val="Headingb"/>
        <w:rPr>
          <w:lang w:val="ar-SA" w:bidi="ar-EG"/>
        </w:rPr>
      </w:pPr>
      <w:r w:rsidRPr="00F53458">
        <w:rPr>
          <w:rtl/>
        </w:rPr>
        <w:t>المنهجية</w:t>
      </w:r>
    </w:p>
    <w:p w14:paraId="38FA75F7" w14:textId="77777777" w:rsidR="00F53458" w:rsidRPr="00F53458" w:rsidRDefault="00F53458" w:rsidP="00F53458">
      <w:pPr>
        <w:rPr>
          <w:lang w:val="ar-SA" w:bidi="ar-EG"/>
        </w:rPr>
      </w:pPr>
      <w:r w:rsidRPr="00F53458">
        <w:rPr>
          <w:rtl/>
        </w:rPr>
        <w:t>لضمان إجراء استعراض شامل وموضوعي، ستستخدم الأمانة المنهجيات التالية:</w:t>
      </w:r>
    </w:p>
    <w:p w14:paraId="7B8C5473" w14:textId="3836A18E" w:rsidR="00F53458" w:rsidRPr="00F53458" w:rsidRDefault="00EB0821" w:rsidP="00EB0821">
      <w:pPr>
        <w:pStyle w:val="enumlev1"/>
        <w:rPr>
          <w:lang w:val="ar-SA" w:bidi="ar-EG"/>
        </w:rPr>
      </w:pPr>
      <w:r>
        <w:rPr>
          <w:rFonts w:hint="eastAsia"/>
          <w:i/>
          <w:iCs/>
          <w:rtl/>
          <w:lang w:bidi="ar-EG"/>
        </w:rPr>
        <w:t> </w:t>
      </w:r>
      <w:r w:rsidR="00F53458" w:rsidRPr="00F53458">
        <w:rPr>
          <w:i/>
          <w:iCs/>
          <w:rtl/>
        </w:rPr>
        <w:t>أ</w:t>
      </w:r>
      <w:r>
        <w:rPr>
          <w:rFonts w:hint="cs"/>
          <w:i/>
          <w:iCs/>
          <w:rtl/>
        </w:rPr>
        <w:t> </w:t>
      </w:r>
      <w:r w:rsidR="00F53458" w:rsidRPr="00F53458">
        <w:rPr>
          <w:i/>
          <w:iCs/>
          <w:rtl/>
        </w:rPr>
        <w:t>)</w:t>
      </w:r>
      <w:r w:rsidR="00F53458" w:rsidRPr="00F53458">
        <w:rPr>
          <w:rtl/>
        </w:rPr>
        <w:tab/>
      </w:r>
      <w:r w:rsidR="00F53458" w:rsidRPr="00F53458">
        <w:rPr>
          <w:b/>
          <w:bCs/>
          <w:rtl/>
        </w:rPr>
        <w:t>تحليل الوثائق</w:t>
      </w:r>
      <w:r w:rsidR="00F53458" w:rsidRPr="00F53458">
        <w:rPr>
          <w:rtl/>
        </w:rPr>
        <w:t>: إجراء استعراض مكتبي للوثائق الأساسية، بما في ذلك القرار 25 والخطط الاستراتيجية للاتحاد والتقارير التشغيلية وتقارير الأداء ومراجعة الحسابات.</w:t>
      </w:r>
    </w:p>
    <w:p w14:paraId="5190CA2B" w14:textId="77777777" w:rsidR="00F53458" w:rsidRPr="00F53458" w:rsidRDefault="00F53458" w:rsidP="00EB0821">
      <w:pPr>
        <w:pStyle w:val="enumlev1"/>
        <w:rPr>
          <w:lang w:val="ar-SA" w:bidi="ar-EG"/>
        </w:rPr>
      </w:pPr>
      <w:r w:rsidRPr="00F53458">
        <w:rPr>
          <w:i/>
          <w:iCs/>
          <w:rtl/>
        </w:rPr>
        <w:t>ب)</w:t>
      </w:r>
      <w:r w:rsidRPr="00F53458">
        <w:rPr>
          <w:rtl/>
        </w:rPr>
        <w:tab/>
      </w:r>
      <w:r w:rsidRPr="00F53458">
        <w:rPr>
          <w:b/>
          <w:bCs/>
          <w:rtl/>
        </w:rPr>
        <w:t>تحليل البيانات</w:t>
      </w:r>
      <w:r w:rsidRPr="00F53458">
        <w:rPr>
          <w:rtl/>
        </w:rPr>
        <w:t>: تحليل نقاط البيانات الرئيسية، بما في ذلك هياكل التوظيف ومخصصات الميزانية ونتائج المشاريع، للكشف عن الاتجاهات والثغرات وفرص التحسين.</w:t>
      </w:r>
    </w:p>
    <w:p w14:paraId="3AA8C058" w14:textId="77777777" w:rsidR="00F53458" w:rsidRPr="00F53458" w:rsidRDefault="00F53458" w:rsidP="00EB0821">
      <w:pPr>
        <w:pStyle w:val="enumlev1"/>
        <w:rPr>
          <w:lang w:val="ar-SA" w:bidi="ar-EG"/>
        </w:rPr>
      </w:pPr>
      <w:r w:rsidRPr="00F53458">
        <w:rPr>
          <w:i/>
          <w:iCs/>
          <w:rtl/>
        </w:rPr>
        <w:t>ج)</w:t>
      </w:r>
      <w:r w:rsidRPr="00F53458">
        <w:rPr>
          <w:rtl/>
        </w:rPr>
        <w:tab/>
      </w:r>
      <w:r w:rsidRPr="00F53458">
        <w:rPr>
          <w:b/>
          <w:bCs/>
          <w:rtl/>
        </w:rPr>
        <w:t>مشاورات أصحاب المصلحة</w:t>
      </w:r>
      <w:r w:rsidRPr="00F53458">
        <w:rPr>
          <w:rtl/>
        </w:rPr>
        <w:t>: التواصل داخلياً مع أصحاب المصلحة الرئيسيين والتشاور مع الأفرقة الاستشارية للاتحاد من أجل اكتساب رؤى وإرشادات استراتيجية بشأن تشكيل الاتجاه المستقبلي للحضور الإقليمي للاتحاد.</w:t>
      </w:r>
    </w:p>
    <w:p w14:paraId="76E7B8F2" w14:textId="77777777" w:rsidR="00F53458" w:rsidRPr="00F53458" w:rsidRDefault="00F53458" w:rsidP="00EB0821">
      <w:pPr>
        <w:pStyle w:val="enumlev1"/>
        <w:rPr>
          <w:lang w:val="ar-SA" w:bidi="ar-EG"/>
        </w:rPr>
      </w:pPr>
      <w:r w:rsidRPr="00F53458">
        <w:rPr>
          <w:rtl/>
        </w:rPr>
        <w:tab/>
      </w:r>
      <w:r w:rsidRPr="00F53458">
        <w:rPr>
          <w:b/>
          <w:bCs/>
          <w:rtl/>
        </w:rPr>
        <w:t>استقصاءات أصحاب المصلحة</w:t>
      </w:r>
      <w:r w:rsidRPr="00F53458">
        <w:rPr>
          <w:rtl/>
        </w:rPr>
        <w:t xml:space="preserve">: إدارة وجمع تعليقات الأعضاء والمنظمات الإقليمية للاتصالات </w:t>
      </w:r>
      <w:r w:rsidRPr="00F53458">
        <w:rPr>
          <w:lang w:bidi="ar-EG"/>
        </w:rPr>
        <w:t>(RTO</w:t>
      </w:r>
      <w:r w:rsidRPr="00F53458">
        <w:t>)</w:t>
      </w:r>
      <w:r w:rsidRPr="00F53458">
        <w:rPr>
          <w:rtl/>
        </w:rPr>
        <w:t xml:space="preserve"> بشأن مستويات الرضا لقياس مدى تأثير الحضور الإقليمي مع إعطاء الأولوية لتقييم الرضا العام عن أنشطة المكاتب الإقليمية ومكاتب المناطق من قِبل أعضائها.</w:t>
      </w:r>
    </w:p>
    <w:p w14:paraId="32AF18F8" w14:textId="77AAEA04" w:rsidR="00F53458" w:rsidRPr="00F53458" w:rsidRDefault="00F53458" w:rsidP="00EB0821">
      <w:pPr>
        <w:pStyle w:val="enumlev1"/>
        <w:rPr>
          <w:b/>
          <w:bCs/>
          <w:lang w:val="ar-SA" w:bidi="ar-EG"/>
        </w:rPr>
      </w:pPr>
      <w:r w:rsidRPr="00CA7329">
        <w:rPr>
          <w:b/>
          <w:i/>
          <w:iCs/>
          <w:rtl/>
        </w:rPr>
        <w:t>د</w:t>
      </w:r>
      <w:r w:rsidR="00EB0821" w:rsidRPr="00CA7329">
        <w:rPr>
          <w:rFonts w:hint="cs"/>
          <w:b/>
          <w:i/>
          <w:iCs/>
          <w:rtl/>
        </w:rPr>
        <w:t> </w:t>
      </w:r>
      <w:r w:rsidRPr="00CA7329">
        <w:rPr>
          <w:b/>
          <w:i/>
          <w:iCs/>
          <w:rtl/>
        </w:rPr>
        <w:t>)</w:t>
      </w:r>
      <w:r w:rsidRPr="00F53458">
        <w:rPr>
          <w:bCs/>
          <w:rtl/>
        </w:rPr>
        <w:tab/>
      </w:r>
      <w:r w:rsidRPr="00F53458">
        <w:rPr>
          <w:b/>
          <w:bCs/>
          <w:rtl/>
        </w:rPr>
        <w:t>نطاق العمل</w:t>
      </w:r>
    </w:p>
    <w:p w14:paraId="025DC215" w14:textId="77777777" w:rsidR="00F53458" w:rsidRPr="00F53458" w:rsidRDefault="00F53458" w:rsidP="00EB0821">
      <w:pPr>
        <w:pStyle w:val="enumlev1"/>
        <w:rPr>
          <w:lang w:val="ar-SA" w:bidi="ar-EG"/>
        </w:rPr>
      </w:pPr>
      <w:r w:rsidRPr="00F53458">
        <w:rPr>
          <w:rtl/>
        </w:rPr>
        <w:tab/>
        <w:t>يهدف نطاق الاستعراض إلى معالجة الأبعاد التالية لعمليات الاتحاد:</w:t>
      </w:r>
    </w:p>
    <w:p w14:paraId="61EB46E4" w14:textId="6E4598CC" w:rsidR="00F53458" w:rsidRPr="00F53458" w:rsidRDefault="00F53458" w:rsidP="00EB0821">
      <w:pPr>
        <w:pStyle w:val="enumlev1"/>
        <w:rPr>
          <w:lang w:val="ar-SA" w:bidi="ar-EG"/>
        </w:rPr>
      </w:pPr>
      <w:r w:rsidRPr="00F53458">
        <w:rPr>
          <w:rtl/>
        </w:rPr>
        <w:tab/>
        <w:t>1</w:t>
      </w:r>
      <w:r w:rsidRPr="00F53458">
        <w:rPr>
          <w:rtl/>
        </w:rPr>
        <w:tab/>
        <w:t>تقييم ما إذا كانت الموارد المالية والبشرية والمادية تخصَّص على النحو المناسب والكافي للمكاتب الإقليمية ومكاتب المناطق، مع مراعاة خصائص كل منطقة لتمكينها من تنفيذ أنشطتها وتحقيق أهدافها المخططة بفعالية، وتمثيل الاتحاد ككل وإحداث التأثير.</w:t>
      </w:r>
    </w:p>
    <w:p w14:paraId="1A0B7991" w14:textId="4B701F1C" w:rsidR="00F53458" w:rsidRPr="00F53458" w:rsidRDefault="00F53458" w:rsidP="00EB0821">
      <w:pPr>
        <w:pStyle w:val="enumlev1"/>
        <w:rPr>
          <w:lang w:val="ar-SA" w:bidi="ar-EG"/>
        </w:rPr>
      </w:pPr>
      <w:r w:rsidRPr="00F53458">
        <w:rPr>
          <w:rtl/>
        </w:rPr>
        <w:lastRenderedPageBreak/>
        <w:tab/>
        <w:t>2</w:t>
      </w:r>
      <w:r w:rsidRPr="00F53458">
        <w:rPr>
          <w:rtl/>
        </w:rPr>
        <w:tab/>
        <w:t>استعراض وتقييم فعالية وظيفة تعبئة الموارد، وكذلك عمليات الاستعانة بالاستشاريين والتعاقد والتوظيف عبر اتفاقات الخدمة الخاصة في المكاتب الإقليمية ومكاتب المناطق، مع مراعاة مؤشرات الأداء الرئيسية </w:t>
      </w:r>
      <w:r w:rsidRPr="00F53458">
        <w:rPr>
          <w:lang w:bidi="ar-EG"/>
        </w:rPr>
        <w:t>(KPI</w:t>
      </w:r>
      <w:r w:rsidRPr="00F53458">
        <w:t>)</w:t>
      </w:r>
      <w:r w:rsidRPr="00F53458">
        <w:rPr>
          <w:rtl/>
        </w:rPr>
        <w:t xml:space="preserve"> المفصلة في الملحق B.</w:t>
      </w:r>
    </w:p>
    <w:p w14:paraId="454366E6" w14:textId="3B88BE65" w:rsidR="00F53458" w:rsidRPr="00F53458" w:rsidRDefault="00F53458" w:rsidP="00EB0821">
      <w:pPr>
        <w:pStyle w:val="enumlev1"/>
        <w:rPr>
          <w:lang w:val="ar-SA" w:bidi="ar-EG"/>
        </w:rPr>
      </w:pPr>
      <w:r w:rsidRPr="00F53458">
        <w:rPr>
          <w:rtl/>
        </w:rPr>
        <w:tab/>
        <w:t>3</w:t>
      </w:r>
      <w:r w:rsidRPr="00F53458">
        <w:rPr>
          <w:rtl/>
        </w:rPr>
        <w:tab/>
        <w:t xml:space="preserve">استعراض فعالية آليات التمويل المتعددة، بما في ذلك التمويل من خارج الميزانية (الصناديق </w:t>
      </w:r>
      <w:proofErr w:type="spellStart"/>
      <w:r w:rsidRPr="00F53458">
        <w:rPr>
          <w:rtl/>
        </w:rPr>
        <w:t>الاستئمانية</w:t>
      </w:r>
      <w:proofErr w:type="spellEnd"/>
      <w:r w:rsidR="001E5E4C">
        <w:rPr>
          <w:rFonts w:hint="cs"/>
          <w:rtl/>
        </w:rPr>
        <w:t> </w:t>
      </w:r>
      <w:r w:rsidRPr="00F53458">
        <w:rPr>
          <w:lang w:bidi="ar-EG"/>
        </w:rPr>
        <w:t>(FIT</w:t>
      </w:r>
      <w:r w:rsidRPr="00F53458">
        <w:t>)</w:t>
      </w:r>
      <w:r w:rsidRPr="00F53458">
        <w:rPr>
          <w:rtl/>
        </w:rPr>
        <w:t>، وما إلى ذلك)، ووظيفة تعبئة الموارد، ووظائف الإبلاغ والتقييم فيما يتعلق بتنفيذ المشاريع في إطار الحضور الإقليمي.</w:t>
      </w:r>
    </w:p>
    <w:p w14:paraId="45CF5A60" w14:textId="77777777" w:rsidR="00F53458" w:rsidRPr="00F53458" w:rsidRDefault="00F53458" w:rsidP="00EB0821">
      <w:pPr>
        <w:pStyle w:val="enumlev1"/>
        <w:rPr>
          <w:lang w:val="ar-SA" w:bidi="ar-EG"/>
        </w:rPr>
      </w:pPr>
      <w:r w:rsidRPr="00F53458">
        <w:rPr>
          <w:rtl/>
        </w:rPr>
        <w:tab/>
        <w:t>4</w:t>
      </w:r>
      <w:r w:rsidRPr="00F53458">
        <w:rPr>
          <w:rtl/>
        </w:rPr>
        <w:tab/>
        <w:t>تقييم مدى كفاية وفعالية عمليات الموافقة الداخلية.</w:t>
      </w:r>
    </w:p>
    <w:p w14:paraId="3ECAE007" w14:textId="2425E764" w:rsidR="00F53458" w:rsidRPr="00F53458" w:rsidRDefault="00F53458" w:rsidP="00EB0821">
      <w:pPr>
        <w:pStyle w:val="enumlev1"/>
        <w:rPr>
          <w:lang w:val="ar-SA" w:bidi="ar-EG"/>
        </w:rPr>
      </w:pPr>
      <w:r w:rsidRPr="00F53458">
        <w:rPr>
          <w:rtl/>
        </w:rPr>
        <w:tab/>
        <w:t>5</w:t>
      </w:r>
      <w:r w:rsidRPr="00F53458">
        <w:rPr>
          <w:rtl/>
        </w:rPr>
        <w:tab/>
        <w:t>تقييم تنفيذ تفويض السلطة والأوامر الإدارية ووثائق السياسات الداخلية ذات الصلة، بالإضافة إلى تقييم ما إذا كانت توجد أدوار ومسؤوليات واضحة بما يشمل أصحاب العمليات ووظائف الخط الثاني.</w:t>
      </w:r>
    </w:p>
    <w:p w14:paraId="08014D81" w14:textId="77777777" w:rsidR="00F53458" w:rsidRPr="00F53458" w:rsidRDefault="00F53458" w:rsidP="00EB0821">
      <w:pPr>
        <w:pStyle w:val="enumlev1"/>
        <w:rPr>
          <w:lang w:val="ar-SA" w:bidi="ar-EG"/>
        </w:rPr>
      </w:pPr>
      <w:r w:rsidRPr="00F53458">
        <w:rPr>
          <w:rtl/>
        </w:rPr>
        <w:tab/>
        <w:t>6</w:t>
      </w:r>
      <w:r w:rsidRPr="00F53458">
        <w:rPr>
          <w:rtl/>
        </w:rPr>
        <w:tab/>
        <w:t>تحليل كيفية دمج الحضور الإقليمي في الخطة الاستراتيجية للموارد البشرية، مع التركيز على التدريب والتطوير الوظيفي بما في ذلك تحديد ومعالجة الثغرات في الثقافة التنظيمية والمهارات، فضلاً عن تحديد عدد وأنواع الدورات التدريبية للموظفين التي أُجريت في كل مكتب إقليمي أو مكتب منطقة.</w:t>
      </w:r>
    </w:p>
    <w:p w14:paraId="350702FD" w14:textId="5D2AB63A" w:rsidR="00F53458" w:rsidRPr="00F53458" w:rsidRDefault="00F53458" w:rsidP="00EB0821">
      <w:pPr>
        <w:pStyle w:val="enumlev1"/>
        <w:rPr>
          <w:lang w:val="ar-SA" w:bidi="ar-EG"/>
        </w:rPr>
      </w:pPr>
      <w:r w:rsidRPr="00F53458">
        <w:rPr>
          <w:rtl/>
        </w:rPr>
        <w:tab/>
        <w:t>7</w:t>
      </w:r>
      <w:r w:rsidRPr="00F53458">
        <w:rPr>
          <w:rtl/>
        </w:rPr>
        <w:tab/>
        <w:t>مقارنة جميع أنشطة بناء وتنمية القدرات التي تضطلع بها المكاتب الإقليمية ومكاتب المناطق مع الإطار الخاص بمراكز التدريب التابعة لأكاديمية الاتحاد.</w:t>
      </w:r>
    </w:p>
    <w:p w14:paraId="690A756E" w14:textId="77777777" w:rsidR="00F53458" w:rsidRPr="00F53458" w:rsidRDefault="00F53458" w:rsidP="00EB0821">
      <w:pPr>
        <w:pStyle w:val="enumlev1"/>
        <w:rPr>
          <w:lang w:val="ar-SA" w:bidi="ar-EG"/>
        </w:rPr>
      </w:pPr>
      <w:r w:rsidRPr="00F53458">
        <w:rPr>
          <w:rtl/>
        </w:rPr>
        <w:tab/>
        <w:t>8</w:t>
      </w:r>
      <w:r w:rsidRPr="00F53458">
        <w:rPr>
          <w:rtl/>
        </w:rPr>
        <w:tab/>
        <w:t>تحديد العوائق والتحديات التي يواجهها الموظفون للمشاركة في الأحداث، بما في ذلك التكاليف المرتبطة بها، أو النتائج المتوقعة، كوسيلة لتحسين المشاركة في أحداث الاتحاد، حسب الاقتضاء، بالإضافة إلى تقديم توصيات بشأن كيفية تحسين مشاركة المكاتب الإقليمية ومكاتب المناطق.</w:t>
      </w:r>
    </w:p>
    <w:p w14:paraId="5147EEC7" w14:textId="77777777" w:rsidR="00F53458" w:rsidRPr="00F53458" w:rsidRDefault="00F53458" w:rsidP="00EB0821">
      <w:pPr>
        <w:pStyle w:val="enumlev1"/>
        <w:rPr>
          <w:lang w:val="ar-SA" w:bidi="ar-EG"/>
        </w:rPr>
      </w:pPr>
      <w:r w:rsidRPr="00F53458">
        <w:rPr>
          <w:rtl/>
        </w:rPr>
        <w:tab/>
      </w:r>
      <w:r w:rsidRPr="000C0C30">
        <w:rPr>
          <w:rtl/>
        </w:rPr>
        <w:t>9</w:t>
      </w:r>
      <w:r w:rsidRPr="000C0C30">
        <w:rPr>
          <w:rtl/>
        </w:rPr>
        <w:tab/>
        <w:t xml:space="preserve">تقييم ما إذا كانت التقارير المقدمة إلى مجلس الاتحاد ومكاتبه بشأن الحضور الإقليمي توفر معلومات كافية عن أنشطته الرامية إلى الوفاء بالخطة الاستراتيجية للاتحاد وخطة عمل كيغالي والمبادرات الإقليمية والخطط التشغيلية السنوية الرباعية المتجددة للأمانة العامة والقطاعات الثلاثة، وتلبية طلبات الدول الأعضاء للحصول على المساعدة مع مراعاة مؤشرات الأداء الرئيسية المفصلة في الملحق </w:t>
      </w:r>
      <w:r w:rsidRPr="000C0C30">
        <w:rPr>
          <w:lang w:bidi="ar-EG"/>
        </w:rPr>
        <w:t>B</w:t>
      </w:r>
      <w:r w:rsidRPr="000C0C30">
        <w:rPr>
          <w:rtl/>
        </w:rPr>
        <w:t>.</w:t>
      </w:r>
    </w:p>
    <w:p w14:paraId="4FA01EC2" w14:textId="59CB1059" w:rsidR="00F53458" w:rsidRPr="00F53458" w:rsidRDefault="00F53458" w:rsidP="00EB0821">
      <w:pPr>
        <w:pStyle w:val="enumlev1"/>
        <w:rPr>
          <w:lang w:val="ar-SA" w:bidi="ar-EG"/>
        </w:rPr>
      </w:pPr>
      <w:r w:rsidRPr="00F53458">
        <w:rPr>
          <w:rtl/>
        </w:rPr>
        <w:tab/>
        <w:t>10</w:t>
      </w:r>
      <w:r w:rsidRPr="00F53458">
        <w:rPr>
          <w:rtl/>
        </w:rPr>
        <w:tab/>
        <w:t>تقييم الآليات، باستخدام الأهداف المحددة، بما في ذلك آليات الاتصال، وأثر التنسيق والتخطيط والتنفيذ بين المكاتب الإقليمية ومكاتب المناطق والأمانة العامة والمكاتب الثلاثة والمنظمات الإقليمية فيما يتعلق بأحداث الاتحاد واجتماعاته ومؤتمراته الإقليمية وتحديد التحسينات والإجراءات التي من شأنها أن تعزز أوجه التآزر في تنسيق الأنشطة والمشاريع والمبادرات بين المكاتب الإقليمية/مكاتب المناطق ومقر الاتحاد والتبليغ بها.</w:t>
      </w:r>
    </w:p>
    <w:p w14:paraId="4CC8E9D8" w14:textId="77777777" w:rsidR="00F53458" w:rsidRPr="00F53458" w:rsidRDefault="00F53458" w:rsidP="00EB0821">
      <w:pPr>
        <w:pStyle w:val="enumlev1"/>
        <w:rPr>
          <w:lang w:val="ar-SA" w:bidi="ar-EG"/>
        </w:rPr>
      </w:pPr>
      <w:r w:rsidRPr="00F53458">
        <w:rPr>
          <w:rtl/>
        </w:rPr>
        <w:tab/>
        <w:t>11</w:t>
      </w:r>
      <w:r w:rsidRPr="00F53458">
        <w:rPr>
          <w:rtl/>
        </w:rPr>
        <w:tab/>
        <w:t>تقييم آليات إشراك الأعضاء وفعاليتها، وفضلاً عن آليات التعاون مع المنظمات الدولية والإقليمية ودون الإقليمية الأخرى ومنظمات الأمم المتحدة.</w:t>
      </w:r>
    </w:p>
    <w:p w14:paraId="52BFD67D" w14:textId="6BCD62CA" w:rsidR="00F53458" w:rsidRPr="00F53458" w:rsidRDefault="00F53458" w:rsidP="00EB0821">
      <w:pPr>
        <w:pStyle w:val="enumlev1"/>
        <w:rPr>
          <w:lang w:val="ar-SA" w:bidi="ar-EG"/>
        </w:rPr>
      </w:pPr>
      <w:r w:rsidRPr="00F53458">
        <w:rPr>
          <w:rtl/>
        </w:rPr>
        <w:tab/>
        <w:t>12</w:t>
      </w:r>
      <w:r w:rsidRPr="00F53458">
        <w:rPr>
          <w:rtl/>
        </w:rPr>
        <w:tab/>
        <w:t>اقتراح نُهج للمكاتب الإقليمية ومكاتب المناطق لتعزيز تنسيق عمل البلدان التي لا تنتمي إلى منظمة إقليمية محددة للاتصالات</w:t>
      </w:r>
      <w:r w:rsidR="000C0C30">
        <w:rPr>
          <w:rFonts w:hint="cs"/>
          <w:rtl/>
          <w:lang w:bidi="ar-EG"/>
        </w:rPr>
        <w:t xml:space="preserve"> </w:t>
      </w:r>
      <w:r w:rsidR="000C0C30">
        <w:t>(RTO)</w:t>
      </w:r>
      <w:r w:rsidRPr="00F53458">
        <w:rPr>
          <w:rtl/>
        </w:rPr>
        <w:t>، والمنظمة الإقليمية للاتصالات المعنية في العمليات الإقليمية التحضيرية لجمعيات الاتحاد ومؤتمراته العالمية.</w:t>
      </w:r>
    </w:p>
    <w:p w14:paraId="24945D24" w14:textId="77777777" w:rsidR="00F53458" w:rsidRPr="00F53458" w:rsidRDefault="00F53458" w:rsidP="00EB0821">
      <w:pPr>
        <w:pStyle w:val="Headingb"/>
        <w:rPr>
          <w:lang w:val="ar-SA" w:bidi="ar-EG"/>
        </w:rPr>
      </w:pPr>
      <w:r w:rsidRPr="00F53458">
        <w:rPr>
          <w:rtl/>
        </w:rPr>
        <w:t>النواتج</w:t>
      </w:r>
    </w:p>
    <w:p w14:paraId="6AC5FED9" w14:textId="481FCBAB" w:rsidR="00F53458" w:rsidRPr="00F53458" w:rsidRDefault="00F53458" w:rsidP="00F53458">
      <w:pPr>
        <w:rPr>
          <w:lang w:val="ar-SA" w:bidi="ar-EG"/>
        </w:rPr>
      </w:pPr>
      <w:r w:rsidRPr="00F53458">
        <w:rPr>
          <w:rtl/>
        </w:rPr>
        <w:t>ستصدر أمانة الاتحاد، من خلال عملية الاستعراض، النواتج التالية</w:t>
      </w:r>
      <w:r w:rsidRPr="00F53458">
        <w:rPr>
          <w:lang w:bidi="ar-EG"/>
        </w:rPr>
        <w:t>:</w:t>
      </w:r>
    </w:p>
    <w:p w14:paraId="48CEC3B1" w14:textId="2BDF3DC3" w:rsidR="00F53458" w:rsidRPr="00F53458" w:rsidRDefault="000C0C30" w:rsidP="00EB0821">
      <w:pPr>
        <w:pStyle w:val="enumlev1"/>
        <w:rPr>
          <w:lang w:val="ar-SA" w:bidi="ar-EG"/>
        </w:rPr>
      </w:pPr>
      <w:r>
        <w:rPr>
          <w:rFonts w:hint="cs"/>
          <w:rtl/>
          <w:lang w:bidi="ar-EG"/>
        </w:rPr>
        <w:t>-</w:t>
      </w:r>
      <w:r w:rsidR="00F53458" w:rsidRPr="00F53458">
        <w:rPr>
          <w:rtl/>
        </w:rPr>
        <w:tab/>
        <w:t>تقرير أولي يعرض خطة العمل التفصيلية والمنهجية والآثار المالية، إن وُجدت.</w:t>
      </w:r>
    </w:p>
    <w:p w14:paraId="3F3636B1" w14:textId="373193B9" w:rsidR="00F53458" w:rsidRPr="00F53458" w:rsidRDefault="000C0C30" w:rsidP="00EB0821">
      <w:pPr>
        <w:pStyle w:val="enumlev1"/>
        <w:rPr>
          <w:lang w:val="ar-SA" w:bidi="ar-EG"/>
        </w:rPr>
      </w:pPr>
      <w:r>
        <w:rPr>
          <w:rFonts w:hint="cs"/>
          <w:rtl/>
          <w:lang w:bidi="ar-EG"/>
        </w:rPr>
        <w:t>-</w:t>
      </w:r>
      <w:r w:rsidR="00F53458" w:rsidRPr="00F53458">
        <w:rPr>
          <w:rtl/>
        </w:rPr>
        <w:tab/>
        <w:t>تقرير مرحلي يتضمن النتائج والتوصيات الأولية.</w:t>
      </w:r>
    </w:p>
    <w:p w14:paraId="1DDCF287" w14:textId="1B117009" w:rsidR="00F53458" w:rsidRPr="00F53458" w:rsidRDefault="000C0C30" w:rsidP="00EB0821">
      <w:pPr>
        <w:pStyle w:val="enumlev1"/>
        <w:rPr>
          <w:lang w:val="ar-SA" w:bidi="ar-EG"/>
        </w:rPr>
      </w:pPr>
      <w:r>
        <w:rPr>
          <w:rFonts w:hint="cs"/>
          <w:rtl/>
          <w:lang w:bidi="ar-EG"/>
        </w:rPr>
        <w:t>-</w:t>
      </w:r>
      <w:r w:rsidR="00F53458" w:rsidRPr="00F53458">
        <w:rPr>
          <w:rtl/>
        </w:rPr>
        <w:tab/>
        <w:t>تقرير نهائي يتضمن تحليلاً شاملاً واستنتاجات وتوصيات قابلة للتنفيذ.</w:t>
      </w:r>
    </w:p>
    <w:p w14:paraId="4050F0CC" w14:textId="355B7DD6" w:rsidR="00F53458" w:rsidRPr="00F53458" w:rsidRDefault="000C0C30" w:rsidP="00EB0821">
      <w:pPr>
        <w:pStyle w:val="enumlev1"/>
        <w:rPr>
          <w:lang w:val="ar-SA" w:bidi="ar-EG"/>
        </w:rPr>
      </w:pPr>
      <w:r>
        <w:rPr>
          <w:rFonts w:hint="cs"/>
          <w:rtl/>
          <w:lang w:bidi="ar-EG"/>
        </w:rPr>
        <w:t>-</w:t>
      </w:r>
      <w:r w:rsidR="00F53458" w:rsidRPr="00F53458">
        <w:rPr>
          <w:rtl/>
        </w:rPr>
        <w:tab/>
        <w:t>تقديم تقرير نهائي والنتائج الرئيسية إلى مجلس الاتحاد.</w:t>
      </w:r>
    </w:p>
    <w:p w14:paraId="7C328E15" w14:textId="77777777" w:rsidR="00F53458" w:rsidRPr="00F53458" w:rsidRDefault="00F53458" w:rsidP="00EB0821">
      <w:pPr>
        <w:pStyle w:val="Headingb"/>
        <w:rPr>
          <w:lang w:val="ar-SA" w:bidi="ar-EG"/>
        </w:rPr>
      </w:pPr>
      <w:r w:rsidRPr="00F53458">
        <w:rPr>
          <w:rtl/>
        </w:rPr>
        <w:t>الإطار الزمني</w:t>
      </w:r>
    </w:p>
    <w:p w14:paraId="3A81C2E0" w14:textId="5658421D" w:rsidR="00F53458" w:rsidRPr="00F53458" w:rsidRDefault="000C0C30" w:rsidP="00EB0821">
      <w:pPr>
        <w:pStyle w:val="enumlev1"/>
        <w:rPr>
          <w:lang w:val="ar-SA" w:bidi="ar-EG"/>
        </w:rPr>
      </w:pPr>
      <w:r>
        <w:rPr>
          <w:rFonts w:hint="cs"/>
          <w:rtl/>
          <w:lang w:bidi="ar-EG"/>
        </w:rPr>
        <w:t>-</w:t>
      </w:r>
      <w:r w:rsidR="00F53458" w:rsidRPr="00F53458">
        <w:rPr>
          <w:rtl/>
        </w:rPr>
        <w:tab/>
        <w:t>التقرير الأولي: يونيو 2025، المجلس</w:t>
      </w:r>
    </w:p>
    <w:p w14:paraId="1F1DDFF9" w14:textId="1D167074" w:rsidR="00F53458" w:rsidRPr="00F53458" w:rsidRDefault="000C0C30" w:rsidP="00EB0821">
      <w:pPr>
        <w:pStyle w:val="enumlev1"/>
        <w:rPr>
          <w:lang w:val="ar-SA" w:bidi="ar-EG"/>
        </w:rPr>
      </w:pPr>
      <w:r>
        <w:rPr>
          <w:rFonts w:hint="cs"/>
          <w:rtl/>
          <w:lang w:bidi="ar-EG"/>
        </w:rPr>
        <w:t>-</w:t>
      </w:r>
      <w:r w:rsidR="00F53458" w:rsidRPr="00F53458">
        <w:rPr>
          <w:rtl/>
        </w:rPr>
        <w:tab/>
        <w:t xml:space="preserve">التقريران المرحليان: سبتمبر/أكتوبر 2025 ويناير/فبراير 2026، </w:t>
      </w:r>
      <w:r>
        <w:rPr>
          <w:rFonts w:hint="cs"/>
          <w:rtl/>
        </w:rPr>
        <w:t>اجتماعا</w:t>
      </w:r>
      <w:r w:rsidRPr="00F53458">
        <w:rPr>
          <w:rtl/>
        </w:rPr>
        <w:t xml:space="preserve"> </w:t>
      </w:r>
      <w:r w:rsidR="00F53458" w:rsidRPr="00F53458">
        <w:rPr>
          <w:rtl/>
        </w:rPr>
        <w:t>فريق العمل التابع للمجلس والمعني بالموارد المالية والبشرية</w:t>
      </w:r>
    </w:p>
    <w:p w14:paraId="464F2BB6" w14:textId="340F629D" w:rsidR="00F53458" w:rsidRPr="00F53458" w:rsidRDefault="000C0C30" w:rsidP="009A1A48">
      <w:pPr>
        <w:pStyle w:val="enumlev1"/>
        <w:rPr>
          <w:lang w:bidi="ar-EG"/>
        </w:rPr>
      </w:pPr>
      <w:r>
        <w:rPr>
          <w:rFonts w:hint="cs"/>
          <w:rtl/>
          <w:lang w:bidi="ar-EG"/>
        </w:rPr>
        <w:t>-</w:t>
      </w:r>
      <w:r w:rsidR="00F53458" w:rsidRPr="00F53458">
        <w:rPr>
          <w:rtl/>
        </w:rPr>
        <w:tab/>
        <w:t>التقرير النهائي: يقدَّم إلى مجلس الاتحاد، أبريل 2026.</w:t>
      </w:r>
      <w:r w:rsidR="00F53458" w:rsidRPr="00F53458">
        <w:rPr>
          <w:lang w:bidi="ar-EG"/>
        </w:rPr>
        <w:br w:type="page"/>
      </w:r>
    </w:p>
    <w:p w14:paraId="664CBF7B" w14:textId="77777777" w:rsidR="00F53458" w:rsidRPr="003373E5" w:rsidRDefault="00F53458" w:rsidP="00933AC9">
      <w:pPr>
        <w:pStyle w:val="AnnexNo"/>
        <w:rPr>
          <w:b/>
          <w:bCs/>
          <w:lang w:val="ar-SA" w:bidi="ar-EG"/>
        </w:rPr>
      </w:pPr>
      <w:bookmarkStart w:id="1" w:name="Annex_1"/>
      <w:r w:rsidRPr="003373E5">
        <w:rPr>
          <w:b/>
          <w:bCs/>
          <w:rtl/>
        </w:rPr>
        <w:lastRenderedPageBreak/>
        <w:t xml:space="preserve">الملحق </w:t>
      </w:r>
      <w:r w:rsidRPr="003373E5">
        <w:rPr>
          <w:b/>
          <w:bCs/>
          <w:lang w:bidi="ar-EG"/>
        </w:rPr>
        <w:t>B</w:t>
      </w:r>
      <w:bookmarkEnd w:id="1"/>
    </w:p>
    <w:p w14:paraId="295AADC6" w14:textId="4D46ED89" w:rsidR="00F53458" w:rsidRPr="00F53458" w:rsidRDefault="00F53458" w:rsidP="00933AC9">
      <w:pPr>
        <w:pStyle w:val="Annextitle"/>
        <w:rPr>
          <w:lang w:val="ar-SA" w:bidi="ar-EG"/>
        </w:rPr>
      </w:pPr>
      <w:r w:rsidRPr="00F53458">
        <w:rPr>
          <w:rtl/>
        </w:rPr>
        <w:t xml:space="preserve">مؤشرات الأداء الرئيسية ومعايير التقييم </w:t>
      </w:r>
      <w:r w:rsidR="009A1A48">
        <w:rPr>
          <w:rtl/>
        </w:rPr>
        <w:br/>
      </w:r>
      <w:r w:rsidRPr="00F53458">
        <w:rPr>
          <w:rtl/>
        </w:rPr>
        <w:t>التي يتعين مراعاتها عند إجراء استعراض الحضور الإقليمي للاتحاد</w:t>
      </w:r>
    </w:p>
    <w:p w14:paraId="16C94179" w14:textId="5715BE51" w:rsidR="00F53458" w:rsidRPr="00346E30" w:rsidRDefault="00F53458" w:rsidP="00F53458">
      <w:pPr>
        <w:rPr>
          <w:spacing w:val="-4"/>
          <w:lang w:val="ar-SA" w:bidi="ar-EG"/>
        </w:rPr>
      </w:pPr>
      <w:r w:rsidRPr="00346E30">
        <w:rPr>
          <w:spacing w:val="-4"/>
          <w:rtl/>
        </w:rPr>
        <w:t>لضمان إجراء تقييم شامل ومؤثر للحضور الإقليمي للاتحاد، سيسترشد الاستعراض بمؤشرات الأداء الرئيسية ومعايير التقييم التالية</w:t>
      </w:r>
      <w:r w:rsidRPr="00346E30">
        <w:rPr>
          <w:spacing w:val="-4"/>
          <w:lang w:bidi="ar-EG"/>
        </w:rPr>
        <w:t>:</w:t>
      </w:r>
    </w:p>
    <w:p w14:paraId="41E18FCE" w14:textId="77777777" w:rsidR="00F53458" w:rsidRPr="00F53458" w:rsidRDefault="00F53458" w:rsidP="00C416D8">
      <w:pPr>
        <w:pStyle w:val="enumlev1"/>
        <w:rPr>
          <w:lang w:val="ar-SA" w:bidi="ar-EG"/>
        </w:rPr>
      </w:pPr>
      <w:r w:rsidRPr="00F53458">
        <w:rPr>
          <w:rtl/>
        </w:rPr>
        <w:t>1</w:t>
      </w:r>
      <w:r w:rsidRPr="00F53458">
        <w:rPr>
          <w:rtl/>
        </w:rPr>
        <w:tab/>
        <w:t>النسبة المئوية للأهداف الاستراتيجية وأهداف خطة العمل التي يتم تحقيقها.</w:t>
      </w:r>
    </w:p>
    <w:p w14:paraId="0556AB4E" w14:textId="1B83E012" w:rsidR="00F53458" w:rsidRPr="00F53458" w:rsidRDefault="00F53458" w:rsidP="00C416D8">
      <w:pPr>
        <w:pStyle w:val="enumlev1"/>
        <w:rPr>
          <w:lang w:val="ar-SA" w:bidi="ar-EG"/>
        </w:rPr>
      </w:pPr>
      <w:r w:rsidRPr="00F53458">
        <w:rPr>
          <w:rtl/>
        </w:rPr>
        <w:t>2</w:t>
      </w:r>
      <w:r w:rsidRPr="00F53458">
        <w:rPr>
          <w:rtl/>
        </w:rPr>
        <w:tab/>
        <w:t>النسبة المئوية لخطط عمل/أداء الموظفين المتوافقة صراحةً مع الخطة الاستراتيجية وخطة عمل كيغالي.</w:t>
      </w:r>
    </w:p>
    <w:p w14:paraId="68F67E2A" w14:textId="77777777" w:rsidR="00F53458" w:rsidRPr="00F53458" w:rsidRDefault="00F53458" w:rsidP="00C416D8">
      <w:pPr>
        <w:pStyle w:val="enumlev1"/>
        <w:rPr>
          <w:lang w:val="ar-SA" w:bidi="ar-EG"/>
        </w:rPr>
      </w:pPr>
      <w:r w:rsidRPr="00F53458">
        <w:rPr>
          <w:rtl/>
        </w:rPr>
        <w:t>3</w:t>
      </w:r>
      <w:r w:rsidRPr="00F53458">
        <w:rPr>
          <w:rtl/>
        </w:rPr>
        <w:tab/>
        <w:t>متوسط الوقت الذي يستغرقه موظفو المكاتب الإقليمية ومكاتب المناطق لمعالجة/استكمال طلبات الدول الأعضاء الحصول على المساعدة.</w:t>
      </w:r>
    </w:p>
    <w:p w14:paraId="5352FF40" w14:textId="77777777" w:rsidR="00F53458" w:rsidRPr="00F53458" w:rsidRDefault="00F53458" w:rsidP="00C416D8">
      <w:pPr>
        <w:pStyle w:val="enumlev1"/>
        <w:rPr>
          <w:lang w:val="ar-SA" w:bidi="ar-EG"/>
        </w:rPr>
      </w:pPr>
      <w:r w:rsidRPr="00F53458">
        <w:rPr>
          <w:rtl/>
        </w:rPr>
        <w:t>4</w:t>
      </w:r>
      <w:r w:rsidRPr="00F53458">
        <w:rPr>
          <w:rtl/>
        </w:rPr>
        <w:tab/>
        <w:t>التقييمات الواردة في التعليقات بشأن الرضا العام عن أنشطة المكاتب الإقليمية ومكاتب المناطق من قِبل أعضائها.</w:t>
      </w:r>
    </w:p>
    <w:p w14:paraId="32172CF7" w14:textId="77777777" w:rsidR="00F53458" w:rsidRPr="00346E30" w:rsidRDefault="00F53458" w:rsidP="00C416D8">
      <w:pPr>
        <w:pStyle w:val="enumlev1"/>
        <w:rPr>
          <w:spacing w:val="-4"/>
          <w:lang w:val="ar-SA" w:bidi="ar-EG"/>
        </w:rPr>
      </w:pPr>
      <w:r w:rsidRPr="00F53458">
        <w:rPr>
          <w:rtl/>
        </w:rPr>
        <w:t>5</w:t>
      </w:r>
      <w:r w:rsidRPr="00F53458">
        <w:rPr>
          <w:rtl/>
        </w:rPr>
        <w:tab/>
      </w:r>
      <w:r w:rsidRPr="00346E30">
        <w:rPr>
          <w:spacing w:val="-4"/>
          <w:rtl/>
        </w:rPr>
        <w:t>التقييمات الواردة في التعليقات المقدمة من المكاتب الإقليمية ومكاتب المناطق والدول الأعضاء فيما يتعلق بكفاية الموارد.</w:t>
      </w:r>
    </w:p>
    <w:p w14:paraId="3E24DD17" w14:textId="77777777" w:rsidR="00F53458" w:rsidRPr="00F53458" w:rsidRDefault="00F53458" w:rsidP="00C416D8">
      <w:pPr>
        <w:pStyle w:val="enumlev1"/>
        <w:rPr>
          <w:lang w:val="ar-SA" w:bidi="ar-EG"/>
        </w:rPr>
      </w:pPr>
      <w:r w:rsidRPr="00F53458">
        <w:rPr>
          <w:rtl/>
        </w:rPr>
        <w:t>6</w:t>
      </w:r>
      <w:r w:rsidRPr="00F53458">
        <w:rPr>
          <w:rtl/>
        </w:rPr>
        <w:tab/>
        <w:t>عدد المبادرات الإقليمية التي نُفذت بنجاح باستخدام الموارد المخصصة لها.</w:t>
      </w:r>
    </w:p>
    <w:p w14:paraId="2742A1A2" w14:textId="0EF3B9DF" w:rsidR="00F53458" w:rsidRPr="00F53458" w:rsidRDefault="00F53458" w:rsidP="00C416D8">
      <w:pPr>
        <w:pStyle w:val="enumlev1"/>
        <w:rPr>
          <w:lang w:val="ar-SA" w:bidi="ar-EG"/>
        </w:rPr>
      </w:pPr>
      <w:r w:rsidRPr="00F53458">
        <w:rPr>
          <w:rtl/>
        </w:rPr>
        <w:t>7</w:t>
      </w:r>
      <w:r w:rsidRPr="00F53458">
        <w:rPr>
          <w:rtl/>
        </w:rPr>
        <w:tab/>
        <w:t>التوصيات المتعلقة بكيفية التغلب على أي صعوبات في جمع البيانات أو إبراز التقدم المحرز في مؤشرات الأداء الرئيسية فيما يتعلق بالإبلاغ.</w:t>
      </w:r>
    </w:p>
    <w:p w14:paraId="423F9B5E" w14:textId="372E67DE" w:rsidR="00F53458" w:rsidRPr="00F53458" w:rsidRDefault="00F53458" w:rsidP="00C416D8">
      <w:pPr>
        <w:pStyle w:val="enumlev1"/>
        <w:rPr>
          <w:lang w:val="ar-SA" w:bidi="ar-EG"/>
        </w:rPr>
      </w:pPr>
      <w:r w:rsidRPr="00F53458">
        <w:rPr>
          <w:rtl/>
        </w:rPr>
        <w:t>8</w:t>
      </w:r>
      <w:r w:rsidRPr="00F53458">
        <w:rPr>
          <w:rtl/>
        </w:rPr>
        <w:tab/>
        <w:t>تقييم مدى فعالية المعلومات/مؤشرات الأداء الرئيسية المستخدمة للإبلاغ عن إجراءات وفعالية المكاتب الإقليمية ومكاتب المناطق في مواءمة أعمالها وأنشطتها ونتائجها مع الخطة الاستراتيجية للاتحاد للفترة 2023-2026 وخطة عمل كيغالي، بما في ذلك أولوياتها المحورية ونتائجها ونواتجها ومبادراتها الإقليمية، تماشياً مع الخطة الاستراتيجية.</w:t>
      </w:r>
    </w:p>
    <w:p w14:paraId="1D3844FC" w14:textId="0A5390E9" w:rsidR="00F53458" w:rsidRPr="00F53458" w:rsidRDefault="00F53458" w:rsidP="00C416D8">
      <w:pPr>
        <w:pStyle w:val="enumlev1"/>
        <w:rPr>
          <w:lang w:val="ar-SA" w:bidi="ar-EG"/>
        </w:rPr>
      </w:pPr>
      <w:r w:rsidRPr="00F53458">
        <w:rPr>
          <w:rtl/>
        </w:rPr>
        <w:t>9</w:t>
      </w:r>
      <w:r w:rsidRPr="00F53458">
        <w:rPr>
          <w:rtl/>
        </w:rPr>
        <w:tab/>
        <w:t xml:space="preserve">تقييم مشاركة الموظفين والخطوات المحددة التي تم اتخاذها في مجال وضع مؤشرات الأداء الرئيسية للفريق الاستشاري لتنمية الاتصالات </w:t>
      </w:r>
      <w:r w:rsidRPr="00F53458">
        <w:rPr>
          <w:lang w:bidi="ar-EG"/>
        </w:rPr>
        <w:t>(TDAG</w:t>
      </w:r>
      <w:r w:rsidRPr="00F53458">
        <w:t>)</w:t>
      </w:r>
      <w:r w:rsidRPr="00F53458">
        <w:rPr>
          <w:rtl/>
        </w:rPr>
        <w:t>.</w:t>
      </w:r>
    </w:p>
    <w:p w14:paraId="12BB373D" w14:textId="77777777" w:rsidR="00F53458" w:rsidRPr="00F53458" w:rsidRDefault="00F53458" w:rsidP="00C416D8">
      <w:pPr>
        <w:pStyle w:val="enumlev1"/>
        <w:rPr>
          <w:lang w:val="ar-SA" w:bidi="ar-EG"/>
        </w:rPr>
      </w:pPr>
      <w:r w:rsidRPr="00F53458">
        <w:rPr>
          <w:rtl/>
        </w:rPr>
        <w:t>10</w:t>
      </w:r>
      <w:r w:rsidRPr="00F53458">
        <w:rPr>
          <w:rtl/>
        </w:rPr>
        <w:tab/>
        <w:t>توثيق التحديات التي يواجهها الموظفون للمشاركة في الأحداث، من قبيل الصعوبات اللوجستية أو الحواجز التي تحول دون المشاركة أو التكاليف المرتبطة بمشاركة موظفي المكاتب الإقليمية ومكاتب المناطق.</w:t>
      </w:r>
      <w:bookmarkStart w:id="2" w:name="_Hlk187312610"/>
      <w:bookmarkEnd w:id="2"/>
    </w:p>
    <w:p w14:paraId="3342E1C6" w14:textId="752BE976" w:rsidR="00F53458" w:rsidRPr="00F53458" w:rsidRDefault="00F53458" w:rsidP="00C416D8">
      <w:pPr>
        <w:pStyle w:val="enumlev1"/>
        <w:rPr>
          <w:lang w:val="ar-SA" w:bidi="ar-EG"/>
        </w:rPr>
      </w:pPr>
      <w:r w:rsidRPr="00F53458">
        <w:rPr>
          <w:rtl/>
        </w:rPr>
        <w:t>11</w:t>
      </w:r>
      <w:r w:rsidRPr="00F53458">
        <w:rPr>
          <w:rtl/>
        </w:rPr>
        <w:tab/>
        <w:t>تقديم توصيات من موظفي المكاتب الإقليمية ومكاتب المناطق بشأن أفضل السبل لزيادة التفاعل مع أصحاب المصلحة الإقليميين خلال الأحداث العالمية.</w:t>
      </w:r>
    </w:p>
    <w:p w14:paraId="27DC2EC4" w14:textId="30A854BF" w:rsidR="00F53458" w:rsidRPr="00F53458" w:rsidRDefault="00F53458" w:rsidP="00C416D8">
      <w:pPr>
        <w:pStyle w:val="enumlev1"/>
        <w:rPr>
          <w:lang w:val="ar-SA" w:bidi="ar-EG"/>
        </w:rPr>
      </w:pPr>
      <w:r w:rsidRPr="00F53458">
        <w:rPr>
          <w:rtl/>
        </w:rPr>
        <w:t>12</w:t>
      </w:r>
      <w:r w:rsidRPr="00F53458">
        <w:rPr>
          <w:rtl/>
        </w:rPr>
        <w:tab/>
        <w:t>بناءً على التوصيات المقدمة، تقييم ما إذا كان تنفيذ خطة عمل لتعزيز مشاركة موظفي المكاتب الإقليمية ومكاتب المناطق في الأحداث سيزيد من القيمة المضافة لمشاركتهم.</w:t>
      </w:r>
    </w:p>
    <w:p w14:paraId="44FAD3C5" w14:textId="77777777" w:rsidR="00F53458" w:rsidRPr="00F53458" w:rsidRDefault="00F53458" w:rsidP="00C416D8">
      <w:pPr>
        <w:pStyle w:val="enumlev1"/>
        <w:rPr>
          <w:lang w:val="ar-SA" w:bidi="ar-EG"/>
        </w:rPr>
      </w:pPr>
      <w:r w:rsidRPr="00F53458">
        <w:rPr>
          <w:rtl/>
        </w:rPr>
        <w:t>13</w:t>
      </w:r>
      <w:r w:rsidRPr="00F53458">
        <w:rPr>
          <w:rtl/>
        </w:rPr>
        <w:tab/>
        <w:t>حجم الموارد البشرية والمالية في المكاتب الإقليمية ومكاتب المناطق بما في ذلك:</w:t>
      </w:r>
    </w:p>
    <w:p w14:paraId="659AF9BE" w14:textId="7917E14F" w:rsidR="00F53458" w:rsidRPr="00F53458" w:rsidRDefault="00EB0821" w:rsidP="00C416D8">
      <w:pPr>
        <w:pStyle w:val="enumlev2"/>
        <w:rPr>
          <w:lang w:val="ar-SA" w:bidi="ar-EG"/>
        </w:rPr>
      </w:pPr>
      <w:r>
        <w:rPr>
          <w:rFonts w:hint="cs"/>
          <w:i/>
          <w:iCs/>
          <w:rtl/>
        </w:rPr>
        <w:t> </w:t>
      </w:r>
      <w:r w:rsidR="00F53458" w:rsidRPr="00F53458">
        <w:rPr>
          <w:i/>
          <w:iCs/>
          <w:rtl/>
        </w:rPr>
        <w:t>أ</w:t>
      </w:r>
      <w:r>
        <w:rPr>
          <w:rFonts w:hint="cs"/>
          <w:i/>
          <w:iCs/>
          <w:rtl/>
        </w:rPr>
        <w:t> </w:t>
      </w:r>
      <w:r w:rsidR="00F53458" w:rsidRPr="00F53458">
        <w:rPr>
          <w:i/>
          <w:iCs/>
          <w:rtl/>
        </w:rPr>
        <w:t>)</w:t>
      </w:r>
      <w:r w:rsidR="00F53458" w:rsidRPr="00F53458">
        <w:rPr>
          <w:rtl/>
        </w:rPr>
        <w:tab/>
        <w:t>عدد الموظفين في كل مكتب إقليمي ومكتب منطقة؛</w:t>
      </w:r>
    </w:p>
    <w:p w14:paraId="056BCB50" w14:textId="77777777" w:rsidR="00F53458" w:rsidRPr="00F53458" w:rsidRDefault="00F53458" w:rsidP="00C416D8">
      <w:pPr>
        <w:pStyle w:val="enumlev2"/>
        <w:rPr>
          <w:lang w:val="ar-SA" w:bidi="ar-EG"/>
        </w:rPr>
      </w:pPr>
      <w:r w:rsidRPr="00F53458">
        <w:rPr>
          <w:i/>
          <w:iCs/>
          <w:rtl/>
        </w:rPr>
        <w:t>ب)</w:t>
      </w:r>
      <w:r w:rsidRPr="00F53458">
        <w:rPr>
          <w:rtl/>
        </w:rPr>
        <w:tab/>
        <w:t>عدد البلدان التي يخدمها كل مكتب إقليمي ومكتب منطقة؛</w:t>
      </w:r>
    </w:p>
    <w:p w14:paraId="13637503" w14:textId="2E41CD79" w:rsidR="00F53458" w:rsidRPr="00F53458" w:rsidRDefault="00F53458" w:rsidP="00C416D8">
      <w:pPr>
        <w:pStyle w:val="enumlev2"/>
        <w:rPr>
          <w:lang w:val="ar-SA" w:bidi="ar-EG"/>
        </w:rPr>
      </w:pPr>
      <w:r w:rsidRPr="00F53458">
        <w:rPr>
          <w:i/>
          <w:iCs/>
          <w:rtl/>
        </w:rPr>
        <w:t>ج)</w:t>
      </w:r>
      <w:r w:rsidRPr="00F53458">
        <w:rPr>
          <w:rtl/>
        </w:rPr>
        <w:tab/>
        <w:t>عدد المشاريع/المبادرات الت</w:t>
      </w:r>
      <w:r w:rsidR="005D1FE5">
        <w:rPr>
          <w:rFonts w:hint="cs"/>
          <w:rtl/>
        </w:rPr>
        <w:t>ي</w:t>
      </w:r>
      <w:r w:rsidRPr="00F53458">
        <w:rPr>
          <w:rtl/>
        </w:rPr>
        <w:t xml:space="preserve"> تمت المشاركة فيها، والأحداث التي نُظمت (على المستوى الإقليمي وعلى مستوى الاتحاد) (في السنة قيد الاستعراض)؛</w:t>
      </w:r>
    </w:p>
    <w:p w14:paraId="698CA95D" w14:textId="33E1D89B" w:rsidR="00F53458" w:rsidRPr="00F53458" w:rsidRDefault="00F53458" w:rsidP="00C416D8">
      <w:pPr>
        <w:pStyle w:val="enumlev2"/>
        <w:rPr>
          <w:lang w:val="ar-SA" w:bidi="ar-EG"/>
        </w:rPr>
      </w:pPr>
      <w:r w:rsidRPr="00F53458">
        <w:rPr>
          <w:i/>
          <w:iCs/>
          <w:rtl/>
        </w:rPr>
        <w:t>د</w:t>
      </w:r>
      <w:r w:rsidR="00EB0821">
        <w:rPr>
          <w:rFonts w:hint="cs"/>
          <w:i/>
          <w:iCs/>
          <w:rtl/>
        </w:rPr>
        <w:t> </w:t>
      </w:r>
      <w:r w:rsidRPr="00F53458">
        <w:rPr>
          <w:i/>
          <w:iCs/>
          <w:rtl/>
        </w:rPr>
        <w:t>)</w:t>
      </w:r>
      <w:r w:rsidRPr="00F53458">
        <w:rPr>
          <w:rtl/>
        </w:rPr>
        <w:tab/>
        <w:t>الموارد المخصصة في الخطة المالية لكل مكتب إقليمي ومكتب منطقة (في السنة قيد الاستعراض مع تفصيل الموارد المخصصة للموظفين، وعمليات المكتب، وتنفيذ المشاريع/المبادرات/الأحداث)؛</w:t>
      </w:r>
    </w:p>
    <w:p w14:paraId="544A343E" w14:textId="69E824E8" w:rsidR="00F53458" w:rsidRPr="00F53458" w:rsidRDefault="00F53458" w:rsidP="00C416D8">
      <w:pPr>
        <w:pStyle w:val="enumlev2"/>
        <w:rPr>
          <w:lang w:val="ar-SA" w:bidi="ar-EG"/>
        </w:rPr>
      </w:pPr>
      <w:r w:rsidRPr="00F53458">
        <w:rPr>
          <w:i/>
          <w:iCs/>
          <w:rtl/>
        </w:rPr>
        <w:t>هـ</w:t>
      </w:r>
      <w:r w:rsidR="00EB0821">
        <w:rPr>
          <w:rFonts w:hint="cs"/>
          <w:i/>
          <w:iCs/>
          <w:rtl/>
        </w:rPr>
        <w:t> </w:t>
      </w:r>
      <w:r w:rsidRPr="00F53458">
        <w:rPr>
          <w:i/>
          <w:iCs/>
          <w:rtl/>
        </w:rPr>
        <w:t>)</w:t>
      </w:r>
      <w:r w:rsidRPr="00F53458">
        <w:rPr>
          <w:rtl/>
        </w:rPr>
        <w:tab/>
        <w:t>المنصات التكنولوجية التي تستخدمها المكاتب الإقليمية ومكاتب المناطق (لأغراض الاجتماعات الافتراضية بالكامل/الهجينة، وأساليب العمل الإلكترونية، ومختلف الأدوات الإلكترونية المتوفرة لنشر المعلومات ذات الصلة على الدول الأعضاء لكل منها)؛</w:t>
      </w:r>
    </w:p>
    <w:p w14:paraId="3DC31819" w14:textId="74B26986" w:rsidR="00F53458" w:rsidRPr="00F53458" w:rsidRDefault="00F53458" w:rsidP="00C416D8">
      <w:pPr>
        <w:pStyle w:val="enumlev2"/>
        <w:rPr>
          <w:lang w:val="ar-SA" w:bidi="ar-EG"/>
        </w:rPr>
      </w:pPr>
      <w:r w:rsidRPr="00F53458">
        <w:rPr>
          <w:i/>
          <w:iCs/>
          <w:rtl/>
        </w:rPr>
        <w:t>و</w:t>
      </w:r>
      <w:r w:rsidR="00EB0821">
        <w:rPr>
          <w:rFonts w:hint="cs"/>
          <w:i/>
          <w:iCs/>
          <w:rtl/>
        </w:rPr>
        <w:t> </w:t>
      </w:r>
      <w:r w:rsidRPr="00F53458">
        <w:rPr>
          <w:i/>
          <w:iCs/>
          <w:rtl/>
        </w:rPr>
        <w:t>)</w:t>
      </w:r>
      <w:r w:rsidRPr="00F53458">
        <w:rPr>
          <w:rtl/>
        </w:rPr>
        <w:tab/>
        <w:t>استخدام المكاتب الإقليمية ومكاتب المناطق لأدوات الاتحاد الخاصة بالإدارة المالية؛</w:t>
      </w:r>
    </w:p>
    <w:p w14:paraId="00804E4E" w14:textId="47300B27" w:rsidR="00F53458" w:rsidRPr="00F53458" w:rsidRDefault="00F53458" w:rsidP="00C416D8">
      <w:pPr>
        <w:pStyle w:val="enumlev2"/>
        <w:rPr>
          <w:lang w:val="ar-SA" w:bidi="ar-EG"/>
        </w:rPr>
      </w:pPr>
      <w:r w:rsidRPr="00F53458">
        <w:rPr>
          <w:i/>
          <w:iCs/>
          <w:rtl/>
        </w:rPr>
        <w:t>ز</w:t>
      </w:r>
      <w:r w:rsidR="00EB0821">
        <w:rPr>
          <w:rFonts w:hint="cs"/>
          <w:i/>
          <w:iCs/>
          <w:rtl/>
        </w:rPr>
        <w:t> </w:t>
      </w:r>
      <w:r w:rsidRPr="00F53458">
        <w:rPr>
          <w:i/>
          <w:iCs/>
          <w:rtl/>
        </w:rPr>
        <w:t>)</w:t>
      </w:r>
      <w:r w:rsidRPr="00F53458">
        <w:rPr>
          <w:rtl/>
        </w:rPr>
        <w:tab/>
        <w:t>الجهود المبذولة/الإجراءات المتخذة لزيادة الموارد البشرية والمالية في المكاتب الإقليمية ومكاتب المناطق من أجل تنفيذ المبادرات الإقليمية؛</w:t>
      </w:r>
    </w:p>
    <w:p w14:paraId="5548A3EF" w14:textId="77777777" w:rsidR="00F53458" w:rsidRPr="00F53458" w:rsidRDefault="00F53458" w:rsidP="00C416D8">
      <w:pPr>
        <w:pStyle w:val="enumlev2"/>
        <w:rPr>
          <w:lang w:val="ar-SA" w:bidi="ar-EG"/>
        </w:rPr>
      </w:pPr>
      <w:r w:rsidRPr="00F53458">
        <w:rPr>
          <w:i/>
          <w:iCs/>
          <w:rtl/>
        </w:rPr>
        <w:t>ح)</w:t>
      </w:r>
      <w:r w:rsidRPr="00F53458">
        <w:rPr>
          <w:rtl/>
        </w:rPr>
        <w:tab/>
        <w:t>الظروف المالية والإدارية التي توفرها البلدان المضيفة للمكاتب الإقليمية ومكاتب المناطق.</w:t>
      </w:r>
    </w:p>
    <w:p w14:paraId="5EC5D7FF" w14:textId="77777777" w:rsidR="00F53458" w:rsidRPr="00F53458" w:rsidRDefault="00F53458" w:rsidP="009A1A48">
      <w:pPr>
        <w:pStyle w:val="enumlev1"/>
        <w:keepNext/>
        <w:rPr>
          <w:lang w:val="ar-SA" w:bidi="ar-EG"/>
        </w:rPr>
      </w:pPr>
      <w:r w:rsidRPr="00F53458">
        <w:rPr>
          <w:rtl/>
        </w:rPr>
        <w:lastRenderedPageBreak/>
        <w:t>14</w:t>
      </w:r>
      <w:r w:rsidRPr="00F53458">
        <w:rPr>
          <w:rtl/>
        </w:rPr>
        <w:tab/>
        <w:t>تشمل استراتيجية التوظيف ما يلي:</w:t>
      </w:r>
    </w:p>
    <w:p w14:paraId="66FC4493" w14:textId="0048DC28" w:rsidR="00F53458" w:rsidRPr="00F53458" w:rsidRDefault="00EB0821" w:rsidP="00C416D8">
      <w:pPr>
        <w:pStyle w:val="enumlev2"/>
        <w:rPr>
          <w:lang w:val="ar-SA" w:bidi="ar-EG"/>
        </w:rPr>
      </w:pPr>
      <w:r>
        <w:rPr>
          <w:rFonts w:hint="cs"/>
          <w:i/>
          <w:iCs/>
          <w:rtl/>
        </w:rPr>
        <w:t> </w:t>
      </w:r>
      <w:r w:rsidR="00F53458" w:rsidRPr="00F53458">
        <w:rPr>
          <w:i/>
          <w:iCs/>
          <w:rtl/>
        </w:rPr>
        <w:t>أ</w:t>
      </w:r>
      <w:r>
        <w:rPr>
          <w:rFonts w:hint="cs"/>
          <w:i/>
          <w:iCs/>
          <w:rtl/>
        </w:rPr>
        <w:t> </w:t>
      </w:r>
      <w:r w:rsidR="00F53458" w:rsidRPr="00F53458">
        <w:rPr>
          <w:i/>
          <w:iCs/>
          <w:rtl/>
        </w:rPr>
        <w:t>)</w:t>
      </w:r>
      <w:r w:rsidR="00F53458" w:rsidRPr="00F53458">
        <w:rPr>
          <w:rtl/>
        </w:rPr>
        <w:tab/>
        <w:t>عدد ونوع الوظائف الشاغرة لكل مكتب إقليمي ومكتب منطقة (في السنة قيد الاستعراض)؛</w:t>
      </w:r>
    </w:p>
    <w:p w14:paraId="76DFADAA" w14:textId="77777777" w:rsidR="00F53458" w:rsidRPr="00F53458" w:rsidRDefault="00F53458" w:rsidP="00C416D8">
      <w:pPr>
        <w:pStyle w:val="enumlev2"/>
        <w:rPr>
          <w:lang w:val="ar-SA" w:bidi="ar-EG"/>
        </w:rPr>
      </w:pPr>
      <w:r w:rsidRPr="00F53458">
        <w:rPr>
          <w:i/>
          <w:iCs/>
          <w:rtl/>
        </w:rPr>
        <w:t>ب)</w:t>
      </w:r>
      <w:r w:rsidRPr="00F53458">
        <w:rPr>
          <w:rtl/>
        </w:rPr>
        <w:tab/>
        <w:t>متوسط الوقت اللازم لتعيين موظفين جدد في المكاتب الإقليمية ومكاتب المناطق (من تحديد الوظيفة الشاغرة/المطلوبة إلى توقيع العقد)؛</w:t>
      </w:r>
    </w:p>
    <w:p w14:paraId="7E165308" w14:textId="77777777" w:rsidR="00F53458" w:rsidRPr="00F53458" w:rsidRDefault="00F53458" w:rsidP="00C416D8">
      <w:pPr>
        <w:pStyle w:val="enumlev2"/>
        <w:rPr>
          <w:lang w:val="ar-SA" w:bidi="ar-EG"/>
        </w:rPr>
      </w:pPr>
      <w:r w:rsidRPr="00F53458">
        <w:rPr>
          <w:i/>
          <w:iCs/>
          <w:rtl/>
        </w:rPr>
        <w:t>ج)</w:t>
      </w:r>
      <w:r w:rsidRPr="00F53458">
        <w:rPr>
          <w:rtl/>
        </w:rPr>
        <w:tab/>
        <w:t>إجراء تحسينات في عمليات وأدوات التوظيف في المكاتب الإقليمية ومكاتب المناطق لتمكين تحديد وتوظيف المواهب ذات الخبرة في إدارة المشاريع ذات الصلة؛</w:t>
      </w:r>
    </w:p>
    <w:p w14:paraId="397C58E9" w14:textId="0BA9C1C8" w:rsidR="00F53458" w:rsidRPr="00F53458" w:rsidRDefault="00F53458" w:rsidP="00C416D8">
      <w:pPr>
        <w:pStyle w:val="enumlev2"/>
        <w:rPr>
          <w:lang w:val="ar-SA" w:bidi="ar-EG"/>
        </w:rPr>
      </w:pPr>
      <w:r w:rsidRPr="00F53458">
        <w:rPr>
          <w:i/>
          <w:iCs/>
          <w:rtl/>
        </w:rPr>
        <w:t>د</w:t>
      </w:r>
      <w:r w:rsidR="00EB0821">
        <w:rPr>
          <w:rFonts w:hint="cs"/>
          <w:i/>
          <w:iCs/>
          <w:rtl/>
        </w:rPr>
        <w:t> </w:t>
      </w:r>
      <w:r w:rsidRPr="00F53458">
        <w:rPr>
          <w:i/>
          <w:iCs/>
          <w:rtl/>
        </w:rPr>
        <w:t>)</w:t>
      </w:r>
      <w:r w:rsidRPr="00F53458">
        <w:rPr>
          <w:rtl/>
        </w:rPr>
        <w:tab/>
        <w:t>تنفيذ سياسة تنقل الموظفين (لكل مكتب إقليمي ومكتب منطقة، في السنة قيد الاستعراض).</w:t>
      </w:r>
    </w:p>
    <w:p w14:paraId="726BB7FC" w14:textId="77777777" w:rsidR="00F53458" w:rsidRPr="00F53458" w:rsidRDefault="00F53458" w:rsidP="00C416D8">
      <w:pPr>
        <w:pStyle w:val="enumlev1"/>
        <w:rPr>
          <w:lang w:val="ar-SA" w:bidi="ar-EG"/>
        </w:rPr>
      </w:pPr>
      <w:r w:rsidRPr="00F53458">
        <w:rPr>
          <w:rtl/>
        </w:rPr>
        <w:t>15</w:t>
      </w:r>
      <w:r w:rsidRPr="00F53458">
        <w:rPr>
          <w:rtl/>
        </w:rPr>
        <w:tab/>
        <w:t>أنشطة محددة (مشاريع، مبادرات إقليمية، أحداث/اجتماعات/مؤتمرات، اجتماعات تحضيرية إقليمية، أنشطة قطاعية، وما إلى ذلك)، مع معايير إضافية لتقييم الدعم الإداري والمالي والتقني واللوجستي، وكذلك الظروف المعيشية وغيرها من الظروف الخاصة الموفَّرة للمشاركين في أحداث الاتحاد التي تعقدها المكاتب الإقليمية ومكاتب المناطق في المناطق.</w:t>
      </w:r>
    </w:p>
    <w:p w14:paraId="297E3A7B" w14:textId="77777777" w:rsidR="00F53458" w:rsidRPr="00F53458" w:rsidRDefault="00F53458" w:rsidP="00C416D8">
      <w:pPr>
        <w:pStyle w:val="enumlev1"/>
        <w:rPr>
          <w:lang w:val="ar-SA" w:bidi="ar-EG"/>
        </w:rPr>
      </w:pPr>
      <w:r w:rsidRPr="00F53458">
        <w:rPr>
          <w:rtl/>
        </w:rPr>
        <w:t>16</w:t>
      </w:r>
      <w:r w:rsidRPr="00F53458">
        <w:rPr>
          <w:rtl/>
        </w:rPr>
        <w:tab/>
        <w:t>مشاركة الأعضاء في الأنشطة الإقليمية والأحداث العالمية لقطاع تنمية الاتصالات/قطاع تقييس الاتصالات/قطاع الاتصالات الراديوية وأنشطة عمل القطاعات الثلاثة (مثل لجان الدراسات وأفرقة الخبراء والأفرقة الاستشارية للقطاعات وغيرها).</w:t>
      </w:r>
    </w:p>
    <w:p w14:paraId="6A9644F1" w14:textId="15D42735" w:rsidR="00F53458" w:rsidRPr="00F53458" w:rsidRDefault="00F53458" w:rsidP="00C416D8">
      <w:pPr>
        <w:pStyle w:val="enumlev1"/>
        <w:rPr>
          <w:lang w:val="ar-SA" w:bidi="ar-EG"/>
        </w:rPr>
      </w:pPr>
      <w:r w:rsidRPr="00F53458">
        <w:rPr>
          <w:rtl/>
        </w:rPr>
        <w:t>17</w:t>
      </w:r>
      <w:r w:rsidRPr="00F53458">
        <w:rPr>
          <w:rtl/>
        </w:rPr>
        <w:tab/>
        <w:t>نتائج الأنشطة التي توضح الروابط بين النواتج/النتائج وتحقيق الغايات والأهداف الاستراتيجية والتقدم المحرز في</w:t>
      </w:r>
      <w:r w:rsidR="005C5139">
        <w:rPr>
          <w:rFonts w:hint="cs"/>
          <w:rtl/>
        </w:rPr>
        <w:t> </w:t>
      </w:r>
      <w:r w:rsidRPr="00F53458">
        <w:rPr>
          <w:rtl/>
        </w:rPr>
        <w:t>تحقيق أهداف مؤشرات الأداء الرئيسية حسب المنطقة/المنطقة دون الإقليمية.</w:t>
      </w:r>
    </w:p>
    <w:p w14:paraId="21DFBD99" w14:textId="77777777" w:rsidR="00F53458" w:rsidRPr="00F53458" w:rsidRDefault="00F53458" w:rsidP="00C416D8">
      <w:pPr>
        <w:pStyle w:val="enumlev1"/>
        <w:rPr>
          <w:lang w:val="ar-SA" w:bidi="ar-EG"/>
        </w:rPr>
      </w:pPr>
      <w:r w:rsidRPr="00F53458">
        <w:rPr>
          <w:rtl/>
        </w:rPr>
        <w:t>18</w:t>
      </w:r>
      <w:r w:rsidRPr="00F53458">
        <w:rPr>
          <w:rtl/>
        </w:rPr>
        <w:tab/>
        <w:t>تقييم التقدم المحرز في مؤشرات الأداء الرئيسية ذات الصلة.</w:t>
      </w:r>
    </w:p>
    <w:p w14:paraId="1F796D93" w14:textId="77777777" w:rsidR="00F53458" w:rsidRPr="00F53458" w:rsidRDefault="00F53458" w:rsidP="00C416D8">
      <w:pPr>
        <w:pStyle w:val="enumlev1"/>
        <w:rPr>
          <w:lang w:val="ar-SA" w:bidi="ar-EG"/>
        </w:rPr>
      </w:pPr>
      <w:r w:rsidRPr="00F53458">
        <w:rPr>
          <w:rtl/>
        </w:rPr>
        <w:t>19</w:t>
      </w:r>
      <w:r w:rsidRPr="00F53458">
        <w:rPr>
          <w:rtl/>
        </w:rPr>
        <w:tab/>
        <w:t>الإشارة إلى قضايا وتحديات داخلية وخارجية مرتبطة بالتنفيذ تؤثر على قدرة الحضور الإقليمي على تحقيق الأهداف الاستراتيجية وأهداف مؤشرات الأداء الرئيسية وإمكانية تحقيقه لهذه الأهداف.</w:t>
      </w:r>
    </w:p>
    <w:p w14:paraId="106D75D3" w14:textId="77777777" w:rsidR="00F53458" w:rsidRPr="00F53458" w:rsidRDefault="00F53458" w:rsidP="00C416D8">
      <w:pPr>
        <w:pStyle w:val="enumlev1"/>
        <w:rPr>
          <w:lang w:val="ar-SA" w:bidi="ar-EG"/>
        </w:rPr>
      </w:pPr>
      <w:r w:rsidRPr="00F53458">
        <w:rPr>
          <w:rtl/>
        </w:rPr>
        <w:t>20</w:t>
      </w:r>
      <w:r w:rsidRPr="00F53458">
        <w:rPr>
          <w:rtl/>
        </w:rPr>
        <w:tab/>
        <w:t>التوصيات المتعلقة بمؤشرات الأداء الرئيسية الجديدة التي ينبغي استخدامها لقياس التقدم المحرز في تحقيق الغايات والأهداف الاستراتيجية، إذا كان ذلك مناسباً.</w:t>
      </w:r>
    </w:p>
    <w:p w14:paraId="524DD5D3" w14:textId="4C41A384" w:rsidR="00F53458" w:rsidRPr="00F53458" w:rsidRDefault="00F53458" w:rsidP="00C416D8">
      <w:pPr>
        <w:pStyle w:val="enumlev1"/>
        <w:rPr>
          <w:lang w:val="ar-SA" w:bidi="ar-EG"/>
        </w:rPr>
      </w:pPr>
      <w:r w:rsidRPr="00F53458">
        <w:rPr>
          <w:rtl/>
        </w:rPr>
        <w:t>21</w:t>
      </w:r>
      <w:r w:rsidRPr="00F53458">
        <w:rPr>
          <w:rtl/>
        </w:rPr>
        <w:tab/>
        <w:t>استناداً إلى الحالة الخاصة لأقل البلدان نمواً، التوصيات المتعلقة بمعرفة ما إذا كان وضع تقييمات وخطط عمل لكل بلد فيما يتعلق بتنمية الاتصالات/تكنولوجيا المعلومات والاتصالات سيعزز قدرة المكاتب الإقليمية على تقديم الدعم للأعضاء، والمتطلبات من الميزانية لهذه التقييمات.</w:t>
      </w:r>
    </w:p>
    <w:p w14:paraId="0F10E602" w14:textId="0D2AE6A8" w:rsidR="00F53458" w:rsidRPr="00F53458" w:rsidRDefault="00F53458" w:rsidP="00C416D8">
      <w:pPr>
        <w:pStyle w:val="enumlev1"/>
        <w:rPr>
          <w:lang w:val="ar-SA" w:bidi="ar-EG"/>
        </w:rPr>
      </w:pPr>
      <w:r w:rsidRPr="00F53458">
        <w:rPr>
          <w:rtl/>
        </w:rPr>
        <w:t>22</w:t>
      </w:r>
      <w:r w:rsidRPr="00F53458">
        <w:rPr>
          <w:rtl/>
        </w:rPr>
        <w:tab/>
        <w:t>تفاصيل عن المِنح المقدمة تبين إلى أي حد تقدَّم المنح بطريقة عادلة وشفافة (التوزيع الجغرافي المنصف، والتوازن بين الجنسين، وشمول المندوبين ذوي الإعاقة).</w:t>
      </w:r>
    </w:p>
    <w:p w14:paraId="165492DA" w14:textId="77777777" w:rsidR="00F53458" w:rsidRPr="00F53458" w:rsidRDefault="00F53458" w:rsidP="00C416D8">
      <w:pPr>
        <w:pStyle w:val="enumlev1"/>
        <w:rPr>
          <w:lang w:val="ar-SA" w:bidi="ar-EG"/>
        </w:rPr>
      </w:pPr>
      <w:r w:rsidRPr="00F53458">
        <w:rPr>
          <w:rtl/>
        </w:rPr>
        <w:t>23</w:t>
      </w:r>
      <w:r w:rsidRPr="00F53458">
        <w:rPr>
          <w:rtl/>
        </w:rPr>
        <w:tab/>
        <w:t>تحليل عملية تقديم طلبات الحصول على منح، استناداً إلى التعليقات الواردة من الدول الأعضاء، حيث يوصى بإمكانية إدخال تحسينات على العملية والنسق لمعالجة الثغرات.</w:t>
      </w:r>
    </w:p>
    <w:p w14:paraId="45926A8B" w14:textId="77777777" w:rsidR="00F53458" w:rsidRPr="00F53458" w:rsidRDefault="00F53458" w:rsidP="00C416D8">
      <w:pPr>
        <w:pStyle w:val="enumlev1"/>
        <w:rPr>
          <w:lang w:val="ar-SA" w:bidi="ar-EG"/>
        </w:rPr>
      </w:pPr>
      <w:r w:rsidRPr="00F53458">
        <w:rPr>
          <w:rtl/>
        </w:rPr>
        <w:t>24</w:t>
      </w:r>
      <w:r w:rsidRPr="00F53458">
        <w:rPr>
          <w:rtl/>
        </w:rPr>
        <w:tab/>
        <w:t>تمثيل القطاعات الثلاثة جميعها في المكاتب الإقليمية ومكاتب المناطق عند تنفيذ نهج الاتحاد الواحد:</w:t>
      </w:r>
    </w:p>
    <w:p w14:paraId="1D0E3CED" w14:textId="1EE1147B" w:rsidR="00F53458" w:rsidRPr="00346E30" w:rsidRDefault="00EB0821" w:rsidP="00C416D8">
      <w:pPr>
        <w:pStyle w:val="enumlev2"/>
        <w:rPr>
          <w:spacing w:val="-4"/>
          <w:lang w:val="ar-SA" w:bidi="ar-EG"/>
        </w:rPr>
      </w:pPr>
      <w:r>
        <w:rPr>
          <w:rFonts w:hint="cs"/>
          <w:i/>
          <w:iCs/>
          <w:rtl/>
        </w:rPr>
        <w:t> </w:t>
      </w:r>
      <w:r w:rsidR="00F53458" w:rsidRPr="00F53458">
        <w:rPr>
          <w:i/>
          <w:iCs/>
          <w:rtl/>
        </w:rPr>
        <w:t>أ</w:t>
      </w:r>
      <w:r>
        <w:rPr>
          <w:rFonts w:hint="cs"/>
          <w:i/>
          <w:iCs/>
          <w:rtl/>
        </w:rPr>
        <w:t> </w:t>
      </w:r>
      <w:r w:rsidR="00F53458" w:rsidRPr="00F53458">
        <w:rPr>
          <w:i/>
          <w:iCs/>
          <w:rtl/>
        </w:rPr>
        <w:t>)</w:t>
      </w:r>
      <w:r w:rsidR="00F53458" w:rsidRPr="00F53458">
        <w:rPr>
          <w:rtl/>
        </w:rPr>
        <w:tab/>
      </w:r>
      <w:r w:rsidR="00F53458" w:rsidRPr="00346E30">
        <w:rPr>
          <w:spacing w:val="-4"/>
          <w:rtl/>
        </w:rPr>
        <w:t>تيسر/عدد جهات الاتصال لقطاعي التقييس والاتصالات الراديوية في جميع المكاتب الإقليمية/مكاتب المناطق.</w:t>
      </w:r>
    </w:p>
    <w:p w14:paraId="46440F30" w14:textId="77777777" w:rsidR="00F53458" w:rsidRPr="00F53458" w:rsidRDefault="00F53458" w:rsidP="00C416D8">
      <w:pPr>
        <w:pStyle w:val="enumlev2"/>
        <w:rPr>
          <w:lang w:val="ar-SA" w:bidi="ar-EG"/>
        </w:rPr>
      </w:pPr>
      <w:r w:rsidRPr="00F53458">
        <w:rPr>
          <w:i/>
          <w:iCs/>
          <w:rtl/>
        </w:rPr>
        <w:t>ب)</w:t>
      </w:r>
      <w:r w:rsidRPr="00F53458">
        <w:rPr>
          <w:rtl/>
        </w:rPr>
        <w:tab/>
        <w:t>وسائل تزويد المكاتب الإقليمية/مكاتب المناطق بالموظفين التقنيين من ذوي المعرفة والخبرة في قطاعات الاتحاد الثلاثة، ولا سيما الموظفين المتفانين من قطاعي التقييس والاتصالات الراديوية، من أجل تعزيز قدرات الدول الأعضاء ومساعدتها.</w:t>
      </w:r>
    </w:p>
    <w:p w14:paraId="3C077C07" w14:textId="77777777" w:rsidR="00F53458" w:rsidRPr="00F53458" w:rsidRDefault="00F53458" w:rsidP="00C416D8">
      <w:pPr>
        <w:pStyle w:val="enumlev2"/>
        <w:rPr>
          <w:lang w:val="ar-SA" w:bidi="ar-EG"/>
        </w:rPr>
      </w:pPr>
      <w:r w:rsidRPr="00F53458">
        <w:rPr>
          <w:i/>
          <w:iCs/>
          <w:rtl/>
        </w:rPr>
        <w:t>ج)</w:t>
      </w:r>
      <w:r w:rsidRPr="00F53458">
        <w:rPr>
          <w:rtl/>
        </w:rPr>
        <w:tab/>
        <w:t>مشاركة المكاتب الإقليمية ومكاتب المناطق في أنشطة القطاعات الثلاثة جميعها (قطاع تقييس الاتصالات وقطاع الاتصالات الراديوية على وجه الخصوص).</w:t>
      </w:r>
    </w:p>
    <w:p w14:paraId="062DFF59" w14:textId="77777777" w:rsidR="00F53458" w:rsidRPr="00F53458" w:rsidRDefault="00F53458" w:rsidP="00C416D8">
      <w:pPr>
        <w:pStyle w:val="enumlev1"/>
        <w:rPr>
          <w:lang w:val="ar-SA" w:bidi="ar-EG"/>
        </w:rPr>
      </w:pPr>
      <w:r w:rsidRPr="00F53458">
        <w:rPr>
          <w:rtl/>
        </w:rPr>
        <w:t>25</w:t>
      </w:r>
      <w:r w:rsidRPr="00F53458">
        <w:rPr>
          <w:rtl/>
        </w:rPr>
        <w:tab/>
        <w:t>تقييم ما إذا كان الحضور الإقليمي يقدم في التقارير السنوية/الدورية المتعلقة بالحضور الإقليمي (كل مكتب من المكاتب الإقليمية/مكاتب المناطق) إلى مديري المكاتب الثلاثة والهيئات الاستشارية والمجلس، حسب الاقتضاء، معلومات كافية بشأن ما يلي:</w:t>
      </w:r>
    </w:p>
    <w:p w14:paraId="2DA9B4E7" w14:textId="0A0C8351" w:rsidR="00F53458" w:rsidRPr="00F53458" w:rsidRDefault="00EB0821" w:rsidP="00C416D8">
      <w:pPr>
        <w:pStyle w:val="enumlev2"/>
        <w:rPr>
          <w:lang w:val="ar-SA" w:bidi="ar-EG"/>
        </w:rPr>
      </w:pPr>
      <w:r>
        <w:rPr>
          <w:rFonts w:hint="cs"/>
          <w:i/>
          <w:iCs/>
          <w:rtl/>
        </w:rPr>
        <w:t> </w:t>
      </w:r>
      <w:r w:rsidR="00F53458" w:rsidRPr="00F53458">
        <w:rPr>
          <w:i/>
          <w:iCs/>
          <w:rtl/>
        </w:rPr>
        <w:t>أ</w:t>
      </w:r>
      <w:r>
        <w:rPr>
          <w:rFonts w:hint="cs"/>
          <w:i/>
          <w:iCs/>
          <w:rtl/>
        </w:rPr>
        <w:t> </w:t>
      </w:r>
      <w:r w:rsidR="00F53458" w:rsidRPr="00F53458">
        <w:rPr>
          <w:i/>
          <w:iCs/>
          <w:rtl/>
        </w:rPr>
        <w:t>)</w:t>
      </w:r>
      <w:r w:rsidR="00F53458" w:rsidRPr="00F53458">
        <w:rPr>
          <w:rtl/>
        </w:rPr>
        <w:tab/>
        <w:t>الهيكل الوظيفي للمكاتب الإقليمية ومكاتب المناطق، بما يشمل عدد الموظفين وفئة توظيفهم والعوامل الأخرى ذات الصلة، تماشياً مع القرار 48 (المراجَع في بوخارست، 2022)</w:t>
      </w:r>
      <w:r w:rsidR="009A1A48">
        <w:rPr>
          <w:rFonts w:hint="cs"/>
          <w:rtl/>
        </w:rPr>
        <w:t xml:space="preserve"> لمؤتمر المندوبين المفوضين</w:t>
      </w:r>
      <w:r w:rsidR="00F53458" w:rsidRPr="00F53458">
        <w:rPr>
          <w:rtl/>
        </w:rPr>
        <w:t>.</w:t>
      </w:r>
    </w:p>
    <w:p w14:paraId="628DC4E7" w14:textId="77777777" w:rsidR="00F53458" w:rsidRPr="00F53458" w:rsidRDefault="00F53458" w:rsidP="00C416D8">
      <w:pPr>
        <w:pStyle w:val="enumlev2"/>
        <w:rPr>
          <w:lang w:val="ar-SA" w:bidi="ar-EG"/>
        </w:rPr>
      </w:pPr>
      <w:r w:rsidRPr="00F53458">
        <w:rPr>
          <w:i/>
          <w:iCs/>
          <w:rtl/>
        </w:rPr>
        <w:t>ب)</w:t>
      </w:r>
      <w:r w:rsidRPr="00F53458">
        <w:rPr>
          <w:rtl/>
        </w:rPr>
        <w:tab/>
        <w:t>المعلومات المالية، بما يشمل الميزانية المخصصة للمكاتب الإقليمية ومكاتب المناطق والنفقات حسب الأولويات المحورية والنواتج المخططة.</w:t>
      </w:r>
    </w:p>
    <w:p w14:paraId="73C7BA97" w14:textId="77777777" w:rsidR="00F53458" w:rsidRPr="00F53458" w:rsidRDefault="00F53458" w:rsidP="00C416D8">
      <w:pPr>
        <w:pStyle w:val="enumlev2"/>
        <w:rPr>
          <w:lang w:val="ar-SA" w:bidi="ar-EG"/>
        </w:rPr>
      </w:pPr>
      <w:r w:rsidRPr="00F53458">
        <w:rPr>
          <w:i/>
          <w:iCs/>
          <w:rtl/>
        </w:rPr>
        <w:lastRenderedPageBreak/>
        <w:t>ج)</w:t>
      </w:r>
      <w:r w:rsidRPr="00F53458">
        <w:rPr>
          <w:rtl/>
        </w:rPr>
        <w:tab/>
        <w:t>تنفيذ الأنشطة (بما في ذلك الأنشطة المتعلقة بالقطاعات الثلاثة والأمانة العامة).</w:t>
      </w:r>
    </w:p>
    <w:p w14:paraId="504E298B" w14:textId="77777777" w:rsidR="00F53458" w:rsidRPr="00F53458" w:rsidRDefault="00F53458" w:rsidP="00C416D8">
      <w:pPr>
        <w:pStyle w:val="enumlev1"/>
        <w:rPr>
          <w:lang w:val="ar-SA" w:bidi="ar-EG"/>
        </w:rPr>
      </w:pPr>
      <w:r w:rsidRPr="00F53458">
        <w:rPr>
          <w:rtl/>
        </w:rPr>
        <w:t>26</w:t>
      </w:r>
      <w:r w:rsidRPr="00F53458">
        <w:rPr>
          <w:rtl/>
        </w:rPr>
        <w:tab/>
        <w:t>تقييم ما إذا كان الحضور الإقليمي يقدم في تقاريره إلى مديري المكاتب الثلاثة والهيئات الاستشارية والمجلس معلومات كافية بشأن:</w:t>
      </w:r>
    </w:p>
    <w:p w14:paraId="619C888B" w14:textId="184E1FC3" w:rsidR="00F53458" w:rsidRPr="00F53458" w:rsidRDefault="00EB0821" w:rsidP="00C416D8">
      <w:pPr>
        <w:pStyle w:val="enumlev2"/>
        <w:rPr>
          <w:lang w:val="ar-SA" w:bidi="ar-EG"/>
        </w:rPr>
      </w:pPr>
      <w:r>
        <w:rPr>
          <w:rFonts w:hint="cs"/>
          <w:i/>
          <w:iCs/>
          <w:rtl/>
        </w:rPr>
        <w:t> </w:t>
      </w:r>
      <w:r w:rsidR="00F53458" w:rsidRPr="00F53458">
        <w:rPr>
          <w:i/>
          <w:iCs/>
          <w:rtl/>
        </w:rPr>
        <w:t>أ</w:t>
      </w:r>
      <w:r>
        <w:rPr>
          <w:rFonts w:hint="cs"/>
          <w:i/>
          <w:iCs/>
          <w:rtl/>
        </w:rPr>
        <w:t> </w:t>
      </w:r>
      <w:r w:rsidR="00F53458" w:rsidRPr="00F53458">
        <w:rPr>
          <w:i/>
          <w:iCs/>
          <w:rtl/>
        </w:rPr>
        <w:t>)</w:t>
      </w:r>
      <w:r w:rsidR="00F53458" w:rsidRPr="00F53458">
        <w:rPr>
          <w:rtl/>
        </w:rPr>
        <w:tab/>
        <w:t>أي تحديات تواجَه في جمع البيانات أعلاه/البيانات المطلوبة.</w:t>
      </w:r>
    </w:p>
    <w:p w14:paraId="4D2F2E89" w14:textId="1C748DF0" w:rsidR="00F53458" w:rsidRPr="00F53458" w:rsidRDefault="00F53458" w:rsidP="00C416D8">
      <w:pPr>
        <w:pStyle w:val="enumlev2"/>
        <w:rPr>
          <w:lang w:val="ar-SA" w:bidi="ar-EG"/>
        </w:rPr>
      </w:pPr>
      <w:r w:rsidRPr="00F53458">
        <w:rPr>
          <w:i/>
          <w:iCs/>
          <w:rtl/>
        </w:rPr>
        <w:t>ب)</w:t>
      </w:r>
      <w:r w:rsidRPr="00F53458">
        <w:rPr>
          <w:rtl/>
        </w:rPr>
        <w:tab/>
        <w:t>أي توصيات بشأن كيفية إسهام تقديم تقارير منتظمة في تعزيز أنشطة الحضور</w:t>
      </w:r>
      <w:r w:rsidR="00C416D8">
        <w:rPr>
          <w:rFonts w:hint="cs"/>
          <w:rtl/>
        </w:rPr>
        <w:t xml:space="preserve"> </w:t>
      </w:r>
      <w:r w:rsidRPr="00F53458">
        <w:rPr>
          <w:rtl/>
        </w:rPr>
        <w:t>الإقليمي.</w:t>
      </w:r>
    </w:p>
    <w:p w14:paraId="26192925" w14:textId="4992B69D" w:rsidR="00F53458" w:rsidRPr="00F53458" w:rsidRDefault="00F53458" w:rsidP="00C416D8">
      <w:pPr>
        <w:pStyle w:val="enumlev2"/>
        <w:rPr>
          <w:lang w:val="ar-SA" w:bidi="ar-EG"/>
        </w:rPr>
      </w:pPr>
      <w:r w:rsidRPr="00F53458">
        <w:rPr>
          <w:i/>
          <w:iCs/>
          <w:rtl/>
        </w:rPr>
        <w:t>ج)</w:t>
      </w:r>
      <w:r w:rsidRPr="00F53458">
        <w:rPr>
          <w:rtl/>
        </w:rPr>
        <w:tab/>
        <w:t>أي توصيات بشأن كيفية إسهام إشراف الهيئات الاستشارية والمجلس في تعزيز أنشطة الحضور</w:t>
      </w:r>
      <w:r w:rsidR="00C416D8">
        <w:rPr>
          <w:rFonts w:hint="cs"/>
          <w:rtl/>
          <w:lang w:bidi="ar-EG"/>
        </w:rPr>
        <w:t xml:space="preserve"> </w:t>
      </w:r>
      <w:r w:rsidRPr="00F53458">
        <w:rPr>
          <w:rtl/>
        </w:rPr>
        <w:t>الإقليمي.</w:t>
      </w:r>
    </w:p>
    <w:p w14:paraId="2E4C2F15" w14:textId="77777777" w:rsidR="00F53458" w:rsidRPr="00F53458" w:rsidRDefault="00F53458" w:rsidP="00C416D8">
      <w:pPr>
        <w:pStyle w:val="enumlev1"/>
        <w:rPr>
          <w:lang w:val="ar-SA" w:bidi="ar-EG"/>
        </w:rPr>
      </w:pPr>
      <w:r w:rsidRPr="00F53458">
        <w:rPr>
          <w:rtl/>
        </w:rPr>
        <w:t>27</w:t>
      </w:r>
      <w:r w:rsidRPr="00F53458">
        <w:rPr>
          <w:rtl/>
        </w:rPr>
        <w:tab/>
        <w:t>بيان مدى ما يلي:</w:t>
      </w:r>
    </w:p>
    <w:p w14:paraId="3BB70CC6" w14:textId="15FB81FD" w:rsidR="00F53458" w:rsidRPr="00F53458" w:rsidRDefault="00EB0821" w:rsidP="00C416D8">
      <w:pPr>
        <w:pStyle w:val="enumlev2"/>
        <w:rPr>
          <w:lang w:val="ar-SA" w:bidi="ar-EG"/>
        </w:rPr>
      </w:pPr>
      <w:r>
        <w:rPr>
          <w:rFonts w:hint="cs"/>
          <w:i/>
          <w:iCs/>
          <w:rtl/>
        </w:rPr>
        <w:t> </w:t>
      </w:r>
      <w:r w:rsidR="00F53458" w:rsidRPr="00F53458">
        <w:rPr>
          <w:i/>
          <w:iCs/>
          <w:rtl/>
        </w:rPr>
        <w:t>أ</w:t>
      </w:r>
      <w:r>
        <w:rPr>
          <w:rFonts w:hint="cs"/>
          <w:i/>
          <w:iCs/>
          <w:rtl/>
        </w:rPr>
        <w:t> </w:t>
      </w:r>
      <w:r w:rsidR="00F53458" w:rsidRPr="00F53458">
        <w:rPr>
          <w:i/>
          <w:iCs/>
          <w:rtl/>
        </w:rPr>
        <w:t>)</w:t>
      </w:r>
      <w:r w:rsidR="00F53458" w:rsidRPr="00F53458">
        <w:rPr>
          <w:rtl/>
        </w:rPr>
        <w:tab/>
        <w:t>تنفيذ التوصيات ذات الصلة الصادرة عن المراج</w:t>
      </w:r>
      <w:r w:rsidR="001E5E4C">
        <w:rPr>
          <w:rFonts w:hint="cs"/>
          <w:rtl/>
        </w:rPr>
        <w:t>َ</w:t>
      </w:r>
      <w:r w:rsidR="00F53458" w:rsidRPr="00F53458">
        <w:rPr>
          <w:rtl/>
        </w:rPr>
        <w:t>عة الداخلية والمراج</w:t>
      </w:r>
      <w:r w:rsidR="001E5E4C">
        <w:rPr>
          <w:rFonts w:hint="cs"/>
          <w:rtl/>
        </w:rPr>
        <w:t>َ</w:t>
      </w:r>
      <w:r w:rsidR="00F53458" w:rsidRPr="00F53458">
        <w:rPr>
          <w:rtl/>
        </w:rPr>
        <w:t>عة الخارجية للحسابات، واللجنة الاستشارية المستقلة للإدارة، ووحدة التفتيش المشتركة فيما يتعلق بالحضور الإقليمي.</w:t>
      </w:r>
    </w:p>
    <w:p w14:paraId="7871E117" w14:textId="77777777" w:rsidR="00F53458" w:rsidRPr="00F53458" w:rsidRDefault="00F53458" w:rsidP="00C416D8">
      <w:pPr>
        <w:pStyle w:val="enumlev2"/>
        <w:rPr>
          <w:lang w:val="ar-SA" w:bidi="ar-EG"/>
        </w:rPr>
      </w:pPr>
      <w:r w:rsidRPr="00F53458">
        <w:rPr>
          <w:i/>
          <w:iCs/>
          <w:rtl/>
        </w:rPr>
        <w:t>ب)</w:t>
      </w:r>
      <w:r w:rsidRPr="00F53458">
        <w:rPr>
          <w:rtl/>
        </w:rPr>
        <w:tab/>
        <w:t xml:space="preserve">تنفيذ مكونات إطار المساءلة للاتحاد في المكاتب الإقليمية ومكاتب المناطق. وينبغي أن يشمل ذلك بيان كيفية تنفيذ الإدارة القائمة على النتائج، </w:t>
      </w:r>
      <w:proofErr w:type="spellStart"/>
      <w:r w:rsidRPr="00B15954">
        <w:rPr>
          <w:rtl/>
        </w:rPr>
        <w:t>والميزنة</w:t>
      </w:r>
      <w:proofErr w:type="spellEnd"/>
      <w:r w:rsidRPr="00F53458">
        <w:rPr>
          <w:rtl/>
        </w:rPr>
        <w:t xml:space="preserve"> القائمة على النتائج، والخطة الاستراتيجية للموارد البشرية. وينبغي أن يتضمن ذلك أيضاً تحديد أي ثغرات في التنفيذ والتقدم المحرز في الأنشطة الرامية إلى معالجة هذه الثغرات.</w:t>
      </w:r>
    </w:p>
    <w:p w14:paraId="43D53567" w14:textId="244CA196" w:rsidR="00F53458" w:rsidRPr="00F53458" w:rsidRDefault="00F53458" w:rsidP="00C416D8">
      <w:pPr>
        <w:pStyle w:val="enumlev2"/>
        <w:rPr>
          <w:lang w:val="ar-SA" w:bidi="ar-EG"/>
        </w:rPr>
      </w:pPr>
      <w:r w:rsidRPr="00F53458">
        <w:rPr>
          <w:i/>
          <w:iCs/>
          <w:rtl/>
        </w:rPr>
        <w:t>ج)</w:t>
      </w:r>
      <w:r w:rsidRPr="00F53458">
        <w:rPr>
          <w:rtl/>
        </w:rPr>
        <w:tab/>
        <w:t>اتخاذ تدابير للمساءلة عند منح المكاتب الإقليمية/مكاتب المناطق قدرا</w:t>
      </w:r>
      <w:r w:rsidR="00B526D7">
        <w:rPr>
          <w:rFonts w:hint="cs"/>
          <w:rtl/>
        </w:rPr>
        <w:t>ً</w:t>
      </w:r>
      <w:r w:rsidRPr="00F53458">
        <w:rPr>
          <w:rtl/>
        </w:rPr>
        <w:t xml:space="preserve"> أكبر من الاستقلالية في اتخاذ القرار بشأن مختلف الأنشطة والمبادرات والمشاريع التي تنفذها.</w:t>
      </w:r>
    </w:p>
    <w:p w14:paraId="656E889B" w14:textId="235D19A5" w:rsidR="00F53458" w:rsidRPr="00F53458" w:rsidRDefault="00F53458" w:rsidP="00C416D8">
      <w:pPr>
        <w:pStyle w:val="enumlev2"/>
        <w:rPr>
          <w:lang w:val="ar-SA" w:bidi="ar-EG"/>
        </w:rPr>
      </w:pPr>
      <w:r w:rsidRPr="00F53458">
        <w:rPr>
          <w:i/>
          <w:iCs/>
          <w:rtl/>
        </w:rPr>
        <w:t>د</w:t>
      </w:r>
      <w:r w:rsidR="00EB0821">
        <w:rPr>
          <w:rFonts w:hint="cs"/>
          <w:i/>
          <w:iCs/>
          <w:rtl/>
        </w:rPr>
        <w:t> </w:t>
      </w:r>
      <w:r w:rsidRPr="00F53458">
        <w:rPr>
          <w:i/>
          <w:iCs/>
          <w:rtl/>
        </w:rPr>
        <w:t>)</w:t>
      </w:r>
      <w:r w:rsidRPr="00F53458">
        <w:rPr>
          <w:rtl/>
        </w:rPr>
        <w:tab/>
        <w:t>كفاءة وفعالية آليات الأخلاقيات والشكاوى والاستجابة.</w:t>
      </w:r>
    </w:p>
    <w:p w14:paraId="1212DA86" w14:textId="54F2FAE7" w:rsidR="00882A17" w:rsidRDefault="00F53458" w:rsidP="00F53458">
      <w:pPr>
        <w:rPr>
          <w:lang w:bidi="ar-EG"/>
        </w:rPr>
      </w:pPr>
      <w:r w:rsidRPr="00F53458">
        <w:rPr>
          <w:rtl/>
        </w:rPr>
        <w:t>وباستخدام معايير إضافية، تقييم الدعم الإداري والمالي والتقني واللوجستي، فضلاً عن الظروف المعيشية وغيرها من الظروف الخاصة الموفرة للمشاركين في أحداث الاتحاد التي تعقدها المكاتب الإقليمية ومكاتب المناطق</w:t>
      </w:r>
      <w:r>
        <w:rPr>
          <w:rFonts w:hint="cs"/>
          <w:rtl/>
        </w:rPr>
        <w:t>.</w:t>
      </w:r>
    </w:p>
    <w:p w14:paraId="15A9DF5C"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7546" w14:textId="77777777" w:rsidR="00767425" w:rsidRDefault="00767425" w:rsidP="006C3242">
      <w:pPr>
        <w:spacing w:before="0" w:line="240" w:lineRule="auto"/>
      </w:pPr>
      <w:r>
        <w:separator/>
      </w:r>
    </w:p>
  </w:endnote>
  <w:endnote w:type="continuationSeparator" w:id="0">
    <w:p w14:paraId="798115DF" w14:textId="77777777" w:rsidR="00767425" w:rsidRDefault="0076742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Pr>
    <w:tblGrid>
      <w:gridCol w:w="991"/>
      <w:gridCol w:w="2411"/>
      <w:gridCol w:w="6237"/>
    </w:tblGrid>
    <w:tr w:rsidR="00AD1E92" w:rsidRPr="00AD1E92" w14:paraId="6335AB65" w14:textId="77777777" w:rsidTr="002E7540">
      <w:tc>
        <w:tcPr>
          <w:tcW w:w="991" w:type="dxa"/>
          <w:tcBorders>
            <w:top w:val="single" w:sz="4" w:space="0" w:color="auto"/>
            <w:left w:val="nil"/>
            <w:bottom w:val="nil"/>
            <w:right w:val="nil"/>
          </w:tcBorders>
          <w:shd w:val="clear" w:color="auto" w:fill="FFFFFF" w:themeFill="background1"/>
          <w:hideMark/>
        </w:tcPr>
        <w:p w14:paraId="39EBBA8C"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3605C6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2C6E46B" w14:textId="048D6CC7" w:rsidR="00AD1E92" w:rsidRPr="00AD1E92" w:rsidRDefault="00F53458" w:rsidP="00F53458">
          <w:pPr>
            <w:spacing w:before="60" w:after="40" w:line="260" w:lineRule="exact"/>
            <w:rPr>
              <w:position w:val="2"/>
              <w:sz w:val="18"/>
              <w:szCs w:val="18"/>
              <w:lang w:val="en-GB"/>
            </w:rPr>
          </w:pPr>
          <w:r w:rsidRPr="00F53458">
            <w:rPr>
              <w:position w:val="2"/>
              <w:sz w:val="18"/>
              <w:szCs w:val="18"/>
              <w:rtl/>
              <w:lang w:val="fr-FR"/>
            </w:rPr>
            <w:t xml:space="preserve">السيدة </w:t>
          </w:r>
          <w:proofErr w:type="spellStart"/>
          <w:r w:rsidRPr="00F53458">
            <w:rPr>
              <w:position w:val="2"/>
              <w:sz w:val="18"/>
              <w:szCs w:val="18"/>
              <w:rtl/>
              <w:lang w:val="fr-FR"/>
            </w:rPr>
            <w:t>Béatrice</w:t>
          </w:r>
          <w:proofErr w:type="spellEnd"/>
          <w:r w:rsidRPr="00F53458">
            <w:rPr>
              <w:position w:val="2"/>
              <w:sz w:val="18"/>
              <w:szCs w:val="18"/>
              <w:rtl/>
              <w:lang w:val="fr-FR"/>
            </w:rPr>
            <w:t xml:space="preserve"> </w:t>
          </w:r>
          <w:proofErr w:type="spellStart"/>
          <w:r w:rsidRPr="00F53458">
            <w:rPr>
              <w:position w:val="2"/>
              <w:sz w:val="18"/>
              <w:szCs w:val="18"/>
              <w:rtl/>
              <w:lang w:val="fr-FR"/>
            </w:rPr>
            <w:t>Pluchon</w:t>
          </w:r>
          <w:proofErr w:type="spellEnd"/>
          <w:r w:rsidRPr="00F53458">
            <w:rPr>
              <w:position w:val="2"/>
              <w:sz w:val="18"/>
              <w:szCs w:val="18"/>
              <w:rtl/>
              <w:lang w:val="fr-FR"/>
            </w:rPr>
            <w:t>، رئيسة شعبة العلاقات مع الدول الأعضاء والإدارة</w:t>
          </w:r>
        </w:p>
      </w:tc>
    </w:tr>
    <w:tr w:rsidR="00AD1E92" w:rsidRPr="00AD1E92" w14:paraId="1492AA92" w14:textId="77777777" w:rsidTr="002E7540">
      <w:tc>
        <w:tcPr>
          <w:tcW w:w="991" w:type="dxa"/>
        </w:tcPr>
        <w:p w14:paraId="1CFD2952"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3726EA48"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6AF6AE89" w14:textId="7B6F4841" w:rsidR="00AD1E92" w:rsidRPr="00AD1E92" w:rsidRDefault="00F53458" w:rsidP="00F53458">
          <w:pPr>
            <w:spacing w:before="60" w:after="40" w:line="260" w:lineRule="exact"/>
            <w:rPr>
              <w:position w:val="2"/>
              <w:sz w:val="18"/>
              <w:szCs w:val="18"/>
              <w:lang w:val="en-GB"/>
            </w:rPr>
          </w:pPr>
          <w:r w:rsidRPr="00F53458">
            <w:rPr>
              <w:position w:val="2"/>
              <w:sz w:val="18"/>
              <w:szCs w:val="18"/>
              <w:lang w:bidi="ar-EG"/>
            </w:rPr>
            <w:t>+41 22 730 62 66</w:t>
          </w:r>
        </w:p>
      </w:tc>
    </w:tr>
    <w:tr w:rsidR="00AD1E92" w:rsidRPr="00AD1E92" w14:paraId="5576B16A" w14:textId="77777777" w:rsidTr="002E7540">
      <w:tc>
        <w:tcPr>
          <w:tcW w:w="991" w:type="dxa"/>
        </w:tcPr>
        <w:p w14:paraId="59A64C9F"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BD668B2"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4B7B54F2" w14:textId="448A0BA9" w:rsidR="00AD1E92" w:rsidRPr="00AD1E92" w:rsidRDefault="009A1A48" w:rsidP="00F53458">
          <w:pPr>
            <w:spacing w:before="60" w:after="40" w:line="260" w:lineRule="exact"/>
            <w:rPr>
              <w:position w:val="2"/>
              <w:sz w:val="18"/>
              <w:szCs w:val="18"/>
              <w:rtl/>
              <w:lang w:val="fr-FR" w:bidi="ar-EG"/>
            </w:rPr>
          </w:pPr>
          <w:hyperlink r:id="rId1" w:history="1">
            <w:r w:rsidR="00F53458" w:rsidRPr="00F53458">
              <w:rPr>
                <w:rStyle w:val="Hyperlink"/>
                <w:position w:val="2"/>
                <w:sz w:val="18"/>
                <w:szCs w:val="18"/>
                <w:lang w:val="en-GB" w:bidi="ar-EG"/>
              </w:rPr>
              <w:t>beatrice.pluchon@itu.int</w:t>
            </w:r>
          </w:hyperlink>
        </w:p>
      </w:tc>
    </w:tr>
  </w:tbl>
  <w:p w14:paraId="4580FFC2"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1FFB" w14:textId="77777777" w:rsidR="00767425" w:rsidRDefault="00767425" w:rsidP="006C3242">
      <w:pPr>
        <w:spacing w:before="0" w:line="240" w:lineRule="auto"/>
      </w:pPr>
      <w:r>
        <w:separator/>
      </w:r>
    </w:p>
  </w:footnote>
  <w:footnote w:type="continuationSeparator" w:id="0">
    <w:p w14:paraId="562BD6AC" w14:textId="77777777" w:rsidR="00767425" w:rsidRDefault="0076742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12E498C" w14:textId="39612D93" w:rsidR="00882A17" w:rsidRPr="00FC3D2F" w:rsidRDefault="00882A17" w:rsidP="003D28E9">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F53458" w:rsidRPr="00F53458">
          <w:rPr>
            <w:sz w:val="20"/>
            <w:szCs w:val="20"/>
            <w:lang w:val="es-ES_tradnl"/>
          </w:rPr>
          <w:t>TDAG-25/24(Ann.1</w:t>
        </w:r>
        <w:r w:rsidR="003D28E9" w:rsidRPr="003D28E9">
          <w:rPr>
            <w:sz w:val="20"/>
            <w:szCs w:val="20"/>
            <w:lang w:val="es-ES_tradnl"/>
          </w:rPr>
          <w:t>)</w:t>
        </w:r>
        <w:r w:rsidR="00F53458" w:rsidRPr="00F53458">
          <w:rPr>
            <w:sz w:val="20"/>
            <w:szCs w:val="20"/>
            <w:lang w:val="es-ES_tradnl"/>
          </w:rPr>
          <w:t>-</w:t>
        </w:r>
        <w:r w:rsidR="00F53458">
          <w:rPr>
            <w:sz w:val="20"/>
            <w:szCs w:val="20"/>
            <w:lang w:val="es-ES_tradnl"/>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EF"/>
    <w:rsid w:val="00026D7C"/>
    <w:rsid w:val="00040A4F"/>
    <w:rsid w:val="0006468A"/>
    <w:rsid w:val="0007747C"/>
    <w:rsid w:val="00090574"/>
    <w:rsid w:val="000C0C30"/>
    <w:rsid w:val="000C1C0E"/>
    <w:rsid w:val="000C548A"/>
    <w:rsid w:val="001472C6"/>
    <w:rsid w:val="00153471"/>
    <w:rsid w:val="001538BD"/>
    <w:rsid w:val="0019128D"/>
    <w:rsid w:val="001A3045"/>
    <w:rsid w:val="001C0169"/>
    <w:rsid w:val="001D1D50"/>
    <w:rsid w:val="001D6745"/>
    <w:rsid w:val="001E446E"/>
    <w:rsid w:val="001E5E4C"/>
    <w:rsid w:val="0021016E"/>
    <w:rsid w:val="002154EE"/>
    <w:rsid w:val="002276D2"/>
    <w:rsid w:val="0023283D"/>
    <w:rsid w:val="0026373E"/>
    <w:rsid w:val="00271C43"/>
    <w:rsid w:val="00290728"/>
    <w:rsid w:val="0029210A"/>
    <w:rsid w:val="002978F4"/>
    <w:rsid w:val="002B028D"/>
    <w:rsid w:val="002D695E"/>
    <w:rsid w:val="002E6541"/>
    <w:rsid w:val="002E7540"/>
    <w:rsid w:val="00316DCF"/>
    <w:rsid w:val="00317741"/>
    <w:rsid w:val="00334924"/>
    <w:rsid w:val="00337076"/>
    <w:rsid w:val="003373E5"/>
    <w:rsid w:val="003409BC"/>
    <w:rsid w:val="00346E30"/>
    <w:rsid w:val="00352462"/>
    <w:rsid w:val="00357185"/>
    <w:rsid w:val="00383829"/>
    <w:rsid w:val="003971E3"/>
    <w:rsid w:val="003A08D5"/>
    <w:rsid w:val="003C4402"/>
    <w:rsid w:val="003C63C8"/>
    <w:rsid w:val="003D28E9"/>
    <w:rsid w:val="003F4B29"/>
    <w:rsid w:val="004200BD"/>
    <w:rsid w:val="0042686F"/>
    <w:rsid w:val="004317D8"/>
    <w:rsid w:val="00434183"/>
    <w:rsid w:val="00443869"/>
    <w:rsid w:val="00447F32"/>
    <w:rsid w:val="00457D22"/>
    <w:rsid w:val="00474791"/>
    <w:rsid w:val="004A0B7B"/>
    <w:rsid w:val="004A662D"/>
    <w:rsid w:val="004E11DC"/>
    <w:rsid w:val="004F0F62"/>
    <w:rsid w:val="004F3C48"/>
    <w:rsid w:val="00506E94"/>
    <w:rsid w:val="00525DDD"/>
    <w:rsid w:val="005409AC"/>
    <w:rsid w:val="0055516A"/>
    <w:rsid w:val="0056466F"/>
    <w:rsid w:val="0058491B"/>
    <w:rsid w:val="005874F2"/>
    <w:rsid w:val="00592EA5"/>
    <w:rsid w:val="005A3170"/>
    <w:rsid w:val="005B2C89"/>
    <w:rsid w:val="005C0C76"/>
    <w:rsid w:val="005C5139"/>
    <w:rsid w:val="005D1FE5"/>
    <w:rsid w:val="005D610E"/>
    <w:rsid w:val="005D63D6"/>
    <w:rsid w:val="005E1E6D"/>
    <w:rsid w:val="006128FC"/>
    <w:rsid w:val="00677396"/>
    <w:rsid w:val="0069200F"/>
    <w:rsid w:val="006A5FEC"/>
    <w:rsid w:val="006A65CB"/>
    <w:rsid w:val="006B266A"/>
    <w:rsid w:val="006C3242"/>
    <w:rsid w:val="006C41BA"/>
    <w:rsid w:val="006C7CC0"/>
    <w:rsid w:val="006E4285"/>
    <w:rsid w:val="006F63F7"/>
    <w:rsid w:val="007025C7"/>
    <w:rsid w:val="00706D7A"/>
    <w:rsid w:val="00722F0D"/>
    <w:rsid w:val="0074420E"/>
    <w:rsid w:val="0074742E"/>
    <w:rsid w:val="00747A70"/>
    <w:rsid w:val="00767425"/>
    <w:rsid w:val="00783A69"/>
    <w:rsid w:val="00783E26"/>
    <w:rsid w:val="007A1D77"/>
    <w:rsid w:val="007B4FA0"/>
    <w:rsid w:val="007C3BC7"/>
    <w:rsid w:val="007C3BCD"/>
    <w:rsid w:val="007D345C"/>
    <w:rsid w:val="007D4ACF"/>
    <w:rsid w:val="007F0787"/>
    <w:rsid w:val="00810B7B"/>
    <w:rsid w:val="00810C4B"/>
    <w:rsid w:val="0082358A"/>
    <w:rsid w:val="008235CD"/>
    <w:rsid w:val="008247DE"/>
    <w:rsid w:val="00840B10"/>
    <w:rsid w:val="008513CB"/>
    <w:rsid w:val="00855F97"/>
    <w:rsid w:val="008562F3"/>
    <w:rsid w:val="00874F08"/>
    <w:rsid w:val="008774EF"/>
    <w:rsid w:val="00882A17"/>
    <w:rsid w:val="008A7F84"/>
    <w:rsid w:val="0091702E"/>
    <w:rsid w:val="00923B0C"/>
    <w:rsid w:val="00933AC9"/>
    <w:rsid w:val="0094021C"/>
    <w:rsid w:val="0094065A"/>
    <w:rsid w:val="00952F86"/>
    <w:rsid w:val="00957084"/>
    <w:rsid w:val="00982B28"/>
    <w:rsid w:val="00983DA5"/>
    <w:rsid w:val="009924FA"/>
    <w:rsid w:val="009A1A48"/>
    <w:rsid w:val="009D313F"/>
    <w:rsid w:val="00A06B3A"/>
    <w:rsid w:val="00A15396"/>
    <w:rsid w:val="00A24359"/>
    <w:rsid w:val="00A30A2F"/>
    <w:rsid w:val="00A47A5A"/>
    <w:rsid w:val="00A6683B"/>
    <w:rsid w:val="00A85AB7"/>
    <w:rsid w:val="00A97F94"/>
    <w:rsid w:val="00AA7EA2"/>
    <w:rsid w:val="00AB0C36"/>
    <w:rsid w:val="00AD1E92"/>
    <w:rsid w:val="00AE5C96"/>
    <w:rsid w:val="00B03099"/>
    <w:rsid w:val="00B05BC8"/>
    <w:rsid w:val="00B15954"/>
    <w:rsid w:val="00B21779"/>
    <w:rsid w:val="00B319BC"/>
    <w:rsid w:val="00B526D7"/>
    <w:rsid w:val="00B532F1"/>
    <w:rsid w:val="00B64B47"/>
    <w:rsid w:val="00B93B7B"/>
    <w:rsid w:val="00BC4B48"/>
    <w:rsid w:val="00C002DE"/>
    <w:rsid w:val="00C416D8"/>
    <w:rsid w:val="00C53BF8"/>
    <w:rsid w:val="00C56B5F"/>
    <w:rsid w:val="00C66157"/>
    <w:rsid w:val="00C674FE"/>
    <w:rsid w:val="00C67501"/>
    <w:rsid w:val="00C75633"/>
    <w:rsid w:val="00C85CB5"/>
    <w:rsid w:val="00C873E7"/>
    <w:rsid w:val="00CA08BA"/>
    <w:rsid w:val="00CA7329"/>
    <w:rsid w:val="00CB0C7C"/>
    <w:rsid w:val="00CE2EE1"/>
    <w:rsid w:val="00CE3349"/>
    <w:rsid w:val="00CE36E5"/>
    <w:rsid w:val="00CF27F5"/>
    <w:rsid w:val="00CF3FFD"/>
    <w:rsid w:val="00CF4342"/>
    <w:rsid w:val="00D10CCF"/>
    <w:rsid w:val="00D77D0F"/>
    <w:rsid w:val="00D81875"/>
    <w:rsid w:val="00D8311F"/>
    <w:rsid w:val="00D84440"/>
    <w:rsid w:val="00DA1CF0"/>
    <w:rsid w:val="00DC1E02"/>
    <w:rsid w:val="00DC24B4"/>
    <w:rsid w:val="00DC5FB0"/>
    <w:rsid w:val="00DD321E"/>
    <w:rsid w:val="00DF16DC"/>
    <w:rsid w:val="00E43176"/>
    <w:rsid w:val="00E446DC"/>
    <w:rsid w:val="00E45211"/>
    <w:rsid w:val="00E473C5"/>
    <w:rsid w:val="00E738EC"/>
    <w:rsid w:val="00E92863"/>
    <w:rsid w:val="00EB0821"/>
    <w:rsid w:val="00EB796D"/>
    <w:rsid w:val="00EE5CF2"/>
    <w:rsid w:val="00F058DC"/>
    <w:rsid w:val="00F24FC4"/>
    <w:rsid w:val="00F2676C"/>
    <w:rsid w:val="00F43D01"/>
    <w:rsid w:val="00F53458"/>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41B98"/>
  <w15:docId w15:val="{FCBB3A92-A979-4577-ACA3-81FF0774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F53458"/>
    <w:rPr>
      <w:color w:val="605E5C"/>
      <w:shd w:val="clear" w:color="auto" w:fill="E1DFDD"/>
    </w:rPr>
  </w:style>
  <w:style w:type="character" w:styleId="FollowedHyperlink">
    <w:name w:val="FollowedHyperlink"/>
    <w:basedOn w:val="DefaultParagraphFont"/>
    <w:uiPriority w:val="99"/>
    <w:semiHidden/>
    <w:unhideWhenUsed/>
    <w:rsid w:val="001E5E4C"/>
    <w:rPr>
      <w:color w:val="954F72" w:themeColor="followedHyperlink"/>
      <w:u w:val="single"/>
    </w:rPr>
  </w:style>
  <w:style w:type="paragraph" w:styleId="Revision">
    <w:name w:val="Revision"/>
    <w:hidden/>
    <w:uiPriority w:val="99"/>
    <w:semiHidden/>
    <w:rsid w:val="002E754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WGFHR20-250217-TD-0001/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5-CWGFHR20-C-0002/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eatrice.pluchon@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06\2500858A\Typing\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150C633A-BD62-46B3-998D-5C4F78495025}"/>
</file>

<file path=customXml/itemProps3.xml><?xml version="1.0" encoding="utf-8"?>
<ds:datastoreItem xmlns:ds="http://schemas.openxmlformats.org/officeDocument/2006/customXml" ds:itemID="{BFC35446-7887-4669-ABBC-BC4AC666F3BE}"/>
</file>

<file path=customXml/itemProps4.xml><?xml version="1.0" encoding="utf-8"?>
<ds:datastoreItem xmlns:ds="http://schemas.openxmlformats.org/officeDocument/2006/customXml" ds:itemID="{1763F80D-F8C5-4FF7-A4A9-CAE5ABBBB169}"/>
</file>

<file path=docProps/app.xml><?xml version="1.0" encoding="utf-8"?>
<Properties xmlns="http://schemas.openxmlformats.org/officeDocument/2006/extended-properties" xmlns:vt="http://schemas.openxmlformats.org/officeDocument/2006/docPropsVTypes">
  <Template>PA_TDAG-25.dotx</Template>
  <TotalTime>5</TotalTime>
  <Pages>6</Pages>
  <Words>2200</Words>
  <Characters>12851</Characters>
  <Application>Microsoft Office Word</Application>
  <DocSecurity>0</DocSecurity>
  <Lines>1285</Lines>
  <Paragraphs>752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
  <dc:description/>
  <cp:lastModifiedBy>GE</cp:lastModifiedBy>
  <cp:revision>3</cp:revision>
  <dcterms:created xsi:type="dcterms:W3CDTF">2025-05-08T15:58:00Z</dcterms:created>
  <dcterms:modified xsi:type="dcterms:W3CDTF">2025-05-08T16:04:00Z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