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127"/>
        <w:gridCol w:w="4277"/>
        <w:gridCol w:w="2112"/>
        <w:gridCol w:w="1372"/>
      </w:tblGrid>
      <w:tr w:rsidR="00AA7095" w:rsidRPr="00D8041C" w14:paraId="0578A0F8" w14:textId="77777777" w:rsidTr="00B37B73">
        <w:trPr>
          <w:cantSplit/>
          <w:trHeight w:val="1702"/>
        </w:trPr>
        <w:tc>
          <w:tcPr>
            <w:tcW w:w="2127" w:type="dxa"/>
          </w:tcPr>
          <w:p w14:paraId="22536B21" w14:textId="77777777" w:rsidR="00AA7095" w:rsidRPr="00D8041C" w:rsidRDefault="007A40D1" w:rsidP="00F92361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>
              <w:rPr>
                <w:b/>
                <w:bCs/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19882700" wp14:editId="0C40597B">
                  <wp:extent cx="1051200" cy="946800"/>
                  <wp:effectExtent l="0" t="0" r="0" b="5715"/>
                  <wp:docPr id="1395416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5" t="7850" r="24716" b="19549"/>
                          <a:stretch/>
                        </pic:blipFill>
                        <pic:spPr bwMode="auto">
                          <a:xfrm>
                            <a:off x="0" y="0"/>
                            <a:ext cx="10512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9" w:type="dxa"/>
            <w:gridSpan w:val="2"/>
          </w:tcPr>
          <w:p w14:paraId="75418715" w14:textId="77777777" w:rsidR="00AA7095" w:rsidRDefault="00AA7095" w:rsidP="00162707">
            <w:pPr>
              <w:tabs>
                <w:tab w:val="clear" w:pos="1191"/>
                <w:tab w:val="clear" w:pos="1588"/>
                <w:tab w:val="clear" w:pos="1985"/>
              </w:tabs>
              <w:spacing w:before="240" w:after="2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D8041C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 (GADT)</w:t>
            </w:r>
          </w:p>
          <w:p w14:paraId="6DE83660" w14:textId="77777777" w:rsidR="00AA7095" w:rsidRPr="00D8041C" w:rsidRDefault="00AA7095" w:rsidP="009716D1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D8041C">
              <w:rPr>
                <w:b/>
                <w:bCs/>
                <w:sz w:val="26"/>
                <w:szCs w:val="26"/>
                <w:lang w:val="es-ES_tradnl"/>
              </w:rPr>
              <w:t>3</w:t>
            </w:r>
            <w:r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ª reunión, Ginebra, Suiza, </w:t>
            </w:r>
            <w:r>
              <w:rPr>
                <w:b/>
                <w:bCs/>
                <w:sz w:val="26"/>
                <w:szCs w:val="26"/>
                <w:lang w:val="es-ES_tradnl"/>
              </w:rPr>
              <w:t>12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>-</w:t>
            </w:r>
            <w:r>
              <w:rPr>
                <w:b/>
                <w:bCs/>
                <w:sz w:val="26"/>
                <w:szCs w:val="26"/>
                <w:lang w:val="es-ES_tradnl"/>
              </w:rPr>
              <w:t>16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de </w:t>
            </w:r>
            <w:r>
              <w:rPr>
                <w:b/>
                <w:bCs/>
                <w:sz w:val="26"/>
                <w:szCs w:val="26"/>
                <w:lang w:val="es-ES_tradnl"/>
              </w:rPr>
              <w:t>mayo</w:t>
            </w:r>
            <w:r w:rsidRPr="00D8041C">
              <w:rPr>
                <w:b/>
                <w:bCs/>
                <w:sz w:val="26"/>
                <w:szCs w:val="26"/>
                <w:lang w:val="es-ES_tradnl"/>
              </w:rPr>
              <w:t xml:space="preserve"> de 202</w:t>
            </w:r>
            <w:r>
              <w:rPr>
                <w:b/>
                <w:bCs/>
                <w:sz w:val="26"/>
                <w:szCs w:val="26"/>
                <w:lang w:val="es-ES_tradnl"/>
              </w:rPr>
              <w:t>5</w:t>
            </w:r>
          </w:p>
        </w:tc>
        <w:tc>
          <w:tcPr>
            <w:tcW w:w="1372" w:type="dxa"/>
          </w:tcPr>
          <w:p w14:paraId="007AE38F" w14:textId="77777777" w:rsidR="00AA7095" w:rsidRPr="00D8041C" w:rsidRDefault="00AA7095" w:rsidP="00CF6D4A">
            <w:pPr>
              <w:spacing w:before="240" w:after="120"/>
              <w:ind w:right="142"/>
              <w:jc w:val="right"/>
              <w:rPr>
                <w:lang w:val="es-ES_tradnl"/>
              </w:rPr>
            </w:pPr>
            <w:r w:rsidRPr="00D8041C">
              <w:rPr>
                <w:noProof/>
                <w:lang w:val="es-ES_tradnl" w:eastAsia="fr-FR"/>
              </w:rPr>
              <w:drawing>
                <wp:inline distT="0" distB="0" distL="0" distR="0" wp14:anchorId="7BAF181A" wp14:editId="073C87F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D8041C" w14:paraId="60292319" w14:textId="77777777" w:rsidTr="00F92361">
        <w:trPr>
          <w:cantSplit/>
        </w:trPr>
        <w:tc>
          <w:tcPr>
            <w:tcW w:w="6404" w:type="dxa"/>
            <w:gridSpan w:val="2"/>
            <w:tcBorders>
              <w:top w:val="single" w:sz="12" w:space="0" w:color="auto"/>
            </w:tcBorders>
          </w:tcPr>
          <w:p w14:paraId="7FC41086" w14:textId="77777777" w:rsidR="00683C32" w:rsidRPr="00D8041C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484" w:type="dxa"/>
            <w:gridSpan w:val="2"/>
            <w:tcBorders>
              <w:top w:val="single" w:sz="12" w:space="0" w:color="auto"/>
            </w:tcBorders>
          </w:tcPr>
          <w:p w14:paraId="1FBAE67E" w14:textId="77777777" w:rsidR="00683C32" w:rsidRPr="00D8041C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7E2FE0" w:rsidRPr="00D8041C" w14:paraId="61AC4B71" w14:textId="77777777" w:rsidTr="00F92361">
        <w:trPr>
          <w:cantSplit/>
        </w:trPr>
        <w:tc>
          <w:tcPr>
            <w:tcW w:w="6404" w:type="dxa"/>
            <w:gridSpan w:val="2"/>
          </w:tcPr>
          <w:p w14:paraId="2534602F" w14:textId="77777777" w:rsidR="007E2FE0" w:rsidRPr="002707B1" w:rsidRDefault="007E2FE0" w:rsidP="007E2FE0">
            <w:pPr>
              <w:pStyle w:val="Committee"/>
              <w:spacing w:before="0"/>
              <w:rPr>
                <w:bC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655AA657" w14:textId="7BF8CB45" w:rsidR="007E2FE0" w:rsidRPr="00D8041C" w:rsidRDefault="007E2FE0" w:rsidP="007E2FE0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403C69">
              <w:rPr>
                <w:b/>
                <w:bCs/>
                <w:lang w:val="en-US"/>
              </w:rPr>
              <w:t>Documento TDAG-25/24-</w:t>
            </w:r>
            <w:r>
              <w:rPr>
                <w:b/>
                <w:bCs/>
                <w:lang w:val="en-US"/>
              </w:rPr>
              <w:t>S</w:t>
            </w:r>
          </w:p>
        </w:tc>
      </w:tr>
      <w:tr w:rsidR="007E2FE0" w:rsidRPr="00D8041C" w14:paraId="5691F930" w14:textId="77777777" w:rsidTr="00F92361">
        <w:trPr>
          <w:cantSplit/>
        </w:trPr>
        <w:tc>
          <w:tcPr>
            <w:tcW w:w="6404" w:type="dxa"/>
            <w:gridSpan w:val="2"/>
          </w:tcPr>
          <w:p w14:paraId="29D72736" w14:textId="77777777" w:rsidR="007E2FE0" w:rsidRPr="00D8041C" w:rsidRDefault="007E2FE0" w:rsidP="007E2FE0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3E081171" w14:textId="61C0B1AD" w:rsidR="007E2FE0" w:rsidRPr="00D8041C" w:rsidRDefault="007E2FE0" w:rsidP="007E2FE0">
            <w:pPr>
              <w:spacing w:before="0"/>
              <w:rPr>
                <w:b/>
                <w:szCs w:val="24"/>
                <w:lang w:val="es-ES_tradnl"/>
              </w:rPr>
            </w:pPr>
            <w:bookmarkStart w:id="0" w:name="CreationDate"/>
            <w:bookmarkEnd w:id="0"/>
            <w:r>
              <w:rPr>
                <w:b/>
                <w:bCs/>
                <w:szCs w:val="28"/>
              </w:rPr>
              <w:t>1 de abril de 2025</w:t>
            </w:r>
          </w:p>
        </w:tc>
      </w:tr>
      <w:tr w:rsidR="007E2FE0" w:rsidRPr="00D8041C" w14:paraId="7B2AF1F9" w14:textId="77777777" w:rsidTr="00F92361">
        <w:trPr>
          <w:cantSplit/>
        </w:trPr>
        <w:tc>
          <w:tcPr>
            <w:tcW w:w="6404" w:type="dxa"/>
            <w:gridSpan w:val="2"/>
          </w:tcPr>
          <w:p w14:paraId="391177CF" w14:textId="77777777" w:rsidR="007E2FE0" w:rsidRPr="002707B1" w:rsidRDefault="007E2FE0" w:rsidP="007E2FE0">
            <w:pPr>
              <w:spacing w:before="0"/>
              <w:rPr>
                <w:smallCap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6E2E2413" w14:textId="4CB5ABCE" w:rsidR="007E2FE0" w:rsidRPr="00D8041C" w:rsidRDefault="007E2FE0" w:rsidP="007E2FE0">
            <w:pPr>
              <w:spacing w:before="0"/>
              <w:rPr>
                <w:szCs w:val="24"/>
                <w:lang w:val="es-ES_tradnl"/>
              </w:rPr>
            </w:pPr>
            <w:r w:rsidRPr="00403C69">
              <w:rPr>
                <w:b/>
                <w:bCs/>
                <w:szCs w:val="24"/>
              </w:rPr>
              <w:t>Original: Inglés</w:t>
            </w:r>
          </w:p>
        </w:tc>
      </w:tr>
      <w:tr w:rsidR="007E2FE0" w:rsidRPr="008F1499" w14:paraId="299B890B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3991CE13" w14:textId="0C70B92F" w:rsidR="007E2FE0" w:rsidRPr="00D8041C" w:rsidRDefault="007E2FE0" w:rsidP="007E2FE0">
            <w:pPr>
              <w:pStyle w:val="Source"/>
              <w:rPr>
                <w:lang w:val="es-ES_tradnl"/>
              </w:rPr>
            </w:pPr>
            <w:bookmarkStart w:id="1" w:name="Source"/>
            <w:bookmarkEnd w:id="1"/>
            <w:r w:rsidRPr="00E11160">
              <w:rPr>
                <w:lang w:val="es-ES"/>
              </w:rPr>
              <w:t>Director de la Oficina de Desarrollo de las Telecomunicaciones</w:t>
            </w:r>
          </w:p>
        </w:tc>
      </w:tr>
      <w:tr w:rsidR="007E2FE0" w:rsidRPr="008F1499" w14:paraId="49C2D79E" w14:textId="77777777" w:rsidTr="00796CA9">
        <w:trPr>
          <w:cantSplit/>
        </w:trPr>
        <w:tc>
          <w:tcPr>
            <w:tcW w:w="9888" w:type="dxa"/>
            <w:gridSpan w:val="4"/>
            <w:vAlign w:val="center"/>
          </w:tcPr>
          <w:p w14:paraId="4EE5322D" w14:textId="63CED76F" w:rsidR="007E2FE0" w:rsidRPr="00D8041C" w:rsidRDefault="007E2FE0" w:rsidP="007E2FE0">
            <w:pPr>
              <w:pStyle w:val="Title1"/>
              <w:rPr>
                <w:lang w:val="es-ES_tradnl"/>
              </w:rPr>
            </w:pPr>
            <w:bookmarkStart w:id="2" w:name="Title"/>
            <w:bookmarkEnd w:id="2"/>
            <w:r w:rsidRPr="00E11160">
              <w:rPr>
                <w:lang w:val="es-ES"/>
              </w:rPr>
              <w:t>F</w:t>
            </w:r>
            <w:r>
              <w:rPr>
                <w:lang w:val="es-ES"/>
              </w:rPr>
              <w:t>ortalecimiento de</w:t>
            </w:r>
            <w:r w:rsidRPr="00E11160">
              <w:rPr>
                <w:lang w:val="es-ES"/>
              </w:rPr>
              <w:t xml:space="preserve"> la presencia regional</w:t>
            </w:r>
            <w:r>
              <w:rPr>
                <w:lang w:val="es-ES"/>
              </w:rPr>
              <w:t>.</w:t>
            </w:r>
            <w:r w:rsidRPr="00E11160">
              <w:rPr>
                <w:lang w:val="es-ES"/>
              </w:rPr>
              <w:t xml:space="preserve"> </w:t>
            </w:r>
            <w:r w:rsidRPr="00E11160">
              <w:rPr>
                <w:lang w:val="es-ES"/>
              </w:rPr>
              <w:br/>
              <w:t xml:space="preserve">Criterios para </w:t>
            </w:r>
            <w:r>
              <w:rPr>
                <w:lang w:val="es-ES"/>
              </w:rPr>
              <w:t>el establecimiento de</w:t>
            </w:r>
            <w:r w:rsidRPr="00E11160">
              <w:rPr>
                <w:lang w:val="es-ES"/>
              </w:rPr>
              <w:t xml:space="preserve"> </w:t>
            </w:r>
            <w:r>
              <w:rPr>
                <w:lang w:val="es-ES"/>
              </w:rPr>
              <w:t>nuevas</w:t>
            </w:r>
            <w:r w:rsidRPr="00E11160">
              <w:rPr>
                <w:lang w:val="es-ES"/>
              </w:rPr>
              <w:t xml:space="preserve"> oficinas regionales y de zona</w:t>
            </w:r>
          </w:p>
        </w:tc>
      </w:tr>
      <w:tr w:rsidR="00A721F4" w:rsidRPr="008F1499" w14:paraId="0D96C14B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2D6981F" w14:textId="77777777" w:rsidR="00A721F4" w:rsidRPr="00D8041C" w:rsidRDefault="00A721F4" w:rsidP="00BC06EA">
            <w:pPr>
              <w:spacing w:after="120"/>
              <w:rPr>
                <w:lang w:val="es-ES_tradnl"/>
              </w:rPr>
            </w:pPr>
          </w:p>
        </w:tc>
      </w:tr>
      <w:tr w:rsidR="00A721F4" w:rsidRPr="00D8041C" w14:paraId="1B0F3DA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2087" w14:textId="77777777" w:rsidR="00A721F4" w:rsidRPr="00D8041C" w:rsidRDefault="00B42366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Resumen</w:t>
            </w:r>
            <w:r w:rsidR="00A721F4" w:rsidRPr="00D8041C">
              <w:rPr>
                <w:b/>
                <w:bCs/>
                <w:szCs w:val="24"/>
                <w:lang w:val="es-ES_tradnl"/>
              </w:rPr>
              <w:t>:</w:t>
            </w:r>
          </w:p>
          <w:p w14:paraId="55C51935" w14:textId="77777777" w:rsidR="007E2FE0" w:rsidRPr="00E11160" w:rsidRDefault="007E2FE0" w:rsidP="007E2FE0">
            <w:pPr>
              <w:spacing w:after="120"/>
              <w:rPr>
                <w:rFonts w:cstheme="minorBidi"/>
                <w:lang w:val="es-ES"/>
              </w:rPr>
            </w:pPr>
            <w:r>
              <w:rPr>
                <w:lang w:val="es-ES"/>
              </w:rPr>
              <w:t>En el presente</w:t>
            </w:r>
            <w:r w:rsidRPr="00E11160">
              <w:rPr>
                <w:lang w:val="es-ES"/>
              </w:rPr>
              <w:t xml:space="preserve"> documento </w:t>
            </w:r>
            <w:r>
              <w:rPr>
                <w:lang w:val="es-ES"/>
              </w:rPr>
              <w:t>se proporciona información</w:t>
            </w:r>
            <w:r w:rsidRPr="00E11160">
              <w:rPr>
                <w:lang w:val="es-ES"/>
              </w:rPr>
              <w:t xml:space="preserve"> sobre las medidas adoptadas por la secretaría para </w:t>
            </w:r>
            <w:r>
              <w:rPr>
                <w:lang w:val="es-ES"/>
              </w:rPr>
              <w:t>fortalecer l</w:t>
            </w:r>
            <w:r w:rsidRPr="00E11160">
              <w:rPr>
                <w:lang w:val="es-ES"/>
              </w:rPr>
              <w:t xml:space="preserve">a presencia regional de la UIT, en consonancia con el Plan Estratégico de la </w:t>
            </w:r>
            <w:r>
              <w:rPr>
                <w:lang w:val="es-ES"/>
              </w:rPr>
              <w:t>Unión</w:t>
            </w:r>
            <w:r w:rsidRPr="00E11160">
              <w:rPr>
                <w:lang w:val="es-ES"/>
              </w:rPr>
              <w:t xml:space="preserve">, así como con el Plan de Acción de Kigali. </w:t>
            </w:r>
            <w:r>
              <w:rPr>
                <w:rFonts w:cstheme="minorBidi"/>
                <w:lang w:val="es-ES"/>
              </w:rPr>
              <w:t>Se sintetizan</w:t>
            </w:r>
            <w:r w:rsidRPr="00E11160">
              <w:rPr>
                <w:rFonts w:cstheme="minorBidi"/>
                <w:lang w:val="es-ES"/>
              </w:rPr>
              <w:t xml:space="preserve"> los debates </w:t>
            </w:r>
            <w:r>
              <w:rPr>
                <w:rFonts w:cstheme="minorBidi"/>
                <w:lang w:val="es-ES"/>
              </w:rPr>
              <w:t>mantenidos</w:t>
            </w:r>
            <w:r w:rsidRPr="00E11160">
              <w:rPr>
                <w:rFonts w:cstheme="minorBidi"/>
                <w:lang w:val="es-ES"/>
              </w:rPr>
              <w:t xml:space="preserve"> sobre los criterios </w:t>
            </w:r>
            <w:r>
              <w:rPr>
                <w:rFonts w:cstheme="minorBidi"/>
                <w:lang w:val="es-ES"/>
              </w:rPr>
              <w:t xml:space="preserve">necesarios </w:t>
            </w:r>
            <w:r w:rsidRPr="00E11160">
              <w:rPr>
                <w:rFonts w:cstheme="minorBidi"/>
                <w:lang w:val="es-ES"/>
              </w:rPr>
              <w:t xml:space="preserve">para el establecimiento de futuras oficinas regionales y de zona, </w:t>
            </w:r>
            <w:r>
              <w:rPr>
                <w:rFonts w:cstheme="minorBidi"/>
                <w:lang w:val="es-ES"/>
              </w:rPr>
              <w:t>a fin de brindar asistencia al</w:t>
            </w:r>
            <w:r w:rsidRPr="00E11160">
              <w:rPr>
                <w:rFonts w:cstheme="minorBidi"/>
                <w:lang w:val="es-ES"/>
              </w:rPr>
              <w:t xml:space="preserve"> GADT </w:t>
            </w:r>
            <w:r>
              <w:rPr>
                <w:rFonts w:cstheme="minorBidi"/>
                <w:lang w:val="es-ES"/>
              </w:rPr>
              <w:t>para</w:t>
            </w:r>
            <w:r w:rsidRPr="00E11160">
              <w:rPr>
                <w:rFonts w:cstheme="minorBidi"/>
                <w:lang w:val="es-ES"/>
              </w:rPr>
              <w:t xml:space="preserve"> aportar su</w:t>
            </w:r>
            <w:r>
              <w:rPr>
                <w:rFonts w:cstheme="minorBidi"/>
                <w:lang w:val="es-ES"/>
              </w:rPr>
              <w:t xml:space="preserve"> opinión al respecto.</w:t>
            </w:r>
          </w:p>
          <w:p w14:paraId="3C23BAC2" w14:textId="77777777" w:rsidR="00A721F4" w:rsidRPr="00D8041C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lang w:val="es-ES_tradnl"/>
              </w:rPr>
              <w:t>Ac</w:t>
            </w:r>
            <w:r w:rsidR="00B42366" w:rsidRPr="00D8041C">
              <w:rPr>
                <w:b/>
                <w:bCs/>
                <w:lang w:val="es-ES_tradnl"/>
              </w:rPr>
              <w:t>ción solicitada</w:t>
            </w:r>
            <w:r w:rsidRPr="00D8041C">
              <w:rPr>
                <w:b/>
                <w:bCs/>
                <w:lang w:val="es-ES_tradnl"/>
              </w:rPr>
              <w:t>:</w:t>
            </w:r>
          </w:p>
          <w:p w14:paraId="47D1C980" w14:textId="77777777" w:rsidR="007E2FE0" w:rsidRPr="00E11160" w:rsidRDefault="007E2FE0" w:rsidP="007E2FE0">
            <w:pPr>
              <w:spacing w:after="120"/>
              <w:rPr>
                <w:szCs w:val="24"/>
                <w:lang w:val="es-ES"/>
              </w:rPr>
            </w:pPr>
            <w:r w:rsidRPr="00E11160">
              <w:rPr>
                <w:lang w:val="es-ES"/>
              </w:rPr>
              <w:t>Se invita al GADT a tomar nota de este documento y a proporcionar las orientaciones que considere oportunas.</w:t>
            </w:r>
          </w:p>
          <w:p w14:paraId="12A3651E" w14:textId="77777777" w:rsidR="00A721F4" w:rsidRPr="00D8041C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D8041C">
              <w:rPr>
                <w:b/>
                <w:bCs/>
                <w:szCs w:val="24"/>
                <w:lang w:val="es-ES_tradnl"/>
              </w:rPr>
              <w:t>Referenc</w:t>
            </w:r>
            <w:r w:rsidR="00B42366" w:rsidRPr="00D8041C">
              <w:rPr>
                <w:b/>
                <w:bCs/>
                <w:szCs w:val="24"/>
                <w:lang w:val="es-ES_tradnl"/>
              </w:rPr>
              <w:t>ia</w:t>
            </w:r>
            <w:r w:rsidRPr="00D8041C">
              <w:rPr>
                <w:b/>
                <w:bCs/>
                <w:szCs w:val="24"/>
                <w:lang w:val="es-ES_tradnl"/>
              </w:rPr>
              <w:t>s:</w:t>
            </w:r>
          </w:p>
          <w:p w14:paraId="42798A41" w14:textId="77777777" w:rsidR="007E2FE0" w:rsidRPr="00E11160" w:rsidRDefault="007E2FE0" w:rsidP="007E2FE0">
            <w:pPr>
              <w:pStyle w:val="ListParagraph"/>
              <w:numPr>
                <w:ilvl w:val="0"/>
                <w:numId w:val="2"/>
              </w:numPr>
              <w:tabs>
                <w:tab w:val="left" w:pos="708"/>
              </w:tabs>
              <w:overflowPunct/>
              <w:autoSpaceDE/>
              <w:adjustRightInd/>
              <w:spacing w:after="120"/>
              <w:contextualSpacing w:val="0"/>
              <w:rPr>
                <w:szCs w:val="24"/>
                <w:lang w:val="es-ES"/>
              </w:rPr>
            </w:pPr>
            <w:r w:rsidRPr="00E11160">
              <w:rPr>
                <w:rStyle w:val="Hyperlink"/>
                <w:szCs w:val="24"/>
                <w:lang w:val="es-ES"/>
              </w:rPr>
              <w:t xml:space="preserve">Resolución </w:t>
            </w:r>
            <w:hyperlink r:id="rId13" w:history="1">
              <w:r w:rsidRPr="00E11160">
                <w:rPr>
                  <w:rStyle w:val="Hyperlink"/>
                  <w:szCs w:val="24"/>
                  <w:lang w:val="es-ES"/>
                </w:rPr>
                <w:t xml:space="preserve">25 (Rev. Bucarest, 2022) </w:t>
              </w:r>
            </w:hyperlink>
            <w:r w:rsidRPr="00E11160">
              <w:rPr>
                <w:szCs w:val="24"/>
                <w:lang w:val="es-ES"/>
              </w:rPr>
              <w:t>de la Conferencia de Plenipotenciarios</w:t>
            </w:r>
          </w:p>
          <w:p w14:paraId="4BB9A525" w14:textId="5F900D1A" w:rsidR="007E2FE0" w:rsidRPr="00E11160" w:rsidRDefault="007E2FE0" w:rsidP="007E2FE0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szCs w:val="24"/>
                <w:lang w:val="es-ES"/>
              </w:rPr>
            </w:pPr>
            <w:r w:rsidRPr="00E11160">
              <w:rPr>
                <w:szCs w:val="24"/>
                <w:lang w:val="es-ES"/>
              </w:rPr>
              <w:t xml:space="preserve">Documentos </w:t>
            </w:r>
            <w:hyperlink r:id="rId14" w:history="1">
              <w:r w:rsidRPr="00D91686">
                <w:rPr>
                  <w:rStyle w:val="Hyperlink"/>
                  <w:szCs w:val="24"/>
                  <w:lang w:val="es-ES"/>
                </w:rPr>
                <w:t>C24/79</w:t>
              </w:r>
            </w:hyperlink>
            <w:r w:rsidRPr="00D91686">
              <w:rPr>
                <w:color w:val="0000FF"/>
                <w:szCs w:val="24"/>
                <w:lang w:val="es-ES"/>
              </w:rPr>
              <w:t xml:space="preserve">, </w:t>
            </w:r>
            <w:hyperlink r:id="rId15" w:history="1">
              <w:r w:rsidRPr="00D91686">
                <w:rPr>
                  <w:rStyle w:val="Hyperlink"/>
                  <w:szCs w:val="24"/>
                  <w:lang w:val="es-ES"/>
                </w:rPr>
                <w:t>C24/98</w:t>
              </w:r>
            </w:hyperlink>
            <w:r w:rsidRPr="00D91686">
              <w:rPr>
                <w:szCs w:val="24"/>
                <w:lang w:val="es-ES"/>
              </w:rPr>
              <w:t xml:space="preserve"> </w:t>
            </w:r>
            <w:r>
              <w:rPr>
                <w:szCs w:val="24"/>
                <w:lang w:val="es-ES"/>
              </w:rPr>
              <w:t>y</w:t>
            </w:r>
            <w:r w:rsidRPr="00D91686">
              <w:rPr>
                <w:szCs w:val="24"/>
                <w:lang w:val="es-ES"/>
              </w:rPr>
              <w:t xml:space="preserve"> </w:t>
            </w:r>
            <w:hyperlink r:id="rId16" w:history="1">
              <w:r w:rsidRPr="00D91686">
                <w:rPr>
                  <w:rStyle w:val="Hyperlink"/>
                  <w:szCs w:val="24"/>
                  <w:lang w:val="es-ES"/>
                </w:rPr>
                <w:t>C24/25</w:t>
              </w:r>
            </w:hyperlink>
            <w:r>
              <w:rPr>
                <w:szCs w:val="24"/>
                <w:lang w:val="es-ES"/>
              </w:rPr>
              <w:t xml:space="preserve"> del Consejo</w:t>
            </w:r>
          </w:p>
          <w:p w14:paraId="2C016BDC" w14:textId="4FCEDDFB" w:rsidR="007E2FE0" w:rsidRPr="00D91686" w:rsidRDefault="007E2FE0" w:rsidP="007E2FE0">
            <w:pPr>
              <w:pStyle w:val="ListParagraph"/>
              <w:numPr>
                <w:ilvl w:val="0"/>
                <w:numId w:val="2"/>
              </w:numPr>
              <w:tabs>
                <w:tab w:val="left" w:pos="708"/>
              </w:tabs>
              <w:overflowPunct/>
              <w:autoSpaceDE/>
              <w:adjustRightInd/>
              <w:spacing w:after="120"/>
              <w:contextualSpacing w:val="0"/>
              <w:rPr>
                <w:lang w:val="es-ES"/>
              </w:rPr>
            </w:pPr>
            <w:hyperlink r:id="rId17" w:history="1">
              <w:r w:rsidRPr="00D91686">
                <w:rPr>
                  <w:rStyle w:val="Hyperlink"/>
                  <w:lang w:val="es-ES"/>
                </w:rPr>
                <w:t>CWG-FHR-20/2</w:t>
              </w:r>
            </w:hyperlink>
            <w:r w:rsidRPr="00D91686">
              <w:rPr>
                <w:lang w:val="es-ES"/>
              </w:rPr>
              <w:t xml:space="preserve"> y </w:t>
            </w:r>
            <w:hyperlink r:id="rId18" w:history="1">
              <w:r w:rsidRPr="00D91686">
                <w:rPr>
                  <w:rStyle w:val="Hyperlink"/>
                  <w:lang w:val="es-ES"/>
                </w:rPr>
                <w:t>CWG-FHR-20/DT/1</w:t>
              </w:r>
            </w:hyperlink>
            <w:r w:rsidRPr="00D91686">
              <w:rPr>
                <w:lang w:val="es-ES"/>
              </w:rPr>
              <w:t xml:space="preserve"> </w:t>
            </w:r>
          </w:p>
          <w:p w14:paraId="4D93B495" w14:textId="6BFFEEB6" w:rsidR="007E2FE0" w:rsidRPr="00E11160" w:rsidRDefault="007E2FE0" w:rsidP="007E2FE0">
            <w:pPr>
              <w:pStyle w:val="ListParagraph"/>
              <w:numPr>
                <w:ilvl w:val="0"/>
                <w:numId w:val="2"/>
              </w:numPr>
              <w:tabs>
                <w:tab w:val="left" w:pos="708"/>
              </w:tabs>
              <w:overflowPunct/>
              <w:autoSpaceDE/>
              <w:adjustRightInd/>
              <w:spacing w:after="120"/>
              <w:contextualSpacing w:val="0"/>
              <w:rPr>
                <w:lang w:val="es-ES"/>
              </w:rPr>
            </w:pPr>
            <w:hyperlink r:id="rId19" w:history="1">
              <w:r w:rsidRPr="00E11160">
                <w:rPr>
                  <w:rStyle w:val="Hyperlink"/>
                  <w:lang w:val="es-ES"/>
                </w:rPr>
                <w:t xml:space="preserve">CWG-FHR-16/10 </w:t>
              </w:r>
            </w:hyperlink>
            <w:r w:rsidRPr="00E11160">
              <w:rPr>
                <w:lang w:val="es-ES"/>
              </w:rPr>
              <w:t xml:space="preserve">y </w:t>
            </w:r>
            <w:hyperlink r:id="rId20" w:history="1">
              <w:r w:rsidRPr="00E11160">
                <w:rPr>
                  <w:rStyle w:val="Hyperlink"/>
                  <w:lang w:val="es-ES"/>
                </w:rPr>
                <w:t>CWG-FHR-16/24(Rev.1</w:t>
              </w:r>
            </w:hyperlink>
            <w:r w:rsidRPr="00D91686">
              <w:rPr>
                <w:rStyle w:val="Hyperlink"/>
                <w:lang w:val="es-ES"/>
              </w:rPr>
              <w:t>)</w:t>
            </w:r>
          </w:p>
          <w:p w14:paraId="216AD8E3" w14:textId="74FCA19F" w:rsidR="00A721F4" w:rsidRPr="00D8041C" w:rsidRDefault="007E2FE0" w:rsidP="007E2FE0">
            <w:pPr>
              <w:pStyle w:val="ListParagraph"/>
              <w:numPr>
                <w:ilvl w:val="0"/>
                <w:numId w:val="2"/>
              </w:numPr>
              <w:tabs>
                <w:tab w:val="left" w:pos="708"/>
              </w:tabs>
              <w:overflowPunct/>
              <w:autoSpaceDE/>
              <w:adjustRightInd/>
              <w:spacing w:after="120"/>
              <w:contextualSpacing w:val="0"/>
              <w:rPr>
                <w:lang w:val="es-ES_tradnl"/>
              </w:rPr>
            </w:pPr>
            <w:r w:rsidRPr="00720496">
              <w:rPr>
                <w:szCs w:val="24"/>
              </w:rPr>
              <w:t xml:space="preserve">Documentos </w:t>
            </w:r>
            <w:hyperlink r:id="rId21" w:history="1">
              <w:r w:rsidRPr="00720496">
                <w:rPr>
                  <w:rStyle w:val="Hyperlink"/>
                  <w:szCs w:val="24"/>
                </w:rPr>
                <w:t>TDAG-24/7(Rev.1)</w:t>
              </w:r>
            </w:hyperlink>
            <w:r>
              <w:rPr>
                <w:szCs w:val="24"/>
              </w:rPr>
              <w:t xml:space="preserve">, </w:t>
            </w:r>
            <w:hyperlink r:id="rId22" w:history="1">
              <w:r w:rsidRPr="00720496">
                <w:rPr>
                  <w:rStyle w:val="Hyperlink"/>
                  <w:szCs w:val="24"/>
                </w:rPr>
                <w:t>TDAG-24/12</w:t>
              </w:r>
            </w:hyperlink>
          </w:p>
        </w:tc>
      </w:tr>
    </w:tbl>
    <w:p w14:paraId="32BD0A8F" w14:textId="77777777" w:rsidR="00923CF1" w:rsidRPr="00D8041C" w:rsidRDefault="00923CF1" w:rsidP="00935FF0">
      <w:pPr>
        <w:rPr>
          <w:lang w:val="es-ES_tradnl"/>
        </w:rPr>
      </w:pPr>
    </w:p>
    <w:p w14:paraId="194AD017" w14:textId="77777777" w:rsidR="00923CF1" w:rsidRPr="00D8041C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D8041C">
        <w:rPr>
          <w:lang w:val="es-ES_tradnl"/>
        </w:rPr>
        <w:br w:type="page"/>
      </w:r>
    </w:p>
    <w:p w14:paraId="5E569BAA" w14:textId="77777777" w:rsidR="007E2FE0" w:rsidRPr="00E11160" w:rsidRDefault="007E2FE0" w:rsidP="003637AF">
      <w:pPr>
        <w:rPr>
          <w:lang w:val="es-ES"/>
        </w:rPr>
      </w:pPr>
      <w:bookmarkStart w:id="3" w:name="Proposal"/>
      <w:bookmarkEnd w:id="3"/>
      <w:r w:rsidRPr="00E11160">
        <w:rPr>
          <w:lang w:val="es-ES"/>
        </w:rPr>
        <w:lastRenderedPageBreak/>
        <w:t xml:space="preserve">La Unión Internacional de Telecomunicaciones (UIT) ha </w:t>
      </w:r>
      <w:r>
        <w:rPr>
          <w:lang w:val="es-ES"/>
        </w:rPr>
        <w:t>colaborado activamente en la mejora de</w:t>
      </w:r>
      <w:r w:rsidRPr="00E11160">
        <w:rPr>
          <w:lang w:val="es-ES"/>
        </w:rPr>
        <w:t xml:space="preserve"> su presencia regional, con el </w:t>
      </w:r>
      <w:r>
        <w:rPr>
          <w:lang w:val="es-ES"/>
        </w:rPr>
        <w:t>fin de fortalecer sus actividades de</w:t>
      </w:r>
      <w:r w:rsidRPr="00E11160">
        <w:rPr>
          <w:lang w:val="es-ES"/>
        </w:rPr>
        <w:t xml:space="preserve"> apoyo </w:t>
      </w:r>
      <w:r>
        <w:rPr>
          <w:lang w:val="es-ES"/>
        </w:rPr>
        <w:t>en el marco de</w:t>
      </w:r>
      <w:r w:rsidRPr="00E11160">
        <w:rPr>
          <w:lang w:val="es-ES"/>
        </w:rPr>
        <w:t xml:space="preserve"> proyectos y otras actividades </w:t>
      </w:r>
      <w:r>
        <w:rPr>
          <w:lang w:val="es-ES"/>
        </w:rPr>
        <w:t>de su</w:t>
      </w:r>
      <w:r w:rsidRPr="00E11160">
        <w:rPr>
          <w:lang w:val="es-ES"/>
        </w:rPr>
        <w:t xml:space="preserve"> plan </w:t>
      </w:r>
      <w:r>
        <w:rPr>
          <w:lang w:val="es-ES"/>
        </w:rPr>
        <w:t>operacional</w:t>
      </w:r>
      <w:r w:rsidRPr="00E11160">
        <w:rPr>
          <w:lang w:val="es-ES"/>
        </w:rPr>
        <w:t xml:space="preserve"> a los Estados Miembros de </w:t>
      </w:r>
      <w:r>
        <w:rPr>
          <w:lang w:val="es-ES"/>
        </w:rPr>
        <w:t>forma</w:t>
      </w:r>
      <w:r w:rsidRPr="00E11160">
        <w:rPr>
          <w:lang w:val="es-ES"/>
        </w:rPr>
        <w:t xml:space="preserve"> oportuna, eficaz y </w:t>
      </w:r>
      <w:r>
        <w:rPr>
          <w:lang w:val="es-ES"/>
        </w:rPr>
        <w:t>eficiente</w:t>
      </w:r>
      <w:r w:rsidRPr="00E11160">
        <w:rPr>
          <w:lang w:val="es-ES"/>
        </w:rPr>
        <w:t xml:space="preserve">. </w:t>
      </w:r>
      <w:hyperlink r:id="rId23">
        <w:r w:rsidRPr="00E11160">
          <w:rPr>
            <w:rStyle w:val="Hyperlink"/>
            <w:rFonts w:cstheme="minorHAnsi"/>
            <w:szCs w:val="24"/>
            <w:lang w:val="es-ES"/>
          </w:rPr>
          <w:t xml:space="preserve">El </w:t>
        </w:r>
        <w:r w:rsidRPr="00DE532F">
          <w:rPr>
            <w:rStyle w:val="Hyperlink"/>
            <w:rFonts w:cstheme="minorHAnsi"/>
            <w:szCs w:val="24"/>
            <w:lang w:val="es-ES"/>
          </w:rPr>
          <w:t>panel de información sobre presencia regi</w:t>
        </w:r>
        <w:r>
          <w:rPr>
            <w:rStyle w:val="Hyperlink"/>
            <w:rFonts w:cstheme="minorHAnsi"/>
            <w:szCs w:val="24"/>
            <w:lang w:val="es-ES"/>
          </w:rPr>
          <w:t>onal</w:t>
        </w:r>
        <w:r w:rsidRPr="00E11160">
          <w:rPr>
            <w:rStyle w:val="Hyperlink"/>
            <w:rFonts w:cstheme="minorHAnsi"/>
            <w:szCs w:val="24"/>
            <w:lang w:val="es-ES"/>
          </w:rPr>
          <w:t xml:space="preserve"> </w:t>
        </w:r>
      </w:hyperlink>
      <w:r w:rsidRPr="00E11160">
        <w:rPr>
          <w:lang w:val="es-ES"/>
        </w:rPr>
        <w:t xml:space="preserve">para </w:t>
      </w:r>
      <w:r>
        <w:rPr>
          <w:lang w:val="es-ES"/>
        </w:rPr>
        <w:t>supervisar</w:t>
      </w:r>
      <w:r w:rsidRPr="00E11160">
        <w:rPr>
          <w:lang w:val="es-ES"/>
        </w:rPr>
        <w:t xml:space="preserve"> la aplicación de las prioridades específicas </w:t>
      </w:r>
      <w:r>
        <w:rPr>
          <w:lang w:val="es-ES"/>
        </w:rPr>
        <w:t>con objeto de</w:t>
      </w:r>
      <w:r w:rsidRPr="00E11160">
        <w:rPr>
          <w:lang w:val="es-ES"/>
        </w:rPr>
        <w:t xml:space="preserve"> reforzar la presencia regional se actualiza periódicamente. </w:t>
      </w:r>
      <w:r>
        <w:rPr>
          <w:lang w:val="es-ES"/>
        </w:rPr>
        <w:t>Abarca</w:t>
      </w:r>
      <w:r w:rsidRPr="00E11160">
        <w:rPr>
          <w:lang w:val="es-ES"/>
        </w:rPr>
        <w:t xml:space="preserve"> la aplicación de las recomendaciones de PwC, las recomendaciones de auditorías internas y del </w:t>
      </w:r>
      <w:r>
        <w:rPr>
          <w:lang w:val="es-ES"/>
        </w:rPr>
        <w:t>CAIG</w:t>
      </w:r>
      <w:r w:rsidRPr="00E11160">
        <w:rPr>
          <w:lang w:val="es-ES"/>
        </w:rPr>
        <w:t xml:space="preserve">, así como las acciones emprendidas por la Secretaría para </w:t>
      </w:r>
      <w:r>
        <w:rPr>
          <w:lang w:val="es-ES"/>
        </w:rPr>
        <w:t>fortalecer</w:t>
      </w:r>
      <w:r w:rsidRPr="00E11160">
        <w:rPr>
          <w:lang w:val="es-ES"/>
        </w:rPr>
        <w:t xml:space="preserve"> la presencia regional</w:t>
      </w:r>
    </w:p>
    <w:p w14:paraId="3B9EA7C4" w14:textId="6FFAF092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 xml:space="preserve">Las intervenciones bien planificadas y ejecutadas han atraído financiación extrapresupuestaria de los donantes para la ejecución de proyectos, incluidas las iniciativas regionales. Las oficinas regionales siguen desempeñando un papel crucial </w:t>
      </w:r>
      <w:r>
        <w:rPr>
          <w:lang w:val="es-ES"/>
        </w:rPr>
        <w:t>a tal efecto</w:t>
      </w:r>
      <w:r w:rsidRPr="00E11160">
        <w:rPr>
          <w:lang w:val="es-ES"/>
        </w:rPr>
        <w:t xml:space="preserve">, sirviendo de primera línea para el compromiso de la UIT con las partes interesadas locales y los gobiernos. En el </w:t>
      </w:r>
      <w:hyperlink r:id="rId24">
        <w:r w:rsidRPr="00E11160">
          <w:rPr>
            <w:rStyle w:val="Hyperlink"/>
            <w:rFonts w:cstheme="minorHAnsi"/>
            <w:szCs w:val="24"/>
            <w:lang w:val="es-ES"/>
          </w:rPr>
          <w:t>documento TDAG</w:t>
        </w:r>
        <w:r w:rsidR="003637AF">
          <w:rPr>
            <w:rStyle w:val="Hyperlink"/>
            <w:rFonts w:cstheme="minorHAnsi"/>
            <w:szCs w:val="24"/>
            <w:lang w:val="es-ES"/>
          </w:rPr>
          <w:noBreakHyphen/>
        </w:r>
        <w:r w:rsidRPr="00E11160">
          <w:rPr>
            <w:rStyle w:val="Hyperlink"/>
            <w:rFonts w:cstheme="minorHAnsi"/>
            <w:szCs w:val="24"/>
            <w:lang w:val="es-ES"/>
          </w:rPr>
          <w:t xml:space="preserve">25/3 </w:t>
        </w:r>
      </w:hyperlink>
      <w:r w:rsidRPr="00E11160">
        <w:rPr>
          <w:lang w:val="es-ES"/>
        </w:rPr>
        <w:t xml:space="preserve">figura un informe detallado sobre la aplicación de las Iniciativas Regionales, que incluye un anexo en el que se asignan proyectos a las Iniciativas Regionales. A </w:t>
      </w:r>
      <w:r w:rsidR="00F92C2F" w:rsidRPr="00E11160">
        <w:rPr>
          <w:lang w:val="es-ES"/>
        </w:rPr>
        <w:t>continuación,</w:t>
      </w:r>
      <w:r w:rsidRPr="00E11160">
        <w:rPr>
          <w:lang w:val="es-ES"/>
        </w:rPr>
        <w:t xml:space="preserve"> figuran algunos ejemplos clave </w:t>
      </w:r>
      <w:r>
        <w:rPr>
          <w:lang w:val="es-ES"/>
        </w:rPr>
        <w:t>sobre los efectos favorables</w:t>
      </w:r>
      <w:r w:rsidRPr="00E11160">
        <w:rPr>
          <w:lang w:val="es-ES"/>
        </w:rPr>
        <w:t xml:space="preserve"> </w:t>
      </w:r>
      <w:r>
        <w:rPr>
          <w:lang w:val="es-ES"/>
        </w:rPr>
        <w:t>de</w:t>
      </w:r>
      <w:r w:rsidRPr="00E11160">
        <w:rPr>
          <w:lang w:val="es-ES"/>
        </w:rPr>
        <w:t xml:space="preserve"> </w:t>
      </w:r>
      <w:r w:rsidRPr="00E11160">
        <w:rPr>
          <w:spacing w:val="-2"/>
          <w:lang w:val="es-ES"/>
        </w:rPr>
        <w:t xml:space="preserve">las medidas </w:t>
      </w:r>
      <w:r w:rsidRPr="00E11160">
        <w:rPr>
          <w:lang w:val="es-ES"/>
        </w:rPr>
        <w:t xml:space="preserve">específicas </w:t>
      </w:r>
      <w:r w:rsidRPr="00E11160">
        <w:rPr>
          <w:spacing w:val="-2"/>
          <w:lang w:val="es-ES"/>
        </w:rPr>
        <w:t xml:space="preserve">adoptadas para </w:t>
      </w:r>
      <w:r>
        <w:rPr>
          <w:spacing w:val="-2"/>
          <w:lang w:val="es-ES"/>
        </w:rPr>
        <w:t>fortalecer</w:t>
      </w:r>
      <w:r w:rsidRPr="00E11160">
        <w:rPr>
          <w:spacing w:val="-2"/>
          <w:lang w:val="es-ES"/>
        </w:rPr>
        <w:t xml:space="preserve"> la presencia regional </w:t>
      </w:r>
      <w:r>
        <w:rPr>
          <w:lang w:val="es-ES"/>
        </w:rPr>
        <w:t>de</w:t>
      </w:r>
      <w:r w:rsidRPr="00E11160">
        <w:rPr>
          <w:lang w:val="es-ES"/>
        </w:rPr>
        <w:t xml:space="preserve"> </w:t>
      </w:r>
      <w:r>
        <w:rPr>
          <w:spacing w:val="-2"/>
          <w:lang w:val="es-ES"/>
        </w:rPr>
        <w:t>a</w:t>
      </w:r>
      <w:r w:rsidRPr="00E11160">
        <w:rPr>
          <w:spacing w:val="-2"/>
          <w:lang w:val="es-ES"/>
        </w:rPr>
        <w:t xml:space="preserve"> 2025 (</w:t>
      </w:r>
      <w:r>
        <w:rPr>
          <w:spacing w:val="-2"/>
          <w:lang w:val="es-ES"/>
        </w:rPr>
        <w:t xml:space="preserve">en los documentos </w:t>
      </w:r>
      <w:hyperlink r:id="rId25">
        <w:r w:rsidRPr="00E11160">
          <w:rPr>
            <w:rStyle w:val="Hyperlink"/>
            <w:rFonts w:cstheme="minorHAnsi"/>
            <w:szCs w:val="24"/>
            <w:lang w:val="es-ES"/>
          </w:rPr>
          <w:t xml:space="preserve">TDAG-25/2 </w:t>
        </w:r>
      </w:hyperlink>
      <w:r w:rsidRPr="00E11160">
        <w:rPr>
          <w:lang w:val="es-ES"/>
        </w:rPr>
        <w:t xml:space="preserve">y </w:t>
      </w:r>
      <w:hyperlink r:id="rId26">
        <w:r w:rsidRPr="00E11160">
          <w:rPr>
            <w:rStyle w:val="Hyperlink"/>
            <w:rFonts w:cstheme="minorHAnsi"/>
            <w:szCs w:val="24"/>
            <w:lang w:val="es-ES"/>
          </w:rPr>
          <w:t>TDAG-25/3</w:t>
        </w:r>
      </w:hyperlink>
      <w:r w:rsidRPr="00E11160">
        <w:rPr>
          <w:lang w:val="es-ES"/>
        </w:rPr>
        <w:t xml:space="preserve">, </w:t>
      </w:r>
      <w:r>
        <w:rPr>
          <w:lang w:val="es-ES"/>
        </w:rPr>
        <w:t>se ofrece</w:t>
      </w:r>
      <w:r w:rsidRPr="00E11160">
        <w:rPr>
          <w:lang w:val="es-ES"/>
        </w:rPr>
        <w:t xml:space="preserve"> información </w:t>
      </w:r>
      <w:r>
        <w:rPr>
          <w:lang w:val="es-ES"/>
        </w:rPr>
        <w:t>pormenorizada al respecto</w:t>
      </w:r>
      <w:r w:rsidRPr="00E11160">
        <w:rPr>
          <w:lang w:val="es-ES"/>
        </w:rPr>
        <w:t xml:space="preserve">): </w:t>
      </w:r>
    </w:p>
    <w:p w14:paraId="5096F054" w14:textId="3B2DA757" w:rsidR="007E2FE0" w:rsidRPr="00F92C2F" w:rsidRDefault="00F92C2F" w:rsidP="00F92C2F">
      <w:pPr>
        <w:pStyle w:val="Heading1"/>
        <w:rPr>
          <w:sz w:val="24"/>
          <w:szCs w:val="24"/>
          <w:lang w:val="es-ES"/>
        </w:rPr>
      </w:pPr>
      <w:r w:rsidRPr="00F92C2F">
        <w:rPr>
          <w:sz w:val="24"/>
          <w:szCs w:val="24"/>
          <w:lang w:val="es-ES"/>
        </w:rPr>
        <w:t>1</w:t>
      </w:r>
      <w:r w:rsidRPr="00F92C2F">
        <w:rPr>
          <w:sz w:val="24"/>
          <w:szCs w:val="24"/>
          <w:lang w:val="es-ES"/>
        </w:rPr>
        <w:tab/>
      </w:r>
      <w:r w:rsidR="007E2FE0" w:rsidRPr="00F92C2F">
        <w:rPr>
          <w:sz w:val="24"/>
          <w:szCs w:val="24"/>
          <w:lang w:val="es-ES"/>
        </w:rPr>
        <w:t>Compromiso de los miembros y ejecución de proyectos y planes operacionales</w:t>
      </w:r>
    </w:p>
    <w:p w14:paraId="498EB675" w14:textId="77777777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 xml:space="preserve">La eficacia de las actividades regionales de la UIT contribuye </w:t>
      </w:r>
      <w:r>
        <w:rPr>
          <w:lang w:val="es-ES"/>
        </w:rPr>
        <w:t>ampliamente</w:t>
      </w:r>
      <w:r w:rsidRPr="00E11160">
        <w:rPr>
          <w:lang w:val="es-ES"/>
        </w:rPr>
        <w:t xml:space="preserve"> a </w:t>
      </w:r>
      <w:r>
        <w:rPr>
          <w:lang w:val="es-ES"/>
        </w:rPr>
        <w:t>la</w:t>
      </w:r>
      <w:r w:rsidRPr="00E11160">
        <w:rPr>
          <w:lang w:val="es-ES"/>
        </w:rPr>
        <w:t xml:space="preserve"> misión </w:t>
      </w:r>
      <w:r>
        <w:rPr>
          <w:lang w:val="es-ES"/>
        </w:rPr>
        <w:t xml:space="preserve">de la Unión </w:t>
      </w:r>
      <w:r w:rsidRPr="00E11160">
        <w:rPr>
          <w:lang w:val="es-ES"/>
        </w:rPr>
        <w:t xml:space="preserve">de </w:t>
      </w:r>
      <w:r>
        <w:rPr>
          <w:lang w:val="es-ES"/>
        </w:rPr>
        <w:t>conectar el mundo y de fomentar la</w:t>
      </w:r>
      <w:r w:rsidRPr="00E11160">
        <w:rPr>
          <w:lang w:val="es-ES"/>
        </w:rPr>
        <w:t xml:space="preserve"> transformación digital sostenible. </w:t>
      </w:r>
      <w:r>
        <w:rPr>
          <w:lang w:val="es-ES"/>
        </w:rPr>
        <w:t>Esos</w:t>
      </w:r>
      <w:r w:rsidRPr="00E11160">
        <w:rPr>
          <w:lang w:val="es-ES"/>
        </w:rPr>
        <w:t xml:space="preserve"> esfuerzos están estratégicamente diseñados para garantizar que la UIT siga respondiendo a las necesidades en rápida evolución de las economías y sociedades digitales de todo el mundo. </w:t>
      </w:r>
    </w:p>
    <w:p w14:paraId="02FA8E95" w14:textId="74679CF0" w:rsidR="007E2FE0" w:rsidRPr="00E11160" w:rsidRDefault="00605A5D" w:rsidP="00F31397">
      <w:pPr>
        <w:rPr>
          <w:lang w:val="es-ES"/>
        </w:rPr>
      </w:pPr>
      <w:r>
        <w:rPr>
          <w:lang w:val="es-ES"/>
        </w:rPr>
        <w:t>1.1</w:t>
      </w:r>
      <w:r w:rsidR="007D0A90">
        <w:rPr>
          <w:lang w:val="es-ES"/>
        </w:rPr>
        <w:tab/>
      </w:r>
      <w:r w:rsidR="007E2FE0" w:rsidRPr="00E11160">
        <w:rPr>
          <w:b/>
          <w:bCs/>
          <w:lang w:val="es-ES"/>
        </w:rPr>
        <w:t xml:space="preserve">El Plan </w:t>
      </w:r>
      <w:r w:rsidR="007E2FE0">
        <w:rPr>
          <w:b/>
          <w:bCs/>
          <w:lang w:val="es-ES"/>
        </w:rPr>
        <w:t>Operacional</w:t>
      </w:r>
      <w:r w:rsidR="007E2FE0" w:rsidRPr="00E11160">
        <w:rPr>
          <w:b/>
          <w:bCs/>
          <w:lang w:val="es-ES"/>
        </w:rPr>
        <w:t xml:space="preserve"> del UIT-D</w:t>
      </w:r>
      <w:r w:rsidR="007E2FE0" w:rsidRPr="00664878">
        <w:rPr>
          <w:rStyle w:val="FootnoteReference"/>
          <w:rFonts w:cstheme="minorHAnsi"/>
          <w:szCs w:val="18"/>
        </w:rPr>
        <w:footnoteReference w:id="1"/>
      </w:r>
      <w:r w:rsidR="00F31397">
        <w:rPr>
          <w:lang w:val="es-ES"/>
        </w:rPr>
        <w:t>: S</w:t>
      </w:r>
      <w:r w:rsidR="007E2FE0" w:rsidRPr="00E11160">
        <w:rPr>
          <w:lang w:val="es-ES"/>
        </w:rPr>
        <w:t xml:space="preserve">e ajusta a la estructura del Plan Estratégico de la Unión para 2024-2027. </w:t>
      </w:r>
      <w:r w:rsidR="007E2FE0">
        <w:rPr>
          <w:lang w:val="es-ES"/>
        </w:rPr>
        <w:t>Dicha</w:t>
      </w:r>
      <w:r w:rsidR="007E2FE0" w:rsidRPr="00E11160">
        <w:rPr>
          <w:lang w:val="es-ES"/>
        </w:rPr>
        <w:t xml:space="preserve"> estructura </w:t>
      </w:r>
      <w:r w:rsidR="007E2FE0">
        <w:rPr>
          <w:lang w:val="es-ES"/>
        </w:rPr>
        <w:t>se rige por</w:t>
      </w:r>
      <w:r w:rsidR="007E2FE0" w:rsidRPr="00E11160">
        <w:rPr>
          <w:lang w:val="es-ES"/>
        </w:rPr>
        <w:t xml:space="preserve"> el Plan de Acción de Kigali (</w:t>
      </w:r>
      <w:r w:rsidR="007E2FE0">
        <w:rPr>
          <w:lang w:val="es-ES"/>
        </w:rPr>
        <w:t>PAK</w:t>
      </w:r>
      <w:r w:rsidR="007E2FE0" w:rsidRPr="00E11160">
        <w:rPr>
          <w:lang w:val="es-ES"/>
        </w:rPr>
        <w:t xml:space="preserve">), en el que se esbozan las Prioridades y </w:t>
      </w:r>
      <w:r w:rsidR="007E2FE0">
        <w:rPr>
          <w:lang w:val="es-ES"/>
        </w:rPr>
        <w:t>los Facilitadores</w:t>
      </w:r>
      <w:r w:rsidR="007E2FE0" w:rsidRPr="00E11160">
        <w:rPr>
          <w:lang w:val="es-ES"/>
        </w:rPr>
        <w:t xml:space="preserve"> del UIT-D, </w:t>
      </w:r>
      <w:r w:rsidR="007E2FE0">
        <w:rPr>
          <w:lang w:val="es-ES"/>
        </w:rPr>
        <w:t>y los</w:t>
      </w:r>
      <w:r w:rsidR="007E2FE0" w:rsidRPr="00E11160">
        <w:rPr>
          <w:lang w:val="es-ES"/>
        </w:rPr>
        <w:t xml:space="preserve"> correspondientes resultados, productos y servicios, así como los indicadores </w:t>
      </w:r>
      <w:r w:rsidR="007E2FE0">
        <w:rPr>
          <w:lang w:val="es-ES"/>
        </w:rPr>
        <w:t>sobre calidad de funcionamiento</w:t>
      </w:r>
      <w:r w:rsidR="007E2FE0" w:rsidRPr="00E11160">
        <w:rPr>
          <w:lang w:val="es-ES"/>
        </w:rPr>
        <w:t xml:space="preserve"> para medir </w:t>
      </w:r>
      <w:r w:rsidR="007E2FE0">
        <w:rPr>
          <w:lang w:val="es-ES"/>
        </w:rPr>
        <w:t>el grado</w:t>
      </w:r>
      <w:r w:rsidR="007E2FE0" w:rsidRPr="00E11160">
        <w:rPr>
          <w:lang w:val="es-ES"/>
        </w:rPr>
        <w:t xml:space="preserve"> de </w:t>
      </w:r>
      <w:r w:rsidR="007E2FE0">
        <w:rPr>
          <w:lang w:val="es-ES"/>
        </w:rPr>
        <w:t>cumplimiento</w:t>
      </w:r>
      <w:r w:rsidR="007E2FE0" w:rsidRPr="00E11160">
        <w:rPr>
          <w:lang w:val="es-ES"/>
        </w:rPr>
        <w:t xml:space="preserve"> </w:t>
      </w:r>
      <w:r w:rsidR="007E2FE0">
        <w:rPr>
          <w:lang w:val="es-ES"/>
        </w:rPr>
        <w:t>de</w:t>
      </w:r>
      <w:r w:rsidR="007E2FE0" w:rsidRPr="00E11160">
        <w:rPr>
          <w:lang w:val="es-ES"/>
        </w:rPr>
        <w:t xml:space="preserve"> las actividades del Sector. En la actualidad</w:t>
      </w:r>
      <w:r w:rsidR="007E2FE0">
        <w:rPr>
          <w:lang w:val="es-ES"/>
        </w:rPr>
        <w:t xml:space="preserve"> tienen lugar </w:t>
      </w:r>
      <w:r w:rsidR="007E2FE0" w:rsidRPr="00E11160">
        <w:rPr>
          <w:lang w:val="es-ES"/>
        </w:rPr>
        <w:t xml:space="preserve">ciento </w:t>
      </w:r>
      <w:r>
        <w:rPr>
          <w:lang w:val="es-ES"/>
        </w:rPr>
        <w:t>veinte y dos</w:t>
      </w:r>
      <w:r w:rsidR="007E2FE0" w:rsidRPr="00E11160">
        <w:rPr>
          <w:lang w:val="es-ES"/>
        </w:rPr>
        <w:t xml:space="preserve"> (</w:t>
      </w:r>
      <w:r>
        <w:rPr>
          <w:lang w:val="es-ES"/>
        </w:rPr>
        <w:t>122</w:t>
      </w:r>
      <w:r w:rsidR="007E2FE0" w:rsidRPr="00E11160">
        <w:rPr>
          <w:lang w:val="es-ES"/>
        </w:rPr>
        <w:t>)</w:t>
      </w:r>
      <w:r w:rsidR="009E236B">
        <w:rPr>
          <w:lang w:val="es-ES"/>
        </w:rPr>
        <w:t> </w:t>
      </w:r>
      <w:r w:rsidR="007E2FE0" w:rsidRPr="00E11160">
        <w:rPr>
          <w:lang w:val="es-ES"/>
        </w:rPr>
        <w:t>actividades a escala mundial y entre regiones. Para mejorar la</w:t>
      </w:r>
      <w:r w:rsidR="007E2FE0">
        <w:rPr>
          <w:lang w:val="es-ES"/>
        </w:rPr>
        <w:t>s actividades de</w:t>
      </w:r>
      <w:r w:rsidR="007E2FE0" w:rsidRPr="00E11160">
        <w:rPr>
          <w:lang w:val="es-ES"/>
        </w:rPr>
        <w:t xml:space="preserve"> implementación, se buscan sinergias entre los resultados regionales, así como entre las iniciativas </w:t>
      </w:r>
      <w:r w:rsidR="007E2FE0">
        <w:rPr>
          <w:lang w:val="es-ES"/>
        </w:rPr>
        <w:t>a escalas regional y mundial,</w:t>
      </w:r>
      <w:r w:rsidR="007E2FE0" w:rsidRPr="00E11160">
        <w:rPr>
          <w:lang w:val="es-ES"/>
        </w:rPr>
        <w:t xml:space="preserve"> en colaboración con otras Oficinas de la UIT y la Secretaría General. </w:t>
      </w:r>
    </w:p>
    <w:p w14:paraId="613CA911" w14:textId="01B07C77" w:rsidR="007E2FE0" w:rsidRPr="00E11160" w:rsidRDefault="00605A5D" w:rsidP="00F31397">
      <w:pPr>
        <w:rPr>
          <w:rFonts w:cstheme="minorHAnsi"/>
          <w:b/>
          <w:bCs/>
          <w:szCs w:val="24"/>
          <w:lang w:val="es-ES"/>
        </w:rPr>
      </w:pPr>
      <w:r>
        <w:rPr>
          <w:lang w:val="es-ES"/>
        </w:rPr>
        <w:t>1.2</w:t>
      </w:r>
      <w:r w:rsidR="007D0A90">
        <w:rPr>
          <w:lang w:val="es-ES"/>
        </w:rPr>
        <w:tab/>
      </w:r>
      <w:r w:rsidR="007E2FE0" w:rsidRPr="00E11160">
        <w:rPr>
          <w:rFonts w:cstheme="minorHAnsi"/>
          <w:b/>
          <w:szCs w:val="24"/>
          <w:lang w:val="es-ES"/>
        </w:rPr>
        <w:t>Planificación coordinada de</w:t>
      </w:r>
      <w:r w:rsidR="007E2FE0">
        <w:rPr>
          <w:rFonts w:cstheme="minorHAnsi"/>
          <w:b/>
          <w:szCs w:val="24"/>
          <w:lang w:val="es-ES"/>
        </w:rPr>
        <w:t>l</w:t>
      </w:r>
      <w:r w:rsidR="007E2FE0" w:rsidRPr="00E11160">
        <w:rPr>
          <w:rFonts w:cstheme="minorHAnsi"/>
          <w:b/>
          <w:szCs w:val="24"/>
          <w:lang w:val="es-ES"/>
        </w:rPr>
        <w:t xml:space="preserve"> PO y proyectos: </w:t>
      </w:r>
      <w:r w:rsidR="00F31397">
        <w:rPr>
          <w:rFonts w:cstheme="minorHAnsi"/>
          <w:spacing w:val="-3"/>
          <w:szCs w:val="24"/>
          <w:lang w:val="es-ES"/>
        </w:rPr>
        <w:t>L</w:t>
      </w:r>
      <w:r w:rsidR="007E2FE0" w:rsidRPr="00E11160">
        <w:rPr>
          <w:rFonts w:cstheme="minorHAnsi"/>
          <w:spacing w:val="-3"/>
          <w:szCs w:val="24"/>
          <w:lang w:val="es-ES"/>
        </w:rPr>
        <w:t xml:space="preserve">as Oficinas Regionales y de Zona de la UIT han </w:t>
      </w:r>
      <w:r w:rsidR="007E2FE0" w:rsidRPr="00E11160">
        <w:rPr>
          <w:rFonts w:cstheme="minorHAnsi"/>
          <w:szCs w:val="24"/>
          <w:lang w:val="es-ES"/>
        </w:rPr>
        <w:t xml:space="preserve">colaborado estrechamente con la Sede en </w:t>
      </w:r>
      <w:r w:rsidR="007E2FE0" w:rsidRPr="00E11160">
        <w:rPr>
          <w:rFonts w:cstheme="minorHAnsi"/>
          <w:spacing w:val="-3"/>
          <w:szCs w:val="24"/>
          <w:lang w:val="es-ES"/>
        </w:rPr>
        <w:t xml:space="preserve">la identificación, ejecución y </w:t>
      </w:r>
      <w:r w:rsidR="007E2FE0">
        <w:rPr>
          <w:rFonts w:cstheme="minorHAnsi"/>
          <w:spacing w:val="-3"/>
          <w:szCs w:val="24"/>
          <w:lang w:val="es-ES"/>
        </w:rPr>
        <w:t xml:space="preserve">supervisión </w:t>
      </w:r>
      <w:r w:rsidR="007E2FE0" w:rsidRPr="00E11160">
        <w:rPr>
          <w:rFonts w:cstheme="minorHAnsi"/>
          <w:szCs w:val="24"/>
          <w:lang w:val="es-ES"/>
        </w:rPr>
        <w:t xml:space="preserve">de los </w:t>
      </w:r>
      <w:r w:rsidR="007E2FE0" w:rsidRPr="00E11160">
        <w:rPr>
          <w:rFonts w:cstheme="minorHAnsi"/>
          <w:spacing w:val="-3"/>
          <w:szCs w:val="24"/>
          <w:lang w:val="es-ES"/>
        </w:rPr>
        <w:t xml:space="preserve">planes </w:t>
      </w:r>
      <w:r w:rsidR="007E2FE0">
        <w:rPr>
          <w:rFonts w:cstheme="minorHAnsi"/>
          <w:spacing w:val="-3"/>
          <w:szCs w:val="24"/>
          <w:lang w:val="es-ES"/>
        </w:rPr>
        <w:t>operacionales</w:t>
      </w:r>
      <w:r w:rsidR="007E2FE0" w:rsidRPr="00E11160">
        <w:rPr>
          <w:rFonts w:cstheme="minorHAnsi"/>
          <w:spacing w:val="-3"/>
          <w:szCs w:val="24"/>
          <w:lang w:val="es-ES"/>
        </w:rPr>
        <w:t xml:space="preserve">, así como en el diseño, </w:t>
      </w:r>
      <w:r w:rsidR="007E2FE0">
        <w:rPr>
          <w:rFonts w:cstheme="minorHAnsi"/>
          <w:spacing w:val="-3"/>
          <w:szCs w:val="24"/>
          <w:lang w:val="es-ES"/>
        </w:rPr>
        <w:t xml:space="preserve">la </w:t>
      </w:r>
      <w:r w:rsidR="007E2FE0" w:rsidRPr="00E11160">
        <w:rPr>
          <w:rFonts w:cstheme="minorHAnsi"/>
          <w:spacing w:val="-3"/>
          <w:szCs w:val="24"/>
          <w:lang w:val="es-ES"/>
        </w:rPr>
        <w:t xml:space="preserve">ejecución y </w:t>
      </w:r>
      <w:r w:rsidR="007E2FE0">
        <w:rPr>
          <w:rFonts w:cstheme="minorHAnsi"/>
          <w:spacing w:val="-3"/>
          <w:szCs w:val="24"/>
          <w:lang w:val="es-ES"/>
        </w:rPr>
        <w:t>la supervisión</w:t>
      </w:r>
      <w:r w:rsidR="007E2FE0" w:rsidRPr="00E11160">
        <w:rPr>
          <w:rFonts w:cstheme="minorHAnsi"/>
          <w:spacing w:val="-3"/>
          <w:szCs w:val="24"/>
          <w:lang w:val="es-ES"/>
        </w:rPr>
        <w:t xml:space="preserve"> de proyectos de asistencia técnica </w:t>
      </w:r>
      <w:r w:rsidR="007E2FE0">
        <w:rPr>
          <w:rFonts w:cstheme="minorHAnsi"/>
          <w:spacing w:val="-3"/>
          <w:szCs w:val="24"/>
          <w:lang w:val="es-ES"/>
        </w:rPr>
        <w:t>en</w:t>
      </w:r>
      <w:r w:rsidR="007E2FE0" w:rsidRPr="00E11160">
        <w:rPr>
          <w:rFonts w:cstheme="minorHAnsi"/>
          <w:spacing w:val="-3"/>
          <w:szCs w:val="24"/>
          <w:lang w:val="es-ES"/>
        </w:rPr>
        <w:t xml:space="preserve"> sus respectivas regiones. </w:t>
      </w:r>
      <w:r w:rsidR="007E2FE0">
        <w:rPr>
          <w:rFonts w:cstheme="minorHAnsi"/>
          <w:spacing w:val="-3"/>
          <w:szCs w:val="24"/>
          <w:lang w:val="es-ES"/>
        </w:rPr>
        <w:t>Ello</w:t>
      </w:r>
      <w:r w:rsidR="007E2FE0" w:rsidRPr="00E11160">
        <w:rPr>
          <w:rFonts w:cstheme="minorHAnsi"/>
          <w:spacing w:val="-3"/>
          <w:szCs w:val="24"/>
          <w:lang w:val="es-ES"/>
        </w:rPr>
        <w:t xml:space="preserve"> incluye la </w:t>
      </w:r>
      <w:r w:rsidR="007E2FE0" w:rsidRPr="00E11160">
        <w:rPr>
          <w:rFonts w:cstheme="minorHAnsi"/>
          <w:szCs w:val="24"/>
          <w:lang w:val="es-ES"/>
        </w:rPr>
        <w:t xml:space="preserve">entrega de productos y servicios del UIT-D a los Estados Miembros, así como la atención a </w:t>
      </w:r>
      <w:r w:rsidR="007E2FE0">
        <w:rPr>
          <w:rFonts w:cstheme="minorHAnsi"/>
          <w:szCs w:val="24"/>
          <w:lang w:val="es-ES"/>
        </w:rPr>
        <w:t xml:space="preserve">las </w:t>
      </w:r>
      <w:r w:rsidR="007E2FE0" w:rsidRPr="00E11160">
        <w:rPr>
          <w:rFonts w:cstheme="minorHAnsi"/>
          <w:szCs w:val="24"/>
          <w:lang w:val="es-ES"/>
        </w:rPr>
        <w:t xml:space="preserve">necesidades </w:t>
      </w:r>
      <w:r w:rsidR="007E2FE0" w:rsidRPr="00E11160">
        <w:rPr>
          <w:rFonts w:cstheme="minorHAnsi"/>
          <w:spacing w:val="-3"/>
          <w:szCs w:val="24"/>
          <w:lang w:val="es-ES"/>
        </w:rPr>
        <w:t>específicas de cada país</w:t>
      </w:r>
      <w:r w:rsidR="007E2FE0" w:rsidRPr="00E11160">
        <w:rPr>
          <w:rFonts w:cstheme="minorHAnsi"/>
          <w:szCs w:val="24"/>
          <w:lang w:val="es-ES"/>
        </w:rPr>
        <w:t xml:space="preserve">, en consonancia </w:t>
      </w:r>
      <w:hyperlink r:id="rId27" w:history="1">
        <w:r w:rsidR="007E2FE0" w:rsidRPr="00E11160">
          <w:rPr>
            <w:rStyle w:val="Hyperlink"/>
            <w:rFonts w:cstheme="minorHAnsi"/>
            <w:szCs w:val="24"/>
            <w:lang w:val="es-ES"/>
          </w:rPr>
          <w:t>con las</w:t>
        </w:r>
        <w:r w:rsidR="007E2FE0" w:rsidRPr="00E11160">
          <w:rPr>
            <w:rStyle w:val="Hyperlink"/>
            <w:rFonts w:cstheme="minorHAnsi"/>
            <w:szCs w:val="24"/>
            <w:lang w:val="es-ES"/>
          </w:rPr>
          <w:t xml:space="preserve"> </w:t>
        </w:r>
        <w:r w:rsidR="007E2FE0" w:rsidRPr="00E11160">
          <w:rPr>
            <w:rStyle w:val="Hyperlink"/>
            <w:rFonts w:cstheme="minorHAnsi"/>
            <w:szCs w:val="24"/>
            <w:lang w:val="es-ES"/>
          </w:rPr>
          <w:t>Prio</w:t>
        </w:r>
        <w:r w:rsidR="007E2FE0" w:rsidRPr="00E11160">
          <w:rPr>
            <w:rStyle w:val="Hyperlink"/>
            <w:rFonts w:cstheme="minorHAnsi"/>
            <w:szCs w:val="24"/>
            <w:lang w:val="es-ES"/>
          </w:rPr>
          <w:t>r</w:t>
        </w:r>
        <w:r w:rsidR="007E2FE0" w:rsidRPr="00E11160">
          <w:rPr>
            <w:rStyle w:val="Hyperlink"/>
            <w:rFonts w:cstheme="minorHAnsi"/>
            <w:szCs w:val="24"/>
            <w:lang w:val="es-ES"/>
          </w:rPr>
          <w:t xml:space="preserve">idades y Facilitadores del UIT-D y las Iniciativas Regionales </w:t>
        </w:r>
      </w:hyperlink>
      <w:r w:rsidR="007E2FE0" w:rsidRPr="00E11160">
        <w:rPr>
          <w:rFonts w:cstheme="minorHAnsi"/>
          <w:spacing w:val="-3"/>
          <w:szCs w:val="24"/>
          <w:lang w:val="es-ES"/>
        </w:rPr>
        <w:t xml:space="preserve">adoptadas en </w:t>
      </w:r>
      <w:hyperlink r:id="rId28" w:history="1">
        <w:r w:rsidR="007E2FE0" w:rsidRPr="00E11160">
          <w:rPr>
            <w:rStyle w:val="Hyperlink"/>
            <w:rFonts w:cstheme="minorHAnsi"/>
            <w:szCs w:val="24"/>
            <w:lang w:val="es-ES"/>
          </w:rPr>
          <w:t>la CMDT</w:t>
        </w:r>
        <w:r w:rsidR="007E2FE0" w:rsidRPr="00E11160">
          <w:rPr>
            <w:rStyle w:val="Hyperlink"/>
            <w:rFonts w:cstheme="minorHAnsi"/>
            <w:szCs w:val="24"/>
            <w:lang w:val="es-ES"/>
          </w:rPr>
          <w:t>-</w:t>
        </w:r>
        <w:r w:rsidR="007E2FE0" w:rsidRPr="00E11160">
          <w:rPr>
            <w:rStyle w:val="Hyperlink"/>
            <w:rFonts w:cstheme="minorHAnsi"/>
            <w:szCs w:val="24"/>
            <w:lang w:val="es-ES"/>
          </w:rPr>
          <w:t>22</w:t>
        </w:r>
      </w:hyperlink>
      <w:r w:rsidR="007E2FE0" w:rsidRPr="00E11160">
        <w:rPr>
          <w:rFonts w:cstheme="minorHAnsi"/>
          <w:szCs w:val="24"/>
          <w:lang w:val="es-ES"/>
        </w:rPr>
        <w:t xml:space="preserve">. Ese enfoque </w:t>
      </w:r>
      <w:r w:rsidR="007E2FE0">
        <w:rPr>
          <w:rFonts w:cstheme="minorHAnsi"/>
          <w:szCs w:val="24"/>
          <w:lang w:val="es-ES"/>
        </w:rPr>
        <w:t>integral</w:t>
      </w:r>
      <w:r w:rsidR="007E2FE0" w:rsidRPr="00E11160">
        <w:rPr>
          <w:rFonts w:cstheme="minorHAnsi"/>
          <w:szCs w:val="24"/>
          <w:lang w:val="es-ES"/>
        </w:rPr>
        <w:t xml:space="preserve"> permite a la BDT prestar mejores servicios a los Estados Miembros de la UIT y aprovechar las sinergias entre las actividades ordinarias y extrapresupuestarias emprendidas por la Oficina. La Junta de Proyectos de la BDT desempeña un papel importante para garantizar que los proyectos se formul</w:t>
      </w:r>
      <w:r w:rsidR="007E2FE0">
        <w:rPr>
          <w:rFonts w:cstheme="minorHAnsi"/>
          <w:szCs w:val="24"/>
          <w:lang w:val="es-ES"/>
        </w:rPr>
        <w:t>e</w:t>
      </w:r>
      <w:r w:rsidR="007E2FE0" w:rsidRPr="00E11160">
        <w:rPr>
          <w:rFonts w:cstheme="minorHAnsi"/>
          <w:szCs w:val="24"/>
          <w:lang w:val="es-ES"/>
        </w:rPr>
        <w:t xml:space="preserve">n en consonancia con el Plan de Acción de Kigali, </w:t>
      </w:r>
      <w:r w:rsidR="007E2FE0">
        <w:rPr>
          <w:rFonts w:cstheme="minorHAnsi"/>
          <w:szCs w:val="24"/>
          <w:lang w:val="es-ES"/>
        </w:rPr>
        <w:t>y</w:t>
      </w:r>
      <w:r w:rsidR="007E2FE0" w:rsidRPr="00E11160">
        <w:rPr>
          <w:rFonts w:cstheme="minorHAnsi"/>
          <w:szCs w:val="24"/>
          <w:lang w:val="es-ES"/>
        </w:rPr>
        <w:t xml:space="preserve"> </w:t>
      </w:r>
      <w:r w:rsidR="007E2FE0">
        <w:rPr>
          <w:rFonts w:cstheme="minorHAnsi"/>
          <w:szCs w:val="24"/>
          <w:lang w:val="es-ES"/>
        </w:rPr>
        <w:t>velar por</w:t>
      </w:r>
      <w:r w:rsidR="007E2FE0" w:rsidRPr="00E11160">
        <w:rPr>
          <w:rFonts w:cstheme="minorHAnsi"/>
          <w:szCs w:val="24"/>
          <w:lang w:val="es-ES"/>
        </w:rPr>
        <w:t xml:space="preserve"> la adecuada gobernanza de</w:t>
      </w:r>
      <w:r w:rsidR="007E2FE0">
        <w:rPr>
          <w:rFonts w:cstheme="minorHAnsi"/>
          <w:szCs w:val="24"/>
          <w:lang w:val="es-ES"/>
        </w:rPr>
        <w:t>l conjunto de</w:t>
      </w:r>
      <w:r w:rsidR="007E2FE0" w:rsidRPr="00E11160">
        <w:rPr>
          <w:rFonts w:cstheme="minorHAnsi"/>
          <w:szCs w:val="24"/>
          <w:lang w:val="es-ES"/>
        </w:rPr>
        <w:t xml:space="preserve"> proyectos de la BDT.</w:t>
      </w:r>
    </w:p>
    <w:p w14:paraId="6F2EE132" w14:textId="667D8C49" w:rsidR="007E2FE0" w:rsidRPr="00E11160" w:rsidRDefault="00605A5D" w:rsidP="00F31397">
      <w:pPr>
        <w:rPr>
          <w:rFonts w:cstheme="minorHAnsi"/>
          <w:szCs w:val="24"/>
          <w:lang w:val="es-ES"/>
        </w:rPr>
      </w:pPr>
      <w:r>
        <w:rPr>
          <w:lang w:val="es-ES"/>
        </w:rPr>
        <w:t>1.3</w:t>
      </w:r>
      <w:r w:rsidR="007D0A90">
        <w:rPr>
          <w:lang w:val="es-ES"/>
        </w:rPr>
        <w:tab/>
      </w:r>
      <w:r w:rsidR="007E2FE0" w:rsidRPr="00E11160">
        <w:rPr>
          <w:rFonts w:cstheme="minorHAnsi"/>
          <w:b/>
          <w:bCs/>
          <w:szCs w:val="24"/>
          <w:lang w:val="es-ES"/>
        </w:rPr>
        <w:t xml:space="preserve">Diseño e implementación de proyectos: </w:t>
      </w:r>
      <w:r w:rsidR="007E2FE0" w:rsidRPr="00E11160">
        <w:rPr>
          <w:rFonts w:cstheme="minorHAnsi"/>
          <w:szCs w:val="24"/>
          <w:lang w:val="es-ES"/>
        </w:rPr>
        <w:t xml:space="preserve">Tras la CMDT-22, la Oficina de Desarrollo de las Telecomunicaciones (BDT), en colaboración con los </w:t>
      </w:r>
      <w:r w:rsidR="007E2FE0">
        <w:rPr>
          <w:rFonts w:cstheme="minorHAnsi"/>
          <w:szCs w:val="24"/>
          <w:lang w:val="es-ES"/>
        </w:rPr>
        <w:t>asociados</w:t>
      </w:r>
      <w:r w:rsidR="007E2FE0" w:rsidRPr="00E11160">
        <w:rPr>
          <w:rFonts w:cstheme="minorHAnsi"/>
          <w:szCs w:val="24"/>
          <w:lang w:val="es-ES"/>
        </w:rPr>
        <w:t xml:space="preserve"> pertinentes, ha identificado, </w:t>
      </w:r>
      <w:r w:rsidR="007E2FE0" w:rsidRPr="00E11160">
        <w:rPr>
          <w:rFonts w:cstheme="minorHAnsi"/>
          <w:szCs w:val="24"/>
          <w:lang w:val="es-ES"/>
        </w:rPr>
        <w:lastRenderedPageBreak/>
        <w:t>formulado y puesto en marcha un</w:t>
      </w:r>
      <w:r w:rsidR="007E2FE0">
        <w:rPr>
          <w:rFonts w:cstheme="minorHAnsi"/>
          <w:szCs w:val="24"/>
          <w:lang w:val="es-ES"/>
        </w:rPr>
        <w:t xml:space="preserve"> amplio conjunto de </w:t>
      </w:r>
      <w:r w:rsidR="007E2FE0" w:rsidRPr="00E11160">
        <w:rPr>
          <w:rFonts w:cstheme="minorHAnsi"/>
          <w:szCs w:val="24"/>
          <w:lang w:val="es-ES"/>
        </w:rPr>
        <w:t xml:space="preserve">proyectos que han contribuido a la aplicación de las prioridades definidas para la CMDT-22. </w:t>
      </w:r>
      <w:r w:rsidR="007E2FE0">
        <w:rPr>
          <w:rFonts w:cstheme="minorHAnsi"/>
          <w:szCs w:val="24"/>
          <w:lang w:val="es-ES"/>
        </w:rPr>
        <w:t>Dichos</w:t>
      </w:r>
      <w:r w:rsidR="007E2FE0" w:rsidRPr="00E11160">
        <w:rPr>
          <w:rFonts w:cstheme="minorHAnsi"/>
          <w:szCs w:val="24"/>
          <w:lang w:val="es-ES"/>
        </w:rPr>
        <w:t xml:space="preserve"> proyectos también contribuyen a la puesta en marcha de Iniciativas Regionales para satisfacer las necesidades particulares de las regiones. Los proyectos de la BDT contribuyen al desarrollo de una </w:t>
      </w:r>
      <w:r w:rsidR="007E2FE0">
        <w:rPr>
          <w:rFonts w:cstheme="minorHAnsi"/>
          <w:szCs w:val="24"/>
          <w:lang w:val="es-ES"/>
        </w:rPr>
        <w:t xml:space="preserve">gran </w:t>
      </w:r>
      <w:r w:rsidR="007E2FE0" w:rsidRPr="00E11160">
        <w:rPr>
          <w:rFonts w:cstheme="minorHAnsi"/>
          <w:szCs w:val="24"/>
          <w:lang w:val="es-ES"/>
        </w:rPr>
        <w:t>variedad de productos y servicios</w:t>
      </w:r>
      <w:r w:rsidR="007E2FE0">
        <w:rPr>
          <w:rFonts w:cstheme="minorHAnsi"/>
          <w:szCs w:val="24"/>
          <w:lang w:val="es-ES"/>
        </w:rPr>
        <w:t>,</w:t>
      </w:r>
      <w:r w:rsidR="007E2FE0" w:rsidRPr="00E11160">
        <w:rPr>
          <w:rFonts w:cstheme="minorHAnsi"/>
          <w:szCs w:val="24"/>
          <w:lang w:val="es-ES"/>
        </w:rPr>
        <w:t xml:space="preserve"> en consonancia con las prioridades del UIT-D y los </w:t>
      </w:r>
      <w:r w:rsidR="007E2FE0">
        <w:rPr>
          <w:rFonts w:cstheme="minorHAnsi"/>
          <w:szCs w:val="24"/>
          <w:lang w:val="es-ES"/>
        </w:rPr>
        <w:t>facilitadores</w:t>
      </w:r>
      <w:r w:rsidR="007E2FE0" w:rsidRPr="00E11160">
        <w:rPr>
          <w:rFonts w:cstheme="minorHAnsi"/>
          <w:szCs w:val="24"/>
          <w:lang w:val="es-ES"/>
        </w:rPr>
        <w:t xml:space="preserve"> definidos </w:t>
      </w:r>
      <w:r w:rsidR="007E2FE0">
        <w:rPr>
          <w:rFonts w:cstheme="minorHAnsi"/>
          <w:szCs w:val="24"/>
          <w:lang w:val="es-ES"/>
        </w:rPr>
        <w:t xml:space="preserve">en el </w:t>
      </w:r>
      <w:r w:rsidR="007E2FE0" w:rsidRPr="00E11160">
        <w:rPr>
          <w:rFonts w:cstheme="minorHAnsi"/>
          <w:szCs w:val="24"/>
          <w:lang w:val="es-ES"/>
        </w:rPr>
        <w:t xml:space="preserve">Plan de Acción de Kigali, así como </w:t>
      </w:r>
      <w:r w:rsidR="007E2FE0">
        <w:rPr>
          <w:rFonts w:cstheme="minorHAnsi"/>
          <w:szCs w:val="24"/>
          <w:lang w:val="es-ES"/>
        </w:rPr>
        <w:t>en</w:t>
      </w:r>
      <w:r w:rsidR="007E2FE0" w:rsidRPr="00E11160">
        <w:rPr>
          <w:rFonts w:cstheme="minorHAnsi"/>
          <w:szCs w:val="24"/>
          <w:lang w:val="es-ES"/>
        </w:rPr>
        <w:t xml:space="preserve"> el Plan Estratégico de la UIT </w:t>
      </w:r>
      <w:r w:rsidR="007E2FE0">
        <w:rPr>
          <w:rFonts w:cstheme="minorHAnsi"/>
          <w:szCs w:val="24"/>
          <w:lang w:val="es-ES"/>
        </w:rPr>
        <w:t>para</w:t>
      </w:r>
      <w:r w:rsidR="007E2FE0" w:rsidRPr="00E11160">
        <w:rPr>
          <w:rFonts w:cstheme="minorHAnsi"/>
          <w:szCs w:val="24"/>
          <w:lang w:val="es-ES"/>
        </w:rPr>
        <w:t xml:space="preserve"> cada una de las seis regiones de la UIT. Los proyectos ejecutados </w:t>
      </w:r>
      <w:r w:rsidR="007E2FE0">
        <w:rPr>
          <w:rFonts w:cstheme="minorHAnsi"/>
          <w:szCs w:val="24"/>
          <w:lang w:val="es-ES"/>
        </w:rPr>
        <w:t>o</w:t>
      </w:r>
      <w:r w:rsidR="007E2FE0" w:rsidRPr="00E11160">
        <w:rPr>
          <w:rFonts w:cstheme="minorHAnsi"/>
          <w:szCs w:val="24"/>
          <w:lang w:val="es-ES"/>
        </w:rPr>
        <w:t xml:space="preserve"> en curso en el marco de cada Iniciativa Regional adoptada en la CMDT-22 para el periodo 2023-2025 figuran en el Documento de Información </w:t>
      </w:r>
      <w:hyperlink r:id="rId29">
        <w:r w:rsidR="007E2FE0" w:rsidRPr="00E11160">
          <w:rPr>
            <w:rStyle w:val="Hyperlink"/>
            <w:rFonts w:cstheme="minorHAnsi"/>
            <w:szCs w:val="24"/>
            <w:lang w:val="es-ES"/>
          </w:rPr>
          <w:t>TDAG-2</w:t>
        </w:r>
        <w:r w:rsidR="007E2FE0" w:rsidRPr="00E11160">
          <w:rPr>
            <w:rStyle w:val="Hyperlink"/>
            <w:rFonts w:cstheme="minorHAnsi"/>
            <w:szCs w:val="24"/>
            <w:lang w:val="es-ES"/>
          </w:rPr>
          <w:t>5</w:t>
        </w:r>
        <w:r w:rsidR="007E2FE0" w:rsidRPr="00E11160">
          <w:rPr>
            <w:rStyle w:val="Hyperlink"/>
            <w:rFonts w:cstheme="minorHAnsi"/>
            <w:szCs w:val="24"/>
            <w:lang w:val="es-ES"/>
          </w:rPr>
          <w:t>/INF/4</w:t>
        </w:r>
      </w:hyperlink>
      <w:r w:rsidR="007E2FE0" w:rsidRPr="00E11160">
        <w:rPr>
          <w:rFonts w:cstheme="minorHAnsi"/>
          <w:szCs w:val="24"/>
          <w:lang w:val="es-ES"/>
        </w:rPr>
        <w:t>.</w:t>
      </w:r>
    </w:p>
    <w:p w14:paraId="087D2633" w14:textId="11A804A7" w:rsidR="007E2FE0" w:rsidRPr="00E11160" w:rsidRDefault="00605A5D" w:rsidP="00F31397">
      <w:pPr>
        <w:rPr>
          <w:rFonts w:cstheme="minorHAnsi"/>
          <w:szCs w:val="24"/>
          <w:lang w:val="es-ES"/>
        </w:rPr>
      </w:pPr>
      <w:r>
        <w:rPr>
          <w:lang w:val="es-ES"/>
        </w:rPr>
        <w:t>1.4</w:t>
      </w:r>
      <w:r w:rsidR="007D0A90">
        <w:rPr>
          <w:lang w:val="es-ES"/>
        </w:rPr>
        <w:tab/>
      </w:r>
      <w:r w:rsidR="007E2FE0" w:rsidRPr="00E11160">
        <w:rPr>
          <w:rFonts w:cstheme="minorHAnsi"/>
          <w:b/>
          <w:bCs/>
          <w:szCs w:val="24"/>
          <w:lang w:val="es-ES"/>
        </w:rPr>
        <w:t>Foros Regional</w:t>
      </w:r>
      <w:r w:rsidR="007E2FE0">
        <w:rPr>
          <w:rFonts w:cstheme="minorHAnsi"/>
          <w:b/>
          <w:bCs/>
          <w:szCs w:val="24"/>
          <w:lang w:val="es-ES"/>
        </w:rPr>
        <w:t>es</w:t>
      </w:r>
      <w:r w:rsidR="007E2FE0" w:rsidRPr="00E11160">
        <w:rPr>
          <w:rFonts w:cstheme="minorHAnsi"/>
          <w:b/>
          <w:bCs/>
          <w:szCs w:val="24"/>
          <w:lang w:val="es-ES"/>
        </w:rPr>
        <w:t xml:space="preserve"> de Desarrollo (</w:t>
      </w:r>
      <w:r w:rsidR="007E2FE0">
        <w:rPr>
          <w:rFonts w:cstheme="minorHAnsi"/>
          <w:b/>
          <w:bCs/>
          <w:szCs w:val="24"/>
          <w:lang w:val="es-ES"/>
        </w:rPr>
        <w:t>FRD</w:t>
      </w:r>
      <w:r w:rsidR="007E2FE0" w:rsidRPr="00E11160">
        <w:rPr>
          <w:rFonts w:cstheme="minorHAnsi"/>
          <w:b/>
          <w:bCs/>
          <w:szCs w:val="24"/>
          <w:lang w:val="es-ES"/>
        </w:rPr>
        <w:t>)</w:t>
      </w:r>
      <w:r w:rsidR="007E2FE0" w:rsidRPr="00E11160">
        <w:rPr>
          <w:rFonts w:cstheme="minorHAnsi"/>
          <w:szCs w:val="24"/>
          <w:lang w:val="es-ES"/>
        </w:rPr>
        <w:t xml:space="preserve">: </w:t>
      </w:r>
      <w:r w:rsidR="00F31397">
        <w:rPr>
          <w:rFonts w:cstheme="minorHAnsi"/>
          <w:szCs w:val="24"/>
          <w:lang w:val="es-ES"/>
        </w:rPr>
        <w:t>D</w:t>
      </w:r>
      <w:r w:rsidR="007E2FE0">
        <w:rPr>
          <w:rFonts w:cstheme="minorHAnsi"/>
          <w:szCs w:val="24"/>
          <w:lang w:val="es-ES"/>
        </w:rPr>
        <w:t>e</w:t>
      </w:r>
      <w:r w:rsidR="007E2FE0" w:rsidRPr="00E11160">
        <w:rPr>
          <w:rFonts w:cstheme="minorHAnsi"/>
          <w:szCs w:val="24"/>
          <w:lang w:val="es-ES"/>
        </w:rPr>
        <w:t xml:space="preserve"> febrero </w:t>
      </w:r>
      <w:r w:rsidR="007E2FE0">
        <w:rPr>
          <w:rFonts w:cstheme="minorHAnsi"/>
          <w:szCs w:val="24"/>
          <w:lang w:val="es-ES"/>
        </w:rPr>
        <w:t>a</w:t>
      </w:r>
      <w:r w:rsidR="007E2FE0" w:rsidRPr="00E11160">
        <w:rPr>
          <w:rFonts w:cstheme="minorHAnsi"/>
          <w:szCs w:val="24"/>
          <w:lang w:val="es-ES"/>
        </w:rPr>
        <w:t xml:space="preserve"> abril</w:t>
      </w:r>
      <w:r w:rsidR="007E2FE0">
        <w:rPr>
          <w:rFonts w:cstheme="minorHAnsi"/>
          <w:szCs w:val="24"/>
          <w:lang w:val="es-ES"/>
        </w:rPr>
        <w:t xml:space="preserve"> de 2025</w:t>
      </w:r>
      <w:r w:rsidR="007E2FE0" w:rsidRPr="00E11160">
        <w:rPr>
          <w:rFonts w:cstheme="minorHAnsi"/>
          <w:szCs w:val="24"/>
          <w:lang w:val="es-ES"/>
        </w:rPr>
        <w:t xml:space="preserve">, la BDT organizó </w:t>
      </w:r>
      <w:r w:rsidR="007E2FE0">
        <w:rPr>
          <w:rFonts w:cstheme="minorHAnsi"/>
          <w:szCs w:val="24"/>
          <w:lang w:val="es-ES"/>
        </w:rPr>
        <w:t>seis FRD en el marco de</w:t>
      </w:r>
      <w:r w:rsidR="007E2FE0" w:rsidRPr="00E11160">
        <w:rPr>
          <w:rFonts w:cstheme="minorHAnsi"/>
          <w:szCs w:val="24"/>
          <w:lang w:val="es-ES"/>
        </w:rPr>
        <w:t xml:space="preserve"> las Reuniones Preparatorias Regionales de la UIT para la CMDT-25. Los Foros Regional</w:t>
      </w:r>
      <w:r w:rsidR="007E2FE0">
        <w:rPr>
          <w:rFonts w:cstheme="minorHAnsi"/>
          <w:szCs w:val="24"/>
          <w:lang w:val="es-ES"/>
        </w:rPr>
        <w:t>es</w:t>
      </w:r>
      <w:r w:rsidR="007E2FE0" w:rsidRPr="00E11160">
        <w:rPr>
          <w:rFonts w:cstheme="minorHAnsi"/>
          <w:szCs w:val="24"/>
          <w:lang w:val="es-ES"/>
        </w:rPr>
        <w:t xml:space="preserve"> de Desarrollo promueven asociaciones de </w:t>
      </w:r>
      <w:r w:rsidR="007E2FE0">
        <w:rPr>
          <w:rFonts w:cstheme="minorHAnsi"/>
          <w:szCs w:val="24"/>
          <w:lang w:val="es-ES"/>
        </w:rPr>
        <w:t>varias</w:t>
      </w:r>
      <w:r w:rsidR="007E2FE0" w:rsidRPr="00E11160">
        <w:rPr>
          <w:rFonts w:cstheme="minorHAnsi"/>
          <w:szCs w:val="24"/>
          <w:lang w:val="es-ES"/>
        </w:rPr>
        <w:t xml:space="preserve"> partes interesadas entre los Estados miembros, </w:t>
      </w:r>
      <w:r w:rsidR="007E2FE0">
        <w:rPr>
          <w:rFonts w:cstheme="minorHAnsi"/>
          <w:szCs w:val="24"/>
          <w:lang w:val="es-ES"/>
        </w:rPr>
        <w:t>los sectores industrial y</w:t>
      </w:r>
      <w:r w:rsidR="007E2FE0" w:rsidRPr="00E11160">
        <w:rPr>
          <w:rFonts w:cstheme="minorHAnsi"/>
          <w:szCs w:val="24"/>
          <w:lang w:val="es-ES"/>
        </w:rPr>
        <w:t xml:space="preserve"> académico, la sociedad civil, </w:t>
      </w:r>
      <w:r w:rsidR="007E2FE0">
        <w:rPr>
          <w:rFonts w:cstheme="minorHAnsi"/>
          <w:szCs w:val="24"/>
          <w:lang w:val="es-ES"/>
        </w:rPr>
        <w:t xml:space="preserve">y </w:t>
      </w:r>
      <w:r w:rsidR="007E2FE0" w:rsidRPr="00E11160">
        <w:rPr>
          <w:rFonts w:cstheme="minorHAnsi"/>
          <w:szCs w:val="24"/>
          <w:lang w:val="es-ES"/>
        </w:rPr>
        <w:t xml:space="preserve">el sistema de </w:t>
      </w:r>
      <w:r w:rsidR="007E2FE0">
        <w:rPr>
          <w:rFonts w:cstheme="minorHAnsi"/>
          <w:szCs w:val="24"/>
          <w:lang w:val="es-ES"/>
        </w:rPr>
        <w:t>las Naciones Unidas</w:t>
      </w:r>
      <w:r w:rsidR="007E2FE0" w:rsidRPr="00E11160">
        <w:rPr>
          <w:rFonts w:cstheme="minorHAnsi"/>
          <w:szCs w:val="24"/>
          <w:lang w:val="es-ES"/>
        </w:rPr>
        <w:t xml:space="preserve">, así como </w:t>
      </w:r>
      <w:r w:rsidR="007E2FE0">
        <w:rPr>
          <w:rFonts w:cstheme="minorHAnsi"/>
          <w:szCs w:val="24"/>
          <w:lang w:val="es-ES"/>
        </w:rPr>
        <w:t>organismos</w:t>
      </w:r>
      <w:r w:rsidR="007E2FE0" w:rsidRPr="00E11160">
        <w:rPr>
          <w:rFonts w:cstheme="minorHAnsi"/>
          <w:szCs w:val="24"/>
          <w:lang w:val="es-ES"/>
        </w:rPr>
        <w:t xml:space="preserve"> y organizaciones de desarrollo regionales e internacionales, sobre asuntos regionales específicos de telecomunicaciones y TIC. Los Foros Regionales de Desarrollo brindan la oportunidad de entablar un diálogo de alto nivel entre la Oficina de Desarrollo de las Telecomunicaciones, los Estados Miembros y los Miembros de Sector del UIT-D, </w:t>
      </w:r>
      <w:r w:rsidR="007E2FE0">
        <w:rPr>
          <w:rFonts w:cstheme="minorHAnsi"/>
          <w:szCs w:val="24"/>
          <w:lang w:val="es-ES"/>
        </w:rPr>
        <w:t>en particular</w:t>
      </w:r>
      <w:r w:rsidR="007E2FE0" w:rsidRPr="00E11160">
        <w:rPr>
          <w:rFonts w:cstheme="minorHAnsi"/>
          <w:szCs w:val="24"/>
          <w:lang w:val="es-ES"/>
        </w:rPr>
        <w:t xml:space="preserve"> sobre aplicación de las Iniciativas Regionales, y el Plan de Acción de Kigali adoptado por la </w:t>
      </w:r>
      <w:hyperlink r:id="rId30">
        <w:r w:rsidR="007E2FE0" w:rsidRPr="00E11160">
          <w:rPr>
            <w:rStyle w:val="Hyperlink"/>
            <w:rFonts w:cstheme="minorHAnsi"/>
            <w:szCs w:val="24"/>
            <w:lang w:val="es-ES"/>
          </w:rPr>
          <w:t>CMD</w:t>
        </w:r>
        <w:r w:rsidR="007E2FE0" w:rsidRPr="00E11160">
          <w:rPr>
            <w:rStyle w:val="Hyperlink"/>
            <w:rFonts w:cstheme="minorHAnsi"/>
            <w:szCs w:val="24"/>
            <w:lang w:val="es-ES"/>
          </w:rPr>
          <w:t>T</w:t>
        </w:r>
        <w:r w:rsidR="009E236B">
          <w:rPr>
            <w:rStyle w:val="Hyperlink"/>
            <w:rFonts w:cstheme="minorHAnsi"/>
            <w:szCs w:val="24"/>
            <w:lang w:val="es-ES"/>
          </w:rPr>
          <w:noBreakHyphen/>
        </w:r>
        <w:r w:rsidR="007E2FE0" w:rsidRPr="00E11160">
          <w:rPr>
            <w:rStyle w:val="Hyperlink"/>
            <w:rFonts w:cstheme="minorHAnsi"/>
            <w:szCs w:val="24"/>
            <w:lang w:val="es-ES"/>
          </w:rPr>
          <w:t>22</w:t>
        </w:r>
      </w:hyperlink>
      <w:r w:rsidR="007E2FE0" w:rsidRPr="00E11160">
        <w:rPr>
          <w:rFonts w:cstheme="minorHAnsi"/>
          <w:szCs w:val="24"/>
          <w:lang w:val="es-ES"/>
        </w:rPr>
        <w:t xml:space="preserve">. </w:t>
      </w:r>
    </w:p>
    <w:p w14:paraId="442F3464" w14:textId="3323B267" w:rsidR="007E2FE0" w:rsidRPr="00E11160" w:rsidRDefault="00605A5D" w:rsidP="00F31397">
      <w:pPr>
        <w:rPr>
          <w:rFonts w:cstheme="minorHAnsi"/>
          <w:szCs w:val="24"/>
          <w:lang w:val="es-ES"/>
        </w:rPr>
      </w:pPr>
      <w:r>
        <w:rPr>
          <w:lang w:val="es-ES"/>
        </w:rPr>
        <w:t>1.5</w:t>
      </w:r>
      <w:r w:rsidR="007D0A90">
        <w:rPr>
          <w:lang w:val="es-ES"/>
        </w:rPr>
        <w:tab/>
      </w:r>
      <w:r w:rsidR="007E2FE0">
        <w:rPr>
          <w:rFonts w:cstheme="minorHAnsi"/>
          <w:b/>
          <w:bCs/>
          <w:szCs w:val="24"/>
          <w:lang w:val="es-ES"/>
        </w:rPr>
        <w:t>E</w:t>
      </w:r>
      <w:r w:rsidR="007E2FE0" w:rsidRPr="0087065C">
        <w:rPr>
          <w:rFonts w:cstheme="minorHAnsi"/>
          <w:b/>
          <w:bCs/>
          <w:szCs w:val="24"/>
          <w:lang w:val="es-ES"/>
        </w:rPr>
        <w:t>stablecimiento de contactos de P2C</w:t>
      </w:r>
      <w:r w:rsidR="007E2FE0" w:rsidRPr="00E11160">
        <w:rPr>
          <w:rFonts w:cstheme="minorHAnsi"/>
          <w:b/>
          <w:bCs/>
          <w:szCs w:val="24"/>
          <w:lang w:val="es-ES"/>
        </w:rPr>
        <w:t xml:space="preserve">: </w:t>
      </w:r>
      <w:r w:rsidR="00F31397">
        <w:rPr>
          <w:rFonts w:cstheme="minorHAnsi"/>
          <w:szCs w:val="24"/>
          <w:lang w:val="es-ES"/>
        </w:rPr>
        <w:t>C</w:t>
      </w:r>
      <w:r w:rsidR="007E2FE0" w:rsidRPr="00E11160">
        <w:rPr>
          <w:rFonts w:cstheme="minorHAnsi"/>
          <w:szCs w:val="24"/>
          <w:lang w:val="es-ES"/>
        </w:rPr>
        <w:t>ada Foro Regional de Desarrollo (</w:t>
      </w:r>
      <w:r w:rsidR="007E2FE0">
        <w:rPr>
          <w:rFonts w:cstheme="minorHAnsi"/>
          <w:szCs w:val="24"/>
          <w:lang w:val="es-ES"/>
        </w:rPr>
        <w:t>FRD</w:t>
      </w:r>
      <w:r w:rsidR="007E2FE0" w:rsidRPr="00E11160">
        <w:rPr>
          <w:rFonts w:cstheme="minorHAnsi"/>
          <w:szCs w:val="24"/>
          <w:lang w:val="es-ES"/>
        </w:rPr>
        <w:t xml:space="preserve">) </w:t>
      </w:r>
      <w:r w:rsidR="007E2FE0">
        <w:rPr>
          <w:rFonts w:cstheme="minorHAnsi"/>
          <w:szCs w:val="24"/>
          <w:lang w:val="es-ES"/>
        </w:rPr>
        <w:t>abarcó</w:t>
      </w:r>
      <w:r w:rsidR="007E2FE0" w:rsidRPr="00E11160">
        <w:rPr>
          <w:rFonts w:cstheme="minorHAnsi"/>
          <w:szCs w:val="24"/>
          <w:lang w:val="es-ES"/>
        </w:rPr>
        <w:t xml:space="preserve"> las siguientes </w:t>
      </w:r>
      <w:r w:rsidR="007E2FE0">
        <w:rPr>
          <w:rFonts w:cstheme="minorHAnsi"/>
          <w:szCs w:val="24"/>
          <w:lang w:val="es-ES"/>
        </w:rPr>
        <w:t>m</w:t>
      </w:r>
      <w:r w:rsidR="007E2FE0" w:rsidRPr="00E11160">
        <w:rPr>
          <w:rFonts w:cstheme="minorHAnsi"/>
          <w:szCs w:val="24"/>
          <w:lang w:val="es-ES"/>
        </w:rPr>
        <w:t xml:space="preserve">esas </w:t>
      </w:r>
      <w:r w:rsidR="007E2FE0">
        <w:rPr>
          <w:rFonts w:cstheme="minorHAnsi"/>
          <w:szCs w:val="24"/>
          <w:lang w:val="es-ES"/>
        </w:rPr>
        <w:t>r</w:t>
      </w:r>
      <w:r w:rsidR="007E2FE0" w:rsidRPr="00E11160">
        <w:rPr>
          <w:rFonts w:cstheme="minorHAnsi"/>
          <w:szCs w:val="24"/>
          <w:lang w:val="es-ES"/>
        </w:rPr>
        <w:t>edondas</w:t>
      </w:r>
      <w:r w:rsidR="007E2FE0">
        <w:rPr>
          <w:rFonts w:cstheme="minorHAnsi"/>
          <w:szCs w:val="24"/>
          <w:lang w:val="es-ES"/>
        </w:rPr>
        <w:t xml:space="preserve"> sobre e</w:t>
      </w:r>
      <w:r w:rsidR="007E2FE0" w:rsidRPr="0087065C">
        <w:rPr>
          <w:rFonts w:cstheme="minorHAnsi"/>
          <w:szCs w:val="24"/>
          <w:lang w:val="es-ES"/>
        </w:rPr>
        <w:t>stablecimiento de contactos de P2C</w:t>
      </w:r>
      <w:r w:rsidR="007E2FE0">
        <w:rPr>
          <w:rFonts w:cstheme="minorHAnsi"/>
          <w:szCs w:val="24"/>
          <w:lang w:val="es-ES"/>
        </w:rPr>
        <w:t>:</w:t>
      </w:r>
    </w:p>
    <w:p w14:paraId="61F9AD34" w14:textId="572DC8E2" w:rsidR="007E2FE0" w:rsidRPr="00E11160" w:rsidRDefault="00F92C2F" w:rsidP="00F92C2F">
      <w:pPr>
        <w:pStyle w:val="enumlev2"/>
        <w:rPr>
          <w:lang w:val="es-ES"/>
        </w:rPr>
      </w:pPr>
      <w:r w:rsidRPr="00F92C2F">
        <w:rPr>
          <w:lang w:val="es-ES"/>
        </w:rPr>
        <w:t>•</w:t>
      </w:r>
      <w:r>
        <w:rPr>
          <w:lang w:val="es-ES"/>
        </w:rPr>
        <w:tab/>
      </w:r>
      <w:r w:rsidR="007E2FE0" w:rsidRPr="00E11160">
        <w:rPr>
          <w:lang w:val="es-ES"/>
        </w:rPr>
        <w:t>Estados Árabes (</w:t>
      </w:r>
      <w:r w:rsidR="007E2FE0" w:rsidRPr="0087065C">
        <w:rPr>
          <w:lang w:val="es-ES"/>
        </w:rPr>
        <w:t>FRD/mesa redonda para el establecimiento de contactos de P2C</w:t>
      </w:r>
      <w:r w:rsidR="007E2FE0" w:rsidRPr="00E11160">
        <w:rPr>
          <w:lang w:val="es-ES"/>
        </w:rPr>
        <w:t>)</w:t>
      </w:r>
      <w:r w:rsidR="007E2FE0">
        <w:rPr>
          <w:lang w:val="es-ES"/>
        </w:rPr>
        <w:t>, que</w:t>
      </w:r>
      <w:r w:rsidR="007E2FE0" w:rsidRPr="00E11160">
        <w:rPr>
          <w:lang w:val="es-ES"/>
        </w:rPr>
        <w:t xml:space="preserve"> tuvo lugar el 3 de febrero de 2025 en Ammán, Jordania. </w:t>
      </w:r>
    </w:p>
    <w:p w14:paraId="42768BAB" w14:textId="4AFFDA24" w:rsidR="007E2FE0" w:rsidRPr="0087065C" w:rsidRDefault="00F92C2F" w:rsidP="00F92C2F">
      <w:pPr>
        <w:pStyle w:val="enumlev2"/>
        <w:rPr>
          <w:rFonts w:cstheme="minorHAnsi"/>
          <w:szCs w:val="24"/>
          <w:lang w:val="es-ES"/>
        </w:rPr>
      </w:pPr>
      <w:r w:rsidRPr="00F92C2F">
        <w:rPr>
          <w:lang w:val="es-ES"/>
        </w:rPr>
        <w:t>•</w:t>
      </w:r>
      <w:r>
        <w:rPr>
          <w:lang w:val="es-ES"/>
        </w:rPr>
        <w:tab/>
      </w:r>
      <w:r w:rsidR="007E2FE0" w:rsidRPr="0087065C">
        <w:rPr>
          <w:rFonts w:cstheme="minorHAnsi"/>
          <w:szCs w:val="24"/>
          <w:lang w:val="es-ES"/>
        </w:rPr>
        <w:t xml:space="preserve">Europa (FRD/mesa redonda para el establecimiento de contactos de P2C </w:t>
      </w:r>
      <w:r w:rsidR="007E2FE0">
        <w:rPr>
          <w:rFonts w:cstheme="minorHAnsi"/>
          <w:szCs w:val="24"/>
          <w:lang w:val="es-ES"/>
        </w:rPr>
        <w:t>sobre promoción de asociaciones para el desarrollo</w:t>
      </w:r>
      <w:r w:rsidR="007E2FE0" w:rsidRPr="0087065C">
        <w:rPr>
          <w:rFonts w:cstheme="minorHAnsi"/>
          <w:szCs w:val="24"/>
          <w:lang w:val="es-ES"/>
        </w:rPr>
        <w:t>)</w:t>
      </w:r>
      <w:r w:rsidR="007E2FE0">
        <w:rPr>
          <w:rFonts w:cstheme="minorHAnsi"/>
          <w:szCs w:val="24"/>
          <w:lang w:val="es-ES"/>
        </w:rPr>
        <w:t xml:space="preserve">, que tuvo lugar </w:t>
      </w:r>
      <w:r w:rsidR="007E2FE0" w:rsidRPr="0087065C">
        <w:rPr>
          <w:rFonts w:cstheme="minorHAnsi"/>
          <w:szCs w:val="24"/>
          <w:lang w:val="es-ES"/>
        </w:rPr>
        <w:t xml:space="preserve">el 24 de febrero de 2025 en Budapest, Hungría. </w:t>
      </w:r>
    </w:p>
    <w:p w14:paraId="58D8E88D" w14:textId="54607D6E" w:rsidR="007E2FE0" w:rsidRPr="00E11160" w:rsidRDefault="00F92C2F" w:rsidP="00F92C2F">
      <w:pPr>
        <w:pStyle w:val="enumlev2"/>
        <w:rPr>
          <w:rFonts w:cstheme="minorHAnsi"/>
          <w:szCs w:val="24"/>
          <w:lang w:val="es-ES"/>
        </w:rPr>
      </w:pPr>
      <w:r w:rsidRPr="00F92C2F">
        <w:rPr>
          <w:lang w:val="es-ES"/>
        </w:rPr>
        <w:t>•</w:t>
      </w:r>
      <w:r>
        <w:rPr>
          <w:lang w:val="es-ES"/>
        </w:rPr>
        <w:tab/>
      </w:r>
      <w:r w:rsidR="007E2FE0" w:rsidRPr="00E11160">
        <w:rPr>
          <w:rFonts w:cstheme="minorHAnsi"/>
          <w:szCs w:val="24"/>
          <w:lang w:val="es-ES"/>
        </w:rPr>
        <w:t>Asia y el Pacífico (</w:t>
      </w:r>
      <w:r w:rsidR="007E2FE0" w:rsidRPr="0087065C">
        <w:rPr>
          <w:rFonts w:cstheme="minorHAnsi"/>
          <w:szCs w:val="24"/>
          <w:lang w:val="es-ES"/>
        </w:rPr>
        <w:t>FRD/mesa redonda para el establecimiento de contactos de P2C</w:t>
      </w:r>
      <w:r w:rsidR="007E2FE0" w:rsidRPr="00E11160">
        <w:rPr>
          <w:rFonts w:cstheme="minorHAnsi"/>
          <w:szCs w:val="24"/>
          <w:lang w:val="es-ES"/>
        </w:rPr>
        <w:t>)</w:t>
      </w:r>
      <w:r w:rsidR="007E2FE0">
        <w:rPr>
          <w:rFonts w:cstheme="minorHAnsi"/>
          <w:szCs w:val="24"/>
          <w:lang w:val="es-ES"/>
        </w:rPr>
        <w:t xml:space="preserve">, que </w:t>
      </w:r>
      <w:r w:rsidR="007E2FE0" w:rsidRPr="00E11160">
        <w:rPr>
          <w:rFonts w:cstheme="minorHAnsi"/>
          <w:szCs w:val="24"/>
          <w:lang w:val="es-ES"/>
        </w:rPr>
        <w:t xml:space="preserve">tuvo lugar el 19 de marzo de 2025 en Bangkok, Tailandia. </w:t>
      </w:r>
    </w:p>
    <w:p w14:paraId="145E435D" w14:textId="14B8C373" w:rsidR="007E2FE0" w:rsidRPr="00E11160" w:rsidRDefault="00F92C2F" w:rsidP="00F92C2F">
      <w:pPr>
        <w:pStyle w:val="enumlev2"/>
        <w:rPr>
          <w:rFonts w:cstheme="minorHAnsi"/>
          <w:szCs w:val="24"/>
          <w:lang w:val="es-ES"/>
        </w:rPr>
      </w:pPr>
      <w:r w:rsidRPr="00F92C2F">
        <w:rPr>
          <w:lang w:val="es-ES"/>
        </w:rPr>
        <w:t>•</w:t>
      </w:r>
      <w:r>
        <w:rPr>
          <w:lang w:val="es-ES"/>
        </w:rPr>
        <w:tab/>
      </w:r>
      <w:r w:rsidR="007E2FE0" w:rsidRPr="00E11160">
        <w:rPr>
          <w:rFonts w:cstheme="minorHAnsi"/>
          <w:szCs w:val="24"/>
          <w:lang w:val="es-ES"/>
        </w:rPr>
        <w:t>América (</w:t>
      </w:r>
      <w:r w:rsidR="007E2FE0" w:rsidRPr="0087065C">
        <w:rPr>
          <w:rFonts w:cstheme="minorHAnsi"/>
          <w:szCs w:val="24"/>
          <w:lang w:val="es-ES"/>
        </w:rPr>
        <w:t>FRD/mesa redonda para el establecimiento de contactos de P2C</w:t>
      </w:r>
      <w:r w:rsidR="007E2FE0" w:rsidRPr="00E11160">
        <w:rPr>
          <w:rFonts w:cstheme="minorHAnsi"/>
          <w:szCs w:val="24"/>
          <w:lang w:val="es-ES"/>
        </w:rPr>
        <w:t>)</w:t>
      </w:r>
      <w:r w:rsidR="007E2FE0">
        <w:rPr>
          <w:rFonts w:cstheme="minorHAnsi"/>
          <w:szCs w:val="24"/>
          <w:lang w:val="es-ES"/>
        </w:rPr>
        <w:t>, que tuvo lugar</w:t>
      </w:r>
      <w:r w:rsidR="007E2FE0" w:rsidRPr="00E11160">
        <w:rPr>
          <w:rFonts w:cstheme="minorHAnsi"/>
          <w:szCs w:val="24"/>
          <w:lang w:val="es-ES"/>
        </w:rPr>
        <w:t xml:space="preserve"> el 31 de marzo de 2025 en Asunción, Paraguay </w:t>
      </w:r>
    </w:p>
    <w:p w14:paraId="7F4B0DF7" w14:textId="0F2EC821" w:rsidR="007E2FE0" w:rsidRPr="00E11160" w:rsidRDefault="00F92C2F" w:rsidP="00F92C2F">
      <w:pPr>
        <w:pStyle w:val="enumlev2"/>
        <w:rPr>
          <w:rFonts w:cstheme="minorHAnsi"/>
          <w:szCs w:val="24"/>
          <w:lang w:val="es-ES"/>
        </w:rPr>
      </w:pPr>
      <w:r w:rsidRPr="00F92C2F">
        <w:rPr>
          <w:lang w:val="es-ES"/>
        </w:rPr>
        <w:t>•</w:t>
      </w:r>
      <w:r>
        <w:rPr>
          <w:lang w:val="es-ES"/>
        </w:rPr>
        <w:tab/>
      </w:r>
      <w:r w:rsidR="007E2FE0" w:rsidRPr="00E11160">
        <w:rPr>
          <w:rFonts w:cstheme="minorHAnsi"/>
          <w:szCs w:val="24"/>
          <w:lang w:val="es-ES"/>
        </w:rPr>
        <w:t>África (</w:t>
      </w:r>
      <w:r w:rsidR="007E2FE0" w:rsidRPr="0087065C">
        <w:rPr>
          <w:rFonts w:cstheme="minorHAnsi"/>
          <w:szCs w:val="24"/>
          <w:lang w:val="es-ES"/>
        </w:rPr>
        <w:t>FRD/mesa redonda para el establecimiento de contactos de P2C</w:t>
      </w:r>
      <w:r w:rsidR="007E2FE0" w:rsidRPr="00E11160">
        <w:rPr>
          <w:rFonts w:cstheme="minorHAnsi"/>
          <w:szCs w:val="24"/>
          <w:lang w:val="es-ES"/>
        </w:rPr>
        <w:t>)</w:t>
      </w:r>
      <w:r w:rsidR="007E2FE0">
        <w:rPr>
          <w:rFonts w:cstheme="minorHAnsi"/>
          <w:szCs w:val="24"/>
          <w:lang w:val="es-ES"/>
        </w:rPr>
        <w:t>, que</w:t>
      </w:r>
      <w:r w:rsidR="007E2FE0" w:rsidRPr="00E11160">
        <w:rPr>
          <w:rFonts w:cstheme="minorHAnsi"/>
          <w:szCs w:val="24"/>
          <w:lang w:val="es-ES"/>
        </w:rPr>
        <w:t xml:space="preserve"> tuvo lugar el 7 de abril de 2025 en Nairobi, Ken</w:t>
      </w:r>
      <w:r w:rsidR="007E2FE0">
        <w:rPr>
          <w:rFonts w:cstheme="minorHAnsi"/>
          <w:szCs w:val="24"/>
          <w:lang w:val="es-ES"/>
        </w:rPr>
        <w:t>y</w:t>
      </w:r>
      <w:r w:rsidR="007E2FE0" w:rsidRPr="00E11160">
        <w:rPr>
          <w:rFonts w:cstheme="minorHAnsi"/>
          <w:szCs w:val="24"/>
          <w:lang w:val="es-ES"/>
        </w:rPr>
        <w:t xml:space="preserve">a </w:t>
      </w:r>
    </w:p>
    <w:p w14:paraId="7D63ABFF" w14:textId="713E7500" w:rsidR="007E2FE0" w:rsidRDefault="00F92C2F" w:rsidP="00F92C2F">
      <w:pPr>
        <w:pStyle w:val="enumlev2"/>
        <w:rPr>
          <w:rFonts w:cstheme="minorHAnsi"/>
          <w:szCs w:val="24"/>
          <w:lang w:val="es-ES"/>
        </w:rPr>
      </w:pPr>
      <w:r w:rsidRPr="00F92C2F">
        <w:rPr>
          <w:lang w:val="es-ES"/>
        </w:rPr>
        <w:t>•</w:t>
      </w:r>
      <w:r>
        <w:rPr>
          <w:lang w:val="es-ES"/>
        </w:rPr>
        <w:tab/>
      </w:r>
      <w:r w:rsidR="007E2FE0" w:rsidRPr="00E11160">
        <w:rPr>
          <w:rFonts w:cstheme="minorHAnsi"/>
          <w:szCs w:val="24"/>
          <w:lang w:val="es-ES"/>
        </w:rPr>
        <w:t xml:space="preserve">Comunidad de Estados Independientes </w:t>
      </w:r>
      <w:r w:rsidR="00D46211" w:rsidRPr="00D46211">
        <w:rPr>
          <w:rFonts w:cstheme="minorHAnsi"/>
          <w:szCs w:val="24"/>
          <w:lang w:val="es-ES"/>
        </w:rPr>
        <w:t>–</w:t>
      </w:r>
      <w:r w:rsidR="007E2FE0" w:rsidRPr="00E11160">
        <w:rPr>
          <w:rFonts w:cstheme="minorHAnsi"/>
          <w:szCs w:val="24"/>
          <w:lang w:val="es-ES"/>
        </w:rPr>
        <w:t xml:space="preserve"> CEI (</w:t>
      </w:r>
      <w:r w:rsidR="007E2FE0" w:rsidRPr="0087065C">
        <w:rPr>
          <w:rFonts w:cstheme="minorHAnsi"/>
          <w:szCs w:val="24"/>
          <w:lang w:val="es-ES"/>
        </w:rPr>
        <w:t>FRD/mesa redonda para el establecimiento de contactos de P2C</w:t>
      </w:r>
      <w:r w:rsidR="007E2FE0" w:rsidRPr="00E11160">
        <w:rPr>
          <w:rFonts w:cstheme="minorHAnsi"/>
          <w:szCs w:val="24"/>
          <w:lang w:val="es-ES"/>
        </w:rPr>
        <w:t>)</w:t>
      </w:r>
      <w:r w:rsidR="007E2FE0">
        <w:rPr>
          <w:rFonts w:cstheme="minorHAnsi"/>
          <w:szCs w:val="24"/>
          <w:lang w:val="es-ES"/>
        </w:rPr>
        <w:t>, que tuvo lugar</w:t>
      </w:r>
      <w:r w:rsidR="007E2FE0" w:rsidRPr="00E11160">
        <w:rPr>
          <w:rFonts w:cstheme="minorHAnsi"/>
          <w:szCs w:val="24"/>
          <w:lang w:val="es-ES"/>
        </w:rPr>
        <w:t xml:space="preserve"> el 23 de abril de 2025 en Bishkek, Kirguistán</w:t>
      </w:r>
    </w:p>
    <w:p w14:paraId="16265F19" w14:textId="7370F0D6" w:rsidR="00605A5D" w:rsidRPr="001656AF" w:rsidRDefault="00605A5D" w:rsidP="00F31397">
      <w:pPr>
        <w:rPr>
          <w:lang w:val="es-ES"/>
        </w:rPr>
      </w:pPr>
      <w:r w:rsidRPr="008F1499">
        <w:rPr>
          <w:lang w:val="es-ES"/>
        </w:rPr>
        <w:t>1.6</w:t>
      </w:r>
      <w:r w:rsidR="00F31397">
        <w:rPr>
          <w:lang w:val="es-ES"/>
        </w:rPr>
        <w:tab/>
      </w:r>
      <w:r>
        <w:rPr>
          <w:b/>
          <w:bCs/>
          <w:lang w:val="es-ES"/>
        </w:rPr>
        <w:t>Colaboración</w:t>
      </w:r>
      <w:r w:rsidRPr="001656AF">
        <w:rPr>
          <w:b/>
          <w:bCs/>
          <w:lang w:val="es-ES"/>
        </w:rPr>
        <w:t xml:space="preserve"> de las partes interesadas</w:t>
      </w:r>
      <w:r w:rsidRPr="001656AF">
        <w:rPr>
          <w:lang w:val="es-ES"/>
        </w:rPr>
        <w:t xml:space="preserve">: </w:t>
      </w:r>
      <w:r>
        <w:rPr>
          <w:lang w:val="es-ES"/>
        </w:rPr>
        <w:t>de</w:t>
      </w:r>
      <w:r w:rsidRPr="001656AF">
        <w:rPr>
          <w:lang w:val="es-ES"/>
        </w:rPr>
        <w:t xml:space="preserve"> mayo de 2024</w:t>
      </w:r>
      <w:r>
        <w:rPr>
          <w:lang w:val="es-ES"/>
        </w:rPr>
        <w:t xml:space="preserve"> a</w:t>
      </w:r>
      <w:r w:rsidRPr="001656AF">
        <w:rPr>
          <w:lang w:val="es-ES"/>
        </w:rPr>
        <w:t xml:space="preserve"> marzo de 2025, la UIT </w:t>
      </w:r>
      <w:r>
        <w:rPr>
          <w:lang w:val="es-ES"/>
        </w:rPr>
        <w:t>suscribió</w:t>
      </w:r>
      <w:r w:rsidRPr="001656AF">
        <w:rPr>
          <w:lang w:val="es-ES"/>
        </w:rPr>
        <w:t xml:space="preserve"> 73 acuerdos con un</w:t>
      </w:r>
      <w:r>
        <w:rPr>
          <w:lang w:val="es-ES"/>
        </w:rPr>
        <w:t xml:space="preserve"> amplio conjunto de </w:t>
      </w:r>
      <w:r w:rsidRPr="001656AF">
        <w:rPr>
          <w:lang w:val="es-ES"/>
        </w:rPr>
        <w:t xml:space="preserve">asociados. </w:t>
      </w:r>
      <w:r>
        <w:rPr>
          <w:lang w:val="es-ES"/>
        </w:rPr>
        <w:t>Puede ampliarse información al respecto a través de</w:t>
      </w:r>
      <w:r w:rsidRPr="001656AF">
        <w:rPr>
          <w:lang w:val="es-ES"/>
        </w:rPr>
        <w:t xml:space="preserve"> la </w:t>
      </w:r>
      <w:hyperlink r:id="rId31" w:anchor="/es" w:history="1">
        <w:r w:rsidRPr="00194A18">
          <w:rPr>
            <w:rStyle w:val="Hyperlink"/>
            <w:lang w:val="es-ES"/>
          </w:rPr>
          <w:t>página web</w:t>
        </w:r>
      </w:hyperlink>
      <w:r w:rsidRPr="001656AF">
        <w:rPr>
          <w:lang w:val="es-ES"/>
        </w:rPr>
        <w:t xml:space="preserve"> sobre asociaciones de</w:t>
      </w:r>
      <w:r>
        <w:rPr>
          <w:lang w:val="es-ES"/>
        </w:rPr>
        <w:t>l UIT</w:t>
      </w:r>
      <w:r w:rsidRPr="001656AF">
        <w:rPr>
          <w:lang w:val="es-ES"/>
        </w:rPr>
        <w:t xml:space="preserve">-D. </w:t>
      </w:r>
    </w:p>
    <w:p w14:paraId="591B043E" w14:textId="13B090F9" w:rsidR="00605A5D" w:rsidRPr="008F1499" w:rsidRDefault="00605A5D" w:rsidP="00F31397">
      <w:pPr>
        <w:rPr>
          <w:b/>
          <w:bCs/>
          <w:lang w:val="es-ES"/>
        </w:rPr>
      </w:pPr>
      <w:r w:rsidRPr="001656AF">
        <w:rPr>
          <w:lang w:val="es-ES"/>
        </w:rPr>
        <w:t xml:space="preserve">1.7 </w:t>
      </w:r>
      <w:r w:rsidRPr="001656AF">
        <w:rPr>
          <w:b/>
          <w:bCs/>
          <w:lang w:val="es-ES"/>
        </w:rPr>
        <w:t xml:space="preserve">Firma de </w:t>
      </w:r>
      <w:r w:rsidRPr="00605A5D">
        <w:rPr>
          <w:b/>
          <w:bCs/>
          <w:lang w:val="es-ES"/>
        </w:rPr>
        <w:t>nuevos</w:t>
      </w:r>
      <w:r w:rsidRPr="001656AF">
        <w:rPr>
          <w:b/>
          <w:bCs/>
          <w:lang w:val="es-ES"/>
        </w:rPr>
        <w:t xml:space="preserve"> </w:t>
      </w:r>
      <w:proofErr w:type="spellStart"/>
      <w:r w:rsidRPr="001656AF">
        <w:rPr>
          <w:b/>
          <w:bCs/>
          <w:lang w:val="es-ES"/>
        </w:rPr>
        <w:t>projects</w:t>
      </w:r>
      <w:proofErr w:type="spellEnd"/>
      <w:r w:rsidRPr="001656AF">
        <w:rPr>
          <w:b/>
          <w:bCs/>
          <w:lang w:val="es-ES"/>
        </w:rPr>
        <w:t xml:space="preserve">: </w:t>
      </w:r>
      <w:r>
        <w:rPr>
          <w:lang w:val="es-ES"/>
        </w:rPr>
        <w:t>de</w:t>
      </w:r>
      <w:r w:rsidRPr="001656AF">
        <w:rPr>
          <w:lang w:val="es-ES"/>
        </w:rPr>
        <w:t xml:space="preserve"> mayo de 2024 </w:t>
      </w:r>
      <w:r>
        <w:rPr>
          <w:lang w:val="es-ES"/>
        </w:rPr>
        <w:t>a</w:t>
      </w:r>
      <w:r w:rsidRPr="001656AF">
        <w:rPr>
          <w:lang w:val="es-ES"/>
        </w:rPr>
        <w:t xml:space="preserve"> marzo de 2025, la UIT firmó 35 nuevos proyectos y </w:t>
      </w:r>
      <w:proofErr w:type="spellStart"/>
      <w:r w:rsidRPr="001656AF">
        <w:rPr>
          <w:lang w:val="es-ES"/>
        </w:rPr>
        <w:t>ad</w:t>
      </w:r>
      <w:r>
        <w:rPr>
          <w:lang w:val="es-ES"/>
        </w:rPr>
        <w:t>d</w:t>
      </w:r>
      <w:r w:rsidRPr="001656AF">
        <w:rPr>
          <w:lang w:val="es-ES"/>
        </w:rPr>
        <w:t>endas</w:t>
      </w:r>
      <w:proofErr w:type="spellEnd"/>
      <w:r w:rsidRPr="001656AF">
        <w:rPr>
          <w:lang w:val="es-ES"/>
        </w:rPr>
        <w:t xml:space="preserve"> por un</w:t>
      </w:r>
      <w:r>
        <w:rPr>
          <w:lang w:val="es-ES"/>
        </w:rPr>
        <w:t xml:space="preserve">a </w:t>
      </w:r>
      <w:r w:rsidR="007D0A90">
        <w:rPr>
          <w:lang w:val="es-ES"/>
        </w:rPr>
        <w:t>cuantía</w:t>
      </w:r>
      <w:r>
        <w:rPr>
          <w:lang w:val="es-ES"/>
        </w:rPr>
        <w:t xml:space="preserve"> total de</w:t>
      </w:r>
      <w:r w:rsidRPr="001656AF">
        <w:rPr>
          <w:lang w:val="es-ES"/>
        </w:rPr>
        <w:t xml:space="preserve"> 26,7</w:t>
      </w:r>
      <w:r w:rsidR="001656AF">
        <w:rPr>
          <w:lang w:val="es-ES"/>
        </w:rPr>
        <w:t> </w:t>
      </w:r>
      <w:r w:rsidRPr="008F1499">
        <w:rPr>
          <w:lang w:val="es-ES"/>
        </w:rPr>
        <w:t>millones</w:t>
      </w:r>
      <w:r w:rsidR="001656AF">
        <w:rPr>
          <w:lang w:val="es-ES"/>
        </w:rPr>
        <w:t> </w:t>
      </w:r>
      <w:r>
        <w:rPr>
          <w:lang w:val="es-ES"/>
        </w:rPr>
        <w:t>CHF</w:t>
      </w:r>
      <w:r w:rsidRPr="001656AF">
        <w:rPr>
          <w:lang w:val="es-ES"/>
        </w:rPr>
        <w:t xml:space="preserve">. </w:t>
      </w:r>
      <w:r>
        <w:rPr>
          <w:lang w:val="es-ES"/>
        </w:rPr>
        <w:t>Ello pone de manifiesto</w:t>
      </w:r>
      <w:r w:rsidRPr="001656AF">
        <w:rPr>
          <w:lang w:val="es-ES"/>
        </w:rPr>
        <w:t xml:space="preserve"> la tendencia positiva </w:t>
      </w:r>
      <w:r>
        <w:rPr>
          <w:lang w:val="es-ES"/>
        </w:rPr>
        <w:t>registrada</w:t>
      </w:r>
      <w:r w:rsidRPr="001656AF">
        <w:rPr>
          <w:lang w:val="es-ES"/>
        </w:rPr>
        <w:t xml:space="preserve"> en los últimos años </w:t>
      </w:r>
      <w:r>
        <w:rPr>
          <w:lang w:val="es-ES"/>
        </w:rPr>
        <w:t>con respecto al</w:t>
      </w:r>
      <w:r w:rsidRPr="001656AF">
        <w:rPr>
          <w:lang w:val="es-ES"/>
        </w:rPr>
        <w:t xml:space="preserve"> aumento de fondos movilizados por la BDT en apoyo de proyectos, </w:t>
      </w:r>
      <w:r>
        <w:rPr>
          <w:lang w:val="es-ES"/>
        </w:rPr>
        <w:t>así como</w:t>
      </w:r>
      <w:r w:rsidRPr="001656AF">
        <w:rPr>
          <w:lang w:val="es-ES"/>
        </w:rPr>
        <w:t xml:space="preserve"> la mayor confianza en la UIT como </w:t>
      </w:r>
      <w:r>
        <w:rPr>
          <w:lang w:val="es-ES"/>
        </w:rPr>
        <w:t>principal asociado para</w:t>
      </w:r>
      <w:r w:rsidRPr="001656AF">
        <w:rPr>
          <w:lang w:val="es-ES"/>
        </w:rPr>
        <w:t xml:space="preserve"> la </w:t>
      </w:r>
      <w:r>
        <w:rPr>
          <w:lang w:val="es-ES"/>
        </w:rPr>
        <w:t>aplicación</w:t>
      </w:r>
      <w:r w:rsidRPr="001656AF">
        <w:rPr>
          <w:lang w:val="es-ES"/>
        </w:rPr>
        <w:t xml:space="preserve"> de iniciativas de TIC, tanto en proyectos de asistencia técnica a los Estados Miembros de la UIT como en proyectos financiados por terceros donantes. Se incluyen más detalles sobre la ejecución de los proyectos por la BDT en el documento </w:t>
      </w:r>
      <w:hyperlink r:id="rId32" w:history="1">
        <w:r w:rsidR="001656AF" w:rsidRPr="001656AF">
          <w:rPr>
            <w:rStyle w:val="Hyperlink"/>
            <w:rFonts w:cstheme="minorHAnsi"/>
            <w:szCs w:val="24"/>
            <w:lang w:val="es-ES"/>
          </w:rPr>
          <w:t>TDAG</w:t>
        </w:r>
        <w:r w:rsidR="001656AF" w:rsidRPr="001656AF">
          <w:rPr>
            <w:rStyle w:val="Hyperlink"/>
            <w:rFonts w:cstheme="minorHAnsi"/>
            <w:szCs w:val="24"/>
            <w:lang w:val="es-ES"/>
          </w:rPr>
          <w:t>-</w:t>
        </w:r>
        <w:r w:rsidR="001656AF" w:rsidRPr="001656AF">
          <w:rPr>
            <w:rStyle w:val="Hyperlink"/>
            <w:rFonts w:cstheme="minorHAnsi"/>
            <w:szCs w:val="24"/>
            <w:lang w:val="es-ES"/>
          </w:rPr>
          <w:t>2</w:t>
        </w:r>
        <w:r w:rsidR="001656AF" w:rsidRPr="001656AF">
          <w:rPr>
            <w:rStyle w:val="Hyperlink"/>
            <w:rFonts w:cstheme="minorHAnsi"/>
            <w:szCs w:val="24"/>
            <w:lang w:val="es-ES"/>
          </w:rPr>
          <w:t>5/5</w:t>
        </w:r>
      </w:hyperlink>
      <w:r w:rsidRPr="001656AF">
        <w:rPr>
          <w:lang w:val="es-ES"/>
        </w:rPr>
        <w:t xml:space="preserve">, así como en </w:t>
      </w:r>
      <w:r w:rsidRPr="001656AF">
        <w:rPr>
          <w:lang w:val="es-ES"/>
        </w:rPr>
        <w:lastRenderedPageBreak/>
        <w:t xml:space="preserve">el </w:t>
      </w:r>
      <w:hyperlink r:id="rId33" w:history="1">
        <w:r w:rsidRPr="001656AF">
          <w:rPr>
            <w:rStyle w:val="Hyperlink"/>
            <w:lang w:val="es-ES"/>
          </w:rPr>
          <w:t>portal de p</w:t>
        </w:r>
        <w:r w:rsidRPr="001656AF">
          <w:rPr>
            <w:rStyle w:val="Hyperlink"/>
            <w:lang w:val="es-ES"/>
          </w:rPr>
          <w:t>r</w:t>
        </w:r>
        <w:r w:rsidRPr="001656AF">
          <w:rPr>
            <w:rStyle w:val="Hyperlink"/>
            <w:lang w:val="es-ES"/>
          </w:rPr>
          <w:t xml:space="preserve">oyectos </w:t>
        </w:r>
        <w:r w:rsidRPr="001656AF">
          <w:rPr>
            <w:rStyle w:val="Hyperlink"/>
            <w:lang w:val="es-ES"/>
          </w:rPr>
          <w:t>del</w:t>
        </w:r>
        <w:r w:rsidRPr="001656AF">
          <w:rPr>
            <w:rStyle w:val="Hyperlink"/>
            <w:lang w:val="es-ES"/>
          </w:rPr>
          <w:t xml:space="preserve"> UIT-D</w:t>
        </w:r>
      </w:hyperlink>
      <w:r w:rsidRPr="001656AF">
        <w:rPr>
          <w:lang w:val="es-ES"/>
        </w:rPr>
        <w:t>, que incluye un</w:t>
      </w:r>
      <w:r>
        <w:rPr>
          <w:lang w:val="es-ES"/>
        </w:rPr>
        <w:t>a página</w:t>
      </w:r>
      <w:r w:rsidRPr="001656AF">
        <w:rPr>
          <w:lang w:val="es-ES"/>
        </w:rPr>
        <w:t xml:space="preserve"> interactiv</w:t>
      </w:r>
      <w:r>
        <w:rPr>
          <w:lang w:val="es-ES"/>
        </w:rPr>
        <w:t>a</w:t>
      </w:r>
      <w:r w:rsidRPr="001656AF">
        <w:rPr>
          <w:lang w:val="es-ES"/>
        </w:rPr>
        <w:t xml:space="preserve"> para los miembros del </w:t>
      </w:r>
      <w:r>
        <w:rPr>
          <w:lang w:val="es-ES"/>
        </w:rPr>
        <w:t>GDAT</w:t>
      </w:r>
      <w:r w:rsidRPr="001656AF">
        <w:rPr>
          <w:lang w:val="es-ES"/>
        </w:rPr>
        <w:t xml:space="preserve"> con más información sobre </w:t>
      </w:r>
      <w:r>
        <w:rPr>
          <w:lang w:val="es-ES"/>
        </w:rPr>
        <w:t>todos los</w:t>
      </w:r>
      <w:r w:rsidRPr="008F1499">
        <w:rPr>
          <w:lang w:val="es-ES"/>
        </w:rPr>
        <w:t xml:space="preserve"> proyectos de la BDT.</w:t>
      </w:r>
    </w:p>
    <w:p w14:paraId="7C7EA745" w14:textId="2F3AC177" w:rsidR="00605A5D" w:rsidRPr="008F1499" w:rsidRDefault="00605A5D" w:rsidP="00F31397">
      <w:pPr>
        <w:rPr>
          <w:lang w:val="es-ES"/>
        </w:rPr>
      </w:pPr>
      <w:r w:rsidRPr="008F1499">
        <w:rPr>
          <w:lang w:val="es-ES"/>
        </w:rPr>
        <w:t>1.8</w:t>
      </w:r>
      <w:r w:rsidR="00F31397">
        <w:rPr>
          <w:lang w:val="es-ES"/>
        </w:rPr>
        <w:tab/>
      </w:r>
      <w:r w:rsidRPr="008F1499">
        <w:rPr>
          <w:b/>
          <w:bCs/>
          <w:lang w:val="es-ES"/>
        </w:rPr>
        <w:t xml:space="preserve">Proyectos, asociaciones y actividades de cooperación existentes: </w:t>
      </w:r>
      <w:r>
        <w:rPr>
          <w:b/>
          <w:bCs/>
          <w:lang w:val="es-ES"/>
        </w:rPr>
        <w:t>e</w:t>
      </w:r>
      <w:r w:rsidRPr="008F1499">
        <w:rPr>
          <w:lang w:val="es-ES"/>
        </w:rPr>
        <w:t xml:space="preserve">n 2024, la BDT </w:t>
      </w:r>
      <w:r>
        <w:rPr>
          <w:lang w:val="es-ES"/>
        </w:rPr>
        <w:t>llevó a cabo</w:t>
      </w:r>
      <w:r w:rsidRPr="008F1499">
        <w:rPr>
          <w:lang w:val="es-ES"/>
        </w:rPr>
        <w:t xml:space="preserve"> 105 proyectos, por un valor de 91,8</w:t>
      </w:r>
      <w:r w:rsidR="001656AF">
        <w:rPr>
          <w:lang w:val="es-ES"/>
        </w:rPr>
        <w:t> </w:t>
      </w:r>
      <w:r w:rsidRPr="008F1499">
        <w:rPr>
          <w:lang w:val="es-ES"/>
        </w:rPr>
        <w:t>millones</w:t>
      </w:r>
      <w:r w:rsidR="001656AF">
        <w:rPr>
          <w:lang w:val="es-ES"/>
        </w:rPr>
        <w:t> </w:t>
      </w:r>
      <w:r w:rsidR="001656AF">
        <w:rPr>
          <w:lang w:val="es-ES"/>
        </w:rPr>
        <w:t>CHF</w:t>
      </w:r>
      <w:r w:rsidRPr="008F1499">
        <w:rPr>
          <w:lang w:val="es-ES"/>
        </w:rPr>
        <w:t xml:space="preserve">. En la figura 1 se presenta la distribución general de </w:t>
      </w:r>
      <w:r>
        <w:rPr>
          <w:lang w:val="es-ES"/>
        </w:rPr>
        <w:t xml:space="preserve">esos proyectos </w:t>
      </w:r>
      <w:r w:rsidRPr="008F1499">
        <w:rPr>
          <w:lang w:val="es-ES"/>
        </w:rPr>
        <w:t>por regi</w:t>
      </w:r>
      <w:r>
        <w:rPr>
          <w:lang w:val="es-ES"/>
        </w:rPr>
        <w:t>ó</w:t>
      </w:r>
      <w:r w:rsidRPr="008F1499">
        <w:rPr>
          <w:lang w:val="es-ES"/>
        </w:rPr>
        <w:t xml:space="preserve">n y una visión general de: 1) los fondos movilizados para </w:t>
      </w:r>
      <w:r>
        <w:rPr>
          <w:lang w:val="es-ES"/>
        </w:rPr>
        <w:t>facilitar</w:t>
      </w:r>
      <w:r w:rsidRPr="008F1499">
        <w:rPr>
          <w:lang w:val="es-ES"/>
        </w:rPr>
        <w:t xml:space="preserve"> la ejecución de </w:t>
      </w:r>
      <w:r>
        <w:rPr>
          <w:lang w:val="es-ES"/>
        </w:rPr>
        <w:t>dichos</w:t>
      </w:r>
      <w:r w:rsidRPr="008F1499">
        <w:rPr>
          <w:lang w:val="es-ES"/>
        </w:rPr>
        <w:t xml:space="preserve"> proyectos</w:t>
      </w:r>
      <w:r>
        <w:rPr>
          <w:lang w:val="es-ES"/>
        </w:rPr>
        <w:t>;</w:t>
      </w:r>
      <w:r w:rsidRPr="008F1499">
        <w:rPr>
          <w:lang w:val="es-ES"/>
        </w:rPr>
        <w:t xml:space="preserve"> y 2) la financiación inicial asignada por la UIT con cargo al </w:t>
      </w:r>
      <w:r w:rsidRPr="00605A5D">
        <w:rPr>
          <w:lang w:val="es-ES"/>
        </w:rPr>
        <w:t xml:space="preserve">Fondo para el Desarrollo de las Tecnologías de la Información y la Comunicación </w:t>
      </w:r>
      <w:r w:rsidRPr="008F1499">
        <w:rPr>
          <w:lang w:val="es-ES"/>
        </w:rPr>
        <w:t>(</w:t>
      </w:r>
      <w:r>
        <w:rPr>
          <w:lang w:val="es-ES"/>
        </w:rPr>
        <w:t>FD</w:t>
      </w:r>
      <w:r w:rsidR="00FC379D">
        <w:rPr>
          <w:lang w:val="es-ES"/>
        </w:rPr>
        <w:noBreakHyphen/>
      </w:r>
      <w:r>
        <w:rPr>
          <w:lang w:val="es-ES"/>
        </w:rPr>
        <w:t>TIC</w:t>
      </w:r>
      <w:r w:rsidRPr="008F1499">
        <w:rPr>
          <w:lang w:val="es-ES"/>
        </w:rPr>
        <w:t xml:space="preserve">). En el documentoTDAG-25/5 se </w:t>
      </w:r>
      <w:r>
        <w:rPr>
          <w:lang w:val="es-ES"/>
        </w:rPr>
        <w:t>amplía</w:t>
      </w:r>
      <w:r w:rsidRPr="008F1499">
        <w:rPr>
          <w:lang w:val="es-ES"/>
        </w:rPr>
        <w:t xml:space="preserve"> información sobre los proyectos de la BDT, y en el documento TDAG-25/9 se ofrece más información sobre las iniciativas de movilización de recursos y asociaciones.</w:t>
      </w:r>
    </w:p>
    <w:p w14:paraId="154E4AE8" w14:textId="19FFC324" w:rsidR="00605A5D" w:rsidRPr="008F1499" w:rsidRDefault="00605A5D" w:rsidP="00605A5D">
      <w:pPr>
        <w:pStyle w:val="TableNo"/>
        <w:rPr>
          <w:rFonts w:cs="Times New Roman Bold"/>
          <w:b/>
          <w:bCs/>
          <w:caps w:val="0"/>
          <w:szCs w:val="24"/>
          <w:lang w:val="es-ES"/>
        </w:rPr>
      </w:pPr>
      <w:r w:rsidRPr="008F1499">
        <w:rPr>
          <w:rFonts w:cs="Times New Roman Bold"/>
          <w:b/>
          <w:bCs/>
          <w:caps w:val="0"/>
          <w:szCs w:val="24"/>
          <w:lang w:val="es-ES"/>
        </w:rPr>
        <w:t>Cuadro 1</w:t>
      </w:r>
      <w:r w:rsidR="00E06F39">
        <w:rPr>
          <w:rFonts w:cs="Times New Roman Bold"/>
          <w:b/>
          <w:bCs/>
          <w:caps w:val="0"/>
          <w:szCs w:val="24"/>
          <w:lang w:val="es-ES"/>
        </w:rPr>
        <w:t xml:space="preserve"> </w:t>
      </w:r>
      <w:r w:rsidR="00E06F39" w:rsidRPr="00E06F39">
        <w:rPr>
          <w:rFonts w:cs="Times New Roman Bold"/>
          <w:b/>
          <w:bCs/>
          <w:caps w:val="0"/>
          <w:szCs w:val="24"/>
          <w:lang w:val="es-ES"/>
        </w:rPr>
        <w:t>–</w:t>
      </w:r>
      <w:r w:rsidR="00E06F39">
        <w:rPr>
          <w:rFonts w:cs="Times New Roman Bold"/>
          <w:b/>
          <w:bCs/>
          <w:caps w:val="0"/>
          <w:szCs w:val="24"/>
          <w:lang w:val="es-ES"/>
        </w:rPr>
        <w:t xml:space="preserve"> </w:t>
      </w:r>
      <w:r w:rsidRPr="008F1499">
        <w:rPr>
          <w:rFonts w:cs="Times New Roman Bold"/>
          <w:b/>
          <w:bCs/>
          <w:caps w:val="0"/>
          <w:szCs w:val="24"/>
          <w:lang w:val="es-ES"/>
        </w:rPr>
        <w:t>Resumen de los proyectos de la UIT por región con actividades en 2024</w:t>
      </w:r>
      <w:r w:rsidR="008F1499">
        <w:rPr>
          <w:rFonts w:cs="Times New Roman Bold"/>
          <w:b/>
          <w:bCs/>
          <w:caps w:val="0"/>
          <w:szCs w:val="24"/>
          <w:lang w:val="es-ES"/>
        </w:rPr>
        <w:br/>
      </w:r>
      <w:r w:rsidRPr="008F1499">
        <w:rPr>
          <w:rFonts w:cs="Times New Roman Bold"/>
          <w:b/>
          <w:bCs/>
          <w:caps w:val="0"/>
          <w:szCs w:val="24"/>
          <w:lang w:val="es-ES"/>
        </w:rPr>
        <w:t xml:space="preserve">(cifras en miles de </w:t>
      </w:r>
      <w:r w:rsidR="008F1499">
        <w:rPr>
          <w:rFonts w:cs="Times New Roman Bold"/>
          <w:b/>
          <w:bCs/>
          <w:caps w:val="0"/>
          <w:szCs w:val="24"/>
          <w:lang w:val="es-ES"/>
        </w:rPr>
        <w:t>CHF</w:t>
      </w:r>
      <w:r w:rsidRPr="008F1499">
        <w:rPr>
          <w:rFonts w:cs="Times New Roman Bold"/>
          <w:b/>
          <w:bCs/>
          <w:caps w:val="0"/>
          <w:szCs w:val="24"/>
          <w:lang w:val="es-ES"/>
        </w:rPr>
        <w:t>)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196"/>
        <w:gridCol w:w="2662"/>
        <w:gridCol w:w="1729"/>
        <w:gridCol w:w="2058"/>
      </w:tblGrid>
      <w:tr w:rsidR="008F1499" w:rsidRPr="00223683" w14:paraId="4C32B028" w14:textId="77777777" w:rsidTr="008F1499">
        <w:trPr>
          <w:trHeight w:val="852"/>
          <w:jc w:val="center"/>
        </w:trPr>
        <w:tc>
          <w:tcPr>
            <w:tcW w:w="446" w:type="pct"/>
            <w:shd w:val="clear" w:color="auto" w:fill="8DB3E2" w:themeFill="text2" w:themeFillTint="66"/>
            <w:noWrap/>
            <w:vAlign w:val="center"/>
            <w:hideMark/>
          </w:tcPr>
          <w:p w14:paraId="779C5722" w14:textId="6384A7E4" w:rsidR="00605A5D" w:rsidRPr="00223683" w:rsidRDefault="00605A5D" w:rsidP="00E06F39">
            <w:pPr>
              <w:pStyle w:val="Tablehead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Regi</w:t>
            </w:r>
            <w:r>
              <w:rPr>
                <w:rFonts w:eastAsiaTheme="minorEastAsia"/>
                <w:lang w:eastAsia="zh-CN"/>
              </w:rPr>
              <w:t>ó</w:t>
            </w:r>
            <w:r w:rsidRPr="00223683">
              <w:rPr>
                <w:rFonts w:eastAsiaTheme="minorEastAsia"/>
                <w:lang w:eastAsia="zh-CN"/>
              </w:rPr>
              <w:t>n</w:t>
            </w:r>
          </w:p>
        </w:tc>
        <w:tc>
          <w:tcPr>
            <w:tcW w:w="1157" w:type="pct"/>
            <w:shd w:val="clear" w:color="auto" w:fill="8DB3E2" w:themeFill="text2" w:themeFillTint="66"/>
            <w:noWrap/>
            <w:vAlign w:val="center"/>
            <w:hideMark/>
          </w:tcPr>
          <w:p w14:paraId="43C79DAD" w14:textId="77E43D10" w:rsidR="00605A5D" w:rsidRPr="00223683" w:rsidRDefault="00605A5D" w:rsidP="009E236B">
            <w:pPr>
              <w:pStyle w:val="Tablehead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Número</w:t>
            </w:r>
            <w:proofErr w:type="spellEnd"/>
            <w:r>
              <w:rPr>
                <w:rFonts w:eastAsiaTheme="minorEastAsia"/>
                <w:lang w:eastAsia="zh-CN"/>
              </w:rPr>
              <w:t xml:space="preserve"> de </w:t>
            </w:r>
            <w:proofErr w:type="spellStart"/>
            <w:r>
              <w:rPr>
                <w:rFonts w:eastAsiaTheme="minorEastAsia"/>
                <w:lang w:eastAsia="zh-CN"/>
              </w:rPr>
              <w:t>proyectos</w:t>
            </w:r>
            <w:proofErr w:type="spellEnd"/>
          </w:p>
        </w:tc>
        <w:tc>
          <w:tcPr>
            <w:tcW w:w="1402" w:type="pct"/>
            <w:shd w:val="clear" w:color="auto" w:fill="8DB3E2" w:themeFill="text2" w:themeFillTint="66"/>
            <w:noWrap/>
            <w:vAlign w:val="center"/>
            <w:hideMark/>
          </w:tcPr>
          <w:p w14:paraId="5BF8C618" w14:textId="590F1B8B" w:rsidR="00605A5D" w:rsidRPr="00223683" w:rsidRDefault="00605A5D" w:rsidP="00E06F39">
            <w:pPr>
              <w:pStyle w:val="Tablehead"/>
              <w:rPr>
                <w:rFonts w:eastAsiaTheme="minorEastAsia"/>
                <w:lang w:eastAsia="zh-CN"/>
              </w:rPr>
            </w:pPr>
            <w:proofErr w:type="spellStart"/>
            <w:r w:rsidRPr="00605A5D">
              <w:rPr>
                <w:rFonts w:eastAsiaTheme="minorEastAsia"/>
                <w:lang w:eastAsia="zh-CN"/>
              </w:rPr>
              <w:t>Financiación</w:t>
            </w:r>
            <w:proofErr w:type="spellEnd"/>
            <w:r w:rsidRPr="00605A5D"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por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asociados</w:t>
            </w:r>
            <w:proofErr w:type="spellEnd"/>
          </w:p>
        </w:tc>
        <w:tc>
          <w:tcPr>
            <w:tcW w:w="911" w:type="pct"/>
            <w:shd w:val="clear" w:color="auto" w:fill="8DB3E2" w:themeFill="text2" w:themeFillTint="66"/>
            <w:noWrap/>
            <w:vAlign w:val="center"/>
          </w:tcPr>
          <w:p w14:paraId="71D47529" w14:textId="5EECE546" w:rsidR="00605A5D" w:rsidRPr="00223683" w:rsidRDefault="00605A5D" w:rsidP="00E06F39">
            <w:pPr>
              <w:pStyle w:val="Tablehead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Fondos</w:t>
            </w:r>
            <w:proofErr w:type="spellEnd"/>
            <w:r>
              <w:rPr>
                <w:rFonts w:eastAsiaTheme="minorEastAsia"/>
                <w:lang w:eastAsia="zh-CN"/>
              </w:rPr>
              <w:t xml:space="preserve"> de la UIT</w:t>
            </w:r>
            <w:r w:rsidRPr="00223683">
              <w:rPr>
                <w:rFonts w:eastAsiaTheme="minorEastAsia"/>
                <w:lang w:eastAsia="zh-CN"/>
              </w:rPr>
              <w:t xml:space="preserve"> </w:t>
            </w:r>
          </w:p>
        </w:tc>
        <w:tc>
          <w:tcPr>
            <w:tcW w:w="1084" w:type="pct"/>
            <w:shd w:val="clear" w:color="auto" w:fill="8DB3E2" w:themeFill="text2" w:themeFillTint="66"/>
            <w:noWrap/>
            <w:vAlign w:val="center"/>
            <w:hideMark/>
          </w:tcPr>
          <w:p w14:paraId="7E9F9C0E" w14:textId="4D539E82" w:rsidR="00605A5D" w:rsidRPr="00223683" w:rsidRDefault="00605A5D" w:rsidP="00E06F39">
            <w:pPr>
              <w:pStyle w:val="Tablehead"/>
              <w:rPr>
                <w:rFonts w:eastAsiaTheme="minorEastAsia"/>
                <w:lang w:eastAsia="zh-CN"/>
              </w:rPr>
            </w:pPr>
            <w:proofErr w:type="spellStart"/>
            <w:r w:rsidRPr="00605A5D">
              <w:rPr>
                <w:rFonts w:eastAsiaTheme="minorEastAsia"/>
                <w:lang w:eastAsia="zh-CN"/>
              </w:rPr>
              <w:t>Financiación</w:t>
            </w:r>
            <w:proofErr w:type="spellEnd"/>
            <w:r w:rsidRPr="00605A5D">
              <w:rPr>
                <w:rFonts w:eastAsiaTheme="minorEastAsia"/>
                <w:lang w:eastAsia="zh-CN"/>
              </w:rPr>
              <w:t xml:space="preserve"> total del </w:t>
            </w:r>
            <w:proofErr w:type="spellStart"/>
            <w:r w:rsidRPr="00605A5D">
              <w:rPr>
                <w:rFonts w:eastAsiaTheme="minorEastAsia"/>
                <w:lang w:eastAsia="zh-CN"/>
              </w:rPr>
              <w:t>proyecto</w:t>
            </w:r>
            <w:proofErr w:type="spellEnd"/>
          </w:p>
        </w:tc>
      </w:tr>
      <w:tr w:rsidR="008F1499" w:rsidRPr="00223683" w14:paraId="081103D3" w14:textId="77777777" w:rsidTr="008F1499">
        <w:trPr>
          <w:trHeight w:val="54"/>
          <w:jc w:val="center"/>
        </w:trPr>
        <w:tc>
          <w:tcPr>
            <w:tcW w:w="446" w:type="pct"/>
            <w:hideMark/>
          </w:tcPr>
          <w:p w14:paraId="4F9CDE19" w14:textId="3C3F6E6E" w:rsidR="00605A5D" w:rsidRPr="00223683" w:rsidRDefault="00605A5D" w:rsidP="00E06F39">
            <w:pPr>
              <w:pStyle w:val="Tabletext"/>
              <w:jc w:val="center"/>
              <w:rPr>
                <w:lang w:eastAsia="zh-CN"/>
              </w:rPr>
            </w:pPr>
            <w:r w:rsidRPr="00223683">
              <w:rPr>
                <w:lang w:eastAsia="zh-CN"/>
              </w:rPr>
              <w:t>AFR</w:t>
            </w:r>
          </w:p>
        </w:tc>
        <w:tc>
          <w:tcPr>
            <w:tcW w:w="1157" w:type="pct"/>
            <w:noWrap/>
            <w:vAlign w:val="bottom"/>
            <w:hideMark/>
          </w:tcPr>
          <w:p w14:paraId="500150AE" w14:textId="77777777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17</w:t>
            </w:r>
          </w:p>
        </w:tc>
        <w:tc>
          <w:tcPr>
            <w:tcW w:w="1402" w:type="pct"/>
            <w:vAlign w:val="bottom"/>
            <w:hideMark/>
          </w:tcPr>
          <w:p w14:paraId="5D80F6C1" w14:textId="7C20AE4A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26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23683">
              <w:rPr>
                <w:rFonts w:eastAsiaTheme="minorEastAsia"/>
                <w:lang w:eastAsia="zh-CN"/>
              </w:rPr>
              <w:t>548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911" w:type="pct"/>
            <w:vAlign w:val="bottom"/>
            <w:hideMark/>
          </w:tcPr>
          <w:p w14:paraId="37873842" w14:textId="555FF293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23683">
              <w:rPr>
                <w:rFonts w:eastAsiaTheme="minorEastAsia"/>
                <w:lang w:eastAsia="zh-CN"/>
              </w:rPr>
              <w:t>516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1084" w:type="pct"/>
            <w:shd w:val="clear" w:color="auto" w:fill="DBE5F1" w:themeFill="accent1" w:themeFillTint="33"/>
            <w:vAlign w:val="bottom"/>
            <w:hideMark/>
          </w:tcPr>
          <w:p w14:paraId="59861644" w14:textId="7AE2394B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28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23683">
              <w:rPr>
                <w:rFonts w:eastAsiaTheme="minorEastAsia"/>
                <w:lang w:eastAsia="zh-CN"/>
              </w:rPr>
              <w:t>197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8</w:t>
            </w:r>
          </w:p>
        </w:tc>
      </w:tr>
      <w:tr w:rsidR="008F1499" w:rsidRPr="00223683" w14:paraId="36898417" w14:textId="77777777" w:rsidTr="008F1499">
        <w:trPr>
          <w:trHeight w:val="54"/>
          <w:jc w:val="center"/>
        </w:trPr>
        <w:tc>
          <w:tcPr>
            <w:tcW w:w="446" w:type="pct"/>
            <w:hideMark/>
          </w:tcPr>
          <w:p w14:paraId="0FCC7652" w14:textId="687C39BD" w:rsidR="00605A5D" w:rsidRPr="00223683" w:rsidRDefault="00605A5D" w:rsidP="00E06F39">
            <w:pPr>
              <w:pStyle w:val="Tabletext"/>
              <w:jc w:val="center"/>
              <w:rPr>
                <w:lang w:eastAsia="zh-CN"/>
              </w:rPr>
            </w:pPr>
            <w:r w:rsidRPr="00223683">
              <w:rPr>
                <w:lang w:eastAsia="zh-CN"/>
              </w:rPr>
              <w:t>AMS</w:t>
            </w:r>
          </w:p>
        </w:tc>
        <w:tc>
          <w:tcPr>
            <w:tcW w:w="1157" w:type="pct"/>
            <w:noWrap/>
            <w:vAlign w:val="bottom"/>
            <w:hideMark/>
          </w:tcPr>
          <w:p w14:paraId="31E3D1E6" w14:textId="77777777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19</w:t>
            </w:r>
          </w:p>
        </w:tc>
        <w:tc>
          <w:tcPr>
            <w:tcW w:w="1402" w:type="pct"/>
            <w:vAlign w:val="bottom"/>
            <w:hideMark/>
          </w:tcPr>
          <w:p w14:paraId="0BF8418B" w14:textId="2133CB5E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12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23683">
              <w:rPr>
                <w:rFonts w:eastAsiaTheme="minorEastAsia"/>
                <w:lang w:eastAsia="zh-CN"/>
              </w:rPr>
              <w:t>600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911" w:type="pct"/>
            <w:vAlign w:val="bottom"/>
            <w:hideMark/>
          </w:tcPr>
          <w:p w14:paraId="4DF734EE" w14:textId="15976582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335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1084" w:type="pct"/>
            <w:shd w:val="clear" w:color="auto" w:fill="DBE5F1" w:themeFill="accent1" w:themeFillTint="33"/>
            <w:vAlign w:val="bottom"/>
            <w:hideMark/>
          </w:tcPr>
          <w:p w14:paraId="1FB67A96" w14:textId="0F4B8423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13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23683">
              <w:rPr>
                <w:rFonts w:eastAsiaTheme="minorEastAsia"/>
                <w:lang w:eastAsia="zh-CN"/>
              </w:rPr>
              <w:t>211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4</w:t>
            </w:r>
          </w:p>
        </w:tc>
      </w:tr>
      <w:tr w:rsidR="008F1499" w:rsidRPr="00223683" w14:paraId="44874FF6" w14:textId="77777777" w:rsidTr="008F1499">
        <w:trPr>
          <w:trHeight w:val="300"/>
          <w:jc w:val="center"/>
        </w:trPr>
        <w:tc>
          <w:tcPr>
            <w:tcW w:w="446" w:type="pct"/>
            <w:hideMark/>
          </w:tcPr>
          <w:p w14:paraId="549D37A7" w14:textId="00C00851" w:rsidR="00605A5D" w:rsidRPr="00223683" w:rsidRDefault="00605A5D" w:rsidP="00E06F39">
            <w:pPr>
              <w:pStyle w:val="Tabletext"/>
              <w:jc w:val="center"/>
              <w:rPr>
                <w:lang w:eastAsia="zh-CN"/>
              </w:rPr>
            </w:pPr>
            <w:r w:rsidRPr="00223683">
              <w:rPr>
                <w:lang w:eastAsia="zh-CN"/>
              </w:rPr>
              <w:t>ARB</w:t>
            </w:r>
          </w:p>
        </w:tc>
        <w:tc>
          <w:tcPr>
            <w:tcW w:w="1157" w:type="pct"/>
            <w:vAlign w:val="bottom"/>
            <w:hideMark/>
          </w:tcPr>
          <w:p w14:paraId="2E6CDE95" w14:textId="77777777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1402" w:type="pct"/>
            <w:vAlign w:val="bottom"/>
            <w:hideMark/>
          </w:tcPr>
          <w:p w14:paraId="21A3B699" w14:textId="2FF550B8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23683">
              <w:rPr>
                <w:rFonts w:eastAsiaTheme="minorEastAsia"/>
                <w:lang w:eastAsia="zh-CN"/>
              </w:rPr>
              <w:t>989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6</w:t>
            </w:r>
          </w:p>
        </w:tc>
        <w:tc>
          <w:tcPr>
            <w:tcW w:w="911" w:type="pct"/>
            <w:vAlign w:val="bottom"/>
            <w:hideMark/>
          </w:tcPr>
          <w:p w14:paraId="20A0D577" w14:textId="7A1B05F3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664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1084" w:type="pct"/>
            <w:shd w:val="clear" w:color="auto" w:fill="DBE5F1" w:themeFill="accent1" w:themeFillTint="33"/>
            <w:vAlign w:val="bottom"/>
            <w:hideMark/>
          </w:tcPr>
          <w:p w14:paraId="5529ED74" w14:textId="3125BD22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3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23683">
              <w:rPr>
                <w:rFonts w:eastAsiaTheme="minorEastAsia"/>
                <w:lang w:eastAsia="zh-CN"/>
              </w:rPr>
              <w:t>654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1</w:t>
            </w:r>
          </w:p>
        </w:tc>
      </w:tr>
      <w:tr w:rsidR="008F1499" w:rsidRPr="00223683" w14:paraId="3455644D" w14:textId="77777777" w:rsidTr="008F1499">
        <w:trPr>
          <w:trHeight w:val="54"/>
          <w:jc w:val="center"/>
        </w:trPr>
        <w:tc>
          <w:tcPr>
            <w:tcW w:w="446" w:type="pct"/>
            <w:vAlign w:val="center"/>
            <w:hideMark/>
          </w:tcPr>
          <w:p w14:paraId="16135B86" w14:textId="77777777" w:rsidR="00605A5D" w:rsidRPr="00223683" w:rsidRDefault="00605A5D" w:rsidP="00E06F39">
            <w:pPr>
              <w:pStyle w:val="Tabletext"/>
              <w:jc w:val="center"/>
              <w:rPr>
                <w:lang w:eastAsia="zh-CN"/>
              </w:rPr>
            </w:pPr>
            <w:r w:rsidRPr="00223683">
              <w:rPr>
                <w:lang w:eastAsia="zh-CN"/>
              </w:rPr>
              <w:t>ASP</w:t>
            </w:r>
          </w:p>
        </w:tc>
        <w:tc>
          <w:tcPr>
            <w:tcW w:w="1157" w:type="pct"/>
            <w:noWrap/>
            <w:vAlign w:val="bottom"/>
            <w:hideMark/>
          </w:tcPr>
          <w:p w14:paraId="7FAADE45" w14:textId="77777777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15</w:t>
            </w:r>
          </w:p>
        </w:tc>
        <w:tc>
          <w:tcPr>
            <w:tcW w:w="1402" w:type="pct"/>
            <w:vAlign w:val="bottom"/>
            <w:hideMark/>
          </w:tcPr>
          <w:p w14:paraId="591DFEEA" w14:textId="0D73DCF3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23683">
              <w:rPr>
                <w:rFonts w:eastAsiaTheme="minorEastAsia"/>
                <w:lang w:eastAsia="zh-CN"/>
              </w:rPr>
              <w:t>667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2</w:t>
            </w:r>
          </w:p>
        </w:tc>
        <w:tc>
          <w:tcPr>
            <w:tcW w:w="911" w:type="pct"/>
            <w:vAlign w:val="bottom"/>
          </w:tcPr>
          <w:p w14:paraId="6EC94EF7" w14:textId="44E2FB67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655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6</w:t>
            </w:r>
          </w:p>
        </w:tc>
        <w:tc>
          <w:tcPr>
            <w:tcW w:w="1084" w:type="pct"/>
            <w:shd w:val="clear" w:color="auto" w:fill="DBE5F1" w:themeFill="accent1" w:themeFillTint="33"/>
            <w:vAlign w:val="bottom"/>
            <w:hideMark/>
          </w:tcPr>
          <w:p w14:paraId="3BE75284" w14:textId="2E8F1D6B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7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23683">
              <w:rPr>
                <w:rFonts w:eastAsiaTheme="minorEastAsia"/>
                <w:lang w:eastAsia="zh-CN"/>
              </w:rPr>
              <w:t>804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7</w:t>
            </w:r>
          </w:p>
        </w:tc>
      </w:tr>
      <w:tr w:rsidR="008F1499" w:rsidRPr="00223683" w14:paraId="601B6F9F" w14:textId="77777777" w:rsidTr="008F1499">
        <w:trPr>
          <w:trHeight w:val="54"/>
          <w:jc w:val="center"/>
        </w:trPr>
        <w:tc>
          <w:tcPr>
            <w:tcW w:w="446" w:type="pct"/>
            <w:hideMark/>
          </w:tcPr>
          <w:p w14:paraId="4AF5A95A" w14:textId="620BBA2E" w:rsidR="00605A5D" w:rsidRPr="00223683" w:rsidRDefault="00605A5D" w:rsidP="00E06F39">
            <w:pPr>
              <w:pStyle w:val="Tabletext"/>
              <w:jc w:val="center"/>
              <w:rPr>
                <w:lang w:eastAsia="zh-CN"/>
              </w:rPr>
            </w:pPr>
            <w:r w:rsidRPr="00223683">
              <w:rPr>
                <w:lang w:eastAsia="zh-CN"/>
              </w:rPr>
              <w:t>CIS</w:t>
            </w:r>
          </w:p>
        </w:tc>
        <w:tc>
          <w:tcPr>
            <w:tcW w:w="1157" w:type="pct"/>
            <w:vAlign w:val="bottom"/>
            <w:hideMark/>
          </w:tcPr>
          <w:p w14:paraId="4D6EB132" w14:textId="77777777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4</w:t>
            </w:r>
          </w:p>
        </w:tc>
        <w:tc>
          <w:tcPr>
            <w:tcW w:w="1402" w:type="pct"/>
            <w:vAlign w:val="bottom"/>
            <w:hideMark/>
          </w:tcPr>
          <w:p w14:paraId="2A909A4A" w14:textId="4118AB57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342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0</w:t>
            </w:r>
          </w:p>
        </w:tc>
        <w:tc>
          <w:tcPr>
            <w:tcW w:w="911" w:type="pct"/>
            <w:vAlign w:val="bottom"/>
          </w:tcPr>
          <w:p w14:paraId="087BDB88" w14:textId="33F9D3E5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532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2</w:t>
            </w:r>
          </w:p>
        </w:tc>
        <w:tc>
          <w:tcPr>
            <w:tcW w:w="1084" w:type="pct"/>
            <w:shd w:val="clear" w:color="auto" w:fill="DBE5F1" w:themeFill="accent1" w:themeFillTint="33"/>
            <w:vAlign w:val="bottom"/>
            <w:hideMark/>
          </w:tcPr>
          <w:p w14:paraId="12A1B14C" w14:textId="28AE4C83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874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1</w:t>
            </w:r>
          </w:p>
        </w:tc>
      </w:tr>
      <w:tr w:rsidR="008F1499" w:rsidRPr="00223683" w14:paraId="3E4819F6" w14:textId="77777777" w:rsidTr="008F1499">
        <w:trPr>
          <w:trHeight w:val="54"/>
          <w:jc w:val="center"/>
        </w:trPr>
        <w:tc>
          <w:tcPr>
            <w:tcW w:w="446" w:type="pct"/>
            <w:vAlign w:val="bottom"/>
            <w:hideMark/>
          </w:tcPr>
          <w:p w14:paraId="17961DC0" w14:textId="77777777" w:rsidR="00605A5D" w:rsidRPr="00223683" w:rsidRDefault="00605A5D" w:rsidP="00E06F39">
            <w:pPr>
              <w:pStyle w:val="Tabletext"/>
              <w:jc w:val="center"/>
              <w:rPr>
                <w:lang w:eastAsia="zh-CN"/>
              </w:rPr>
            </w:pPr>
            <w:r w:rsidRPr="00223683">
              <w:rPr>
                <w:lang w:eastAsia="zh-CN"/>
              </w:rPr>
              <w:t>EUR</w:t>
            </w:r>
          </w:p>
        </w:tc>
        <w:tc>
          <w:tcPr>
            <w:tcW w:w="1157" w:type="pct"/>
            <w:vAlign w:val="bottom"/>
            <w:hideMark/>
          </w:tcPr>
          <w:p w14:paraId="7500134E" w14:textId="77777777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4</w:t>
            </w:r>
          </w:p>
        </w:tc>
        <w:tc>
          <w:tcPr>
            <w:tcW w:w="1402" w:type="pct"/>
            <w:vAlign w:val="bottom"/>
            <w:hideMark/>
          </w:tcPr>
          <w:p w14:paraId="1EF19F42" w14:textId="1F663E13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4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23683">
              <w:rPr>
                <w:rFonts w:eastAsiaTheme="minorEastAsia"/>
                <w:lang w:eastAsia="zh-CN"/>
              </w:rPr>
              <w:t>034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6</w:t>
            </w:r>
          </w:p>
        </w:tc>
        <w:tc>
          <w:tcPr>
            <w:tcW w:w="911" w:type="pct"/>
            <w:vAlign w:val="bottom"/>
          </w:tcPr>
          <w:p w14:paraId="36776DA3" w14:textId="274A74EA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44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2</w:t>
            </w:r>
          </w:p>
        </w:tc>
        <w:tc>
          <w:tcPr>
            <w:tcW w:w="1084" w:type="pct"/>
            <w:shd w:val="clear" w:color="auto" w:fill="DBE5F1" w:themeFill="accent1" w:themeFillTint="33"/>
            <w:vAlign w:val="bottom"/>
            <w:hideMark/>
          </w:tcPr>
          <w:p w14:paraId="1EB5C4B5" w14:textId="17603669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4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23683">
              <w:rPr>
                <w:rFonts w:eastAsiaTheme="minorEastAsia"/>
                <w:lang w:eastAsia="zh-CN"/>
              </w:rPr>
              <w:t>078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8</w:t>
            </w:r>
          </w:p>
        </w:tc>
      </w:tr>
      <w:tr w:rsidR="008F1499" w:rsidRPr="00223683" w14:paraId="41F2A3E6" w14:textId="77777777" w:rsidTr="008F1499">
        <w:trPr>
          <w:trHeight w:val="54"/>
          <w:jc w:val="center"/>
        </w:trPr>
        <w:tc>
          <w:tcPr>
            <w:tcW w:w="446" w:type="pct"/>
            <w:hideMark/>
          </w:tcPr>
          <w:p w14:paraId="6F18D3C5" w14:textId="77777777" w:rsidR="00605A5D" w:rsidRPr="00223683" w:rsidRDefault="00605A5D" w:rsidP="00E06F39">
            <w:pPr>
              <w:pStyle w:val="Tabletext"/>
              <w:jc w:val="center"/>
              <w:rPr>
                <w:lang w:eastAsia="zh-CN"/>
              </w:rPr>
            </w:pPr>
            <w:r w:rsidRPr="00223683">
              <w:rPr>
                <w:lang w:eastAsia="zh-CN"/>
              </w:rPr>
              <w:t>MUL (*)</w:t>
            </w:r>
          </w:p>
        </w:tc>
        <w:tc>
          <w:tcPr>
            <w:tcW w:w="1157" w:type="pct"/>
            <w:noWrap/>
            <w:vAlign w:val="bottom"/>
            <w:hideMark/>
          </w:tcPr>
          <w:p w14:paraId="268131DE" w14:textId="77777777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41</w:t>
            </w:r>
          </w:p>
        </w:tc>
        <w:tc>
          <w:tcPr>
            <w:tcW w:w="1402" w:type="pct"/>
            <w:vAlign w:val="bottom"/>
            <w:hideMark/>
          </w:tcPr>
          <w:p w14:paraId="4562CA85" w14:textId="11176F62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26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23683">
              <w:rPr>
                <w:rFonts w:eastAsiaTheme="minorEastAsia"/>
                <w:lang w:eastAsia="zh-CN"/>
              </w:rPr>
              <w:t>852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4</w:t>
            </w:r>
          </w:p>
        </w:tc>
        <w:tc>
          <w:tcPr>
            <w:tcW w:w="911" w:type="pct"/>
            <w:vAlign w:val="bottom"/>
            <w:hideMark/>
          </w:tcPr>
          <w:p w14:paraId="7A0024FB" w14:textId="251FA1AE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23683">
              <w:rPr>
                <w:rFonts w:eastAsiaTheme="minorEastAsia"/>
                <w:lang w:eastAsia="zh-CN"/>
              </w:rPr>
              <w:t>676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1084" w:type="pct"/>
            <w:shd w:val="clear" w:color="auto" w:fill="DBE5F1" w:themeFill="accent1" w:themeFillTint="33"/>
            <w:vAlign w:val="bottom"/>
            <w:hideMark/>
          </w:tcPr>
          <w:p w14:paraId="7297BB20" w14:textId="7BD7A74F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223683">
              <w:rPr>
                <w:rFonts w:eastAsiaTheme="minorEastAsia"/>
                <w:lang w:eastAsia="zh-CN"/>
              </w:rPr>
              <w:t>33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Pr="00223683">
              <w:rPr>
                <w:rFonts w:eastAsiaTheme="minorEastAsia"/>
                <w:lang w:eastAsia="zh-CN"/>
              </w:rPr>
              <w:t>979</w:t>
            </w:r>
            <w:r>
              <w:rPr>
                <w:rFonts w:eastAsiaTheme="minorEastAsia"/>
                <w:lang w:eastAsia="zh-CN"/>
              </w:rPr>
              <w:t>,</w:t>
            </w:r>
            <w:r w:rsidRPr="00223683">
              <w:rPr>
                <w:rFonts w:eastAsiaTheme="minorEastAsia"/>
                <w:lang w:eastAsia="zh-CN"/>
              </w:rPr>
              <w:t>1</w:t>
            </w:r>
          </w:p>
        </w:tc>
      </w:tr>
      <w:tr w:rsidR="008F1499" w:rsidRPr="00223683" w14:paraId="7E101A96" w14:textId="77777777" w:rsidTr="008F1499">
        <w:trPr>
          <w:trHeight w:val="54"/>
          <w:jc w:val="center"/>
        </w:trPr>
        <w:tc>
          <w:tcPr>
            <w:tcW w:w="446" w:type="pct"/>
            <w:shd w:val="clear" w:color="auto" w:fill="DBE5F1" w:themeFill="accent1" w:themeFillTint="33"/>
            <w:noWrap/>
            <w:vAlign w:val="center"/>
            <w:hideMark/>
          </w:tcPr>
          <w:p w14:paraId="14869057" w14:textId="77777777" w:rsidR="00605A5D" w:rsidRPr="00223683" w:rsidRDefault="00605A5D" w:rsidP="00E06F3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223683">
              <w:rPr>
                <w:b/>
                <w:bCs/>
                <w:lang w:eastAsia="zh-CN"/>
              </w:rPr>
              <w:t>Total</w:t>
            </w:r>
          </w:p>
        </w:tc>
        <w:tc>
          <w:tcPr>
            <w:tcW w:w="1157" w:type="pct"/>
            <w:shd w:val="clear" w:color="auto" w:fill="DBE5F1" w:themeFill="accent1" w:themeFillTint="33"/>
            <w:noWrap/>
            <w:vAlign w:val="bottom"/>
            <w:hideMark/>
          </w:tcPr>
          <w:p w14:paraId="095C0EA9" w14:textId="77777777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00223683">
              <w:rPr>
                <w:rFonts w:eastAsiaTheme="minorEastAsia"/>
                <w:b/>
                <w:bCs/>
                <w:lang w:eastAsia="zh-CN"/>
              </w:rPr>
              <w:t>105</w:t>
            </w:r>
          </w:p>
        </w:tc>
        <w:tc>
          <w:tcPr>
            <w:tcW w:w="1402" w:type="pct"/>
            <w:shd w:val="clear" w:color="auto" w:fill="DBE5F1" w:themeFill="accent1" w:themeFillTint="33"/>
            <w:noWrap/>
            <w:vAlign w:val="bottom"/>
            <w:hideMark/>
          </w:tcPr>
          <w:p w14:paraId="2BAB0D96" w14:textId="36D7130A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00223683">
              <w:rPr>
                <w:rFonts w:eastAsiaTheme="minorEastAsia"/>
                <w:b/>
                <w:bCs/>
                <w:lang w:eastAsia="zh-CN"/>
              </w:rPr>
              <w:t>80</w:t>
            </w:r>
            <w:r>
              <w:rPr>
                <w:rFonts w:eastAsiaTheme="minorEastAsia"/>
                <w:b/>
                <w:bCs/>
                <w:lang w:eastAsia="zh-CN"/>
              </w:rPr>
              <w:t xml:space="preserve"> </w:t>
            </w:r>
            <w:r w:rsidRPr="00223683">
              <w:rPr>
                <w:rFonts w:eastAsiaTheme="minorEastAsia"/>
                <w:b/>
                <w:bCs/>
                <w:lang w:eastAsia="zh-CN"/>
              </w:rPr>
              <w:t>034</w:t>
            </w:r>
            <w:r>
              <w:rPr>
                <w:rFonts w:eastAsiaTheme="minorEastAsia"/>
                <w:b/>
                <w:bCs/>
                <w:lang w:eastAsia="zh-CN"/>
              </w:rPr>
              <w:t>,</w:t>
            </w:r>
            <w:r w:rsidRPr="00223683">
              <w:rPr>
                <w:rFonts w:eastAsiaTheme="minorEastAsia"/>
                <w:b/>
                <w:bCs/>
                <w:lang w:eastAsia="zh-CN"/>
              </w:rPr>
              <w:t>7</w:t>
            </w:r>
          </w:p>
        </w:tc>
        <w:tc>
          <w:tcPr>
            <w:tcW w:w="911" w:type="pct"/>
            <w:shd w:val="clear" w:color="auto" w:fill="DBE5F1" w:themeFill="accent1" w:themeFillTint="33"/>
            <w:noWrap/>
            <w:vAlign w:val="bottom"/>
            <w:hideMark/>
          </w:tcPr>
          <w:p w14:paraId="5C350311" w14:textId="73D3DFDB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00223683">
              <w:rPr>
                <w:rFonts w:eastAsiaTheme="minorEastAsia"/>
                <w:b/>
                <w:bCs/>
                <w:lang w:eastAsia="zh-CN"/>
              </w:rPr>
              <w:t>10</w:t>
            </w:r>
            <w:r>
              <w:rPr>
                <w:rFonts w:eastAsiaTheme="minorEastAsia"/>
                <w:b/>
                <w:bCs/>
                <w:lang w:eastAsia="zh-CN"/>
              </w:rPr>
              <w:t xml:space="preserve"> </w:t>
            </w:r>
            <w:r w:rsidRPr="00223683">
              <w:rPr>
                <w:rFonts w:eastAsiaTheme="minorEastAsia"/>
                <w:b/>
                <w:bCs/>
                <w:lang w:eastAsia="zh-CN"/>
              </w:rPr>
              <w:t>425</w:t>
            </w:r>
            <w:r>
              <w:rPr>
                <w:rFonts w:eastAsiaTheme="minorEastAsia"/>
                <w:b/>
                <w:bCs/>
                <w:lang w:eastAsia="zh-CN"/>
              </w:rPr>
              <w:t>,</w:t>
            </w:r>
            <w:r w:rsidRPr="00223683">
              <w:rPr>
                <w:rFonts w:eastAsiaTheme="minorEastAsia"/>
                <w:b/>
                <w:bCs/>
                <w:lang w:eastAsia="zh-CN"/>
              </w:rPr>
              <w:t>3</w:t>
            </w:r>
          </w:p>
        </w:tc>
        <w:tc>
          <w:tcPr>
            <w:tcW w:w="1084" w:type="pct"/>
            <w:shd w:val="clear" w:color="auto" w:fill="DBE5F1" w:themeFill="accent1" w:themeFillTint="33"/>
            <w:noWrap/>
            <w:vAlign w:val="bottom"/>
            <w:hideMark/>
          </w:tcPr>
          <w:p w14:paraId="78C37944" w14:textId="0DFDEF47" w:rsidR="00605A5D" w:rsidRPr="00223683" w:rsidRDefault="00605A5D" w:rsidP="00E06F39">
            <w:pPr>
              <w:pStyle w:val="Tabletext"/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00223683">
              <w:rPr>
                <w:rFonts w:eastAsiaTheme="minorEastAsia"/>
                <w:b/>
                <w:bCs/>
                <w:lang w:eastAsia="zh-CN"/>
              </w:rPr>
              <w:t>91</w:t>
            </w:r>
            <w:r>
              <w:rPr>
                <w:rFonts w:eastAsiaTheme="minorEastAsia"/>
                <w:b/>
                <w:bCs/>
                <w:lang w:eastAsia="zh-CN"/>
              </w:rPr>
              <w:t xml:space="preserve"> </w:t>
            </w:r>
            <w:r w:rsidRPr="00223683">
              <w:rPr>
                <w:rFonts w:eastAsiaTheme="minorEastAsia"/>
                <w:b/>
                <w:bCs/>
                <w:lang w:eastAsia="zh-CN"/>
              </w:rPr>
              <w:t>800</w:t>
            </w:r>
            <w:r>
              <w:rPr>
                <w:rFonts w:eastAsiaTheme="minorEastAsia"/>
                <w:b/>
                <w:bCs/>
                <w:lang w:eastAsia="zh-CN"/>
              </w:rPr>
              <w:t>,</w:t>
            </w:r>
            <w:r w:rsidRPr="00223683">
              <w:rPr>
                <w:rFonts w:eastAsiaTheme="minorEastAsia"/>
                <w:b/>
                <w:bCs/>
                <w:lang w:eastAsia="zh-CN"/>
              </w:rPr>
              <w:t>0</w:t>
            </w:r>
          </w:p>
        </w:tc>
      </w:tr>
    </w:tbl>
    <w:p w14:paraId="39F86A8A" w14:textId="15584BF8" w:rsidR="00605A5D" w:rsidRPr="008F1499" w:rsidRDefault="00605A5D" w:rsidP="00194A18">
      <w:pPr>
        <w:tabs>
          <w:tab w:val="clear" w:pos="794"/>
          <w:tab w:val="left" w:pos="426"/>
        </w:tabs>
        <w:rPr>
          <w:b/>
          <w:bCs/>
          <w:lang w:val="es-ES"/>
        </w:rPr>
      </w:pPr>
      <w:r w:rsidRPr="008F1499">
        <w:rPr>
          <w:rFonts w:cstheme="minorBidi"/>
          <w:sz w:val="20"/>
          <w:lang w:val="es-ES"/>
        </w:rPr>
        <w:t>(*)</w:t>
      </w:r>
      <w:r w:rsidR="00194A18">
        <w:rPr>
          <w:rFonts w:cstheme="minorBidi"/>
          <w:sz w:val="20"/>
          <w:lang w:val="es-ES"/>
        </w:rPr>
        <w:tab/>
      </w:r>
      <w:r w:rsidRPr="008F1499">
        <w:rPr>
          <w:rFonts w:cstheme="minorBidi"/>
          <w:sz w:val="20"/>
          <w:lang w:val="es-ES"/>
        </w:rPr>
        <w:t xml:space="preserve">Proyectos multirregionales </w:t>
      </w:r>
      <w:r>
        <w:rPr>
          <w:rFonts w:cstheme="minorBidi"/>
          <w:sz w:val="20"/>
          <w:lang w:val="es-ES"/>
        </w:rPr>
        <w:t xml:space="preserve">en beneficio de </w:t>
      </w:r>
      <w:r w:rsidRPr="008F1499">
        <w:rPr>
          <w:rFonts w:cstheme="minorBidi"/>
          <w:sz w:val="20"/>
          <w:lang w:val="es-ES"/>
        </w:rPr>
        <w:t>todas las regiones</w:t>
      </w:r>
    </w:p>
    <w:p w14:paraId="73CA4BCC" w14:textId="480D61C9" w:rsidR="007E2FE0" w:rsidRPr="00D46211" w:rsidRDefault="00D46211" w:rsidP="00D46211">
      <w:pPr>
        <w:pStyle w:val="Heading1"/>
        <w:tabs>
          <w:tab w:val="num" w:pos="360"/>
        </w:tabs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</w:t>
      </w:r>
      <w:r>
        <w:rPr>
          <w:sz w:val="24"/>
          <w:szCs w:val="24"/>
          <w:lang w:val="es-ES"/>
        </w:rPr>
        <w:tab/>
      </w:r>
      <w:r w:rsidR="007E2FE0" w:rsidRPr="00D46211">
        <w:rPr>
          <w:sz w:val="24"/>
          <w:szCs w:val="24"/>
          <w:lang w:val="es-ES"/>
        </w:rPr>
        <w:t>Debates del Consejo sobre fortalecimiento de la presencia regional</w:t>
      </w:r>
    </w:p>
    <w:p w14:paraId="26A22048" w14:textId="150C95C6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2.1</w:t>
      </w:r>
      <w:r w:rsidR="00D46211">
        <w:rPr>
          <w:lang w:val="es-ES"/>
        </w:rPr>
        <w:tab/>
      </w:r>
      <w:r w:rsidRPr="00E11160">
        <w:rPr>
          <w:lang w:val="es-ES"/>
        </w:rPr>
        <w:t xml:space="preserve">El </w:t>
      </w:r>
      <w:r w:rsidRPr="0087065C">
        <w:rPr>
          <w:lang w:val="es-ES"/>
        </w:rPr>
        <w:t>Grupo de Trabajo del Consejo sobre Recursos Humanos y Financieros</w:t>
      </w:r>
      <w:r>
        <w:rPr>
          <w:lang w:val="es-ES"/>
        </w:rPr>
        <w:t xml:space="preserve"> (</w:t>
      </w:r>
      <w:r w:rsidRPr="0087065C">
        <w:rPr>
          <w:lang w:val="es-ES"/>
        </w:rPr>
        <w:t>GTC-RHF</w:t>
      </w:r>
      <w:r>
        <w:rPr>
          <w:lang w:val="es-ES"/>
        </w:rPr>
        <w:t>)</w:t>
      </w:r>
      <w:r w:rsidRPr="00E11160">
        <w:rPr>
          <w:lang w:val="es-ES"/>
        </w:rPr>
        <w:t xml:space="preserve">, </w:t>
      </w:r>
      <w:r>
        <w:rPr>
          <w:lang w:val="es-ES"/>
        </w:rPr>
        <w:t>en</w:t>
      </w:r>
      <w:r w:rsidRPr="00E11160">
        <w:rPr>
          <w:lang w:val="es-ES"/>
        </w:rPr>
        <w:t xml:space="preserve"> su reunión del 11</w:t>
      </w:r>
      <w:r>
        <w:rPr>
          <w:lang w:val="es-ES"/>
        </w:rPr>
        <w:t xml:space="preserve"> al 13</w:t>
      </w:r>
      <w:r w:rsidRPr="00E11160">
        <w:rPr>
          <w:lang w:val="es-ES"/>
        </w:rPr>
        <w:t xml:space="preserve"> de octubre de 2023, examinó y debatió brevemente los dos documentos siguientes, ambos sobre el </w:t>
      </w:r>
      <w:r>
        <w:rPr>
          <w:lang w:val="es-ES"/>
        </w:rPr>
        <w:t>establecimiento de</w:t>
      </w:r>
      <w:r w:rsidRPr="00E11160">
        <w:rPr>
          <w:lang w:val="es-ES"/>
        </w:rPr>
        <w:t xml:space="preserve"> criterios para la creación de futuras oficinas de zona: </w:t>
      </w:r>
      <w:hyperlink r:id="rId34" w:history="1">
        <w:r w:rsidRPr="00E11160">
          <w:rPr>
            <w:rStyle w:val="Hyperlink"/>
            <w:rFonts w:cstheme="minorHAnsi"/>
            <w:szCs w:val="24"/>
            <w:lang w:val="es-ES"/>
          </w:rPr>
          <w:t xml:space="preserve">CWG-FHR-16/10 </w:t>
        </w:r>
      </w:hyperlink>
      <w:r w:rsidR="00D46211" w:rsidRPr="00D46211">
        <w:rPr>
          <w:lang w:val="es-ES"/>
        </w:rPr>
        <w:t>–</w:t>
      </w:r>
      <w:r w:rsidRPr="00E11160">
        <w:rPr>
          <w:lang w:val="es-ES"/>
        </w:rPr>
        <w:t xml:space="preserve"> Fortalecimiento de la presencia regional </w:t>
      </w:r>
      <w:r w:rsidR="00D46211" w:rsidRPr="00D46211">
        <w:rPr>
          <w:lang w:val="es-ES"/>
        </w:rPr>
        <w:t>–</w:t>
      </w:r>
      <w:r w:rsidRPr="00E11160">
        <w:rPr>
          <w:lang w:val="es-ES"/>
        </w:rPr>
        <w:t xml:space="preserve"> </w:t>
      </w:r>
      <w:r>
        <w:rPr>
          <w:lang w:val="es-ES"/>
        </w:rPr>
        <w:t>C</w:t>
      </w:r>
      <w:r w:rsidRPr="0087065C">
        <w:rPr>
          <w:lang w:val="es-ES"/>
        </w:rPr>
        <w:t>riterios para el establecimiento de futuras oficinas zonales y regionales</w:t>
      </w:r>
      <w:r w:rsidRPr="00E11160">
        <w:rPr>
          <w:lang w:val="es-ES"/>
        </w:rPr>
        <w:t xml:space="preserve">, presentado por </w:t>
      </w:r>
      <w:r>
        <w:rPr>
          <w:lang w:val="es-ES"/>
        </w:rPr>
        <w:t>la</w:t>
      </w:r>
      <w:r w:rsidRPr="00E11160">
        <w:rPr>
          <w:lang w:val="es-ES"/>
        </w:rPr>
        <w:t xml:space="preserve"> Secretari</w:t>
      </w:r>
      <w:r>
        <w:rPr>
          <w:lang w:val="es-ES"/>
        </w:rPr>
        <w:t>a</w:t>
      </w:r>
      <w:r w:rsidRPr="00E11160">
        <w:rPr>
          <w:lang w:val="es-ES"/>
        </w:rPr>
        <w:t xml:space="preserve"> General, y </w:t>
      </w:r>
      <w:hyperlink r:id="rId35" w:history="1">
        <w:r w:rsidRPr="00E11160">
          <w:rPr>
            <w:rStyle w:val="Hyperlink"/>
            <w:rFonts w:cstheme="minorHAnsi"/>
            <w:szCs w:val="24"/>
            <w:lang w:val="es-ES"/>
          </w:rPr>
          <w:t>CWG-FHR-16/24</w:t>
        </w:r>
        <w:r w:rsidR="008F1499">
          <w:rPr>
            <w:rStyle w:val="Hyperlink"/>
            <w:rFonts w:cstheme="minorHAnsi"/>
            <w:szCs w:val="24"/>
            <w:lang w:val="es-ES"/>
          </w:rPr>
          <w:t xml:space="preserve"> </w:t>
        </w:r>
        <w:r w:rsidRPr="00E11160">
          <w:rPr>
            <w:rStyle w:val="Hyperlink"/>
            <w:rFonts w:cstheme="minorHAnsi"/>
            <w:szCs w:val="24"/>
            <w:lang w:val="es-ES"/>
          </w:rPr>
          <w:t xml:space="preserve">(Rev.1) </w:t>
        </w:r>
      </w:hyperlink>
      <w:r w:rsidR="00D46211" w:rsidRPr="00D46211">
        <w:rPr>
          <w:lang w:val="es-ES"/>
        </w:rPr>
        <w:t>–</w:t>
      </w:r>
      <w:r w:rsidRPr="00E11160">
        <w:rPr>
          <w:lang w:val="es-ES"/>
        </w:rPr>
        <w:t xml:space="preserve"> Contribución de varios países </w:t>
      </w:r>
      <w:r w:rsidR="00D46211" w:rsidRPr="00D46211">
        <w:rPr>
          <w:lang w:val="es-ES"/>
        </w:rPr>
        <w:t>–</w:t>
      </w:r>
      <w:r w:rsidRPr="00E11160">
        <w:rPr>
          <w:lang w:val="es-ES"/>
        </w:rPr>
        <w:t xml:space="preserve"> Propuesta para </w:t>
      </w:r>
      <w:r>
        <w:rPr>
          <w:lang w:val="es-ES"/>
        </w:rPr>
        <w:t>el establecimiento</w:t>
      </w:r>
      <w:r w:rsidRPr="00E11160">
        <w:rPr>
          <w:lang w:val="es-ES"/>
        </w:rPr>
        <w:t xml:space="preserve"> de futuras oficinas </w:t>
      </w:r>
      <w:r>
        <w:rPr>
          <w:lang w:val="es-ES"/>
        </w:rPr>
        <w:t>zonales</w:t>
      </w:r>
      <w:r w:rsidRPr="00E11160">
        <w:rPr>
          <w:lang w:val="es-ES"/>
        </w:rPr>
        <w:t xml:space="preserve">, </w:t>
      </w:r>
      <w:r>
        <w:rPr>
          <w:lang w:val="es-ES"/>
        </w:rPr>
        <w:t>presentado por</w:t>
      </w:r>
      <w:r w:rsidRPr="00E11160">
        <w:rPr>
          <w:lang w:val="es-ES"/>
        </w:rPr>
        <w:t xml:space="preserve"> Argelia, China, Cuba, Federación </w:t>
      </w:r>
      <w:r>
        <w:rPr>
          <w:lang w:val="es-ES"/>
        </w:rPr>
        <w:t>de Rusia</w:t>
      </w:r>
      <w:r w:rsidRPr="00E11160">
        <w:rPr>
          <w:lang w:val="es-ES"/>
        </w:rPr>
        <w:t xml:space="preserve"> y Sudáfrica.</w:t>
      </w:r>
    </w:p>
    <w:p w14:paraId="34BD2F64" w14:textId="58FE0AEE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2.1.1</w:t>
      </w:r>
      <w:r w:rsidR="00D46211">
        <w:rPr>
          <w:lang w:val="es-ES"/>
        </w:rPr>
        <w:tab/>
      </w:r>
      <w:r w:rsidRPr="00E11160">
        <w:rPr>
          <w:lang w:val="es-ES"/>
        </w:rPr>
        <w:t xml:space="preserve">Los documentos se enviaron a la reunión de enero de 2024 </w:t>
      </w:r>
      <w:r w:rsidRPr="00E11160" w:rsidDel="005F4465">
        <w:rPr>
          <w:lang w:val="es-ES"/>
        </w:rPr>
        <w:t xml:space="preserve">del </w:t>
      </w:r>
      <w:r w:rsidRPr="0087065C">
        <w:rPr>
          <w:lang w:val="es-ES"/>
        </w:rPr>
        <w:t>GTC-RHF</w:t>
      </w:r>
      <w:r w:rsidRPr="00E11160">
        <w:rPr>
          <w:lang w:val="es-ES"/>
        </w:rPr>
        <w:t xml:space="preserve">, </w:t>
      </w:r>
      <w:r>
        <w:rPr>
          <w:lang w:val="es-ES"/>
        </w:rPr>
        <w:t>a fin de proseguir</w:t>
      </w:r>
      <w:r w:rsidRPr="00E11160">
        <w:rPr>
          <w:lang w:val="es-ES"/>
        </w:rPr>
        <w:t xml:space="preserve"> los debates y la posible deliberación sobre una propuesta al Consejo.</w:t>
      </w:r>
    </w:p>
    <w:p w14:paraId="58CFE2DF" w14:textId="11817126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2.1.2</w:t>
      </w:r>
      <w:r w:rsidR="00D46211">
        <w:rPr>
          <w:lang w:val="es-ES"/>
        </w:rPr>
        <w:tab/>
      </w:r>
      <w:r w:rsidRPr="00E11160">
        <w:rPr>
          <w:lang w:val="es-ES"/>
        </w:rPr>
        <w:t xml:space="preserve">El </w:t>
      </w:r>
      <w:r w:rsidRPr="0087065C">
        <w:rPr>
          <w:lang w:val="es-ES"/>
        </w:rPr>
        <w:t>GTC-RHF</w:t>
      </w:r>
      <w:r w:rsidRPr="00E11160">
        <w:rPr>
          <w:lang w:val="es-ES"/>
        </w:rPr>
        <w:t xml:space="preserve">, </w:t>
      </w:r>
      <w:r>
        <w:rPr>
          <w:lang w:val="es-ES"/>
        </w:rPr>
        <w:t>en</w:t>
      </w:r>
      <w:r w:rsidRPr="00E11160">
        <w:rPr>
          <w:lang w:val="es-ES"/>
        </w:rPr>
        <w:t xml:space="preserve"> su reunión del 24 al 26 de enero de 2024, resolvió lo siguiente:</w:t>
      </w:r>
    </w:p>
    <w:p w14:paraId="3A3F7328" w14:textId="4B14F758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2.1.3</w:t>
      </w:r>
      <w:r w:rsidR="00D46211">
        <w:rPr>
          <w:lang w:val="es-ES"/>
        </w:rPr>
        <w:tab/>
      </w:r>
      <w:r w:rsidRPr="00E11160">
        <w:rPr>
          <w:lang w:val="es-ES"/>
        </w:rPr>
        <w:t xml:space="preserve">Algunos Estados </w:t>
      </w:r>
      <w:r>
        <w:rPr>
          <w:lang w:val="es-ES"/>
        </w:rPr>
        <w:t>M</w:t>
      </w:r>
      <w:r w:rsidRPr="00E11160">
        <w:rPr>
          <w:lang w:val="es-ES"/>
        </w:rPr>
        <w:t xml:space="preserve">iembros propusieron que el informe se remitiera al Consejo para su aprobación, </w:t>
      </w:r>
      <w:r>
        <w:rPr>
          <w:lang w:val="es-ES"/>
        </w:rPr>
        <w:t>al tiempo</w:t>
      </w:r>
      <w:r w:rsidRPr="00E11160">
        <w:rPr>
          <w:lang w:val="es-ES"/>
        </w:rPr>
        <w:t xml:space="preserve"> que otros espera</w:t>
      </w:r>
      <w:r>
        <w:rPr>
          <w:lang w:val="es-ES"/>
        </w:rPr>
        <w:t>ron</w:t>
      </w:r>
      <w:r w:rsidRPr="00E11160">
        <w:rPr>
          <w:lang w:val="es-ES"/>
        </w:rPr>
        <w:t xml:space="preserve"> información adicional del comité asesor, coordinación con otros sectores de la UIT y </w:t>
      </w:r>
      <w:r>
        <w:rPr>
          <w:lang w:val="es-ES"/>
        </w:rPr>
        <w:t>la mejora</w:t>
      </w:r>
      <w:r w:rsidRPr="00E11160">
        <w:rPr>
          <w:lang w:val="es-ES"/>
        </w:rPr>
        <w:t xml:space="preserve"> general del documento. Se señaló que los criterios propuestos deberían ser mensurables y que deberían </w:t>
      </w:r>
      <w:r>
        <w:rPr>
          <w:lang w:val="es-ES"/>
        </w:rPr>
        <w:t>incluir</w:t>
      </w:r>
      <w:r w:rsidRPr="00E11160">
        <w:rPr>
          <w:lang w:val="es-ES"/>
        </w:rPr>
        <w:t xml:space="preserve"> el papel de las organizaciones </w:t>
      </w:r>
      <w:r w:rsidRPr="00E11160">
        <w:rPr>
          <w:lang w:val="es-ES"/>
        </w:rPr>
        <w:lastRenderedPageBreak/>
        <w:t xml:space="preserve">regionales. </w:t>
      </w:r>
      <w:r>
        <w:rPr>
          <w:lang w:val="es-ES"/>
        </w:rPr>
        <w:t>A raíz de</w:t>
      </w:r>
      <w:r w:rsidRPr="00E11160">
        <w:rPr>
          <w:lang w:val="es-ES"/>
        </w:rPr>
        <w:t xml:space="preserve"> nue</w:t>
      </w:r>
      <w:r>
        <w:rPr>
          <w:lang w:val="es-ES"/>
        </w:rPr>
        <w:t>vos debates</w:t>
      </w:r>
      <w:r w:rsidRPr="00E11160">
        <w:rPr>
          <w:lang w:val="es-ES"/>
        </w:rPr>
        <w:t xml:space="preserve"> generales </w:t>
      </w:r>
      <w:r>
        <w:rPr>
          <w:lang w:val="es-ES"/>
        </w:rPr>
        <w:t>al respecto</w:t>
      </w:r>
      <w:r w:rsidRPr="00E11160">
        <w:rPr>
          <w:lang w:val="es-ES"/>
        </w:rPr>
        <w:t xml:space="preserve">, se decidió que el </w:t>
      </w:r>
      <w:r w:rsidRPr="0087065C">
        <w:rPr>
          <w:lang w:val="es-ES"/>
        </w:rPr>
        <w:t>GTC-RHF</w:t>
      </w:r>
      <w:r w:rsidRPr="00E11160">
        <w:rPr>
          <w:lang w:val="es-ES"/>
        </w:rPr>
        <w:t xml:space="preserve"> envia</w:t>
      </w:r>
      <w:r>
        <w:rPr>
          <w:lang w:val="es-ES"/>
        </w:rPr>
        <w:t>ra</w:t>
      </w:r>
      <w:r w:rsidRPr="00E11160">
        <w:rPr>
          <w:lang w:val="es-ES"/>
        </w:rPr>
        <w:t xml:space="preserve"> una Declaración de </w:t>
      </w:r>
      <w:r>
        <w:rPr>
          <w:lang w:val="es-ES"/>
        </w:rPr>
        <w:t>Coordinación</w:t>
      </w:r>
      <w:r w:rsidRPr="00E11160">
        <w:rPr>
          <w:lang w:val="es-ES"/>
        </w:rPr>
        <w:t xml:space="preserve"> al </w:t>
      </w:r>
      <w:r w:rsidRPr="000764CD">
        <w:rPr>
          <w:lang w:val="es-ES"/>
        </w:rPr>
        <w:t xml:space="preserve">GADT </w:t>
      </w:r>
      <w:r w:rsidRPr="00E11160">
        <w:rPr>
          <w:lang w:val="es-ES"/>
        </w:rPr>
        <w:t xml:space="preserve">y al </w:t>
      </w:r>
      <w:r w:rsidRPr="000764CD">
        <w:rPr>
          <w:lang w:val="es-ES"/>
        </w:rPr>
        <w:t>Grupo de Coordinación Intersectorial (GCIS)</w:t>
      </w:r>
      <w:r w:rsidRPr="00E11160">
        <w:rPr>
          <w:lang w:val="es-ES"/>
        </w:rPr>
        <w:t xml:space="preserve">, </w:t>
      </w:r>
      <w:r>
        <w:rPr>
          <w:lang w:val="es-ES"/>
        </w:rPr>
        <w:t>a fin de solicitar</w:t>
      </w:r>
      <w:r w:rsidRPr="00E11160">
        <w:rPr>
          <w:lang w:val="es-ES"/>
        </w:rPr>
        <w:t xml:space="preserve"> al </w:t>
      </w:r>
      <w:r>
        <w:rPr>
          <w:lang w:val="es-ES"/>
        </w:rPr>
        <w:t>G</w:t>
      </w:r>
      <w:r w:rsidRPr="00E11160">
        <w:rPr>
          <w:lang w:val="es-ES"/>
        </w:rPr>
        <w:t xml:space="preserve">rupo asesor y al </w:t>
      </w:r>
      <w:r>
        <w:rPr>
          <w:lang w:val="es-ES"/>
        </w:rPr>
        <w:t>GCIS</w:t>
      </w:r>
      <w:r w:rsidRPr="00E11160">
        <w:rPr>
          <w:lang w:val="es-ES"/>
        </w:rPr>
        <w:t xml:space="preserve"> que la revisaran y </w:t>
      </w:r>
      <w:r>
        <w:rPr>
          <w:lang w:val="es-ES"/>
        </w:rPr>
        <w:t>formularan sus observaciones</w:t>
      </w:r>
      <w:r w:rsidRPr="00E11160">
        <w:rPr>
          <w:lang w:val="es-ES"/>
        </w:rPr>
        <w:t xml:space="preserve"> en la próxima reunión del Consejo.</w:t>
      </w:r>
    </w:p>
    <w:p w14:paraId="2F319FD2" w14:textId="70F0A433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2.2</w:t>
      </w:r>
      <w:r w:rsidR="00D46211">
        <w:rPr>
          <w:lang w:val="es-ES"/>
        </w:rPr>
        <w:tab/>
      </w:r>
      <w:r w:rsidRPr="00E11160">
        <w:rPr>
          <w:lang w:val="es-ES"/>
        </w:rPr>
        <w:t xml:space="preserve">El </w:t>
      </w:r>
      <w:r w:rsidRPr="0087065C">
        <w:rPr>
          <w:lang w:val="es-ES"/>
        </w:rPr>
        <w:t>GTC-RHF</w:t>
      </w:r>
      <w:r>
        <w:rPr>
          <w:lang w:val="es-ES"/>
        </w:rPr>
        <w:t>, en</w:t>
      </w:r>
      <w:r w:rsidRPr="00E11160">
        <w:rPr>
          <w:lang w:val="es-ES"/>
        </w:rPr>
        <w:t xml:space="preserve"> su reunión de marzo de 2025, </w:t>
      </w:r>
      <w:r>
        <w:rPr>
          <w:lang w:val="es-ES"/>
        </w:rPr>
        <w:t>examinó</w:t>
      </w:r>
      <w:r w:rsidRPr="00E11160">
        <w:rPr>
          <w:lang w:val="es-ES"/>
        </w:rPr>
        <w:t xml:space="preserve"> el informe </w:t>
      </w:r>
      <w:r>
        <w:rPr>
          <w:lang w:val="es-ES"/>
        </w:rPr>
        <w:t>que presentó</w:t>
      </w:r>
      <w:r w:rsidRPr="00E11160">
        <w:rPr>
          <w:lang w:val="es-ES"/>
        </w:rPr>
        <w:t xml:space="preserve"> el Grupo </w:t>
      </w:r>
      <w:r>
        <w:rPr>
          <w:lang w:val="es-ES"/>
        </w:rPr>
        <w:t>por</w:t>
      </w:r>
      <w:r w:rsidRPr="00E11160">
        <w:rPr>
          <w:lang w:val="es-ES"/>
        </w:rPr>
        <w:t xml:space="preserve"> Correspondencia en Línea (OCG), </w:t>
      </w:r>
      <w:r>
        <w:rPr>
          <w:lang w:val="es-ES"/>
        </w:rPr>
        <w:t>incluida la revisión de su mandato</w:t>
      </w:r>
      <w:r w:rsidRPr="00E11160">
        <w:rPr>
          <w:lang w:val="es-ES"/>
        </w:rPr>
        <w:t xml:space="preserve">. </w:t>
      </w:r>
    </w:p>
    <w:p w14:paraId="1DCD1069" w14:textId="31814CA7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2.2.1</w:t>
      </w:r>
      <w:r w:rsidR="00D46211">
        <w:rPr>
          <w:lang w:val="es-ES"/>
        </w:rPr>
        <w:tab/>
      </w:r>
      <w:r>
        <w:rPr>
          <w:lang w:val="es-ES"/>
        </w:rPr>
        <w:t>En</w:t>
      </w:r>
      <w:r w:rsidRPr="00E11160">
        <w:rPr>
          <w:lang w:val="es-ES"/>
        </w:rPr>
        <w:t xml:space="preserve"> el debate, varios delegados pidieron aclaraciones y </w:t>
      </w:r>
      <w:r>
        <w:rPr>
          <w:lang w:val="es-ES"/>
        </w:rPr>
        <w:t>formularon observaciones</w:t>
      </w:r>
      <w:r w:rsidRPr="00E11160">
        <w:rPr>
          <w:lang w:val="es-ES"/>
        </w:rPr>
        <w:t xml:space="preserve"> sobre aspectos clave de </w:t>
      </w:r>
      <w:r>
        <w:rPr>
          <w:lang w:val="es-ES"/>
        </w:rPr>
        <w:t>dicha revisión del mandato, en particular</w:t>
      </w:r>
      <w:r w:rsidRPr="00E11160">
        <w:rPr>
          <w:lang w:val="es-ES"/>
        </w:rPr>
        <w:t>:</w:t>
      </w:r>
    </w:p>
    <w:p w14:paraId="5EFB4CCE" w14:textId="2D6A834B" w:rsidR="007E2FE0" w:rsidRPr="00E11160" w:rsidRDefault="00D46211" w:rsidP="00D46211">
      <w:pPr>
        <w:pStyle w:val="enumlev1"/>
        <w:rPr>
          <w:lang w:val="es-ES"/>
        </w:rPr>
      </w:pPr>
      <w:r w:rsidRPr="00D46211">
        <w:rPr>
          <w:lang w:val="es-ES"/>
        </w:rPr>
        <w:t>–</w:t>
      </w:r>
      <w:r>
        <w:rPr>
          <w:lang w:val="es-ES"/>
        </w:rPr>
        <w:tab/>
      </w:r>
      <w:r w:rsidR="007E2FE0" w:rsidRPr="00E11160">
        <w:rPr>
          <w:lang w:val="es-ES"/>
        </w:rPr>
        <w:t>El alcance de las consultas a las partes interesadas,</w:t>
      </w:r>
    </w:p>
    <w:p w14:paraId="69BE71AC" w14:textId="601C1987" w:rsidR="007E2FE0" w:rsidRPr="00E11160" w:rsidRDefault="00D46211" w:rsidP="00D46211">
      <w:pPr>
        <w:pStyle w:val="enumlev1"/>
        <w:rPr>
          <w:rFonts w:cstheme="minorHAnsi"/>
          <w:szCs w:val="24"/>
          <w:lang w:val="es-ES"/>
        </w:rPr>
      </w:pPr>
      <w:r w:rsidRPr="00D46211">
        <w:rPr>
          <w:lang w:val="es-ES"/>
        </w:rPr>
        <w:t>–</w:t>
      </w:r>
      <w:r>
        <w:rPr>
          <w:lang w:val="es-ES"/>
        </w:rPr>
        <w:tab/>
      </w:r>
      <w:r w:rsidR="007E2FE0" w:rsidRPr="00E11160">
        <w:rPr>
          <w:rFonts w:cstheme="minorHAnsi"/>
          <w:szCs w:val="24"/>
          <w:lang w:val="es-ES"/>
        </w:rPr>
        <w:t xml:space="preserve">La </w:t>
      </w:r>
      <w:r w:rsidR="007E2FE0">
        <w:rPr>
          <w:rFonts w:cstheme="minorHAnsi"/>
          <w:szCs w:val="24"/>
          <w:lang w:val="es-ES"/>
        </w:rPr>
        <w:t>armonización</w:t>
      </w:r>
      <w:r w:rsidR="007E2FE0" w:rsidRPr="00E11160">
        <w:rPr>
          <w:rFonts w:cstheme="minorHAnsi"/>
          <w:szCs w:val="24"/>
          <w:lang w:val="es-ES"/>
        </w:rPr>
        <w:t xml:space="preserve"> de los Indicadores </w:t>
      </w:r>
      <w:r w:rsidR="007E2FE0">
        <w:rPr>
          <w:rFonts w:cstheme="minorHAnsi"/>
          <w:szCs w:val="24"/>
          <w:lang w:val="es-ES"/>
        </w:rPr>
        <w:t>Fundamentales</w:t>
      </w:r>
      <w:r w:rsidR="007E2FE0" w:rsidRPr="00E11160">
        <w:rPr>
          <w:rFonts w:cstheme="minorHAnsi"/>
          <w:szCs w:val="24"/>
          <w:lang w:val="es-ES"/>
        </w:rPr>
        <w:t xml:space="preserve"> de Rendimiento (</w:t>
      </w:r>
      <w:r w:rsidR="007E2FE0">
        <w:rPr>
          <w:rFonts w:cstheme="minorHAnsi"/>
          <w:szCs w:val="24"/>
          <w:lang w:val="es-ES"/>
        </w:rPr>
        <w:t>IFR</w:t>
      </w:r>
      <w:r w:rsidR="007E2FE0" w:rsidRPr="00E11160">
        <w:rPr>
          <w:rFonts w:cstheme="minorHAnsi"/>
          <w:szCs w:val="24"/>
          <w:lang w:val="es-ES"/>
        </w:rPr>
        <w:t>), y</w:t>
      </w:r>
    </w:p>
    <w:p w14:paraId="4A1BB078" w14:textId="310C3B1E" w:rsidR="007E2FE0" w:rsidRPr="00E11160" w:rsidRDefault="00D46211" w:rsidP="00D46211">
      <w:pPr>
        <w:pStyle w:val="enumlev1"/>
        <w:rPr>
          <w:rFonts w:cstheme="minorHAnsi"/>
          <w:szCs w:val="24"/>
          <w:lang w:val="es-ES"/>
        </w:rPr>
      </w:pPr>
      <w:r w:rsidRPr="00D46211">
        <w:rPr>
          <w:lang w:val="es-ES"/>
        </w:rPr>
        <w:t>–</w:t>
      </w:r>
      <w:r>
        <w:rPr>
          <w:lang w:val="es-ES"/>
        </w:rPr>
        <w:tab/>
      </w:r>
      <w:r w:rsidR="007E2FE0" w:rsidRPr="00E11160">
        <w:rPr>
          <w:rFonts w:cstheme="minorHAnsi"/>
          <w:szCs w:val="24"/>
          <w:lang w:val="es-ES"/>
        </w:rPr>
        <w:t>El proceso de revisión y evaluación.</w:t>
      </w:r>
    </w:p>
    <w:p w14:paraId="234DD565" w14:textId="1A59ABBA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2.2.2</w:t>
      </w:r>
      <w:r w:rsidR="00D46211">
        <w:rPr>
          <w:lang w:val="es-ES"/>
        </w:rPr>
        <w:tab/>
      </w:r>
      <w:r w:rsidRPr="00E11160">
        <w:rPr>
          <w:lang w:val="es-ES"/>
        </w:rPr>
        <w:t xml:space="preserve">Tras esos debates, se </w:t>
      </w:r>
      <w:r>
        <w:rPr>
          <w:lang w:val="es-ES"/>
        </w:rPr>
        <w:t>convino en</w:t>
      </w:r>
      <w:r w:rsidRPr="00E11160">
        <w:rPr>
          <w:lang w:val="es-ES"/>
        </w:rPr>
        <w:t xml:space="preserve"> que el presidente del Grupo por correspondencia en línea se </w:t>
      </w:r>
      <w:r>
        <w:rPr>
          <w:lang w:val="es-ES"/>
        </w:rPr>
        <w:t>pusiera</w:t>
      </w:r>
      <w:r w:rsidRPr="00E11160">
        <w:rPr>
          <w:lang w:val="es-ES"/>
        </w:rPr>
        <w:t xml:space="preserve"> en contacto </w:t>
      </w:r>
      <w:r>
        <w:rPr>
          <w:lang w:val="es-ES"/>
        </w:rPr>
        <w:t xml:space="preserve">en el marco de una consulta oficiosa </w:t>
      </w:r>
      <w:r w:rsidRPr="00E11160">
        <w:rPr>
          <w:lang w:val="es-ES"/>
        </w:rPr>
        <w:t xml:space="preserve">con los miembros que habían </w:t>
      </w:r>
      <w:r>
        <w:rPr>
          <w:lang w:val="es-ES"/>
        </w:rPr>
        <w:t>formulado observaciones</w:t>
      </w:r>
      <w:r w:rsidRPr="00E11160">
        <w:rPr>
          <w:lang w:val="es-ES"/>
        </w:rPr>
        <w:t xml:space="preserve"> y </w:t>
      </w:r>
      <w:r>
        <w:rPr>
          <w:lang w:val="es-ES"/>
        </w:rPr>
        <w:t>comentarios</w:t>
      </w:r>
      <w:r w:rsidRPr="00E11160">
        <w:rPr>
          <w:lang w:val="es-ES"/>
        </w:rPr>
        <w:t xml:space="preserve">. El resultado de esas consultas </w:t>
      </w:r>
      <w:r>
        <w:rPr>
          <w:lang w:val="es-ES"/>
        </w:rPr>
        <w:t>facilitaría posteriormente</w:t>
      </w:r>
      <w:r w:rsidRPr="00E11160">
        <w:rPr>
          <w:lang w:val="es-ES"/>
        </w:rPr>
        <w:t xml:space="preserve"> la </w:t>
      </w:r>
      <w:r>
        <w:rPr>
          <w:lang w:val="es-ES"/>
        </w:rPr>
        <w:t>elaboración</w:t>
      </w:r>
      <w:r w:rsidRPr="00E11160">
        <w:rPr>
          <w:lang w:val="es-ES"/>
        </w:rPr>
        <w:t xml:space="preserve"> de un informe revisado para su posterior </w:t>
      </w:r>
      <w:r>
        <w:rPr>
          <w:lang w:val="es-ES"/>
        </w:rPr>
        <w:t>examen</w:t>
      </w:r>
      <w:r w:rsidRPr="00E11160">
        <w:rPr>
          <w:lang w:val="es-ES"/>
        </w:rPr>
        <w:t xml:space="preserve"> por el Grupo de Trabajo del Consejo.</w:t>
      </w:r>
    </w:p>
    <w:p w14:paraId="7C004972" w14:textId="46C46A71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2.2.3</w:t>
      </w:r>
      <w:r w:rsidR="00D46211">
        <w:rPr>
          <w:lang w:val="es-ES"/>
        </w:rPr>
        <w:tab/>
      </w:r>
      <w:r>
        <w:rPr>
          <w:lang w:val="es-ES"/>
        </w:rPr>
        <w:t>Tras</w:t>
      </w:r>
      <w:r w:rsidRPr="00E11160">
        <w:rPr>
          <w:lang w:val="es-ES"/>
        </w:rPr>
        <w:t xml:space="preserve"> las consultas </w:t>
      </w:r>
      <w:r>
        <w:rPr>
          <w:lang w:val="es-ES"/>
        </w:rPr>
        <w:t>oficiosas</w:t>
      </w:r>
      <w:r w:rsidRPr="00E11160">
        <w:rPr>
          <w:lang w:val="es-ES"/>
        </w:rPr>
        <w:t xml:space="preserve">, se introdujeron modificaciones en el mandato. El documento revisado se sometió posteriormente </w:t>
      </w:r>
      <w:r>
        <w:rPr>
          <w:lang w:val="es-ES"/>
        </w:rPr>
        <w:t>a examen</w:t>
      </w:r>
      <w:r w:rsidRPr="00E11160">
        <w:rPr>
          <w:lang w:val="es-ES"/>
        </w:rPr>
        <w:t xml:space="preserve"> de </w:t>
      </w:r>
      <w:r w:rsidRPr="00E11160">
        <w:rPr>
          <w:rFonts w:eastAsia="Calibri"/>
          <w:lang w:val="es-ES"/>
        </w:rPr>
        <w:t xml:space="preserve">la 20ª </w:t>
      </w:r>
      <w:r>
        <w:rPr>
          <w:rFonts w:eastAsia="Calibri"/>
          <w:lang w:val="es-ES"/>
        </w:rPr>
        <w:t>Reunión</w:t>
      </w:r>
      <w:r w:rsidRPr="00E11160">
        <w:rPr>
          <w:rFonts w:eastAsia="Calibri"/>
          <w:lang w:val="es-ES"/>
        </w:rPr>
        <w:t xml:space="preserve"> del </w:t>
      </w:r>
      <w:r w:rsidRPr="0087065C">
        <w:rPr>
          <w:lang w:val="es-ES"/>
        </w:rPr>
        <w:t>GTC-RHF</w:t>
      </w:r>
      <w:r w:rsidRPr="00E11160">
        <w:rPr>
          <w:lang w:val="es-ES"/>
        </w:rPr>
        <w:t xml:space="preserve">. </w:t>
      </w:r>
      <w:r w:rsidR="00605A5D">
        <w:rPr>
          <w:lang w:val="es-ES"/>
        </w:rPr>
        <w:t>Se aprobó el</w:t>
      </w:r>
      <w:r>
        <w:rPr>
          <w:lang w:val="es-ES"/>
        </w:rPr>
        <w:t xml:space="preserve"> mandato revisado</w:t>
      </w:r>
      <w:r w:rsidRPr="00E11160">
        <w:rPr>
          <w:lang w:val="es-ES"/>
        </w:rPr>
        <w:t xml:space="preserve"> </w:t>
      </w:r>
      <w:r>
        <w:rPr>
          <w:lang w:val="es-ES"/>
        </w:rPr>
        <w:t>que figura</w:t>
      </w:r>
      <w:r w:rsidRPr="00E11160">
        <w:rPr>
          <w:lang w:val="es-ES"/>
        </w:rPr>
        <w:t xml:space="preserve"> en el Anexo A </w:t>
      </w:r>
      <w:r w:rsidR="00605A5D" w:rsidRPr="008F1499">
        <w:rPr>
          <w:szCs w:val="24"/>
          <w:lang w:val="es-ES"/>
        </w:rPr>
        <w:t>(</w:t>
      </w:r>
      <w:hyperlink r:id="rId36" w:history="1">
        <w:r w:rsidR="00FC379D">
          <w:rPr>
            <w:rStyle w:val="Hyperlink"/>
            <w:rFonts w:cstheme="minorHAnsi"/>
            <w:szCs w:val="24"/>
            <w:lang w:val="es-ES"/>
          </w:rPr>
          <w:t>TDAG25/24</w:t>
        </w:r>
        <w:r w:rsidR="009E236B">
          <w:rPr>
            <w:rStyle w:val="Hyperlink"/>
            <w:rFonts w:cstheme="minorHAnsi"/>
            <w:szCs w:val="24"/>
            <w:lang w:val="es-ES"/>
          </w:rPr>
          <w:t xml:space="preserve"> </w:t>
        </w:r>
        <w:r w:rsidR="00FC379D">
          <w:rPr>
            <w:rStyle w:val="Hyperlink"/>
            <w:rFonts w:cstheme="minorHAnsi"/>
            <w:szCs w:val="24"/>
            <w:lang w:val="es-ES"/>
          </w:rPr>
          <w:t>(Ann.1)</w:t>
        </w:r>
      </w:hyperlink>
      <w:r w:rsidR="00605A5D" w:rsidRPr="008F1499">
        <w:rPr>
          <w:lang w:val="es-ES"/>
        </w:rPr>
        <w:t>)</w:t>
      </w:r>
      <w:r w:rsidR="00605A5D" w:rsidRPr="008F1499">
        <w:rPr>
          <w:szCs w:val="24"/>
          <w:lang w:val="es-ES"/>
        </w:rPr>
        <w:t xml:space="preserve"> </w:t>
      </w:r>
      <w:r w:rsidRPr="00E11160">
        <w:rPr>
          <w:lang w:val="es-ES"/>
        </w:rPr>
        <w:t>de este documento</w:t>
      </w:r>
      <w:r w:rsidR="00605A5D">
        <w:rPr>
          <w:lang w:val="es-ES"/>
        </w:rPr>
        <w:t>,</w:t>
      </w:r>
      <w:r w:rsidRPr="00E11160">
        <w:rPr>
          <w:lang w:val="es-ES"/>
        </w:rPr>
        <w:t xml:space="preserve"> sujeto a </w:t>
      </w:r>
      <w:r>
        <w:rPr>
          <w:lang w:val="es-ES"/>
        </w:rPr>
        <w:t>ligeros</w:t>
      </w:r>
      <w:r w:rsidRPr="00E11160">
        <w:rPr>
          <w:lang w:val="es-ES"/>
        </w:rPr>
        <w:t xml:space="preserve"> ajustes tipográficos.</w:t>
      </w:r>
    </w:p>
    <w:p w14:paraId="320E9EBD" w14:textId="4CC45466" w:rsidR="007E2FE0" w:rsidRPr="00E11160" w:rsidRDefault="00605A5D" w:rsidP="00111FD5">
      <w:pPr>
        <w:pStyle w:val="Headingb"/>
        <w:rPr>
          <w:rFonts w:cstheme="minorHAnsi"/>
          <w:szCs w:val="24"/>
          <w:lang w:val="es-ES"/>
        </w:rPr>
      </w:pPr>
      <w:r>
        <w:rPr>
          <w:lang w:val="es-ES"/>
        </w:rPr>
        <w:t>3.</w:t>
      </w:r>
      <w:r w:rsidR="00111FD5">
        <w:rPr>
          <w:lang w:val="es-ES"/>
        </w:rPr>
        <w:tab/>
      </w:r>
      <w:r w:rsidR="007E2FE0" w:rsidRPr="00111FD5">
        <w:rPr>
          <w:lang w:val="es-ES"/>
        </w:rPr>
        <w:t>Resumen de los documentos de referencia</w:t>
      </w:r>
    </w:p>
    <w:p w14:paraId="75EC8A1B" w14:textId="00CD4A46" w:rsidR="007E2FE0" w:rsidRPr="00E11160" w:rsidRDefault="007E2FE0" w:rsidP="003637AF">
      <w:pPr>
        <w:rPr>
          <w:rFonts w:cstheme="minorHAnsi"/>
          <w:szCs w:val="24"/>
          <w:lang w:val="es-ES"/>
        </w:rPr>
      </w:pPr>
      <w:r w:rsidRPr="00E11160">
        <w:rPr>
          <w:rFonts w:cstheme="minorHAnsi"/>
          <w:szCs w:val="24"/>
          <w:lang w:val="es-ES"/>
        </w:rPr>
        <w:t>3.1</w:t>
      </w:r>
      <w:r w:rsidR="00111FD5">
        <w:rPr>
          <w:rFonts w:cstheme="minorHAnsi"/>
          <w:szCs w:val="24"/>
          <w:lang w:val="es-ES"/>
        </w:rPr>
        <w:tab/>
      </w:r>
      <w:hyperlink r:id="rId37" w:history="1">
        <w:r w:rsidRPr="00E11160">
          <w:rPr>
            <w:rStyle w:val="Hyperlink"/>
            <w:rFonts w:cstheme="minorHAnsi"/>
            <w:szCs w:val="24"/>
            <w:lang w:val="es-ES"/>
          </w:rPr>
          <w:t>CWG-FHR-16/10</w:t>
        </w:r>
      </w:hyperlink>
    </w:p>
    <w:p w14:paraId="0E7B18A9" w14:textId="4AA41EEB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3.1.1</w:t>
      </w:r>
      <w:r w:rsidR="00111FD5">
        <w:rPr>
          <w:lang w:val="es-ES"/>
        </w:rPr>
        <w:tab/>
      </w:r>
      <w:r w:rsidRPr="00E11160">
        <w:rPr>
          <w:lang w:val="es-ES"/>
        </w:rPr>
        <w:t xml:space="preserve">En el documento se establece que la ampliación de la presencia regional de la UIT debe </w:t>
      </w:r>
      <w:r>
        <w:rPr>
          <w:lang w:val="es-ES"/>
        </w:rPr>
        <w:t xml:space="preserve">tenerse en cuenta si se constatan </w:t>
      </w:r>
      <w:r w:rsidRPr="00E11160">
        <w:rPr>
          <w:lang w:val="es-ES"/>
        </w:rPr>
        <w:t xml:space="preserve">lagunas en la cobertura </w:t>
      </w:r>
      <w:r>
        <w:rPr>
          <w:lang w:val="es-ES"/>
        </w:rPr>
        <w:t xml:space="preserve">de la labor </w:t>
      </w:r>
      <w:r w:rsidRPr="00E11160">
        <w:rPr>
          <w:lang w:val="es-ES"/>
        </w:rPr>
        <w:t>de la UIT, que abarquen suficientes países para justificar la ampliación. Debe realizarse una evaluación para determinar si existen</w:t>
      </w:r>
      <w:r>
        <w:rPr>
          <w:lang w:val="es-ES"/>
        </w:rPr>
        <w:t xml:space="preserve"> dichas</w:t>
      </w:r>
      <w:r w:rsidRPr="00E11160">
        <w:rPr>
          <w:lang w:val="es-ES"/>
        </w:rPr>
        <w:t xml:space="preserve"> lagunas en </w:t>
      </w:r>
      <w:r>
        <w:rPr>
          <w:lang w:val="es-ES"/>
        </w:rPr>
        <w:t>materia de</w:t>
      </w:r>
      <w:r w:rsidRPr="00E11160">
        <w:rPr>
          <w:lang w:val="es-ES"/>
        </w:rPr>
        <w:t xml:space="preserve"> presencia regional de la UIT. Si la evaluación </w:t>
      </w:r>
      <w:r>
        <w:rPr>
          <w:lang w:val="es-ES"/>
        </w:rPr>
        <w:t>concluye</w:t>
      </w:r>
      <w:r w:rsidRPr="00E11160">
        <w:rPr>
          <w:lang w:val="es-ES"/>
        </w:rPr>
        <w:t xml:space="preserve"> una laguna geográfica </w:t>
      </w:r>
      <w:r>
        <w:rPr>
          <w:lang w:val="es-ES"/>
        </w:rPr>
        <w:t>que impide prestar servicio de forma eficaz a</w:t>
      </w:r>
      <w:r w:rsidRPr="00E11160">
        <w:rPr>
          <w:lang w:val="es-ES"/>
        </w:rPr>
        <w:t xml:space="preserve"> varios países, </w:t>
      </w:r>
      <w:r>
        <w:rPr>
          <w:lang w:val="es-ES"/>
        </w:rPr>
        <w:t>ello deberá</w:t>
      </w:r>
      <w:r w:rsidRPr="00E11160">
        <w:rPr>
          <w:lang w:val="es-ES"/>
        </w:rPr>
        <w:t xml:space="preserve"> identificarse como "</w:t>
      </w:r>
      <w:r>
        <w:rPr>
          <w:lang w:val="es-ES"/>
        </w:rPr>
        <w:t>esfera</w:t>
      </w:r>
      <w:r w:rsidRPr="00E11160">
        <w:rPr>
          <w:lang w:val="es-ES"/>
        </w:rPr>
        <w:t xml:space="preserve">" potencial </w:t>
      </w:r>
      <w:r>
        <w:rPr>
          <w:lang w:val="es-ES"/>
        </w:rPr>
        <w:t xml:space="preserve">y adecuada </w:t>
      </w:r>
      <w:r w:rsidRPr="00E11160">
        <w:rPr>
          <w:lang w:val="es-ES"/>
        </w:rPr>
        <w:t xml:space="preserve">para </w:t>
      </w:r>
      <w:r>
        <w:rPr>
          <w:lang w:val="es-ES"/>
        </w:rPr>
        <w:t>ampliar la</w:t>
      </w:r>
      <w:r w:rsidRPr="00E11160">
        <w:rPr>
          <w:lang w:val="es-ES"/>
        </w:rPr>
        <w:t xml:space="preserve"> cobertura </w:t>
      </w:r>
      <w:r>
        <w:rPr>
          <w:lang w:val="es-ES"/>
        </w:rPr>
        <w:t xml:space="preserve">y presencia </w:t>
      </w:r>
      <w:r w:rsidRPr="00E11160">
        <w:rPr>
          <w:lang w:val="es-ES"/>
        </w:rPr>
        <w:t>de la UIT.</w:t>
      </w:r>
    </w:p>
    <w:p w14:paraId="236DBFC5" w14:textId="478827F7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3.1.2</w:t>
      </w:r>
      <w:r w:rsidR="00111FD5">
        <w:rPr>
          <w:lang w:val="es-ES"/>
        </w:rPr>
        <w:tab/>
      </w:r>
      <w:r w:rsidRPr="00E11160">
        <w:rPr>
          <w:lang w:val="es-ES"/>
        </w:rPr>
        <w:t xml:space="preserve">Una vez </w:t>
      </w:r>
      <w:r>
        <w:rPr>
          <w:lang w:val="es-ES"/>
        </w:rPr>
        <w:t xml:space="preserve">que se haya </w:t>
      </w:r>
      <w:r w:rsidRPr="00E11160">
        <w:rPr>
          <w:lang w:val="es-ES"/>
        </w:rPr>
        <w:t xml:space="preserve">determinado </w:t>
      </w:r>
      <w:r>
        <w:rPr>
          <w:lang w:val="es-ES"/>
        </w:rPr>
        <w:t>la existencia de</w:t>
      </w:r>
      <w:r w:rsidRPr="00E11160">
        <w:rPr>
          <w:lang w:val="es-ES"/>
        </w:rPr>
        <w:t xml:space="preserve"> una zona geográfica que comprend</w:t>
      </w:r>
      <w:r>
        <w:rPr>
          <w:lang w:val="es-ES"/>
        </w:rPr>
        <w:t>a</w:t>
      </w:r>
      <w:r w:rsidRPr="00E11160">
        <w:rPr>
          <w:lang w:val="es-ES"/>
        </w:rPr>
        <w:t xml:space="preserve"> varios países cuyas necesidades no pueden atenderse eficazmente </w:t>
      </w:r>
      <w:r>
        <w:rPr>
          <w:lang w:val="es-ES"/>
        </w:rPr>
        <w:t>a través de</w:t>
      </w:r>
      <w:r w:rsidRPr="00E11160">
        <w:rPr>
          <w:lang w:val="es-ES"/>
        </w:rPr>
        <w:t xml:space="preserve"> una oficina existente, </w:t>
      </w:r>
      <w:r>
        <w:rPr>
          <w:lang w:val="es-ES"/>
        </w:rPr>
        <w:t>se determinará</w:t>
      </w:r>
      <w:r w:rsidRPr="00E11160">
        <w:rPr>
          <w:lang w:val="es-ES"/>
        </w:rPr>
        <w:t xml:space="preserve"> </w:t>
      </w:r>
      <w:r>
        <w:rPr>
          <w:lang w:val="es-ES"/>
        </w:rPr>
        <w:t>la conveniencia de</w:t>
      </w:r>
      <w:r w:rsidRPr="00E11160">
        <w:rPr>
          <w:lang w:val="es-ES"/>
        </w:rPr>
        <w:t xml:space="preserve"> ampliar la presencia regional de la UIT para colmar esa laguna, y </w:t>
      </w:r>
      <w:r>
        <w:rPr>
          <w:lang w:val="es-ES"/>
        </w:rPr>
        <w:t>garantizar</w:t>
      </w:r>
      <w:r w:rsidRPr="00E11160">
        <w:rPr>
          <w:lang w:val="es-ES"/>
        </w:rPr>
        <w:t xml:space="preserve"> la presencia de la UIT en la zona.</w:t>
      </w:r>
    </w:p>
    <w:p w14:paraId="4462C122" w14:textId="2D68DC10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3.1.3</w:t>
      </w:r>
      <w:r w:rsidR="00111FD5">
        <w:rPr>
          <w:lang w:val="es-ES"/>
        </w:rPr>
        <w:tab/>
      </w:r>
      <w:r>
        <w:rPr>
          <w:lang w:val="es-ES"/>
        </w:rPr>
        <w:t>A</w:t>
      </w:r>
      <w:r w:rsidRPr="00E11160">
        <w:rPr>
          <w:lang w:val="es-ES"/>
        </w:rPr>
        <w:t xml:space="preserve"> continuación </w:t>
      </w:r>
      <w:r>
        <w:rPr>
          <w:lang w:val="es-ES"/>
        </w:rPr>
        <w:t>s</w:t>
      </w:r>
      <w:r w:rsidRPr="00E11160">
        <w:rPr>
          <w:lang w:val="es-ES"/>
        </w:rPr>
        <w:t xml:space="preserve">e </w:t>
      </w:r>
      <w:r w:rsidRPr="00D16B7A">
        <w:rPr>
          <w:color w:val="000000" w:themeColor="text1"/>
          <w:lang w:val="es-ES"/>
        </w:rPr>
        <w:t xml:space="preserve">presentan </w:t>
      </w:r>
      <w:r w:rsidRPr="00E11160">
        <w:rPr>
          <w:lang w:val="es-ES"/>
        </w:rPr>
        <w:t>los criterios relativos a</w:t>
      </w:r>
      <w:r>
        <w:rPr>
          <w:lang w:val="es-ES"/>
        </w:rPr>
        <w:t xml:space="preserve">l establecimiento de una </w:t>
      </w:r>
      <w:r w:rsidRPr="00E11160">
        <w:rPr>
          <w:lang w:val="es-ES"/>
        </w:rPr>
        <w:t>nueva presencia en zona</w:t>
      </w:r>
      <w:r>
        <w:rPr>
          <w:lang w:val="es-ES"/>
        </w:rPr>
        <w:t>s</w:t>
      </w:r>
      <w:r w:rsidRPr="00E11160">
        <w:rPr>
          <w:lang w:val="es-ES"/>
        </w:rPr>
        <w:t xml:space="preserve"> </w:t>
      </w:r>
      <w:r>
        <w:rPr>
          <w:lang w:val="es-ES"/>
        </w:rPr>
        <w:t>para las que se han identificado lagunas</w:t>
      </w:r>
      <w:r w:rsidRPr="00E11160">
        <w:rPr>
          <w:lang w:val="es-ES"/>
        </w:rPr>
        <w:t>:</w:t>
      </w:r>
    </w:p>
    <w:p w14:paraId="1B9803A7" w14:textId="001D07A5" w:rsidR="007E2FE0" w:rsidRPr="00E11160" w:rsidRDefault="00111FD5" w:rsidP="00111FD5">
      <w:pPr>
        <w:pStyle w:val="enumlev1"/>
        <w:rPr>
          <w:lang w:val="es-ES"/>
        </w:rPr>
      </w:pPr>
      <w:r w:rsidRPr="00111FD5">
        <w:rPr>
          <w:lang w:val="es-ES"/>
        </w:rPr>
        <w:t>–</w:t>
      </w:r>
      <w:r>
        <w:rPr>
          <w:lang w:val="es-ES"/>
        </w:rPr>
        <w:tab/>
      </w:r>
      <w:r w:rsidR="007E2FE0">
        <w:rPr>
          <w:lang w:val="es-ES"/>
        </w:rPr>
        <w:t>Pertinencia:</w:t>
      </w:r>
      <w:r w:rsidR="007E2FE0" w:rsidRPr="00E11160">
        <w:rPr>
          <w:lang w:val="es-ES"/>
        </w:rPr>
        <w:t xml:space="preserve"> la </w:t>
      </w:r>
      <w:r w:rsidR="007E2FE0">
        <w:rPr>
          <w:lang w:val="es-ES"/>
        </w:rPr>
        <w:t xml:space="preserve">propuesta de </w:t>
      </w:r>
      <w:r w:rsidR="007E2FE0" w:rsidRPr="00E11160">
        <w:rPr>
          <w:lang w:val="es-ES"/>
        </w:rPr>
        <w:t xml:space="preserve">nueva ubicación </w:t>
      </w:r>
      <w:r w:rsidR="007E2FE0">
        <w:rPr>
          <w:lang w:val="es-ES"/>
        </w:rPr>
        <w:t>debe</w:t>
      </w:r>
      <w:r w:rsidR="007E2FE0" w:rsidRPr="00E11160">
        <w:rPr>
          <w:lang w:val="es-ES"/>
        </w:rPr>
        <w:t xml:space="preserve"> </w:t>
      </w:r>
      <w:r w:rsidR="007E2FE0">
        <w:rPr>
          <w:lang w:val="es-ES"/>
        </w:rPr>
        <w:t>fomentar</w:t>
      </w:r>
      <w:r w:rsidR="007E2FE0" w:rsidRPr="00E11160">
        <w:rPr>
          <w:lang w:val="es-ES"/>
        </w:rPr>
        <w:t xml:space="preserve"> la capacidad de la UIT para </w:t>
      </w:r>
      <w:r w:rsidR="007E2FE0">
        <w:rPr>
          <w:lang w:val="es-ES"/>
        </w:rPr>
        <w:t>mejorar la repercusión de su labor e</w:t>
      </w:r>
      <w:r w:rsidR="007E2FE0" w:rsidRPr="00E11160">
        <w:rPr>
          <w:lang w:val="es-ES"/>
        </w:rPr>
        <w:t>n varios países.</w:t>
      </w:r>
    </w:p>
    <w:p w14:paraId="31D0F064" w14:textId="38FDD5F3" w:rsidR="007E2FE0" w:rsidRPr="00E11160" w:rsidRDefault="00111FD5" w:rsidP="00111FD5">
      <w:pPr>
        <w:pStyle w:val="enumlev1"/>
        <w:rPr>
          <w:rFonts w:cstheme="minorHAnsi"/>
          <w:szCs w:val="24"/>
          <w:lang w:val="es-ES"/>
        </w:rPr>
      </w:pPr>
      <w:r w:rsidRPr="00111FD5">
        <w:rPr>
          <w:lang w:val="es-ES"/>
        </w:rPr>
        <w:t>–</w:t>
      </w:r>
      <w:r>
        <w:rPr>
          <w:lang w:val="es-ES"/>
        </w:rPr>
        <w:tab/>
      </w:r>
      <w:r w:rsidR="007E2FE0" w:rsidRPr="00E11160">
        <w:rPr>
          <w:rFonts w:cstheme="minorHAnsi"/>
          <w:szCs w:val="24"/>
          <w:lang w:val="es-ES"/>
        </w:rPr>
        <w:t>Exclusividad</w:t>
      </w:r>
      <w:r w:rsidR="007E2FE0">
        <w:rPr>
          <w:rFonts w:cstheme="minorHAnsi"/>
          <w:szCs w:val="24"/>
          <w:lang w:val="es-ES"/>
        </w:rPr>
        <w:t>:</w:t>
      </w:r>
      <w:r w:rsidR="007E2FE0" w:rsidRPr="00E11160">
        <w:rPr>
          <w:rFonts w:cstheme="minorHAnsi"/>
          <w:szCs w:val="24"/>
          <w:lang w:val="es-ES"/>
        </w:rPr>
        <w:t xml:space="preserve"> la ubicación </w:t>
      </w:r>
      <w:r w:rsidR="007E2FE0">
        <w:rPr>
          <w:rFonts w:cstheme="minorHAnsi"/>
          <w:szCs w:val="24"/>
          <w:lang w:val="es-ES"/>
        </w:rPr>
        <w:t>propuesta no debe duplicar</w:t>
      </w:r>
      <w:r w:rsidR="007E2FE0" w:rsidRPr="00E11160">
        <w:rPr>
          <w:rFonts w:cstheme="minorHAnsi"/>
          <w:szCs w:val="24"/>
          <w:lang w:val="es-ES"/>
        </w:rPr>
        <w:t xml:space="preserve"> ninguna presencia existente a </w:t>
      </w:r>
      <w:r w:rsidR="007E2FE0">
        <w:rPr>
          <w:rFonts w:cstheme="minorHAnsi"/>
          <w:szCs w:val="24"/>
          <w:lang w:val="es-ES"/>
        </w:rPr>
        <w:t>escala</w:t>
      </w:r>
      <w:r w:rsidR="007E2FE0" w:rsidRPr="00E11160">
        <w:rPr>
          <w:rFonts w:cstheme="minorHAnsi"/>
          <w:szCs w:val="24"/>
          <w:lang w:val="es-ES"/>
        </w:rPr>
        <w:t xml:space="preserve"> subregional.</w:t>
      </w:r>
    </w:p>
    <w:p w14:paraId="37A2F42F" w14:textId="7D058F75" w:rsidR="007E2FE0" w:rsidRPr="00E11160" w:rsidRDefault="00111FD5" w:rsidP="00111FD5">
      <w:pPr>
        <w:pStyle w:val="enumlev1"/>
        <w:rPr>
          <w:rFonts w:cstheme="minorHAnsi"/>
          <w:szCs w:val="24"/>
          <w:lang w:val="es-ES"/>
        </w:rPr>
      </w:pPr>
      <w:r w:rsidRPr="00111FD5">
        <w:rPr>
          <w:lang w:val="es-ES"/>
        </w:rPr>
        <w:t>–</w:t>
      </w:r>
      <w:r>
        <w:rPr>
          <w:lang w:val="es-ES"/>
        </w:rPr>
        <w:tab/>
      </w:r>
      <w:r w:rsidR="007E2FE0" w:rsidRPr="00E11160">
        <w:rPr>
          <w:rFonts w:cstheme="minorHAnsi"/>
          <w:szCs w:val="24"/>
          <w:lang w:val="es-ES"/>
        </w:rPr>
        <w:t>Viabilidad</w:t>
      </w:r>
      <w:r w:rsidR="007E2FE0">
        <w:rPr>
          <w:rFonts w:cstheme="minorHAnsi"/>
          <w:szCs w:val="24"/>
          <w:lang w:val="es-ES"/>
        </w:rPr>
        <w:t>: es posible</w:t>
      </w:r>
      <w:r w:rsidR="007E2FE0" w:rsidRPr="00E11160">
        <w:rPr>
          <w:rFonts w:cstheme="minorHAnsi"/>
          <w:szCs w:val="24"/>
          <w:lang w:val="es-ES"/>
        </w:rPr>
        <w:t xml:space="preserve"> </w:t>
      </w:r>
      <w:r w:rsidR="007E2FE0">
        <w:rPr>
          <w:rFonts w:cstheme="minorHAnsi"/>
          <w:szCs w:val="24"/>
          <w:lang w:val="es-ES"/>
        </w:rPr>
        <w:t>lograr</w:t>
      </w:r>
      <w:r w:rsidR="007E2FE0" w:rsidRPr="00E11160">
        <w:rPr>
          <w:rFonts w:cstheme="minorHAnsi"/>
          <w:szCs w:val="24"/>
          <w:lang w:val="es-ES"/>
        </w:rPr>
        <w:t xml:space="preserve"> recursos suficientes para establecer </w:t>
      </w:r>
      <w:r w:rsidR="007E2FE0">
        <w:rPr>
          <w:rFonts w:cstheme="minorHAnsi"/>
          <w:szCs w:val="24"/>
          <w:lang w:val="es-ES"/>
        </w:rPr>
        <w:t>una</w:t>
      </w:r>
      <w:r w:rsidR="007E2FE0" w:rsidRPr="00E11160">
        <w:rPr>
          <w:rFonts w:cstheme="minorHAnsi"/>
          <w:szCs w:val="24"/>
          <w:lang w:val="es-ES"/>
        </w:rPr>
        <w:t xml:space="preserve"> oficina y mantener un</w:t>
      </w:r>
      <w:r w:rsidR="007E2FE0">
        <w:rPr>
          <w:rFonts w:cstheme="minorHAnsi"/>
          <w:szCs w:val="24"/>
          <w:lang w:val="es-ES"/>
        </w:rPr>
        <w:t xml:space="preserve"> nivel mínimo esencial</w:t>
      </w:r>
      <w:r w:rsidR="007E2FE0" w:rsidRPr="00E11160">
        <w:rPr>
          <w:rFonts w:cstheme="minorHAnsi"/>
          <w:szCs w:val="24"/>
          <w:lang w:val="es-ES"/>
        </w:rPr>
        <w:t xml:space="preserve"> de competencias técnicas </w:t>
      </w:r>
      <w:r w:rsidR="007E2FE0">
        <w:rPr>
          <w:rFonts w:cstheme="minorHAnsi"/>
          <w:szCs w:val="24"/>
          <w:lang w:val="es-ES"/>
        </w:rPr>
        <w:t>por</w:t>
      </w:r>
      <w:r w:rsidR="007E2FE0" w:rsidRPr="00E11160">
        <w:rPr>
          <w:rFonts w:cstheme="minorHAnsi"/>
          <w:szCs w:val="24"/>
          <w:lang w:val="es-ES"/>
        </w:rPr>
        <w:t xml:space="preserve"> un periodo prolongado, </w:t>
      </w:r>
      <w:r w:rsidR="007E2FE0">
        <w:rPr>
          <w:rFonts w:cstheme="minorHAnsi"/>
          <w:szCs w:val="24"/>
          <w:lang w:val="es-ES"/>
        </w:rPr>
        <w:t>siempre y cuando el</w:t>
      </w:r>
      <w:r w:rsidR="007E2FE0" w:rsidRPr="00E11160">
        <w:rPr>
          <w:rFonts w:cstheme="minorHAnsi"/>
          <w:szCs w:val="24"/>
          <w:lang w:val="es-ES"/>
        </w:rPr>
        <w:t xml:space="preserve"> país anfitrión </w:t>
      </w:r>
      <w:r w:rsidR="007E2FE0">
        <w:rPr>
          <w:rFonts w:cstheme="minorHAnsi"/>
          <w:szCs w:val="24"/>
          <w:lang w:val="es-ES"/>
        </w:rPr>
        <w:t>cuente con</w:t>
      </w:r>
      <w:r w:rsidR="007E2FE0" w:rsidRPr="00E11160">
        <w:rPr>
          <w:rFonts w:cstheme="minorHAnsi"/>
          <w:szCs w:val="24"/>
          <w:lang w:val="es-ES"/>
        </w:rPr>
        <w:t xml:space="preserve"> los recursos y el compromiso necesarios para cumplir las obligaciones que exige acoger una oficina de la UIT.</w:t>
      </w:r>
    </w:p>
    <w:p w14:paraId="017E9056" w14:textId="595D86F2" w:rsidR="007E2FE0" w:rsidRPr="00E11160" w:rsidRDefault="00111FD5" w:rsidP="00111FD5">
      <w:pPr>
        <w:pStyle w:val="enumlev1"/>
        <w:rPr>
          <w:rFonts w:cstheme="minorHAnsi"/>
          <w:szCs w:val="24"/>
          <w:lang w:val="es-ES"/>
        </w:rPr>
      </w:pPr>
      <w:r w:rsidRPr="00111FD5">
        <w:rPr>
          <w:lang w:val="es-ES"/>
        </w:rPr>
        <w:lastRenderedPageBreak/>
        <w:t>–</w:t>
      </w:r>
      <w:r>
        <w:rPr>
          <w:lang w:val="es-ES"/>
        </w:rPr>
        <w:tab/>
      </w:r>
      <w:r w:rsidR="007E2FE0" w:rsidRPr="00E11160">
        <w:rPr>
          <w:rFonts w:cstheme="minorHAnsi"/>
          <w:szCs w:val="24"/>
          <w:lang w:val="es-ES"/>
        </w:rPr>
        <w:t>Seguridad</w:t>
      </w:r>
      <w:r w:rsidR="007E2FE0">
        <w:rPr>
          <w:rFonts w:cstheme="minorHAnsi"/>
          <w:szCs w:val="24"/>
          <w:lang w:val="es-ES"/>
        </w:rPr>
        <w:t>: el emplazamiento</w:t>
      </w:r>
      <w:r w:rsidR="007E2FE0" w:rsidRPr="00E11160">
        <w:rPr>
          <w:rFonts w:cstheme="minorHAnsi"/>
          <w:szCs w:val="24"/>
          <w:lang w:val="es-ES"/>
        </w:rPr>
        <w:t xml:space="preserve"> debe ser evaluado por </w:t>
      </w:r>
      <w:r w:rsidR="007E2FE0">
        <w:rPr>
          <w:rFonts w:cstheme="minorHAnsi"/>
          <w:szCs w:val="24"/>
          <w:lang w:val="es-ES"/>
        </w:rPr>
        <w:t>el</w:t>
      </w:r>
      <w:r w:rsidR="007E2FE0" w:rsidRPr="00E11160">
        <w:rPr>
          <w:rFonts w:cstheme="minorHAnsi"/>
          <w:szCs w:val="24"/>
          <w:lang w:val="es-ES"/>
        </w:rPr>
        <w:t xml:space="preserve"> UNDSS</w:t>
      </w:r>
      <w:r w:rsidR="007E2FE0">
        <w:rPr>
          <w:rFonts w:cstheme="minorHAnsi"/>
          <w:szCs w:val="24"/>
          <w:lang w:val="es-ES"/>
        </w:rPr>
        <w:t>,</w:t>
      </w:r>
      <w:r w:rsidR="007E2FE0" w:rsidRPr="00E11160">
        <w:rPr>
          <w:rFonts w:cstheme="minorHAnsi"/>
          <w:szCs w:val="24"/>
          <w:lang w:val="es-ES"/>
        </w:rPr>
        <w:t xml:space="preserve"> </w:t>
      </w:r>
      <w:r w:rsidR="007E2FE0">
        <w:rPr>
          <w:rFonts w:cstheme="minorHAnsi"/>
          <w:szCs w:val="24"/>
          <w:lang w:val="es-ES"/>
        </w:rPr>
        <w:t>a fin de garantizar que no represente</w:t>
      </w:r>
      <w:r w:rsidR="007E2FE0" w:rsidRPr="00E11160">
        <w:rPr>
          <w:rFonts w:cstheme="minorHAnsi"/>
          <w:szCs w:val="24"/>
          <w:lang w:val="es-ES"/>
        </w:rPr>
        <w:t xml:space="preserve"> ninguna amenaza específica para la seguridad del personal y la continuidad de las actividades.</w:t>
      </w:r>
    </w:p>
    <w:p w14:paraId="6F73DDE0" w14:textId="740ECD19" w:rsidR="007E2FE0" w:rsidRPr="00E11160" w:rsidRDefault="00111FD5" w:rsidP="00111FD5">
      <w:pPr>
        <w:pStyle w:val="enumlev1"/>
        <w:rPr>
          <w:rFonts w:cstheme="minorHAnsi"/>
          <w:szCs w:val="24"/>
          <w:lang w:val="es-ES"/>
        </w:rPr>
      </w:pPr>
      <w:r w:rsidRPr="00111FD5">
        <w:rPr>
          <w:lang w:val="es-ES"/>
        </w:rPr>
        <w:t>–</w:t>
      </w:r>
      <w:r>
        <w:rPr>
          <w:lang w:val="es-ES"/>
        </w:rPr>
        <w:tab/>
      </w:r>
      <w:r w:rsidR="007E2FE0" w:rsidRPr="00E11160">
        <w:rPr>
          <w:rFonts w:cstheme="minorHAnsi"/>
          <w:szCs w:val="24"/>
          <w:lang w:val="es-ES"/>
        </w:rPr>
        <w:t>Proximidad</w:t>
      </w:r>
      <w:r w:rsidR="007E2FE0">
        <w:rPr>
          <w:rFonts w:cstheme="minorHAnsi"/>
          <w:szCs w:val="24"/>
          <w:lang w:val="es-ES"/>
        </w:rPr>
        <w:t>: el emplazamiento debe tener</w:t>
      </w:r>
      <w:r w:rsidR="007E2FE0" w:rsidRPr="00E11160">
        <w:rPr>
          <w:rFonts w:cstheme="minorHAnsi"/>
          <w:szCs w:val="24"/>
          <w:lang w:val="es-ES"/>
        </w:rPr>
        <w:t xml:space="preserve"> proximidad geográfica </w:t>
      </w:r>
      <w:r w:rsidR="007E2FE0">
        <w:rPr>
          <w:rFonts w:cstheme="minorHAnsi"/>
          <w:szCs w:val="24"/>
          <w:lang w:val="es-ES"/>
        </w:rPr>
        <w:t xml:space="preserve">con respecto </w:t>
      </w:r>
      <w:r w:rsidR="007E2FE0" w:rsidRPr="00E11160">
        <w:rPr>
          <w:rFonts w:cstheme="minorHAnsi"/>
          <w:szCs w:val="24"/>
          <w:lang w:val="es-ES"/>
        </w:rPr>
        <w:t xml:space="preserve">a los países necesitados, en particular los PMA, PDSL y PEID, </w:t>
      </w:r>
      <w:r w:rsidR="007E2FE0">
        <w:rPr>
          <w:rFonts w:cstheme="minorHAnsi"/>
          <w:szCs w:val="24"/>
          <w:lang w:val="es-ES"/>
        </w:rPr>
        <w:t>a fin de garantizar un funcionamiento eficaz, y un acceso adecuado</w:t>
      </w:r>
      <w:r w:rsidR="007E2FE0" w:rsidRPr="00E11160">
        <w:rPr>
          <w:rFonts w:cstheme="minorHAnsi"/>
          <w:szCs w:val="24"/>
          <w:lang w:val="es-ES"/>
        </w:rPr>
        <w:t xml:space="preserve"> a los centros regionales o subregionales de </w:t>
      </w:r>
      <w:r w:rsidR="007E2FE0">
        <w:rPr>
          <w:rFonts w:cstheme="minorHAnsi"/>
          <w:szCs w:val="24"/>
          <w:lang w:val="es-ES"/>
        </w:rPr>
        <w:t>otros organismos de las Naciones Unidas u organizaciones regionales de</w:t>
      </w:r>
      <w:r w:rsidR="007E2FE0" w:rsidRPr="00E11160">
        <w:rPr>
          <w:rFonts w:cstheme="minorHAnsi"/>
          <w:szCs w:val="24"/>
          <w:lang w:val="es-ES"/>
        </w:rPr>
        <w:t xml:space="preserve"> </w:t>
      </w:r>
      <w:r w:rsidR="007E2FE0">
        <w:rPr>
          <w:rFonts w:cstheme="minorHAnsi"/>
          <w:szCs w:val="24"/>
          <w:lang w:val="es-ES"/>
        </w:rPr>
        <w:t>t</w:t>
      </w:r>
      <w:r w:rsidR="007E2FE0" w:rsidRPr="00E11160">
        <w:rPr>
          <w:rFonts w:cstheme="minorHAnsi"/>
          <w:szCs w:val="24"/>
          <w:lang w:val="es-ES"/>
        </w:rPr>
        <w:t>elecomunicaciones.</w:t>
      </w:r>
    </w:p>
    <w:p w14:paraId="4B13C1C7" w14:textId="76DF3A74" w:rsidR="007E2FE0" w:rsidRPr="00E11160" w:rsidRDefault="00111FD5" w:rsidP="00111FD5">
      <w:pPr>
        <w:pStyle w:val="enumlev1"/>
        <w:rPr>
          <w:rFonts w:cstheme="minorHAnsi"/>
          <w:szCs w:val="24"/>
          <w:lang w:val="es-ES"/>
        </w:rPr>
      </w:pPr>
      <w:r w:rsidRPr="00111FD5">
        <w:rPr>
          <w:lang w:val="es-ES"/>
        </w:rPr>
        <w:t>–</w:t>
      </w:r>
      <w:r>
        <w:rPr>
          <w:lang w:val="es-ES"/>
        </w:rPr>
        <w:tab/>
      </w:r>
      <w:r w:rsidR="007E2FE0" w:rsidRPr="00E11160">
        <w:rPr>
          <w:rFonts w:cstheme="minorHAnsi"/>
          <w:szCs w:val="24"/>
          <w:lang w:val="es-ES"/>
        </w:rPr>
        <w:t>Accesibilidad</w:t>
      </w:r>
      <w:r w:rsidR="007E2FE0">
        <w:rPr>
          <w:rFonts w:cstheme="minorHAnsi"/>
          <w:szCs w:val="24"/>
          <w:lang w:val="es-ES"/>
        </w:rPr>
        <w:t>:</w:t>
      </w:r>
      <w:r w:rsidR="007E2FE0" w:rsidRPr="00E11160">
        <w:rPr>
          <w:rFonts w:cstheme="minorHAnsi"/>
          <w:szCs w:val="24"/>
          <w:lang w:val="es-ES"/>
        </w:rPr>
        <w:t xml:space="preserve"> la ubicación </w:t>
      </w:r>
      <w:r w:rsidR="007E2FE0">
        <w:rPr>
          <w:rFonts w:cstheme="minorHAnsi"/>
          <w:szCs w:val="24"/>
          <w:lang w:val="es-ES"/>
        </w:rPr>
        <w:t>propuesta debe tener</w:t>
      </w:r>
      <w:r w:rsidR="007E2FE0" w:rsidRPr="00E11160">
        <w:rPr>
          <w:rFonts w:cstheme="minorHAnsi"/>
          <w:szCs w:val="24"/>
          <w:lang w:val="es-ES"/>
        </w:rPr>
        <w:t xml:space="preserve"> acceso a un centro </w:t>
      </w:r>
      <w:r w:rsidR="007E2FE0">
        <w:rPr>
          <w:rFonts w:cstheme="minorHAnsi"/>
          <w:szCs w:val="24"/>
          <w:lang w:val="es-ES"/>
        </w:rPr>
        <w:t>de transporte aéreo</w:t>
      </w:r>
      <w:r w:rsidR="007E2FE0" w:rsidRPr="00E11160">
        <w:rPr>
          <w:rFonts w:cstheme="minorHAnsi"/>
          <w:szCs w:val="24"/>
          <w:lang w:val="es-ES"/>
        </w:rPr>
        <w:t xml:space="preserve"> con </w:t>
      </w:r>
      <w:r w:rsidR="007E2FE0">
        <w:rPr>
          <w:rFonts w:cstheme="minorHAnsi"/>
          <w:szCs w:val="24"/>
          <w:lang w:val="es-ES"/>
        </w:rPr>
        <w:t>frecuentes</w:t>
      </w:r>
      <w:r w:rsidR="007E2FE0" w:rsidRPr="00E11160">
        <w:rPr>
          <w:rFonts w:cstheme="minorHAnsi"/>
          <w:szCs w:val="24"/>
          <w:lang w:val="es-ES"/>
        </w:rPr>
        <w:t xml:space="preserve"> conexiones internacionales (</w:t>
      </w:r>
      <w:r w:rsidR="007E2FE0">
        <w:rPr>
          <w:rFonts w:cstheme="minorHAnsi"/>
          <w:szCs w:val="24"/>
          <w:lang w:val="es-ES"/>
        </w:rPr>
        <w:t>con</w:t>
      </w:r>
      <w:r w:rsidR="007E2FE0" w:rsidRPr="00E11160">
        <w:rPr>
          <w:rFonts w:cstheme="minorHAnsi"/>
          <w:szCs w:val="24"/>
          <w:lang w:val="es-ES"/>
        </w:rPr>
        <w:t xml:space="preserve"> acceso exterior)</w:t>
      </w:r>
      <w:r w:rsidR="007E2FE0">
        <w:rPr>
          <w:rFonts w:cstheme="minorHAnsi"/>
          <w:szCs w:val="24"/>
          <w:lang w:val="es-ES"/>
        </w:rPr>
        <w:t>, así como</w:t>
      </w:r>
      <w:r w:rsidR="007E2FE0" w:rsidRPr="00E11160">
        <w:rPr>
          <w:rFonts w:cstheme="minorHAnsi"/>
          <w:szCs w:val="24"/>
          <w:lang w:val="es-ES"/>
        </w:rPr>
        <w:t xml:space="preserve"> conexiones directas con los demás países de la subregión.</w:t>
      </w:r>
    </w:p>
    <w:p w14:paraId="4FFDC7C8" w14:textId="11061088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3.1.4</w:t>
      </w:r>
      <w:r w:rsidR="00111FD5">
        <w:rPr>
          <w:lang w:val="es-ES"/>
        </w:rPr>
        <w:tab/>
      </w:r>
      <w:r w:rsidRPr="00E11160">
        <w:rPr>
          <w:lang w:val="es-ES"/>
        </w:rPr>
        <w:t xml:space="preserve">Una vez determinada la conveniencia de </w:t>
      </w:r>
      <w:r>
        <w:rPr>
          <w:lang w:val="es-ES"/>
        </w:rPr>
        <w:t>establecer una</w:t>
      </w:r>
      <w:r w:rsidRPr="00E11160">
        <w:rPr>
          <w:lang w:val="es-ES"/>
        </w:rPr>
        <w:t xml:space="preserve"> presencia adicional de la </w:t>
      </w:r>
      <w:r w:rsidR="003637AF" w:rsidRPr="00E11160">
        <w:rPr>
          <w:lang w:val="es-ES"/>
        </w:rPr>
        <w:t>UIT,</w:t>
      </w:r>
      <w:r>
        <w:rPr>
          <w:lang w:val="es-ES"/>
        </w:rPr>
        <w:t xml:space="preserve"> y tras identificar</w:t>
      </w:r>
      <w:r w:rsidRPr="00E11160">
        <w:rPr>
          <w:lang w:val="es-ES"/>
        </w:rPr>
        <w:t xml:space="preserve"> posibles ubicaciones </w:t>
      </w:r>
      <w:r>
        <w:rPr>
          <w:lang w:val="es-ES"/>
        </w:rPr>
        <w:t>para</w:t>
      </w:r>
      <w:r w:rsidRPr="00E11160">
        <w:rPr>
          <w:lang w:val="es-ES"/>
        </w:rPr>
        <w:t xml:space="preserve"> la misma, deberá </w:t>
      </w:r>
      <w:r>
        <w:rPr>
          <w:lang w:val="es-ES"/>
        </w:rPr>
        <w:t>decidirse el modo de hacerlo</w:t>
      </w:r>
      <w:r w:rsidRPr="00E11160">
        <w:rPr>
          <w:lang w:val="es-ES"/>
        </w:rPr>
        <w:t>. Puede tratarse de la apertura de una nueva oficina regional o de zona</w:t>
      </w:r>
      <w:r>
        <w:rPr>
          <w:lang w:val="es-ES"/>
        </w:rPr>
        <w:t>,</w:t>
      </w:r>
      <w:r w:rsidRPr="00E11160">
        <w:rPr>
          <w:lang w:val="es-ES"/>
        </w:rPr>
        <w:t xml:space="preserve"> o de </w:t>
      </w:r>
      <w:r>
        <w:rPr>
          <w:lang w:val="es-ES"/>
        </w:rPr>
        <w:t>una</w:t>
      </w:r>
      <w:r w:rsidRPr="00E11160">
        <w:rPr>
          <w:lang w:val="es-ES"/>
        </w:rPr>
        <w:t xml:space="preserve"> asociación con otros organismos o entidades internacionales </w:t>
      </w:r>
      <w:r>
        <w:rPr>
          <w:lang w:val="es-ES"/>
        </w:rPr>
        <w:t>con el fin de fomentar la actividad</w:t>
      </w:r>
      <w:r w:rsidRPr="00E11160">
        <w:rPr>
          <w:lang w:val="es-ES"/>
        </w:rPr>
        <w:t xml:space="preserve"> de la UIT en la zona.</w:t>
      </w:r>
    </w:p>
    <w:p w14:paraId="55E6315A" w14:textId="305850C2" w:rsidR="007E2FE0" w:rsidRPr="00E11160" w:rsidRDefault="007E2FE0" w:rsidP="007E2FE0">
      <w:pPr>
        <w:spacing w:after="120"/>
        <w:rPr>
          <w:rFonts w:cstheme="minorHAnsi"/>
          <w:szCs w:val="24"/>
          <w:lang w:val="es-ES"/>
        </w:rPr>
      </w:pPr>
      <w:r w:rsidRPr="00E11160">
        <w:rPr>
          <w:rFonts w:cstheme="minorHAnsi"/>
          <w:szCs w:val="24"/>
          <w:lang w:val="es-ES"/>
        </w:rPr>
        <w:t>3.2</w:t>
      </w:r>
      <w:r w:rsidR="00111FD5">
        <w:rPr>
          <w:rFonts w:cstheme="minorHAnsi"/>
          <w:szCs w:val="24"/>
          <w:lang w:val="es-ES"/>
        </w:rPr>
        <w:tab/>
      </w:r>
      <w:hyperlink r:id="rId38" w:history="1">
        <w:r w:rsidRPr="00E11160">
          <w:rPr>
            <w:rStyle w:val="Hyperlink"/>
            <w:rFonts w:cstheme="minorHAnsi"/>
            <w:szCs w:val="24"/>
            <w:lang w:val="es-ES"/>
          </w:rPr>
          <w:t>CWG-FHR-16/24 (Rev.1)</w:t>
        </w:r>
      </w:hyperlink>
    </w:p>
    <w:p w14:paraId="7B002089" w14:textId="0A8EC36E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3.2.1</w:t>
      </w:r>
      <w:r w:rsidR="00111FD5">
        <w:rPr>
          <w:lang w:val="es-ES"/>
        </w:rPr>
        <w:tab/>
      </w:r>
      <w:r w:rsidRPr="00E11160">
        <w:rPr>
          <w:lang w:val="es-ES"/>
        </w:rPr>
        <w:t>E</w:t>
      </w:r>
      <w:r>
        <w:rPr>
          <w:lang w:val="es-ES"/>
        </w:rPr>
        <w:t>n e</w:t>
      </w:r>
      <w:r w:rsidRPr="00E11160">
        <w:rPr>
          <w:lang w:val="es-ES"/>
        </w:rPr>
        <w:t xml:space="preserve">l documento </w:t>
      </w:r>
      <w:r>
        <w:rPr>
          <w:lang w:val="es-ES"/>
        </w:rPr>
        <w:t xml:space="preserve">se </w:t>
      </w:r>
      <w:r w:rsidRPr="00E11160">
        <w:rPr>
          <w:lang w:val="es-ES"/>
        </w:rPr>
        <w:t xml:space="preserve">establece que la presencia regional desempeña un papel </w:t>
      </w:r>
      <w:r>
        <w:rPr>
          <w:lang w:val="es-ES"/>
        </w:rPr>
        <w:t>primordial</w:t>
      </w:r>
      <w:r w:rsidRPr="00E11160">
        <w:rPr>
          <w:lang w:val="es-ES"/>
        </w:rPr>
        <w:t xml:space="preserve"> </w:t>
      </w:r>
      <w:r>
        <w:rPr>
          <w:lang w:val="es-ES"/>
        </w:rPr>
        <w:t>en el cumplimiento de la</w:t>
      </w:r>
      <w:r w:rsidRPr="00E11160">
        <w:rPr>
          <w:lang w:val="es-ES"/>
        </w:rPr>
        <w:t xml:space="preserve"> misión de la UIT, </w:t>
      </w:r>
      <w:r>
        <w:rPr>
          <w:lang w:val="es-ES"/>
        </w:rPr>
        <w:t>al que tiempo que ofrece comprensión más cabal sobre</w:t>
      </w:r>
      <w:r w:rsidRPr="00E11160">
        <w:rPr>
          <w:lang w:val="es-ES"/>
        </w:rPr>
        <w:t xml:space="preserve"> la Unión </w:t>
      </w:r>
      <w:r>
        <w:rPr>
          <w:lang w:val="es-ES"/>
        </w:rPr>
        <w:t>a nivel local a tenor de</w:t>
      </w:r>
      <w:r w:rsidRPr="00E11160">
        <w:rPr>
          <w:lang w:val="es-ES"/>
        </w:rPr>
        <w:t xml:space="preserve"> las necesidades de </w:t>
      </w:r>
      <w:r>
        <w:rPr>
          <w:lang w:val="es-ES"/>
        </w:rPr>
        <w:t xml:space="preserve">cada país. En particular, la función de las </w:t>
      </w:r>
      <w:r w:rsidRPr="00E11160">
        <w:rPr>
          <w:lang w:val="es-ES"/>
        </w:rPr>
        <w:t xml:space="preserve">oficinas regionales y de zona de la UIT </w:t>
      </w:r>
      <w:r>
        <w:rPr>
          <w:lang w:val="es-ES"/>
        </w:rPr>
        <w:t>es</w:t>
      </w:r>
      <w:r w:rsidRPr="00E11160">
        <w:rPr>
          <w:lang w:val="es-ES"/>
        </w:rPr>
        <w:t xml:space="preserve"> ayudar a los países de las regiones en muchos ámbitos, como la ejecución y </w:t>
      </w:r>
      <w:r>
        <w:rPr>
          <w:lang w:val="es-ES"/>
        </w:rPr>
        <w:t>supervisión</w:t>
      </w:r>
      <w:r w:rsidRPr="00E11160">
        <w:rPr>
          <w:lang w:val="es-ES"/>
        </w:rPr>
        <w:t xml:space="preserve"> de proyectos, incluidos los relacionados con las iniciativas regionales, la reducción de la brecha </w:t>
      </w:r>
      <w:r>
        <w:rPr>
          <w:lang w:val="es-ES"/>
        </w:rPr>
        <w:t>en materia de</w:t>
      </w:r>
      <w:r w:rsidRPr="00E11160">
        <w:rPr>
          <w:lang w:val="es-ES"/>
        </w:rPr>
        <w:t xml:space="preserve"> normalización, </w:t>
      </w:r>
      <w:r>
        <w:rPr>
          <w:lang w:val="es-ES"/>
        </w:rPr>
        <w:t>las actividades de capacitación</w:t>
      </w:r>
      <w:r w:rsidRPr="00E11160">
        <w:rPr>
          <w:lang w:val="es-ES"/>
        </w:rPr>
        <w:t xml:space="preserve"> relacionadas con la gestión de frecuencias, </w:t>
      </w:r>
      <w:r>
        <w:rPr>
          <w:lang w:val="es-ES"/>
        </w:rPr>
        <w:t xml:space="preserve">el suministro de información actualizada a </w:t>
      </w:r>
      <w:r w:rsidRPr="00E11160">
        <w:rPr>
          <w:lang w:val="es-ES"/>
        </w:rPr>
        <w:t>las regiones sobre la</w:t>
      </w:r>
      <w:r>
        <w:rPr>
          <w:lang w:val="es-ES"/>
        </w:rPr>
        <w:t xml:space="preserve"> labor</w:t>
      </w:r>
      <w:r w:rsidRPr="00E11160">
        <w:rPr>
          <w:lang w:val="es-ES"/>
        </w:rPr>
        <w:t xml:space="preserve"> de la UIT</w:t>
      </w:r>
      <w:r>
        <w:rPr>
          <w:lang w:val="es-ES"/>
        </w:rPr>
        <w:t>,</w:t>
      </w:r>
      <w:r w:rsidRPr="00E11160">
        <w:rPr>
          <w:lang w:val="es-ES"/>
        </w:rPr>
        <w:t xml:space="preserve"> y el fortalecimiento de la colaboración con las organizaciones regionales de telecomunicaciones.</w:t>
      </w:r>
    </w:p>
    <w:p w14:paraId="4EED159D" w14:textId="764CCD88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3.2.2</w:t>
      </w:r>
      <w:r w:rsidR="00111FD5">
        <w:rPr>
          <w:lang w:val="es-ES"/>
        </w:rPr>
        <w:tab/>
      </w:r>
      <w:r w:rsidRPr="00E11160">
        <w:rPr>
          <w:lang w:val="es-ES"/>
        </w:rPr>
        <w:t>E</w:t>
      </w:r>
      <w:r>
        <w:rPr>
          <w:lang w:val="es-ES"/>
        </w:rPr>
        <w:t>n e</w:t>
      </w:r>
      <w:r w:rsidRPr="00E11160">
        <w:rPr>
          <w:lang w:val="es-ES"/>
        </w:rPr>
        <w:t xml:space="preserve">l documento </w:t>
      </w:r>
      <w:r>
        <w:rPr>
          <w:lang w:val="es-ES"/>
        </w:rPr>
        <w:t>se proporcionan varias</w:t>
      </w:r>
      <w:r w:rsidRPr="00E11160">
        <w:rPr>
          <w:lang w:val="es-ES"/>
        </w:rPr>
        <w:t xml:space="preserve"> opiniones sobre el apoyo </w:t>
      </w:r>
      <w:r>
        <w:rPr>
          <w:lang w:val="es-ES"/>
        </w:rPr>
        <w:t>que presta</w:t>
      </w:r>
      <w:r w:rsidRPr="00E11160">
        <w:rPr>
          <w:lang w:val="es-ES"/>
        </w:rPr>
        <w:t xml:space="preserve"> el Sector de Desarrollo de las Telecomunicaciones de la UIT (UIT-D) a través de </w:t>
      </w:r>
      <w:r>
        <w:rPr>
          <w:lang w:val="es-ES"/>
        </w:rPr>
        <w:t>las actividades de</w:t>
      </w:r>
      <w:r w:rsidRPr="00E11160">
        <w:rPr>
          <w:lang w:val="es-ES"/>
        </w:rPr>
        <w:t xml:space="preserve"> presencia regional. S</w:t>
      </w:r>
      <w:r>
        <w:rPr>
          <w:lang w:val="es-ES"/>
        </w:rPr>
        <w:t>e s</w:t>
      </w:r>
      <w:r w:rsidRPr="00E11160">
        <w:rPr>
          <w:lang w:val="es-ES"/>
        </w:rPr>
        <w:t xml:space="preserve">eñala que la mayoría de las recomendaciones formuladas para </w:t>
      </w:r>
      <w:r>
        <w:rPr>
          <w:lang w:val="es-ES"/>
        </w:rPr>
        <w:t>fortalecer</w:t>
      </w:r>
      <w:r w:rsidRPr="00E11160">
        <w:rPr>
          <w:lang w:val="es-ES"/>
        </w:rPr>
        <w:t xml:space="preserve"> la presencia regional se han aplicado, o están en curso</w:t>
      </w:r>
      <w:r>
        <w:rPr>
          <w:lang w:val="es-ES"/>
        </w:rPr>
        <w:t xml:space="preserve"> de aplicación</w:t>
      </w:r>
      <w:r w:rsidRPr="00E11160">
        <w:rPr>
          <w:lang w:val="es-ES"/>
        </w:rPr>
        <w:t>, y que los resultados han mejorado constantemente desde 2019.</w:t>
      </w:r>
    </w:p>
    <w:p w14:paraId="78630CF6" w14:textId="6F3453C0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3.2.3</w:t>
      </w:r>
      <w:r w:rsidR="00111FD5">
        <w:rPr>
          <w:lang w:val="es-ES"/>
        </w:rPr>
        <w:tab/>
      </w:r>
      <w:r w:rsidRPr="00E11160">
        <w:rPr>
          <w:lang w:val="es-ES"/>
        </w:rPr>
        <w:t>El documento formula las siguientes propuestas:</w:t>
      </w:r>
    </w:p>
    <w:p w14:paraId="0AF52CE9" w14:textId="1FE03843" w:rsidR="007E2FE0" w:rsidRPr="00E11160" w:rsidRDefault="007E2FE0" w:rsidP="00111FD5">
      <w:pPr>
        <w:pStyle w:val="enumlev1"/>
        <w:rPr>
          <w:lang w:val="es-ES"/>
        </w:rPr>
      </w:pPr>
      <w:r w:rsidRPr="00E11160">
        <w:rPr>
          <w:lang w:val="es-ES"/>
        </w:rPr>
        <w:t>1)</w:t>
      </w:r>
      <w:r w:rsidR="00111FD5">
        <w:rPr>
          <w:lang w:val="es-ES"/>
        </w:rPr>
        <w:tab/>
      </w:r>
      <w:r w:rsidRPr="00E11160">
        <w:rPr>
          <w:lang w:val="es-ES"/>
        </w:rPr>
        <w:t xml:space="preserve">El establecimiento de oficinas de zona debe </w:t>
      </w:r>
      <w:r>
        <w:rPr>
          <w:lang w:val="es-ES"/>
        </w:rPr>
        <w:t xml:space="preserve">tener en cuenta </w:t>
      </w:r>
      <w:r w:rsidRPr="00E11160">
        <w:rPr>
          <w:lang w:val="es-ES"/>
        </w:rPr>
        <w:t xml:space="preserve">exhaustivamente diversos factores, </w:t>
      </w:r>
      <w:r>
        <w:rPr>
          <w:lang w:val="es-ES"/>
        </w:rPr>
        <w:t>en particular</w:t>
      </w:r>
      <w:r w:rsidRPr="00E11160">
        <w:rPr>
          <w:lang w:val="es-ES"/>
        </w:rPr>
        <w:t xml:space="preserve"> la disposición del país anfitrión a acoger una nueva oficina, las necesidades de las zonas pertinentes, la disponibilidad de recursos financieros</w:t>
      </w:r>
      <w:r>
        <w:rPr>
          <w:lang w:val="es-ES"/>
        </w:rPr>
        <w:t xml:space="preserve"> y</w:t>
      </w:r>
      <w:r w:rsidRPr="00E11160">
        <w:rPr>
          <w:lang w:val="es-ES"/>
        </w:rPr>
        <w:t xml:space="preserve"> la representación geográfica</w:t>
      </w:r>
      <w:r>
        <w:rPr>
          <w:lang w:val="es-ES"/>
        </w:rPr>
        <w:t>,</w:t>
      </w:r>
      <w:r w:rsidRPr="00E11160">
        <w:rPr>
          <w:lang w:val="es-ES"/>
        </w:rPr>
        <w:t xml:space="preserve"> </w:t>
      </w:r>
      <w:r>
        <w:rPr>
          <w:lang w:val="es-ES"/>
        </w:rPr>
        <w:t>así como</w:t>
      </w:r>
      <w:r w:rsidRPr="00E11160">
        <w:rPr>
          <w:lang w:val="es-ES"/>
        </w:rPr>
        <w:t xml:space="preserve"> la </w:t>
      </w:r>
      <w:r>
        <w:rPr>
          <w:lang w:val="es-ES"/>
        </w:rPr>
        <w:t xml:space="preserve">existencia de </w:t>
      </w:r>
      <w:r w:rsidRPr="00E11160">
        <w:rPr>
          <w:lang w:val="es-ES"/>
        </w:rPr>
        <w:t>experiencia previa.</w:t>
      </w:r>
    </w:p>
    <w:p w14:paraId="7AC89DB7" w14:textId="5E45F8C4" w:rsidR="007E2FE0" w:rsidRPr="00E11160" w:rsidRDefault="007E2FE0" w:rsidP="00111FD5">
      <w:pPr>
        <w:pStyle w:val="enumlev1"/>
        <w:rPr>
          <w:rFonts w:cstheme="minorHAnsi"/>
          <w:szCs w:val="24"/>
          <w:lang w:val="es-ES"/>
        </w:rPr>
      </w:pPr>
      <w:r w:rsidRPr="00E11160">
        <w:rPr>
          <w:rFonts w:cstheme="minorHAnsi"/>
          <w:szCs w:val="24"/>
          <w:lang w:val="es-ES"/>
        </w:rPr>
        <w:t>2)</w:t>
      </w:r>
      <w:r w:rsidR="00111FD5">
        <w:rPr>
          <w:rFonts w:cstheme="minorHAnsi"/>
          <w:szCs w:val="24"/>
          <w:lang w:val="es-ES"/>
        </w:rPr>
        <w:tab/>
      </w:r>
      <w:r>
        <w:rPr>
          <w:rFonts w:cstheme="minorHAnsi"/>
          <w:szCs w:val="24"/>
          <w:lang w:val="es-ES"/>
        </w:rPr>
        <w:t>Habida cuenta de</w:t>
      </w:r>
      <w:r w:rsidRPr="00E11160">
        <w:rPr>
          <w:rFonts w:cstheme="minorHAnsi"/>
          <w:szCs w:val="24"/>
          <w:lang w:val="es-ES"/>
        </w:rPr>
        <w:t xml:space="preserve"> que la BDT es responsable de las oficinas regionales y de zona, los criterios identificados para el establecimiento de oficinas </w:t>
      </w:r>
      <w:r>
        <w:rPr>
          <w:rFonts w:cstheme="minorHAnsi"/>
          <w:szCs w:val="24"/>
          <w:lang w:val="es-ES"/>
        </w:rPr>
        <w:t>zonales</w:t>
      </w:r>
      <w:r w:rsidRPr="00E11160">
        <w:rPr>
          <w:rFonts w:cstheme="minorHAnsi"/>
          <w:szCs w:val="24"/>
          <w:lang w:val="es-ES"/>
        </w:rPr>
        <w:t xml:space="preserve"> debe</w:t>
      </w:r>
      <w:r>
        <w:rPr>
          <w:rFonts w:cstheme="minorHAnsi"/>
          <w:szCs w:val="24"/>
          <w:lang w:val="es-ES"/>
        </w:rPr>
        <w:t>n</w:t>
      </w:r>
      <w:r w:rsidRPr="00E11160">
        <w:rPr>
          <w:rFonts w:cstheme="minorHAnsi"/>
          <w:szCs w:val="24"/>
          <w:lang w:val="es-ES"/>
        </w:rPr>
        <w:t xml:space="preserve"> revisarse y debatirse </w:t>
      </w:r>
      <w:r>
        <w:rPr>
          <w:rFonts w:cstheme="minorHAnsi"/>
          <w:szCs w:val="24"/>
          <w:lang w:val="es-ES"/>
        </w:rPr>
        <w:t>en profundidad</w:t>
      </w:r>
      <w:r w:rsidRPr="00E11160">
        <w:rPr>
          <w:rFonts w:cstheme="minorHAnsi"/>
          <w:szCs w:val="24"/>
          <w:lang w:val="es-ES"/>
        </w:rPr>
        <w:t xml:space="preserve"> en el </w:t>
      </w:r>
      <w:r>
        <w:rPr>
          <w:rFonts w:cstheme="minorHAnsi"/>
          <w:szCs w:val="24"/>
          <w:lang w:val="es-ES"/>
        </w:rPr>
        <w:t xml:space="preserve">marco del </w:t>
      </w:r>
      <w:r w:rsidRPr="00E11160">
        <w:rPr>
          <w:rFonts w:cstheme="minorHAnsi"/>
          <w:szCs w:val="24"/>
          <w:lang w:val="es-ES"/>
        </w:rPr>
        <w:t xml:space="preserve">GADT y en </w:t>
      </w:r>
      <w:r>
        <w:rPr>
          <w:rFonts w:cstheme="minorHAnsi"/>
          <w:szCs w:val="24"/>
          <w:lang w:val="es-ES"/>
        </w:rPr>
        <w:t>la</w:t>
      </w:r>
      <w:r w:rsidRPr="00E11160">
        <w:rPr>
          <w:rFonts w:cstheme="minorHAnsi"/>
          <w:szCs w:val="24"/>
          <w:lang w:val="es-ES"/>
        </w:rPr>
        <w:t xml:space="preserve"> futur</w:t>
      </w:r>
      <w:r>
        <w:rPr>
          <w:rFonts w:cstheme="minorHAnsi"/>
          <w:szCs w:val="24"/>
          <w:lang w:val="es-ES"/>
        </w:rPr>
        <w:t>a reunión del</w:t>
      </w:r>
      <w:r w:rsidRPr="00E11160">
        <w:rPr>
          <w:rFonts w:cstheme="minorHAnsi"/>
          <w:szCs w:val="24"/>
          <w:lang w:val="es-ES"/>
        </w:rPr>
        <w:t xml:space="preserve"> Consejo. </w:t>
      </w:r>
      <w:r>
        <w:rPr>
          <w:rFonts w:cstheme="minorHAnsi"/>
          <w:szCs w:val="24"/>
          <w:lang w:val="es-ES"/>
        </w:rPr>
        <w:t>En ambos casos es necesario recopilar y</w:t>
      </w:r>
      <w:r w:rsidRPr="00E11160">
        <w:rPr>
          <w:rFonts w:cstheme="minorHAnsi"/>
          <w:szCs w:val="24"/>
          <w:lang w:val="es-ES"/>
        </w:rPr>
        <w:t xml:space="preserve"> </w:t>
      </w:r>
      <w:r>
        <w:rPr>
          <w:rFonts w:cstheme="minorHAnsi"/>
          <w:szCs w:val="24"/>
          <w:lang w:val="es-ES"/>
        </w:rPr>
        <w:t>analizar</w:t>
      </w:r>
      <w:r w:rsidRPr="00E11160">
        <w:rPr>
          <w:rFonts w:cstheme="minorHAnsi"/>
          <w:szCs w:val="24"/>
          <w:lang w:val="es-ES"/>
        </w:rPr>
        <w:t xml:space="preserve"> toda la información necesaria sobre las posibles deficiencias en </w:t>
      </w:r>
      <w:r>
        <w:rPr>
          <w:rFonts w:cstheme="minorHAnsi"/>
          <w:szCs w:val="24"/>
          <w:lang w:val="es-ES"/>
        </w:rPr>
        <w:t>cuanto al</w:t>
      </w:r>
      <w:r w:rsidRPr="00E11160">
        <w:rPr>
          <w:rFonts w:cstheme="minorHAnsi"/>
          <w:szCs w:val="24"/>
          <w:lang w:val="es-ES"/>
        </w:rPr>
        <w:t xml:space="preserve"> servicio </w:t>
      </w:r>
      <w:r>
        <w:rPr>
          <w:rFonts w:cstheme="minorHAnsi"/>
          <w:szCs w:val="24"/>
          <w:lang w:val="es-ES"/>
        </w:rPr>
        <w:t xml:space="preserve">prestado </w:t>
      </w:r>
      <w:r w:rsidRPr="00E11160">
        <w:rPr>
          <w:rFonts w:cstheme="minorHAnsi"/>
          <w:szCs w:val="24"/>
          <w:lang w:val="es-ES"/>
        </w:rPr>
        <w:t xml:space="preserve">a los Estados miembros y proponer el proceso, así como los criterios </w:t>
      </w:r>
      <w:r>
        <w:rPr>
          <w:rFonts w:cstheme="minorHAnsi"/>
          <w:szCs w:val="24"/>
          <w:lang w:val="es-ES"/>
        </w:rPr>
        <w:t>y los</w:t>
      </w:r>
      <w:r w:rsidRPr="00E11160">
        <w:rPr>
          <w:rFonts w:cstheme="minorHAnsi"/>
          <w:szCs w:val="24"/>
          <w:lang w:val="es-ES"/>
        </w:rPr>
        <w:t xml:space="preserve"> indicadores necesarios para cada región, a fin de </w:t>
      </w:r>
      <w:r>
        <w:rPr>
          <w:rFonts w:cstheme="minorHAnsi"/>
          <w:szCs w:val="24"/>
          <w:lang w:val="es-ES"/>
        </w:rPr>
        <w:t>proporcionar la información adecuada en la futura reunión del</w:t>
      </w:r>
      <w:r w:rsidRPr="00E11160">
        <w:rPr>
          <w:rFonts w:cstheme="minorHAnsi"/>
          <w:szCs w:val="24"/>
          <w:lang w:val="es-ES"/>
        </w:rPr>
        <w:t xml:space="preserve"> Consejo para </w:t>
      </w:r>
      <w:r>
        <w:rPr>
          <w:rFonts w:cstheme="minorHAnsi"/>
          <w:szCs w:val="24"/>
          <w:lang w:val="es-ES"/>
        </w:rPr>
        <w:t>que la examine</w:t>
      </w:r>
      <w:r w:rsidRPr="00E11160">
        <w:rPr>
          <w:rFonts w:cstheme="minorHAnsi"/>
          <w:szCs w:val="24"/>
          <w:lang w:val="es-ES"/>
        </w:rPr>
        <w:t>.</w:t>
      </w:r>
    </w:p>
    <w:p w14:paraId="7D5762B9" w14:textId="7F59A3AC" w:rsidR="007E2FE0" w:rsidRPr="00E11160" w:rsidRDefault="007E2FE0" w:rsidP="00111FD5">
      <w:pPr>
        <w:pStyle w:val="enumlev1"/>
        <w:rPr>
          <w:rFonts w:cstheme="minorHAnsi"/>
          <w:szCs w:val="24"/>
          <w:lang w:val="es-ES"/>
        </w:rPr>
      </w:pPr>
      <w:r w:rsidRPr="00E11160">
        <w:rPr>
          <w:rFonts w:cstheme="minorHAnsi"/>
          <w:szCs w:val="24"/>
          <w:lang w:val="es-ES"/>
        </w:rPr>
        <w:lastRenderedPageBreak/>
        <w:t>3)</w:t>
      </w:r>
      <w:r w:rsidR="00111FD5">
        <w:rPr>
          <w:rFonts w:cstheme="minorHAnsi"/>
          <w:szCs w:val="24"/>
          <w:lang w:val="es-ES"/>
        </w:rPr>
        <w:tab/>
      </w:r>
      <w:r w:rsidRPr="00E11160">
        <w:rPr>
          <w:rFonts w:cstheme="minorHAnsi"/>
          <w:szCs w:val="24"/>
          <w:lang w:val="es-ES"/>
        </w:rPr>
        <w:t xml:space="preserve">El principal objetivo de la creación de una oficina de zona es prestar mejores servicios a los Estados miembros que </w:t>
      </w:r>
      <w:r>
        <w:rPr>
          <w:rFonts w:cstheme="minorHAnsi"/>
          <w:szCs w:val="24"/>
          <w:lang w:val="es-ES"/>
        </w:rPr>
        <w:t>precisen</w:t>
      </w:r>
      <w:r w:rsidRPr="00E11160">
        <w:rPr>
          <w:rFonts w:cstheme="minorHAnsi"/>
          <w:szCs w:val="24"/>
          <w:lang w:val="es-ES"/>
        </w:rPr>
        <w:t xml:space="preserve"> </w:t>
      </w:r>
      <w:r w:rsidR="00605A5D">
        <w:rPr>
          <w:rFonts w:cstheme="minorHAnsi"/>
          <w:szCs w:val="24"/>
          <w:lang w:val="es-ES"/>
        </w:rPr>
        <w:t>asistencia</w:t>
      </w:r>
      <w:r w:rsidRPr="00E11160">
        <w:rPr>
          <w:rFonts w:cstheme="minorHAnsi"/>
          <w:szCs w:val="24"/>
          <w:lang w:val="es-ES"/>
        </w:rPr>
        <w:t xml:space="preserve">. </w:t>
      </w:r>
      <w:r>
        <w:rPr>
          <w:rFonts w:cstheme="minorHAnsi"/>
          <w:szCs w:val="24"/>
          <w:lang w:val="es-ES"/>
        </w:rPr>
        <w:t>Todo</w:t>
      </w:r>
      <w:r w:rsidRPr="00E11160">
        <w:rPr>
          <w:rFonts w:cstheme="minorHAnsi"/>
          <w:szCs w:val="24"/>
          <w:lang w:val="es-ES"/>
        </w:rPr>
        <w:t xml:space="preserve"> criterio que se elabore para el establecimiento de una nueva oficina de zona deberá cumplir ese objetivo.</w:t>
      </w:r>
    </w:p>
    <w:p w14:paraId="1C734D1E" w14:textId="19804209" w:rsidR="007E2FE0" w:rsidRPr="00E11160" w:rsidRDefault="007E2FE0" w:rsidP="00111FD5">
      <w:pPr>
        <w:pStyle w:val="enumlev1"/>
        <w:rPr>
          <w:rFonts w:cstheme="minorHAnsi"/>
          <w:szCs w:val="24"/>
          <w:lang w:val="es-ES"/>
        </w:rPr>
      </w:pPr>
      <w:r w:rsidRPr="00E11160">
        <w:rPr>
          <w:rFonts w:cstheme="minorHAnsi"/>
          <w:szCs w:val="24"/>
          <w:lang w:val="es-ES"/>
        </w:rPr>
        <w:t>4)</w:t>
      </w:r>
      <w:r w:rsidR="00111FD5">
        <w:rPr>
          <w:rFonts w:cstheme="minorHAnsi"/>
          <w:szCs w:val="24"/>
          <w:lang w:val="es-ES"/>
        </w:rPr>
        <w:tab/>
      </w:r>
      <w:r w:rsidRPr="00E11160">
        <w:rPr>
          <w:rFonts w:cstheme="minorHAnsi"/>
          <w:szCs w:val="24"/>
          <w:lang w:val="es-ES"/>
        </w:rPr>
        <w:t xml:space="preserve">El establecimiento de oficinas de zona debe tener en cuenta el desarrollo social y económico de los países a los que se </w:t>
      </w:r>
      <w:r>
        <w:rPr>
          <w:rFonts w:cstheme="minorHAnsi"/>
          <w:szCs w:val="24"/>
          <w:lang w:val="es-ES"/>
        </w:rPr>
        <w:t>presta servicio</w:t>
      </w:r>
      <w:r w:rsidRPr="00E11160">
        <w:rPr>
          <w:rFonts w:cstheme="minorHAnsi"/>
          <w:szCs w:val="24"/>
          <w:lang w:val="es-ES"/>
        </w:rPr>
        <w:t xml:space="preserve">, </w:t>
      </w:r>
      <w:r>
        <w:rPr>
          <w:rFonts w:cstheme="minorHAnsi"/>
          <w:szCs w:val="24"/>
          <w:lang w:val="es-ES"/>
        </w:rPr>
        <w:t>en particular</w:t>
      </w:r>
      <w:r w:rsidRPr="00E11160">
        <w:rPr>
          <w:rFonts w:cstheme="minorHAnsi"/>
          <w:szCs w:val="24"/>
          <w:lang w:val="es-ES"/>
        </w:rPr>
        <w:t xml:space="preserve"> las oficinas de zona que atienden a los Países Menos Adelantados (PMA).</w:t>
      </w:r>
    </w:p>
    <w:p w14:paraId="0E623FC2" w14:textId="7FE184B0" w:rsidR="007E2FE0" w:rsidRPr="00D91686" w:rsidRDefault="007E2FE0" w:rsidP="003637AF">
      <w:pPr>
        <w:rPr>
          <w:rFonts w:cstheme="minorHAnsi"/>
          <w:szCs w:val="24"/>
          <w:lang w:val="es-ES"/>
        </w:rPr>
      </w:pPr>
      <w:r w:rsidRPr="00D91686">
        <w:rPr>
          <w:rFonts w:cstheme="minorHAnsi"/>
          <w:szCs w:val="24"/>
          <w:lang w:val="es-ES"/>
        </w:rPr>
        <w:t>3.3</w:t>
      </w:r>
      <w:r w:rsidR="00111FD5">
        <w:rPr>
          <w:rFonts w:cstheme="minorHAnsi"/>
          <w:szCs w:val="24"/>
          <w:lang w:val="es-ES"/>
        </w:rPr>
        <w:tab/>
      </w:r>
      <w:hyperlink r:id="rId39" w:history="1">
        <w:r w:rsidRPr="00D91686">
          <w:rPr>
            <w:rStyle w:val="Hyperlink"/>
            <w:rFonts w:cstheme="minorHAnsi"/>
            <w:szCs w:val="24"/>
            <w:lang w:val="es-ES"/>
          </w:rPr>
          <w:t xml:space="preserve">CWG-FHR-20/2 </w:t>
        </w:r>
      </w:hyperlink>
      <w:r w:rsidRPr="00D91686">
        <w:rPr>
          <w:rFonts w:cstheme="minorHAnsi"/>
          <w:szCs w:val="24"/>
          <w:lang w:val="es-ES"/>
        </w:rPr>
        <w:t xml:space="preserve">y </w:t>
      </w:r>
      <w:hyperlink r:id="rId40" w:history="1">
        <w:r w:rsidRPr="00D91686">
          <w:rPr>
            <w:rStyle w:val="Hyperlink"/>
            <w:rFonts w:cstheme="minorHAnsi"/>
            <w:szCs w:val="24"/>
            <w:lang w:val="es-ES"/>
          </w:rPr>
          <w:t>CWG-FHR-20/DT/1</w:t>
        </w:r>
      </w:hyperlink>
      <w:r w:rsidRPr="00D91686">
        <w:rPr>
          <w:rFonts w:cstheme="minorHAnsi"/>
          <w:szCs w:val="24"/>
          <w:lang w:val="es-ES"/>
        </w:rPr>
        <w:t xml:space="preserve"> </w:t>
      </w:r>
    </w:p>
    <w:p w14:paraId="6A34B05E" w14:textId="3DBB8636" w:rsidR="007E2FE0" w:rsidRPr="00E11160" w:rsidRDefault="007E2FE0" w:rsidP="003637AF">
      <w:pPr>
        <w:rPr>
          <w:kern w:val="2"/>
          <w:lang w:val="es-ES"/>
          <w14:ligatures w14:val="standardContextual"/>
        </w:rPr>
      </w:pPr>
      <w:r w:rsidRPr="00E11160">
        <w:rPr>
          <w:lang w:val="es-ES"/>
        </w:rPr>
        <w:t>3.3.1</w:t>
      </w:r>
      <w:r w:rsidR="00111FD5">
        <w:rPr>
          <w:lang w:val="es-ES"/>
        </w:rPr>
        <w:tab/>
      </w:r>
      <w:r w:rsidRPr="00E11160">
        <w:rPr>
          <w:rStyle w:val="normaltextrun"/>
          <w:rFonts w:cstheme="minorHAnsi"/>
          <w:color w:val="000000"/>
          <w:szCs w:val="24"/>
          <w:shd w:val="clear" w:color="auto" w:fill="FFFFFF"/>
          <w:lang w:val="es-ES"/>
        </w:rPr>
        <w:t>La 19</w:t>
      </w:r>
      <w:r>
        <w:rPr>
          <w:rStyle w:val="normaltextrun"/>
          <w:rFonts w:cstheme="minorHAnsi"/>
          <w:color w:val="000000"/>
          <w:szCs w:val="24"/>
          <w:shd w:val="clear" w:color="auto" w:fill="FFFFFF"/>
          <w:lang w:val="es-ES"/>
        </w:rPr>
        <w:t>ª reunión</w:t>
      </w:r>
      <w:r w:rsidRPr="00E11160">
        <w:rPr>
          <w:rStyle w:val="normaltextrun"/>
          <w:rFonts w:cstheme="minorHAnsi"/>
          <w:color w:val="000000"/>
          <w:szCs w:val="24"/>
          <w:shd w:val="clear" w:color="auto" w:fill="FFFFFF"/>
          <w:lang w:val="es-ES"/>
        </w:rPr>
        <w:t xml:space="preserve"> </w:t>
      </w:r>
      <w:r w:rsidRPr="00E11160">
        <w:rPr>
          <w:shd w:val="clear" w:color="auto" w:fill="FFFFFF"/>
          <w:lang w:val="es-ES"/>
        </w:rPr>
        <w:t xml:space="preserve">del </w:t>
      </w:r>
      <w:r w:rsidRPr="00D91686">
        <w:rPr>
          <w:shd w:val="clear" w:color="auto" w:fill="FFFFFF"/>
          <w:lang w:val="es-ES"/>
        </w:rPr>
        <w:t xml:space="preserve">Grupo de Trabajo del Consejo sobre Recursos Humanos y Financieros </w:t>
      </w:r>
      <w:r w:rsidRPr="00E11160">
        <w:rPr>
          <w:shd w:val="clear" w:color="auto" w:fill="FFFFFF"/>
          <w:lang w:val="es-ES"/>
        </w:rPr>
        <w:t>(</w:t>
      </w:r>
      <w:r>
        <w:rPr>
          <w:shd w:val="clear" w:color="auto" w:fill="FFFFFF"/>
          <w:lang w:val="es-ES"/>
        </w:rPr>
        <w:t>GTC-RHF</w:t>
      </w:r>
      <w:r w:rsidRPr="00E11160">
        <w:rPr>
          <w:shd w:val="clear" w:color="auto" w:fill="FFFFFF"/>
          <w:lang w:val="es-ES"/>
        </w:rPr>
        <w:t xml:space="preserve">) tomó la decisión de establecer </w:t>
      </w:r>
      <w:r w:rsidRPr="00E11160">
        <w:rPr>
          <w:rStyle w:val="normaltextrun"/>
          <w:rFonts w:cstheme="minorHAnsi"/>
          <w:color w:val="000000"/>
          <w:szCs w:val="24"/>
          <w:shd w:val="clear" w:color="auto" w:fill="FFFFFF"/>
          <w:lang w:val="es-ES"/>
        </w:rPr>
        <w:t xml:space="preserve">un Grupo por correspondencia en línea </w:t>
      </w:r>
      <w:r>
        <w:rPr>
          <w:rStyle w:val="normaltextrun"/>
          <w:rFonts w:cstheme="minorHAnsi"/>
          <w:color w:val="000000"/>
          <w:szCs w:val="24"/>
          <w:shd w:val="clear" w:color="auto" w:fill="FFFFFF"/>
          <w:lang w:val="es-ES"/>
        </w:rPr>
        <w:t>a fin de</w:t>
      </w:r>
      <w:r w:rsidRPr="00E11160">
        <w:rPr>
          <w:rStyle w:val="normaltextrun"/>
          <w:rFonts w:cstheme="minorHAnsi"/>
          <w:color w:val="000000"/>
          <w:szCs w:val="24"/>
          <w:shd w:val="clear" w:color="auto" w:fill="FFFFFF"/>
          <w:lang w:val="es-ES"/>
        </w:rPr>
        <w:t xml:space="preserve"> </w:t>
      </w:r>
      <w:r>
        <w:rPr>
          <w:rStyle w:val="normaltextrun"/>
          <w:rFonts w:cstheme="minorHAnsi"/>
          <w:color w:val="000000"/>
          <w:szCs w:val="24"/>
          <w:shd w:val="clear" w:color="auto" w:fill="FFFFFF"/>
          <w:lang w:val="es-ES"/>
        </w:rPr>
        <w:t xml:space="preserve">formular el mandato necesario </w:t>
      </w:r>
      <w:r w:rsidRPr="00E11160">
        <w:rPr>
          <w:kern w:val="2"/>
          <w:lang w:val="es-ES"/>
          <w14:ligatures w14:val="standardContextual"/>
        </w:rPr>
        <w:t xml:space="preserve">para que la secretaría de la UIT </w:t>
      </w:r>
      <w:r>
        <w:rPr>
          <w:kern w:val="2"/>
          <w:lang w:val="es-ES"/>
          <w14:ligatures w14:val="standardContextual"/>
        </w:rPr>
        <w:t>revise</w:t>
      </w:r>
      <w:r w:rsidRPr="00E11160">
        <w:rPr>
          <w:kern w:val="2"/>
          <w:lang w:val="es-ES"/>
          <w14:ligatures w14:val="standardContextual"/>
        </w:rPr>
        <w:t xml:space="preserve"> la presencia regional </w:t>
      </w:r>
      <w:r>
        <w:rPr>
          <w:kern w:val="2"/>
          <w:lang w:val="es-ES"/>
          <w14:ligatures w14:val="standardContextual"/>
        </w:rPr>
        <w:t>con arreglo a lo establecido en</w:t>
      </w:r>
      <w:r w:rsidRPr="00E11160">
        <w:rPr>
          <w:kern w:val="2"/>
          <w:lang w:val="es-ES"/>
          <w14:ligatures w14:val="standardContextual"/>
        </w:rPr>
        <w:t xml:space="preserve"> la </w:t>
      </w:r>
      <w:hyperlink r:id="rId41" w:history="1">
        <w:r w:rsidRPr="008F1499">
          <w:rPr>
            <w:rStyle w:val="Hyperlink"/>
            <w:rFonts w:eastAsia="Batang" w:cstheme="minorBidi"/>
            <w:i/>
            <w:color w:val="0000FF"/>
            <w:szCs w:val="24"/>
          </w:rPr>
          <w:t xml:space="preserve">Resolución 25 </w:t>
        </w:r>
      </w:hyperlink>
      <w:r w:rsidRPr="00E11160">
        <w:rPr>
          <w:i/>
          <w:lang w:val="es-ES"/>
        </w:rPr>
        <w:t>(Rev. Bucarest, 2022)</w:t>
      </w:r>
      <w:r w:rsidRPr="00E11160">
        <w:rPr>
          <w:kern w:val="2"/>
          <w:lang w:val="es-ES"/>
          <w14:ligatures w14:val="standardContextual"/>
        </w:rPr>
        <w:t xml:space="preserve">. </w:t>
      </w:r>
      <w:r w:rsidRPr="00E11160">
        <w:rPr>
          <w:lang w:val="es-ES"/>
        </w:rPr>
        <w:t xml:space="preserve">Se encargó </w:t>
      </w:r>
      <w:r>
        <w:rPr>
          <w:lang w:val="es-ES"/>
        </w:rPr>
        <w:t>a dicho</w:t>
      </w:r>
      <w:r w:rsidRPr="00E11160">
        <w:rPr>
          <w:lang w:val="es-ES"/>
        </w:rPr>
        <w:t xml:space="preserve"> Grupo por correspondencia que revisara </w:t>
      </w:r>
      <w:r>
        <w:rPr>
          <w:lang w:val="es-ES"/>
        </w:rPr>
        <w:t xml:space="preserve">el </w:t>
      </w:r>
      <w:r w:rsidR="003637AF">
        <w:rPr>
          <w:lang w:val="es-ES"/>
        </w:rPr>
        <w:t>mandato</w:t>
      </w:r>
      <w:r w:rsidR="003637AF" w:rsidRPr="00E11160">
        <w:rPr>
          <w:lang w:val="es-ES"/>
        </w:rPr>
        <w:t xml:space="preserve"> presentado</w:t>
      </w:r>
      <w:r w:rsidRPr="00E11160">
        <w:rPr>
          <w:lang w:val="es-ES"/>
        </w:rPr>
        <w:t xml:space="preserve"> en la 19</w:t>
      </w:r>
      <w:r w:rsidRPr="00E11160">
        <w:rPr>
          <w:vertAlign w:val="superscript"/>
          <w:lang w:val="es-ES"/>
        </w:rPr>
        <w:t xml:space="preserve">a </w:t>
      </w:r>
      <w:r w:rsidRPr="00E11160">
        <w:rPr>
          <w:lang w:val="es-ES"/>
        </w:rPr>
        <w:t xml:space="preserve">reunión del </w:t>
      </w:r>
      <w:r>
        <w:rPr>
          <w:shd w:val="clear" w:color="auto" w:fill="FFFFFF"/>
          <w:lang w:val="es-ES"/>
        </w:rPr>
        <w:t>GTC-RHF</w:t>
      </w:r>
      <w:r w:rsidRPr="00E11160">
        <w:rPr>
          <w:lang w:val="es-ES"/>
        </w:rPr>
        <w:t xml:space="preserve"> y que presentara su informe en </w:t>
      </w:r>
      <w:r>
        <w:rPr>
          <w:lang w:val="es-ES"/>
        </w:rPr>
        <w:t>su</w:t>
      </w:r>
      <w:r w:rsidRPr="00E11160">
        <w:rPr>
          <w:lang w:val="es-ES"/>
        </w:rPr>
        <w:t xml:space="preserve"> 20</w:t>
      </w:r>
      <w:r w:rsidRPr="00E11160">
        <w:rPr>
          <w:vertAlign w:val="superscript"/>
          <w:lang w:val="es-ES"/>
        </w:rPr>
        <w:t xml:space="preserve">a </w:t>
      </w:r>
      <w:r w:rsidRPr="00E11160">
        <w:rPr>
          <w:lang w:val="es-ES"/>
        </w:rPr>
        <w:t>reunión.</w:t>
      </w:r>
    </w:p>
    <w:p w14:paraId="025EFD83" w14:textId="4E65CD08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3.3.2</w:t>
      </w:r>
      <w:r w:rsidR="00111FD5">
        <w:rPr>
          <w:lang w:val="es-ES"/>
        </w:rPr>
        <w:tab/>
      </w:r>
      <w:r>
        <w:rPr>
          <w:lang w:val="es-ES"/>
        </w:rPr>
        <w:t>D</w:t>
      </w:r>
      <w:r w:rsidRPr="00E11160">
        <w:rPr>
          <w:lang w:val="es-ES"/>
        </w:rPr>
        <w:t xml:space="preserve">el 22 de noviembre de 2024 </w:t>
      </w:r>
      <w:r>
        <w:rPr>
          <w:lang w:val="es-ES"/>
        </w:rPr>
        <w:t>a</w:t>
      </w:r>
      <w:r w:rsidRPr="00E11160">
        <w:rPr>
          <w:lang w:val="es-ES"/>
        </w:rPr>
        <w:t>l 15 de enero de 2025, el Grupo por correspondencia llevó a cabo su labor</w:t>
      </w:r>
      <w:r>
        <w:rPr>
          <w:lang w:val="es-ES"/>
        </w:rPr>
        <w:t xml:space="preserve"> mediante </w:t>
      </w:r>
      <w:r w:rsidRPr="00E11160">
        <w:rPr>
          <w:lang w:val="es-ES"/>
        </w:rPr>
        <w:t>herramientas en línea</w:t>
      </w:r>
      <w:r>
        <w:rPr>
          <w:lang w:val="es-ES"/>
        </w:rPr>
        <w:t>, a fin de</w:t>
      </w:r>
      <w:r w:rsidRPr="00E11160">
        <w:rPr>
          <w:lang w:val="es-ES"/>
        </w:rPr>
        <w:t xml:space="preserve"> facilitar la colaboración entre los miembros. Se convocaron tres reuniones virtuales que </w:t>
      </w:r>
      <w:r>
        <w:rPr>
          <w:lang w:val="es-ES"/>
        </w:rPr>
        <w:t>facilitaron</w:t>
      </w:r>
      <w:r w:rsidRPr="00E11160">
        <w:rPr>
          <w:lang w:val="es-ES"/>
        </w:rPr>
        <w:t xml:space="preserve"> debates en profundidad y el intercambio </w:t>
      </w:r>
      <w:r>
        <w:rPr>
          <w:lang w:val="es-ES"/>
        </w:rPr>
        <w:t>de opiniones de índole diversa</w:t>
      </w:r>
      <w:r w:rsidRPr="00E11160">
        <w:rPr>
          <w:lang w:val="es-ES"/>
        </w:rPr>
        <w:t xml:space="preserve">. </w:t>
      </w:r>
    </w:p>
    <w:p w14:paraId="11304BA1" w14:textId="3060CA65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>3.3.3</w:t>
      </w:r>
      <w:r w:rsidR="00111FD5">
        <w:rPr>
          <w:lang w:val="es-ES"/>
        </w:rPr>
        <w:tab/>
      </w:r>
      <w:r w:rsidRPr="00E11160">
        <w:rPr>
          <w:lang w:val="es-ES"/>
        </w:rPr>
        <w:t xml:space="preserve">Mediante un análisis </w:t>
      </w:r>
      <w:r>
        <w:rPr>
          <w:lang w:val="es-ES"/>
        </w:rPr>
        <w:t>pormenorizado</w:t>
      </w:r>
      <w:r w:rsidRPr="00E11160">
        <w:rPr>
          <w:lang w:val="es-ES"/>
        </w:rPr>
        <w:t xml:space="preserve"> de la Resolución 25, el Grupo por correspondencia </w:t>
      </w:r>
      <w:r>
        <w:rPr>
          <w:lang w:val="es-ES"/>
        </w:rPr>
        <w:t>revisó el citado mandato</w:t>
      </w:r>
      <w:r w:rsidRPr="00E11160">
        <w:rPr>
          <w:lang w:val="es-ES"/>
        </w:rPr>
        <w:t xml:space="preserve">. El objetivo de </w:t>
      </w:r>
      <w:r>
        <w:rPr>
          <w:lang w:val="es-ES"/>
        </w:rPr>
        <w:t>la revisión fue completar y mejorar</w:t>
      </w:r>
      <w:r w:rsidRPr="00E11160">
        <w:rPr>
          <w:lang w:val="es-ES"/>
        </w:rPr>
        <w:t xml:space="preserve"> el examen de la presencia regional de la UIT, con </w:t>
      </w:r>
      <w:r>
        <w:rPr>
          <w:lang w:val="es-ES"/>
        </w:rPr>
        <w:t>miras</w:t>
      </w:r>
      <w:r w:rsidRPr="00E11160">
        <w:rPr>
          <w:lang w:val="es-ES"/>
        </w:rPr>
        <w:t xml:space="preserve"> a mejorar la eficacia </w:t>
      </w:r>
      <w:r>
        <w:rPr>
          <w:lang w:val="es-ES"/>
        </w:rPr>
        <w:t>operacional</w:t>
      </w:r>
      <w:r w:rsidRPr="00E11160">
        <w:rPr>
          <w:lang w:val="es-ES"/>
        </w:rPr>
        <w:t xml:space="preserve"> y fomentar </w:t>
      </w:r>
      <w:r>
        <w:rPr>
          <w:lang w:val="es-ES"/>
        </w:rPr>
        <w:t>la colaboración</w:t>
      </w:r>
      <w:r w:rsidRPr="00E11160">
        <w:rPr>
          <w:lang w:val="es-ES"/>
        </w:rPr>
        <w:t xml:space="preserve"> con las oficinas regionales y de zona.</w:t>
      </w:r>
    </w:p>
    <w:p w14:paraId="04D22C72" w14:textId="1668C567" w:rsidR="007E2FE0" w:rsidRPr="00E11160" w:rsidRDefault="007E2FE0" w:rsidP="003637AF">
      <w:pPr>
        <w:rPr>
          <w:rFonts w:eastAsia="Calibri"/>
          <w:lang w:val="es-ES"/>
        </w:rPr>
      </w:pPr>
      <w:r w:rsidRPr="00E11160">
        <w:rPr>
          <w:lang w:val="es-ES"/>
        </w:rPr>
        <w:t>3.3.4</w:t>
      </w:r>
      <w:r w:rsidR="00111FD5">
        <w:rPr>
          <w:lang w:val="es-ES"/>
        </w:rPr>
        <w:tab/>
      </w:r>
      <w:r>
        <w:rPr>
          <w:lang w:val="es-ES"/>
        </w:rPr>
        <w:t>En los</w:t>
      </w:r>
      <w:r w:rsidRPr="00E11160">
        <w:rPr>
          <w:lang w:val="es-ES"/>
        </w:rPr>
        <w:t xml:space="preserve"> documentos para la 20</w:t>
      </w:r>
      <w:r w:rsidRPr="00E11160">
        <w:rPr>
          <w:vertAlign w:val="superscript"/>
          <w:lang w:val="es-ES"/>
        </w:rPr>
        <w:t xml:space="preserve">a </w:t>
      </w:r>
      <w:r w:rsidRPr="00E11160">
        <w:rPr>
          <w:lang w:val="es-ES"/>
        </w:rPr>
        <w:t xml:space="preserve">reunión del </w:t>
      </w:r>
      <w:r>
        <w:rPr>
          <w:color w:val="000000"/>
          <w:shd w:val="clear" w:color="auto" w:fill="FFFFFF"/>
          <w:lang w:val="es-ES"/>
        </w:rPr>
        <w:t>GTC-RHF</w:t>
      </w:r>
      <w:r w:rsidRPr="00E11160">
        <w:rPr>
          <w:lang w:val="es-ES"/>
        </w:rPr>
        <w:t xml:space="preserve"> </w:t>
      </w:r>
      <w:r>
        <w:rPr>
          <w:lang w:val="es-ES"/>
        </w:rPr>
        <w:t xml:space="preserve">se </w:t>
      </w:r>
      <w:r w:rsidRPr="00E11160">
        <w:rPr>
          <w:lang w:val="es-ES"/>
        </w:rPr>
        <w:t>presenta el trabajo realizado por el Grupo de Correspondencia en Línea</w:t>
      </w:r>
      <w:r>
        <w:rPr>
          <w:lang w:val="es-ES"/>
        </w:rPr>
        <w:t xml:space="preserve">, incluido el mandato </w:t>
      </w:r>
      <w:r w:rsidRPr="00E11160">
        <w:rPr>
          <w:lang w:val="es-ES"/>
        </w:rPr>
        <w:t xml:space="preserve">(véase el Anexo A del Documento </w:t>
      </w:r>
      <w:hyperlink r:id="rId42" w:history="1">
        <w:r w:rsidR="00F66591" w:rsidRPr="00F66591">
          <w:rPr>
            <w:rStyle w:val="Hyperlink"/>
            <w:rFonts w:cstheme="minorHAnsi"/>
            <w:szCs w:val="24"/>
            <w:lang w:val="es-ES"/>
          </w:rPr>
          <w:t>TDAG25/24(Ann.1)</w:t>
        </w:r>
      </w:hyperlink>
      <w:r w:rsidRPr="00E11160">
        <w:rPr>
          <w:lang w:val="es-ES"/>
        </w:rPr>
        <w:t xml:space="preserve">) que proporciona un marco estratégico para </w:t>
      </w:r>
      <w:r>
        <w:rPr>
          <w:lang w:val="es-ES"/>
        </w:rPr>
        <w:t>orientar</w:t>
      </w:r>
      <w:r w:rsidRPr="00E11160">
        <w:rPr>
          <w:lang w:val="es-ES"/>
        </w:rPr>
        <w:t xml:space="preserve"> el proceso de revisión </w:t>
      </w:r>
      <w:r>
        <w:rPr>
          <w:lang w:val="es-ES"/>
        </w:rPr>
        <w:t>de forma que</w:t>
      </w:r>
      <w:r w:rsidRPr="00E11160">
        <w:rPr>
          <w:lang w:val="es-ES"/>
        </w:rPr>
        <w:t xml:space="preserve"> sea exhaustivo</w:t>
      </w:r>
      <w:r>
        <w:rPr>
          <w:lang w:val="es-ES"/>
        </w:rPr>
        <w:t xml:space="preserve"> y</w:t>
      </w:r>
      <w:r w:rsidRPr="00E11160">
        <w:rPr>
          <w:lang w:val="es-ES"/>
        </w:rPr>
        <w:t xml:space="preserve"> </w:t>
      </w:r>
      <w:r>
        <w:rPr>
          <w:lang w:val="es-ES"/>
        </w:rPr>
        <w:t>eficaz, a tenor de los</w:t>
      </w:r>
      <w:r w:rsidRPr="00E11160">
        <w:rPr>
          <w:lang w:val="es-ES"/>
        </w:rPr>
        <w:t xml:space="preserve"> objetivos a largo plazo de la organización.</w:t>
      </w:r>
    </w:p>
    <w:p w14:paraId="0DFFCA70" w14:textId="0DA127F0" w:rsidR="007E2FE0" w:rsidRPr="00E11160" w:rsidRDefault="007E2FE0" w:rsidP="00111FD5">
      <w:pPr>
        <w:pStyle w:val="Heading1"/>
        <w:tabs>
          <w:tab w:val="num" w:pos="360"/>
        </w:tabs>
        <w:rPr>
          <w:rFonts w:cstheme="minorHAnsi"/>
          <w:sz w:val="24"/>
          <w:szCs w:val="24"/>
          <w:lang w:val="es-ES"/>
        </w:rPr>
      </w:pPr>
      <w:r w:rsidRPr="00111FD5">
        <w:rPr>
          <w:sz w:val="24"/>
          <w:szCs w:val="24"/>
          <w:lang w:val="es-ES"/>
        </w:rPr>
        <w:t>4</w:t>
      </w:r>
      <w:r w:rsidRPr="00111FD5">
        <w:rPr>
          <w:sz w:val="24"/>
          <w:szCs w:val="24"/>
          <w:lang w:val="es-ES"/>
        </w:rPr>
        <w:tab/>
        <w:t>Conclusión</w:t>
      </w:r>
    </w:p>
    <w:p w14:paraId="2905E6EE" w14:textId="42F5E790" w:rsidR="007E2FE0" w:rsidRPr="00E11160" w:rsidRDefault="007E2FE0" w:rsidP="003637AF">
      <w:pPr>
        <w:rPr>
          <w:lang w:val="es-ES"/>
        </w:rPr>
      </w:pPr>
      <w:r w:rsidRPr="00E11160">
        <w:rPr>
          <w:lang w:val="es-ES"/>
        </w:rPr>
        <w:t xml:space="preserve">Se invita al GADT a </w:t>
      </w:r>
      <w:r>
        <w:rPr>
          <w:lang w:val="es-ES"/>
        </w:rPr>
        <w:t>que tome</w:t>
      </w:r>
      <w:r w:rsidRPr="00E11160">
        <w:rPr>
          <w:lang w:val="es-ES"/>
        </w:rPr>
        <w:t xml:space="preserve"> nota de</w:t>
      </w:r>
      <w:r>
        <w:rPr>
          <w:lang w:val="es-ES"/>
        </w:rPr>
        <w:t>l presente</w:t>
      </w:r>
      <w:r w:rsidRPr="00E11160">
        <w:rPr>
          <w:lang w:val="es-ES"/>
        </w:rPr>
        <w:t xml:space="preserve"> documento y a </w:t>
      </w:r>
      <w:r>
        <w:rPr>
          <w:lang w:val="es-ES"/>
        </w:rPr>
        <w:t xml:space="preserve">que </w:t>
      </w:r>
      <w:r w:rsidR="00111FD5">
        <w:rPr>
          <w:lang w:val="es-ES"/>
        </w:rPr>
        <w:t>proporcione</w:t>
      </w:r>
      <w:r w:rsidRPr="00E11160">
        <w:rPr>
          <w:lang w:val="es-ES"/>
        </w:rPr>
        <w:t xml:space="preserve"> las orientaciones que considere oportunas como aportación a la próxima reunión del Consejo.</w:t>
      </w:r>
    </w:p>
    <w:p w14:paraId="6A6E2713" w14:textId="77777777" w:rsidR="007E2FE0" w:rsidRPr="00605A5D" w:rsidRDefault="007E2FE0" w:rsidP="00411C49">
      <w:pPr>
        <w:pStyle w:val="Reasons"/>
        <w:rPr>
          <w:lang w:val="es-ES"/>
        </w:rPr>
      </w:pPr>
    </w:p>
    <w:p w14:paraId="1EDDF93E" w14:textId="77777777" w:rsidR="007E2FE0" w:rsidRDefault="007E2FE0">
      <w:pPr>
        <w:jc w:val="center"/>
      </w:pPr>
      <w:r>
        <w:t>______________</w:t>
      </w:r>
    </w:p>
    <w:sectPr w:rsidR="007E2FE0" w:rsidSect="00473791">
      <w:headerReference w:type="default" r:id="rId43"/>
      <w:footerReference w:type="first" r:id="rId4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0AD6A" w14:textId="77777777" w:rsidR="00F668ED" w:rsidRDefault="00F668ED">
      <w:r>
        <w:separator/>
      </w:r>
    </w:p>
  </w:endnote>
  <w:endnote w:type="continuationSeparator" w:id="0">
    <w:p w14:paraId="6EF3BF61" w14:textId="77777777" w:rsidR="00F668ED" w:rsidRDefault="00F6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993"/>
      <w:gridCol w:w="2693"/>
      <w:gridCol w:w="5919"/>
    </w:tblGrid>
    <w:tr w:rsidR="007E2FE0" w:rsidRPr="008F1499" w14:paraId="29389D44" w14:textId="77777777" w:rsidTr="007E2FE0">
      <w:tc>
        <w:tcPr>
          <w:tcW w:w="993" w:type="dxa"/>
          <w:tcBorders>
            <w:top w:val="single" w:sz="4" w:space="0" w:color="000000" w:themeColor="text1"/>
          </w:tcBorders>
        </w:tcPr>
        <w:p w14:paraId="7413B722" w14:textId="77777777" w:rsidR="007E2FE0" w:rsidRPr="00AA7892" w:rsidRDefault="007E2FE0" w:rsidP="007E2FE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Contacto:</w:t>
          </w:r>
        </w:p>
      </w:tc>
      <w:tc>
        <w:tcPr>
          <w:tcW w:w="2693" w:type="dxa"/>
          <w:tcBorders>
            <w:top w:val="single" w:sz="4" w:space="0" w:color="000000" w:themeColor="text1"/>
          </w:tcBorders>
        </w:tcPr>
        <w:p w14:paraId="33658B50" w14:textId="77777777" w:rsidR="007E2FE0" w:rsidRPr="00AA7892" w:rsidRDefault="007E2FE0" w:rsidP="007E2FE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Nombre/Organización/Entidad: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60ADD922" w14:textId="0CD22063" w:rsidR="007E2FE0" w:rsidRPr="007E2FE0" w:rsidRDefault="007E2FE0" w:rsidP="007E2FE0">
          <w:pPr>
            <w:pStyle w:val="FirstFooter"/>
            <w:rPr>
              <w:sz w:val="18"/>
              <w:szCs w:val="18"/>
              <w:lang w:val="es-ES"/>
            </w:rPr>
          </w:pPr>
          <w:r w:rsidRPr="00E11160">
            <w:rPr>
              <w:sz w:val="18"/>
              <w:szCs w:val="18"/>
              <w:lang w:val="es-ES"/>
            </w:rPr>
            <w:t>Sra.</w:t>
          </w:r>
          <w:r w:rsidR="00F92C2F">
            <w:rPr>
              <w:sz w:val="18"/>
              <w:szCs w:val="18"/>
              <w:lang w:val="es-ES"/>
            </w:rPr>
            <w:t> </w:t>
          </w:r>
          <w:r w:rsidRPr="00E11160">
            <w:rPr>
              <w:sz w:val="18"/>
              <w:szCs w:val="18"/>
              <w:lang w:val="es-ES"/>
            </w:rPr>
            <w:t xml:space="preserve">Archana Gulati, </w:t>
          </w:r>
          <w:r>
            <w:rPr>
              <w:sz w:val="18"/>
              <w:szCs w:val="18"/>
              <w:lang w:val="es-ES"/>
            </w:rPr>
            <w:t>Directora Adjunta</w:t>
          </w:r>
          <w:r w:rsidRPr="00E11160">
            <w:rPr>
              <w:sz w:val="18"/>
              <w:szCs w:val="18"/>
              <w:lang w:val="es-ES"/>
            </w:rPr>
            <w:t xml:space="preserve"> de la Oficina de Desarrollo de las Telecomunicaciones</w:t>
          </w:r>
        </w:p>
      </w:tc>
    </w:tr>
    <w:tr w:rsidR="007E2FE0" w:rsidRPr="00CB110F" w14:paraId="6EE942C5" w14:textId="77777777" w:rsidTr="007E2FE0">
      <w:tc>
        <w:tcPr>
          <w:tcW w:w="993" w:type="dxa"/>
        </w:tcPr>
        <w:p w14:paraId="7BF600F5" w14:textId="77777777" w:rsidR="007E2FE0" w:rsidRPr="00605A5D" w:rsidRDefault="007E2FE0" w:rsidP="007E2FE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</w:p>
      </w:tc>
      <w:tc>
        <w:tcPr>
          <w:tcW w:w="2693" w:type="dxa"/>
        </w:tcPr>
        <w:p w14:paraId="278FAD3E" w14:textId="77777777" w:rsidR="007E2FE0" w:rsidRPr="00AA7892" w:rsidRDefault="007E2FE0" w:rsidP="007E2FE0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Teléfono:</w:t>
          </w:r>
        </w:p>
      </w:tc>
      <w:tc>
        <w:tcPr>
          <w:tcW w:w="5919" w:type="dxa"/>
        </w:tcPr>
        <w:p w14:paraId="434AB3B2" w14:textId="23DB96F9" w:rsidR="007E2FE0" w:rsidRDefault="007E2FE0" w:rsidP="007E2FE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41B59">
            <w:rPr>
              <w:sz w:val="18"/>
              <w:szCs w:val="18"/>
              <w:lang w:val="en-US"/>
            </w:rPr>
            <w:t>n/a</w:t>
          </w:r>
        </w:p>
      </w:tc>
    </w:tr>
    <w:tr w:rsidR="007E2FE0" w:rsidRPr="00CB110F" w14:paraId="458B1795" w14:textId="77777777" w:rsidTr="007E2FE0">
      <w:tc>
        <w:tcPr>
          <w:tcW w:w="993" w:type="dxa"/>
        </w:tcPr>
        <w:p w14:paraId="05B36074" w14:textId="77777777" w:rsidR="007E2FE0" w:rsidRPr="00AA7892" w:rsidRDefault="007E2FE0" w:rsidP="007E2FE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2693" w:type="dxa"/>
        </w:tcPr>
        <w:p w14:paraId="4D87F05F" w14:textId="77777777" w:rsidR="007E2FE0" w:rsidRPr="00AA7892" w:rsidRDefault="007E2FE0" w:rsidP="007E2FE0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Correo-e:</w:t>
          </w:r>
        </w:p>
      </w:tc>
      <w:tc>
        <w:tcPr>
          <w:tcW w:w="5919" w:type="dxa"/>
        </w:tcPr>
        <w:p w14:paraId="612748C6" w14:textId="3A3B9856" w:rsidR="007E2FE0" w:rsidRDefault="007E2FE0" w:rsidP="007E2FE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41B59">
              <w:rPr>
                <w:rStyle w:val="Hyperlink"/>
                <w:sz w:val="18"/>
                <w:szCs w:val="18"/>
              </w:rPr>
              <w:t>archana.gulati@itu.int</w:t>
            </w:r>
          </w:hyperlink>
        </w:p>
      </w:tc>
    </w:tr>
  </w:tbl>
  <w:p w14:paraId="04148992" w14:textId="77777777" w:rsidR="004B6F0B" w:rsidRDefault="004B6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5296" w14:textId="77777777" w:rsidR="00F668ED" w:rsidRDefault="00F668ED">
      <w:r>
        <w:t>____________________</w:t>
      </w:r>
    </w:p>
  </w:footnote>
  <w:footnote w:type="continuationSeparator" w:id="0">
    <w:p w14:paraId="6860BBFE" w14:textId="77777777" w:rsidR="00F668ED" w:rsidRDefault="00F668ED">
      <w:r>
        <w:continuationSeparator/>
      </w:r>
    </w:p>
  </w:footnote>
  <w:footnote w:id="1">
    <w:p w14:paraId="59F9630F" w14:textId="303179FD" w:rsidR="007E2FE0" w:rsidRPr="00E11160" w:rsidRDefault="007E2FE0" w:rsidP="007E2FE0">
      <w:pPr>
        <w:pStyle w:val="FootnoteText"/>
        <w:spacing w:before="0"/>
        <w:rPr>
          <w:sz w:val="20"/>
          <w:lang w:val="es-ES"/>
        </w:rPr>
      </w:pPr>
      <w:r w:rsidRPr="00292323">
        <w:rPr>
          <w:rStyle w:val="FootnoteReference"/>
          <w:sz w:val="20"/>
        </w:rPr>
        <w:footnoteRef/>
      </w:r>
      <w:r w:rsidRPr="00E11160">
        <w:rPr>
          <w:sz w:val="20"/>
          <w:lang w:val="es-ES"/>
        </w:rPr>
        <w:tab/>
        <w:t xml:space="preserve">Documento </w:t>
      </w:r>
      <w:hyperlink r:id="rId1" w:history="1">
        <w:r w:rsidR="00194A18" w:rsidRPr="00644B74">
          <w:rPr>
            <w:rStyle w:val="Hyperlink"/>
            <w:sz w:val="20"/>
            <w:lang w:val="fr-FR"/>
          </w:rPr>
          <w:t>TDAG-</w:t>
        </w:r>
        <w:r w:rsidR="00194A18" w:rsidRPr="00644B74">
          <w:rPr>
            <w:rStyle w:val="Hyperlink"/>
            <w:sz w:val="20"/>
            <w:lang w:val="fr-FR"/>
          </w:rPr>
          <w:t>2</w:t>
        </w:r>
        <w:r w:rsidR="00194A18" w:rsidRPr="00644B74">
          <w:rPr>
            <w:rStyle w:val="Hyperlink"/>
            <w:sz w:val="20"/>
            <w:lang w:val="fr-FR"/>
          </w:rPr>
          <w:t>4</w:t>
        </w:r>
        <w:r w:rsidR="00194A18" w:rsidRPr="00644B74">
          <w:rPr>
            <w:rStyle w:val="Hyperlink"/>
            <w:sz w:val="20"/>
            <w:lang w:val="fr-FR"/>
          </w:rPr>
          <w:t>/</w:t>
        </w:r>
        <w:r w:rsidR="00194A18" w:rsidRPr="00644B74">
          <w:rPr>
            <w:rStyle w:val="Hyperlink"/>
            <w:sz w:val="20"/>
            <w:lang w:val="fr-FR"/>
          </w:rPr>
          <w:t>12</w:t>
        </w:r>
      </w:hyperlink>
      <w:r w:rsidR="00194A18" w:rsidRPr="00194A18">
        <w:rPr>
          <w:lang w:val="es-ES"/>
        </w:rPr>
        <w:t xml:space="preserve"> </w:t>
      </w:r>
      <w:r w:rsidRPr="00E11160">
        <w:rPr>
          <w:sz w:val="20"/>
          <w:lang w:val="es-ES"/>
        </w:rPr>
        <w:t xml:space="preserve">sobre el Plan </w:t>
      </w:r>
      <w:r>
        <w:rPr>
          <w:sz w:val="20"/>
          <w:lang w:val="es-ES"/>
        </w:rPr>
        <w:t>Operacional</w:t>
      </w:r>
      <w:r w:rsidRPr="00E11160">
        <w:rPr>
          <w:sz w:val="20"/>
          <w:lang w:val="es-ES"/>
        </w:rPr>
        <w:t xml:space="preserve"> </w:t>
      </w:r>
      <w:r>
        <w:rPr>
          <w:sz w:val="20"/>
          <w:lang w:val="es-ES"/>
        </w:rPr>
        <w:t xml:space="preserve">de </w:t>
      </w:r>
      <w:r w:rsidRPr="00E11160">
        <w:rPr>
          <w:sz w:val="20"/>
          <w:lang w:val="es-ES"/>
        </w:rPr>
        <w:t>2024 del UIT-D.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0DFE" w14:textId="284202A6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FD34DF">
      <w:rPr>
        <w:sz w:val="22"/>
        <w:szCs w:val="22"/>
        <w:lang w:val="de-CH"/>
      </w:rPr>
      <w:t>5</w:t>
    </w:r>
    <w:r w:rsidRPr="00A54E72">
      <w:rPr>
        <w:sz w:val="22"/>
        <w:szCs w:val="22"/>
        <w:lang w:val="de-CH"/>
      </w:rPr>
      <w:t>/</w:t>
    </w:r>
    <w:r w:rsidR="000B6013">
      <w:rPr>
        <w:sz w:val="22"/>
        <w:szCs w:val="22"/>
        <w:lang w:val="de-CH"/>
      </w:rPr>
      <w:t>24</w:t>
    </w:r>
    <w:r w:rsidRPr="006D271A">
      <w:rPr>
        <w:sz w:val="22"/>
        <w:szCs w:val="22"/>
        <w:lang w:val="de-CH"/>
      </w:rPr>
      <w:t>-</w:t>
    </w:r>
    <w:r w:rsidR="00842E57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</w:r>
    <w:r w:rsidR="00842E57">
      <w:rPr>
        <w:sz w:val="22"/>
        <w:szCs w:val="22"/>
        <w:lang w:val="de-CH"/>
      </w:rPr>
      <w:t>Página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356"/>
    <w:multiLevelType w:val="hybridMultilevel"/>
    <w:tmpl w:val="2EDAEE18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246D3"/>
    <w:multiLevelType w:val="hybridMultilevel"/>
    <w:tmpl w:val="FC3645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AA11C7"/>
    <w:multiLevelType w:val="hybridMultilevel"/>
    <w:tmpl w:val="51CC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1617C"/>
    <w:multiLevelType w:val="hybridMultilevel"/>
    <w:tmpl w:val="4E74517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0C24D19"/>
    <w:multiLevelType w:val="hybridMultilevel"/>
    <w:tmpl w:val="194CF5D8"/>
    <w:lvl w:ilvl="0" w:tplc="93E6492E">
      <w:start w:val="1"/>
      <w:numFmt w:val="bullet"/>
      <w:lvlText w:val=""/>
      <w:lvlJc w:val="left"/>
      <w:pPr>
        <w:ind w:left="3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617478CF"/>
    <w:multiLevelType w:val="hybridMultilevel"/>
    <w:tmpl w:val="DC8ED16A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36339"/>
    <w:multiLevelType w:val="hybridMultilevel"/>
    <w:tmpl w:val="4D9E3D68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918067">
    <w:abstractNumId w:val="4"/>
  </w:num>
  <w:num w:numId="2" w16cid:durableId="154344639">
    <w:abstractNumId w:val="3"/>
  </w:num>
  <w:num w:numId="3" w16cid:durableId="2090690033">
    <w:abstractNumId w:val="1"/>
  </w:num>
  <w:num w:numId="4" w16cid:durableId="384456288">
    <w:abstractNumId w:val="6"/>
  </w:num>
  <w:num w:numId="5" w16cid:durableId="1464226566">
    <w:abstractNumId w:val="5"/>
  </w:num>
  <w:num w:numId="6" w16cid:durableId="1662150910">
    <w:abstractNumId w:val="2"/>
  </w:num>
  <w:num w:numId="7" w16cid:durableId="1521774019">
    <w:abstractNumId w:val="7"/>
  </w:num>
  <w:num w:numId="8" w16cid:durableId="4695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06430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9414E"/>
    <w:rsid w:val="000A17C4"/>
    <w:rsid w:val="000A36A4"/>
    <w:rsid w:val="000B2352"/>
    <w:rsid w:val="000B6013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1FD5"/>
    <w:rsid w:val="00113EE8"/>
    <w:rsid w:val="0011455A"/>
    <w:rsid w:val="00114A65"/>
    <w:rsid w:val="00126EBF"/>
    <w:rsid w:val="00133061"/>
    <w:rsid w:val="00141699"/>
    <w:rsid w:val="00147000"/>
    <w:rsid w:val="00162707"/>
    <w:rsid w:val="00163091"/>
    <w:rsid w:val="001645CB"/>
    <w:rsid w:val="001656AF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A18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D2B35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4BB7"/>
    <w:rsid w:val="00236560"/>
    <w:rsid w:val="0023662E"/>
    <w:rsid w:val="00245D0F"/>
    <w:rsid w:val="002548C3"/>
    <w:rsid w:val="00257ACD"/>
    <w:rsid w:val="00262908"/>
    <w:rsid w:val="002650F4"/>
    <w:rsid w:val="002707B1"/>
    <w:rsid w:val="002715FD"/>
    <w:rsid w:val="002770B1"/>
    <w:rsid w:val="00285B33"/>
    <w:rsid w:val="00287A3C"/>
    <w:rsid w:val="002A2FC6"/>
    <w:rsid w:val="002A651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1DA6"/>
    <w:rsid w:val="00351C79"/>
    <w:rsid w:val="0035516C"/>
    <w:rsid w:val="00355A4C"/>
    <w:rsid w:val="003604FB"/>
    <w:rsid w:val="00360B73"/>
    <w:rsid w:val="003637AF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C09"/>
    <w:rsid w:val="003D451D"/>
    <w:rsid w:val="003F2DD8"/>
    <w:rsid w:val="003F3F2D"/>
    <w:rsid w:val="003F50B2"/>
    <w:rsid w:val="00400CCF"/>
    <w:rsid w:val="004010E2"/>
    <w:rsid w:val="00401BFF"/>
    <w:rsid w:val="00404424"/>
    <w:rsid w:val="0041156B"/>
    <w:rsid w:val="004122C5"/>
    <w:rsid w:val="00413B78"/>
    <w:rsid w:val="00416DDE"/>
    <w:rsid w:val="0044411E"/>
    <w:rsid w:val="00450B37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6F0B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59EC"/>
    <w:rsid w:val="005F6BE1"/>
    <w:rsid w:val="005F7416"/>
    <w:rsid w:val="00600C11"/>
    <w:rsid w:val="00605A5D"/>
    <w:rsid w:val="00606B89"/>
    <w:rsid w:val="00611EAF"/>
    <w:rsid w:val="00617560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406B"/>
    <w:rsid w:val="00671EF6"/>
    <w:rsid w:val="0067205B"/>
    <w:rsid w:val="006748F8"/>
    <w:rsid w:val="00680489"/>
    <w:rsid w:val="00683C32"/>
    <w:rsid w:val="00690BB2"/>
    <w:rsid w:val="00693D09"/>
    <w:rsid w:val="006A02DF"/>
    <w:rsid w:val="006A6549"/>
    <w:rsid w:val="006A7710"/>
    <w:rsid w:val="006A7A61"/>
    <w:rsid w:val="006B1E59"/>
    <w:rsid w:val="006B2FFB"/>
    <w:rsid w:val="006B5AA9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0D1"/>
    <w:rsid w:val="007A4E50"/>
    <w:rsid w:val="007B18A7"/>
    <w:rsid w:val="007B250E"/>
    <w:rsid w:val="007C27FC"/>
    <w:rsid w:val="007C51FF"/>
    <w:rsid w:val="007D0A90"/>
    <w:rsid w:val="007D50E4"/>
    <w:rsid w:val="007E2DC5"/>
    <w:rsid w:val="007E2FE0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3377E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99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16D1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36B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541E7"/>
    <w:rsid w:val="00A60087"/>
    <w:rsid w:val="00A705E8"/>
    <w:rsid w:val="00A721F4"/>
    <w:rsid w:val="00A9392C"/>
    <w:rsid w:val="00A9462B"/>
    <w:rsid w:val="00A97D59"/>
    <w:rsid w:val="00AA3E09"/>
    <w:rsid w:val="00AA4BEF"/>
    <w:rsid w:val="00AA7095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1AE"/>
    <w:rsid w:val="00AF5276"/>
    <w:rsid w:val="00AF7C86"/>
    <w:rsid w:val="00B01046"/>
    <w:rsid w:val="00B11808"/>
    <w:rsid w:val="00B20F46"/>
    <w:rsid w:val="00B310F9"/>
    <w:rsid w:val="00B37866"/>
    <w:rsid w:val="00B37B73"/>
    <w:rsid w:val="00B412FB"/>
    <w:rsid w:val="00B42366"/>
    <w:rsid w:val="00B4576B"/>
    <w:rsid w:val="00B46350"/>
    <w:rsid w:val="00B46DF3"/>
    <w:rsid w:val="00B648C7"/>
    <w:rsid w:val="00B66E8F"/>
    <w:rsid w:val="00B80157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06EA"/>
    <w:rsid w:val="00BC10A0"/>
    <w:rsid w:val="00BC7BA2"/>
    <w:rsid w:val="00BD426B"/>
    <w:rsid w:val="00BD79F0"/>
    <w:rsid w:val="00BE2B4D"/>
    <w:rsid w:val="00BF4592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6D4A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46211"/>
    <w:rsid w:val="00D63006"/>
    <w:rsid w:val="00D72301"/>
    <w:rsid w:val="00D8041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06F39"/>
    <w:rsid w:val="00E11BCF"/>
    <w:rsid w:val="00E2258E"/>
    <w:rsid w:val="00E260C2"/>
    <w:rsid w:val="00E32596"/>
    <w:rsid w:val="00E35790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397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6591"/>
    <w:rsid w:val="00F668ED"/>
    <w:rsid w:val="00F736F9"/>
    <w:rsid w:val="00F73833"/>
    <w:rsid w:val="00F9211C"/>
    <w:rsid w:val="00F92361"/>
    <w:rsid w:val="00F92C2F"/>
    <w:rsid w:val="00FA095D"/>
    <w:rsid w:val="00FA6C8B"/>
    <w:rsid w:val="00FA6CDA"/>
    <w:rsid w:val="00FA7C89"/>
    <w:rsid w:val="00FB4139"/>
    <w:rsid w:val="00FB476E"/>
    <w:rsid w:val="00FC0D90"/>
    <w:rsid w:val="00FC379D"/>
    <w:rsid w:val="00FC7D8C"/>
    <w:rsid w:val="00FD1E79"/>
    <w:rsid w:val="00FD34DF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AA41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qFormat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link w:val="enumlev1Char"/>
    <w:qFormat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aliases w:val="List Paragraph1,Recommendation,List Paragraph11,O5,Para_sk,Resume Title,- Bullets,Equipment,Numbered Indented Text,Figure_name,NUMBERED PARAGRAPH,List Paragraph 1,List Paragraph (numbered (a)),Use Case List Paragraph,References,lp1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,NUMBERED PARAGRAPH Char,List Paragraph 1 Char,lp1 Char"/>
    <w:link w:val="ListParagraph"/>
    <w:uiPriority w:val="34"/>
    <w:qFormat/>
    <w:rsid w:val="007E2FE0"/>
    <w:rPr>
      <w:rFonts w:asciiTheme="minorHAnsi" w:hAnsiTheme="minorHAnsi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qFormat/>
    <w:rsid w:val="007E2FE0"/>
    <w:rPr>
      <w:rFonts w:asciiTheme="minorHAnsi" w:hAnsiTheme="minorHAnsi"/>
      <w:sz w:val="24"/>
      <w:lang w:val="en-GB" w:eastAsia="en-US"/>
    </w:rPr>
  </w:style>
  <w:style w:type="character" w:customStyle="1" w:styleId="enumlev1Char">
    <w:name w:val="enumlev1 Char"/>
    <w:link w:val="enumlev1"/>
    <w:qFormat/>
    <w:rsid w:val="007E2FE0"/>
    <w:rPr>
      <w:rFonts w:asciiTheme="minorHAnsi" w:hAnsiTheme="minorHAns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7E2FE0"/>
  </w:style>
  <w:style w:type="paragraph" w:styleId="Revision">
    <w:name w:val="Revision"/>
    <w:hidden/>
    <w:uiPriority w:val="99"/>
    <w:semiHidden/>
    <w:rsid w:val="00605A5D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council/Documents/basic-texts-2023/RES-025-e.pdf" TargetMode="External"/><Relationship Id="rId18" Type="http://schemas.openxmlformats.org/officeDocument/2006/relationships/hyperlink" Target="https://www.itu.int/md/S25-CWGFHR20-250217-TD-0001/es" TargetMode="External"/><Relationship Id="rId26" Type="http://schemas.openxmlformats.org/officeDocument/2006/relationships/hyperlink" Target="https://www.itu.int/md/D22-TDAG32-C-0003/es" TargetMode="External"/><Relationship Id="rId39" Type="http://schemas.openxmlformats.org/officeDocument/2006/relationships/hyperlink" Target="https://www.itu.int/md/S25-CWGFHR20-C-0002/es" TargetMode="External"/><Relationship Id="rId21" Type="http://schemas.openxmlformats.org/officeDocument/2006/relationships/hyperlink" Target="https://www.itu.int/md/D22-TDAG31-C-0007/es" TargetMode="External"/><Relationship Id="rId34" Type="http://schemas.openxmlformats.org/officeDocument/2006/relationships/hyperlink" Target="https://www.itu.int/md/S23-CWGFHR16-C-0010/es" TargetMode="External"/><Relationship Id="rId42" Type="http://schemas.openxmlformats.org/officeDocument/2006/relationships/hyperlink" Target="https://www.itu.int/md/D22-TDAG32-C-0024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4-CL-C-0025/es" TargetMode="External"/><Relationship Id="rId29" Type="http://schemas.openxmlformats.org/officeDocument/2006/relationships/hyperlink" Target="https://www.itu.int/md/D22-TDAG32-INF-0004/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TDAG32-C-0003/es" TargetMode="External"/><Relationship Id="rId32" Type="http://schemas.openxmlformats.org/officeDocument/2006/relationships/hyperlink" Target="https://www.itu.int/md/D22-TDAG32-C-0005/es" TargetMode="External"/><Relationship Id="rId37" Type="http://schemas.openxmlformats.org/officeDocument/2006/relationships/hyperlink" Target="https://www.itu.int/md/S23-CWGFHR16-C-0010/es" TargetMode="External"/><Relationship Id="rId40" Type="http://schemas.openxmlformats.org/officeDocument/2006/relationships/hyperlink" Target="https://www.itu.int/md/S25-CWGFHR20-250217-TD-0001/es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4-CL-C-0098/es" TargetMode="External"/><Relationship Id="rId23" Type="http://schemas.openxmlformats.org/officeDocument/2006/relationships/hyperlink" Target="https://www.itu.int/en/council/ties/Pages/regional-presence-dashboard.aspx" TargetMode="External"/><Relationship Id="rId28" Type="http://schemas.openxmlformats.org/officeDocument/2006/relationships/hyperlink" Target="https://www.itu.int/es/ITU-D/conferences/WTDC/WTDC21/Pages/default.aspx" TargetMode="External"/><Relationship Id="rId36" Type="http://schemas.openxmlformats.org/officeDocument/2006/relationships/hyperlink" Target="https://www.itu.int/md/D22-TDAG32-C-0024/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S23-CWGFHR16-C-0010/es" TargetMode="External"/><Relationship Id="rId31" Type="http://schemas.openxmlformats.org/officeDocument/2006/relationships/hyperlink" Target="https://www.itu.int/itu-d/sites/partnerships/home/partnerships/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4-CL-C-0079/es" TargetMode="External"/><Relationship Id="rId22" Type="http://schemas.openxmlformats.org/officeDocument/2006/relationships/hyperlink" Target="https://www.itu.int/md/D22-TDAG31-C-0012/es" TargetMode="External"/><Relationship Id="rId27" Type="http://schemas.openxmlformats.org/officeDocument/2006/relationships/hyperlink" Target="https://www.itu.int/dms_pub/itu-d/opb/tdc/D-TDC-WTDC-2022-PDF-E.pdf" TargetMode="External"/><Relationship Id="rId30" Type="http://schemas.openxmlformats.org/officeDocument/2006/relationships/hyperlink" Target="https://www.itu.int/es/ITU-D/conferences/WTDC/WTDC21/Pages/default.aspx" TargetMode="External"/><Relationship Id="rId35" Type="http://schemas.openxmlformats.org/officeDocument/2006/relationships/hyperlink" Target="https://www.itu.int/dms_pub/itu-s/md/23/cwgfhr16/c/S23-CWGFHR16-C-0024!R1!MSW-E.docx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S25-CWGFHR20-C-0002/es" TargetMode="External"/><Relationship Id="rId25" Type="http://schemas.openxmlformats.org/officeDocument/2006/relationships/hyperlink" Target="https://www.itu.int/md/D22-TDAG32-C-0002/es" TargetMode="External"/><Relationship Id="rId33" Type="http://schemas.openxmlformats.org/officeDocument/2006/relationships/hyperlink" Target="https://www.itu.int/en/ITU-D/Projects/Pages/Portfolio.aspx" TargetMode="External"/><Relationship Id="rId38" Type="http://schemas.openxmlformats.org/officeDocument/2006/relationships/hyperlink" Target="https://www.itu.int/dms_pub/itu-s/md/23/cwgfhr16/c/S23-CWGFHR16-C-0024!R1!MSW-E.docx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tu.int/dms_pub/itu-s/md/23/cwgfhr16/c/S23-CWGFHR16-C-0024!R1!MSW-E.docx" TargetMode="External"/><Relationship Id="rId41" Type="http://schemas.openxmlformats.org/officeDocument/2006/relationships/hyperlink" Target="https://www.itu.int/en/council/Documents/basic-texts-2023/RES-025-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D22-TDAG31-C-0012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ACB19F-14CE-4ABE-8434-8A73E20D32B5}"/>
</file>

<file path=customXml/itemProps2.xml><?xml version="1.0" encoding="utf-8"?>
<ds:datastoreItem xmlns:ds="http://schemas.openxmlformats.org/officeDocument/2006/customXml" ds:itemID="{0F034FE2-13EA-4EDF-9DD0-9E6AD7D26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0C5EBE-B1C0-4B7E-B65B-A85F3815F6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3178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Spanish</dc:creator>
  <cp:lastModifiedBy>Spanish</cp:lastModifiedBy>
  <cp:revision>3</cp:revision>
  <cp:lastPrinted>2014-11-04T09:22:00Z</cp:lastPrinted>
  <dcterms:created xsi:type="dcterms:W3CDTF">2025-05-06T15:46:00Z</dcterms:created>
  <dcterms:modified xsi:type="dcterms:W3CDTF">2025-05-06T15:48:00Z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