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997AF1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997AF1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997AF1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7DB9747D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997AF1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997AF1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997AF1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997AF1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997AF1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997AF1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997AF1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997AF1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997AF1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997AF1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997AF1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997AF1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D1DA83C" w:rsidR="00D87035" w:rsidRPr="00997AF1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997AF1">
              <w:rPr>
                <w:b/>
                <w:bCs/>
                <w:szCs w:val="22"/>
              </w:rPr>
              <w:t>Документ</w:t>
            </w:r>
            <w:r w:rsidR="00D87035" w:rsidRPr="00997AF1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997AF1">
              <w:rPr>
                <w:b/>
                <w:bCs/>
                <w:szCs w:val="22"/>
              </w:rPr>
              <w:t>TDAG-</w:t>
            </w:r>
            <w:r w:rsidR="00523934" w:rsidRPr="00997AF1">
              <w:rPr>
                <w:b/>
                <w:bCs/>
                <w:szCs w:val="22"/>
              </w:rPr>
              <w:t>2</w:t>
            </w:r>
            <w:r w:rsidR="0081159E" w:rsidRPr="00997AF1">
              <w:rPr>
                <w:b/>
                <w:bCs/>
                <w:szCs w:val="22"/>
              </w:rPr>
              <w:t>5</w:t>
            </w:r>
            <w:r w:rsidR="00D87035" w:rsidRPr="00997AF1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082D75" w:rsidRPr="00997AF1">
              <w:rPr>
                <w:b/>
                <w:bCs/>
                <w:szCs w:val="22"/>
              </w:rPr>
              <w:t>24</w:t>
            </w:r>
            <w:r w:rsidR="00D87035" w:rsidRPr="00997AF1">
              <w:rPr>
                <w:b/>
                <w:bCs/>
                <w:szCs w:val="22"/>
              </w:rPr>
              <w:t>-</w:t>
            </w:r>
            <w:r w:rsidRPr="00997AF1">
              <w:rPr>
                <w:b/>
                <w:bCs/>
                <w:szCs w:val="22"/>
              </w:rPr>
              <w:t>R</w:t>
            </w:r>
          </w:p>
        </w:tc>
      </w:tr>
      <w:tr w:rsidR="00D87035" w:rsidRPr="00997AF1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997AF1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20FC6350" w:rsidR="00D87035" w:rsidRPr="00997AF1" w:rsidRDefault="00082D75" w:rsidP="00CE66E4">
            <w:pPr>
              <w:spacing w:before="0"/>
              <w:rPr>
                <w:rFonts w:cstheme="minorHAnsi"/>
                <w:szCs w:val="22"/>
              </w:rPr>
            </w:pPr>
            <w:r w:rsidRPr="00997AF1">
              <w:rPr>
                <w:b/>
                <w:bCs/>
                <w:szCs w:val="22"/>
              </w:rPr>
              <w:t xml:space="preserve">1 апреля </w:t>
            </w:r>
            <w:r w:rsidR="002955DA" w:rsidRPr="00997AF1">
              <w:rPr>
                <w:b/>
                <w:bCs/>
                <w:szCs w:val="22"/>
              </w:rPr>
              <w:t>2025</w:t>
            </w:r>
            <w:r w:rsidR="005E032D" w:rsidRPr="00997AF1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997AF1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997AF1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997AF1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997AF1">
              <w:rPr>
                <w:b/>
                <w:bCs/>
                <w:szCs w:val="22"/>
              </w:rPr>
              <w:t>Оригинал</w:t>
            </w:r>
            <w:r w:rsidR="00D87035" w:rsidRPr="00997AF1">
              <w:rPr>
                <w:b/>
                <w:bCs/>
                <w:szCs w:val="22"/>
              </w:rPr>
              <w:t xml:space="preserve">: </w:t>
            </w:r>
            <w:r w:rsidRPr="00997AF1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997AF1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16D84C76" w:rsidR="00D83BF5" w:rsidRPr="00997AF1" w:rsidRDefault="00082D75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997AF1">
              <w:t>Директор Бюро развития электросвязи</w:t>
            </w:r>
          </w:p>
        </w:tc>
      </w:tr>
      <w:tr w:rsidR="00D83BF5" w:rsidRPr="00997AF1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641A067D" w:rsidR="00D83BF5" w:rsidRPr="00997AF1" w:rsidRDefault="00082D75" w:rsidP="006774C6">
            <w:pPr>
              <w:pStyle w:val="Title1"/>
              <w:rPr>
                <w:caps/>
              </w:rPr>
            </w:pPr>
            <w:r w:rsidRPr="00997AF1">
              <w:t xml:space="preserve">Укрепление регионального присутствия МСЭ − </w:t>
            </w:r>
            <w:r w:rsidRPr="00997AF1">
              <w:br/>
              <w:t>Критерии создания региональных и зональных отделений в будущем</w:t>
            </w:r>
          </w:p>
        </w:tc>
      </w:tr>
      <w:tr w:rsidR="00D83BF5" w:rsidRPr="00997AF1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997AF1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997AF1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997AF1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997AF1">
              <w:rPr>
                <w:szCs w:val="22"/>
                <w:lang w:val="ru-RU"/>
              </w:rPr>
              <w:t>Резюме</w:t>
            </w:r>
          </w:p>
          <w:p w14:paraId="4F70BA09" w14:textId="09A6917A" w:rsidR="001E252D" w:rsidRPr="00997AF1" w:rsidRDefault="00082D75" w:rsidP="00EB4AE6">
            <w:pPr>
              <w:rPr>
                <w:szCs w:val="22"/>
              </w:rPr>
            </w:pPr>
            <w:r w:rsidRPr="00997AF1">
              <w:rPr>
                <w:szCs w:val="22"/>
              </w:rPr>
              <w:t>В настоящем документе сообщается о мерах, принятых Секретариатом для укрепления регионального присутствия МСЭ в соответствии со Стратегическим планом МСЭ и Кигалийским планом действий. Он</w:t>
            </w:r>
            <w:r w:rsidRPr="00997AF1">
              <w:rPr>
                <w:rFonts w:ascii="Segoe UI" w:hAnsi="Segoe UI" w:cs="Segoe UI"/>
                <w:color w:val="000000"/>
                <w:szCs w:val="22"/>
                <w:shd w:val="clear" w:color="auto" w:fill="FFFFFF"/>
              </w:rPr>
              <w:t xml:space="preserve"> </w:t>
            </w:r>
            <w:r w:rsidRPr="00997AF1">
              <w:rPr>
                <w:szCs w:val="22"/>
              </w:rPr>
              <w:t>содержит резюме состоявшихся обсуждений критериев создания региональных и зональных отделений в будущем и призван помочь КГРЭ представить свои мнения по данной теме.</w:t>
            </w:r>
          </w:p>
          <w:p w14:paraId="404BE8A6" w14:textId="77777777" w:rsidR="005E032D" w:rsidRPr="00997AF1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997AF1">
              <w:rPr>
                <w:szCs w:val="22"/>
                <w:lang w:val="ru-RU"/>
              </w:rPr>
              <w:t>Необходимые действия</w:t>
            </w:r>
          </w:p>
          <w:p w14:paraId="6BDE7AFA" w14:textId="171727AB" w:rsidR="001E252D" w:rsidRPr="00997AF1" w:rsidRDefault="004D3C01" w:rsidP="00EB4AE6">
            <w:pPr>
              <w:rPr>
                <w:szCs w:val="22"/>
              </w:rPr>
            </w:pPr>
            <w:r w:rsidRPr="00997AF1">
              <w:rPr>
                <w:szCs w:val="22"/>
              </w:rPr>
              <w:t>КГРЭ предлагается принять настоящий документ к сведению и дать руководящие указания</w:t>
            </w:r>
            <w:r w:rsidR="006B7CC5" w:rsidRPr="00997AF1">
              <w:rPr>
                <w:szCs w:val="22"/>
              </w:rPr>
              <w:t>, если это будет сочтено целесообразным</w:t>
            </w:r>
            <w:r w:rsidR="003F1363" w:rsidRPr="00997AF1">
              <w:rPr>
                <w:szCs w:val="22"/>
              </w:rPr>
              <w:t>.</w:t>
            </w:r>
          </w:p>
          <w:p w14:paraId="2563D3A0" w14:textId="77777777" w:rsidR="00082D75" w:rsidRPr="00997AF1" w:rsidRDefault="004A3CDF" w:rsidP="00082D75">
            <w:pPr>
              <w:spacing w:after="120"/>
              <w:rPr>
                <w:b/>
                <w:bCs/>
                <w:szCs w:val="22"/>
              </w:rPr>
            </w:pPr>
            <w:r w:rsidRPr="00997AF1">
              <w:rPr>
                <w:b/>
                <w:bCs/>
                <w:szCs w:val="22"/>
              </w:rPr>
              <w:t>Справочные материалы</w:t>
            </w:r>
          </w:p>
          <w:p w14:paraId="01BA737A" w14:textId="1DD04987" w:rsidR="00082D75" w:rsidRPr="00997AF1" w:rsidRDefault="00082D75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sz w:val="22"/>
                <w:szCs w:val="22"/>
                <w:lang w:val="ru-RU"/>
              </w:rPr>
            </w:pPr>
            <w:r w:rsidRPr="00997AF1">
              <w:rPr>
                <w:rStyle w:val="Hyperlink"/>
                <w:sz w:val="22"/>
                <w:szCs w:val="22"/>
                <w:lang w:val="ru-RU"/>
              </w:rPr>
              <w:t xml:space="preserve">Резолюция </w:t>
            </w:r>
            <w:hyperlink r:id="rId13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25 (Пересм. Бухарест, 2022 г.)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 Полномочной конференции</w:t>
            </w:r>
          </w:p>
          <w:p w14:paraId="68ECB455" w14:textId="07FC788A" w:rsidR="00082D75" w:rsidRPr="00997AF1" w:rsidRDefault="00082D7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sz w:val="22"/>
                <w:szCs w:val="22"/>
                <w:lang w:val="ru-RU"/>
              </w:rPr>
            </w:pPr>
            <w:r w:rsidRPr="00997AF1">
              <w:rPr>
                <w:sz w:val="22"/>
                <w:szCs w:val="22"/>
                <w:lang w:val="ru-RU"/>
              </w:rPr>
              <w:t xml:space="preserve">Документы </w:t>
            </w:r>
            <w:hyperlink r:id="rId14" w:history="1">
              <w:proofErr w:type="spellStart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C24</w:t>
              </w:r>
              <w:proofErr w:type="spellEnd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/79</w:t>
              </w:r>
            </w:hyperlink>
            <w:r w:rsidRPr="00997AF1">
              <w:rPr>
                <w:color w:val="0000FF"/>
                <w:sz w:val="22"/>
                <w:szCs w:val="22"/>
                <w:lang w:val="ru-RU"/>
              </w:rPr>
              <w:t xml:space="preserve">, </w:t>
            </w:r>
            <w:hyperlink r:id="rId15" w:history="1">
              <w:proofErr w:type="spellStart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C24</w:t>
              </w:r>
              <w:proofErr w:type="spellEnd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/98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 и </w:t>
            </w:r>
            <w:hyperlink r:id="rId16" w:history="1">
              <w:proofErr w:type="spellStart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C24</w:t>
              </w:r>
              <w:proofErr w:type="spellEnd"/>
              <w:r w:rsidRPr="00997AF1">
                <w:rPr>
                  <w:rStyle w:val="Hyperlink"/>
                  <w:sz w:val="22"/>
                  <w:szCs w:val="22"/>
                  <w:lang w:val="ru-RU"/>
                </w:rPr>
                <w:t>/25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 Совета</w:t>
            </w:r>
          </w:p>
          <w:p w14:paraId="5BCF16BE" w14:textId="60AFF89D" w:rsidR="00082D75" w:rsidRPr="00997AF1" w:rsidRDefault="00082D75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sz w:val="22"/>
                <w:szCs w:val="22"/>
                <w:lang w:val="ru-RU"/>
              </w:rPr>
            </w:pPr>
            <w:hyperlink r:id="rId17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CWG-FHR-20/2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 и </w:t>
            </w:r>
            <w:hyperlink r:id="rId18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CWG-FHR-20/DT/1</w:t>
              </w:r>
            </w:hyperlink>
          </w:p>
          <w:p w14:paraId="3B906491" w14:textId="341021FD" w:rsidR="00082D75" w:rsidRPr="00997AF1" w:rsidRDefault="00082D75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sz w:val="22"/>
                <w:szCs w:val="22"/>
                <w:lang w:val="ru-RU"/>
              </w:rPr>
            </w:pPr>
            <w:hyperlink r:id="rId19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CWG-FHR-16/10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 и </w:t>
            </w:r>
            <w:hyperlink r:id="rId20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CWG-FHR-16/24(Rev.1)</w:t>
              </w:r>
            </w:hyperlink>
          </w:p>
          <w:p w14:paraId="6EF29DC6" w14:textId="5627B4EF" w:rsidR="001E252D" w:rsidRPr="00997AF1" w:rsidRDefault="00082D75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sz w:val="22"/>
                <w:szCs w:val="22"/>
                <w:lang w:val="ru-RU"/>
              </w:rPr>
            </w:pPr>
            <w:r w:rsidRPr="00997AF1">
              <w:rPr>
                <w:sz w:val="22"/>
                <w:szCs w:val="22"/>
                <w:lang w:val="ru-RU"/>
              </w:rPr>
              <w:t xml:space="preserve">Документы </w:t>
            </w:r>
            <w:hyperlink r:id="rId21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TDAG-24/7(Rev.1)</w:t>
              </w:r>
            </w:hyperlink>
            <w:r w:rsidRPr="00997AF1">
              <w:rPr>
                <w:sz w:val="22"/>
                <w:szCs w:val="22"/>
                <w:lang w:val="ru-RU"/>
              </w:rPr>
              <w:t xml:space="preserve">, </w:t>
            </w:r>
            <w:hyperlink r:id="rId22" w:history="1">
              <w:r w:rsidRPr="00997AF1">
                <w:rPr>
                  <w:rStyle w:val="Hyperlink"/>
                  <w:sz w:val="22"/>
                  <w:szCs w:val="22"/>
                  <w:lang w:val="ru-RU"/>
                </w:rPr>
                <w:t>TDAG-24/12</w:t>
              </w:r>
            </w:hyperlink>
          </w:p>
        </w:tc>
      </w:tr>
      <w:bookmarkEnd w:id="8"/>
      <w:bookmarkEnd w:id="9"/>
    </w:tbl>
    <w:p w14:paraId="295EAF1B" w14:textId="77777777" w:rsidR="001E252D" w:rsidRPr="00997AF1" w:rsidRDefault="001E252D" w:rsidP="00CE66E4"/>
    <w:p w14:paraId="30707726" w14:textId="77777777" w:rsidR="00075C63" w:rsidRPr="00997AF1" w:rsidRDefault="00075C63" w:rsidP="00CE66E4">
      <w:pPr>
        <w:rPr>
          <w:szCs w:val="24"/>
        </w:rPr>
      </w:pPr>
      <w:r w:rsidRPr="00997AF1">
        <w:rPr>
          <w:szCs w:val="24"/>
        </w:rPr>
        <w:br w:type="page"/>
      </w:r>
    </w:p>
    <w:p w14:paraId="5A68CAE2" w14:textId="083912EF" w:rsidR="00DF7DC2" w:rsidRPr="00997AF1" w:rsidRDefault="00DF7DC2" w:rsidP="00CB60FF">
      <w:r w:rsidRPr="00997AF1">
        <w:lastRenderedPageBreak/>
        <w:t xml:space="preserve">Международный союз электросвязи (МСЭ) активно </w:t>
      </w:r>
      <w:r w:rsidR="008476F2" w:rsidRPr="00997AF1">
        <w:t>работает над</w:t>
      </w:r>
      <w:r w:rsidRPr="00997AF1">
        <w:t xml:space="preserve"> расшир</w:t>
      </w:r>
      <w:r w:rsidR="008476F2" w:rsidRPr="00997AF1">
        <w:t>ением</w:t>
      </w:r>
      <w:r w:rsidRPr="00997AF1">
        <w:t xml:space="preserve"> свое</w:t>
      </w:r>
      <w:r w:rsidR="008476F2" w:rsidRPr="00997AF1">
        <w:t>го</w:t>
      </w:r>
      <w:r w:rsidRPr="00997AF1">
        <w:t xml:space="preserve"> регионально</w:t>
      </w:r>
      <w:r w:rsidR="008476F2" w:rsidRPr="00997AF1">
        <w:t>го</w:t>
      </w:r>
      <w:r w:rsidRPr="00997AF1">
        <w:t xml:space="preserve"> присутстви</w:t>
      </w:r>
      <w:r w:rsidR="008476F2" w:rsidRPr="00997AF1">
        <w:t>я</w:t>
      </w:r>
      <w:r w:rsidRPr="00997AF1">
        <w:t xml:space="preserve">, </w:t>
      </w:r>
      <w:r w:rsidR="008476F2" w:rsidRPr="00997AF1">
        <w:t xml:space="preserve">стремясь </w:t>
      </w:r>
      <w:r w:rsidRPr="00997AF1">
        <w:t xml:space="preserve">усилить поддержку, своевременно, действенно и эффективно оказываемую Государствам-Членам </w:t>
      </w:r>
      <w:r w:rsidR="008476F2" w:rsidRPr="00997AF1">
        <w:t xml:space="preserve">посредством </w:t>
      </w:r>
      <w:r w:rsidRPr="00997AF1">
        <w:t xml:space="preserve">проектов и других мероприятий в рамках Оперативного плана. </w:t>
      </w:r>
      <w:hyperlink r:id="rId23">
        <w:r w:rsidRPr="00997AF1">
          <w:rPr>
            <w:rStyle w:val="Hyperlink"/>
            <w:rFonts w:cstheme="minorHAnsi"/>
            <w:szCs w:val="24"/>
          </w:rPr>
          <w:t>Информационная панель регионального присутствия</w:t>
        </w:r>
      </w:hyperlink>
      <w:r w:rsidRPr="00997AF1">
        <w:t xml:space="preserve">, позволяющая отслеживать выполнение конкретных приоритетных задач по укреплению регионального присутствия, регулярно обновляется. Она содержит информацию о выполнении рекомендаций PwC, рекомендаций </w:t>
      </w:r>
      <w:r w:rsidR="007A49CF" w:rsidRPr="00997AF1">
        <w:t xml:space="preserve">по результатам </w:t>
      </w:r>
      <w:r w:rsidRPr="00997AF1">
        <w:t xml:space="preserve">внутреннего аудита и </w:t>
      </w:r>
      <w:r w:rsidR="007A49CF" w:rsidRPr="00997AF1">
        <w:t xml:space="preserve">рекомендаций </w:t>
      </w:r>
      <w:r w:rsidRPr="00997AF1">
        <w:t>IMAC, а также о действиях, предприн</w:t>
      </w:r>
      <w:r w:rsidR="007A49CF" w:rsidRPr="00997AF1">
        <w:t xml:space="preserve">имаемых </w:t>
      </w:r>
      <w:r w:rsidRPr="00997AF1">
        <w:t>Секретариатом для укрепления регионального присутствия.</w:t>
      </w:r>
    </w:p>
    <w:p w14:paraId="270DD8E7" w14:textId="0278D285" w:rsidR="0037217C" w:rsidRPr="00997AF1" w:rsidRDefault="007A49CF" w:rsidP="00CB60FF">
      <w:r w:rsidRPr="00997AF1">
        <w:t xml:space="preserve">Тщательно </w:t>
      </w:r>
      <w:r w:rsidR="00DF7DC2" w:rsidRPr="00997AF1">
        <w:t xml:space="preserve">спланированные и </w:t>
      </w:r>
      <w:r w:rsidRPr="00997AF1">
        <w:t xml:space="preserve">эффективно принятые меры </w:t>
      </w:r>
      <w:r w:rsidR="00DF7DC2" w:rsidRPr="00997AF1">
        <w:t xml:space="preserve">позволили привлечь внебюджетное финансирование </w:t>
      </w:r>
      <w:r w:rsidRPr="00997AF1">
        <w:t>со стороны</w:t>
      </w:r>
      <w:r w:rsidR="00DF7DC2" w:rsidRPr="00997AF1">
        <w:t xml:space="preserve"> доноров для реализации проектов, в том числе региональных инициатив. Региональные отделения продолжают играть решающую роль в этом контексте, </w:t>
      </w:r>
      <w:r w:rsidRPr="00997AF1">
        <w:t xml:space="preserve">действуя на переднем крае </w:t>
      </w:r>
      <w:r w:rsidR="00DF7DC2" w:rsidRPr="00997AF1">
        <w:t xml:space="preserve">взаимодействия МСЭ с местными заинтересованными сторонами и </w:t>
      </w:r>
      <w:r w:rsidRPr="00997AF1">
        <w:t>органами власти</w:t>
      </w:r>
      <w:r w:rsidR="00DF7DC2" w:rsidRPr="00997AF1">
        <w:t xml:space="preserve">. Подробный отчет о реализации региональных инициатив </w:t>
      </w:r>
      <w:r w:rsidRPr="00997AF1">
        <w:t xml:space="preserve">представлен </w:t>
      </w:r>
      <w:r w:rsidR="00DF7DC2" w:rsidRPr="00997AF1">
        <w:t xml:space="preserve">в </w:t>
      </w:r>
      <w:r w:rsidR="00CB60FF" w:rsidRPr="00997AF1">
        <w:t>Документе </w:t>
      </w:r>
      <w:hyperlink r:id="rId24" w:history="1">
        <w:r w:rsidR="00DF7DC2" w:rsidRPr="00997AF1">
          <w:rPr>
            <w:rStyle w:val="Hyperlink"/>
            <w:rFonts w:cstheme="minorHAnsi"/>
            <w:szCs w:val="22"/>
          </w:rPr>
          <w:t>TDAG</w:t>
        </w:r>
        <w:r w:rsidR="00CB60FF" w:rsidRPr="00997AF1">
          <w:rPr>
            <w:rStyle w:val="Hyperlink"/>
            <w:rFonts w:cstheme="minorHAnsi"/>
            <w:szCs w:val="22"/>
          </w:rPr>
          <w:noBreakHyphen/>
        </w:r>
        <w:r w:rsidR="00DF7DC2" w:rsidRPr="00997AF1">
          <w:rPr>
            <w:rStyle w:val="Hyperlink"/>
            <w:rFonts w:cstheme="minorHAnsi"/>
            <w:szCs w:val="22"/>
          </w:rPr>
          <w:t>25/3</w:t>
        </w:r>
      </w:hyperlink>
      <w:r w:rsidR="00DF7DC2" w:rsidRPr="00997AF1">
        <w:t xml:space="preserve">, </w:t>
      </w:r>
      <w:r w:rsidR="00C13755" w:rsidRPr="00997AF1">
        <w:t xml:space="preserve">в приложении к которому </w:t>
      </w:r>
      <w:r w:rsidR="00DF7DC2" w:rsidRPr="00997AF1">
        <w:t xml:space="preserve">проекты </w:t>
      </w:r>
      <w:r w:rsidRPr="00997AF1">
        <w:t xml:space="preserve">сопоставлены </w:t>
      </w:r>
      <w:r w:rsidR="00DF7DC2" w:rsidRPr="00997AF1">
        <w:t xml:space="preserve">с региональными инициативами. Ниже приведены некоторые </w:t>
      </w:r>
      <w:r w:rsidRPr="00997AF1">
        <w:t xml:space="preserve">из наиболее показательных примеров </w:t>
      </w:r>
      <w:r w:rsidR="00DF7DC2" w:rsidRPr="00997AF1">
        <w:t>положительного воздействия</w:t>
      </w:r>
      <w:r w:rsidR="00F10890" w:rsidRPr="00997AF1">
        <w:t xml:space="preserve"> конкретных мер</w:t>
      </w:r>
      <w:r w:rsidR="00DF7DC2" w:rsidRPr="00997AF1">
        <w:t>, приняты</w:t>
      </w:r>
      <w:r w:rsidR="00F10890" w:rsidRPr="00997AF1">
        <w:t>х</w:t>
      </w:r>
      <w:r w:rsidR="00DF7DC2" w:rsidRPr="00997AF1">
        <w:t xml:space="preserve"> для усиления регионального присутствия в период с</w:t>
      </w:r>
      <w:r w:rsidR="00CB60FF" w:rsidRPr="00997AF1">
        <w:t> </w:t>
      </w:r>
      <w:r w:rsidR="00DF7DC2" w:rsidRPr="00997AF1">
        <w:t>2023</w:t>
      </w:r>
      <w:r w:rsidR="00CB60FF" w:rsidRPr="00997AF1">
        <w:t> </w:t>
      </w:r>
      <w:r w:rsidR="00DF7DC2" w:rsidRPr="00997AF1">
        <w:t>по</w:t>
      </w:r>
      <w:r w:rsidR="00CB60FF" w:rsidRPr="00997AF1">
        <w:t> </w:t>
      </w:r>
      <w:r w:rsidR="00DF7DC2" w:rsidRPr="00997AF1">
        <w:t>2025 год (</w:t>
      </w:r>
      <w:r w:rsidR="008476F2" w:rsidRPr="00997AF1">
        <w:t xml:space="preserve">подробная информация предоставлена в Документах </w:t>
      </w:r>
      <w:hyperlink r:id="rId25" w:history="1">
        <w:r w:rsidR="00DF7DC2" w:rsidRPr="00997AF1">
          <w:rPr>
            <w:rStyle w:val="Hyperlink"/>
            <w:rFonts w:cstheme="minorHAnsi"/>
            <w:szCs w:val="22"/>
          </w:rPr>
          <w:t>TDAG-25/2</w:t>
        </w:r>
      </w:hyperlink>
      <w:r w:rsidR="00DF7DC2" w:rsidRPr="00997AF1">
        <w:t xml:space="preserve"> и </w:t>
      </w:r>
      <w:hyperlink r:id="rId26" w:history="1">
        <w:r w:rsidR="00DF7DC2" w:rsidRPr="00997AF1">
          <w:rPr>
            <w:rStyle w:val="Hyperlink"/>
            <w:rFonts w:cstheme="minorHAnsi"/>
            <w:szCs w:val="22"/>
          </w:rPr>
          <w:t>TDAG-25/3</w:t>
        </w:r>
      </w:hyperlink>
      <w:r w:rsidR="00DF7DC2" w:rsidRPr="00997AF1">
        <w:t>):</w:t>
      </w:r>
    </w:p>
    <w:p w14:paraId="5946CF89" w14:textId="41A287BC" w:rsidR="0037217C" w:rsidRPr="00997AF1" w:rsidRDefault="00CB60FF" w:rsidP="00CB60FF">
      <w:pPr>
        <w:pStyle w:val="Heading1"/>
      </w:pPr>
      <w:r w:rsidRPr="00997AF1">
        <w:t>1</w:t>
      </w:r>
      <w:r w:rsidRPr="00997AF1">
        <w:tab/>
      </w:r>
      <w:r w:rsidR="00F10890" w:rsidRPr="00997AF1">
        <w:t>Участие членов и реализация проектов и оперативных планов</w:t>
      </w:r>
    </w:p>
    <w:p w14:paraId="0C94AEC3" w14:textId="1BAC1C9A" w:rsidR="0037217C" w:rsidRPr="00997AF1" w:rsidRDefault="00F10890" w:rsidP="00CB60FF">
      <w:r w:rsidRPr="00997AF1">
        <w:t xml:space="preserve">Эффективность деятельности МСЭ в регионах в значительной степени способствует выполнению его глобальной миссии – соединить мир и содействовать устойчивой цифровой трансформации. </w:t>
      </w:r>
      <w:r w:rsidR="00574F66" w:rsidRPr="00997AF1">
        <w:t xml:space="preserve">Эти стратегически важные </w:t>
      </w:r>
      <w:r w:rsidRPr="00997AF1">
        <w:t xml:space="preserve">усилия направлены на то, чтобы МСЭ </w:t>
      </w:r>
      <w:r w:rsidR="00574F66" w:rsidRPr="00997AF1">
        <w:t xml:space="preserve">оставался способным </w:t>
      </w:r>
      <w:r w:rsidRPr="00997AF1">
        <w:t xml:space="preserve">реагировать на быстро меняющиеся потребности цифровой экономики и </w:t>
      </w:r>
      <w:r w:rsidR="00574F66" w:rsidRPr="00997AF1">
        <w:t xml:space="preserve">цифрового </w:t>
      </w:r>
      <w:r w:rsidRPr="00997AF1">
        <w:t>обществ</w:t>
      </w:r>
      <w:r w:rsidR="00574F66" w:rsidRPr="00997AF1">
        <w:t>а</w:t>
      </w:r>
      <w:r w:rsidRPr="00997AF1">
        <w:t xml:space="preserve"> во всем мире</w:t>
      </w:r>
      <w:r w:rsidR="0037217C" w:rsidRPr="00997AF1">
        <w:t>.</w:t>
      </w:r>
    </w:p>
    <w:p w14:paraId="3F012936" w14:textId="7030E426" w:rsidR="0037217C" w:rsidRPr="00997AF1" w:rsidRDefault="00D65B63" w:rsidP="00CB60FF">
      <w:r w:rsidRPr="00997AF1">
        <w:t>1.1</w:t>
      </w:r>
      <w:r w:rsidRPr="00997AF1">
        <w:tab/>
      </w:r>
      <w:r w:rsidR="00574F66" w:rsidRPr="00997AF1">
        <w:rPr>
          <w:b/>
          <w:bCs/>
        </w:rPr>
        <w:t>Оперативный план МСЭ</w:t>
      </w:r>
      <w:r w:rsidR="0037217C" w:rsidRPr="00997AF1">
        <w:rPr>
          <w:b/>
          <w:bCs/>
        </w:rPr>
        <w:t>-D</w:t>
      </w:r>
      <w:r w:rsidR="0037217C" w:rsidRPr="00997AF1">
        <w:rPr>
          <w:rStyle w:val="FootnoteReference"/>
        </w:rPr>
        <w:footnoteReference w:id="2"/>
      </w:r>
      <w:r w:rsidR="0037217C" w:rsidRPr="00997AF1">
        <w:rPr>
          <w:sz w:val="18"/>
          <w:szCs w:val="18"/>
        </w:rPr>
        <w:t xml:space="preserve"> </w:t>
      </w:r>
      <w:r w:rsidR="00574F66" w:rsidRPr="00997AF1">
        <w:t>соответствует структуре Стратегического плана Союза на </w:t>
      </w:r>
      <w:proofErr w:type="gramStart"/>
      <w:r w:rsidR="00574F66" w:rsidRPr="00997AF1">
        <w:t>2024−2027</w:t>
      </w:r>
      <w:proofErr w:type="gramEnd"/>
      <w:r w:rsidR="00574F66" w:rsidRPr="00997AF1">
        <w:t> годы</w:t>
      </w:r>
      <w:r w:rsidR="0037217C" w:rsidRPr="00997AF1">
        <w:t xml:space="preserve">. </w:t>
      </w:r>
      <w:r w:rsidR="00C13755" w:rsidRPr="00997AF1">
        <w:t>С</w:t>
      </w:r>
      <w:r w:rsidR="00574F66" w:rsidRPr="00997AF1">
        <w:t xml:space="preserve">труктура </w:t>
      </w:r>
      <w:r w:rsidR="00C13755" w:rsidRPr="00997AF1">
        <w:t xml:space="preserve">плана </w:t>
      </w:r>
      <w:r w:rsidR="00574F66" w:rsidRPr="00997AF1">
        <w:t xml:space="preserve">соответствует Кигалийскому плану действий (КПД), поскольку в </w:t>
      </w:r>
      <w:r w:rsidR="00C13755" w:rsidRPr="00997AF1">
        <w:t>нем</w:t>
      </w:r>
      <w:r w:rsidR="00574F66" w:rsidRPr="00997AF1">
        <w:t xml:space="preserve"> определены приоритеты и средства достижения целей МСЭ-D, соответствующие конечные результаты, продукты и услуги, </w:t>
      </w:r>
      <w:r w:rsidR="005F666F" w:rsidRPr="00997AF1">
        <w:t>а также показатели эффективности для измерения уровня достижения целей в результате деятельности сектора</w:t>
      </w:r>
      <w:r w:rsidR="0037217C" w:rsidRPr="00997AF1">
        <w:t xml:space="preserve">. </w:t>
      </w:r>
      <w:r w:rsidR="005F666F" w:rsidRPr="00997AF1">
        <w:t xml:space="preserve">В настоящее время в разных регионах мира осуществляется в общей сложности сто </w:t>
      </w:r>
      <w:r w:rsidR="008476F2" w:rsidRPr="00997AF1">
        <w:t xml:space="preserve">двадцать два </w:t>
      </w:r>
      <w:r w:rsidR="005F666F" w:rsidRPr="00997AF1">
        <w:t>(1</w:t>
      </w:r>
      <w:r w:rsidR="008476F2" w:rsidRPr="00997AF1">
        <w:t>22</w:t>
      </w:r>
      <w:r w:rsidR="005F666F" w:rsidRPr="00997AF1">
        <w:t>) вид</w:t>
      </w:r>
      <w:r w:rsidR="008476F2" w:rsidRPr="00997AF1">
        <w:t>а</w:t>
      </w:r>
      <w:r w:rsidR="005F666F" w:rsidRPr="00997AF1">
        <w:t xml:space="preserve"> деятельности</w:t>
      </w:r>
      <w:r w:rsidR="0037217C" w:rsidRPr="00997AF1">
        <w:t xml:space="preserve">. </w:t>
      </w:r>
      <w:r w:rsidR="005F666F" w:rsidRPr="00997AF1">
        <w:t>Для того, чтобы повысить эффективность работы, необходимо добиться эффекта синергии в рамках региональных мероприятий и между региональными и глобальными мероприятиями, а также в сотрудничестве с другими бюро МСЭ и Генеральн</w:t>
      </w:r>
      <w:r w:rsidR="008476F2" w:rsidRPr="00997AF1">
        <w:t>ым</w:t>
      </w:r>
      <w:r w:rsidR="005F666F" w:rsidRPr="00997AF1">
        <w:t xml:space="preserve"> секретариат</w:t>
      </w:r>
      <w:r w:rsidR="008476F2" w:rsidRPr="00997AF1">
        <w:t>ом</w:t>
      </w:r>
      <w:r w:rsidR="0037217C" w:rsidRPr="00997AF1">
        <w:t>.</w:t>
      </w:r>
    </w:p>
    <w:p w14:paraId="2A96C334" w14:textId="3868F43A" w:rsidR="0037217C" w:rsidRPr="00997AF1" w:rsidRDefault="00D65B63" w:rsidP="00CB60FF">
      <w:pPr>
        <w:rPr>
          <w:rFonts w:cstheme="minorHAnsi"/>
          <w:szCs w:val="22"/>
        </w:rPr>
      </w:pPr>
      <w:r w:rsidRPr="00997AF1">
        <w:t>1.2</w:t>
      </w:r>
      <w:r w:rsidRPr="00997AF1">
        <w:tab/>
      </w:r>
      <w:r w:rsidR="00E75187" w:rsidRPr="00997AF1">
        <w:rPr>
          <w:rFonts w:cstheme="minorHAnsi"/>
          <w:b/>
          <w:szCs w:val="22"/>
        </w:rPr>
        <w:t>Скоординированное планирование работы в рамках ОП и проектов</w:t>
      </w:r>
      <w:r w:rsidR="008476F2" w:rsidRPr="00997AF1">
        <w:rPr>
          <w:rFonts w:cstheme="minorHAnsi"/>
          <w:bCs/>
          <w:szCs w:val="22"/>
        </w:rPr>
        <w:t>.</w:t>
      </w:r>
      <w:r w:rsidR="0037217C" w:rsidRPr="00997AF1">
        <w:rPr>
          <w:rFonts w:cstheme="minorHAnsi"/>
          <w:bCs/>
          <w:szCs w:val="22"/>
        </w:rPr>
        <w:t xml:space="preserve"> </w:t>
      </w:r>
      <w:r w:rsidR="005F666F" w:rsidRPr="00997AF1">
        <w:rPr>
          <w:rFonts w:cstheme="minorHAnsi"/>
          <w:spacing w:val="-3"/>
          <w:szCs w:val="22"/>
        </w:rPr>
        <w:t xml:space="preserve">Региональные и зональные отделения МСЭ тесно сотрудничают со штаб-квартирой в определении, реализации и мониторинге оперативных планов, а также в разработке, осуществлении и мониторинге проектов технической </w:t>
      </w:r>
      <w:r w:rsidR="005F666F" w:rsidRPr="00997AF1">
        <w:t>помощи</w:t>
      </w:r>
      <w:r w:rsidR="005F666F" w:rsidRPr="00997AF1">
        <w:rPr>
          <w:rFonts w:cstheme="minorHAnsi"/>
          <w:spacing w:val="-3"/>
          <w:szCs w:val="22"/>
        </w:rPr>
        <w:t xml:space="preserve"> в своих соответствующих регионах. Это включает в себя предоставление продуктов и услуг МСЭ-D </w:t>
      </w:r>
      <w:r w:rsidR="004C012F" w:rsidRPr="00997AF1">
        <w:rPr>
          <w:rFonts w:cstheme="minorHAnsi"/>
          <w:spacing w:val="-3"/>
          <w:szCs w:val="22"/>
        </w:rPr>
        <w:t>Г</w:t>
      </w:r>
      <w:r w:rsidR="005F666F" w:rsidRPr="00997AF1">
        <w:rPr>
          <w:rFonts w:cstheme="minorHAnsi"/>
          <w:spacing w:val="-3"/>
          <w:szCs w:val="22"/>
        </w:rPr>
        <w:t>осударствам-</w:t>
      </w:r>
      <w:r w:rsidR="004C012F" w:rsidRPr="00997AF1">
        <w:rPr>
          <w:rFonts w:cstheme="minorHAnsi"/>
          <w:spacing w:val="-3"/>
          <w:szCs w:val="22"/>
        </w:rPr>
        <w:t>Ч</w:t>
      </w:r>
      <w:r w:rsidR="005F666F" w:rsidRPr="00997AF1">
        <w:rPr>
          <w:rFonts w:cstheme="minorHAnsi"/>
          <w:spacing w:val="-3"/>
          <w:szCs w:val="22"/>
        </w:rPr>
        <w:t xml:space="preserve">ленам, а также удовлетворение потребностей конкретных стран в соответствии с </w:t>
      </w:r>
      <w:hyperlink r:id="rId27" w:history="1">
        <w:r w:rsidR="005F666F" w:rsidRPr="00997AF1">
          <w:rPr>
            <w:rStyle w:val="Hyperlink"/>
            <w:rFonts w:cstheme="minorHAnsi"/>
            <w:spacing w:val="-3"/>
            <w:szCs w:val="22"/>
          </w:rPr>
          <w:t>приоритетами</w:t>
        </w:r>
        <w:r w:rsidR="004C012F" w:rsidRPr="00997AF1">
          <w:rPr>
            <w:rStyle w:val="Hyperlink"/>
            <w:rFonts w:cstheme="minorHAnsi"/>
            <w:spacing w:val="-3"/>
            <w:szCs w:val="22"/>
          </w:rPr>
          <w:t>, средствами достижения целей</w:t>
        </w:r>
        <w:r w:rsidR="005F666F" w:rsidRPr="00997AF1">
          <w:rPr>
            <w:rStyle w:val="Hyperlink"/>
            <w:rFonts w:cstheme="minorHAnsi"/>
            <w:spacing w:val="-3"/>
            <w:szCs w:val="22"/>
          </w:rPr>
          <w:t xml:space="preserve"> и региональными инициативами</w:t>
        </w:r>
        <w:r w:rsidR="004C012F" w:rsidRPr="00997AF1">
          <w:rPr>
            <w:rStyle w:val="Hyperlink"/>
            <w:rFonts w:cstheme="minorHAnsi"/>
            <w:spacing w:val="-3"/>
            <w:szCs w:val="22"/>
          </w:rPr>
          <w:t xml:space="preserve"> МСЭ-D</w:t>
        </w:r>
      </w:hyperlink>
      <w:r w:rsidR="005F666F" w:rsidRPr="00997AF1">
        <w:rPr>
          <w:rFonts w:cstheme="minorHAnsi"/>
          <w:spacing w:val="-3"/>
          <w:szCs w:val="22"/>
        </w:rPr>
        <w:t xml:space="preserve">, принятыми на </w:t>
      </w:r>
      <w:hyperlink r:id="rId28" w:history="1">
        <w:r w:rsidR="005F666F" w:rsidRPr="00997AF1">
          <w:rPr>
            <w:rStyle w:val="Hyperlink"/>
            <w:rFonts w:cstheme="minorHAnsi"/>
            <w:spacing w:val="-3"/>
            <w:szCs w:val="22"/>
          </w:rPr>
          <w:t>ВКРЭ-22</w:t>
        </w:r>
      </w:hyperlink>
      <w:r w:rsidR="005F666F" w:rsidRPr="00997AF1">
        <w:rPr>
          <w:rFonts w:cstheme="minorHAnsi"/>
          <w:spacing w:val="-3"/>
          <w:szCs w:val="22"/>
        </w:rPr>
        <w:t xml:space="preserve">. Такой комплексный подход позволяет БРЭ предоставлять более качественные услуги </w:t>
      </w:r>
      <w:r w:rsidR="004C012F" w:rsidRPr="00997AF1">
        <w:rPr>
          <w:rFonts w:cstheme="minorHAnsi"/>
          <w:spacing w:val="-3"/>
          <w:szCs w:val="22"/>
        </w:rPr>
        <w:t>Г</w:t>
      </w:r>
      <w:r w:rsidR="005F666F" w:rsidRPr="00997AF1">
        <w:rPr>
          <w:rFonts w:cstheme="minorHAnsi"/>
          <w:spacing w:val="-3"/>
          <w:szCs w:val="22"/>
        </w:rPr>
        <w:t>осударствам-</w:t>
      </w:r>
      <w:r w:rsidR="004C012F" w:rsidRPr="00997AF1">
        <w:rPr>
          <w:rFonts w:cstheme="minorHAnsi"/>
          <w:spacing w:val="-3"/>
          <w:szCs w:val="22"/>
        </w:rPr>
        <w:t>Ч</w:t>
      </w:r>
      <w:r w:rsidR="005F666F" w:rsidRPr="00997AF1">
        <w:rPr>
          <w:rFonts w:cstheme="minorHAnsi"/>
          <w:spacing w:val="-3"/>
          <w:szCs w:val="22"/>
        </w:rPr>
        <w:t xml:space="preserve">ленам МСЭ и использовать </w:t>
      </w:r>
      <w:r w:rsidR="004C012F" w:rsidRPr="00997AF1">
        <w:rPr>
          <w:rFonts w:cstheme="minorHAnsi"/>
          <w:spacing w:val="-3"/>
          <w:szCs w:val="22"/>
        </w:rPr>
        <w:t xml:space="preserve">взаимосвязь </w:t>
      </w:r>
      <w:r w:rsidR="005F666F" w:rsidRPr="00997AF1">
        <w:rPr>
          <w:rFonts w:cstheme="minorHAnsi"/>
          <w:spacing w:val="-3"/>
          <w:szCs w:val="22"/>
        </w:rPr>
        <w:t>между регулярн</w:t>
      </w:r>
      <w:r w:rsidR="00E75187" w:rsidRPr="00997AF1">
        <w:rPr>
          <w:rFonts w:cstheme="minorHAnsi"/>
          <w:spacing w:val="-3"/>
          <w:szCs w:val="22"/>
        </w:rPr>
        <w:t>ыми и внебюджетными видами деятельности</w:t>
      </w:r>
      <w:r w:rsidR="005F666F" w:rsidRPr="00997AF1">
        <w:rPr>
          <w:rFonts w:cstheme="minorHAnsi"/>
          <w:spacing w:val="-3"/>
          <w:szCs w:val="22"/>
        </w:rPr>
        <w:t xml:space="preserve">, осуществляемой Бюро. </w:t>
      </w:r>
      <w:r w:rsidR="00E75187" w:rsidRPr="00997AF1">
        <w:rPr>
          <w:rFonts w:cstheme="minorHAnsi"/>
          <w:spacing w:val="-3"/>
          <w:szCs w:val="22"/>
        </w:rPr>
        <w:t xml:space="preserve">Комитет </w:t>
      </w:r>
      <w:r w:rsidR="005F666F" w:rsidRPr="00997AF1">
        <w:rPr>
          <w:rFonts w:cstheme="minorHAnsi"/>
          <w:spacing w:val="-3"/>
          <w:szCs w:val="22"/>
        </w:rPr>
        <w:t>по проектам БРЭ играет важную роль</w:t>
      </w:r>
      <w:r w:rsidR="00E75187" w:rsidRPr="00997AF1">
        <w:rPr>
          <w:rFonts w:cstheme="minorHAnsi"/>
          <w:spacing w:val="-3"/>
          <w:szCs w:val="22"/>
        </w:rPr>
        <w:t xml:space="preserve">, обеспечивая разработку проектов </w:t>
      </w:r>
      <w:r w:rsidR="005F666F" w:rsidRPr="00997AF1">
        <w:rPr>
          <w:rFonts w:cstheme="minorHAnsi"/>
          <w:spacing w:val="-3"/>
          <w:szCs w:val="22"/>
        </w:rPr>
        <w:t xml:space="preserve">в соответствии с </w:t>
      </w:r>
      <w:r w:rsidR="00E75187" w:rsidRPr="00997AF1">
        <w:rPr>
          <w:rFonts w:cstheme="minorHAnsi"/>
          <w:spacing w:val="-3"/>
          <w:szCs w:val="22"/>
        </w:rPr>
        <w:t>Кигалийским п</w:t>
      </w:r>
      <w:r w:rsidR="005F666F" w:rsidRPr="00997AF1">
        <w:rPr>
          <w:rFonts w:cstheme="minorHAnsi"/>
          <w:spacing w:val="-3"/>
          <w:szCs w:val="22"/>
        </w:rPr>
        <w:t xml:space="preserve">ланом действий, а также </w:t>
      </w:r>
      <w:r w:rsidR="00E75187" w:rsidRPr="00997AF1">
        <w:rPr>
          <w:rFonts w:cstheme="minorHAnsi"/>
          <w:spacing w:val="-3"/>
          <w:szCs w:val="22"/>
        </w:rPr>
        <w:t xml:space="preserve">надлежащее управление </w:t>
      </w:r>
      <w:r w:rsidR="005F666F" w:rsidRPr="00997AF1">
        <w:rPr>
          <w:rFonts w:cstheme="minorHAnsi"/>
          <w:spacing w:val="-3"/>
          <w:szCs w:val="22"/>
        </w:rPr>
        <w:t>портфелем проектов БРЭ</w:t>
      </w:r>
      <w:r w:rsidR="0037217C" w:rsidRPr="00997AF1">
        <w:rPr>
          <w:rFonts w:cstheme="minorHAnsi"/>
          <w:szCs w:val="22"/>
        </w:rPr>
        <w:t>.</w:t>
      </w:r>
    </w:p>
    <w:p w14:paraId="74CB5969" w14:textId="4F6813A3" w:rsidR="0037217C" w:rsidRPr="00997AF1" w:rsidRDefault="00D65B63" w:rsidP="00CB60FF">
      <w:pPr>
        <w:rPr>
          <w:rFonts w:cstheme="minorHAnsi"/>
          <w:szCs w:val="22"/>
        </w:rPr>
      </w:pPr>
      <w:r w:rsidRPr="00997AF1">
        <w:t>1.3</w:t>
      </w:r>
      <w:r w:rsidRPr="00997AF1">
        <w:tab/>
      </w:r>
      <w:r w:rsidR="00C0166D" w:rsidRPr="00997AF1">
        <w:rPr>
          <w:rFonts w:cstheme="minorHAnsi"/>
          <w:b/>
          <w:bCs/>
          <w:szCs w:val="22"/>
        </w:rPr>
        <w:t>Разработка и реализация проектов</w:t>
      </w:r>
      <w:r w:rsidR="008476F2" w:rsidRPr="00997AF1">
        <w:rPr>
          <w:rFonts w:cstheme="minorHAnsi"/>
          <w:szCs w:val="22"/>
        </w:rPr>
        <w:t>.</w:t>
      </w:r>
      <w:r w:rsidR="0037217C" w:rsidRPr="00997AF1">
        <w:rPr>
          <w:rFonts w:cstheme="minorHAnsi"/>
          <w:szCs w:val="22"/>
        </w:rPr>
        <w:t xml:space="preserve"> </w:t>
      </w:r>
      <w:r w:rsidR="00C0166D" w:rsidRPr="00997AF1">
        <w:rPr>
          <w:rFonts w:cstheme="minorHAnsi"/>
          <w:szCs w:val="22"/>
        </w:rPr>
        <w:t xml:space="preserve">После ВКРЭ-22 Бюро развития электросвязи (БРЭ) в </w:t>
      </w:r>
      <w:r w:rsidR="00C0166D" w:rsidRPr="00997AF1">
        <w:t>сотрудничестве</w:t>
      </w:r>
      <w:r w:rsidR="00C0166D" w:rsidRPr="00997AF1">
        <w:rPr>
          <w:rFonts w:cstheme="minorHAnsi"/>
          <w:szCs w:val="22"/>
        </w:rPr>
        <w:t xml:space="preserve"> с соответствующими партнерами определило, сформулировало и реализовало широкий круг проектов, которые способствовали выполнению приоритетных задач, </w:t>
      </w:r>
      <w:r w:rsidR="00C13755" w:rsidRPr="00997AF1">
        <w:rPr>
          <w:rFonts w:cstheme="minorHAnsi"/>
          <w:szCs w:val="22"/>
        </w:rPr>
        <w:t xml:space="preserve">поставленных </w:t>
      </w:r>
      <w:r w:rsidR="00C0166D" w:rsidRPr="00997AF1">
        <w:rPr>
          <w:rFonts w:cstheme="minorHAnsi"/>
          <w:szCs w:val="22"/>
        </w:rPr>
        <w:t xml:space="preserve">для ВКРЭ-22. Эти проекты также способствуют реализации региональных инициатив, направленных </w:t>
      </w:r>
      <w:r w:rsidR="00C0166D" w:rsidRPr="00997AF1">
        <w:rPr>
          <w:rFonts w:cstheme="minorHAnsi"/>
          <w:szCs w:val="22"/>
        </w:rPr>
        <w:lastRenderedPageBreak/>
        <w:t xml:space="preserve">на удовлетворение особых потребностей регионов. </w:t>
      </w:r>
      <w:r w:rsidRPr="00997AF1">
        <w:rPr>
          <w:rFonts w:cstheme="minorHAnsi"/>
          <w:szCs w:val="22"/>
        </w:rPr>
        <w:t xml:space="preserve">В каждом из шести регионов МСЭ проекты </w:t>
      </w:r>
      <w:r w:rsidR="00C0166D" w:rsidRPr="00997AF1">
        <w:rPr>
          <w:rFonts w:cstheme="minorHAnsi"/>
          <w:szCs w:val="22"/>
        </w:rPr>
        <w:t xml:space="preserve">БРЭ способствуют разработке различных продуктов и услуг в соответствии с приоритетами и </w:t>
      </w:r>
      <w:r w:rsidR="00F239E5" w:rsidRPr="00997AF1">
        <w:rPr>
          <w:rFonts w:cstheme="minorHAnsi"/>
          <w:szCs w:val="22"/>
        </w:rPr>
        <w:t>средствами</w:t>
      </w:r>
      <w:r w:rsidR="00C0166D" w:rsidRPr="00997AF1">
        <w:rPr>
          <w:rFonts w:cstheme="minorHAnsi"/>
          <w:szCs w:val="22"/>
        </w:rPr>
        <w:t xml:space="preserve"> достижения целей МСЭ-D, определенными в Кигалийском плане действий, а также в Стратегическом плане МСЭ. </w:t>
      </w:r>
      <w:r w:rsidRPr="00997AF1">
        <w:rPr>
          <w:rFonts w:cstheme="minorHAnsi"/>
          <w:szCs w:val="22"/>
        </w:rPr>
        <w:t xml:space="preserve">Реализованные проекты </w:t>
      </w:r>
      <w:r w:rsidR="00C0166D" w:rsidRPr="00997AF1">
        <w:rPr>
          <w:rFonts w:cstheme="minorHAnsi"/>
          <w:szCs w:val="22"/>
        </w:rPr>
        <w:t xml:space="preserve">и/или проекты, реализация которых продолжается в рамках каждой из региональных инициатив, принятых на ВКРЭ-22 на период 2023-2025 годов, приведены в Информационном документе </w:t>
      </w:r>
      <w:hyperlink r:id="rId29">
        <w:r w:rsidR="0037217C" w:rsidRPr="00997AF1">
          <w:rPr>
            <w:rStyle w:val="Hyperlink"/>
            <w:rFonts w:cstheme="minorHAnsi"/>
            <w:szCs w:val="22"/>
          </w:rPr>
          <w:t>TDAG-25/INF/4</w:t>
        </w:r>
      </w:hyperlink>
      <w:r w:rsidR="0037217C" w:rsidRPr="00997AF1">
        <w:rPr>
          <w:rFonts w:cstheme="minorHAnsi"/>
          <w:szCs w:val="22"/>
        </w:rPr>
        <w:t>.</w:t>
      </w:r>
    </w:p>
    <w:p w14:paraId="2533AA15" w14:textId="03187DB9" w:rsidR="00D65B63" w:rsidRPr="00997AF1" w:rsidRDefault="00D65B63" w:rsidP="00CB60FF">
      <w:pPr>
        <w:rPr>
          <w:rFonts w:cstheme="minorHAnsi"/>
          <w:szCs w:val="22"/>
        </w:rPr>
      </w:pPr>
      <w:r w:rsidRPr="00997AF1">
        <w:t>1.</w:t>
      </w:r>
      <w:r w:rsidRPr="00997AF1">
        <w:rPr>
          <w:rFonts w:cstheme="minorHAnsi"/>
          <w:szCs w:val="22"/>
        </w:rPr>
        <w:t>4</w:t>
      </w:r>
      <w:r w:rsidRPr="00997AF1">
        <w:rPr>
          <w:rFonts w:cstheme="minorHAnsi"/>
          <w:szCs w:val="22"/>
        </w:rPr>
        <w:tab/>
      </w:r>
      <w:r w:rsidRPr="00997AF1">
        <w:rPr>
          <w:rFonts w:cstheme="minorHAnsi"/>
          <w:b/>
          <w:bCs/>
          <w:szCs w:val="22"/>
        </w:rPr>
        <w:t>Региональные форумы по вопросам развития (РФР)</w:t>
      </w:r>
      <w:r w:rsidRPr="00997AF1">
        <w:rPr>
          <w:rFonts w:cstheme="minorHAnsi"/>
          <w:szCs w:val="22"/>
        </w:rPr>
        <w:t xml:space="preserve">. С февраля по апрель 2025 года БРЭ организовало серию РФР, приуроченных к региональным подготовительным собраниям к ВКРЭ-25. Региональные форумы развития способствуют налаживанию многосторонних партнерских отношений между Государствами-Членами, предприятиями отрасли, научными </w:t>
      </w:r>
      <w:r w:rsidRPr="00997AF1">
        <w:t>кругами</w:t>
      </w:r>
      <w:r w:rsidRPr="00997AF1">
        <w:rPr>
          <w:rFonts w:cstheme="minorHAnsi"/>
          <w:szCs w:val="22"/>
        </w:rPr>
        <w:t xml:space="preserve">, гражданским обществом, учреждениями системы ООН, а также региональными и международными агентствами и организациями, занимающимися вопросами развития, по конкретным региональным вопросам в сфере электросвязи и ИКТ. РФР предоставляют возможность для диалога на высоком уровне между Бюро развития электросвязи, Государствами-Членами и Членами Сектора МСЭ-D, в первую очередь по вопросам реализации региональных инициатив и Кигалийского плана действий, принятого на </w:t>
      </w:r>
      <w:hyperlink r:id="rId30">
        <w:r w:rsidR="00997AF1" w:rsidRPr="00997AF1">
          <w:rPr>
            <w:rStyle w:val="Hyperlink"/>
          </w:rPr>
          <w:t>ВКРЭ</w:t>
        </w:r>
        <w:r w:rsidR="00997AF1" w:rsidRPr="00997AF1">
          <w:rPr>
            <w:rStyle w:val="Hyperlink"/>
          </w:rPr>
          <w:t>-22</w:t>
        </w:r>
      </w:hyperlink>
      <w:r w:rsidRPr="00997AF1">
        <w:rPr>
          <w:rFonts w:cstheme="minorHAnsi"/>
          <w:szCs w:val="22"/>
        </w:rPr>
        <w:t>.</w:t>
      </w:r>
    </w:p>
    <w:p w14:paraId="4A10A778" w14:textId="351BF870" w:rsidR="00D65B63" w:rsidRPr="00997AF1" w:rsidRDefault="00D65B63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1.5</w:t>
      </w:r>
      <w:r w:rsidRPr="00997AF1">
        <w:rPr>
          <w:rFonts w:cstheme="minorHAnsi"/>
          <w:szCs w:val="22"/>
        </w:rPr>
        <w:tab/>
      </w:r>
      <w:r w:rsidRPr="00997AF1">
        <w:rPr>
          <w:rFonts w:cstheme="minorHAnsi"/>
          <w:b/>
          <w:bCs/>
          <w:szCs w:val="22"/>
        </w:rPr>
        <w:t>Подбор партнеров в рамках инициативы P2C</w:t>
      </w:r>
      <w:r w:rsidRPr="00997AF1">
        <w:rPr>
          <w:rFonts w:cstheme="minorHAnsi"/>
          <w:szCs w:val="22"/>
        </w:rPr>
        <w:t>. В рамках каждого из региональных форумов по вопросам развития (РФР) были организованы следующие круглые столы для подбора партнеров в рамках инициативы P2C:</w:t>
      </w:r>
    </w:p>
    <w:p w14:paraId="7BF57723" w14:textId="6C38CA64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>для арабских государств (РФР/круглый стол по подбору партнеров P2C) − 3 февраля 2025</w:t>
      </w:r>
      <w:r w:rsidR="008678E1" w:rsidRPr="00997AF1">
        <w:t> </w:t>
      </w:r>
      <w:r w:rsidR="00D65B63" w:rsidRPr="00997AF1">
        <w:t>года в Аммане, Иордания;</w:t>
      </w:r>
    </w:p>
    <w:p w14:paraId="12E88409" w14:textId="59B95430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 xml:space="preserve">для Европы (РФР/круглый стол по подбору партнеров P2C на тему </w:t>
      </w:r>
      <w:r w:rsidR="00DC02E2" w:rsidRPr="00997AF1">
        <w:t>"</w:t>
      </w:r>
      <w:r w:rsidR="00D65B63" w:rsidRPr="00997AF1">
        <w:t>Содействие налаживанию партнерских отношениях в интересах развития</w:t>
      </w:r>
      <w:r w:rsidR="00DC02E2" w:rsidRPr="00997AF1">
        <w:t>"</w:t>
      </w:r>
      <w:r w:rsidR="00D65B63" w:rsidRPr="00997AF1">
        <w:t>) − 24 февраля 2025 года в Будапеште, Венгрия;</w:t>
      </w:r>
    </w:p>
    <w:p w14:paraId="7D1E0CBB" w14:textId="35DFAB00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>для Азиатско-Тихоокеанского региона (РФР/круглый стол по подбору партнеров P2C) − 19</w:t>
      </w:r>
      <w:r w:rsidR="008678E1" w:rsidRPr="00997AF1">
        <w:t> </w:t>
      </w:r>
      <w:r w:rsidR="00D65B63" w:rsidRPr="00997AF1">
        <w:t>марта 2025 года в Бангкоке, Таиланд;</w:t>
      </w:r>
    </w:p>
    <w:p w14:paraId="04DB5C5F" w14:textId="1E539A1D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>для Северной и Южной Америки (РФР/круглый стол по подбору партнеров P2C) − 31</w:t>
      </w:r>
      <w:r w:rsidR="008678E1" w:rsidRPr="00997AF1">
        <w:t> </w:t>
      </w:r>
      <w:r w:rsidR="00D65B63" w:rsidRPr="00997AF1">
        <w:t>марта 2025 года в Асунсьоне, Парагвай;</w:t>
      </w:r>
    </w:p>
    <w:p w14:paraId="6E73547E" w14:textId="3097C566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>для Африки (РФР/круглый стол по подбору партнеров P2C) − 7 апреля 2025 года в Найроби, Кения;</w:t>
      </w:r>
    </w:p>
    <w:p w14:paraId="597D5783" w14:textId="107CBD51" w:rsidR="00D65B63" w:rsidRPr="00997AF1" w:rsidRDefault="00CB60FF" w:rsidP="00CB60FF">
      <w:pPr>
        <w:pStyle w:val="enumlev1"/>
      </w:pPr>
      <w:r w:rsidRPr="00997AF1">
        <w:t>•</w:t>
      </w:r>
      <w:r w:rsidRPr="00997AF1">
        <w:tab/>
      </w:r>
      <w:r w:rsidR="00D65B63" w:rsidRPr="00997AF1">
        <w:t>для Содружества Независимых Государств (СНГ) (РФР/круглый стол по подбору партнеров P2C) – 23 апреля 2025 года в Бишкеке, Кыргызстан.</w:t>
      </w:r>
    </w:p>
    <w:p w14:paraId="3CF57450" w14:textId="3D7728A3" w:rsidR="00D65B63" w:rsidRPr="00997AF1" w:rsidRDefault="00D65B63" w:rsidP="00CB60FF">
      <w:r w:rsidRPr="00997AF1">
        <w:t>1.6</w:t>
      </w:r>
      <w:r w:rsidRPr="00997AF1">
        <w:tab/>
      </w:r>
      <w:r w:rsidRPr="00997AF1">
        <w:rPr>
          <w:b/>
          <w:bCs/>
        </w:rPr>
        <w:t>Взаимодействие с заинтересованными сторонами</w:t>
      </w:r>
      <w:r w:rsidR="00DC02E2" w:rsidRPr="00997AF1">
        <w:t xml:space="preserve">. </w:t>
      </w:r>
      <w:r w:rsidRPr="00997AF1">
        <w:t xml:space="preserve">В период с мая 2024 года по март 2025 года МСЭ подписал 73 соглашения с широким кругом партнеров. Более подробная информация опубликована на </w:t>
      </w:r>
      <w:hyperlink r:id="rId31" w:history="1">
        <w:r w:rsidRPr="00997AF1">
          <w:rPr>
            <w:rStyle w:val="Hyperlink"/>
            <w:rFonts w:cstheme="minorHAnsi"/>
            <w:szCs w:val="22"/>
          </w:rPr>
          <w:t>странице МСЭ-D, посвященной партнерским отношениям</w:t>
        </w:r>
      </w:hyperlink>
      <w:r w:rsidRPr="00997AF1">
        <w:t>.</w:t>
      </w:r>
    </w:p>
    <w:p w14:paraId="66EFE3BA" w14:textId="0FF17737" w:rsidR="00D65B63" w:rsidRPr="00997AF1" w:rsidRDefault="00D65B63" w:rsidP="00CB60FF">
      <w:r w:rsidRPr="00997AF1">
        <w:t>1.7</w:t>
      </w:r>
      <w:r w:rsidRPr="00997AF1">
        <w:tab/>
      </w:r>
      <w:r w:rsidRPr="00997AF1">
        <w:rPr>
          <w:b/>
          <w:bCs/>
        </w:rPr>
        <w:t>Подписание соглашений о новых проектах</w:t>
      </w:r>
      <w:r w:rsidR="00DC02E2" w:rsidRPr="00997AF1">
        <w:t>. С</w:t>
      </w:r>
      <w:r w:rsidRPr="00997AF1">
        <w:t xml:space="preserve"> мая 2024 года по март 2025 года МСЭ подписал в общей сложности 35 соглашений о новых проектах на общую сумму 26,7</w:t>
      </w:r>
      <w:r w:rsidR="00CB60FF" w:rsidRPr="00997AF1">
        <w:t> </w:t>
      </w:r>
      <w:proofErr w:type="gramStart"/>
      <w:r w:rsidRPr="00997AF1">
        <w:t>млн</w:t>
      </w:r>
      <w:r w:rsidR="00DC02E2" w:rsidRPr="00997AF1">
        <w:t>.</w:t>
      </w:r>
      <w:proofErr w:type="gramEnd"/>
      <w:r w:rsidR="00CB60FF" w:rsidRPr="00997AF1">
        <w:t> </w:t>
      </w:r>
      <w:r w:rsidRPr="00997AF1">
        <w:t xml:space="preserve">швейцарских франков. Эти цифры </w:t>
      </w:r>
      <w:r w:rsidR="00DC02E2" w:rsidRPr="00997AF1">
        <w:t xml:space="preserve">подтверждают наблюдаемую в последние годы положительную тенденцию увеличения средств, привлеченных БРЭ для поддержки проектов, что свидетельствует о росте доверия к МСЭ как к ведущему партнеру в реализации инициатив в области ИКТ. Это касается как проектов по оказанию технической помощи Государствам − Членам МСЭ, так и проектов, финансируемых сторонними донорами. </w:t>
      </w:r>
      <w:r w:rsidRPr="00997AF1">
        <w:t>Более подробная информация о</w:t>
      </w:r>
      <w:r w:rsidR="00DC02E2" w:rsidRPr="00997AF1">
        <w:t xml:space="preserve"> реализации </w:t>
      </w:r>
      <w:r w:rsidRPr="00997AF1">
        <w:t>проект</w:t>
      </w:r>
      <w:r w:rsidR="00DC02E2" w:rsidRPr="00997AF1">
        <w:t>ов БРЭ</w:t>
      </w:r>
      <w:r w:rsidRPr="00997AF1">
        <w:t xml:space="preserve"> представлена в Документе </w:t>
      </w:r>
      <w:hyperlink r:id="rId32" w:history="1">
        <w:r w:rsidRPr="00997AF1">
          <w:rPr>
            <w:rStyle w:val="Hyperlink"/>
            <w:rFonts w:cstheme="minorHAnsi"/>
            <w:szCs w:val="22"/>
          </w:rPr>
          <w:t>TDAG-25/5</w:t>
        </w:r>
      </w:hyperlink>
      <w:r w:rsidRPr="00997AF1">
        <w:t xml:space="preserve"> и на </w:t>
      </w:r>
      <w:hyperlink r:id="rId33" w:tgtFrame="_blank" w:history="1">
        <w:r w:rsidRPr="00997AF1">
          <w:rPr>
            <w:rStyle w:val="Hyperlink"/>
            <w:rFonts w:cstheme="minorHAnsi"/>
            <w:szCs w:val="22"/>
          </w:rPr>
          <w:t>портале проектов МСЭ-D</w:t>
        </w:r>
      </w:hyperlink>
      <w:r w:rsidR="00DC02E2" w:rsidRPr="00997AF1">
        <w:t>, который включает интерактивную панель для членов КГРЭ</w:t>
      </w:r>
      <w:r w:rsidR="00876ED8" w:rsidRPr="00997AF1">
        <w:t xml:space="preserve"> и дополнительную информации о портфеле проектов БРЭ.</w:t>
      </w:r>
    </w:p>
    <w:p w14:paraId="383201D6" w14:textId="408F4682" w:rsidR="0037217C" w:rsidRPr="00997AF1" w:rsidRDefault="00DC02E2" w:rsidP="00CB60FF">
      <w:r w:rsidRPr="00997AF1">
        <w:t>1</w:t>
      </w:r>
      <w:r w:rsidR="00876ED8" w:rsidRPr="00997AF1">
        <w:t>.8</w:t>
      </w:r>
      <w:r w:rsidR="00876ED8" w:rsidRPr="00997AF1">
        <w:tab/>
      </w:r>
      <w:r w:rsidR="00876ED8" w:rsidRPr="00997AF1">
        <w:rPr>
          <w:b/>
          <w:bCs/>
        </w:rPr>
        <w:t>Существующие проекты, партнерские отношения и мероприятия по сотрудничеству</w:t>
      </w:r>
      <w:r w:rsidR="00876ED8" w:rsidRPr="00997AF1">
        <w:t>. В</w:t>
      </w:r>
      <w:r w:rsidR="00CB60FF" w:rsidRPr="00997AF1">
        <w:t> </w:t>
      </w:r>
      <w:r w:rsidR="00876ED8" w:rsidRPr="00997AF1">
        <w:t>течение 2024 года БРЭ выполнило в общей сложности 105 проектов на сумму 91,8</w:t>
      </w:r>
      <w:r w:rsidR="008678E1" w:rsidRPr="00997AF1">
        <w:t> </w:t>
      </w:r>
      <w:proofErr w:type="gramStart"/>
      <w:r w:rsidR="00876ED8" w:rsidRPr="00997AF1">
        <w:t>млн.</w:t>
      </w:r>
      <w:proofErr w:type="gramEnd"/>
      <w:r w:rsidR="008678E1" w:rsidRPr="00997AF1">
        <w:t> </w:t>
      </w:r>
      <w:r w:rsidR="00876ED8" w:rsidRPr="00997AF1">
        <w:t xml:space="preserve">швейцарских франков. На Рисунке 1 представлено общее распределение этого портфеля по регионам и обзор 1) средств, привлеченных для поддержки реализации этих проектов, 2) начального </w:t>
      </w:r>
      <w:r w:rsidR="00876ED8" w:rsidRPr="00997AF1">
        <w:lastRenderedPageBreak/>
        <w:t xml:space="preserve">финансирования, выделенного МСЭ из Фонда развития ИКТ (ФРИКТ). Дополнительная информация о проектах БРЭ представлена в Документе </w:t>
      </w:r>
      <w:hyperlink r:id="rId34" w:history="1">
        <w:r w:rsidR="00876ED8" w:rsidRPr="00997AF1">
          <w:rPr>
            <w:rStyle w:val="Hyperlink"/>
          </w:rPr>
          <w:t>TDAG-25/5</w:t>
        </w:r>
      </w:hyperlink>
      <w:r w:rsidR="00876ED8" w:rsidRPr="00997AF1">
        <w:t xml:space="preserve">, а также доступна дополнительная информация о деятельности по мобилизации ресурсов и партнерствах в Документе </w:t>
      </w:r>
      <w:hyperlink r:id="rId35" w:history="1">
        <w:r w:rsidR="00876ED8" w:rsidRPr="00997AF1">
          <w:rPr>
            <w:rStyle w:val="Hyperlink"/>
          </w:rPr>
          <w:t>TDAG-25/9</w:t>
        </w:r>
      </w:hyperlink>
      <w:r w:rsidR="00876ED8" w:rsidRPr="00997AF1">
        <w:t>.</w:t>
      </w:r>
    </w:p>
    <w:p w14:paraId="214C7E2B" w14:textId="77777777" w:rsidR="00CB60FF" w:rsidRPr="00997AF1" w:rsidRDefault="00876ED8" w:rsidP="00CB60FF">
      <w:pPr>
        <w:pStyle w:val="TableNo"/>
      </w:pPr>
      <w:r w:rsidRPr="00997AF1">
        <w:t>Таблица 1</w:t>
      </w:r>
    </w:p>
    <w:p w14:paraId="0970C1D0" w14:textId="691949EF" w:rsidR="00876ED8" w:rsidRPr="00997AF1" w:rsidRDefault="00876ED8" w:rsidP="00CB60FF">
      <w:pPr>
        <w:pStyle w:val="Tabletitle"/>
        <w:rPr>
          <w:caps/>
        </w:rPr>
      </w:pPr>
      <w:r w:rsidRPr="00997AF1">
        <w:t>Обзор проектов МСЭ в разбивке по регионам с указанием видов деятельности в 2024 году (в тыс. шв. фр.)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01"/>
        <w:gridCol w:w="1979"/>
      </w:tblGrid>
      <w:tr w:rsidR="00876ED8" w:rsidRPr="00997AF1" w14:paraId="29A73BC8" w14:textId="77777777" w:rsidTr="00997AF1">
        <w:trPr>
          <w:trHeight w:val="852"/>
          <w:jc w:val="center"/>
        </w:trPr>
        <w:tc>
          <w:tcPr>
            <w:tcW w:w="2405" w:type="dxa"/>
            <w:shd w:val="clear" w:color="auto" w:fill="8DB3E2" w:themeFill="text2" w:themeFillTint="66"/>
            <w:noWrap/>
            <w:vAlign w:val="center"/>
            <w:hideMark/>
          </w:tcPr>
          <w:p w14:paraId="45C80ED8" w14:textId="0E129261" w:rsidR="00876ED8" w:rsidRPr="00997AF1" w:rsidRDefault="00876ED8" w:rsidP="00CB60FF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Регион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center"/>
            <w:hideMark/>
          </w:tcPr>
          <w:p w14:paraId="26EE5CD9" w14:textId="7B59E6D0" w:rsidR="00876ED8" w:rsidRPr="00997AF1" w:rsidRDefault="00876ED8" w:rsidP="00CB60FF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Кол</w:t>
            </w:r>
            <w:r w:rsidR="00936F7C" w:rsidRPr="00997AF1">
              <w:rPr>
                <w:lang w:eastAsia="zh-CN"/>
              </w:rPr>
              <w:t>-</w:t>
            </w:r>
            <w:r w:rsidRPr="00997AF1">
              <w:rPr>
                <w:lang w:eastAsia="zh-CN"/>
              </w:rPr>
              <w:t>во проектов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center"/>
            <w:hideMark/>
          </w:tcPr>
          <w:p w14:paraId="216CA549" w14:textId="32902C30" w:rsidR="00876ED8" w:rsidRPr="00997AF1" w:rsidRDefault="00876ED8" w:rsidP="00CB60FF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Средства от</w:t>
            </w:r>
            <w:r w:rsidR="00997AF1" w:rsidRPr="00997AF1">
              <w:rPr>
                <w:lang w:eastAsia="zh-CN"/>
              </w:rPr>
              <w:t> </w:t>
            </w:r>
            <w:r w:rsidRPr="00997AF1">
              <w:rPr>
                <w:lang w:eastAsia="zh-CN"/>
              </w:rPr>
              <w:t>партнеров</w:t>
            </w:r>
          </w:p>
        </w:tc>
        <w:tc>
          <w:tcPr>
            <w:tcW w:w="1701" w:type="dxa"/>
            <w:shd w:val="clear" w:color="auto" w:fill="8DB3E2" w:themeFill="text2" w:themeFillTint="66"/>
            <w:noWrap/>
            <w:vAlign w:val="center"/>
          </w:tcPr>
          <w:p w14:paraId="600D9AB0" w14:textId="5FFBFE5C" w:rsidR="00876ED8" w:rsidRPr="00997AF1" w:rsidRDefault="00876ED8" w:rsidP="00CB60FF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Средства МСЭ</w:t>
            </w:r>
          </w:p>
        </w:tc>
        <w:tc>
          <w:tcPr>
            <w:tcW w:w="1979" w:type="dxa"/>
            <w:shd w:val="clear" w:color="auto" w:fill="8DB3E2" w:themeFill="text2" w:themeFillTint="66"/>
            <w:noWrap/>
            <w:vAlign w:val="center"/>
            <w:hideMark/>
          </w:tcPr>
          <w:p w14:paraId="04F4427C" w14:textId="7E8CA319" w:rsidR="00876ED8" w:rsidRPr="00997AF1" w:rsidRDefault="00876ED8" w:rsidP="00CB60FF">
            <w:pPr>
              <w:pStyle w:val="Tablehead"/>
              <w:rPr>
                <w:lang w:eastAsia="zh-CN"/>
              </w:rPr>
            </w:pPr>
            <w:r w:rsidRPr="00997AF1">
              <w:rPr>
                <w:lang w:eastAsia="zh-CN"/>
              </w:rPr>
              <w:t>Общая сумма средств на проекты</w:t>
            </w:r>
          </w:p>
        </w:tc>
      </w:tr>
      <w:tr w:rsidR="00876ED8" w:rsidRPr="00997AF1" w14:paraId="373FA5A5" w14:textId="77777777" w:rsidTr="00997AF1">
        <w:trPr>
          <w:trHeight w:val="54"/>
          <w:jc w:val="center"/>
        </w:trPr>
        <w:tc>
          <w:tcPr>
            <w:tcW w:w="2405" w:type="dxa"/>
            <w:hideMark/>
          </w:tcPr>
          <w:p w14:paraId="0FAD2BFE" w14:textId="71734C41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АФР</w:t>
            </w:r>
          </w:p>
        </w:tc>
        <w:tc>
          <w:tcPr>
            <w:tcW w:w="1843" w:type="dxa"/>
            <w:noWrap/>
            <w:vAlign w:val="bottom"/>
            <w:hideMark/>
          </w:tcPr>
          <w:p w14:paraId="017D7BEE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17</w:t>
            </w:r>
          </w:p>
        </w:tc>
        <w:tc>
          <w:tcPr>
            <w:tcW w:w="1701" w:type="dxa"/>
            <w:vAlign w:val="bottom"/>
            <w:hideMark/>
          </w:tcPr>
          <w:p w14:paraId="460805F8" w14:textId="3AA72324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26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548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14:paraId="3CD9D0E3" w14:textId="3535A89F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516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0B2F78F2" w14:textId="2431136C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28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197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8</w:t>
            </w:r>
          </w:p>
        </w:tc>
      </w:tr>
      <w:tr w:rsidR="00876ED8" w:rsidRPr="00997AF1" w14:paraId="3302AF55" w14:textId="77777777" w:rsidTr="00997AF1">
        <w:trPr>
          <w:trHeight w:val="54"/>
          <w:jc w:val="center"/>
        </w:trPr>
        <w:tc>
          <w:tcPr>
            <w:tcW w:w="2405" w:type="dxa"/>
            <w:hideMark/>
          </w:tcPr>
          <w:p w14:paraId="1FC27A98" w14:textId="71980E8E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АМР</w:t>
            </w:r>
          </w:p>
        </w:tc>
        <w:tc>
          <w:tcPr>
            <w:tcW w:w="1843" w:type="dxa"/>
            <w:noWrap/>
            <w:vAlign w:val="bottom"/>
            <w:hideMark/>
          </w:tcPr>
          <w:p w14:paraId="02E5CFEC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19</w:t>
            </w:r>
          </w:p>
        </w:tc>
        <w:tc>
          <w:tcPr>
            <w:tcW w:w="1701" w:type="dxa"/>
            <w:vAlign w:val="bottom"/>
            <w:hideMark/>
          </w:tcPr>
          <w:p w14:paraId="456634C6" w14:textId="14561389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12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600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1701" w:type="dxa"/>
            <w:vAlign w:val="bottom"/>
            <w:hideMark/>
          </w:tcPr>
          <w:p w14:paraId="7D0377EE" w14:textId="19AB4CD7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335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091CDACD" w14:textId="79F3B9A6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13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211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4</w:t>
            </w:r>
          </w:p>
        </w:tc>
      </w:tr>
      <w:tr w:rsidR="00876ED8" w:rsidRPr="00997AF1" w14:paraId="0579E8AF" w14:textId="77777777" w:rsidTr="00997AF1">
        <w:trPr>
          <w:trHeight w:val="300"/>
          <w:jc w:val="center"/>
        </w:trPr>
        <w:tc>
          <w:tcPr>
            <w:tcW w:w="2405" w:type="dxa"/>
            <w:hideMark/>
          </w:tcPr>
          <w:p w14:paraId="090D26F3" w14:textId="2F1FFF8D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АРБ</w:t>
            </w:r>
          </w:p>
        </w:tc>
        <w:tc>
          <w:tcPr>
            <w:tcW w:w="1843" w:type="dxa"/>
            <w:vAlign w:val="bottom"/>
            <w:hideMark/>
          </w:tcPr>
          <w:p w14:paraId="589BEE4D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701" w:type="dxa"/>
            <w:vAlign w:val="bottom"/>
            <w:hideMark/>
          </w:tcPr>
          <w:p w14:paraId="7111D863" w14:textId="4CB25DCE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989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1701" w:type="dxa"/>
            <w:vAlign w:val="bottom"/>
            <w:hideMark/>
          </w:tcPr>
          <w:p w14:paraId="54A734B1" w14:textId="4234AE33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664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2D9D4557" w14:textId="2DA610BC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654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1</w:t>
            </w:r>
          </w:p>
        </w:tc>
      </w:tr>
      <w:tr w:rsidR="00876ED8" w:rsidRPr="00997AF1" w14:paraId="26D8AF21" w14:textId="77777777" w:rsidTr="00997AF1">
        <w:trPr>
          <w:trHeight w:val="54"/>
          <w:jc w:val="center"/>
        </w:trPr>
        <w:tc>
          <w:tcPr>
            <w:tcW w:w="2405" w:type="dxa"/>
            <w:vAlign w:val="center"/>
            <w:hideMark/>
          </w:tcPr>
          <w:p w14:paraId="30E03F64" w14:textId="280D1353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АТР</w:t>
            </w:r>
          </w:p>
        </w:tc>
        <w:tc>
          <w:tcPr>
            <w:tcW w:w="1843" w:type="dxa"/>
            <w:noWrap/>
            <w:vAlign w:val="bottom"/>
            <w:hideMark/>
          </w:tcPr>
          <w:p w14:paraId="25ECB38D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15</w:t>
            </w:r>
          </w:p>
        </w:tc>
        <w:tc>
          <w:tcPr>
            <w:tcW w:w="1701" w:type="dxa"/>
            <w:vAlign w:val="bottom"/>
            <w:hideMark/>
          </w:tcPr>
          <w:p w14:paraId="04B0E1FF" w14:textId="717749BA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667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14:paraId="10DAA8D7" w14:textId="295D09A9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655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2F8BF23C" w14:textId="0081B9EF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7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804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7</w:t>
            </w:r>
          </w:p>
        </w:tc>
      </w:tr>
      <w:tr w:rsidR="00876ED8" w:rsidRPr="00997AF1" w14:paraId="50FBFB16" w14:textId="77777777" w:rsidTr="00997AF1">
        <w:trPr>
          <w:trHeight w:val="54"/>
          <w:jc w:val="center"/>
        </w:trPr>
        <w:tc>
          <w:tcPr>
            <w:tcW w:w="2405" w:type="dxa"/>
            <w:hideMark/>
          </w:tcPr>
          <w:p w14:paraId="61C35BD4" w14:textId="5B5509BD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СНГ</w:t>
            </w:r>
            <w:r w:rsidR="00876ED8" w:rsidRPr="00997AF1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  <w:vAlign w:val="bottom"/>
            <w:hideMark/>
          </w:tcPr>
          <w:p w14:paraId="1EA6C1DD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701" w:type="dxa"/>
            <w:vAlign w:val="bottom"/>
            <w:hideMark/>
          </w:tcPr>
          <w:p w14:paraId="7E67F9B2" w14:textId="617A93BF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342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0</w:t>
            </w:r>
          </w:p>
        </w:tc>
        <w:tc>
          <w:tcPr>
            <w:tcW w:w="1701" w:type="dxa"/>
            <w:vAlign w:val="bottom"/>
          </w:tcPr>
          <w:p w14:paraId="75E32DA1" w14:textId="5ADBB96C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532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275A5F05" w14:textId="5B8F139B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874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1</w:t>
            </w:r>
          </w:p>
        </w:tc>
      </w:tr>
      <w:tr w:rsidR="00876ED8" w:rsidRPr="00997AF1" w14:paraId="4DFE5FA8" w14:textId="77777777" w:rsidTr="00997AF1">
        <w:trPr>
          <w:trHeight w:val="54"/>
          <w:jc w:val="center"/>
        </w:trPr>
        <w:tc>
          <w:tcPr>
            <w:tcW w:w="2405" w:type="dxa"/>
            <w:vAlign w:val="bottom"/>
            <w:hideMark/>
          </w:tcPr>
          <w:p w14:paraId="6DDC64A3" w14:textId="6A93F141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ЕВР</w:t>
            </w:r>
          </w:p>
        </w:tc>
        <w:tc>
          <w:tcPr>
            <w:tcW w:w="1843" w:type="dxa"/>
            <w:vAlign w:val="bottom"/>
            <w:hideMark/>
          </w:tcPr>
          <w:p w14:paraId="3B0DC5C3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701" w:type="dxa"/>
            <w:vAlign w:val="bottom"/>
            <w:hideMark/>
          </w:tcPr>
          <w:p w14:paraId="1A68B01F" w14:textId="03157765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034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1701" w:type="dxa"/>
            <w:vAlign w:val="bottom"/>
          </w:tcPr>
          <w:p w14:paraId="3D39466A" w14:textId="2410EBA4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44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594F3057" w14:textId="280FE90A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078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8</w:t>
            </w:r>
          </w:p>
        </w:tc>
      </w:tr>
      <w:tr w:rsidR="00876ED8" w:rsidRPr="00997AF1" w14:paraId="7DE6278D" w14:textId="77777777" w:rsidTr="00997AF1">
        <w:trPr>
          <w:trHeight w:val="54"/>
          <w:jc w:val="center"/>
        </w:trPr>
        <w:tc>
          <w:tcPr>
            <w:tcW w:w="2405" w:type="dxa"/>
            <w:hideMark/>
          </w:tcPr>
          <w:p w14:paraId="32A89902" w14:textId="7392F48E" w:rsidR="00876ED8" w:rsidRPr="00997AF1" w:rsidRDefault="00936F7C" w:rsidP="00CB60FF">
            <w:pPr>
              <w:pStyle w:val="Tabletext"/>
              <w:rPr>
                <w:lang w:eastAsia="zh-CN"/>
              </w:rPr>
            </w:pPr>
            <w:r w:rsidRPr="00997AF1">
              <w:rPr>
                <w:lang w:eastAsia="zh-CN"/>
              </w:rPr>
              <w:t>Несколько регионов</w:t>
            </w:r>
            <w:r w:rsidR="00876ED8" w:rsidRPr="00997AF1">
              <w:rPr>
                <w:lang w:eastAsia="zh-CN"/>
              </w:rPr>
              <w:t xml:space="preserve"> (*)</w:t>
            </w:r>
          </w:p>
        </w:tc>
        <w:tc>
          <w:tcPr>
            <w:tcW w:w="1843" w:type="dxa"/>
            <w:noWrap/>
            <w:vAlign w:val="bottom"/>
            <w:hideMark/>
          </w:tcPr>
          <w:p w14:paraId="0902A790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41</w:t>
            </w:r>
          </w:p>
        </w:tc>
        <w:tc>
          <w:tcPr>
            <w:tcW w:w="1701" w:type="dxa"/>
            <w:vAlign w:val="bottom"/>
            <w:hideMark/>
          </w:tcPr>
          <w:p w14:paraId="45E2FDE1" w14:textId="175104B2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26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852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701" w:type="dxa"/>
            <w:vAlign w:val="bottom"/>
            <w:hideMark/>
          </w:tcPr>
          <w:p w14:paraId="30326DEA" w14:textId="6F8E6871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6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676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979" w:type="dxa"/>
            <w:shd w:val="clear" w:color="auto" w:fill="DBE5F1" w:themeFill="accent1" w:themeFillTint="33"/>
            <w:vAlign w:val="bottom"/>
            <w:hideMark/>
          </w:tcPr>
          <w:p w14:paraId="19AF874C" w14:textId="33705F55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lang w:eastAsia="zh-CN"/>
              </w:rPr>
            </w:pPr>
            <w:r w:rsidRPr="00997AF1">
              <w:rPr>
                <w:rFonts w:eastAsiaTheme="minorEastAsia"/>
                <w:lang w:eastAsia="zh-CN"/>
              </w:rPr>
              <w:t>33</w:t>
            </w:r>
            <w:r w:rsidR="00936F7C" w:rsidRPr="00997AF1">
              <w:rPr>
                <w:rFonts w:eastAsiaTheme="minorEastAsia"/>
                <w:lang w:eastAsia="zh-CN"/>
              </w:rPr>
              <w:t> </w:t>
            </w:r>
            <w:r w:rsidRPr="00997AF1">
              <w:rPr>
                <w:rFonts w:eastAsiaTheme="minorEastAsia"/>
                <w:lang w:eastAsia="zh-CN"/>
              </w:rPr>
              <w:t>979</w:t>
            </w:r>
            <w:r w:rsidR="00936F7C" w:rsidRPr="00997AF1">
              <w:rPr>
                <w:rFonts w:eastAsiaTheme="minorEastAsia"/>
                <w:lang w:eastAsia="zh-CN"/>
              </w:rPr>
              <w:t>,</w:t>
            </w:r>
            <w:r w:rsidRPr="00997AF1">
              <w:rPr>
                <w:rFonts w:eastAsiaTheme="minorEastAsia"/>
                <w:lang w:eastAsia="zh-CN"/>
              </w:rPr>
              <w:t>1</w:t>
            </w:r>
          </w:p>
        </w:tc>
      </w:tr>
      <w:tr w:rsidR="00876ED8" w:rsidRPr="00997AF1" w14:paraId="380D2850" w14:textId="77777777" w:rsidTr="00997AF1">
        <w:trPr>
          <w:trHeight w:val="54"/>
          <w:jc w:val="center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  <w:hideMark/>
          </w:tcPr>
          <w:p w14:paraId="01884E3A" w14:textId="574AEAF2" w:rsidR="00876ED8" w:rsidRPr="00997AF1" w:rsidRDefault="00936F7C" w:rsidP="00CB60FF">
            <w:pPr>
              <w:pStyle w:val="Tabletext"/>
              <w:rPr>
                <w:b/>
                <w:bCs/>
                <w:lang w:eastAsia="zh-CN"/>
              </w:rPr>
            </w:pPr>
            <w:r w:rsidRPr="00997AF1">
              <w:rPr>
                <w:b/>
                <w:bCs/>
                <w:lang w:eastAsia="zh-CN"/>
              </w:rPr>
              <w:t>ВСЕГО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bottom"/>
            <w:hideMark/>
          </w:tcPr>
          <w:p w14:paraId="652DC03D" w14:textId="77777777" w:rsidR="00876ED8" w:rsidRPr="00997AF1" w:rsidRDefault="00876ED8" w:rsidP="00CB60FF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105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2734D4B5" w14:textId="75FC48B7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80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 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034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,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30D0DBF4" w14:textId="16400222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10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 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425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,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3</w:t>
            </w:r>
          </w:p>
        </w:tc>
        <w:tc>
          <w:tcPr>
            <w:tcW w:w="1979" w:type="dxa"/>
            <w:shd w:val="clear" w:color="auto" w:fill="DBE5F1" w:themeFill="accent1" w:themeFillTint="33"/>
            <w:noWrap/>
            <w:vAlign w:val="bottom"/>
            <w:hideMark/>
          </w:tcPr>
          <w:p w14:paraId="5792DBF5" w14:textId="4DBA3997" w:rsidR="00876ED8" w:rsidRPr="00997AF1" w:rsidRDefault="00876ED8" w:rsidP="00CB60FF">
            <w:pPr>
              <w:pStyle w:val="Tabletext"/>
              <w:jc w:val="right"/>
              <w:rPr>
                <w:rFonts w:eastAsiaTheme="minorEastAsia"/>
                <w:b/>
                <w:bCs/>
                <w:lang w:eastAsia="zh-CN"/>
              </w:rPr>
            </w:pPr>
            <w:r w:rsidRPr="00997AF1">
              <w:rPr>
                <w:rFonts w:eastAsiaTheme="minorEastAsia"/>
                <w:b/>
                <w:bCs/>
                <w:lang w:eastAsia="zh-CN"/>
              </w:rPr>
              <w:t>91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 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800</w:t>
            </w:r>
            <w:r w:rsidR="00936F7C" w:rsidRPr="00997AF1">
              <w:rPr>
                <w:rFonts w:eastAsiaTheme="minorEastAsia"/>
                <w:b/>
                <w:bCs/>
                <w:lang w:eastAsia="zh-CN"/>
              </w:rPr>
              <w:t>,</w:t>
            </w:r>
            <w:r w:rsidRPr="00997AF1">
              <w:rPr>
                <w:rFonts w:eastAsiaTheme="minorEastAsia"/>
                <w:b/>
                <w:bCs/>
                <w:lang w:eastAsia="zh-CN"/>
              </w:rPr>
              <w:t>0</w:t>
            </w:r>
          </w:p>
        </w:tc>
      </w:tr>
    </w:tbl>
    <w:p w14:paraId="6BD04486" w14:textId="653A49FA" w:rsidR="00876ED8" w:rsidRPr="00997AF1" w:rsidRDefault="00876ED8" w:rsidP="00CB60FF">
      <w:pPr>
        <w:pStyle w:val="Tablelegend"/>
      </w:pPr>
      <w:r w:rsidRPr="00997AF1">
        <w:t xml:space="preserve">(*) </w:t>
      </w:r>
      <w:r w:rsidR="00936F7C" w:rsidRPr="00997AF1">
        <w:t>Межрегиональные проекты для всех регионов.</w:t>
      </w:r>
    </w:p>
    <w:p w14:paraId="303ADDDF" w14:textId="5CB27436" w:rsidR="0037217C" w:rsidRPr="00997AF1" w:rsidRDefault="00CB60FF" w:rsidP="00CB60FF">
      <w:pPr>
        <w:pStyle w:val="Heading1"/>
      </w:pPr>
      <w:r w:rsidRPr="00997AF1">
        <w:t>2</w:t>
      </w:r>
      <w:r w:rsidRPr="00997AF1">
        <w:tab/>
      </w:r>
      <w:r w:rsidR="007B1FF1" w:rsidRPr="00997AF1">
        <w:t>Обсуждение вопросов усиления регионального присутствия в Совете</w:t>
      </w:r>
    </w:p>
    <w:p w14:paraId="0F6376A5" w14:textId="1843F283" w:rsidR="0037217C" w:rsidRPr="00997AF1" w:rsidRDefault="0037217C" w:rsidP="00CB60FF">
      <w:r w:rsidRPr="00997AF1">
        <w:t>2.1</w:t>
      </w:r>
      <w:r w:rsidR="00CB60FF" w:rsidRPr="00997AF1">
        <w:tab/>
      </w:r>
      <w:r w:rsidR="007B1FF1" w:rsidRPr="00997AF1">
        <w:t>Рабочая группа Совета по финансовым и людским ресурсам (РГС-ФЛР) в ходе своего собрания, состоявшегося 11–13 октября 2023 года,</w:t>
      </w:r>
      <w:r w:rsidR="00936F7C" w:rsidRPr="00997AF1">
        <w:t xml:space="preserve"> провела краткое рассмотрение и обсуждение</w:t>
      </w:r>
      <w:r w:rsidR="007B1FF1" w:rsidRPr="00997AF1">
        <w:t xml:space="preserve"> следующи</w:t>
      </w:r>
      <w:r w:rsidR="00936F7C" w:rsidRPr="00997AF1">
        <w:t>х</w:t>
      </w:r>
      <w:r w:rsidR="007B1FF1" w:rsidRPr="00997AF1">
        <w:t xml:space="preserve"> дв</w:t>
      </w:r>
      <w:r w:rsidR="00936F7C" w:rsidRPr="00997AF1">
        <w:t>ух</w:t>
      </w:r>
      <w:r w:rsidR="007B1FF1" w:rsidRPr="00997AF1">
        <w:t xml:space="preserve"> документ</w:t>
      </w:r>
      <w:r w:rsidR="00936F7C" w:rsidRPr="00997AF1">
        <w:t>ов</w:t>
      </w:r>
      <w:r w:rsidR="007B1FF1" w:rsidRPr="00997AF1">
        <w:t xml:space="preserve"> по теме разработки критериев создания зональных отделений в будущем</w:t>
      </w:r>
      <w:r w:rsidRPr="00997AF1">
        <w:t xml:space="preserve">: </w:t>
      </w:r>
      <w:r w:rsidR="007B1FF1" w:rsidRPr="00997AF1">
        <w:t>Документ</w:t>
      </w:r>
      <w:r w:rsidR="00936F7C" w:rsidRPr="00997AF1">
        <w:t>а</w:t>
      </w:r>
      <w:r w:rsidR="007B1FF1" w:rsidRPr="00997AF1">
        <w:t xml:space="preserve"> </w:t>
      </w:r>
      <w:hyperlink r:id="rId36" w:history="1">
        <w:r w:rsidRPr="00997AF1">
          <w:rPr>
            <w:rStyle w:val="Hyperlink"/>
            <w:rFonts w:cstheme="minorHAnsi"/>
            <w:szCs w:val="22"/>
          </w:rPr>
          <w:t>CWG-FHR-16/10</w:t>
        </w:r>
      </w:hyperlink>
      <w:r w:rsidRPr="00997AF1">
        <w:t xml:space="preserve"> </w:t>
      </w:r>
      <w:r w:rsidR="00936F7C" w:rsidRPr="00997AF1">
        <w:t xml:space="preserve">"Укрепление </w:t>
      </w:r>
      <w:r w:rsidR="007B1FF1" w:rsidRPr="00997AF1">
        <w:t xml:space="preserve">регионального присутствия – </w:t>
      </w:r>
      <w:r w:rsidR="00936F7C" w:rsidRPr="00997AF1">
        <w:t xml:space="preserve">Критерии </w:t>
      </w:r>
      <w:r w:rsidR="007B1FF1" w:rsidRPr="00997AF1">
        <w:t>для создания будущих зональных отделений</w:t>
      </w:r>
      <w:r w:rsidR="00936F7C" w:rsidRPr="00997AF1">
        <w:t>"</w:t>
      </w:r>
      <w:r w:rsidR="007B1FF1" w:rsidRPr="00997AF1">
        <w:t>, представленн</w:t>
      </w:r>
      <w:r w:rsidR="00936F7C" w:rsidRPr="00997AF1">
        <w:t>ого</w:t>
      </w:r>
      <w:r w:rsidR="007B1FF1" w:rsidRPr="00997AF1">
        <w:t xml:space="preserve"> Генеральным секретарем; и Документ</w:t>
      </w:r>
      <w:r w:rsidR="00936F7C" w:rsidRPr="00997AF1">
        <w:t>а</w:t>
      </w:r>
      <w:r w:rsidR="007B1FF1" w:rsidRPr="00997AF1">
        <w:t> </w:t>
      </w:r>
      <w:hyperlink r:id="rId37" w:history="1">
        <w:r w:rsidRPr="00997AF1">
          <w:rPr>
            <w:rStyle w:val="Hyperlink"/>
            <w:rFonts w:cstheme="minorHAnsi"/>
            <w:szCs w:val="22"/>
          </w:rPr>
          <w:t>CWG-FHR-16/24(Rev.1)</w:t>
        </w:r>
      </w:hyperlink>
      <w:r w:rsidRPr="00997AF1">
        <w:t xml:space="preserve"> </w:t>
      </w:r>
      <w:r w:rsidR="00936F7C" w:rsidRPr="00997AF1">
        <w:t>"</w:t>
      </w:r>
      <w:r w:rsidR="007B1FF1" w:rsidRPr="00997AF1">
        <w:t xml:space="preserve">Вклад нескольких стран – </w:t>
      </w:r>
      <w:r w:rsidR="00936F7C" w:rsidRPr="00997AF1">
        <w:t xml:space="preserve">Предложение </w:t>
      </w:r>
      <w:r w:rsidR="007B1FF1" w:rsidRPr="00997AF1">
        <w:t>о создании будущих зональных отделений</w:t>
      </w:r>
      <w:r w:rsidR="00936F7C" w:rsidRPr="00997AF1">
        <w:t>"</w:t>
      </w:r>
      <w:r w:rsidR="007B1FF1" w:rsidRPr="00997AF1">
        <w:t>, представленно</w:t>
      </w:r>
      <w:r w:rsidR="00936F7C" w:rsidRPr="00997AF1">
        <w:t>го</w:t>
      </w:r>
      <w:r w:rsidR="007B1FF1" w:rsidRPr="00997AF1">
        <w:t xml:space="preserve"> Алжиром, Китаем, Кубой, Российской Федерацией и Южно</w:t>
      </w:r>
      <w:r w:rsidR="008678E1" w:rsidRPr="00997AF1">
        <w:noBreakHyphen/>
      </w:r>
      <w:r w:rsidR="007B1FF1" w:rsidRPr="00997AF1">
        <w:t>Африканской Республикой.</w:t>
      </w:r>
    </w:p>
    <w:p w14:paraId="75CB63B1" w14:textId="72AF5F52" w:rsidR="0037217C" w:rsidRPr="00997AF1" w:rsidRDefault="0037217C" w:rsidP="00CB60FF">
      <w:r w:rsidRPr="00997AF1">
        <w:t>2.1.1</w:t>
      </w:r>
      <w:r w:rsidR="00CB60FF" w:rsidRPr="00997AF1">
        <w:tab/>
      </w:r>
      <w:r w:rsidR="007B1FF1" w:rsidRPr="00997AF1">
        <w:t>Эти документы были направлены собранию РГС-ФЛР, которое состоялось в январе 2024</w:t>
      </w:r>
      <w:r w:rsidR="008678E1" w:rsidRPr="00997AF1">
        <w:t> </w:t>
      </w:r>
      <w:r w:rsidR="007B1FF1" w:rsidRPr="00997AF1">
        <w:t>года, для продолжения дискуссий и возможного обсуждения предложения, которое должно быть направлено Совету</w:t>
      </w:r>
      <w:r w:rsidRPr="00997AF1">
        <w:t>.</w:t>
      </w:r>
    </w:p>
    <w:p w14:paraId="16BC6FA5" w14:textId="21EDE947" w:rsidR="0037217C" w:rsidRPr="00997AF1" w:rsidRDefault="0037217C" w:rsidP="00CB60FF">
      <w:r w:rsidRPr="00997AF1">
        <w:t>2.1.2</w:t>
      </w:r>
      <w:r w:rsidR="00CB60FF" w:rsidRPr="00997AF1">
        <w:tab/>
      </w:r>
      <w:r w:rsidR="007B1FF1" w:rsidRPr="00997AF1">
        <w:t>РГС-ФЛР на своем собрании 24–26 января 2024 года приняла следующие решения</w:t>
      </w:r>
      <w:r w:rsidRPr="00997AF1">
        <w:t>:</w:t>
      </w:r>
    </w:p>
    <w:p w14:paraId="5613C79C" w14:textId="0D82A43F" w:rsidR="0037217C" w:rsidRPr="00997AF1" w:rsidRDefault="0037217C" w:rsidP="00CB60FF">
      <w:r w:rsidRPr="00997AF1">
        <w:t>2.1.3</w:t>
      </w:r>
      <w:r w:rsidR="00CB60FF" w:rsidRPr="00997AF1">
        <w:tab/>
      </w:r>
      <w:r w:rsidR="007B1FF1" w:rsidRPr="00997AF1">
        <w:t>Некоторые Государства-Члены выдвинули предложения о том, чтобы этот отчет был направлен Совету для утверждения, в то время как другие рассчитывали получить от консультативного комитета дополнительную информацию, высказались за координацию с другими Секторами МСЭ и отметили, что необходимо обеспечить более высокую точность информации в документе</w:t>
      </w:r>
      <w:r w:rsidRPr="00997AF1">
        <w:t xml:space="preserve">. </w:t>
      </w:r>
      <w:r w:rsidR="00551B05" w:rsidRPr="00997AF1">
        <w:t>Было отмечено, что предлагаемые критерии должны быть измеримыми и что они должны учитывать роль региональных организаций</w:t>
      </w:r>
      <w:r w:rsidRPr="00997AF1">
        <w:t xml:space="preserve">. </w:t>
      </w:r>
      <w:r w:rsidR="00551B05" w:rsidRPr="00997AF1">
        <w:t>После дальнейшего общего обсуждения этой темы было решено, что РГС-ФЛР направит заявление о взаимодействии в адрес КГРЭ и Межсекторальной координационной группы (МСКГ) с просьбой к Консультативной группе и МСКГ рассмотреть его и представить свои замечания на следующем собрании Совета</w:t>
      </w:r>
      <w:r w:rsidRPr="00997AF1">
        <w:t>.</w:t>
      </w:r>
    </w:p>
    <w:p w14:paraId="4FDD8E21" w14:textId="24728CFD" w:rsidR="0037217C" w:rsidRPr="00997AF1" w:rsidRDefault="0037217C" w:rsidP="00CB60FF">
      <w:r w:rsidRPr="00997AF1">
        <w:t>2.2</w:t>
      </w:r>
      <w:r w:rsidR="00CB60FF" w:rsidRPr="00997AF1">
        <w:tab/>
      </w:r>
      <w:r w:rsidR="00551B05" w:rsidRPr="00997AF1">
        <w:t xml:space="preserve">РГС-ФЛР на своем собрании, </w:t>
      </w:r>
      <w:r w:rsidR="00F239E5" w:rsidRPr="00997AF1">
        <w:t>состоявшемся</w:t>
      </w:r>
      <w:r w:rsidR="00551B05" w:rsidRPr="00997AF1">
        <w:t xml:space="preserve"> в марте 2025 года, рассмотрела отчет, представленный </w:t>
      </w:r>
      <w:r w:rsidR="00C66A4C" w:rsidRPr="00997AF1">
        <w:t xml:space="preserve">онлайновой </w:t>
      </w:r>
      <w:r w:rsidR="00551B05" w:rsidRPr="00997AF1">
        <w:t>группой, работающей по переписке (ОГП</w:t>
      </w:r>
      <w:r w:rsidRPr="00997AF1">
        <w:t xml:space="preserve">), </w:t>
      </w:r>
      <w:r w:rsidR="00551B05" w:rsidRPr="00997AF1">
        <w:t>который содержал пересмотренный круг ведения</w:t>
      </w:r>
      <w:r w:rsidRPr="00997AF1">
        <w:t xml:space="preserve">. </w:t>
      </w:r>
    </w:p>
    <w:p w14:paraId="01A25565" w14:textId="244C2ECD" w:rsidR="0037217C" w:rsidRPr="00997AF1" w:rsidRDefault="0037217C" w:rsidP="00CB60FF">
      <w:r w:rsidRPr="00997AF1">
        <w:lastRenderedPageBreak/>
        <w:t>2.2.1</w:t>
      </w:r>
      <w:r w:rsidR="00CB60FF" w:rsidRPr="00997AF1">
        <w:tab/>
      </w:r>
      <w:r w:rsidR="00551B05" w:rsidRPr="00997AF1">
        <w:t xml:space="preserve">В ходе обсуждения несколько делегатов запросили разъяснения и выступили с комментариями по ключевым аспектам пересмотренного </w:t>
      </w:r>
      <w:r w:rsidR="00C66A4C" w:rsidRPr="00997AF1">
        <w:t>круга ведения</w:t>
      </w:r>
      <w:r w:rsidRPr="00997AF1">
        <w:t xml:space="preserve">, </w:t>
      </w:r>
      <w:r w:rsidR="00551B05" w:rsidRPr="00997AF1">
        <w:t>включая следующее</w:t>
      </w:r>
      <w:r w:rsidRPr="00997AF1">
        <w:t>:</w:t>
      </w:r>
    </w:p>
    <w:p w14:paraId="4BB2A928" w14:textId="438AB5F0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1D216E" w:rsidRPr="00997AF1">
        <w:t>объем и содержание консультаций с заинтересованными сторонами</w:t>
      </w:r>
      <w:r w:rsidR="00C66A4C" w:rsidRPr="00997AF1">
        <w:t>;</w:t>
      </w:r>
    </w:p>
    <w:p w14:paraId="2010367B" w14:textId="4EA230C7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1D216E" w:rsidRPr="00997AF1">
        <w:t xml:space="preserve">согласование ключевых показателей деятельности </w:t>
      </w:r>
      <w:r w:rsidR="0037217C" w:rsidRPr="00997AF1">
        <w:t>(KPI)</w:t>
      </w:r>
      <w:r w:rsidR="00C66A4C" w:rsidRPr="00997AF1">
        <w:t>;</w:t>
      </w:r>
    </w:p>
    <w:p w14:paraId="2906CE8C" w14:textId="296B7D84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1D216E" w:rsidRPr="00997AF1">
        <w:t>процесс рассмотрения и оценки.</w:t>
      </w:r>
    </w:p>
    <w:p w14:paraId="052E9DBD" w14:textId="7E76783A" w:rsidR="0037217C" w:rsidRPr="00997AF1" w:rsidRDefault="0037217C" w:rsidP="00CB60FF">
      <w:r w:rsidRPr="00997AF1">
        <w:t>2.2.2</w:t>
      </w:r>
      <w:r w:rsidR="00CB60FF" w:rsidRPr="00997AF1">
        <w:tab/>
      </w:r>
      <w:r w:rsidR="001D216E" w:rsidRPr="00997AF1">
        <w:t xml:space="preserve">После этих обсуждений было решено, что председатель </w:t>
      </w:r>
      <w:r w:rsidR="00C66A4C" w:rsidRPr="00997AF1">
        <w:t xml:space="preserve">онлайновой </w:t>
      </w:r>
      <w:r w:rsidR="001D216E" w:rsidRPr="00997AF1">
        <w:t>группы, работающей по переписке, проведет неофициальные консультации с членами, высказавшими комментарии и замечания. Результаты этих консультаций затем будут использованы при подготовке пересмотренного отчета для дальнейшего рассмотрения Рабочей группой Совета</w:t>
      </w:r>
      <w:r w:rsidRPr="00997AF1">
        <w:t>.</w:t>
      </w:r>
    </w:p>
    <w:p w14:paraId="68661D12" w14:textId="72C400CB" w:rsidR="0037217C" w:rsidRPr="00997AF1" w:rsidRDefault="0037217C" w:rsidP="00CB60FF">
      <w:r w:rsidRPr="00997AF1">
        <w:t>2.2.3</w:t>
      </w:r>
      <w:r w:rsidR="00CB60FF" w:rsidRPr="00997AF1">
        <w:tab/>
      </w:r>
      <w:r w:rsidR="001D216E" w:rsidRPr="00997AF1">
        <w:t>После завершения неофициальных консультаций в круг ведения были внесены поправки. Впоследствии пересмотренный документ был представлен на рассмотрение 20-</w:t>
      </w:r>
      <w:r w:rsidR="00C66A4C" w:rsidRPr="00997AF1">
        <w:t>го собрания</w:t>
      </w:r>
      <w:r w:rsidR="001D216E" w:rsidRPr="00997AF1">
        <w:t xml:space="preserve"> РГС-ФЛР. Пересмотренн</w:t>
      </w:r>
      <w:r w:rsidR="00CD5FEA" w:rsidRPr="00997AF1">
        <w:t>ый круг ведения с незначительными типографскими изменениями</w:t>
      </w:r>
      <w:r w:rsidR="001D216E" w:rsidRPr="00997AF1">
        <w:t xml:space="preserve"> </w:t>
      </w:r>
      <w:r w:rsidR="00CD5FEA" w:rsidRPr="00997AF1">
        <w:t xml:space="preserve">представлен в Приложении А </w:t>
      </w:r>
      <w:r w:rsidR="00C66A4C" w:rsidRPr="00997AF1">
        <w:rPr>
          <w:szCs w:val="24"/>
        </w:rPr>
        <w:t>(</w:t>
      </w:r>
      <w:proofErr w:type="spellStart"/>
      <w:r w:rsidR="00C66A4C" w:rsidRPr="00997AF1">
        <w:fldChar w:fldCharType="begin"/>
      </w:r>
      <w:r w:rsidR="00C66A4C" w:rsidRPr="00997AF1">
        <w:instrText>HYPERLINK "https://www.itu.int/md/D22-TDAG32-C-0024/"</w:instrText>
      </w:r>
      <w:r w:rsidR="00C66A4C" w:rsidRPr="00997AF1">
        <w:fldChar w:fldCharType="separate"/>
      </w:r>
      <w:r w:rsidR="00C66A4C" w:rsidRPr="00997AF1">
        <w:rPr>
          <w:rStyle w:val="Hyperlink"/>
          <w:rFonts w:cstheme="minorHAnsi"/>
          <w:szCs w:val="24"/>
        </w:rPr>
        <w:t>TDAG25</w:t>
      </w:r>
      <w:proofErr w:type="spellEnd"/>
      <w:r w:rsidR="00C66A4C" w:rsidRPr="00997AF1">
        <w:rPr>
          <w:rStyle w:val="Hyperlink"/>
          <w:rFonts w:cstheme="minorHAnsi"/>
          <w:szCs w:val="24"/>
        </w:rPr>
        <w:t>/24(</w:t>
      </w:r>
      <w:proofErr w:type="spellStart"/>
      <w:r w:rsidR="00C66A4C" w:rsidRPr="00997AF1">
        <w:rPr>
          <w:rStyle w:val="Hyperlink"/>
          <w:rFonts w:cstheme="minorHAnsi"/>
          <w:szCs w:val="24"/>
        </w:rPr>
        <w:t>Ann.1</w:t>
      </w:r>
      <w:proofErr w:type="spellEnd"/>
      <w:r w:rsidR="00C66A4C" w:rsidRPr="00997AF1">
        <w:rPr>
          <w:rStyle w:val="Hyperlink"/>
          <w:rFonts w:cstheme="minorHAnsi"/>
          <w:szCs w:val="24"/>
        </w:rPr>
        <w:t>)</w:t>
      </w:r>
      <w:r w:rsidR="00C66A4C" w:rsidRPr="00997AF1">
        <w:fldChar w:fldCharType="end"/>
      </w:r>
      <w:r w:rsidR="00C66A4C" w:rsidRPr="00997AF1">
        <w:t xml:space="preserve">) </w:t>
      </w:r>
      <w:r w:rsidR="00CD5FEA" w:rsidRPr="00997AF1">
        <w:t>к настоящему документу</w:t>
      </w:r>
      <w:r w:rsidRPr="00997AF1">
        <w:t>.</w:t>
      </w:r>
    </w:p>
    <w:p w14:paraId="30762B55" w14:textId="0A6E9B6E" w:rsidR="0037217C" w:rsidRPr="00997AF1" w:rsidRDefault="00C66A4C" w:rsidP="00CB60FF">
      <w:pPr>
        <w:pStyle w:val="Heading1"/>
      </w:pPr>
      <w:r w:rsidRPr="00997AF1">
        <w:t>3</w:t>
      </w:r>
      <w:r w:rsidRPr="00997AF1">
        <w:tab/>
      </w:r>
      <w:r w:rsidR="00782A76" w:rsidRPr="00997AF1">
        <w:t>Резюме справочных документов</w:t>
      </w:r>
    </w:p>
    <w:p w14:paraId="40693605" w14:textId="3A6CCA3B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3.1</w:t>
      </w:r>
      <w:r w:rsidR="00CB60FF" w:rsidRPr="00997AF1">
        <w:rPr>
          <w:rFonts w:cstheme="minorHAnsi"/>
          <w:szCs w:val="22"/>
        </w:rPr>
        <w:tab/>
      </w:r>
      <w:hyperlink r:id="rId38" w:history="1">
        <w:r w:rsidRPr="00997AF1">
          <w:rPr>
            <w:rStyle w:val="Hyperlink"/>
            <w:rFonts w:cstheme="minorHAnsi"/>
            <w:szCs w:val="22"/>
          </w:rPr>
          <w:t>CWG-FHR-16/10</w:t>
        </w:r>
      </w:hyperlink>
    </w:p>
    <w:p w14:paraId="1F4A2500" w14:textId="10555B68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3.1.1</w:t>
      </w:r>
      <w:r w:rsidR="00CB60FF" w:rsidRPr="00997AF1">
        <w:rPr>
          <w:rFonts w:cstheme="minorHAnsi"/>
          <w:szCs w:val="22"/>
        </w:rPr>
        <w:tab/>
      </w:r>
      <w:r w:rsidR="00486317" w:rsidRPr="00997AF1">
        <w:rPr>
          <w:rFonts w:cstheme="minorHAnsi"/>
          <w:szCs w:val="22"/>
        </w:rPr>
        <w:t>В документе определено, что вопрос о расширении регионального присутствия МСЭ следует рассматривать в тех случаях, когда выявлены пробелы в охвате услугами МСЭ, затрагивающие достаточное количество стран для обоснования такого расширения</w:t>
      </w:r>
      <w:r w:rsidRPr="00997AF1">
        <w:rPr>
          <w:rFonts w:cstheme="minorHAnsi"/>
          <w:szCs w:val="22"/>
        </w:rPr>
        <w:t xml:space="preserve">. </w:t>
      </w:r>
      <w:r w:rsidR="00486317" w:rsidRPr="00997AF1">
        <w:rPr>
          <w:rFonts w:cstheme="minorHAnsi"/>
          <w:szCs w:val="22"/>
        </w:rPr>
        <w:t>Следует провести оценку для определения того, имеются ли какие-либо пробелы в плане регионального присутствия МСЭ</w:t>
      </w:r>
      <w:r w:rsidRPr="00997AF1">
        <w:rPr>
          <w:rFonts w:cstheme="minorHAnsi"/>
          <w:szCs w:val="22"/>
        </w:rPr>
        <w:t xml:space="preserve">. </w:t>
      </w:r>
      <w:r w:rsidR="002A0C56" w:rsidRPr="00997AF1">
        <w:rPr>
          <w:rFonts w:cstheme="minorHAnsi"/>
          <w:szCs w:val="22"/>
        </w:rPr>
        <w:t>Если в ходе оценки будет выявлен географический пробел, при котором отсутствует надлежащий охват нескольких стран, его следует определить в качестве потенциальной "зоны" для охвата услугами МСЭ, которая может подходить для нового места присутствия МСЭ.</w:t>
      </w:r>
    </w:p>
    <w:p w14:paraId="7A7A39E7" w14:textId="65AB5386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3.1.2</w:t>
      </w:r>
      <w:r w:rsidR="00CB60FF" w:rsidRPr="00997AF1">
        <w:rPr>
          <w:rFonts w:cstheme="minorHAnsi"/>
          <w:szCs w:val="22"/>
        </w:rPr>
        <w:tab/>
      </w:r>
      <w:r w:rsidR="00486317" w:rsidRPr="00997AF1">
        <w:rPr>
          <w:rFonts w:cstheme="minorHAnsi"/>
          <w:szCs w:val="22"/>
        </w:rPr>
        <w:t xml:space="preserve">После </w:t>
      </w:r>
      <w:proofErr w:type="gramStart"/>
      <w:r w:rsidR="00486317" w:rsidRPr="00997AF1">
        <w:rPr>
          <w:rFonts w:cstheme="minorHAnsi"/>
          <w:szCs w:val="22"/>
        </w:rPr>
        <w:t>того</w:t>
      </w:r>
      <w:proofErr w:type="gramEnd"/>
      <w:r w:rsidR="00486317" w:rsidRPr="00997AF1">
        <w:rPr>
          <w:rFonts w:cstheme="minorHAnsi"/>
          <w:szCs w:val="22"/>
        </w:rPr>
        <w:t xml:space="preserve"> как определено, что существует географическая зона, включающая несколько стран, которые невозможно обслуживать из существующего отделения, на следующем этапе необходимо определить, целесообразно ли расширить региональное присутствие МСЭ для устранения этого пробела, </w:t>
      </w:r>
      <w:r w:rsidR="00BF70B2" w:rsidRPr="00997AF1">
        <w:rPr>
          <w:rFonts w:cstheme="minorHAnsi"/>
          <w:szCs w:val="22"/>
        </w:rPr>
        <w:t xml:space="preserve">и где должно находиться место </w:t>
      </w:r>
      <w:r w:rsidR="00486317" w:rsidRPr="00997AF1">
        <w:rPr>
          <w:rFonts w:cstheme="minorHAnsi"/>
          <w:szCs w:val="22"/>
        </w:rPr>
        <w:t>присутствия МСЭ в этой зоне</w:t>
      </w:r>
      <w:r w:rsidRPr="00997AF1">
        <w:rPr>
          <w:rFonts w:cstheme="minorHAnsi"/>
          <w:szCs w:val="22"/>
        </w:rPr>
        <w:t>.</w:t>
      </w:r>
    </w:p>
    <w:p w14:paraId="3E0C4901" w14:textId="17DFCDDA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3.1.3</w:t>
      </w:r>
      <w:r w:rsidR="00CB60FF" w:rsidRPr="00997AF1">
        <w:rPr>
          <w:rFonts w:cstheme="minorHAnsi"/>
          <w:szCs w:val="22"/>
        </w:rPr>
        <w:tab/>
      </w:r>
      <w:r w:rsidR="00BF70B2" w:rsidRPr="00997AF1">
        <w:rPr>
          <w:rFonts w:cstheme="minorHAnsi"/>
          <w:szCs w:val="22"/>
        </w:rPr>
        <w:t xml:space="preserve">Определены следующие критерии, которыми следует руководствоваться при </w:t>
      </w:r>
      <w:r w:rsidR="00705054" w:rsidRPr="00997AF1">
        <w:rPr>
          <w:rFonts w:cstheme="minorHAnsi"/>
          <w:szCs w:val="22"/>
        </w:rPr>
        <w:t>принятии решения о том</w:t>
      </w:r>
      <w:r w:rsidR="00BF70B2" w:rsidRPr="00997AF1">
        <w:rPr>
          <w:rFonts w:cstheme="minorHAnsi"/>
          <w:szCs w:val="22"/>
        </w:rPr>
        <w:t>, где должно находиться новое место присутствия в зоне, в отношении которой было установлено наличие пробела</w:t>
      </w:r>
      <w:r w:rsidRPr="00997AF1">
        <w:rPr>
          <w:rFonts w:cstheme="minorHAnsi"/>
          <w:szCs w:val="22"/>
        </w:rPr>
        <w:t>:</w:t>
      </w:r>
    </w:p>
    <w:p w14:paraId="78598F64" w14:textId="5AEE724A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BF70B2" w:rsidRPr="00997AF1">
        <w:t>актуальность – предлагаемое новое местоположение должно расширить возможности МСЭ для распространения своей деятельности на несколько стран;</w:t>
      </w:r>
    </w:p>
    <w:p w14:paraId="1EDEDBFA" w14:textId="0054A06E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BF70B2" w:rsidRPr="00997AF1">
        <w:t>исключительность – предлагаемое местоположение не дублирует какое-либо существующее место присутствия на субрегиональном уровне;</w:t>
      </w:r>
    </w:p>
    <w:p w14:paraId="66A9C7FB" w14:textId="684E75D2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BF70B2" w:rsidRPr="00997AF1">
        <w:t xml:space="preserve">осуществимость – может быть обеспечено наличие достаточных ресурсов для создания отделения и поддержания минимально необходимой критической массы технических навыков в течение длительного периода времени, </w:t>
      </w:r>
      <w:r w:rsidR="00705054" w:rsidRPr="00997AF1">
        <w:t>а</w:t>
      </w:r>
      <w:r w:rsidR="00BF70B2" w:rsidRPr="00997AF1">
        <w:t xml:space="preserve"> принимающая страна намерена выполнять обязательства</w:t>
      </w:r>
      <w:r w:rsidR="00570C55" w:rsidRPr="00997AF1">
        <w:t>, связанные с размещением отделения МСЭ, и располагает необходимыми для этого ресурсами</w:t>
      </w:r>
      <w:r w:rsidR="00BF70B2" w:rsidRPr="00997AF1">
        <w:t>;</w:t>
      </w:r>
    </w:p>
    <w:p w14:paraId="1A69D0F0" w14:textId="2FFE34DD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570C55" w:rsidRPr="00997AF1">
        <w:t>защищенность – местоположение должно быть оценено ДОБ ООН как нуждающееся в низком уровне защищенности, т. е. местоположение не должно представлять какой-либо конкретной угрозы для безопасности персонала и непрерывности деятельности;</w:t>
      </w:r>
    </w:p>
    <w:p w14:paraId="6881381D" w14:textId="708A7798" w:rsidR="0037217C" w:rsidRPr="00997AF1" w:rsidRDefault="00CB60FF" w:rsidP="00CB60FF">
      <w:pPr>
        <w:pStyle w:val="enumlev1"/>
      </w:pPr>
      <w:r w:rsidRPr="00997AF1">
        <w:t>−</w:t>
      </w:r>
      <w:r w:rsidRPr="00997AF1">
        <w:tab/>
      </w:r>
      <w:r w:rsidR="00570C55" w:rsidRPr="00997AF1">
        <w:t>близость – удобная географическая близость к странам, нуждающимся в поддержке, в частности НРС, ЛЛДС, СИДС, и достаточный доступ к региональным или субрегиональным центрам других учреждений ООН и/или региональной организации электросвязи;</w:t>
      </w:r>
    </w:p>
    <w:p w14:paraId="4052A1D4" w14:textId="23085FB6" w:rsidR="0037217C" w:rsidRPr="00997AF1" w:rsidRDefault="00CB60FF" w:rsidP="00CB60FF">
      <w:pPr>
        <w:pStyle w:val="enumlev1"/>
      </w:pPr>
      <w:r w:rsidRPr="00997AF1">
        <w:lastRenderedPageBreak/>
        <w:t>−</w:t>
      </w:r>
      <w:r w:rsidRPr="00997AF1">
        <w:tab/>
      </w:r>
      <w:r w:rsidR="00570C55" w:rsidRPr="00997AF1">
        <w:t>доступность – предлагаемое местоположение обеспечивает доступ к центру авиалиний с разветвленными международными направлениями (что способствует внешнему доступу) и прямыми соединениями с другими странами субрегиона</w:t>
      </w:r>
      <w:r w:rsidR="0037217C" w:rsidRPr="00997AF1">
        <w:t>.</w:t>
      </w:r>
    </w:p>
    <w:p w14:paraId="3D170E11" w14:textId="2330ACF3" w:rsidR="0037217C" w:rsidRPr="00997AF1" w:rsidRDefault="0037217C" w:rsidP="00CB60FF">
      <w:r w:rsidRPr="00997AF1">
        <w:t>3.1.4</w:t>
      </w:r>
      <w:r w:rsidR="00CB60FF" w:rsidRPr="00997AF1">
        <w:tab/>
      </w:r>
      <w:r w:rsidR="00570C55" w:rsidRPr="00997AF1">
        <w:t>Когда принято решение о том, что дополнительное место присутствия МСЭ является желательным, и выбраны возможные варианты его расположения, следует определить, в какой форме оно будет организовано</w:t>
      </w:r>
      <w:r w:rsidRPr="00997AF1">
        <w:t xml:space="preserve">. </w:t>
      </w:r>
      <w:r w:rsidR="00570C55" w:rsidRPr="00997AF1">
        <w:t>Это может быть открытие нового регионального или зонального отделения или установление партнерских отношений с другими международными учреждениями или объединениями для расширения деятельности МСЭ в этой зоне</w:t>
      </w:r>
      <w:r w:rsidRPr="00997AF1">
        <w:t>.</w:t>
      </w:r>
    </w:p>
    <w:p w14:paraId="38838A07" w14:textId="7D5B5D6C" w:rsidR="0037217C" w:rsidRPr="00997AF1" w:rsidRDefault="0037217C" w:rsidP="00CB60FF">
      <w:r w:rsidRPr="00997AF1">
        <w:t>3.2</w:t>
      </w:r>
      <w:r w:rsidR="00CB60FF" w:rsidRPr="00997AF1">
        <w:tab/>
      </w:r>
      <w:hyperlink r:id="rId39" w:history="1">
        <w:r w:rsidRPr="00997AF1">
          <w:rPr>
            <w:rStyle w:val="Hyperlink"/>
            <w:rFonts w:cstheme="minorHAnsi"/>
            <w:szCs w:val="22"/>
          </w:rPr>
          <w:t>CWG-FHR-16/24(Rev.1)</w:t>
        </w:r>
      </w:hyperlink>
    </w:p>
    <w:p w14:paraId="2952FEF1" w14:textId="22FB1B28" w:rsidR="0037217C" w:rsidRPr="00997AF1" w:rsidRDefault="0037217C" w:rsidP="00CB60FF">
      <w:r w:rsidRPr="00997AF1">
        <w:t>3.2.1</w:t>
      </w:r>
      <w:r w:rsidR="00CB60FF" w:rsidRPr="00997AF1">
        <w:tab/>
      </w:r>
      <w:r w:rsidR="00570C55" w:rsidRPr="00997AF1">
        <w:t xml:space="preserve">В документе </w:t>
      </w:r>
      <w:r w:rsidR="00F239E5" w:rsidRPr="00997AF1">
        <w:t>установлено</w:t>
      </w:r>
      <w:r w:rsidR="00570C55" w:rsidRPr="00997AF1">
        <w:t xml:space="preserve">, что региональное присутствие </w:t>
      </w:r>
      <w:r w:rsidR="00543F0D" w:rsidRPr="00997AF1">
        <w:t xml:space="preserve">имеет огромное значение для выполнения </w:t>
      </w:r>
      <w:r w:rsidR="00570C55" w:rsidRPr="00997AF1">
        <w:t xml:space="preserve">миссии МСЭ, </w:t>
      </w:r>
      <w:r w:rsidR="00543F0D" w:rsidRPr="00997AF1">
        <w:t xml:space="preserve">обеспечения более глубокого понимания </w:t>
      </w:r>
      <w:r w:rsidR="00570C55" w:rsidRPr="00997AF1">
        <w:t>Союзом местных условий и эффективно</w:t>
      </w:r>
      <w:r w:rsidR="00543F0D" w:rsidRPr="00997AF1">
        <w:t xml:space="preserve">го удовлетворения </w:t>
      </w:r>
      <w:r w:rsidR="00570C55" w:rsidRPr="00997AF1">
        <w:t>потребностей стран</w:t>
      </w:r>
      <w:r w:rsidR="00543F0D" w:rsidRPr="00997AF1">
        <w:t>. В</w:t>
      </w:r>
      <w:r w:rsidR="00570C55" w:rsidRPr="00997AF1">
        <w:t xml:space="preserve"> частности</w:t>
      </w:r>
      <w:r w:rsidR="00543F0D" w:rsidRPr="00997AF1">
        <w:t>,</w:t>
      </w:r>
      <w:r w:rsidR="00570C55" w:rsidRPr="00997AF1">
        <w:t xml:space="preserve"> роль региональных и зональных отделений МСЭ заключается в том, чтобы оказывать странам в</w:t>
      </w:r>
      <w:r w:rsidR="00543F0D" w:rsidRPr="00997AF1">
        <w:t xml:space="preserve"> соответствующих</w:t>
      </w:r>
      <w:r w:rsidR="00570C55" w:rsidRPr="00997AF1">
        <w:t xml:space="preserve"> регионах содействие во многих областях, таких как </w:t>
      </w:r>
      <w:r w:rsidR="00543F0D" w:rsidRPr="00997AF1">
        <w:t xml:space="preserve">реализация </w:t>
      </w:r>
      <w:r w:rsidR="00570C55" w:rsidRPr="00997AF1">
        <w:t xml:space="preserve">проектов, в том числе связанных с региональными инициативами, и контроль за их </w:t>
      </w:r>
      <w:r w:rsidR="00543F0D" w:rsidRPr="00997AF1">
        <w:t>реализацией</w:t>
      </w:r>
      <w:r w:rsidR="00570C55" w:rsidRPr="00997AF1">
        <w:t>, преодоление разрыва в стандартизации, создание потенциала для управления использованием частот, информирование регионов о деятельности МСЭ и укрепление сотрудничества с региональными организациями электросвязи</w:t>
      </w:r>
      <w:r w:rsidRPr="00997AF1">
        <w:t>.</w:t>
      </w:r>
    </w:p>
    <w:p w14:paraId="700B3991" w14:textId="3854E4A3" w:rsidR="0037217C" w:rsidRPr="00997AF1" w:rsidRDefault="0037217C" w:rsidP="00CB60FF">
      <w:r w:rsidRPr="00997AF1">
        <w:t>3.2.2</w:t>
      </w:r>
      <w:r w:rsidR="00CB60FF" w:rsidRPr="00997AF1">
        <w:tab/>
      </w:r>
      <w:r w:rsidR="00543F0D" w:rsidRPr="00997AF1">
        <w:t>В документе представлены мнения о поддержке, оказываемой Сектором развития электросвязи МСЭ (МСЭ-D) посредством регионального присутствия</w:t>
      </w:r>
      <w:r w:rsidRPr="00997AF1">
        <w:t xml:space="preserve">. </w:t>
      </w:r>
      <w:r w:rsidR="00543F0D" w:rsidRPr="00997AF1">
        <w:t>В нем отмечается, что большинство рекомендаций, направленных на усиление регионального присутствия, были выполнены или находятся в процессе выполнения, и что с 2019 года результаты стабильно улучшаются</w:t>
      </w:r>
      <w:r w:rsidRPr="00997AF1">
        <w:t>.</w:t>
      </w:r>
    </w:p>
    <w:p w14:paraId="79AC5D98" w14:textId="03977455" w:rsidR="0037217C" w:rsidRPr="00997AF1" w:rsidRDefault="0037217C" w:rsidP="00CB60FF">
      <w:r w:rsidRPr="00997AF1">
        <w:t>3.2.3</w:t>
      </w:r>
      <w:r w:rsidR="00CB60FF" w:rsidRPr="00997AF1">
        <w:tab/>
      </w:r>
      <w:r w:rsidR="00543F0D" w:rsidRPr="00997AF1">
        <w:t>В документе содержатся следующие предложения</w:t>
      </w:r>
      <w:r w:rsidRPr="00997AF1">
        <w:t>:</w:t>
      </w:r>
    </w:p>
    <w:p w14:paraId="648F7C0A" w14:textId="6583DB63" w:rsidR="0037217C" w:rsidRPr="00997AF1" w:rsidRDefault="0037217C" w:rsidP="00CB60FF">
      <w:pPr>
        <w:pStyle w:val="enumlev1"/>
      </w:pPr>
      <w:r w:rsidRPr="00997AF1">
        <w:t>1)</w:t>
      </w:r>
      <w:r w:rsidR="00CB60FF" w:rsidRPr="00997AF1">
        <w:tab/>
      </w:r>
      <w:r w:rsidR="00543F0D" w:rsidRPr="00997AF1">
        <w:t>При создании зональных отделений следует всесторонне учитывать различные факторы, в том числе желание принимающей страны, потребности соответствующих зон, наличие финансовых ресурсов, географическ</w:t>
      </w:r>
      <w:r w:rsidR="001B0D7E" w:rsidRPr="00997AF1">
        <w:t>ое представительство</w:t>
      </w:r>
      <w:r w:rsidR="00543F0D" w:rsidRPr="00997AF1">
        <w:t xml:space="preserve"> и т. д., а также предыдущий опыт</w:t>
      </w:r>
      <w:r w:rsidRPr="00997AF1">
        <w:t>.</w:t>
      </w:r>
    </w:p>
    <w:p w14:paraId="6F967428" w14:textId="06E2430A" w:rsidR="0037217C" w:rsidRPr="00997AF1" w:rsidRDefault="0037217C" w:rsidP="00CB60FF">
      <w:pPr>
        <w:pStyle w:val="enumlev1"/>
      </w:pPr>
      <w:r w:rsidRPr="00997AF1">
        <w:t>2)</w:t>
      </w:r>
      <w:r w:rsidR="00CB60FF" w:rsidRPr="00997AF1">
        <w:tab/>
      </w:r>
      <w:r w:rsidR="001B0D7E" w:rsidRPr="00997AF1">
        <w:t xml:space="preserve">Учитывая, что БРЭ отвечает за работу региональных и зональных отделений, следует всесторонне проанализировать и обсудить критерии создания зональных отделений в КГРЭ и на будущем Совете. В обоих </w:t>
      </w:r>
      <w:r w:rsidR="00F239E5" w:rsidRPr="00997AF1">
        <w:t>случаях</w:t>
      </w:r>
      <w:r w:rsidR="001B0D7E" w:rsidRPr="00997AF1">
        <w:t xml:space="preserve"> должна быть возможность получить всю необходимую информацию о потенциальных пробелах в обслуживании Государств-Членов и выдвинуть предложения в отношении процесса создания отделений, критериев, которыми необходимо руководствоваться при их создании, и соответствующих показателей в каждом из регионов, и представить отчет обо всем для рассмотрения </w:t>
      </w:r>
      <w:r w:rsidR="00A75449" w:rsidRPr="00997AF1">
        <w:t xml:space="preserve">будущим </w:t>
      </w:r>
      <w:r w:rsidR="001B0D7E" w:rsidRPr="00997AF1">
        <w:t>Советом</w:t>
      </w:r>
      <w:r w:rsidRPr="00997AF1">
        <w:t>.</w:t>
      </w:r>
    </w:p>
    <w:p w14:paraId="79F30B47" w14:textId="7C421652" w:rsidR="0037217C" w:rsidRPr="00997AF1" w:rsidRDefault="0037217C" w:rsidP="00CB60FF">
      <w:pPr>
        <w:pStyle w:val="enumlev1"/>
      </w:pPr>
      <w:r w:rsidRPr="00997AF1">
        <w:t>3)</w:t>
      </w:r>
      <w:r w:rsidR="00CB60FF" w:rsidRPr="00997AF1">
        <w:tab/>
      </w:r>
      <w:r w:rsidR="001B0D7E" w:rsidRPr="00997AF1">
        <w:t>Главная цель создания зональных отделений заключается в предоставлении более качественных услуг Государствам-Членам, которые нуждаются в поддержке</w:t>
      </w:r>
      <w:r w:rsidRPr="00997AF1">
        <w:t>.</w:t>
      </w:r>
      <w:r w:rsidR="001B0D7E" w:rsidRPr="00997AF1">
        <w:t xml:space="preserve"> Любые критерии, которые необходимо сформулировать для создания зонального отделения, должны способствовать выполнению этой задачи.</w:t>
      </w:r>
    </w:p>
    <w:p w14:paraId="7C04A098" w14:textId="78E9668D" w:rsidR="0037217C" w:rsidRPr="00997AF1" w:rsidRDefault="0037217C" w:rsidP="00CB60FF">
      <w:pPr>
        <w:pStyle w:val="enumlev1"/>
      </w:pPr>
      <w:r w:rsidRPr="00997AF1">
        <w:t>4)</w:t>
      </w:r>
      <w:r w:rsidR="00CB60FF" w:rsidRPr="00997AF1">
        <w:tab/>
      </w:r>
      <w:r w:rsidR="00590B21" w:rsidRPr="00997AF1">
        <w:t>При создании зональных отделений следует учитывать уровень социально-экономического развития стран, которые будут обслуживаться, при этом особое внимание следует уделять зональным отделениям, обслуживающим наименее развитые страны (НРС</w:t>
      </w:r>
      <w:r w:rsidRPr="00997AF1">
        <w:t>).</w:t>
      </w:r>
    </w:p>
    <w:p w14:paraId="5891E685" w14:textId="01BB41B1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3.3</w:t>
      </w:r>
      <w:r w:rsidR="00CB60FF" w:rsidRPr="00997AF1">
        <w:rPr>
          <w:rFonts w:cstheme="minorHAnsi"/>
          <w:szCs w:val="22"/>
        </w:rPr>
        <w:tab/>
      </w:r>
      <w:hyperlink r:id="rId40" w:history="1">
        <w:r w:rsidRPr="00997AF1">
          <w:rPr>
            <w:rStyle w:val="Hyperlink"/>
            <w:rFonts w:cstheme="minorHAnsi"/>
            <w:szCs w:val="22"/>
          </w:rPr>
          <w:t>CWG-FHR-20/2</w:t>
        </w:r>
      </w:hyperlink>
      <w:r w:rsidRPr="00997AF1">
        <w:rPr>
          <w:rFonts w:cstheme="minorHAnsi"/>
          <w:szCs w:val="22"/>
        </w:rPr>
        <w:t xml:space="preserve"> </w:t>
      </w:r>
      <w:r w:rsidR="00A75449" w:rsidRPr="00997AF1">
        <w:rPr>
          <w:rFonts w:cstheme="minorHAnsi"/>
          <w:szCs w:val="22"/>
        </w:rPr>
        <w:t>и</w:t>
      </w:r>
      <w:r w:rsidRPr="00997AF1">
        <w:rPr>
          <w:rFonts w:cstheme="minorHAnsi"/>
          <w:szCs w:val="22"/>
        </w:rPr>
        <w:t xml:space="preserve"> </w:t>
      </w:r>
      <w:hyperlink r:id="rId41" w:history="1">
        <w:r w:rsidRPr="00997AF1">
          <w:rPr>
            <w:rStyle w:val="Hyperlink"/>
            <w:rFonts w:cstheme="minorHAnsi"/>
            <w:szCs w:val="22"/>
          </w:rPr>
          <w:t>CWG-FHR-20/DT/1</w:t>
        </w:r>
      </w:hyperlink>
    </w:p>
    <w:p w14:paraId="70456D88" w14:textId="3E2DEFEF" w:rsidR="0037217C" w:rsidRPr="00997AF1" w:rsidRDefault="0037217C" w:rsidP="00CB60FF">
      <w:pPr>
        <w:rPr>
          <w:rFonts w:cstheme="minorHAnsi"/>
          <w:kern w:val="2"/>
          <w:szCs w:val="22"/>
          <w14:ligatures w14:val="standardContextual"/>
        </w:rPr>
      </w:pPr>
      <w:r w:rsidRPr="00997AF1">
        <w:rPr>
          <w:rFonts w:cstheme="minorHAnsi"/>
          <w:szCs w:val="22"/>
        </w:rPr>
        <w:t>3.3.1</w:t>
      </w:r>
      <w:r w:rsidR="00CB60FF" w:rsidRPr="00997AF1">
        <w:rPr>
          <w:rFonts w:cstheme="minorHAnsi"/>
          <w:szCs w:val="22"/>
        </w:rPr>
        <w:tab/>
      </w:r>
      <w:r w:rsidR="00A75449" w:rsidRPr="00997AF1">
        <w:rPr>
          <w:rFonts w:cstheme="minorHAnsi"/>
          <w:szCs w:val="22"/>
        </w:rPr>
        <w:t xml:space="preserve">На 19-м собрании Рабочей группы Совета по финансовым и людским ресурсам </w:t>
      </w:r>
      <w:r w:rsidRPr="00997AF1">
        <w:rPr>
          <w:rFonts w:cstheme="minorHAnsi"/>
          <w:color w:val="000000"/>
          <w:szCs w:val="22"/>
          <w:shd w:val="clear" w:color="auto" w:fill="FFFFFF"/>
        </w:rPr>
        <w:t>(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t>РГС-ФЛР</w:t>
      </w:r>
      <w:r w:rsidRPr="00997AF1">
        <w:rPr>
          <w:rFonts w:cstheme="minorHAnsi"/>
          <w:color w:val="000000"/>
          <w:szCs w:val="22"/>
          <w:shd w:val="clear" w:color="auto" w:fill="FFFFFF"/>
        </w:rPr>
        <w:t>)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t xml:space="preserve"> было принято решение создать онлайновую </w:t>
      </w:r>
      <w:r w:rsidR="00881B16" w:rsidRPr="00997AF1">
        <w:rPr>
          <w:rFonts w:cstheme="minorHAnsi"/>
          <w:color w:val="000000"/>
          <w:szCs w:val="22"/>
          <w:shd w:val="clear" w:color="auto" w:fill="FFFFFF"/>
        </w:rPr>
        <w:t>Г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t>руппу, работающую по переписке</w:t>
      </w:r>
      <w:r w:rsidRPr="00997AF1">
        <w:rPr>
          <w:rFonts w:cstheme="minorHAnsi"/>
          <w:color w:val="000000"/>
          <w:szCs w:val="22"/>
          <w:shd w:val="clear" w:color="auto" w:fill="FFFFFF"/>
        </w:rPr>
        <w:t xml:space="preserve">, 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t xml:space="preserve">для разработки круга ведения </w:t>
      </w:r>
      <w:r w:rsidR="002F2664" w:rsidRPr="00997AF1">
        <w:rPr>
          <w:rFonts w:cstheme="minorHAnsi"/>
          <w:color w:val="000000"/>
          <w:szCs w:val="22"/>
          <w:shd w:val="clear" w:color="auto" w:fill="FFFFFF"/>
        </w:rPr>
        <w:t>С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t xml:space="preserve">екретариата МСЭ в целях завершения обзора регионального присутствия в </w:t>
      </w:r>
      <w:r w:rsidR="00A75449" w:rsidRPr="00997AF1">
        <w:rPr>
          <w:rFonts w:cstheme="minorHAnsi"/>
          <w:color w:val="000000"/>
          <w:szCs w:val="22"/>
          <w:shd w:val="clear" w:color="auto" w:fill="FFFFFF"/>
        </w:rPr>
        <w:lastRenderedPageBreak/>
        <w:t xml:space="preserve">соответствии с </w:t>
      </w:r>
      <w:hyperlink r:id="rId42" w:history="1">
        <w:r w:rsidR="00A75449" w:rsidRPr="00997AF1">
          <w:rPr>
            <w:rFonts w:cstheme="minorHAnsi"/>
            <w:i/>
            <w:color w:val="0563C1"/>
            <w:szCs w:val="22"/>
            <w:u w:val="single"/>
          </w:rPr>
          <w:t xml:space="preserve">Резолюцией </w:t>
        </w:r>
        <w:r w:rsidRPr="00997AF1">
          <w:rPr>
            <w:rFonts w:cstheme="minorHAnsi"/>
            <w:i/>
            <w:color w:val="0563C1"/>
            <w:szCs w:val="22"/>
            <w:u w:val="single"/>
          </w:rPr>
          <w:t>25</w:t>
        </w:r>
      </w:hyperlink>
      <w:r w:rsidRPr="00997AF1">
        <w:rPr>
          <w:rFonts w:cstheme="minorHAnsi"/>
          <w:i/>
          <w:szCs w:val="22"/>
        </w:rPr>
        <w:t xml:space="preserve"> (</w:t>
      </w:r>
      <w:r w:rsidR="00A75449" w:rsidRPr="00997AF1">
        <w:rPr>
          <w:rFonts w:cstheme="minorHAnsi"/>
          <w:i/>
          <w:iCs/>
          <w:color w:val="000000"/>
          <w:szCs w:val="22"/>
          <w:shd w:val="clear" w:color="auto" w:fill="FFFFFF"/>
        </w:rPr>
        <w:t>Пересм. Бухарест, 2022 г.</w:t>
      </w:r>
      <w:r w:rsidRPr="00997AF1">
        <w:rPr>
          <w:rFonts w:cstheme="minorHAnsi"/>
          <w:i/>
          <w:szCs w:val="22"/>
        </w:rPr>
        <w:t>)</w:t>
      </w:r>
      <w:r w:rsidRPr="00997AF1">
        <w:rPr>
          <w:rFonts w:cstheme="minorHAnsi"/>
          <w:kern w:val="2"/>
          <w:szCs w:val="22"/>
          <w14:ligatures w14:val="standardContextual"/>
        </w:rPr>
        <w:t xml:space="preserve">. </w:t>
      </w:r>
      <w:r w:rsidR="002F2664" w:rsidRPr="00997AF1">
        <w:rPr>
          <w:rFonts w:cstheme="minorHAnsi"/>
          <w:kern w:val="2"/>
          <w:szCs w:val="22"/>
          <w14:ligatures w14:val="standardContextual"/>
        </w:rPr>
        <w:t xml:space="preserve">Этой </w:t>
      </w:r>
      <w:r w:rsidR="00881B16" w:rsidRPr="00997AF1">
        <w:rPr>
          <w:rFonts w:cstheme="minorHAnsi"/>
          <w:kern w:val="2"/>
          <w:szCs w:val="22"/>
          <w14:ligatures w14:val="standardContextual"/>
        </w:rPr>
        <w:t>Г</w:t>
      </w:r>
      <w:r w:rsidR="002F2664" w:rsidRPr="00997AF1">
        <w:rPr>
          <w:rFonts w:cstheme="minorHAnsi"/>
          <w:kern w:val="2"/>
          <w:szCs w:val="22"/>
          <w14:ligatures w14:val="standardContextual"/>
        </w:rPr>
        <w:t>руппе</w:t>
      </w:r>
      <w:r w:rsidR="00881B16" w:rsidRPr="00997AF1">
        <w:rPr>
          <w:rFonts w:cstheme="minorHAnsi"/>
          <w:kern w:val="2"/>
          <w:szCs w:val="22"/>
          <w14:ligatures w14:val="standardContextual"/>
        </w:rPr>
        <w:t xml:space="preserve">, работающей по переписке, </w:t>
      </w:r>
      <w:r w:rsidR="002F2664" w:rsidRPr="00997AF1">
        <w:rPr>
          <w:rFonts w:cstheme="minorHAnsi"/>
          <w:kern w:val="2"/>
          <w:szCs w:val="22"/>
          <w14:ligatures w14:val="standardContextual"/>
        </w:rPr>
        <w:t xml:space="preserve">было поручено рассмотреть круг ведения, представленный на 19-м собрании </w:t>
      </w:r>
      <w:r w:rsidR="002F2664" w:rsidRPr="00997AF1">
        <w:rPr>
          <w:rFonts w:cstheme="minorHAnsi"/>
          <w:color w:val="000000"/>
          <w:szCs w:val="22"/>
          <w:shd w:val="clear" w:color="auto" w:fill="FFFFFF"/>
        </w:rPr>
        <w:t>РГС-ФЛР</w:t>
      </w:r>
      <w:r w:rsidR="002F2664" w:rsidRPr="00997AF1">
        <w:rPr>
          <w:rFonts w:cstheme="minorHAnsi"/>
          <w:kern w:val="2"/>
          <w:szCs w:val="22"/>
          <w14:ligatures w14:val="standardContextual"/>
        </w:rPr>
        <w:t xml:space="preserve">, и представить соответствующий отчет на 20-м собрании </w:t>
      </w:r>
      <w:r w:rsidR="002F2664" w:rsidRPr="00997AF1">
        <w:rPr>
          <w:rFonts w:cstheme="minorHAnsi"/>
          <w:color w:val="000000"/>
          <w:szCs w:val="22"/>
          <w:shd w:val="clear" w:color="auto" w:fill="FFFFFF"/>
        </w:rPr>
        <w:t>РГС-ФЛР</w:t>
      </w:r>
      <w:r w:rsidRPr="00997AF1">
        <w:rPr>
          <w:rFonts w:cstheme="minorHAnsi"/>
          <w:szCs w:val="22"/>
        </w:rPr>
        <w:t>.</w:t>
      </w:r>
    </w:p>
    <w:p w14:paraId="3287E5DB" w14:textId="65B81865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3.3.2</w:t>
      </w:r>
      <w:r w:rsidR="00CB60FF" w:rsidRPr="00997AF1">
        <w:rPr>
          <w:rFonts w:cstheme="minorHAnsi"/>
          <w:szCs w:val="22"/>
        </w:rPr>
        <w:tab/>
      </w:r>
      <w:r w:rsidR="002F2664" w:rsidRPr="00997AF1">
        <w:rPr>
          <w:rFonts w:cstheme="minorHAnsi"/>
          <w:szCs w:val="22"/>
        </w:rPr>
        <w:t>В период с 22 ноября 2024 года по 15 января 2025 года Группа, работающая по переписке, приступила к работе, используя онлайновые инструменты для налаживания взаимодействия между членами</w:t>
      </w:r>
      <w:r w:rsidRPr="00997AF1">
        <w:rPr>
          <w:rFonts w:cstheme="minorHAnsi"/>
          <w:szCs w:val="22"/>
        </w:rPr>
        <w:t xml:space="preserve">. </w:t>
      </w:r>
      <w:r w:rsidR="002F2664" w:rsidRPr="00997AF1">
        <w:rPr>
          <w:rFonts w:cstheme="minorHAnsi"/>
          <w:szCs w:val="22"/>
        </w:rPr>
        <w:t>Были проведены три виртуальных собрания, позволившие провести всесторонние обсуждения и обменяться мнениями</w:t>
      </w:r>
      <w:r w:rsidRPr="00997AF1">
        <w:rPr>
          <w:rFonts w:cstheme="minorHAnsi"/>
          <w:szCs w:val="22"/>
        </w:rPr>
        <w:t>.</w:t>
      </w:r>
    </w:p>
    <w:p w14:paraId="2289C852" w14:textId="628CCD05" w:rsidR="0037217C" w:rsidRPr="00997AF1" w:rsidRDefault="0037217C" w:rsidP="00CB60FF">
      <w:pPr>
        <w:rPr>
          <w:rFonts w:cstheme="minorHAnsi"/>
          <w:szCs w:val="22"/>
        </w:rPr>
      </w:pPr>
      <w:r w:rsidRPr="00997AF1">
        <w:rPr>
          <w:rFonts w:cstheme="minorHAnsi"/>
          <w:szCs w:val="22"/>
        </w:rPr>
        <w:t>3.3.3</w:t>
      </w:r>
      <w:r w:rsidR="00CB60FF" w:rsidRPr="00997AF1">
        <w:rPr>
          <w:rFonts w:cstheme="minorHAnsi"/>
          <w:szCs w:val="22"/>
        </w:rPr>
        <w:tab/>
      </w:r>
      <w:r w:rsidR="002F2664" w:rsidRPr="00997AF1">
        <w:rPr>
          <w:rFonts w:cstheme="minorHAnsi"/>
          <w:szCs w:val="22"/>
        </w:rPr>
        <w:t xml:space="preserve">Тщательно проанализировав Резолюцию 25, Группа, работающая по переписке, разработала пересмотренный круг ведения. </w:t>
      </w:r>
      <w:r w:rsidR="008E795B" w:rsidRPr="00997AF1">
        <w:rPr>
          <w:rFonts w:cstheme="minorHAnsi"/>
          <w:szCs w:val="22"/>
        </w:rPr>
        <w:t xml:space="preserve">Изменения были внесены для того, чтобы более тщательно и целенаправленно проанализировать вопрос о региональном присутствии МСЭ </w:t>
      </w:r>
      <w:r w:rsidR="002F2664" w:rsidRPr="00997AF1">
        <w:rPr>
          <w:rFonts w:cstheme="minorHAnsi"/>
          <w:szCs w:val="22"/>
        </w:rPr>
        <w:t xml:space="preserve">с целью повышения эффективности </w:t>
      </w:r>
      <w:r w:rsidR="008E795B" w:rsidRPr="00997AF1">
        <w:rPr>
          <w:rFonts w:cstheme="minorHAnsi"/>
          <w:szCs w:val="22"/>
        </w:rPr>
        <w:t xml:space="preserve">работы Союза и </w:t>
      </w:r>
      <w:r w:rsidR="002F2664" w:rsidRPr="00997AF1">
        <w:rPr>
          <w:rFonts w:cstheme="minorHAnsi"/>
          <w:szCs w:val="22"/>
        </w:rPr>
        <w:t xml:space="preserve">содействия более тесному </w:t>
      </w:r>
      <w:r w:rsidR="008E795B" w:rsidRPr="00997AF1">
        <w:rPr>
          <w:rFonts w:cstheme="minorHAnsi"/>
          <w:szCs w:val="22"/>
        </w:rPr>
        <w:t xml:space="preserve">сотрудничеству </w:t>
      </w:r>
      <w:r w:rsidR="002F2664" w:rsidRPr="00997AF1">
        <w:rPr>
          <w:rFonts w:cstheme="minorHAnsi"/>
          <w:szCs w:val="22"/>
        </w:rPr>
        <w:t>с региональными и зональными отделениями</w:t>
      </w:r>
      <w:r w:rsidR="008E795B" w:rsidRPr="00997AF1">
        <w:rPr>
          <w:rFonts w:cstheme="minorHAnsi"/>
          <w:szCs w:val="22"/>
        </w:rPr>
        <w:t>.</w:t>
      </w:r>
    </w:p>
    <w:p w14:paraId="1AD6A963" w14:textId="2BF88654" w:rsidR="0037217C" w:rsidRPr="00997AF1" w:rsidRDefault="0037217C" w:rsidP="00CB60FF">
      <w:pPr>
        <w:rPr>
          <w:rFonts w:eastAsia="Calibri" w:cstheme="minorHAnsi"/>
          <w:szCs w:val="22"/>
        </w:rPr>
      </w:pPr>
      <w:r w:rsidRPr="00997AF1">
        <w:rPr>
          <w:rFonts w:cstheme="minorHAnsi"/>
          <w:szCs w:val="22"/>
        </w:rPr>
        <w:t>3.3.4</w:t>
      </w:r>
      <w:r w:rsidR="00CB60FF" w:rsidRPr="00997AF1">
        <w:rPr>
          <w:rFonts w:cstheme="minorHAnsi"/>
          <w:szCs w:val="22"/>
        </w:rPr>
        <w:tab/>
      </w:r>
      <w:r w:rsidR="008E795B" w:rsidRPr="00997AF1">
        <w:rPr>
          <w:rFonts w:cstheme="minorHAnsi"/>
          <w:szCs w:val="22"/>
        </w:rPr>
        <w:t xml:space="preserve">В документах, подготовленных для 20-го собрания </w:t>
      </w:r>
      <w:r w:rsidR="008E795B" w:rsidRPr="00997AF1">
        <w:rPr>
          <w:rFonts w:cstheme="minorHAnsi"/>
          <w:color w:val="000000"/>
          <w:szCs w:val="22"/>
          <w:shd w:val="clear" w:color="auto" w:fill="FFFFFF"/>
        </w:rPr>
        <w:t>РГС-ФЛР</w:t>
      </w:r>
      <w:r w:rsidR="008E795B" w:rsidRPr="00997AF1">
        <w:rPr>
          <w:rFonts w:cstheme="minorHAnsi"/>
          <w:szCs w:val="22"/>
        </w:rPr>
        <w:t xml:space="preserve">, представлены результаты </w:t>
      </w:r>
      <w:r w:rsidR="00F239E5" w:rsidRPr="00997AF1">
        <w:rPr>
          <w:rFonts w:cstheme="minorHAnsi"/>
          <w:szCs w:val="22"/>
        </w:rPr>
        <w:t>работы</w:t>
      </w:r>
      <w:r w:rsidR="008E795B" w:rsidRPr="00997AF1">
        <w:rPr>
          <w:rFonts w:cstheme="minorHAnsi"/>
          <w:szCs w:val="22"/>
        </w:rPr>
        <w:t xml:space="preserve"> Онлайновой группы, работающей по переписке, в том числе круг ведения (см. Приложение А к Документу </w:t>
      </w:r>
      <w:hyperlink r:id="rId43" w:history="1">
        <w:proofErr w:type="spellStart"/>
        <w:r w:rsidRPr="00997AF1">
          <w:rPr>
            <w:rStyle w:val="Hyperlink"/>
            <w:rFonts w:cstheme="minorHAnsi"/>
            <w:szCs w:val="22"/>
          </w:rPr>
          <w:t>TDAG25</w:t>
        </w:r>
        <w:proofErr w:type="spellEnd"/>
        <w:r w:rsidRPr="00997AF1">
          <w:rPr>
            <w:rStyle w:val="Hyperlink"/>
            <w:rFonts w:cstheme="minorHAnsi"/>
            <w:szCs w:val="22"/>
          </w:rPr>
          <w:t>/24(</w:t>
        </w:r>
        <w:proofErr w:type="spellStart"/>
        <w:r w:rsidRPr="00997AF1">
          <w:rPr>
            <w:rStyle w:val="Hyperlink"/>
            <w:rFonts w:cstheme="minorHAnsi"/>
            <w:szCs w:val="22"/>
          </w:rPr>
          <w:t>Ann.1</w:t>
        </w:r>
        <w:proofErr w:type="spellEnd"/>
        <w:r w:rsidRPr="00997AF1">
          <w:rPr>
            <w:rStyle w:val="Hyperlink"/>
            <w:rFonts w:cstheme="minorHAnsi"/>
            <w:szCs w:val="22"/>
          </w:rPr>
          <w:t>)</w:t>
        </w:r>
      </w:hyperlink>
      <w:r w:rsidRPr="00997AF1">
        <w:rPr>
          <w:rFonts w:cstheme="minorHAnsi"/>
          <w:szCs w:val="22"/>
        </w:rPr>
        <w:t>)</w:t>
      </w:r>
      <w:r w:rsidR="008E795B" w:rsidRPr="00997AF1">
        <w:rPr>
          <w:rFonts w:cstheme="minorHAnsi"/>
          <w:szCs w:val="22"/>
        </w:rPr>
        <w:t xml:space="preserve">, в котором </w:t>
      </w:r>
      <w:r w:rsidR="00F239E5" w:rsidRPr="00997AF1">
        <w:rPr>
          <w:rFonts w:cstheme="minorHAnsi"/>
          <w:szCs w:val="22"/>
        </w:rPr>
        <w:t>представлена</w:t>
      </w:r>
      <w:r w:rsidR="008E795B" w:rsidRPr="00997AF1">
        <w:rPr>
          <w:rFonts w:cstheme="minorHAnsi"/>
          <w:szCs w:val="22"/>
        </w:rPr>
        <w:t xml:space="preserve"> стратегическая основа для руководства процессом</w:t>
      </w:r>
      <w:r w:rsidR="00BF06ED" w:rsidRPr="00997AF1">
        <w:rPr>
          <w:rFonts w:cstheme="minorHAnsi"/>
          <w:szCs w:val="22"/>
        </w:rPr>
        <w:t xml:space="preserve"> обзора</w:t>
      </w:r>
      <w:r w:rsidR="008E795B" w:rsidRPr="00997AF1">
        <w:rPr>
          <w:rFonts w:cstheme="minorHAnsi"/>
          <w:szCs w:val="22"/>
        </w:rPr>
        <w:t xml:space="preserve">, </w:t>
      </w:r>
      <w:r w:rsidR="00BF06ED" w:rsidRPr="00997AF1">
        <w:rPr>
          <w:rFonts w:cstheme="minorHAnsi"/>
          <w:szCs w:val="22"/>
        </w:rPr>
        <w:t xml:space="preserve">призванная обеспечить </w:t>
      </w:r>
      <w:r w:rsidR="008E795B" w:rsidRPr="00997AF1">
        <w:rPr>
          <w:rFonts w:cstheme="minorHAnsi"/>
          <w:szCs w:val="22"/>
        </w:rPr>
        <w:t xml:space="preserve">его тщательность, эффективность и соответствие </w:t>
      </w:r>
      <w:r w:rsidR="00BF06ED" w:rsidRPr="00997AF1">
        <w:rPr>
          <w:rFonts w:cstheme="minorHAnsi"/>
          <w:szCs w:val="22"/>
        </w:rPr>
        <w:t>долгосрочным целям организации.</w:t>
      </w:r>
    </w:p>
    <w:p w14:paraId="382D0C43" w14:textId="78460361" w:rsidR="0037217C" w:rsidRPr="00997AF1" w:rsidRDefault="0037217C" w:rsidP="00CB60FF">
      <w:pPr>
        <w:pStyle w:val="Heading1"/>
      </w:pPr>
      <w:r w:rsidRPr="00997AF1">
        <w:t>4</w:t>
      </w:r>
      <w:r w:rsidRPr="00997AF1">
        <w:tab/>
      </w:r>
      <w:r w:rsidR="00BF06ED" w:rsidRPr="00997AF1">
        <w:t>Заключение</w:t>
      </w:r>
    </w:p>
    <w:p w14:paraId="50B35978" w14:textId="07D3DC53" w:rsidR="0037217C" w:rsidRPr="00997AF1" w:rsidRDefault="00BF06ED" w:rsidP="00CB60FF">
      <w:r w:rsidRPr="00997AF1">
        <w:t>КГРЭ предлагается принять настоящий документ к сведению и, в случае необходимости, предоставить руководящие указания в качестве вклада к следующему собранию Совета.</w:t>
      </w:r>
    </w:p>
    <w:p w14:paraId="5348E6D0" w14:textId="58D9BDF1" w:rsidR="00CE66E4" w:rsidRPr="00997AF1" w:rsidRDefault="0037217C" w:rsidP="00CB60FF">
      <w:pPr>
        <w:spacing w:before="360"/>
        <w:jc w:val="center"/>
        <w:rPr>
          <w:szCs w:val="22"/>
        </w:rPr>
      </w:pPr>
      <w:r w:rsidRPr="00997AF1">
        <w:rPr>
          <w:szCs w:val="22"/>
        </w:rPr>
        <w:t>________________</w:t>
      </w:r>
    </w:p>
    <w:sectPr w:rsidR="00CE66E4" w:rsidRPr="00997AF1" w:rsidSect="00CE66E4">
      <w:headerReference w:type="default" r:id="rId44"/>
      <w:footerReference w:type="first" r:id="rId4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4E29" w14:textId="77777777" w:rsidR="00A20232" w:rsidRDefault="00A20232">
      <w:r>
        <w:separator/>
      </w:r>
    </w:p>
    <w:p w14:paraId="59F460CC" w14:textId="77777777" w:rsidR="00A20232" w:rsidRDefault="00A20232"/>
  </w:endnote>
  <w:endnote w:type="continuationSeparator" w:id="0">
    <w:p w14:paraId="17C678E2" w14:textId="77777777" w:rsidR="00A20232" w:rsidRDefault="00A20232">
      <w:r>
        <w:continuationSeparator/>
      </w:r>
    </w:p>
    <w:p w14:paraId="341833EB" w14:textId="77777777" w:rsidR="00A20232" w:rsidRDefault="00A20232"/>
  </w:endnote>
  <w:endnote w:type="continuationNotice" w:id="1">
    <w:p w14:paraId="6EE08AFC" w14:textId="77777777" w:rsidR="00A20232" w:rsidRDefault="00A20232">
      <w:pPr>
        <w:spacing w:before="0"/>
      </w:pPr>
    </w:p>
    <w:p w14:paraId="3740E779" w14:textId="77777777" w:rsidR="00A20232" w:rsidRDefault="00A20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CB60FF" w:rsidRPr="00365AB0" w14:paraId="1B414EE2" w14:textId="77777777" w:rsidTr="00CB60FF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CB60FF" w:rsidRPr="00365AB0" w:rsidRDefault="00CB60FF" w:rsidP="008E0DBE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CB60FF" w:rsidRPr="00365AB0" w:rsidRDefault="00CB60FF" w:rsidP="008E0D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56C8FBAE" w14:textId="774AB833" w:rsidR="00CB60FF" w:rsidRPr="00CB60FF" w:rsidRDefault="00CB60FF" w:rsidP="008E0DBE">
          <w:pPr>
            <w:pStyle w:val="FirstFooter"/>
            <w:rPr>
              <w:sz w:val="18"/>
              <w:szCs w:val="18"/>
            </w:rPr>
          </w:pPr>
          <w:r w:rsidRPr="008E0DBE">
            <w:rPr>
              <w:sz w:val="18"/>
              <w:szCs w:val="18"/>
            </w:rPr>
            <w:t xml:space="preserve">г-жа </w:t>
          </w:r>
          <w:proofErr w:type="spellStart"/>
          <w:r w:rsidRPr="008E0DBE">
            <w:rPr>
              <w:sz w:val="18"/>
              <w:szCs w:val="18"/>
            </w:rPr>
            <w:t>Арчана</w:t>
          </w:r>
          <w:proofErr w:type="spellEnd"/>
          <w:r w:rsidRPr="008E0DBE">
            <w:rPr>
              <w:sz w:val="18"/>
              <w:szCs w:val="18"/>
            </w:rPr>
            <w:t xml:space="preserve"> </w:t>
          </w:r>
          <w:proofErr w:type="spellStart"/>
          <w:r w:rsidRPr="008E0DBE">
            <w:rPr>
              <w:sz w:val="18"/>
              <w:szCs w:val="18"/>
            </w:rPr>
            <w:t>Гулати</w:t>
          </w:r>
          <w:proofErr w:type="spellEnd"/>
          <w:r>
            <w:rPr>
              <w:sz w:val="18"/>
              <w:szCs w:val="18"/>
            </w:rPr>
            <w:t xml:space="preserve"> (</w:t>
          </w:r>
          <w:proofErr w:type="spellStart"/>
          <w:r w:rsidRPr="00941B59">
            <w:rPr>
              <w:sz w:val="18"/>
              <w:szCs w:val="18"/>
              <w:lang w:val="en-US"/>
            </w:rPr>
            <w:t>Ms</w:t>
          </w:r>
          <w:proofErr w:type="spellEnd"/>
          <w:r w:rsidRPr="00CB60FF">
            <w:rPr>
              <w:sz w:val="18"/>
              <w:szCs w:val="18"/>
            </w:rPr>
            <w:t xml:space="preserve"> </w:t>
          </w:r>
          <w:r w:rsidRPr="00941B59">
            <w:rPr>
              <w:sz w:val="18"/>
              <w:szCs w:val="18"/>
              <w:lang w:val="en-US"/>
            </w:rPr>
            <w:t>Archana</w:t>
          </w:r>
          <w:r w:rsidRPr="00CB60FF">
            <w:rPr>
              <w:sz w:val="18"/>
              <w:szCs w:val="18"/>
            </w:rPr>
            <w:t xml:space="preserve"> </w:t>
          </w:r>
          <w:r w:rsidRPr="00941B59">
            <w:rPr>
              <w:sz w:val="18"/>
              <w:szCs w:val="18"/>
              <w:lang w:val="en-US"/>
            </w:rPr>
            <w:t>Gulati</w:t>
          </w:r>
          <w:r>
            <w:rPr>
              <w:sz w:val="18"/>
              <w:szCs w:val="18"/>
            </w:rPr>
            <w:t>),</w:t>
          </w:r>
          <w:r w:rsidRPr="00CB60FF">
            <w:rPr>
              <w:sz w:val="18"/>
              <w:szCs w:val="18"/>
            </w:rPr>
            <w:t xml:space="preserve"> </w:t>
          </w:r>
          <w:r w:rsidRPr="008E0DBE">
            <w:rPr>
              <w:sz w:val="18"/>
              <w:szCs w:val="18"/>
            </w:rPr>
            <w:t>заместитель Директора Бюро развития электросвязи</w:t>
          </w:r>
        </w:p>
      </w:tc>
      <w:bookmarkStart w:id="10" w:name="OrgName"/>
      <w:bookmarkEnd w:id="10"/>
    </w:tr>
    <w:tr w:rsidR="00CB60FF" w:rsidRPr="00365AB0" w14:paraId="5E4AD7CB" w14:textId="77777777" w:rsidTr="00CB60FF">
      <w:trPr>
        <w:trHeight w:val="165"/>
      </w:trPr>
      <w:tc>
        <w:tcPr>
          <w:tcW w:w="1526" w:type="dxa"/>
        </w:tcPr>
        <w:p w14:paraId="337BEFD2" w14:textId="77777777" w:rsidR="00CB60FF" w:rsidRPr="00CB60FF" w:rsidRDefault="00CB60FF" w:rsidP="008E0DB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CB60FF" w:rsidRPr="00365AB0" w:rsidRDefault="00CB60FF" w:rsidP="008E0D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C3770F9" w14:textId="36400F0D" w:rsidR="00CB60FF" w:rsidRPr="008E0DBE" w:rsidRDefault="00CB60FF" w:rsidP="008E0DBE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1" w:name="PhoneNo"/>
      <w:bookmarkEnd w:id="11"/>
    </w:tr>
    <w:tr w:rsidR="00CB60FF" w:rsidRPr="00365AB0" w14:paraId="0E4D2617" w14:textId="77777777" w:rsidTr="00CB60FF">
      <w:tc>
        <w:tcPr>
          <w:tcW w:w="1526" w:type="dxa"/>
        </w:tcPr>
        <w:p w14:paraId="7845751D" w14:textId="77777777" w:rsidR="00CB60FF" w:rsidRPr="00365AB0" w:rsidRDefault="00CB60FF" w:rsidP="008E0DB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CB60FF" w:rsidRPr="00365AB0" w:rsidRDefault="00CB60FF" w:rsidP="008E0DBE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7D5DF0FE" w14:textId="77F8D49C" w:rsidR="00CB60FF" w:rsidRPr="00365AB0" w:rsidRDefault="00CB60FF" w:rsidP="008E0DBE">
          <w:pPr>
            <w:pStyle w:val="FirstFooter"/>
            <w:rPr>
              <w:sz w:val="18"/>
              <w:szCs w:val="18"/>
              <w:lang w:val="en-US"/>
            </w:rPr>
          </w:pPr>
          <w:hyperlink r:id="rId1" w:history="1">
            <w:r w:rsidRPr="00941B59">
              <w:rPr>
                <w:rStyle w:val="Hyperlink"/>
                <w:sz w:val="18"/>
                <w:szCs w:val="18"/>
              </w:rPr>
              <w:t>archana.gulati@itu.int</w:t>
            </w:r>
          </w:hyperlink>
          <w:r w:rsidRPr="00941B59">
            <w:rPr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2F9A" w14:textId="77777777" w:rsidR="00A20232" w:rsidRPr="00CB60FF" w:rsidRDefault="00A20232" w:rsidP="0054377E">
      <w:pPr>
        <w:spacing w:before="0"/>
        <w:rPr>
          <w:bCs/>
        </w:rPr>
      </w:pPr>
      <w:r w:rsidRPr="00CB60FF">
        <w:rPr>
          <w:bCs/>
        </w:rPr>
        <w:t>_______________</w:t>
      </w:r>
    </w:p>
  </w:footnote>
  <w:footnote w:type="continuationSeparator" w:id="0">
    <w:p w14:paraId="5ECAB9FC" w14:textId="77777777" w:rsidR="00A20232" w:rsidRDefault="00A20232" w:rsidP="0054377E">
      <w:pPr>
        <w:spacing w:before="0"/>
      </w:pPr>
      <w:r>
        <w:continuationSeparator/>
      </w:r>
    </w:p>
    <w:p w14:paraId="224DE066" w14:textId="77777777" w:rsidR="00A20232" w:rsidRDefault="00A20232"/>
  </w:footnote>
  <w:footnote w:type="continuationNotice" w:id="1">
    <w:p w14:paraId="2D8E2D29" w14:textId="77777777" w:rsidR="00A20232" w:rsidRDefault="00A20232">
      <w:pPr>
        <w:spacing w:before="0"/>
      </w:pPr>
    </w:p>
    <w:p w14:paraId="42674574" w14:textId="77777777" w:rsidR="00A20232" w:rsidRDefault="00A20232"/>
  </w:footnote>
  <w:footnote w:id="2">
    <w:p w14:paraId="29ECD115" w14:textId="2EC9B559" w:rsidR="0037217C" w:rsidRPr="00CB60FF" w:rsidRDefault="0037217C" w:rsidP="00CB60FF">
      <w:pPr>
        <w:pStyle w:val="FootnoteText"/>
      </w:pPr>
      <w:r w:rsidRPr="00CB60FF">
        <w:rPr>
          <w:rStyle w:val="FootnoteReference"/>
        </w:rPr>
        <w:footnoteRef/>
      </w:r>
      <w:r w:rsidRPr="00CB60FF">
        <w:tab/>
      </w:r>
      <w:r w:rsidR="00C0166D">
        <w:t xml:space="preserve">Документ </w:t>
      </w:r>
      <w:hyperlink r:id="rId1" w:history="1">
        <w:r w:rsidRPr="00292323">
          <w:rPr>
            <w:rStyle w:val="Hyperlink"/>
            <w:lang w:val="fr-FR"/>
          </w:rPr>
          <w:t>TDAG</w:t>
        </w:r>
        <w:r w:rsidRPr="00CB60FF">
          <w:rPr>
            <w:rStyle w:val="Hyperlink"/>
          </w:rPr>
          <w:t>-24/12</w:t>
        </w:r>
      </w:hyperlink>
      <w:r w:rsidRPr="00CB60FF">
        <w:t xml:space="preserve"> </w:t>
      </w:r>
      <w:r w:rsidR="00C0166D" w:rsidRPr="00C0166D">
        <w:t>об оперативном плане МСЭ-D на 2024 год</w:t>
      </w:r>
      <w:r w:rsidRPr="00CB60F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39DC793D" w:rsidR="00636181" w:rsidRPr="00CB60FF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CB60FF">
      <w:rPr>
        <w:szCs w:val="22"/>
      </w:rPr>
      <w:tab/>
    </w:r>
    <w:r w:rsidRPr="00CB60FF">
      <w:rPr>
        <w:szCs w:val="22"/>
        <w:lang w:val="es-ES_tradnl"/>
      </w:rPr>
      <w:t>TDAG-2</w:t>
    </w:r>
    <w:r w:rsidR="003273BC" w:rsidRPr="00CB60FF">
      <w:rPr>
        <w:szCs w:val="22"/>
        <w:lang w:val="es-ES_tradnl"/>
      </w:rPr>
      <w:t>5</w:t>
    </w:r>
    <w:r w:rsidRPr="00CB60FF">
      <w:rPr>
        <w:szCs w:val="22"/>
        <w:lang w:val="es-ES_tradnl"/>
      </w:rPr>
      <w:t>/</w:t>
    </w:r>
    <w:r w:rsidR="008E0DBE" w:rsidRPr="00CB60FF">
      <w:rPr>
        <w:szCs w:val="22"/>
      </w:rPr>
      <w:t>24</w:t>
    </w:r>
    <w:r w:rsidRPr="00CB60FF">
      <w:rPr>
        <w:szCs w:val="22"/>
        <w:lang w:val="es-ES_tradnl"/>
      </w:rPr>
      <w:t>-</w:t>
    </w:r>
    <w:r w:rsidR="007606A7" w:rsidRPr="00CB60FF">
      <w:rPr>
        <w:szCs w:val="22"/>
        <w:lang w:val="es-ES_tradnl"/>
      </w:rPr>
      <w:t>R</w:t>
    </w:r>
    <w:r w:rsidRPr="00CB60FF">
      <w:rPr>
        <w:szCs w:val="22"/>
        <w:lang w:val="es-ES_tradnl"/>
      </w:rPr>
      <w:tab/>
    </w:r>
    <w:r w:rsidR="007606A7" w:rsidRPr="00CB60FF">
      <w:rPr>
        <w:szCs w:val="22"/>
      </w:rPr>
      <w:t>Страница</w:t>
    </w:r>
    <w:r w:rsidRPr="00CB60FF">
      <w:rPr>
        <w:szCs w:val="22"/>
        <w:lang w:val="es-ES_tradnl"/>
      </w:rPr>
      <w:t xml:space="preserve"> </w:t>
    </w:r>
    <w:r w:rsidRPr="00CB60FF">
      <w:rPr>
        <w:szCs w:val="22"/>
      </w:rPr>
      <w:fldChar w:fldCharType="begin"/>
    </w:r>
    <w:r w:rsidRPr="00CB60FF">
      <w:rPr>
        <w:szCs w:val="22"/>
        <w:lang w:val="es-ES_tradnl"/>
      </w:rPr>
      <w:instrText xml:space="preserve"> PAGE </w:instrText>
    </w:r>
    <w:r w:rsidRPr="00CB60FF">
      <w:rPr>
        <w:szCs w:val="22"/>
      </w:rPr>
      <w:fldChar w:fldCharType="separate"/>
    </w:r>
    <w:r w:rsidR="00893B2C" w:rsidRPr="00CB60FF">
      <w:rPr>
        <w:noProof/>
        <w:szCs w:val="22"/>
        <w:lang w:val="es-ES_tradnl"/>
      </w:rPr>
      <w:t>19</w:t>
    </w:r>
    <w:r w:rsidRPr="00CB60FF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356"/>
    <w:multiLevelType w:val="hybridMultilevel"/>
    <w:tmpl w:val="2EDAEE1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246D3"/>
    <w:multiLevelType w:val="hybridMultilevel"/>
    <w:tmpl w:val="FC364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A11C7"/>
    <w:multiLevelType w:val="hybridMultilevel"/>
    <w:tmpl w:val="51C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17C"/>
    <w:multiLevelType w:val="hybridMultilevel"/>
    <w:tmpl w:val="4E74517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36339"/>
    <w:multiLevelType w:val="hybridMultilevel"/>
    <w:tmpl w:val="4D9E3D68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639">
    <w:abstractNumId w:val="3"/>
  </w:num>
  <w:num w:numId="2" w16cid:durableId="2090690033">
    <w:abstractNumId w:val="1"/>
  </w:num>
  <w:num w:numId="3" w16cid:durableId="1662150910">
    <w:abstractNumId w:val="2"/>
  </w:num>
  <w:num w:numId="4" w16cid:durableId="1521774019">
    <w:abstractNumId w:val="4"/>
  </w:num>
  <w:num w:numId="5" w16cid:durableId="4695268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2D75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4128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0D7E"/>
    <w:rsid w:val="001B2ED3"/>
    <w:rsid w:val="001B643A"/>
    <w:rsid w:val="001B6675"/>
    <w:rsid w:val="001B7EA3"/>
    <w:rsid w:val="001C3B5F"/>
    <w:rsid w:val="001C61EA"/>
    <w:rsid w:val="001D058F"/>
    <w:rsid w:val="001D2025"/>
    <w:rsid w:val="001D216E"/>
    <w:rsid w:val="001D520B"/>
    <w:rsid w:val="001D5CA3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C56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2F2664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17C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45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86317"/>
    <w:rsid w:val="004908EA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012F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3F0D"/>
    <w:rsid w:val="0054450F"/>
    <w:rsid w:val="0055140B"/>
    <w:rsid w:val="00551B05"/>
    <w:rsid w:val="00552F9E"/>
    <w:rsid w:val="00554C4F"/>
    <w:rsid w:val="00560ACF"/>
    <w:rsid w:val="00561D72"/>
    <w:rsid w:val="00564F36"/>
    <w:rsid w:val="00566EEB"/>
    <w:rsid w:val="00570C55"/>
    <w:rsid w:val="00570FA3"/>
    <w:rsid w:val="00571767"/>
    <w:rsid w:val="00574F66"/>
    <w:rsid w:val="00576FB4"/>
    <w:rsid w:val="00581664"/>
    <w:rsid w:val="00585238"/>
    <w:rsid w:val="005855FC"/>
    <w:rsid w:val="00586EB9"/>
    <w:rsid w:val="00590B21"/>
    <w:rsid w:val="00592321"/>
    <w:rsid w:val="005933B2"/>
    <w:rsid w:val="00593B87"/>
    <w:rsid w:val="005950C2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666F"/>
    <w:rsid w:val="005F7D38"/>
    <w:rsid w:val="00600B9C"/>
    <w:rsid w:val="006023DF"/>
    <w:rsid w:val="0060693B"/>
    <w:rsid w:val="006117C6"/>
    <w:rsid w:val="00611CD2"/>
    <w:rsid w:val="00614339"/>
    <w:rsid w:val="00615AB9"/>
    <w:rsid w:val="00617602"/>
    <w:rsid w:val="00620ECD"/>
    <w:rsid w:val="00621FDD"/>
    <w:rsid w:val="00622B63"/>
    <w:rsid w:val="00624A81"/>
    <w:rsid w:val="0062697F"/>
    <w:rsid w:val="00627881"/>
    <w:rsid w:val="00631323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054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2A76"/>
    <w:rsid w:val="00792DB8"/>
    <w:rsid w:val="00793BB0"/>
    <w:rsid w:val="00794ABD"/>
    <w:rsid w:val="00795C00"/>
    <w:rsid w:val="0079605E"/>
    <w:rsid w:val="007A49CF"/>
    <w:rsid w:val="007A7FAF"/>
    <w:rsid w:val="007B12EB"/>
    <w:rsid w:val="007B1FF1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1D58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40D"/>
    <w:rsid w:val="00840B0F"/>
    <w:rsid w:val="00840FD0"/>
    <w:rsid w:val="0084590A"/>
    <w:rsid w:val="00845C0D"/>
    <w:rsid w:val="008476F2"/>
    <w:rsid w:val="008529D3"/>
    <w:rsid w:val="00854840"/>
    <w:rsid w:val="0085555B"/>
    <w:rsid w:val="00855FDC"/>
    <w:rsid w:val="00860F8A"/>
    <w:rsid w:val="0086299C"/>
    <w:rsid w:val="00863578"/>
    <w:rsid w:val="00863FC4"/>
    <w:rsid w:val="008678E1"/>
    <w:rsid w:val="00867B8E"/>
    <w:rsid w:val="008711AE"/>
    <w:rsid w:val="00872FC8"/>
    <w:rsid w:val="00874817"/>
    <w:rsid w:val="00876ED8"/>
    <w:rsid w:val="00877397"/>
    <w:rsid w:val="00877D80"/>
    <w:rsid w:val="008801D3"/>
    <w:rsid w:val="00880325"/>
    <w:rsid w:val="008806F3"/>
    <w:rsid w:val="00881B16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0DBE"/>
    <w:rsid w:val="008E1A73"/>
    <w:rsid w:val="008E33DA"/>
    <w:rsid w:val="008E6B36"/>
    <w:rsid w:val="008E795B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7F09"/>
    <w:rsid w:val="0091016B"/>
    <w:rsid w:val="00910408"/>
    <w:rsid w:val="00910B26"/>
    <w:rsid w:val="00912004"/>
    <w:rsid w:val="009164B4"/>
    <w:rsid w:val="009238B9"/>
    <w:rsid w:val="009274B4"/>
    <w:rsid w:val="00934743"/>
    <w:rsid w:val="00934EA2"/>
    <w:rsid w:val="00936F7C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97AF1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232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1083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544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990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6ED"/>
    <w:rsid w:val="00BF095D"/>
    <w:rsid w:val="00BF3618"/>
    <w:rsid w:val="00BF4F16"/>
    <w:rsid w:val="00BF65C9"/>
    <w:rsid w:val="00BF70B2"/>
    <w:rsid w:val="00C0018F"/>
    <w:rsid w:val="00C0166D"/>
    <w:rsid w:val="00C02828"/>
    <w:rsid w:val="00C03779"/>
    <w:rsid w:val="00C05634"/>
    <w:rsid w:val="00C07B4E"/>
    <w:rsid w:val="00C10393"/>
    <w:rsid w:val="00C13755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66A4C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58DA"/>
    <w:rsid w:val="00CB60FF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5FEA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1309"/>
    <w:rsid w:val="00D53EAE"/>
    <w:rsid w:val="00D541E4"/>
    <w:rsid w:val="00D5651D"/>
    <w:rsid w:val="00D56836"/>
    <w:rsid w:val="00D61378"/>
    <w:rsid w:val="00D62D8E"/>
    <w:rsid w:val="00D634E2"/>
    <w:rsid w:val="00D65B63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02E2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DF7DC2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75187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0890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39E5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0DC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,NUMBERED PARAGRAPH,List Paragraph 1,List Paragraph (numbered (a)),Use Case List Paragraph,References,lp1"/>
    <w:basedOn w:val="Normal"/>
    <w:link w:val="ListParagraphChar"/>
    <w:uiPriority w:val="34"/>
    <w:qFormat/>
    <w:rsid w:val="00082D75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NUMBERED PARAGRAPH Char,List Paragraph 1 Char,lp1 Char"/>
    <w:link w:val="ListParagraph"/>
    <w:uiPriority w:val="34"/>
    <w:qFormat/>
    <w:rsid w:val="00082D75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37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025-e.pdf" TargetMode="External"/><Relationship Id="rId18" Type="http://schemas.openxmlformats.org/officeDocument/2006/relationships/hyperlink" Target="https://www.itu.int/md/S25-CWGFHR20-250217-TD-0001/en" TargetMode="External"/><Relationship Id="rId26" Type="http://schemas.openxmlformats.org/officeDocument/2006/relationships/hyperlink" Target="https://www.itu.int/md/D22-TDAG32-C-0003/" TargetMode="External"/><Relationship Id="rId39" Type="http://schemas.openxmlformats.org/officeDocument/2006/relationships/hyperlink" Target="https://www.itu.int/dms_pub/itu-s/md/23/cwgfhr16/c/S23-CWGFHR16-C-0024!R1!MSW-E.docx" TargetMode="External"/><Relationship Id="rId21" Type="http://schemas.openxmlformats.org/officeDocument/2006/relationships/hyperlink" Target="https://www.itu.int/md/D22-TDAG31-C-0007/en" TargetMode="External"/><Relationship Id="rId34" Type="http://schemas.openxmlformats.org/officeDocument/2006/relationships/hyperlink" Target="https://www.itu.int/md/D22-TDAG32-C-0005/" TargetMode="External"/><Relationship Id="rId42" Type="http://schemas.openxmlformats.org/officeDocument/2006/relationships/hyperlink" Target="https://www.itu.int/dms_pub/itu-s/opb/conf/S-CONF-ACTF-2022-PDF-R.pdf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C-0025/en" TargetMode="External"/><Relationship Id="rId29" Type="http://schemas.openxmlformats.org/officeDocument/2006/relationships/hyperlink" Target="https://www.itu.int/md/D22-TDAG32-INF-0004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32-C-0003/" TargetMode="External"/><Relationship Id="rId32" Type="http://schemas.openxmlformats.org/officeDocument/2006/relationships/hyperlink" Target="https://www.itu.int/md/D22-TDAG32-C-0005/" TargetMode="External"/><Relationship Id="rId37" Type="http://schemas.openxmlformats.org/officeDocument/2006/relationships/hyperlink" Target="https://www.itu.int/dms_pub/itu-s/md/23/cwgfhr16/c/S23-CWGFHR16-C-0024!R1!MSW-E.docx" TargetMode="External"/><Relationship Id="rId40" Type="http://schemas.openxmlformats.org/officeDocument/2006/relationships/hyperlink" Target="https://www.itu.int/md/S25-CWGFHR20-C-0002/en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-C-0098/en" TargetMode="External"/><Relationship Id="rId23" Type="http://schemas.openxmlformats.org/officeDocument/2006/relationships/hyperlink" Target="https://www.itu.int/en/council/ties/Pages/regional-presence-dashboard.aspx" TargetMode="External"/><Relationship Id="rId28" Type="http://schemas.openxmlformats.org/officeDocument/2006/relationships/hyperlink" Target="https://www.itu.int/ru/ITU-D/conferences/WTDC/WTDC21/Pages/default.aspx" TargetMode="External"/><Relationship Id="rId36" Type="http://schemas.openxmlformats.org/officeDocument/2006/relationships/hyperlink" Target="https://www.itu.int/md/meetingdoc.asp?lang=en&amp;parent=S23-CWGFHR16-C-001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S23-CWGFHR16-C-0010" TargetMode="External"/><Relationship Id="rId31" Type="http://schemas.openxmlformats.org/officeDocument/2006/relationships/hyperlink" Target="https://www.itu.int/itu-d/sites/partnerships/home/partnerships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079/en" TargetMode="External"/><Relationship Id="rId22" Type="http://schemas.openxmlformats.org/officeDocument/2006/relationships/hyperlink" Target="https://www.itu.int/md/D22-TDAG31-C-0012/en" TargetMode="External"/><Relationship Id="rId27" Type="http://schemas.openxmlformats.org/officeDocument/2006/relationships/hyperlink" Target="https://www.itu.int/dms_pub/itu-d/opb/tdc/D-TDC-WTDC-2022-PDF-R.pdf" TargetMode="External"/><Relationship Id="rId30" Type="http://schemas.openxmlformats.org/officeDocument/2006/relationships/hyperlink" Target="https://www.itu.int/wtdc" TargetMode="External"/><Relationship Id="rId35" Type="http://schemas.openxmlformats.org/officeDocument/2006/relationships/hyperlink" Target="https://www.itu.int/md/D22-TDAG32-C-0009/" TargetMode="External"/><Relationship Id="rId43" Type="http://schemas.openxmlformats.org/officeDocument/2006/relationships/hyperlink" Target="https://www.itu.int/md/D22-TDAG32-C-0024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5-CWGFHR20-C-0002/en" TargetMode="External"/><Relationship Id="rId25" Type="http://schemas.openxmlformats.org/officeDocument/2006/relationships/hyperlink" Target="https://www.itu.int/md/D22-TDAG32-C-0002/" TargetMode="External"/><Relationship Id="rId33" Type="http://schemas.openxmlformats.org/officeDocument/2006/relationships/hyperlink" Target="https://www.itu.int/en/ITU-D/Projects/Pages/Portfolio.aspx" TargetMode="External"/><Relationship Id="rId38" Type="http://schemas.openxmlformats.org/officeDocument/2006/relationships/hyperlink" Target="https://www.itu.int/md/meetingdoc.asp?lang=en&amp;parent=S23-CWGFHR16-C-001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dms_pub/itu-s/md/23/cwgfhr16/c/S23-CWGFHR16-C-0024!R1!MSW-E.docx" TargetMode="External"/><Relationship Id="rId41" Type="http://schemas.openxmlformats.org/officeDocument/2006/relationships/hyperlink" Target="https://www.itu.int/md/S25-CWGFHR20-250217-TD-0001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D22-TDAG31-C-001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F74E8CD8-24EA-4068-B08F-ABFA3DBF1C04}"/>
</file>

<file path=customXml/itemProps2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2462</Words>
  <Characters>19355</Characters>
  <Application>Microsoft Office Word</Application>
  <DocSecurity>0</DocSecurity>
  <Lines>161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NA</cp:lastModifiedBy>
  <cp:revision>4</cp:revision>
  <cp:lastPrinted>2019-01-16T07:57:00Z</cp:lastPrinted>
  <dcterms:created xsi:type="dcterms:W3CDTF">2025-05-07T12:27:00Z</dcterms:created>
  <dcterms:modified xsi:type="dcterms:W3CDTF">2025-05-07T13:04:00Z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