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E8660C" w14:paraId="3F0E9EC4" w14:textId="77777777" w:rsidTr="00E24DE9">
        <w:trPr>
          <w:cantSplit/>
          <w:trHeight w:val="1134"/>
        </w:trPr>
        <w:tc>
          <w:tcPr>
            <w:tcW w:w="1985" w:type="dxa"/>
          </w:tcPr>
          <w:p w14:paraId="1C6881CD" w14:textId="419D18F9" w:rsidR="00921A30" w:rsidRPr="00E8660C" w:rsidRDefault="00AC2BF7" w:rsidP="001E5219">
            <w:pPr>
              <w:tabs>
                <w:tab w:val="clear" w:pos="1191"/>
                <w:tab w:val="clear" w:pos="1588"/>
                <w:tab w:val="clear" w:pos="1985"/>
              </w:tabs>
              <w:spacing w:after="40"/>
              <w:rPr>
                <w:b/>
                <w:bCs/>
                <w:sz w:val="32"/>
                <w:szCs w:val="32"/>
                <w:lang w:val="fr-FR"/>
              </w:rPr>
            </w:pPr>
            <w:r w:rsidRPr="00E8660C">
              <w:rPr>
                <w:b/>
                <w:bCs/>
                <w:sz w:val="32"/>
                <w:szCs w:val="32"/>
                <w:lang w:val="fr-FR"/>
              </w:rPr>
              <w:drawing>
                <wp:inline distT="0" distB="0" distL="0" distR="0" wp14:anchorId="7DECAEFB" wp14:editId="224A149B">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E8660C" w:rsidRDefault="00921A30" w:rsidP="004037AF">
            <w:pPr>
              <w:tabs>
                <w:tab w:val="clear" w:pos="1191"/>
                <w:tab w:val="clear" w:pos="1588"/>
                <w:tab w:val="clear" w:pos="1985"/>
              </w:tabs>
              <w:spacing w:before="240" w:after="240"/>
              <w:ind w:left="34"/>
              <w:rPr>
                <w:b/>
                <w:bCs/>
                <w:sz w:val="32"/>
                <w:szCs w:val="32"/>
                <w:lang w:val="fr-FR"/>
              </w:rPr>
            </w:pPr>
            <w:r w:rsidRPr="00E8660C">
              <w:rPr>
                <w:b/>
                <w:bCs/>
                <w:sz w:val="32"/>
                <w:szCs w:val="32"/>
                <w:lang w:val="fr-FR"/>
              </w:rPr>
              <w:t xml:space="preserve">Groupe consultatif pour le développement </w:t>
            </w:r>
            <w:r w:rsidRPr="00E8660C">
              <w:rPr>
                <w:b/>
                <w:bCs/>
                <w:sz w:val="32"/>
                <w:szCs w:val="32"/>
                <w:lang w:val="fr-FR"/>
              </w:rPr>
              <w:br/>
              <w:t>des télécommunications (GCDT)</w:t>
            </w:r>
          </w:p>
          <w:p w14:paraId="5F5F590A" w14:textId="7427F64C" w:rsidR="00921A30" w:rsidRPr="00E8660C" w:rsidRDefault="00921A30" w:rsidP="001011EB">
            <w:pPr>
              <w:tabs>
                <w:tab w:val="clear" w:pos="1191"/>
                <w:tab w:val="clear" w:pos="1588"/>
                <w:tab w:val="clear" w:pos="1985"/>
              </w:tabs>
              <w:spacing w:after="120"/>
              <w:ind w:left="34"/>
              <w:rPr>
                <w:rFonts w:ascii="Verdana" w:hAnsi="Verdana"/>
                <w:sz w:val="28"/>
                <w:szCs w:val="28"/>
                <w:lang w:val="fr-FR"/>
              </w:rPr>
            </w:pPr>
            <w:r w:rsidRPr="00E8660C">
              <w:rPr>
                <w:b/>
                <w:bCs/>
                <w:sz w:val="26"/>
                <w:szCs w:val="26"/>
                <w:lang w:val="fr-FR"/>
              </w:rPr>
              <w:t>32ème réunion, Genève, Suisse, 12-16 mai 2025</w:t>
            </w:r>
          </w:p>
        </w:tc>
        <w:tc>
          <w:tcPr>
            <w:tcW w:w="1666" w:type="dxa"/>
          </w:tcPr>
          <w:p w14:paraId="67E7B4C4" w14:textId="0F52E4CC" w:rsidR="00921A30" w:rsidRPr="00E8660C" w:rsidRDefault="00921A30" w:rsidP="00946023">
            <w:pPr>
              <w:spacing w:before="240" w:after="120"/>
              <w:ind w:right="142"/>
              <w:jc w:val="right"/>
              <w:rPr>
                <w:lang w:val="fr-FR"/>
              </w:rPr>
            </w:pPr>
            <w:r w:rsidRPr="00E8660C">
              <w:rPr>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E8660C" w14:paraId="3C13197B" w14:textId="77777777" w:rsidTr="0009076F">
        <w:trPr>
          <w:cantSplit/>
        </w:trPr>
        <w:tc>
          <w:tcPr>
            <w:tcW w:w="6379" w:type="dxa"/>
            <w:gridSpan w:val="2"/>
            <w:tcBorders>
              <w:top w:val="single" w:sz="12" w:space="0" w:color="auto"/>
            </w:tcBorders>
          </w:tcPr>
          <w:p w14:paraId="2EED9DB2" w14:textId="77777777" w:rsidR="00683C32" w:rsidRPr="00E8660C"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E8660C" w:rsidRDefault="00683C32" w:rsidP="00107E85">
            <w:pPr>
              <w:spacing w:before="0"/>
              <w:rPr>
                <w:b/>
                <w:bCs/>
                <w:sz w:val="20"/>
                <w:lang w:val="fr-FR"/>
              </w:rPr>
            </w:pPr>
          </w:p>
        </w:tc>
      </w:tr>
      <w:tr w:rsidR="00683C32" w:rsidRPr="00E8660C" w14:paraId="0BB3FBC4" w14:textId="77777777" w:rsidTr="0009076F">
        <w:trPr>
          <w:cantSplit/>
        </w:trPr>
        <w:tc>
          <w:tcPr>
            <w:tcW w:w="6379" w:type="dxa"/>
            <w:gridSpan w:val="2"/>
          </w:tcPr>
          <w:p w14:paraId="43C54B3D" w14:textId="77777777" w:rsidR="00683C32" w:rsidRPr="00E8660C" w:rsidRDefault="00683C32" w:rsidP="00400CCF">
            <w:pPr>
              <w:pStyle w:val="Committee"/>
              <w:spacing w:before="0"/>
              <w:rPr>
                <w:b w:val="0"/>
                <w:szCs w:val="24"/>
                <w:lang w:val="fr-FR"/>
              </w:rPr>
            </w:pPr>
          </w:p>
        </w:tc>
        <w:tc>
          <w:tcPr>
            <w:tcW w:w="3509" w:type="dxa"/>
            <w:gridSpan w:val="2"/>
          </w:tcPr>
          <w:p w14:paraId="02E44EE9" w14:textId="5C6D5839" w:rsidR="00683C32" w:rsidRPr="00E8660C" w:rsidRDefault="0096201B" w:rsidP="00E25345">
            <w:pPr>
              <w:spacing w:before="0"/>
              <w:jc w:val="both"/>
              <w:rPr>
                <w:bCs/>
                <w:szCs w:val="24"/>
                <w:lang w:val="fr-FR"/>
              </w:rPr>
            </w:pPr>
            <w:r w:rsidRPr="00E8660C">
              <w:rPr>
                <w:b/>
                <w:bCs/>
                <w:lang w:val="fr-FR"/>
              </w:rPr>
              <w:t xml:space="preserve">Document </w:t>
            </w:r>
            <w:bookmarkStart w:id="0" w:name="DocRef1"/>
            <w:bookmarkEnd w:id="0"/>
            <w:r w:rsidRPr="00E8660C">
              <w:rPr>
                <w:b/>
                <w:bCs/>
                <w:lang w:val="fr-FR"/>
              </w:rPr>
              <w:t>TDAG</w:t>
            </w:r>
            <w:r w:rsidR="003242AB" w:rsidRPr="00E8660C">
              <w:rPr>
                <w:b/>
                <w:bCs/>
                <w:lang w:val="fr-FR"/>
              </w:rPr>
              <w:t>-</w:t>
            </w:r>
            <w:r w:rsidR="00B648C7" w:rsidRPr="00E8660C">
              <w:rPr>
                <w:b/>
                <w:bCs/>
                <w:lang w:val="fr-FR"/>
              </w:rPr>
              <w:t>2</w:t>
            </w:r>
            <w:bookmarkStart w:id="1" w:name="DocNo1"/>
            <w:bookmarkEnd w:id="1"/>
            <w:r w:rsidR="001C48D3" w:rsidRPr="00E8660C">
              <w:rPr>
                <w:b/>
                <w:bCs/>
                <w:lang w:val="fr-FR"/>
              </w:rPr>
              <w:t>5</w:t>
            </w:r>
            <w:r w:rsidR="0009076F" w:rsidRPr="00E8660C">
              <w:rPr>
                <w:b/>
                <w:bCs/>
                <w:lang w:val="fr-FR"/>
              </w:rPr>
              <w:t>/</w:t>
            </w:r>
            <w:r w:rsidR="00D24185" w:rsidRPr="00E8660C">
              <w:rPr>
                <w:b/>
                <w:bCs/>
                <w:lang w:val="fr-FR"/>
              </w:rPr>
              <w:t>24</w:t>
            </w:r>
            <w:r w:rsidRPr="00E8660C">
              <w:rPr>
                <w:b/>
                <w:bCs/>
                <w:lang w:val="fr-FR"/>
              </w:rPr>
              <w:t>-</w:t>
            </w:r>
            <w:r w:rsidR="00E25345" w:rsidRPr="00E8660C">
              <w:rPr>
                <w:b/>
                <w:bCs/>
                <w:lang w:val="fr-FR"/>
              </w:rPr>
              <w:t>F</w:t>
            </w:r>
          </w:p>
        </w:tc>
      </w:tr>
      <w:tr w:rsidR="00683C32" w:rsidRPr="00E8660C" w14:paraId="24D04936" w14:textId="77777777" w:rsidTr="0009076F">
        <w:trPr>
          <w:cantSplit/>
        </w:trPr>
        <w:tc>
          <w:tcPr>
            <w:tcW w:w="6379" w:type="dxa"/>
            <w:gridSpan w:val="2"/>
          </w:tcPr>
          <w:p w14:paraId="12CE4DBF" w14:textId="77777777" w:rsidR="00683C32" w:rsidRPr="00E8660C" w:rsidRDefault="00683C32" w:rsidP="00400CCF">
            <w:pPr>
              <w:spacing w:before="0"/>
              <w:rPr>
                <w:b/>
                <w:bCs/>
                <w:smallCaps/>
                <w:szCs w:val="24"/>
                <w:lang w:val="fr-FR"/>
              </w:rPr>
            </w:pPr>
          </w:p>
        </w:tc>
        <w:tc>
          <w:tcPr>
            <w:tcW w:w="3509" w:type="dxa"/>
            <w:gridSpan w:val="2"/>
          </w:tcPr>
          <w:p w14:paraId="0F89640F" w14:textId="3D6479D3" w:rsidR="00683C32" w:rsidRPr="00E8660C" w:rsidRDefault="00D24185" w:rsidP="00B648C7">
            <w:pPr>
              <w:spacing w:before="0"/>
              <w:rPr>
                <w:b/>
                <w:szCs w:val="24"/>
                <w:lang w:val="fr-FR"/>
              </w:rPr>
            </w:pPr>
            <w:bookmarkStart w:id="2" w:name="CreationDate"/>
            <w:bookmarkEnd w:id="2"/>
            <w:r w:rsidRPr="00E8660C">
              <w:rPr>
                <w:b/>
                <w:bCs/>
                <w:szCs w:val="28"/>
                <w:lang w:val="fr-FR"/>
              </w:rPr>
              <w:t xml:space="preserve">1er avril </w:t>
            </w:r>
            <w:r w:rsidR="001C48D3" w:rsidRPr="00E8660C">
              <w:rPr>
                <w:b/>
                <w:bCs/>
                <w:szCs w:val="28"/>
                <w:lang w:val="fr-FR"/>
              </w:rPr>
              <w:t>2025</w:t>
            </w:r>
          </w:p>
        </w:tc>
      </w:tr>
      <w:tr w:rsidR="00683C32" w:rsidRPr="00E8660C" w14:paraId="7B96545F" w14:textId="77777777" w:rsidTr="0009076F">
        <w:trPr>
          <w:cantSplit/>
        </w:trPr>
        <w:tc>
          <w:tcPr>
            <w:tcW w:w="6379" w:type="dxa"/>
            <w:gridSpan w:val="2"/>
          </w:tcPr>
          <w:p w14:paraId="65956FD3" w14:textId="77777777" w:rsidR="00683C32" w:rsidRPr="00E8660C" w:rsidRDefault="00683C32" w:rsidP="00400CCF">
            <w:pPr>
              <w:spacing w:before="0"/>
              <w:rPr>
                <w:b/>
                <w:bCs/>
                <w:smallCaps/>
                <w:szCs w:val="24"/>
                <w:lang w:val="fr-FR"/>
              </w:rPr>
            </w:pPr>
          </w:p>
        </w:tc>
        <w:tc>
          <w:tcPr>
            <w:tcW w:w="3509" w:type="dxa"/>
            <w:gridSpan w:val="2"/>
          </w:tcPr>
          <w:p w14:paraId="30EFD39F" w14:textId="33ACFB79" w:rsidR="00514D2F" w:rsidRPr="00E8660C" w:rsidRDefault="0096201B" w:rsidP="001011EB">
            <w:pPr>
              <w:spacing w:before="0"/>
              <w:rPr>
                <w:szCs w:val="24"/>
                <w:lang w:val="fr-FR"/>
              </w:rPr>
            </w:pPr>
            <w:r w:rsidRPr="00E8660C">
              <w:rPr>
                <w:b/>
                <w:lang w:val="fr-FR"/>
              </w:rPr>
              <w:t>Original:</w:t>
            </w:r>
            <w:bookmarkStart w:id="3" w:name="Original"/>
            <w:bookmarkEnd w:id="3"/>
            <w:r w:rsidR="00CE0422" w:rsidRPr="00E8660C">
              <w:rPr>
                <w:b/>
                <w:lang w:val="fr-FR"/>
              </w:rPr>
              <w:t xml:space="preserve"> </w:t>
            </w:r>
            <w:r w:rsidR="001011EB" w:rsidRPr="00E8660C">
              <w:rPr>
                <w:b/>
                <w:lang w:val="fr-FR"/>
              </w:rPr>
              <w:t>anglais</w:t>
            </w:r>
          </w:p>
        </w:tc>
      </w:tr>
      <w:tr w:rsidR="00A13162" w:rsidRPr="00E8660C" w14:paraId="31656E31" w14:textId="77777777" w:rsidTr="00107E85">
        <w:trPr>
          <w:cantSplit/>
          <w:trHeight w:val="852"/>
        </w:trPr>
        <w:tc>
          <w:tcPr>
            <w:tcW w:w="9888" w:type="dxa"/>
            <w:gridSpan w:val="4"/>
          </w:tcPr>
          <w:p w14:paraId="512FCA01" w14:textId="3AEBEFED" w:rsidR="00A13162" w:rsidRPr="00E8660C" w:rsidRDefault="00D24185" w:rsidP="0030353C">
            <w:pPr>
              <w:pStyle w:val="Source"/>
              <w:rPr>
                <w:lang w:val="fr-FR"/>
              </w:rPr>
            </w:pPr>
            <w:bookmarkStart w:id="4" w:name="Source"/>
            <w:bookmarkEnd w:id="4"/>
            <w:r w:rsidRPr="00E8660C">
              <w:rPr>
                <w:lang w:val="fr-FR"/>
              </w:rPr>
              <w:t>Directeur du Bureau de développement des télécommunications</w:t>
            </w:r>
          </w:p>
        </w:tc>
      </w:tr>
      <w:tr w:rsidR="00AC6F14" w:rsidRPr="00E8660C" w14:paraId="2CBD3A36" w14:textId="77777777" w:rsidTr="00107E85">
        <w:trPr>
          <w:cantSplit/>
        </w:trPr>
        <w:tc>
          <w:tcPr>
            <w:tcW w:w="9888" w:type="dxa"/>
            <w:gridSpan w:val="4"/>
          </w:tcPr>
          <w:p w14:paraId="1B4121DF" w14:textId="50410E6A" w:rsidR="00AC6F14" w:rsidRPr="00E8660C" w:rsidRDefault="00D24185" w:rsidP="001011EB">
            <w:pPr>
              <w:pStyle w:val="Title1"/>
              <w:rPr>
                <w:lang w:val="fr-FR"/>
              </w:rPr>
            </w:pPr>
            <w:bookmarkStart w:id="5" w:name="Title"/>
            <w:bookmarkEnd w:id="5"/>
            <w:r w:rsidRPr="00E8660C">
              <w:rPr>
                <w:lang w:val="fr-FR"/>
              </w:rPr>
              <w:t>Renforcement de la présence régionale – Critères applicables</w:t>
            </w:r>
            <w:r w:rsidR="001830C2" w:rsidRPr="00E8660C">
              <w:rPr>
                <w:lang w:val="fr-FR"/>
              </w:rPr>
              <w:t xml:space="preserve"> </w:t>
            </w:r>
            <w:r w:rsidRPr="00E8660C">
              <w:rPr>
                <w:lang w:val="fr-FR"/>
              </w:rPr>
              <w:t>à</w:t>
            </w:r>
            <w:r w:rsidR="001830C2" w:rsidRPr="00E8660C">
              <w:rPr>
                <w:lang w:val="fr-FR"/>
              </w:rPr>
              <w:br/>
              <w:t xml:space="preserve">la </w:t>
            </w:r>
            <w:r w:rsidRPr="00E8660C">
              <w:rPr>
                <w:lang w:val="fr-FR"/>
              </w:rPr>
              <w:t>création</w:t>
            </w:r>
            <w:r w:rsidR="001830C2" w:rsidRPr="00E8660C">
              <w:rPr>
                <w:lang w:val="fr-FR"/>
              </w:rPr>
              <w:t xml:space="preserve"> </w:t>
            </w:r>
            <w:r w:rsidRPr="00E8660C">
              <w:rPr>
                <w:lang w:val="fr-FR"/>
              </w:rPr>
              <w:t>de futurs bureaux régionaux et bureaux de zone</w:t>
            </w:r>
          </w:p>
        </w:tc>
      </w:tr>
      <w:tr w:rsidR="00A721F4" w:rsidRPr="00E8660C" w14:paraId="23A30231" w14:textId="77777777" w:rsidTr="00A721F4">
        <w:trPr>
          <w:cantSplit/>
        </w:trPr>
        <w:tc>
          <w:tcPr>
            <w:tcW w:w="9888" w:type="dxa"/>
            <w:gridSpan w:val="4"/>
            <w:tcBorders>
              <w:bottom w:val="single" w:sz="4" w:space="0" w:color="auto"/>
            </w:tcBorders>
          </w:tcPr>
          <w:p w14:paraId="726EE70E" w14:textId="77777777" w:rsidR="00A721F4" w:rsidRPr="00E8660C" w:rsidRDefault="00A721F4" w:rsidP="0030353C">
            <w:pPr>
              <w:rPr>
                <w:lang w:val="fr-FR"/>
              </w:rPr>
            </w:pPr>
          </w:p>
        </w:tc>
      </w:tr>
      <w:tr w:rsidR="00A721F4" w:rsidRPr="00E8660C"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E8660C" w:rsidRDefault="001011EB" w:rsidP="00EA0C51">
            <w:pPr>
              <w:spacing w:after="120"/>
              <w:rPr>
                <w:b/>
                <w:bCs/>
                <w:szCs w:val="24"/>
                <w:lang w:val="fr-FR"/>
              </w:rPr>
            </w:pPr>
            <w:r w:rsidRPr="00E8660C">
              <w:rPr>
                <w:b/>
                <w:bCs/>
                <w:szCs w:val="24"/>
                <w:lang w:val="fr-FR"/>
              </w:rPr>
              <w:t>Résumé</w:t>
            </w:r>
            <w:r w:rsidR="00A721F4" w:rsidRPr="00E8660C">
              <w:rPr>
                <w:b/>
                <w:bCs/>
                <w:szCs w:val="24"/>
                <w:lang w:val="fr-FR"/>
              </w:rPr>
              <w:t>:</w:t>
            </w:r>
          </w:p>
          <w:p w14:paraId="4082D7E8" w14:textId="3380A1A7" w:rsidR="00A721F4" w:rsidRPr="00E8660C" w:rsidRDefault="00D24185" w:rsidP="00EA0C51">
            <w:pPr>
              <w:spacing w:after="120"/>
              <w:rPr>
                <w:szCs w:val="24"/>
                <w:lang w:val="fr-FR"/>
              </w:rPr>
            </w:pPr>
            <w:r w:rsidRPr="00E8660C">
              <w:rPr>
                <w:lang w:val="fr-FR"/>
              </w:rPr>
              <w:t xml:space="preserve">Le présent document rend compte des mesures prises par le </w:t>
            </w:r>
            <w:r w:rsidR="001830C2" w:rsidRPr="00E8660C">
              <w:rPr>
                <w:lang w:val="fr-FR"/>
              </w:rPr>
              <w:t>s</w:t>
            </w:r>
            <w:r w:rsidRPr="00E8660C">
              <w:rPr>
                <w:lang w:val="fr-FR"/>
              </w:rPr>
              <w:t>ecrétariat en vue de renforcer la présence régionale de l'UIT, conformément au Plan stratégique de l'UIT et au Plan d'action de Kigali. On y trouvera un résumé des discussions qui ont eu lieu sur les critères applicables à la création de futurs bureaux régionaux et bureaux de zone, dans le but d'aider le GCDT à formuler son avis sur la question.</w:t>
            </w:r>
          </w:p>
          <w:p w14:paraId="76A1C541" w14:textId="23209CDB" w:rsidR="00A721F4" w:rsidRPr="00E8660C" w:rsidRDefault="001011EB" w:rsidP="00EA0C51">
            <w:pPr>
              <w:spacing w:after="120"/>
              <w:rPr>
                <w:b/>
                <w:bCs/>
                <w:szCs w:val="24"/>
                <w:lang w:val="fr-FR"/>
              </w:rPr>
            </w:pPr>
            <w:r w:rsidRPr="00E8660C">
              <w:rPr>
                <w:b/>
                <w:bCs/>
                <w:lang w:val="fr-FR"/>
              </w:rPr>
              <w:t>Suite à donner</w:t>
            </w:r>
            <w:r w:rsidR="00A721F4" w:rsidRPr="00E8660C">
              <w:rPr>
                <w:b/>
                <w:bCs/>
                <w:lang w:val="fr-FR"/>
              </w:rPr>
              <w:t>:</w:t>
            </w:r>
          </w:p>
          <w:p w14:paraId="371956FC" w14:textId="45C0BC04" w:rsidR="00A721F4" w:rsidRPr="00E8660C" w:rsidRDefault="00D24185" w:rsidP="00EA0C51">
            <w:pPr>
              <w:spacing w:after="120"/>
              <w:rPr>
                <w:szCs w:val="24"/>
                <w:lang w:val="fr-FR"/>
              </w:rPr>
            </w:pPr>
            <w:r w:rsidRPr="00E8660C">
              <w:rPr>
                <w:lang w:val="fr-FR"/>
              </w:rPr>
              <w:t>Le GCDT est invité à prendre note du présent document et à fournir les indications qu'il jugera utiles</w:t>
            </w:r>
            <w:r w:rsidR="001C48D3" w:rsidRPr="00E8660C">
              <w:rPr>
                <w:lang w:val="fr-FR"/>
              </w:rPr>
              <w:t>.</w:t>
            </w:r>
          </w:p>
          <w:p w14:paraId="622ACB80" w14:textId="39EE560D" w:rsidR="00A721F4" w:rsidRPr="00E8660C" w:rsidRDefault="00A721F4" w:rsidP="00EA0C51">
            <w:pPr>
              <w:spacing w:after="120"/>
              <w:rPr>
                <w:b/>
                <w:bCs/>
                <w:szCs w:val="24"/>
                <w:lang w:val="fr-FR"/>
              </w:rPr>
            </w:pPr>
            <w:r w:rsidRPr="00E8660C">
              <w:rPr>
                <w:b/>
                <w:bCs/>
                <w:szCs w:val="24"/>
                <w:lang w:val="fr-FR"/>
              </w:rPr>
              <w:t>R</w:t>
            </w:r>
            <w:r w:rsidR="001011EB" w:rsidRPr="00E8660C">
              <w:rPr>
                <w:b/>
                <w:bCs/>
                <w:szCs w:val="24"/>
                <w:lang w:val="fr-FR"/>
              </w:rPr>
              <w:t>é</w:t>
            </w:r>
            <w:r w:rsidRPr="00E8660C">
              <w:rPr>
                <w:b/>
                <w:bCs/>
                <w:szCs w:val="24"/>
                <w:lang w:val="fr-FR"/>
              </w:rPr>
              <w:t>f</w:t>
            </w:r>
            <w:r w:rsidR="001011EB" w:rsidRPr="00E8660C">
              <w:rPr>
                <w:b/>
                <w:bCs/>
                <w:szCs w:val="24"/>
                <w:lang w:val="fr-FR"/>
              </w:rPr>
              <w:t>é</w:t>
            </w:r>
            <w:r w:rsidRPr="00E8660C">
              <w:rPr>
                <w:b/>
                <w:bCs/>
                <w:szCs w:val="24"/>
                <w:lang w:val="fr-FR"/>
              </w:rPr>
              <w:t>rences:</w:t>
            </w:r>
          </w:p>
          <w:p w14:paraId="4A764C4B" w14:textId="1452BBF7" w:rsidR="00D24185" w:rsidRPr="00E8660C" w:rsidRDefault="00D24185" w:rsidP="001830C2">
            <w:pPr>
              <w:pStyle w:val="enumlev1"/>
              <w:rPr>
                <w:lang w:val="fr-FR"/>
              </w:rPr>
            </w:pPr>
            <w:r w:rsidRPr="00E8660C">
              <w:rPr>
                <w:lang w:val="fr-FR"/>
              </w:rPr>
              <w:t>–</w:t>
            </w:r>
            <w:r w:rsidRPr="00E8660C">
              <w:rPr>
                <w:lang w:val="fr-FR"/>
              </w:rPr>
              <w:tab/>
            </w:r>
            <w:hyperlink r:id="rId13" w:history="1">
              <w:r w:rsidRPr="00E8660C">
                <w:rPr>
                  <w:rStyle w:val="Hyperlink"/>
                  <w:lang w:val="fr-FR"/>
                </w:rPr>
                <w:t>Résolution 25 (Rév. Bu</w:t>
              </w:r>
              <w:r w:rsidRPr="00E8660C">
                <w:rPr>
                  <w:rStyle w:val="Hyperlink"/>
                  <w:lang w:val="fr-FR"/>
                </w:rPr>
                <w:t>c</w:t>
              </w:r>
              <w:r w:rsidRPr="00E8660C">
                <w:rPr>
                  <w:rStyle w:val="Hyperlink"/>
                  <w:lang w:val="fr-FR"/>
                </w:rPr>
                <w:t>arest, 2022)</w:t>
              </w:r>
            </w:hyperlink>
            <w:r w:rsidRPr="00E8660C">
              <w:rPr>
                <w:lang w:val="fr-FR"/>
              </w:rPr>
              <w:t xml:space="preserve"> de la Conférence de plénipotentiaires</w:t>
            </w:r>
          </w:p>
          <w:p w14:paraId="3759B14A" w14:textId="6F993EC7" w:rsidR="00D24185" w:rsidRPr="00E8660C" w:rsidRDefault="00D24185" w:rsidP="001830C2">
            <w:pPr>
              <w:pStyle w:val="enumlev1"/>
              <w:rPr>
                <w:lang w:val="fr-FR"/>
              </w:rPr>
            </w:pPr>
            <w:r w:rsidRPr="00E8660C">
              <w:rPr>
                <w:lang w:val="fr-FR"/>
              </w:rPr>
              <w:t>–</w:t>
            </w:r>
            <w:r w:rsidRPr="00E8660C">
              <w:rPr>
                <w:lang w:val="fr-FR"/>
              </w:rPr>
              <w:tab/>
              <w:t xml:space="preserve">Documents </w:t>
            </w:r>
            <w:hyperlink r:id="rId14" w:history="1">
              <w:r w:rsidRPr="00E8660C">
                <w:rPr>
                  <w:rStyle w:val="Hyperlink"/>
                  <w:lang w:val="fr-FR"/>
                </w:rPr>
                <w:t>C24</w:t>
              </w:r>
              <w:r w:rsidRPr="00E8660C">
                <w:rPr>
                  <w:rStyle w:val="Hyperlink"/>
                  <w:lang w:val="fr-FR"/>
                </w:rPr>
                <w:t>/</w:t>
              </w:r>
              <w:r w:rsidRPr="00E8660C">
                <w:rPr>
                  <w:rStyle w:val="Hyperlink"/>
                  <w:lang w:val="fr-FR"/>
                </w:rPr>
                <w:t>79</w:t>
              </w:r>
            </w:hyperlink>
            <w:r w:rsidRPr="00E8660C">
              <w:rPr>
                <w:lang w:val="fr-FR"/>
              </w:rPr>
              <w:t xml:space="preserve">, </w:t>
            </w:r>
            <w:hyperlink r:id="rId15" w:history="1">
              <w:r w:rsidRPr="00E8660C">
                <w:rPr>
                  <w:rStyle w:val="Hyperlink"/>
                  <w:lang w:val="fr-FR"/>
                </w:rPr>
                <w:t>C2</w:t>
              </w:r>
              <w:r w:rsidRPr="00E8660C">
                <w:rPr>
                  <w:rStyle w:val="Hyperlink"/>
                  <w:lang w:val="fr-FR"/>
                </w:rPr>
                <w:t>4</w:t>
              </w:r>
              <w:r w:rsidRPr="00E8660C">
                <w:rPr>
                  <w:rStyle w:val="Hyperlink"/>
                  <w:lang w:val="fr-FR"/>
                </w:rPr>
                <w:t>/98</w:t>
              </w:r>
            </w:hyperlink>
            <w:r w:rsidRPr="00E8660C">
              <w:rPr>
                <w:lang w:val="fr-FR"/>
              </w:rPr>
              <w:t xml:space="preserve"> et </w:t>
            </w:r>
            <w:hyperlink r:id="rId16" w:history="1">
              <w:r w:rsidRPr="00E8660C">
                <w:rPr>
                  <w:rStyle w:val="Hyperlink"/>
                  <w:lang w:val="fr-FR"/>
                </w:rPr>
                <w:t>C2</w:t>
              </w:r>
              <w:r w:rsidRPr="00E8660C">
                <w:rPr>
                  <w:rStyle w:val="Hyperlink"/>
                  <w:lang w:val="fr-FR"/>
                </w:rPr>
                <w:t>4</w:t>
              </w:r>
              <w:r w:rsidRPr="00E8660C">
                <w:rPr>
                  <w:rStyle w:val="Hyperlink"/>
                  <w:lang w:val="fr-FR"/>
                </w:rPr>
                <w:t>/25</w:t>
              </w:r>
            </w:hyperlink>
            <w:r w:rsidRPr="00E8660C">
              <w:rPr>
                <w:lang w:val="fr-FR"/>
              </w:rPr>
              <w:t xml:space="preserve"> du Conseil</w:t>
            </w:r>
          </w:p>
          <w:p w14:paraId="06F327C6" w14:textId="6B2B1A3E" w:rsidR="00D24185" w:rsidRPr="00E8660C" w:rsidRDefault="00D24185" w:rsidP="001830C2">
            <w:pPr>
              <w:pStyle w:val="enumlev1"/>
              <w:rPr>
                <w:lang w:val="fr-FR"/>
              </w:rPr>
            </w:pPr>
            <w:r w:rsidRPr="00E8660C">
              <w:rPr>
                <w:lang w:val="fr-FR"/>
              </w:rPr>
              <w:t>–</w:t>
            </w:r>
            <w:r w:rsidRPr="00E8660C">
              <w:rPr>
                <w:lang w:val="fr-FR"/>
              </w:rPr>
              <w:tab/>
              <w:t xml:space="preserve">Contributions </w:t>
            </w:r>
            <w:hyperlink r:id="rId17" w:history="1">
              <w:r w:rsidRPr="00E8660C">
                <w:rPr>
                  <w:rStyle w:val="Hyperlink"/>
                  <w:lang w:val="fr-FR"/>
                </w:rPr>
                <w:t>CWG-FHR-</w:t>
              </w:r>
              <w:r w:rsidRPr="00E8660C">
                <w:rPr>
                  <w:rStyle w:val="Hyperlink"/>
                  <w:lang w:val="fr-FR"/>
                </w:rPr>
                <w:t>2</w:t>
              </w:r>
              <w:r w:rsidRPr="00E8660C">
                <w:rPr>
                  <w:rStyle w:val="Hyperlink"/>
                  <w:lang w:val="fr-FR"/>
                </w:rPr>
                <w:t>0/2</w:t>
              </w:r>
            </w:hyperlink>
            <w:r w:rsidRPr="00E8660C">
              <w:rPr>
                <w:lang w:val="fr-FR"/>
              </w:rPr>
              <w:t xml:space="preserve"> et </w:t>
            </w:r>
            <w:hyperlink r:id="rId18" w:history="1">
              <w:r w:rsidRPr="00E8660C">
                <w:rPr>
                  <w:rStyle w:val="Hyperlink"/>
                  <w:lang w:val="fr-FR"/>
                </w:rPr>
                <w:t>CW</w:t>
              </w:r>
              <w:r w:rsidRPr="00E8660C">
                <w:rPr>
                  <w:rStyle w:val="Hyperlink"/>
                  <w:lang w:val="fr-FR"/>
                </w:rPr>
                <w:t>G</w:t>
              </w:r>
              <w:r w:rsidRPr="00E8660C">
                <w:rPr>
                  <w:rStyle w:val="Hyperlink"/>
                  <w:lang w:val="fr-FR"/>
                </w:rPr>
                <w:t>-FHR-20/DT/1</w:t>
              </w:r>
            </w:hyperlink>
          </w:p>
          <w:p w14:paraId="394979C6" w14:textId="3AE19EAE" w:rsidR="00D24185" w:rsidRPr="00E8660C" w:rsidRDefault="00D24185" w:rsidP="001830C2">
            <w:pPr>
              <w:pStyle w:val="enumlev1"/>
              <w:rPr>
                <w:lang w:val="fr-FR"/>
              </w:rPr>
            </w:pPr>
            <w:r w:rsidRPr="00E8660C">
              <w:rPr>
                <w:lang w:val="fr-FR"/>
              </w:rPr>
              <w:t>–</w:t>
            </w:r>
            <w:r w:rsidRPr="00E8660C">
              <w:rPr>
                <w:lang w:val="fr-FR"/>
              </w:rPr>
              <w:tab/>
              <w:t xml:space="preserve">Contributions </w:t>
            </w:r>
            <w:hyperlink r:id="rId19" w:history="1">
              <w:r w:rsidRPr="00E8660C">
                <w:rPr>
                  <w:rStyle w:val="Hyperlink"/>
                  <w:lang w:val="fr-FR"/>
                </w:rPr>
                <w:t>CWG-FHR-</w:t>
              </w:r>
              <w:r w:rsidRPr="00E8660C">
                <w:rPr>
                  <w:rStyle w:val="Hyperlink"/>
                  <w:lang w:val="fr-FR"/>
                </w:rPr>
                <w:t>1</w:t>
              </w:r>
              <w:r w:rsidRPr="00E8660C">
                <w:rPr>
                  <w:rStyle w:val="Hyperlink"/>
                  <w:lang w:val="fr-FR"/>
                </w:rPr>
                <w:t>6/10</w:t>
              </w:r>
            </w:hyperlink>
            <w:r w:rsidRPr="00E8660C">
              <w:rPr>
                <w:lang w:val="fr-FR"/>
              </w:rPr>
              <w:t xml:space="preserve"> et </w:t>
            </w:r>
            <w:hyperlink r:id="rId20" w:history="1">
              <w:r w:rsidRPr="00E8660C">
                <w:rPr>
                  <w:rStyle w:val="Hyperlink"/>
                  <w:lang w:val="fr-FR"/>
                </w:rPr>
                <w:t>CWG-</w:t>
              </w:r>
              <w:r w:rsidRPr="00E8660C">
                <w:rPr>
                  <w:rStyle w:val="Hyperlink"/>
                  <w:lang w:val="fr-FR"/>
                </w:rPr>
                <w:t>F</w:t>
              </w:r>
              <w:r w:rsidRPr="00E8660C">
                <w:rPr>
                  <w:rStyle w:val="Hyperlink"/>
                  <w:lang w:val="fr-FR"/>
                </w:rPr>
                <w:t>HR-16/24(Rév.1)</w:t>
              </w:r>
            </w:hyperlink>
          </w:p>
          <w:p w14:paraId="1ECDD20E" w14:textId="46CB3B8C" w:rsidR="00A721F4" w:rsidRPr="00E8660C" w:rsidRDefault="00D24185" w:rsidP="001830C2">
            <w:pPr>
              <w:pStyle w:val="enumlev1"/>
              <w:spacing w:after="120"/>
              <w:rPr>
                <w:szCs w:val="24"/>
                <w:lang w:val="fr-FR"/>
              </w:rPr>
            </w:pPr>
            <w:r w:rsidRPr="00E8660C">
              <w:rPr>
                <w:lang w:val="fr-FR"/>
              </w:rPr>
              <w:t>–</w:t>
            </w:r>
            <w:r w:rsidRPr="00E8660C">
              <w:rPr>
                <w:lang w:val="fr-FR"/>
              </w:rPr>
              <w:tab/>
              <w:t xml:space="preserve">Documents </w:t>
            </w:r>
            <w:hyperlink r:id="rId21" w:history="1">
              <w:r w:rsidRPr="00E8660C">
                <w:rPr>
                  <w:rStyle w:val="Hyperlink"/>
                  <w:lang w:val="fr-FR"/>
                </w:rPr>
                <w:t>TDAG-24/7(R</w:t>
              </w:r>
              <w:r w:rsidRPr="00E8660C">
                <w:rPr>
                  <w:rStyle w:val="Hyperlink"/>
                  <w:lang w:val="fr-FR"/>
                </w:rPr>
                <w:t>é</w:t>
              </w:r>
              <w:r w:rsidRPr="00E8660C">
                <w:rPr>
                  <w:rStyle w:val="Hyperlink"/>
                  <w:lang w:val="fr-FR"/>
                </w:rPr>
                <w:t>v.1)</w:t>
              </w:r>
            </w:hyperlink>
            <w:r w:rsidRPr="00E8660C">
              <w:rPr>
                <w:lang w:val="fr-FR"/>
              </w:rPr>
              <w:t xml:space="preserve">, </w:t>
            </w:r>
            <w:hyperlink r:id="rId22" w:history="1">
              <w:r w:rsidRPr="00E8660C">
                <w:rPr>
                  <w:rStyle w:val="Hyperlink"/>
                  <w:lang w:val="fr-FR"/>
                </w:rPr>
                <w:t>TDAG-</w:t>
              </w:r>
              <w:r w:rsidRPr="00E8660C">
                <w:rPr>
                  <w:rStyle w:val="Hyperlink"/>
                  <w:lang w:val="fr-FR"/>
                </w:rPr>
                <w:t>2</w:t>
              </w:r>
              <w:r w:rsidRPr="00E8660C">
                <w:rPr>
                  <w:rStyle w:val="Hyperlink"/>
                  <w:lang w:val="fr-FR"/>
                </w:rPr>
                <w:t>4/12</w:t>
              </w:r>
            </w:hyperlink>
          </w:p>
        </w:tc>
      </w:tr>
    </w:tbl>
    <w:p w14:paraId="5B29B2A3" w14:textId="77777777" w:rsidR="00923CF1" w:rsidRPr="00E8660C" w:rsidRDefault="00923CF1">
      <w:pPr>
        <w:tabs>
          <w:tab w:val="clear" w:pos="794"/>
          <w:tab w:val="clear" w:pos="1191"/>
          <w:tab w:val="clear" w:pos="1588"/>
          <w:tab w:val="clear" w:pos="1985"/>
        </w:tabs>
        <w:overflowPunct/>
        <w:autoSpaceDE/>
        <w:autoSpaceDN/>
        <w:adjustRightInd/>
        <w:spacing w:before="0"/>
        <w:textAlignment w:val="auto"/>
        <w:rPr>
          <w:lang w:val="fr-FR"/>
        </w:rPr>
      </w:pPr>
      <w:r w:rsidRPr="00E8660C">
        <w:rPr>
          <w:lang w:val="fr-FR"/>
        </w:rPr>
        <w:br w:type="page"/>
      </w:r>
    </w:p>
    <w:p w14:paraId="78C7AFF7" w14:textId="1A473C9E" w:rsidR="00140E5E" w:rsidRPr="00E8660C" w:rsidRDefault="00140E5E" w:rsidP="00140E5E">
      <w:pPr>
        <w:rPr>
          <w:lang w:val="fr-FR"/>
        </w:rPr>
      </w:pPr>
      <w:r w:rsidRPr="00E8660C">
        <w:rPr>
          <w:lang w:val="fr-FR"/>
        </w:rPr>
        <w:lastRenderedPageBreak/>
        <w:t xml:space="preserve">L'Union internationale des télécommunications (UIT) travaille activement au renforcement de sa présence régionale, dans le but d'apporter un meilleur appui aux États Membres au moyen de projets et d'autres activités inscrites aux plans opérationnels – et ce de manière rapide, rationnelle et efficace. Le </w:t>
      </w:r>
      <w:hyperlink r:id="rId23" w:history="1">
        <w:r w:rsidRPr="00E8660C">
          <w:rPr>
            <w:rStyle w:val="Hyperlink"/>
            <w:lang w:val="fr-FR"/>
          </w:rPr>
          <w:t>tableau de bord sur la</w:t>
        </w:r>
        <w:r w:rsidRPr="00E8660C">
          <w:rPr>
            <w:rStyle w:val="Hyperlink"/>
            <w:lang w:val="fr-FR"/>
          </w:rPr>
          <w:t xml:space="preserve"> </w:t>
        </w:r>
        <w:r w:rsidRPr="00E8660C">
          <w:rPr>
            <w:rStyle w:val="Hyperlink"/>
            <w:lang w:val="fr-FR"/>
          </w:rPr>
          <w:t>présence régionale</w:t>
        </w:r>
      </w:hyperlink>
      <w:r w:rsidRPr="00E8660C">
        <w:rPr>
          <w:lang w:val="fr-FR"/>
        </w:rPr>
        <w:t xml:space="preserve">, qui permet de suivre la mise en œuvre des priorités particulières visant à renforcer la présence régionale, est actualisé à intervalles réguliers. Il contient des renseignements sur la mise en œuvre des recommandations de PwC, des recommandations issues de l'audit interne et des recommandations formulées par le CCIG, ainsi que des informations sur les actions entreprises par le </w:t>
      </w:r>
      <w:r w:rsidR="001830C2" w:rsidRPr="00E8660C">
        <w:rPr>
          <w:lang w:val="fr-FR"/>
        </w:rPr>
        <w:t>s</w:t>
      </w:r>
      <w:r w:rsidRPr="00E8660C">
        <w:rPr>
          <w:lang w:val="fr-FR"/>
        </w:rPr>
        <w:t>ecrétariat pour renforcer la présence régionale.</w:t>
      </w:r>
    </w:p>
    <w:p w14:paraId="69B70EE0" w14:textId="149CC4F0" w:rsidR="00EC6FED" w:rsidRPr="00E8660C" w:rsidRDefault="00140E5E" w:rsidP="00140E5E">
      <w:pPr>
        <w:rPr>
          <w:lang w:val="fr-FR"/>
        </w:rPr>
      </w:pPr>
      <w:r w:rsidRPr="00E8660C">
        <w:rPr>
          <w:lang w:val="fr-FR"/>
        </w:rPr>
        <w:t xml:space="preserve">Les interventions bien planifiées et dûment mises en œuvre ont attiré des financements extrabudgétaires de la part des bailleurs de fonds pour la réalisation des projets, notamment pour les initiatives régionales. Les bureaux régionaux continuent de jouer un rôle essentiel dans ce contexte, en leur qualité d'interface de première ligne entre l'UIT et les parties prenantes et administrations locales. On trouvera un rapport détaillé sur la mise en œuvre des initiatives régionales dans le </w:t>
      </w:r>
      <w:hyperlink r:id="rId24" w:history="1">
        <w:r w:rsidRPr="00E8660C">
          <w:rPr>
            <w:rStyle w:val="Hyperlink"/>
            <w:lang w:val="fr-FR"/>
          </w:rPr>
          <w:t>Document TD</w:t>
        </w:r>
        <w:r w:rsidRPr="00E8660C">
          <w:rPr>
            <w:rStyle w:val="Hyperlink"/>
            <w:lang w:val="fr-FR"/>
          </w:rPr>
          <w:t>A</w:t>
        </w:r>
        <w:r w:rsidRPr="00E8660C">
          <w:rPr>
            <w:rStyle w:val="Hyperlink"/>
            <w:lang w:val="fr-FR"/>
          </w:rPr>
          <w:t>G-25/3</w:t>
        </w:r>
      </w:hyperlink>
      <w:r w:rsidRPr="00E8660C">
        <w:rPr>
          <w:lang w:val="fr-FR"/>
        </w:rPr>
        <w:t xml:space="preserve">, notamment dans le tableau de mise en correspondance des projets et des initiatives régionales figurant en annexe du document. Les exemples ci-dessous illustrent les effets positifs d'un certain nombre de mesures prises entre 2023 et 2025 afin de renforcer la présence régionale (voir les </w:t>
      </w:r>
      <w:hyperlink r:id="rId25" w:history="1">
        <w:r w:rsidR="00DA5197" w:rsidRPr="00E8660C">
          <w:rPr>
            <w:rStyle w:val="Hyperlink"/>
            <w:lang w:val="fr-FR"/>
          </w:rPr>
          <w:t>Documents TDAG-25/2</w:t>
        </w:r>
      </w:hyperlink>
      <w:r w:rsidRPr="00E8660C">
        <w:rPr>
          <w:lang w:val="fr-FR"/>
        </w:rPr>
        <w:t xml:space="preserve"> et </w:t>
      </w:r>
      <w:hyperlink r:id="rId26" w:history="1">
        <w:r w:rsidRPr="00E8660C">
          <w:rPr>
            <w:rStyle w:val="Hyperlink"/>
            <w:lang w:val="fr-FR"/>
          </w:rPr>
          <w:t>TDAG-</w:t>
        </w:r>
        <w:r w:rsidRPr="00E8660C">
          <w:rPr>
            <w:rStyle w:val="Hyperlink"/>
            <w:lang w:val="fr-FR"/>
          </w:rPr>
          <w:t>2</w:t>
        </w:r>
        <w:r w:rsidRPr="00E8660C">
          <w:rPr>
            <w:rStyle w:val="Hyperlink"/>
            <w:lang w:val="fr-FR"/>
          </w:rPr>
          <w:t>5/3</w:t>
        </w:r>
      </w:hyperlink>
      <w:r w:rsidRPr="00E8660C">
        <w:rPr>
          <w:lang w:val="fr-FR"/>
        </w:rPr>
        <w:t xml:space="preserve"> pour des renseignements détaillés):</w:t>
      </w:r>
    </w:p>
    <w:p w14:paraId="6EB8CFCE" w14:textId="77777777" w:rsidR="00140E5E" w:rsidRPr="00E8660C" w:rsidRDefault="00140E5E" w:rsidP="00140E5E">
      <w:pPr>
        <w:pStyle w:val="Heading1"/>
        <w:rPr>
          <w:lang w:val="fr-FR"/>
        </w:rPr>
      </w:pPr>
      <w:r w:rsidRPr="00E8660C">
        <w:rPr>
          <w:lang w:val="fr-FR"/>
        </w:rPr>
        <w:t>1</w:t>
      </w:r>
      <w:r w:rsidRPr="00E8660C">
        <w:rPr>
          <w:lang w:val="fr-FR"/>
        </w:rPr>
        <w:tab/>
        <w:t>Participation des membres et mise en œuvre des projets et des plans opérationnels</w:t>
      </w:r>
    </w:p>
    <w:p w14:paraId="2B59D1B2" w14:textId="43915B0B" w:rsidR="00140E5E" w:rsidRPr="00E8660C" w:rsidRDefault="00140E5E" w:rsidP="00140E5E">
      <w:pPr>
        <w:rPr>
          <w:lang w:val="fr-FR"/>
        </w:rPr>
      </w:pPr>
      <w:r w:rsidRPr="00E8660C">
        <w:rPr>
          <w:lang w:val="fr-FR"/>
        </w:rPr>
        <w:t>L'efficacité des activités régionales menées par l'UIT contribue de manière significative à la mission globale de l'organisation qui est de connecter le monde et de favoriser une transformation numérique durable. Ces actions s'inscrivent dans un cadre stratégique conçu pour garantir que l'Union demeure en mesure de répondre à l'évolution rapide des besoins des économies et sociétés numériques dans le monde.</w:t>
      </w:r>
    </w:p>
    <w:p w14:paraId="100B6EBE" w14:textId="511A7AC8" w:rsidR="00140E5E" w:rsidRPr="00E8660C" w:rsidRDefault="00140E5E" w:rsidP="002105AF">
      <w:pPr>
        <w:rPr>
          <w:lang w:val="fr-FR"/>
        </w:rPr>
      </w:pPr>
      <w:r w:rsidRPr="00E8660C">
        <w:rPr>
          <w:lang w:val="fr-FR"/>
        </w:rPr>
        <w:t>1.1</w:t>
      </w:r>
      <w:r w:rsidRPr="00E8660C">
        <w:rPr>
          <w:lang w:val="fr-FR"/>
        </w:rPr>
        <w:tab/>
        <w:t xml:space="preserve">Le </w:t>
      </w:r>
      <w:r w:rsidRPr="00E8660C">
        <w:rPr>
          <w:b/>
          <w:bCs/>
          <w:lang w:val="fr-FR"/>
        </w:rPr>
        <w:t>plan opérationnel de l'UIT-D</w:t>
      </w:r>
      <w:r w:rsidRPr="00E8660C">
        <w:rPr>
          <w:rStyle w:val="FootnoteReference"/>
          <w:lang w:val="fr-FR"/>
        </w:rPr>
        <w:footnoteReference w:id="1"/>
      </w:r>
      <w:r w:rsidRPr="00E8660C">
        <w:rPr>
          <w:lang w:val="fr-FR"/>
        </w:rPr>
        <w:t xml:space="preserve"> est aligné sur la structure du Plan stratégique de l'Union</w:t>
      </w:r>
      <w:r w:rsidR="00DA5197" w:rsidRPr="00E8660C">
        <w:rPr>
          <w:lang w:val="fr-FR"/>
        </w:rPr>
        <w:t> </w:t>
      </w:r>
      <w:r w:rsidRPr="00E8660C">
        <w:rPr>
          <w:lang w:val="fr-FR"/>
        </w:rPr>
        <w:t>pour la période 2024-2027. La structure de ce plan est conforme au Plan d'action de Kigali dans lequel sont définis, d'une part, les priorités et les catalyseurs de l'UIT-D ainsi que les réalisations, produits et services correspondants, et, d'autre part, les indicateurs de performance permettant</w:t>
      </w:r>
      <w:r w:rsidR="00DA5197" w:rsidRPr="00E8660C">
        <w:rPr>
          <w:lang w:val="fr-FR"/>
        </w:rPr>
        <w:t> </w:t>
      </w:r>
      <w:r w:rsidRPr="00E8660C">
        <w:rPr>
          <w:lang w:val="fr-FR"/>
        </w:rPr>
        <w:t>de mesurer les niveaux de réalisation découlant des activités du Secteur. Au total, cent</w:t>
      </w:r>
      <w:r w:rsidR="00DA5197" w:rsidRPr="00E8660C">
        <w:rPr>
          <w:lang w:val="fr-FR"/>
        </w:rPr>
        <w:t> </w:t>
      </w:r>
      <w:r w:rsidRPr="00E8660C">
        <w:rPr>
          <w:lang w:val="fr-FR"/>
        </w:rPr>
        <w:t>vingt</w:t>
      </w:r>
      <w:r w:rsidR="00DA5197" w:rsidRPr="00E8660C">
        <w:rPr>
          <w:lang w:val="fr-FR"/>
        </w:rPr>
        <w:noBreakHyphen/>
      </w:r>
      <w:r w:rsidRPr="00E8660C">
        <w:rPr>
          <w:lang w:val="fr-FR"/>
        </w:rPr>
        <w:t>deux</w:t>
      </w:r>
      <w:r w:rsidR="00DA5197" w:rsidRPr="00E8660C">
        <w:rPr>
          <w:lang w:val="fr-FR"/>
        </w:rPr>
        <w:t> </w:t>
      </w:r>
      <w:r w:rsidRPr="00E8660C">
        <w:rPr>
          <w:lang w:val="fr-FR"/>
        </w:rPr>
        <w:t>(122) activités sont actuellement déployées à l'échelle mondiale et au niveau des régions. Pour renforcer la mise en œuvre, d'autres synergies sont recherchées en ce qui concerne les produits régionaux, ainsi qu'entre les initiatives régionales et les initiatives mondiales, en collaboration avec les autres Bureaux et le Secrétariat général de l'UIT.</w:t>
      </w:r>
    </w:p>
    <w:p w14:paraId="21A41978" w14:textId="4306735A" w:rsidR="00140E5E" w:rsidRPr="00E8660C" w:rsidRDefault="00360D26" w:rsidP="002105AF">
      <w:pPr>
        <w:rPr>
          <w:lang w:val="fr-FR"/>
        </w:rPr>
      </w:pPr>
      <w:r w:rsidRPr="00E8660C">
        <w:rPr>
          <w:lang w:val="fr-FR"/>
        </w:rPr>
        <w:t>1.2</w:t>
      </w:r>
      <w:r w:rsidR="00140E5E" w:rsidRPr="00E8660C">
        <w:rPr>
          <w:lang w:val="fr-FR"/>
        </w:rPr>
        <w:tab/>
      </w:r>
      <w:r w:rsidR="00140E5E" w:rsidRPr="00E8660C">
        <w:rPr>
          <w:b/>
          <w:bCs/>
          <w:lang w:val="fr-FR"/>
        </w:rPr>
        <w:t>Planification coordonnée des plans opérationnels et des projets</w:t>
      </w:r>
      <w:r w:rsidR="00140E5E" w:rsidRPr="00E8660C">
        <w:rPr>
          <w:lang w:val="fr-FR"/>
        </w:rPr>
        <w:t>: les bureaux régionaux et les bureaux de zone de l'UIT travaillent en étroite collaboration avec le siège à la définition, à la mise en œuvre et au suivi des plans opérationnels, ainsi qu'à la conception, à la mise en œuvre et au suivi des projets d'assistance technique dans leurs régions respectives. Cela concerne la fourniture de produits et services de l'UIT-D aux</w:t>
      </w:r>
      <w:r w:rsidR="002105AF" w:rsidRPr="00E8660C">
        <w:rPr>
          <w:lang w:val="fr-FR"/>
        </w:rPr>
        <w:t xml:space="preserve"> </w:t>
      </w:r>
      <w:r w:rsidR="00140E5E" w:rsidRPr="00E8660C">
        <w:rPr>
          <w:lang w:val="fr-FR"/>
        </w:rPr>
        <w:t>États</w:t>
      </w:r>
      <w:r w:rsidR="002105AF" w:rsidRPr="00E8660C">
        <w:rPr>
          <w:lang w:val="fr-FR"/>
        </w:rPr>
        <w:t xml:space="preserve"> </w:t>
      </w:r>
      <w:r w:rsidR="00140E5E" w:rsidRPr="00E8660C">
        <w:rPr>
          <w:lang w:val="fr-FR"/>
        </w:rPr>
        <w:t xml:space="preserve">Membres et la prise en compte des besoins particuliers des pays, conformément aux </w:t>
      </w:r>
      <w:hyperlink r:id="rId27" w:history="1">
        <w:r w:rsidR="00140E5E" w:rsidRPr="00E8660C">
          <w:rPr>
            <w:rStyle w:val="Hyperlink"/>
            <w:lang w:val="fr-FR"/>
          </w:rPr>
          <w:t>priorités et catalyseurs de l'</w:t>
        </w:r>
        <w:r w:rsidR="00140E5E" w:rsidRPr="00E8660C">
          <w:rPr>
            <w:rStyle w:val="Hyperlink"/>
            <w:lang w:val="fr-FR"/>
          </w:rPr>
          <w:t>U</w:t>
        </w:r>
        <w:r w:rsidR="00140E5E" w:rsidRPr="00E8660C">
          <w:rPr>
            <w:rStyle w:val="Hyperlink"/>
            <w:lang w:val="fr-FR"/>
          </w:rPr>
          <w:t>IT-D et aux initiatives régionales</w:t>
        </w:r>
      </w:hyperlink>
      <w:r w:rsidR="00140E5E" w:rsidRPr="00E8660C">
        <w:rPr>
          <w:lang w:val="fr-FR"/>
        </w:rPr>
        <w:t xml:space="preserve"> adoptés lors de la</w:t>
      </w:r>
      <w:r w:rsidR="002105AF" w:rsidRPr="00E8660C">
        <w:rPr>
          <w:lang w:val="fr-FR"/>
        </w:rPr>
        <w:t xml:space="preserve"> </w:t>
      </w:r>
      <w:hyperlink r:id="rId28" w:history="1">
        <w:r w:rsidR="00140E5E" w:rsidRPr="00E8660C">
          <w:rPr>
            <w:rStyle w:val="Hyperlink"/>
            <w:lang w:val="fr-FR"/>
          </w:rPr>
          <w:t>CMDT</w:t>
        </w:r>
        <w:r w:rsidR="00140E5E" w:rsidRPr="00E8660C">
          <w:rPr>
            <w:rStyle w:val="Hyperlink"/>
            <w:lang w:val="fr-FR"/>
          </w:rPr>
          <w:t>-</w:t>
        </w:r>
        <w:r w:rsidR="00140E5E" w:rsidRPr="00E8660C">
          <w:rPr>
            <w:rStyle w:val="Hyperlink"/>
            <w:lang w:val="fr-FR"/>
          </w:rPr>
          <w:t>22</w:t>
        </w:r>
      </w:hyperlink>
      <w:r w:rsidR="00140E5E" w:rsidRPr="00E8660C">
        <w:rPr>
          <w:lang w:val="fr-FR"/>
        </w:rPr>
        <w:t xml:space="preserve">. Cette approche intégrée permet au BDT de fournir de </w:t>
      </w:r>
      <w:r w:rsidR="00140E5E" w:rsidRPr="00E8660C">
        <w:rPr>
          <w:lang w:val="fr-FR"/>
        </w:rPr>
        <w:lastRenderedPageBreak/>
        <w:t>meilleurs services aux États Membres de l'UIT et d'exploiter les synergies entre les activités inscrites au budget ordinaire et les activités extrabudgétaires menées par le Bureau. Le Comité directeur des projets du BDT joue un rôle important en assurant que les projets sont élaborés conformément au Plan d'action de Kigali, et en veillant à la bonne gouvernance du portefeuille de projets gérés par le Bureau.</w:t>
      </w:r>
    </w:p>
    <w:p w14:paraId="7269C325" w14:textId="0A17FD58" w:rsidR="00140E5E" w:rsidRPr="00E8660C" w:rsidRDefault="00360D26" w:rsidP="002105AF">
      <w:pPr>
        <w:rPr>
          <w:lang w:val="fr-FR"/>
        </w:rPr>
      </w:pPr>
      <w:r w:rsidRPr="00E8660C">
        <w:rPr>
          <w:lang w:val="fr-FR"/>
        </w:rPr>
        <w:t>1.3</w:t>
      </w:r>
      <w:r w:rsidR="00140E5E" w:rsidRPr="00E8660C">
        <w:rPr>
          <w:lang w:val="fr-FR"/>
        </w:rPr>
        <w:tab/>
      </w:r>
      <w:r w:rsidR="00140E5E" w:rsidRPr="00E8660C">
        <w:rPr>
          <w:b/>
          <w:bCs/>
          <w:lang w:val="fr-FR"/>
        </w:rPr>
        <w:t>Conception et mise en œuvre des projets</w:t>
      </w:r>
      <w:r w:rsidR="00140E5E" w:rsidRPr="00E8660C">
        <w:rPr>
          <w:lang w:val="fr-FR"/>
        </w:rPr>
        <w:t>: après la CMDT-22, le BDT, en collaboration avec les partenaires concernés, a recensé, élaboré et mis en œuvre un large éventail de projets qui ont contribué à la réalisation des priorités qui avaient été définies lors de la CMDT-22. Ces projets contribuent également à la mise en œuvre des initiatives régionales afin de répondre aux besoins particuliers des régions. Les projets menés par le BDT participent à la mise au point de produits et services variés, conformes aux priorités et catalyseurs de l'UIT-D définis dans le Plan d'action de Kigali, ainsi que dans le Plan stratégique de l'UIT pour chacune des six régions de l'Union. Les projets mis en œuvre ou en cours au titre de chaque initiative régionale adoptée à la CMDT-22 pour la période</w:t>
      </w:r>
      <w:r w:rsidR="002105AF" w:rsidRPr="00E8660C">
        <w:rPr>
          <w:lang w:val="fr-FR"/>
        </w:rPr>
        <w:t xml:space="preserve"> </w:t>
      </w:r>
      <w:r w:rsidR="00140E5E" w:rsidRPr="00E8660C">
        <w:rPr>
          <w:lang w:val="fr-FR"/>
        </w:rPr>
        <w:t xml:space="preserve">2023-2025 sont répertoriés dans le </w:t>
      </w:r>
      <w:hyperlink r:id="rId29" w:history="1">
        <w:r w:rsidR="00140E5E" w:rsidRPr="00E8660C">
          <w:rPr>
            <w:rStyle w:val="Hyperlink"/>
            <w:lang w:val="fr-FR"/>
          </w:rPr>
          <w:t>Document d'inform</w:t>
        </w:r>
        <w:r w:rsidR="00140E5E" w:rsidRPr="00E8660C">
          <w:rPr>
            <w:rStyle w:val="Hyperlink"/>
            <w:lang w:val="fr-FR"/>
          </w:rPr>
          <w:t>a</w:t>
        </w:r>
        <w:r w:rsidR="00140E5E" w:rsidRPr="00E8660C">
          <w:rPr>
            <w:rStyle w:val="Hyperlink"/>
            <w:lang w:val="fr-FR"/>
          </w:rPr>
          <w:t>tion TDAG-25/INF/4</w:t>
        </w:r>
      </w:hyperlink>
      <w:r w:rsidR="00140E5E" w:rsidRPr="00E8660C">
        <w:rPr>
          <w:lang w:val="fr-FR"/>
        </w:rPr>
        <w:t>.</w:t>
      </w:r>
    </w:p>
    <w:p w14:paraId="227AA89A" w14:textId="3F083722" w:rsidR="00360D26" w:rsidRPr="00E8660C" w:rsidRDefault="00360D26" w:rsidP="002105AF">
      <w:pPr>
        <w:rPr>
          <w:lang w:val="fr-FR"/>
        </w:rPr>
      </w:pPr>
      <w:r w:rsidRPr="00E8660C">
        <w:rPr>
          <w:lang w:val="fr-FR"/>
        </w:rPr>
        <w:t>1.4</w:t>
      </w:r>
      <w:r w:rsidRPr="00E8660C">
        <w:rPr>
          <w:lang w:val="fr-FR"/>
        </w:rPr>
        <w:tab/>
      </w:r>
      <w:r w:rsidRPr="00E8660C">
        <w:rPr>
          <w:b/>
          <w:bCs/>
          <w:lang w:val="fr-FR"/>
        </w:rPr>
        <w:t>Forums régionaux sur le développement</w:t>
      </w:r>
      <w:r w:rsidRPr="00E8660C">
        <w:rPr>
          <w:lang w:val="fr-FR"/>
        </w:rPr>
        <w:t>: entre février et avril 2025, le BDT a organisé six</w:t>
      </w:r>
      <w:r w:rsidR="002105AF" w:rsidRPr="00E8660C">
        <w:rPr>
          <w:lang w:val="fr-FR"/>
        </w:rPr>
        <w:t> </w:t>
      </w:r>
      <w:r w:rsidRPr="00E8660C">
        <w:rPr>
          <w:lang w:val="fr-FR"/>
        </w:rPr>
        <w:t>Forums régionaux sur le développement, qui ont eu lieu avant chaque réunion préparatoire régionale en vue de la CMDT. Les Forums régionaux sur le développement ont pour objectif de favoriser les partenariats multi-parties prenantes entre les États Membres, les entreprises, les établissements universitaires, la société civile, le système des Nations Unies et les organismes ou organisations de développement, régionaux ou internationaux, sur d</w:t>
      </w:r>
      <w:r w:rsidR="004B446A" w:rsidRPr="00E8660C">
        <w:rPr>
          <w:lang w:val="fr-FR"/>
        </w:rPr>
        <w:t>es</w:t>
      </w:r>
      <w:r w:rsidRPr="00E8660C">
        <w:rPr>
          <w:lang w:val="fr-FR"/>
        </w:rPr>
        <w:t xml:space="preserve"> questions liées aux télécommunications/TIC. Ils offrent un cadre pour la tenue de dialogues de haut niveau entre le</w:t>
      </w:r>
      <w:r w:rsidR="002105AF" w:rsidRPr="00E8660C">
        <w:rPr>
          <w:lang w:val="fr-FR"/>
        </w:rPr>
        <w:t> </w:t>
      </w:r>
      <w:r w:rsidRPr="00E8660C">
        <w:rPr>
          <w:lang w:val="fr-FR"/>
        </w:rPr>
        <w:t>BDT, les États Membres et les Membres du Secteur de l'UIT-D, principalement sur la mise en</w:t>
      </w:r>
      <w:r w:rsidR="004B446A" w:rsidRPr="00E8660C">
        <w:rPr>
          <w:lang w:val="fr-FR"/>
        </w:rPr>
        <w:t> </w:t>
      </w:r>
      <w:r w:rsidRPr="00E8660C">
        <w:rPr>
          <w:lang w:val="fr-FR"/>
        </w:rPr>
        <w:t xml:space="preserve">œuvre des initiatives régionales et du Plan d'action de Kigali adopté par la </w:t>
      </w:r>
      <w:hyperlink r:id="rId30" w:history="1">
        <w:r w:rsidRPr="00E8660C">
          <w:rPr>
            <w:rStyle w:val="Hyperlink"/>
            <w:lang w:val="fr-FR"/>
          </w:rPr>
          <w:t>CM</w:t>
        </w:r>
        <w:r w:rsidRPr="00E8660C">
          <w:rPr>
            <w:rStyle w:val="Hyperlink"/>
            <w:lang w:val="fr-FR"/>
          </w:rPr>
          <w:t>D</w:t>
        </w:r>
        <w:r w:rsidRPr="00E8660C">
          <w:rPr>
            <w:rStyle w:val="Hyperlink"/>
            <w:lang w:val="fr-FR"/>
          </w:rPr>
          <w:t>T-22</w:t>
        </w:r>
      </w:hyperlink>
      <w:r w:rsidRPr="00E8660C">
        <w:rPr>
          <w:lang w:val="fr-FR"/>
        </w:rPr>
        <w:t>.</w:t>
      </w:r>
    </w:p>
    <w:p w14:paraId="56A2EFA4" w14:textId="7DD0C994" w:rsidR="00360D26" w:rsidRPr="00E8660C" w:rsidRDefault="00360D26" w:rsidP="002105AF">
      <w:pPr>
        <w:rPr>
          <w:lang w:val="fr-FR"/>
        </w:rPr>
      </w:pPr>
      <w:r w:rsidRPr="00E8660C">
        <w:rPr>
          <w:lang w:val="fr-FR"/>
        </w:rPr>
        <w:t>1.5</w:t>
      </w:r>
      <w:r w:rsidRPr="00E8660C">
        <w:rPr>
          <w:lang w:val="fr-FR"/>
        </w:rPr>
        <w:tab/>
      </w:r>
      <w:r w:rsidRPr="00E8660C">
        <w:rPr>
          <w:b/>
          <w:bCs/>
          <w:lang w:val="fr-FR"/>
        </w:rPr>
        <w:t>Tables rondes de mise en relation P2C</w:t>
      </w:r>
      <w:r w:rsidRPr="00E8660C">
        <w:rPr>
          <w:lang w:val="fr-FR"/>
        </w:rPr>
        <w:t>: chaque Forum régional sur le développement a donné lieu à une table ronde de mise en relation P2C, comme suit:</w:t>
      </w:r>
    </w:p>
    <w:p w14:paraId="43D03C4C" w14:textId="5F1BC194" w:rsidR="00360D26" w:rsidRPr="00E8660C" w:rsidRDefault="00360D26" w:rsidP="002105AF">
      <w:pPr>
        <w:pStyle w:val="enumlev1"/>
        <w:rPr>
          <w:lang w:val="fr-FR"/>
        </w:rPr>
      </w:pPr>
      <w:r w:rsidRPr="00E8660C">
        <w:rPr>
          <w:lang w:val="fr-FR"/>
        </w:rPr>
        <w:t>•</w:t>
      </w:r>
      <w:r w:rsidRPr="00E8660C">
        <w:rPr>
          <w:lang w:val="fr-FR"/>
        </w:rPr>
        <w:tab/>
        <w:t>États arabes (Forum régional sur le développement/Table ronde de mise en relation P2C): le 3 février 2025 à Amman (Jordanie)</w:t>
      </w:r>
      <w:r w:rsidR="00763C43" w:rsidRPr="00E8660C">
        <w:rPr>
          <w:lang w:val="fr-FR"/>
        </w:rPr>
        <w:t>.</w:t>
      </w:r>
    </w:p>
    <w:p w14:paraId="26A601A8" w14:textId="557F4557" w:rsidR="00360D26" w:rsidRPr="00E8660C" w:rsidRDefault="00360D26" w:rsidP="002105AF">
      <w:pPr>
        <w:pStyle w:val="enumlev1"/>
        <w:rPr>
          <w:lang w:val="fr-FR"/>
        </w:rPr>
      </w:pPr>
      <w:r w:rsidRPr="00E8660C">
        <w:rPr>
          <w:lang w:val="fr-FR"/>
        </w:rPr>
        <w:t>•</w:t>
      </w:r>
      <w:r w:rsidRPr="00E8660C">
        <w:rPr>
          <w:lang w:val="fr-FR"/>
        </w:rPr>
        <w:tab/>
        <w:t>Europe (Forum régional sur le développement/Table ronde de mise en relation P2C): le</w:t>
      </w:r>
      <w:r w:rsidR="00763C43" w:rsidRPr="00E8660C">
        <w:rPr>
          <w:lang w:val="fr-FR"/>
        </w:rPr>
        <w:t> </w:t>
      </w:r>
      <w:r w:rsidRPr="00E8660C">
        <w:rPr>
          <w:lang w:val="fr-FR"/>
        </w:rPr>
        <w:t>24</w:t>
      </w:r>
      <w:r w:rsidR="00763C43" w:rsidRPr="00E8660C">
        <w:rPr>
          <w:lang w:val="fr-FR"/>
        </w:rPr>
        <w:t> </w:t>
      </w:r>
      <w:r w:rsidRPr="00E8660C">
        <w:rPr>
          <w:lang w:val="fr-FR"/>
        </w:rPr>
        <w:t>février 2025 à Budapest (Hongrie)</w:t>
      </w:r>
      <w:r w:rsidR="00763C43" w:rsidRPr="00E8660C">
        <w:rPr>
          <w:lang w:val="fr-FR"/>
        </w:rPr>
        <w:t>.</w:t>
      </w:r>
    </w:p>
    <w:p w14:paraId="499A5FE6" w14:textId="2E74266D" w:rsidR="00360D26" w:rsidRPr="00E8660C" w:rsidRDefault="00360D26" w:rsidP="002105AF">
      <w:pPr>
        <w:pStyle w:val="enumlev1"/>
        <w:rPr>
          <w:lang w:val="fr-FR"/>
        </w:rPr>
      </w:pPr>
      <w:r w:rsidRPr="00E8660C">
        <w:rPr>
          <w:lang w:val="fr-FR"/>
        </w:rPr>
        <w:t>•</w:t>
      </w:r>
      <w:r w:rsidRPr="00E8660C">
        <w:rPr>
          <w:lang w:val="fr-FR"/>
        </w:rPr>
        <w:tab/>
        <w:t>Asie-Pacifique (Forum régional sur le développement/Table ronde de mise en relation</w:t>
      </w:r>
      <w:r w:rsidR="004B446A" w:rsidRPr="00E8660C">
        <w:rPr>
          <w:lang w:val="fr-FR"/>
        </w:rPr>
        <w:t> </w:t>
      </w:r>
      <w:r w:rsidRPr="00E8660C">
        <w:rPr>
          <w:lang w:val="fr-FR"/>
        </w:rPr>
        <w:t>P2C): le 19 mars 2025 à Bangkok (Thaïlande)</w:t>
      </w:r>
      <w:r w:rsidR="00763C43" w:rsidRPr="00E8660C">
        <w:rPr>
          <w:lang w:val="fr-FR"/>
        </w:rPr>
        <w:t>.</w:t>
      </w:r>
    </w:p>
    <w:p w14:paraId="425DDA8A" w14:textId="287C2B34" w:rsidR="00360D26" w:rsidRPr="00E8660C" w:rsidRDefault="00360D26" w:rsidP="002105AF">
      <w:pPr>
        <w:pStyle w:val="enumlev1"/>
        <w:rPr>
          <w:lang w:val="fr-FR"/>
        </w:rPr>
      </w:pPr>
      <w:r w:rsidRPr="00E8660C">
        <w:rPr>
          <w:lang w:val="fr-FR"/>
        </w:rPr>
        <w:t>•</w:t>
      </w:r>
      <w:r w:rsidRPr="00E8660C">
        <w:rPr>
          <w:lang w:val="fr-FR"/>
        </w:rPr>
        <w:tab/>
        <w:t>Amériques (Forum régional sur le développement/Table ronde de mise en relation P2C): le</w:t>
      </w:r>
      <w:r w:rsidR="00763C43" w:rsidRPr="00E8660C">
        <w:rPr>
          <w:lang w:val="fr-FR"/>
        </w:rPr>
        <w:t> </w:t>
      </w:r>
      <w:r w:rsidRPr="00E8660C">
        <w:rPr>
          <w:lang w:val="fr-FR"/>
        </w:rPr>
        <w:t>31 mars 2025 à Asunción (Paraguay)</w:t>
      </w:r>
      <w:r w:rsidR="00763C43" w:rsidRPr="00E8660C">
        <w:rPr>
          <w:lang w:val="fr-FR"/>
        </w:rPr>
        <w:t>.</w:t>
      </w:r>
    </w:p>
    <w:p w14:paraId="2595ADC3" w14:textId="08467C43" w:rsidR="00360D26" w:rsidRPr="00E8660C" w:rsidRDefault="00360D26" w:rsidP="002105AF">
      <w:pPr>
        <w:pStyle w:val="enumlev1"/>
        <w:rPr>
          <w:lang w:val="fr-FR"/>
        </w:rPr>
      </w:pPr>
      <w:r w:rsidRPr="00E8660C">
        <w:rPr>
          <w:lang w:val="fr-FR"/>
        </w:rPr>
        <w:t>•</w:t>
      </w:r>
      <w:r w:rsidRPr="00E8660C">
        <w:rPr>
          <w:lang w:val="fr-FR"/>
        </w:rPr>
        <w:tab/>
        <w:t>Afrique (Forum régional sur le développement/Table ronde de mise en relation P2C): le</w:t>
      </w:r>
      <w:r w:rsidR="00763C43" w:rsidRPr="00E8660C">
        <w:rPr>
          <w:lang w:val="fr-FR"/>
        </w:rPr>
        <w:t> </w:t>
      </w:r>
      <w:r w:rsidRPr="00E8660C">
        <w:rPr>
          <w:lang w:val="fr-FR"/>
        </w:rPr>
        <w:t>7</w:t>
      </w:r>
      <w:r w:rsidR="00763C43" w:rsidRPr="00E8660C">
        <w:rPr>
          <w:lang w:val="fr-FR"/>
        </w:rPr>
        <w:t> </w:t>
      </w:r>
      <w:r w:rsidRPr="00E8660C">
        <w:rPr>
          <w:lang w:val="fr-FR"/>
        </w:rPr>
        <w:t>avril 2025 à Nairobi (Kenya)</w:t>
      </w:r>
      <w:r w:rsidR="00763C43" w:rsidRPr="00E8660C">
        <w:rPr>
          <w:lang w:val="fr-FR"/>
        </w:rPr>
        <w:t>.</w:t>
      </w:r>
    </w:p>
    <w:p w14:paraId="3A561F46" w14:textId="7AB5A760" w:rsidR="00360D26" w:rsidRPr="00E8660C" w:rsidRDefault="00360D26" w:rsidP="002105AF">
      <w:pPr>
        <w:pStyle w:val="enumlev1"/>
        <w:rPr>
          <w:lang w:val="fr-FR"/>
        </w:rPr>
      </w:pPr>
      <w:r w:rsidRPr="00E8660C">
        <w:rPr>
          <w:lang w:val="fr-FR"/>
        </w:rPr>
        <w:t>•</w:t>
      </w:r>
      <w:r w:rsidRPr="00E8660C">
        <w:rPr>
          <w:lang w:val="fr-FR"/>
        </w:rPr>
        <w:tab/>
        <w:t xml:space="preserve">Communauté des États indépendants </w:t>
      </w:r>
      <w:r w:rsidR="002105AF" w:rsidRPr="00E8660C">
        <w:rPr>
          <w:lang w:val="fr-FR"/>
        </w:rPr>
        <w:t>–</w:t>
      </w:r>
      <w:r w:rsidRPr="00E8660C">
        <w:rPr>
          <w:lang w:val="fr-FR"/>
        </w:rPr>
        <w:t xml:space="preserve"> CEI (Forum régional sur le développement/Table ronde de mise en relation P2C): le 23 avril 2025 à Bichkek (Kirghizistan)</w:t>
      </w:r>
      <w:r w:rsidR="00763C43" w:rsidRPr="00E8660C">
        <w:rPr>
          <w:lang w:val="fr-FR"/>
        </w:rPr>
        <w:t>.</w:t>
      </w:r>
    </w:p>
    <w:p w14:paraId="06B0F8BF" w14:textId="7193DF60" w:rsidR="00763C43" w:rsidRPr="00E8660C" w:rsidRDefault="00763C43" w:rsidP="002105AF">
      <w:pPr>
        <w:rPr>
          <w:lang w:val="fr-FR"/>
        </w:rPr>
      </w:pPr>
      <w:r w:rsidRPr="00E8660C">
        <w:rPr>
          <w:lang w:val="fr-FR"/>
        </w:rPr>
        <w:t>1.6</w:t>
      </w:r>
      <w:r w:rsidRPr="00E8660C">
        <w:rPr>
          <w:lang w:val="fr-FR"/>
        </w:rPr>
        <w:tab/>
      </w:r>
      <w:r w:rsidRPr="00E8660C">
        <w:rPr>
          <w:b/>
          <w:bCs/>
          <w:lang w:val="fr-FR"/>
        </w:rPr>
        <w:t>Mobilisation des parties prenantes</w:t>
      </w:r>
      <w:r w:rsidRPr="00E8660C">
        <w:rPr>
          <w:lang w:val="fr-FR"/>
        </w:rPr>
        <w:t>: entre mai 2024 et mars 2025, l'UIT a conclu</w:t>
      </w:r>
      <w:r w:rsidR="004B446A" w:rsidRPr="00E8660C">
        <w:rPr>
          <w:lang w:val="fr-FR"/>
        </w:rPr>
        <w:t xml:space="preserve"> </w:t>
      </w:r>
      <w:r w:rsidRPr="00E8660C">
        <w:rPr>
          <w:lang w:val="fr-FR"/>
        </w:rPr>
        <w:t xml:space="preserve">73 accords avec un large éventail de partenaires. Voir </w:t>
      </w:r>
      <w:hyperlink r:id="rId31" w:anchor="/fr" w:history="1">
        <w:r w:rsidRPr="00E8660C">
          <w:rPr>
            <w:rStyle w:val="Hyperlink"/>
            <w:lang w:val="fr-FR"/>
          </w:rPr>
          <w:t>la page we</w:t>
        </w:r>
        <w:r w:rsidRPr="00E8660C">
          <w:rPr>
            <w:rStyle w:val="Hyperlink"/>
            <w:lang w:val="fr-FR"/>
          </w:rPr>
          <w:t>b</w:t>
        </w:r>
        <w:r w:rsidRPr="00E8660C">
          <w:rPr>
            <w:rStyle w:val="Hyperlink"/>
            <w:lang w:val="fr-FR"/>
          </w:rPr>
          <w:t xml:space="preserve"> des partenariats de l'UIT-D</w:t>
        </w:r>
      </w:hyperlink>
      <w:r w:rsidRPr="00E8660C">
        <w:rPr>
          <w:lang w:val="fr-FR"/>
        </w:rPr>
        <w:t xml:space="preserve"> pour de plus amples renseignements.</w:t>
      </w:r>
    </w:p>
    <w:p w14:paraId="4E435F06" w14:textId="7D1B92EA" w:rsidR="00763C43" w:rsidRPr="00E8660C" w:rsidRDefault="00763C43" w:rsidP="002105AF">
      <w:pPr>
        <w:rPr>
          <w:lang w:val="fr-FR"/>
        </w:rPr>
      </w:pPr>
      <w:r w:rsidRPr="00E8660C">
        <w:rPr>
          <w:lang w:val="fr-FR"/>
        </w:rPr>
        <w:t>1.7</w:t>
      </w:r>
      <w:r w:rsidRPr="00E8660C">
        <w:rPr>
          <w:lang w:val="fr-FR"/>
        </w:rPr>
        <w:tab/>
      </w:r>
      <w:r w:rsidRPr="00E8660C">
        <w:rPr>
          <w:b/>
          <w:bCs/>
          <w:lang w:val="fr-FR"/>
        </w:rPr>
        <w:t>Nouveaux projets signés</w:t>
      </w:r>
      <w:r w:rsidRPr="00E8660C">
        <w:rPr>
          <w:lang w:val="fr-FR"/>
        </w:rPr>
        <w:t xml:space="preserve">: entre mai 2024 et mars 2025, l'UIT a signé au total 35 nouveaux projets et addenda pour un montant de 26,7 millions CHF. Ces chiffres confirment la tendance positive observée ces dernières années concernant la hausse des fonds mobilisés par le BDT pour financer des projets, preuve de la confiance accrue que suscite l'UIT en tant que partenaire de </w:t>
      </w:r>
      <w:r w:rsidRPr="00E8660C">
        <w:rPr>
          <w:lang w:val="fr-FR"/>
        </w:rPr>
        <w:lastRenderedPageBreak/>
        <w:t>premier plan pour la mise en œuvre d'initiatives relatives aux TIC, que ce soit dans le cadre de projets visant à fournir une assistance technique aux États Membres de l'UIT ou dans le cadre de projets financés par des bailleurs de fonds extérieurs. On trouvera plus de précisions sur la mise en</w:t>
      </w:r>
      <w:r w:rsidR="004B446A" w:rsidRPr="00E8660C">
        <w:rPr>
          <w:lang w:val="fr-FR"/>
        </w:rPr>
        <w:t> </w:t>
      </w:r>
      <w:r w:rsidRPr="00E8660C">
        <w:rPr>
          <w:lang w:val="fr-FR"/>
        </w:rPr>
        <w:t xml:space="preserve">œuvre des projets par le BDT dans le </w:t>
      </w:r>
      <w:hyperlink r:id="rId32" w:history="1">
        <w:r w:rsidRPr="00E8660C">
          <w:rPr>
            <w:rStyle w:val="Hyperlink"/>
            <w:lang w:val="fr-FR"/>
          </w:rPr>
          <w:t>Document T</w:t>
        </w:r>
        <w:r w:rsidRPr="00E8660C">
          <w:rPr>
            <w:rStyle w:val="Hyperlink"/>
            <w:lang w:val="fr-FR"/>
          </w:rPr>
          <w:t>D</w:t>
        </w:r>
        <w:r w:rsidRPr="00E8660C">
          <w:rPr>
            <w:rStyle w:val="Hyperlink"/>
            <w:lang w:val="fr-FR"/>
          </w:rPr>
          <w:t>AG-25/5</w:t>
        </w:r>
      </w:hyperlink>
      <w:r w:rsidRPr="00E8660C">
        <w:rPr>
          <w:lang w:val="fr-FR"/>
        </w:rPr>
        <w:t xml:space="preserve">, ainsi que sur le </w:t>
      </w:r>
      <w:hyperlink r:id="rId33" w:history="1">
        <w:r w:rsidRPr="00E8660C">
          <w:rPr>
            <w:rStyle w:val="Hyperlink"/>
            <w:lang w:val="fr-FR"/>
          </w:rPr>
          <w:t xml:space="preserve">portail </w:t>
        </w:r>
        <w:r w:rsidRPr="00E8660C">
          <w:rPr>
            <w:rStyle w:val="Hyperlink"/>
            <w:lang w:val="fr-FR"/>
          </w:rPr>
          <w:t>d</w:t>
        </w:r>
        <w:r w:rsidRPr="00E8660C">
          <w:rPr>
            <w:rStyle w:val="Hyperlink"/>
            <w:lang w:val="fr-FR"/>
          </w:rPr>
          <w:t>es projets de l'UIT-D</w:t>
        </w:r>
      </w:hyperlink>
      <w:r w:rsidRPr="00E8660C">
        <w:rPr>
          <w:lang w:val="fr-FR"/>
        </w:rPr>
        <w:t>, qui comprend un tableau de bord interactif destiné aux membres du GCDT avec davantage de renseignements sur le portefeuille des projets gérés par le BDT.</w:t>
      </w:r>
    </w:p>
    <w:p w14:paraId="4814DE1C" w14:textId="6C68AA3D" w:rsidR="00763C43" w:rsidRPr="00E8660C" w:rsidRDefault="00763C43" w:rsidP="002105AF">
      <w:pPr>
        <w:spacing w:after="120"/>
        <w:rPr>
          <w:lang w:val="fr-FR"/>
        </w:rPr>
      </w:pPr>
      <w:r w:rsidRPr="00E8660C">
        <w:rPr>
          <w:lang w:val="fr-FR"/>
        </w:rPr>
        <w:t>1.8</w:t>
      </w:r>
      <w:r w:rsidRPr="00E8660C">
        <w:rPr>
          <w:lang w:val="fr-FR"/>
        </w:rPr>
        <w:tab/>
      </w:r>
      <w:r w:rsidRPr="00E8660C">
        <w:rPr>
          <w:b/>
          <w:bCs/>
          <w:lang w:val="fr-FR"/>
        </w:rPr>
        <w:t>Projets, partenariats et activités de coopération en cours</w:t>
      </w:r>
      <w:r w:rsidRPr="00E8660C">
        <w:rPr>
          <w:lang w:val="fr-FR"/>
        </w:rPr>
        <w:t>: en 2024, le BDT a mis en</w:t>
      </w:r>
      <w:r w:rsidR="004B446A" w:rsidRPr="00E8660C">
        <w:rPr>
          <w:lang w:val="fr-FR"/>
        </w:rPr>
        <w:t> </w:t>
      </w:r>
      <w:r w:rsidRPr="00E8660C">
        <w:rPr>
          <w:lang w:val="fr-FR"/>
        </w:rPr>
        <w:t>œuvre un total de 105 projets, pour un montant de 91,8 millions CHF. L</w:t>
      </w:r>
      <w:r w:rsidR="00A37F78" w:rsidRPr="00E8660C">
        <w:rPr>
          <w:lang w:val="fr-FR"/>
        </w:rPr>
        <w:t>e Tableau 1</w:t>
      </w:r>
      <w:r w:rsidRPr="00E8660C">
        <w:rPr>
          <w:lang w:val="fr-FR"/>
        </w:rPr>
        <w:t xml:space="preserve"> montre la répartition globale de ce portefeuille par région et donne un aperçu 1) des fonds mobilisés pour financer ces projets, 2) des fonds d'amorçage affectés par l'UIT provenant du Fonds pour le développement des TIC (FDTIC). On trouvera plus de précisions sur les projets du BDT dans le </w:t>
      </w:r>
      <w:hyperlink r:id="rId34" w:history="1">
        <w:r w:rsidRPr="00E8660C">
          <w:rPr>
            <w:rStyle w:val="Hyperlink"/>
            <w:lang w:val="fr-FR"/>
          </w:rPr>
          <w:t>Document TDAG-25</w:t>
        </w:r>
        <w:r w:rsidRPr="00E8660C">
          <w:rPr>
            <w:rStyle w:val="Hyperlink"/>
            <w:lang w:val="fr-FR"/>
          </w:rPr>
          <w:t>/</w:t>
        </w:r>
        <w:r w:rsidRPr="00E8660C">
          <w:rPr>
            <w:rStyle w:val="Hyperlink"/>
            <w:lang w:val="fr-FR"/>
          </w:rPr>
          <w:t>5</w:t>
        </w:r>
      </w:hyperlink>
      <w:r w:rsidRPr="00E8660C">
        <w:rPr>
          <w:lang w:val="fr-FR"/>
        </w:rPr>
        <w:t xml:space="preserve"> et de plus amples renseignements sur les efforts de mobilisation des ressources et les partenariats dans le </w:t>
      </w:r>
      <w:hyperlink r:id="rId35" w:history="1">
        <w:r w:rsidRPr="00E8660C">
          <w:rPr>
            <w:rStyle w:val="Hyperlink"/>
            <w:lang w:val="fr-FR"/>
          </w:rPr>
          <w:t>Document TDAG-2</w:t>
        </w:r>
        <w:r w:rsidRPr="00E8660C">
          <w:rPr>
            <w:rStyle w:val="Hyperlink"/>
            <w:lang w:val="fr-FR"/>
          </w:rPr>
          <w:t>5</w:t>
        </w:r>
        <w:r w:rsidRPr="00E8660C">
          <w:rPr>
            <w:rStyle w:val="Hyperlink"/>
            <w:lang w:val="fr-FR"/>
          </w:rPr>
          <w:t>/9</w:t>
        </w:r>
      </w:hyperlink>
      <w:r w:rsidRPr="00E8660C">
        <w:rPr>
          <w:lang w:val="fr-FR"/>
        </w:rPr>
        <w:t>.</w:t>
      </w:r>
    </w:p>
    <w:p w14:paraId="78556613" w14:textId="1F6135F6" w:rsidR="00763C43" w:rsidRPr="00E8660C" w:rsidRDefault="00763C43" w:rsidP="00A37F78">
      <w:pPr>
        <w:pStyle w:val="Tabletitle"/>
        <w:spacing w:before="240"/>
        <w:rPr>
          <w:lang w:val="fr-FR"/>
        </w:rPr>
      </w:pPr>
      <w:r w:rsidRPr="00E8660C">
        <w:rPr>
          <w:lang w:val="fr-FR"/>
        </w:rPr>
        <w:t>Tableau 1: Aperçu des projets de l'UIT par région ayant</w:t>
      </w:r>
      <w:r w:rsidR="00A37F78" w:rsidRPr="00E8660C">
        <w:rPr>
          <w:lang w:val="fr-FR"/>
        </w:rPr>
        <w:br/>
      </w:r>
      <w:r w:rsidRPr="00E8660C">
        <w:rPr>
          <w:lang w:val="fr-FR"/>
        </w:rPr>
        <w:t>entraîné</w:t>
      </w:r>
      <w:r w:rsidR="00A37F78" w:rsidRPr="00E8660C">
        <w:rPr>
          <w:lang w:val="fr-FR"/>
        </w:rPr>
        <w:t xml:space="preserve"> </w:t>
      </w:r>
      <w:r w:rsidRPr="00E8660C">
        <w:rPr>
          <w:lang w:val="fr-FR"/>
        </w:rPr>
        <w:t>des activités en 2024 (en milliers CHF)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526"/>
        <w:gridCol w:w="1939"/>
        <w:gridCol w:w="2257"/>
        <w:gridCol w:w="1818"/>
        <w:gridCol w:w="2089"/>
      </w:tblGrid>
      <w:tr w:rsidR="00763C43" w:rsidRPr="00E8660C" w14:paraId="03C62111" w14:textId="77777777" w:rsidTr="002242F2">
        <w:trPr>
          <w:trHeight w:val="852"/>
          <w:jc w:val="center"/>
        </w:trPr>
        <w:tc>
          <w:tcPr>
            <w:tcW w:w="792" w:type="pct"/>
            <w:shd w:val="clear" w:color="auto" w:fill="8DB3E2" w:themeFill="text2" w:themeFillTint="66"/>
            <w:noWrap/>
            <w:vAlign w:val="center"/>
            <w:hideMark/>
          </w:tcPr>
          <w:p w14:paraId="62E77A3D" w14:textId="03DF0572" w:rsidR="00763C43" w:rsidRPr="00E8660C" w:rsidRDefault="00763C43" w:rsidP="00A37F78">
            <w:pPr>
              <w:pStyle w:val="Tablehead"/>
              <w:rPr>
                <w:rFonts w:eastAsiaTheme="minorEastAsia"/>
                <w:lang w:val="fr-FR"/>
              </w:rPr>
            </w:pPr>
            <w:r w:rsidRPr="00E8660C">
              <w:rPr>
                <w:rFonts w:eastAsiaTheme="minorEastAsia"/>
                <w:lang w:val="fr-FR"/>
              </w:rPr>
              <w:t>Région</w:t>
            </w:r>
          </w:p>
        </w:tc>
        <w:tc>
          <w:tcPr>
            <w:tcW w:w="1007" w:type="pct"/>
            <w:shd w:val="clear" w:color="auto" w:fill="8DB3E2" w:themeFill="text2" w:themeFillTint="66"/>
            <w:noWrap/>
            <w:vAlign w:val="center"/>
            <w:hideMark/>
          </w:tcPr>
          <w:p w14:paraId="6549565E" w14:textId="345F3284" w:rsidR="00763C43" w:rsidRPr="00E8660C" w:rsidRDefault="00763C43" w:rsidP="00A37F78">
            <w:pPr>
              <w:pStyle w:val="Tablehead"/>
              <w:rPr>
                <w:rFonts w:eastAsiaTheme="minorEastAsia"/>
                <w:lang w:val="fr-FR"/>
              </w:rPr>
            </w:pPr>
            <w:r w:rsidRPr="00E8660C">
              <w:rPr>
                <w:rFonts w:eastAsiaTheme="minorEastAsia"/>
                <w:lang w:val="fr-FR"/>
              </w:rPr>
              <w:t>Nombre de projets</w:t>
            </w:r>
          </w:p>
        </w:tc>
        <w:tc>
          <w:tcPr>
            <w:tcW w:w="1172" w:type="pct"/>
            <w:shd w:val="clear" w:color="auto" w:fill="8DB3E2" w:themeFill="text2" w:themeFillTint="66"/>
            <w:noWrap/>
            <w:vAlign w:val="center"/>
            <w:hideMark/>
          </w:tcPr>
          <w:p w14:paraId="498336AE" w14:textId="6F5FD716" w:rsidR="00763C43" w:rsidRPr="00E8660C" w:rsidRDefault="00763C43" w:rsidP="00A37F78">
            <w:pPr>
              <w:pStyle w:val="Tablehead"/>
              <w:rPr>
                <w:rFonts w:eastAsiaTheme="minorEastAsia"/>
                <w:lang w:val="fr-FR"/>
              </w:rPr>
            </w:pPr>
            <w:r w:rsidRPr="00E8660C">
              <w:rPr>
                <w:rFonts w:eastAsiaTheme="minorEastAsia"/>
                <w:lang w:val="fr-FR"/>
              </w:rPr>
              <w:t>Fonds apportés par</w:t>
            </w:r>
            <w:r w:rsidRPr="00E8660C">
              <w:rPr>
                <w:rFonts w:eastAsiaTheme="minorEastAsia"/>
                <w:lang w:val="fr-FR"/>
              </w:rPr>
              <w:br/>
              <w:t>des partenaires</w:t>
            </w:r>
          </w:p>
        </w:tc>
        <w:tc>
          <w:tcPr>
            <w:tcW w:w="944" w:type="pct"/>
            <w:shd w:val="clear" w:color="auto" w:fill="8DB3E2" w:themeFill="text2" w:themeFillTint="66"/>
            <w:noWrap/>
            <w:vAlign w:val="center"/>
          </w:tcPr>
          <w:p w14:paraId="49D58594" w14:textId="4CA582C5" w:rsidR="00763C43" w:rsidRPr="00E8660C" w:rsidRDefault="00763C43" w:rsidP="00A37F78">
            <w:pPr>
              <w:pStyle w:val="Tablehead"/>
              <w:rPr>
                <w:rFonts w:eastAsiaTheme="minorEastAsia"/>
                <w:lang w:val="fr-FR"/>
              </w:rPr>
            </w:pPr>
            <w:r w:rsidRPr="00E8660C">
              <w:rPr>
                <w:rFonts w:eastAsiaTheme="minorEastAsia"/>
                <w:lang w:val="fr-FR"/>
              </w:rPr>
              <w:t>Fonds apportés</w:t>
            </w:r>
            <w:r w:rsidRPr="00E8660C">
              <w:rPr>
                <w:rFonts w:eastAsiaTheme="minorEastAsia"/>
                <w:lang w:val="fr-FR"/>
              </w:rPr>
              <w:br/>
              <w:t>par l'UIT</w:t>
            </w:r>
          </w:p>
        </w:tc>
        <w:tc>
          <w:tcPr>
            <w:tcW w:w="1085" w:type="pct"/>
            <w:shd w:val="clear" w:color="auto" w:fill="8DB3E2" w:themeFill="text2" w:themeFillTint="66"/>
            <w:noWrap/>
            <w:vAlign w:val="center"/>
            <w:hideMark/>
          </w:tcPr>
          <w:p w14:paraId="1F726CD6" w14:textId="62AAC71D" w:rsidR="00763C43" w:rsidRPr="00E8660C" w:rsidRDefault="002242F2" w:rsidP="00A37F78">
            <w:pPr>
              <w:pStyle w:val="Tablehead"/>
              <w:rPr>
                <w:rFonts w:eastAsiaTheme="minorEastAsia"/>
                <w:lang w:val="fr-FR"/>
              </w:rPr>
            </w:pPr>
            <w:r w:rsidRPr="00E8660C">
              <w:rPr>
                <w:rFonts w:eastAsiaTheme="minorEastAsia"/>
                <w:lang w:val="fr-FR"/>
              </w:rPr>
              <w:t>Financement total</w:t>
            </w:r>
            <w:r w:rsidRPr="00E8660C">
              <w:rPr>
                <w:rFonts w:eastAsiaTheme="minorEastAsia"/>
                <w:lang w:val="fr-FR"/>
              </w:rPr>
              <w:br/>
              <w:t>du projet</w:t>
            </w:r>
          </w:p>
        </w:tc>
      </w:tr>
      <w:tr w:rsidR="00763C43" w:rsidRPr="00E8660C" w14:paraId="02B1A85D" w14:textId="77777777" w:rsidTr="002242F2">
        <w:trPr>
          <w:trHeight w:val="54"/>
          <w:jc w:val="center"/>
        </w:trPr>
        <w:tc>
          <w:tcPr>
            <w:tcW w:w="792" w:type="pct"/>
            <w:hideMark/>
          </w:tcPr>
          <w:p w14:paraId="62EF3C0D" w14:textId="2C6E9526" w:rsidR="00763C43" w:rsidRPr="00E8660C" w:rsidRDefault="00763C43" w:rsidP="00763C43">
            <w:pPr>
              <w:pStyle w:val="Tabletext"/>
              <w:rPr>
                <w:lang w:val="fr-FR"/>
              </w:rPr>
            </w:pPr>
            <w:r w:rsidRPr="00E8660C">
              <w:rPr>
                <w:lang w:val="fr-FR"/>
              </w:rPr>
              <w:t>AFR</w:t>
            </w:r>
          </w:p>
        </w:tc>
        <w:tc>
          <w:tcPr>
            <w:tcW w:w="1007" w:type="pct"/>
            <w:noWrap/>
            <w:vAlign w:val="center"/>
            <w:hideMark/>
          </w:tcPr>
          <w:p w14:paraId="0EDFA561" w14:textId="77777777" w:rsidR="00763C43" w:rsidRPr="00E8660C" w:rsidRDefault="00763C43" w:rsidP="002242F2">
            <w:pPr>
              <w:pStyle w:val="Tabletext"/>
              <w:jc w:val="center"/>
              <w:rPr>
                <w:lang w:val="fr-FR"/>
              </w:rPr>
            </w:pPr>
            <w:r w:rsidRPr="00E8660C">
              <w:rPr>
                <w:lang w:val="fr-FR"/>
              </w:rPr>
              <w:t>17</w:t>
            </w:r>
          </w:p>
        </w:tc>
        <w:tc>
          <w:tcPr>
            <w:tcW w:w="1172" w:type="pct"/>
            <w:vAlign w:val="center"/>
            <w:hideMark/>
          </w:tcPr>
          <w:p w14:paraId="34D827DF" w14:textId="6291B089" w:rsidR="00763C43" w:rsidRPr="00E8660C" w:rsidRDefault="00763C43" w:rsidP="002242F2">
            <w:pPr>
              <w:pStyle w:val="Tabletext"/>
              <w:jc w:val="right"/>
              <w:rPr>
                <w:lang w:val="fr-FR"/>
              </w:rPr>
            </w:pPr>
            <w:r w:rsidRPr="00E8660C">
              <w:rPr>
                <w:lang w:val="fr-FR"/>
              </w:rPr>
              <w:t>26</w:t>
            </w:r>
            <w:r w:rsidR="002242F2" w:rsidRPr="00E8660C">
              <w:rPr>
                <w:lang w:val="fr-FR"/>
              </w:rPr>
              <w:t xml:space="preserve"> </w:t>
            </w:r>
            <w:r w:rsidRPr="00E8660C">
              <w:rPr>
                <w:lang w:val="fr-FR"/>
              </w:rPr>
              <w:t>548</w:t>
            </w:r>
            <w:r w:rsidR="002105AF" w:rsidRPr="00E8660C">
              <w:rPr>
                <w:lang w:val="fr-FR"/>
              </w:rPr>
              <w:t>,</w:t>
            </w:r>
            <w:r w:rsidRPr="00E8660C">
              <w:rPr>
                <w:lang w:val="fr-FR"/>
              </w:rPr>
              <w:t>5</w:t>
            </w:r>
          </w:p>
        </w:tc>
        <w:tc>
          <w:tcPr>
            <w:tcW w:w="944" w:type="pct"/>
            <w:vAlign w:val="center"/>
            <w:hideMark/>
          </w:tcPr>
          <w:p w14:paraId="637E613D" w14:textId="7CAF02B8" w:rsidR="00763C43" w:rsidRPr="00E8660C" w:rsidRDefault="00763C43" w:rsidP="002242F2">
            <w:pPr>
              <w:pStyle w:val="Tabletext"/>
              <w:jc w:val="right"/>
              <w:rPr>
                <w:lang w:val="fr-FR"/>
              </w:rPr>
            </w:pPr>
            <w:r w:rsidRPr="00E8660C">
              <w:rPr>
                <w:lang w:val="fr-FR"/>
              </w:rPr>
              <w:t>1</w:t>
            </w:r>
            <w:r w:rsidR="002242F2" w:rsidRPr="00E8660C">
              <w:rPr>
                <w:lang w:val="fr-FR"/>
              </w:rPr>
              <w:t xml:space="preserve"> </w:t>
            </w:r>
            <w:r w:rsidRPr="00E8660C">
              <w:rPr>
                <w:lang w:val="fr-FR"/>
              </w:rPr>
              <w:t>516</w:t>
            </w:r>
            <w:r w:rsidR="002242F2" w:rsidRPr="00E8660C">
              <w:rPr>
                <w:lang w:val="fr-FR"/>
              </w:rPr>
              <w:t>,</w:t>
            </w:r>
            <w:r w:rsidRPr="00E8660C">
              <w:rPr>
                <w:lang w:val="fr-FR"/>
              </w:rPr>
              <w:t>8</w:t>
            </w:r>
          </w:p>
        </w:tc>
        <w:tc>
          <w:tcPr>
            <w:tcW w:w="1085" w:type="pct"/>
            <w:shd w:val="clear" w:color="auto" w:fill="DBE5F1" w:themeFill="accent1" w:themeFillTint="33"/>
            <w:vAlign w:val="center"/>
            <w:hideMark/>
          </w:tcPr>
          <w:p w14:paraId="02654917" w14:textId="75CA87D8" w:rsidR="00763C43" w:rsidRPr="00E8660C" w:rsidRDefault="00763C43" w:rsidP="002242F2">
            <w:pPr>
              <w:pStyle w:val="Tabletext"/>
              <w:jc w:val="right"/>
              <w:rPr>
                <w:lang w:val="fr-FR"/>
              </w:rPr>
            </w:pPr>
            <w:r w:rsidRPr="00E8660C">
              <w:rPr>
                <w:lang w:val="fr-FR"/>
              </w:rPr>
              <w:t>28</w:t>
            </w:r>
            <w:r w:rsidR="002242F2" w:rsidRPr="00E8660C">
              <w:rPr>
                <w:lang w:val="fr-FR"/>
              </w:rPr>
              <w:t xml:space="preserve"> </w:t>
            </w:r>
            <w:r w:rsidRPr="00E8660C">
              <w:rPr>
                <w:lang w:val="fr-FR"/>
              </w:rPr>
              <w:t>197</w:t>
            </w:r>
            <w:r w:rsidR="002242F2" w:rsidRPr="00E8660C">
              <w:rPr>
                <w:lang w:val="fr-FR"/>
              </w:rPr>
              <w:t>,</w:t>
            </w:r>
            <w:r w:rsidRPr="00E8660C">
              <w:rPr>
                <w:lang w:val="fr-FR"/>
              </w:rPr>
              <w:t>8</w:t>
            </w:r>
          </w:p>
        </w:tc>
      </w:tr>
      <w:tr w:rsidR="00763C43" w:rsidRPr="00E8660C" w14:paraId="761C3BEF" w14:textId="77777777" w:rsidTr="002242F2">
        <w:trPr>
          <w:trHeight w:val="54"/>
          <w:jc w:val="center"/>
        </w:trPr>
        <w:tc>
          <w:tcPr>
            <w:tcW w:w="792" w:type="pct"/>
            <w:hideMark/>
          </w:tcPr>
          <w:p w14:paraId="7494A351" w14:textId="0496943D" w:rsidR="00763C43" w:rsidRPr="00E8660C" w:rsidRDefault="00763C43" w:rsidP="00763C43">
            <w:pPr>
              <w:pStyle w:val="Tabletext"/>
              <w:rPr>
                <w:lang w:val="fr-FR"/>
              </w:rPr>
            </w:pPr>
            <w:r w:rsidRPr="00E8660C">
              <w:rPr>
                <w:lang w:val="fr-FR"/>
              </w:rPr>
              <w:t>AMS</w:t>
            </w:r>
          </w:p>
        </w:tc>
        <w:tc>
          <w:tcPr>
            <w:tcW w:w="1007" w:type="pct"/>
            <w:noWrap/>
            <w:vAlign w:val="center"/>
            <w:hideMark/>
          </w:tcPr>
          <w:p w14:paraId="054A5FB9" w14:textId="77777777" w:rsidR="00763C43" w:rsidRPr="00E8660C" w:rsidRDefault="00763C43" w:rsidP="002242F2">
            <w:pPr>
              <w:pStyle w:val="Tabletext"/>
              <w:jc w:val="center"/>
              <w:rPr>
                <w:lang w:val="fr-FR"/>
              </w:rPr>
            </w:pPr>
            <w:r w:rsidRPr="00E8660C">
              <w:rPr>
                <w:lang w:val="fr-FR"/>
              </w:rPr>
              <w:t>19</w:t>
            </w:r>
          </w:p>
        </w:tc>
        <w:tc>
          <w:tcPr>
            <w:tcW w:w="1172" w:type="pct"/>
            <w:vAlign w:val="center"/>
            <w:hideMark/>
          </w:tcPr>
          <w:p w14:paraId="1146ED70" w14:textId="47085572" w:rsidR="00763C43" w:rsidRPr="00E8660C" w:rsidRDefault="00763C43" w:rsidP="002242F2">
            <w:pPr>
              <w:pStyle w:val="Tabletext"/>
              <w:jc w:val="right"/>
              <w:rPr>
                <w:lang w:val="fr-FR"/>
              </w:rPr>
            </w:pPr>
            <w:r w:rsidRPr="00E8660C">
              <w:rPr>
                <w:lang w:val="fr-FR"/>
              </w:rPr>
              <w:t>12</w:t>
            </w:r>
            <w:r w:rsidR="002242F2" w:rsidRPr="00E8660C">
              <w:rPr>
                <w:lang w:val="fr-FR"/>
              </w:rPr>
              <w:t xml:space="preserve"> </w:t>
            </w:r>
            <w:r w:rsidRPr="00E8660C">
              <w:rPr>
                <w:lang w:val="fr-FR"/>
              </w:rPr>
              <w:t>600</w:t>
            </w:r>
            <w:r w:rsidR="002242F2" w:rsidRPr="00E8660C">
              <w:rPr>
                <w:lang w:val="fr-FR"/>
              </w:rPr>
              <w:t>,</w:t>
            </w:r>
            <w:r w:rsidRPr="00E8660C">
              <w:rPr>
                <w:lang w:val="fr-FR"/>
              </w:rPr>
              <w:t>3</w:t>
            </w:r>
          </w:p>
        </w:tc>
        <w:tc>
          <w:tcPr>
            <w:tcW w:w="944" w:type="pct"/>
            <w:vAlign w:val="center"/>
            <w:hideMark/>
          </w:tcPr>
          <w:p w14:paraId="690FA220" w14:textId="1827242C" w:rsidR="00763C43" w:rsidRPr="00E8660C" w:rsidRDefault="00763C43" w:rsidP="002242F2">
            <w:pPr>
              <w:pStyle w:val="Tabletext"/>
              <w:jc w:val="right"/>
              <w:rPr>
                <w:lang w:val="fr-FR"/>
              </w:rPr>
            </w:pPr>
            <w:r w:rsidRPr="00E8660C">
              <w:rPr>
                <w:lang w:val="fr-FR"/>
              </w:rPr>
              <w:t>335</w:t>
            </w:r>
            <w:r w:rsidR="002242F2" w:rsidRPr="00E8660C">
              <w:rPr>
                <w:lang w:val="fr-FR"/>
              </w:rPr>
              <w:t>,</w:t>
            </w:r>
            <w:r w:rsidRPr="00E8660C">
              <w:rPr>
                <w:lang w:val="fr-FR"/>
              </w:rPr>
              <w:t>5</w:t>
            </w:r>
          </w:p>
        </w:tc>
        <w:tc>
          <w:tcPr>
            <w:tcW w:w="1085" w:type="pct"/>
            <w:shd w:val="clear" w:color="auto" w:fill="DBE5F1" w:themeFill="accent1" w:themeFillTint="33"/>
            <w:vAlign w:val="center"/>
            <w:hideMark/>
          </w:tcPr>
          <w:p w14:paraId="17CB878F" w14:textId="1041893A" w:rsidR="00763C43" w:rsidRPr="00E8660C" w:rsidRDefault="00763C43" w:rsidP="002242F2">
            <w:pPr>
              <w:pStyle w:val="Tabletext"/>
              <w:jc w:val="right"/>
              <w:rPr>
                <w:lang w:val="fr-FR"/>
              </w:rPr>
            </w:pPr>
            <w:r w:rsidRPr="00E8660C">
              <w:rPr>
                <w:lang w:val="fr-FR"/>
              </w:rPr>
              <w:t>13</w:t>
            </w:r>
            <w:r w:rsidR="002242F2" w:rsidRPr="00E8660C">
              <w:rPr>
                <w:lang w:val="fr-FR"/>
              </w:rPr>
              <w:t xml:space="preserve"> </w:t>
            </w:r>
            <w:r w:rsidRPr="00E8660C">
              <w:rPr>
                <w:lang w:val="fr-FR"/>
              </w:rPr>
              <w:t>211</w:t>
            </w:r>
            <w:r w:rsidR="002242F2" w:rsidRPr="00E8660C">
              <w:rPr>
                <w:lang w:val="fr-FR"/>
              </w:rPr>
              <w:t>,</w:t>
            </w:r>
            <w:r w:rsidRPr="00E8660C">
              <w:rPr>
                <w:lang w:val="fr-FR"/>
              </w:rPr>
              <w:t>4</w:t>
            </w:r>
          </w:p>
        </w:tc>
      </w:tr>
      <w:tr w:rsidR="00763C43" w:rsidRPr="00E8660C" w14:paraId="15B5263C" w14:textId="77777777" w:rsidTr="002242F2">
        <w:trPr>
          <w:trHeight w:val="300"/>
          <w:jc w:val="center"/>
        </w:trPr>
        <w:tc>
          <w:tcPr>
            <w:tcW w:w="792" w:type="pct"/>
            <w:hideMark/>
          </w:tcPr>
          <w:p w14:paraId="34342880" w14:textId="1FC1A561" w:rsidR="00763C43" w:rsidRPr="00E8660C" w:rsidRDefault="00763C43" w:rsidP="00763C43">
            <w:pPr>
              <w:pStyle w:val="Tabletext"/>
              <w:rPr>
                <w:lang w:val="fr-FR"/>
              </w:rPr>
            </w:pPr>
            <w:r w:rsidRPr="00E8660C">
              <w:rPr>
                <w:lang w:val="fr-FR"/>
              </w:rPr>
              <w:t>ARB</w:t>
            </w:r>
          </w:p>
        </w:tc>
        <w:tc>
          <w:tcPr>
            <w:tcW w:w="1007" w:type="pct"/>
            <w:vAlign w:val="center"/>
            <w:hideMark/>
          </w:tcPr>
          <w:p w14:paraId="500286E6" w14:textId="77777777" w:rsidR="00763C43" w:rsidRPr="00E8660C" w:rsidRDefault="00763C43" w:rsidP="002242F2">
            <w:pPr>
              <w:pStyle w:val="Tabletext"/>
              <w:jc w:val="center"/>
              <w:rPr>
                <w:lang w:val="fr-FR"/>
              </w:rPr>
            </w:pPr>
            <w:r w:rsidRPr="00E8660C">
              <w:rPr>
                <w:lang w:val="fr-FR"/>
              </w:rPr>
              <w:t>5</w:t>
            </w:r>
          </w:p>
        </w:tc>
        <w:tc>
          <w:tcPr>
            <w:tcW w:w="1172" w:type="pct"/>
            <w:vAlign w:val="center"/>
            <w:hideMark/>
          </w:tcPr>
          <w:p w14:paraId="0BFDFB93" w14:textId="49B4E9F0" w:rsidR="00763C43" w:rsidRPr="00E8660C" w:rsidRDefault="00763C43" w:rsidP="002242F2">
            <w:pPr>
              <w:pStyle w:val="Tabletext"/>
              <w:jc w:val="right"/>
              <w:rPr>
                <w:lang w:val="fr-FR"/>
              </w:rPr>
            </w:pPr>
            <w:r w:rsidRPr="00E8660C">
              <w:rPr>
                <w:lang w:val="fr-FR"/>
              </w:rPr>
              <w:t>2</w:t>
            </w:r>
            <w:r w:rsidR="002242F2" w:rsidRPr="00E8660C">
              <w:rPr>
                <w:lang w:val="fr-FR"/>
              </w:rPr>
              <w:t xml:space="preserve"> </w:t>
            </w:r>
            <w:r w:rsidRPr="00E8660C">
              <w:rPr>
                <w:lang w:val="fr-FR"/>
              </w:rPr>
              <w:t>989</w:t>
            </w:r>
            <w:r w:rsidR="002242F2" w:rsidRPr="00E8660C">
              <w:rPr>
                <w:lang w:val="fr-FR"/>
              </w:rPr>
              <w:t>,</w:t>
            </w:r>
            <w:r w:rsidRPr="00E8660C">
              <w:rPr>
                <w:lang w:val="fr-FR"/>
              </w:rPr>
              <w:t>6</w:t>
            </w:r>
          </w:p>
        </w:tc>
        <w:tc>
          <w:tcPr>
            <w:tcW w:w="944" w:type="pct"/>
            <w:vAlign w:val="center"/>
            <w:hideMark/>
          </w:tcPr>
          <w:p w14:paraId="29A8FDF6" w14:textId="09CAFE6D" w:rsidR="00763C43" w:rsidRPr="00E8660C" w:rsidRDefault="00763C43" w:rsidP="002242F2">
            <w:pPr>
              <w:pStyle w:val="Tabletext"/>
              <w:jc w:val="right"/>
              <w:rPr>
                <w:lang w:val="fr-FR"/>
              </w:rPr>
            </w:pPr>
            <w:r w:rsidRPr="00E8660C">
              <w:rPr>
                <w:lang w:val="fr-FR"/>
              </w:rPr>
              <w:t>664</w:t>
            </w:r>
            <w:r w:rsidR="002242F2" w:rsidRPr="00E8660C">
              <w:rPr>
                <w:lang w:val="fr-FR"/>
              </w:rPr>
              <w:t>,</w:t>
            </w:r>
            <w:r w:rsidRPr="00E8660C">
              <w:rPr>
                <w:lang w:val="fr-FR"/>
              </w:rPr>
              <w:t>5</w:t>
            </w:r>
          </w:p>
        </w:tc>
        <w:tc>
          <w:tcPr>
            <w:tcW w:w="1085" w:type="pct"/>
            <w:shd w:val="clear" w:color="auto" w:fill="DBE5F1" w:themeFill="accent1" w:themeFillTint="33"/>
            <w:vAlign w:val="center"/>
            <w:hideMark/>
          </w:tcPr>
          <w:p w14:paraId="53238BC0" w14:textId="7876E5DC" w:rsidR="00763C43" w:rsidRPr="00E8660C" w:rsidRDefault="00763C43" w:rsidP="002242F2">
            <w:pPr>
              <w:pStyle w:val="Tabletext"/>
              <w:jc w:val="right"/>
              <w:rPr>
                <w:lang w:val="fr-FR"/>
              </w:rPr>
            </w:pPr>
            <w:r w:rsidRPr="00E8660C">
              <w:rPr>
                <w:lang w:val="fr-FR"/>
              </w:rPr>
              <w:t>3</w:t>
            </w:r>
            <w:r w:rsidR="002242F2" w:rsidRPr="00E8660C">
              <w:rPr>
                <w:lang w:val="fr-FR"/>
              </w:rPr>
              <w:t xml:space="preserve"> </w:t>
            </w:r>
            <w:r w:rsidRPr="00E8660C">
              <w:rPr>
                <w:lang w:val="fr-FR"/>
              </w:rPr>
              <w:t>654</w:t>
            </w:r>
            <w:r w:rsidR="002242F2" w:rsidRPr="00E8660C">
              <w:rPr>
                <w:lang w:val="fr-FR"/>
              </w:rPr>
              <w:t>,</w:t>
            </w:r>
            <w:r w:rsidRPr="00E8660C">
              <w:rPr>
                <w:lang w:val="fr-FR"/>
              </w:rPr>
              <w:t>1</w:t>
            </w:r>
          </w:p>
        </w:tc>
      </w:tr>
      <w:tr w:rsidR="00763C43" w:rsidRPr="00E8660C" w14:paraId="361544BF" w14:textId="77777777" w:rsidTr="002242F2">
        <w:trPr>
          <w:trHeight w:val="54"/>
          <w:jc w:val="center"/>
        </w:trPr>
        <w:tc>
          <w:tcPr>
            <w:tcW w:w="792" w:type="pct"/>
            <w:vAlign w:val="center"/>
            <w:hideMark/>
          </w:tcPr>
          <w:p w14:paraId="61888B56" w14:textId="77777777" w:rsidR="00763C43" w:rsidRPr="00E8660C" w:rsidRDefault="00763C43" w:rsidP="00763C43">
            <w:pPr>
              <w:pStyle w:val="Tabletext"/>
              <w:rPr>
                <w:lang w:val="fr-FR"/>
              </w:rPr>
            </w:pPr>
            <w:r w:rsidRPr="00E8660C">
              <w:rPr>
                <w:lang w:val="fr-FR"/>
              </w:rPr>
              <w:t>ASP</w:t>
            </w:r>
          </w:p>
        </w:tc>
        <w:tc>
          <w:tcPr>
            <w:tcW w:w="1007" w:type="pct"/>
            <w:noWrap/>
            <w:vAlign w:val="center"/>
            <w:hideMark/>
          </w:tcPr>
          <w:p w14:paraId="4E563D48" w14:textId="77777777" w:rsidR="00763C43" w:rsidRPr="00E8660C" w:rsidRDefault="00763C43" w:rsidP="002242F2">
            <w:pPr>
              <w:pStyle w:val="Tabletext"/>
              <w:jc w:val="center"/>
              <w:rPr>
                <w:lang w:val="fr-FR"/>
              </w:rPr>
            </w:pPr>
            <w:r w:rsidRPr="00E8660C">
              <w:rPr>
                <w:lang w:val="fr-FR"/>
              </w:rPr>
              <w:t>15</w:t>
            </w:r>
          </w:p>
        </w:tc>
        <w:tc>
          <w:tcPr>
            <w:tcW w:w="1172" w:type="pct"/>
            <w:vAlign w:val="center"/>
            <w:hideMark/>
          </w:tcPr>
          <w:p w14:paraId="5D79C13B" w14:textId="6F3734D1" w:rsidR="00763C43" w:rsidRPr="00E8660C" w:rsidRDefault="00763C43" w:rsidP="002242F2">
            <w:pPr>
              <w:pStyle w:val="Tabletext"/>
              <w:jc w:val="right"/>
              <w:rPr>
                <w:lang w:val="fr-FR"/>
              </w:rPr>
            </w:pPr>
            <w:r w:rsidRPr="00E8660C">
              <w:rPr>
                <w:lang w:val="fr-FR"/>
              </w:rPr>
              <w:t>6</w:t>
            </w:r>
            <w:r w:rsidR="002242F2" w:rsidRPr="00E8660C">
              <w:rPr>
                <w:lang w:val="fr-FR"/>
              </w:rPr>
              <w:t xml:space="preserve"> </w:t>
            </w:r>
            <w:r w:rsidRPr="00E8660C">
              <w:rPr>
                <w:lang w:val="fr-FR"/>
              </w:rPr>
              <w:t>667</w:t>
            </w:r>
            <w:r w:rsidR="002242F2" w:rsidRPr="00E8660C">
              <w:rPr>
                <w:lang w:val="fr-FR"/>
              </w:rPr>
              <w:t>,</w:t>
            </w:r>
            <w:r w:rsidRPr="00E8660C">
              <w:rPr>
                <w:lang w:val="fr-FR"/>
              </w:rPr>
              <w:t>2</w:t>
            </w:r>
          </w:p>
        </w:tc>
        <w:tc>
          <w:tcPr>
            <w:tcW w:w="944" w:type="pct"/>
            <w:vAlign w:val="center"/>
          </w:tcPr>
          <w:p w14:paraId="22F6D89D" w14:textId="54C23319" w:rsidR="00763C43" w:rsidRPr="00E8660C" w:rsidRDefault="00763C43" w:rsidP="002242F2">
            <w:pPr>
              <w:pStyle w:val="Tabletext"/>
              <w:jc w:val="right"/>
              <w:rPr>
                <w:lang w:val="fr-FR"/>
              </w:rPr>
            </w:pPr>
            <w:r w:rsidRPr="00E8660C">
              <w:rPr>
                <w:lang w:val="fr-FR"/>
              </w:rPr>
              <w:t>655</w:t>
            </w:r>
            <w:r w:rsidR="002242F2" w:rsidRPr="00E8660C">
              <w:rPr>
                <w:lang w:val="fr-FR"/>
              </w:rPr>
              <w:t>,</w:t>
            </w:r>
            <w:r w:rsidRPr="00E8660C">
              <w:rPr>
                <w:lang w:val="fr-FR"/>
              </w:rPr>
              <w:t>6</w:t>
            </w:r>
          </w:p>
        </w:tc>
        <w:tc>
          <w:tcPr>
            <w:tcW w:w="1085" w:type="pct"/>
            <w:shd w:val="clear" w:color="auto" w:fill="DBE5F1" w:themeFill="accent1" w:themeFillTint="33"/>
            <w:vAlign w:val="center"/>
            <w:hideMark/>
          </w:tcPr>
          <w:p w14:paraId="72E0D340" w14:textId="36227957" w:rsidR="00763C43" w:rsidRPr="00E8660C" w:rsidRDefault="00763C43" w:rsidP="002242F2">
            <w:pPr>
              <w:pStyle w:val="Tabletext"/>
              <w:jc w:val="right"/>
              <w:rPr>
                <w:lang w:val="fr-FR"/>
              </w:rPr>
            </w:pPr>
            <w:r w:rsidRPr="00E8660C">
              <w:rPr>
                <w:lang w:val="fr-FR"/>
              </w:rPr>
              <w:t>7</w:t>
            </w:r>
            <w:r w:rsidR="002242F2" w:rsidRPr="00E8660C">
              <w:rPr>
                <w:lang w:val="fr-FR"/>
              </w:rPr>
              <w:t xml:space="preserve"> </w:t>
            </w:r>
            <w:r w:rsidRPr="00E8660C">
              <w:rPr>
                <w:lang w:val="fr-FR"/>
              </w:rPr>
              <w:t>804</w:t>
            </w:r>
            <w:r w:rsidR="002242F2" w:rsidRPr="00E8660C">
              <w:rPr>
                <w:lang w:val="fr-FR"/>
              </w:rPr>
              <w:t>,</w:t>
            </w:r>
            <w:r w:rsidRPr="00E8660C">
              <w:rPr>
                <w:lang w:val="fr-FR"/>
              </w:rPr>
              <w:t>7</w:t>
            </w:r>
          </w:p>
        </w:tc>
      </w:tr>
      <w:tr w:rsidR="00763C43" w:rsidRPr="00E8660C" w14:paraId="441DB188" w14:textId="77777777" w:rsidTr="002242F2">
        <w:trPr>
          <w:trHeight w:val="54"/>
          <w:jc w:val="center"/>
        </w:trPr>
        <w:tc>
          <w:tcPr>
            <w:tcW w:w="792" w:type="pct"/>
            <w:hideMark/>
          </w:tcPr>
          <w:p w14:paraId="68FB2F06" w14:textId="619CCFBF" w:rsidR="00763C43" w:rsidRPr="00E8660C" w:rsidRDefault="00763C43" w:rsidP="00763C43">
            <w:pPr>
              <w:pStyle w:val="Tabletext"/>
              <w:rPr>
                <w:lang w:val="fr-FR"/>
              </w:rPr>
            </w:pPr>
            <w:r w:rsidRPr="00E8660C">
              <w:rPr>
                <w:lang w:val="fr-FR"/>
              </w:rPr>
              <w:t>C</w:t>
            </w:r>
            <w:r w:rsidR="002242F2" w:rsidRPr="00E8660C">
              <w:rPr>
                <w:lang w:val="fr-FR"/>
              </w:rPr>
              <w:t>EI</w:t>
            </w:r>
          </w:p>
        </w:tc>
        <w:tc>
          <w:tcPr>
            <w:tcW w:w="1007" w:type="pct"/>
            <w:vAlign w:val="center"/>
            <w:hideMark/>
          </w:tcPr>
          <w:p w14:paraId="0747D8A4" w14:textId="77777777" w:rsidR="00763C43" w:rsidRPr="00E8660C" w:rsidRDefault="00763C43" w:rsidP="002242F2">
            <w:pPr>
              <w:pStyle w:val="Tabletext"/>
              <w:jc w:val="center"/>
              <w:rPr>
                <w:lang w:val="fr-FR"/>
              </w:rPr>
            </w:pPr>
            <w:r w:rsidRPr="00E8660C">
              <w:rPr>
                <w:lang w:val="fr-FR"/>
              </w:rPr>
              <w:t>4</w:t>
            </w:r>
          </w:p>
        </w:tc>
        <w:tc>
          <w:tcPr>
            <w:tcW w:w="1172" w:type="pct"/>
            <w:vAlign w:val="center"/>
            <w:hideMark/>
          </w:tcPr>
          <w:p w14:paraId="6A4ECEC9" w14:textId="6A590CAB" w:rsidR="00763C43" w:rsidRPr="00E8660C" w:rsidRDefault="00763C43" w:rsidP="002242F2">
            <w:pPr>
              <w:pStyle w:val="Tabletext"/>
              <w:jc w:val="right"/>
              <w:rPr>
                <w:lang w:val="fr-FR"/>
              </w:rPr>
            </w:pPr>
            <w:r w:rsidRPr="00E8660C">
              <w:rPr>
                <w:lang w:val="fr-FR"/>
              </w:rPr>
              <w:t>342</w:t>
            </w:r>
            <w:r w:rsidR="002242F2" w:rsidRPr="00E8660C">
              <w:rPr>
                <w:lang w:val="fr-FR"/>
              </w:rPr>
              <w:t>,</w:t>
            </w:r>
            <w:r w:rsidRPr="00E8660C">
              <w:rPr>
                <w:lang w:val="fr-FR"/>
              </w:rPr>
              <w:t>0</w:t>
            </w:r>
          </w:p>
        </w:tc>
        <w:tc>
          <w:tcPr>
            <w:tcW w:w="944" w:type="pct"/>
            <w:vAlign w:val="center"/>
          </w:tcPr>
          <w:p w14:paraId="6C5FF299" w14:textId="618EFF65" w:rsidR="00763C43" w:rsidRPr="00E8660C" w:rsidRDefault="00763C43" w:rsidP="002242F2">
            <w:pPr>
              <w:pStyle w:val="Tabletext"/>
              <w:jc w:val="right"/>
              <w:rPr>
                <w:lang w:val="fr-FR"/>
              </w:rPr>
            </w:pPr>
            <w:r w:rsidRPr="00E8660C">
              <w:rPr>
                <w:lang w:val="fr-FR"/>
              </w:rPr>
              <w:t>532</w:t>
            </w:r>
            <w:r w:rsidR="002242F2" w:rsidRPr="00E8660C">
              <w:rPr>
                <w:lang w:val="fr-FR"/>
              </w:rPr>
              <w:t>,</w:t>
            </w:r>
            <w:r w:rsidRPr="00E8660C">
              <w:rPr>
                <w:lang w:val="fr-FR"/>
              </w:rPr>
              <w:t>2</w:t>
            </w:r>
          </w:p>
        </w:tc>
        <w:tc>
          <w:tcPr>
            <w:tcW w:w="1085" w:type="pct"/>
            <w:shd w:val="clear" w:color="auto" w:fill="DBE5F1" w:themeFill="accent1" w:themeFillTint="33"/>
            <w:vAlign w:val="center"/>
            <w:hideMark/>
          </w:tcPr>
          <w:p w14:paraId="37EAC1E8" w14:textId="0410DC72" w:rsidR="00763C43" w:rsidRPr="00E8660C" w:rsidRDefault="00763C43" w:rsidP="002242F2">
            <w:pPr>
              <w:pStyle w:val="Tabletext"/>
              <w:jc w:val="right"/>
              <w:rPr>
                <w:lang w:val="fr-FR"/>
              </w:rPr>
            </w:pPr>
            <w:r w:rsidRPr="00E8660C">
              <w:rPr>
                <w:lang w:val="fr-FR"/>
              </w:rPr>
              <w:t>874</w:t>
            </w:r>
            <w:r w:rsidR="002242F2" w:rsidRPr="00E8660C">
              <w:rPr>
                <w:lang w:val="fr-FR"/>
              </w:rPr>
              <w:t>,</w:t>
            </w:r>
            <w:r w:rsidRPr="00E8660C">
              <w:rPr>
                <w:lang w:val="fr-FR"/>
              </w:rPr>
              <w:t>1</w:t>
            </w:r>
          </w:p>
        </w:tc>
      </w:tr>
      <w:tr w:rsidR="00763C43" w:rsidRPr="00E8660C" w14:paraId="5B814A5F" w14:textId="77777777" w:rsidTr="002242F2">
        <w:trPr>
          <w:trHeight w:val="54"/>
          <w:jc w:val="center"/>
        </w:trPr>
        <w:tc>
          <w:tcPr>
            <w:tcW w:w="792" w:type="pct"/>
            <w:vAlign w:val="bottom"/>
            <w:hideMark/>
          </w:tcPr>
          <w:p w14:paraId="4230767D" w14:textId="77777777" w:rsidR="00763C43" w:rsidRPr="00E8660C" w:rsidRDefault="00763C43" w:rsidP="00763C43">
            <w:pPr>
              <w:pStyle w:val="Tabletext"/>
              <w:rPr>
                <w:lang w:val="fr-FR"/>
              </w:rPr>
            </w:pPr>
            <w:r w:rsidRPr="00E8660C">
              <w:rPr>
                <w:lang w:val="fr-FR"/>
              </w:rPr>
              <w:t>EUR</w:t>
            </w:r>
          </w:p>
        </w:tc>
        <w:tc>
          <w:tcPr>
            <w:tcW w:w="1007" w:type="pct"/>
            <w:vAlign w:val="center"/>
            <w:hideMark/>
          </w:tcPr>
          <w:p w14:paraId="583E6935" w14:textId="77777777" w:rsidR="00763C43" w:rsidRPr="00E8660C" w:rsidRDefault="00763C43" w:rsidP="002242F2">
            <w:pPr>
              <w:pStyle w:val="Tabletext"/>
              <w:jc w:val="center"/>
              <w:rPr>
                <w:lang w:val="fr-FR"/>
              </w:rPr>
            </w:pPr>
            <w:r w:rsidRPr="00E8660C">
              <w:rPr>
                <w:lang w:val="fr-FR"/>
              </w:rPr>
              <w:t>4</w:t>
            </w:r>
          </w:p>
        </w:tc>
        <w:tc>
          <w:tcPr>
            <w:tcW w:w="1172" w:type="pct"/>
            <w:vAlign w:val="center"/>
            <w:hideMark/>
          </w:tcPr>
          <w:p w14:paraId="6D570140" w14:textId="21CB3FDC" w:rsidR="00763C43" w:rsidRPr="00E8660C" w:rsidRDefault="00763C43" w:rsidP="002242F2">
            <w:pPr>
              <w:pStyle w:val="Tabletext"/>
              <w:jc w:val="right"/>
              <w:rPr>
                <w:lang w:val="fr-FR"/>
              </w:rPr>
            </w:pPr>
            <w:r w:rsidRPr="00E8660C">
              <w:rPr>
                <w:lang w:val="fr-FR"/>
              </w:rPr>
              <w:t>4</w:t>
            </w:r>
            <w:r w:rsidR="002242F2" w:rsidRPr="00E8660C">
              <w:rPr>
                <w:lang w:val="fr-FR"/>
              </w:rPr>
              <w:t xml:space="preserve"> </w:t>
            </w:r>
            <w:r w:rsidRPr="00E8660C">
              <w:rPr>
                <w:lang w:val="fr-FR"/>
              </w:rPr>
              <w:t>034</w:t>
            </w:r>
            <w:r w:rsidR="002242F2" w:rsidRPr="00E8660C">
              <w:rPr>
                <w:lang w:val="fr-FR"/>
              </w:rPr>
              <w:t>,</w:t>
            </w:r>
            <w:r w:rsidRPr="00E8660C">
              <w:rPr>
                <w:lang w:val="fr-FR"/>
              </w:rPr>
              <w:t>6</w:t>
            </w:r>
          </w:p>
        </w:tc>
        <w:tc>
          <w:tcPr>
            <w:tcW w:w="944" w:type="pct"/>
            <w:vAlign w:val="center"/>
          </w:tcPr>
          <w:p w14:paraId="3DD7DCC7" w14:textId="095F4905" w:rsidR="00763C43" w:rsidRPr="00E8660C" w:rsidRDefault="00763C43" w:rsidP="002242F2">
            <w:pPr>
              <w:pStyle w:val="Tabletext"/>
              <w:jc w:val="right"/>
              <w:rPr>
                <w:lang w:val="fr-FR"/>
              </w:rPr>
            </w:pPr>
            <w:r w:rsidRPr="00E8660C">
              <w:rPr>
                <w:lang w:val="fr-FR"/>
              </w:rPr>
              <w:t>44</w:t>
            </w:r>
            <w:r w:rsidR="002242F2" w:rsidRPr="00E8660C">
              <w:rPr>
                <w:lang w:val="fr-FR"/>
              </w:rPr>
              <w:t>,</w:t>
            </w:r>
            <w:r w:rsidRPr="00E8660C">
              <w:rPr>
                <w:lang w:val="fr-FR"/>
              </w:rPr>
              <w:t>2</w:t>
            </w:r>
          </w:p>
        </w:tc>
        <w:tc>
          <w:tcPr>
            <w:tcW w:w="1085" w:type="pct"/>
            <w:shd w:val="clear" w:color="auto" w:fill="DBE5F1" w:themeFill="accent1" w:themeFillTint="33"/>
            <w:vAlign w:val="center"/>
            <w:hideMark/>
          </w:tcPr>
          <w:p w14:paraId="1D3D80C2" w14:textId="76D7BAC7" w:rsidR="00763C43" w:rsidRPr="00E8660C" w:rsidRDefault="00763C43" w:rsidP="002242F2">
            <w:pPr>
              <w:pStyle w:val="Tabletext"/>
              <w:jc w:val="right"/>
              <w:rPr>
                <w:lang w:val="fr-FR"/>
              </w:rPr>
            </w:pPr>
            <w:r w:rsidRPr="00E8660C">
              <w:rPr>
                <w:lang w:val="fr-FR"/>
              </w:rPr>
              <w:t>4</w:t>
            </w:r>
            <w:r w:rsidR="002242F2" w:rsidRPr="00E8660C">
              <w:rPr>
                <w:lang w:val="fr-FR"/>
              </w:rPr>
              <w:t xml:space="preserve"> </w:t>
            </w:r>
            <w:r w:rsidRPr="00E8660C">
              <w:rPr>
                <w:lang w:val="fr-FR"/>
              </w:rPr>
              <w:t>078</w:t>
            </w:r>
            <w:r w:rsidR="002242F2" w:rsidRPr="00E8660C">
              <w:rPr>
                <w:lang w:val="fr-FR"/>
              </w:rPr>
              <w:t>,</w:t>
            </w:r>
            <w:r w:rsidRPr="00E8660C">
              <w:rPr>
                <w:lang w:val="fr-FR"/>
              </w:rPr>
              <w:t>8</w:t>
            </w:r>
          </w:p>
        </w:tc>
      </w:tr>
      <w:tr w:rsidR="00763C43" w:rsidRPr="00E8660C" w14:paraId="381EB006" w14:textId="77777777" w:rsidTr="002242F2">
        <w:trPr>
          <w:trHeight w:val="54"/>
          <w:jc w:val="center"/>
        </w:trPr>
        <w:tc>
          <w:tcPr>
            <w:tcW w:w="792" w:type="pct"/>
            <w:hideMark/>
          </w:tcPr>
          <w:p w14:paraId="0A0F0BB0" w14:textId="77777777" w:rsidR="00763C43" w:rsidRPr="00E8660C" w:rsidRDefault="00763C43" w:rsidP="00763C43">
            <w:pPr>
              <w:pStyle w:val="Tabletext"/>
              <w:rPr>
                <w:lang w:val="fr-FR"/>
              </w:rPr>
            </w:pPr>
            <w:r w:rsidRPr="00E8660C">
              <w:rPr>
                <w:lang w:val="fr-FR"/>
              </w:rPr>
              <w:t>MUL (*)</w:t>
            </w:r>
          </w:p>
        </w:tc>
        <w:tc>
          <w:tcPr>
            <w:tcW w:w="1007" w:type="pct"/>
            <w:noWrap/>
            <w:vAlign w:val="center"/>
            <w:hideMark/>
          </w:tcPr>
          <w:p w14:paraId="7E4004FF" w14:textId="77777777" w:rsidR="00763C43" w:rsidRPr="00E8660C" w:rsidRDefault="00763C43" w:rsidP="002242F2">
            <w:pPr>
              <w:pStyle w:val="Tabletext"/>
              <w:jc w:val="center"/>
              <w:rPr>
                <w:lang w:val="fr-FR"/>
              </w:rPr>
            </w:pPr>
            <w:r w:rsidRPr="00E8660C">
              <w:rPr>
                <w:lang w:val="fr-FR"/>
              </w:rPr>
              <w:t>41</w:t>
            </w:r>
          </w:p>
        </w:tc>
        <w:tc>
          <w:tcPr>
            <w:tcW w:w="1172" w:type="pct"/>
            <w:vAlign w:val="center"/>
            <w:hideMark/>
          </w:tcPr>
          <w:p w14:paraId="790CB553" w14:textId="006755A9" w:rsidR="00763C43" w:rsidRPr="00E8660C" w:rsidRDefault="00763C43" w:rsidP="002242F2">
            <w:pPr>
              <w:pStyle w:val="Tabletext"/>
              <w:jc w:val="right"/>
              <w:rPr>
                <w:lang w:val="fr-FR"/>
              </w:rPr>
            </w:pPr>
            <w:r w:rsidRPr="00E8660C">
              <w:rPr>
                <w:lang w:val="fr-FR"/>
              </w:rPr>
              <w:t>26</w:t>
            </w:r>
            <w:r w:rsidR="002242F2" w:rsidRPr="00E8660C">
              <w:rPr>
                <w:lang w:val="fr-FR"/>
              </w:rPr>
              <w:t xml:space="preserve"> </w:t>
            </w:r>
            <w:r w:rsidRPr="00E8660C">
              <w:rPr>
                <w:lang w:val="fr-FR"/>
              </w:rPr>
              <w:t>852</w:t>
            </w:r>
            <w:r w:rsidR="002242F2" w:rsidRPr="00E8660C">
              <w:rPr>
                <w:lang w:val="fr-FR"/>
              </w:rPr>
              <w:t>,</w:t>
            </w:r>
            <w:r w:rsidRPr="00E8660C">
              <w:rPr>
                <w:lang w:val="fr-FR"/>
              </w:rPr>
              <w:t>4</w:t>
            </w:r>
          </w:p>
        </w:tc>
        <w:tc>
          <w:tcPr>
            <w:tcW w:w="944" w:type="pct"/>
            <w:vAlign w:val="center"/>
            <w:hideMark/>
          </w:tcPr>
          <w:p w14:paraId="779539BE" w14:textId="4ACB5416" w:rsidR="00763C43" w:rsidRPr="00E8660C" w:rsidRDefault="00763C43" w:rsidP="002242F2">
            <w:pPr>
              <w:pStyle w:val="Tabletext"/>
              <w:jc w:val="right"/>
              <w:rPr>
                <w:lang w:val="fr-FR"/>
              </w:rPr>
            </w:pPr>
            <w:r w:rsidRPr="00E8660C">
              <w:rPr>
                <w:lang w:val="fr-FR"/>
              </w:rPr>
              <w:t>6</w:t>
            </w:r>
            <w:r w:rsidR="002242F2" w:rsidRPr="00E8660C">
              <w:rPr>
                <w:lang w:val="fr-FR"/>
              </w:rPr>
              <w:t xml:space="preserve"> </w:t>
            </w:r>
            <w:r w:rsidRPr="00E8660C">
              <w:rPr>
                <w:lang w:val="fr-FR"/>
              </w:rPr>
              <w:t>676</w:t>
            </w:r>
            <w:r w:rsidR="00A37F78" w:rsidRPr="00E8660C">
              <w:rPr>
                <w:lang w:val="fr-FR"/>
              </w:rPr>
              <w:t>,</w:t>
            </w:r>
            <w:r w:rsidRPr="00E8660C">
              <w:rPr>
                <w:lang w:val="fr-FR"/>
              </w:rPr>
              <w:t>5</w:t>
            </w:r>
          </w:p>
        </w:tc>
        <w:tc>
          <w:tcPr>
            <w:tcW w:w="1085" w:type="pct"/>
            <w:shd w:val="clear" w:color="auto" w:fill="DBE5F1" w:themeFill="accent1" w:themeFillTint="33"/>
            <w:vAlign w:val="center"/>
            <w:hideMark/>
          </w:tcPr>
          <w:p w14:paraId="32D53352" w14:textId="5BD93834" w:rsidR="00763C43" w:rsidRPr="00E8660C" w:rsidRDefault="00763C43" w:rsidP="002242F2">
            <w:pPr>
              <w:pStyle w:val="Tabletext"/>
              <w:jc w:val="right"/>
              <w:rPr>
                <w:lang w:val="fr-FR"/>
              </w:rPr>
            </w:pPr>
            <w:r w:rsidRPr="00E8660C">
              <w:rPr>
                <w:lang w:val="fr-FR"/>
              </w:rPr>
              <w:t>33</w:t>
            </w:r>
            <w:r w:rsidR="002242F2" w:rsidRPr="00E8660C">
              <w:rPr>
                <w:lang w:val="fr-FR"/>
              </w:rPr>
              <w:t xml:space="preserve"> </w:t>
            </w:r>
            <w:r w:rsidRPr="00E8660C">
              <w:rPr>
                <w:lang w:val="fr-FR"/>
              </w:rPr>
              <w:t>979</w:t>
            </w:r>
            <w:r w:rsidR="002242F2" w:rsidRPr="00E8660C">
              <w:rPr>
                <w:lang w:val="fr-FR"/>
              </w:rPr>
              <w:t>,</w:t>
            </w:r>
            <w:r w:rsidRPr="00E8660C">
              <w:rPr>
                <w:lang w:val="fr-FR"/>
              </w:rPr>
              <w:t>1</w:t>
            </w:r>
          </w:p>
        </w:tc>
      </w:tr>
      <w:tr w:rsidR="00763C43" w:rsidRPr="00E8660C" w14:paraId="22A8B51F" w14:textId="77777777" w:rsidTr="002242F2">
        <w:trPr>
          <w:trHeight w:val="54"/>
          <w:jc w:val="center"/>
        </w:trPr>
        <w:tc>
          <w:tcPr>
            <w:tcW w:w="792" w:type="pct"/>
            <w:shd w:val="clear" w:color="auto" w:fill="DBE5F1" w:themeFill="accent1" w:themeFillTint="33"/>
            <w:noWrap/>
            <w:vAlign w:val="center"/>
            <w:hideMark/>
          </w:tcPr>
          <w:p w14:paraId="0C53AADA" w14:textId="77777777" w:rsidR="00763C43" w:rsidRPr="00E8660C" w:rsidRDefault="00763C43" w:rsidP="00763C43">
            <w:pPr>
              <w:pStyle w:val="Tabletext"/>
              <w:rPr>
                <w:b/>
                <w:bCs/>
                <w:lang w:val="fr-FR"/>
              </w:rPr>
            </w:pPr>
            <w:r w:rsidRPr="00E8660C">
              <w:rPr>
                <w:b/>
                <w:bCs/>
                <w:lang w:val="fr-FR"/>
              </w:rPr>
              <w:t>Total</w:t>
            </w:r>
          </w:p>
        </w:tc>
        <w:tc>
          <w:tcPr>
            <w:tcW w:w="1007" w:type="pct"/>
            <w:shd w:val="clear" w:color="auto" w:fill="DBE5F1" w:themeFill="accent1" w:themeFillTint="33"/>
            <w:noWrap/>
            <w:vAlign w:val="center"/>
            <w:hideMark/>
          </w:tcPr>
          <w:p w14:paraId="00CE2A6A" w14:textId="77777777" w:rsidR="00763C43" w:rsidRPr="00E8660C" w:rsidRDefault="00763C43" w:rsidP="002242F2">
            <w:pPr>
              <w:pStyle w:val="Tabletext"/>
              <w:jc w:val="center"/>
              <w:rPr>
                <w:b/>
                <w:bCs/>
                <w:lang w:val="fr-FR"/>
              </w:rPr>
            </w:pPr>
            <w:r w:rsidRPr="00E8660C">
              <w:rPr>
                <w:b/>
                <w:bCs/>
                <w:lang w:val="fr-FR"/>
              </w:rPr>
              <w:t>105</w:t>
            </w:r>
          </w:p>
        </w:tc>
        <w:tc>
          <w:tcPr>
            <w:tcW w:w="1172" w:type="pct"/>
            <w:shd w:val="clear" w:color="auto" w:fill="DBE5F1" w:themeFill="accent1" w:themeFillTint="33"/>
            <w:noWrap/>
            <w:vAlign w:val="center"/>
            <w:hideMark/>
          </w:tcPr>
          <w:p w14:paraId="003DE759" w14:textId="390C81CC" w:rsidR="00763C43" w:rsidRPr="00E8660C" w:rsidRDefault="00763C43" w:rsidP="002242F2">
            <w:pPr>
              <w:pStyle w:val="Tabletext"/>
              <w:jc w:val="right"/>
              <w:rPr>
                <w:b/>
                <w:bCs/>
                <w:lang w:val="fr-FR"/>
              </w:rPr>
            </w:pPr>
            <w:r w:rsidRPr="00E8660C">
              <w:rPr>
                <w:b/>
                <w:bCs/>
                <w:lang w:val="fr-FR"/>
              </w:rPr>
              <w:t>80</w:t>
            </w:r>
            <w:r w:rsidR="002242F2" w:rsidRPr="00E8660C">
              <w:rPr>
                <w:b/>
                <w:bCs/>
                <w:lang w:val="fr-FR"/>
              </w:rPr>
              <w:t xml:space="preserve"> </w:t>
            </w:r>
            <w:r w:rsidRPr="00E8660C">
              <w:rPr>
                <w:b/>
                <w:bCs/>
                <w:lang w:val="fr-FR"/>
              </w:rPr>
              <w:t>034</w:t>
            </w:r>
            <w:r w:rsidR="002242F2" w:rsidRPr="00E8660C">
              <w:rPr>
                <w:b/>
                <w:bCs/>
                <w:lang w:val="fr-FR"/>
              </w:rPr>
              <w:t>,</w:t>
            </w:r>
            <w:r w:rsidRPr="00E8660C">
              <w:rPr>
                <w:b/>
                <w:bCs/>
                <w:lang w:val="fr-FR"/>
              </w:rPr>
              <w:t>7</w:t>
            </w:r>
          </w:p>
        </w:tc>
        <w:tc>
          <w:tcPr>
            <w:tcW w:w="944" w:type="pct"/>
            <w:shd w:val="clear" w:color="auto" w:fill="DBE5F1" w:themeFill="accent1" w:themeFillTint="33"/>
            <w:noWrap/>
            <w:vAlign w:val="center"/>
            <w:hideMark/>
          </w:tcPr>
          <w:p w14:paraId="61E0F5B5" w14:textId="36E64247" w:rsidR="00763C43" w:rsidRPr="00E8660C" w:rsidRDefault="00763C43" w:rsidP="002242F2">
            <w:pPr>
              <w:pStyle w:val="Tabletext"/>
              <w:jc w:val="right"/>
              <w:rPr>
                <w:b/>
                <w:bCs/>
                <w:lang w:val="fr-FR"/>
              </w:rPr>
            </w:pPr>
            <w:r w:rsidRPr="00E8660C">
              <w:rPr>
                <w:b/>
                <w:bCs/>
                <w:lang w:val="fr-FR"/>
              </w:rPr>
              <w:t>10</w:t>
            </w:r>
            <w:r w:rsidR="002242F2" w:rsidRPr="00E8660C">
              <w:rPr>
                <w:b/>
                <w:bCs/>
                <w:lang w:val="fr-FR"/>
              </w:rPr>
              <w:t xml:space="preserve"> </w:t>
            </w:r>
            <w:r w:rsidRPr="00E8660C">
              <w:rPr>
                <w:b/>
                <w:bCs/>
                <w:lang w:val="fr-FR"/>
              </w:rPr>
              <w:t>425</w:t>
            </w:r>
            <w:r w:rsidR="002242F2" w:rsidRPr="00E8660C">
              <w:rPr>
                <w:b/>
                <w:bCs/>
                <w:lang w:val="fr-FR"/>
              </w:rPr>
              <w:t>,</w:t>
            </w:r>
            <w:r w:rsidRPr="00E8660C">
              <w:rPr>
                <w:b/>
                <w:bCs/>
                <w:lang w:val="fr-FR"/>
              </w:rPr>
              <w:t>3</w:t>
            </w:r>
          </w:p>
        </w:tc>
        <w:tc>
          <w:tcPr>
            <w:tcW w:w="1085" w:type="pct"/>
            <w:shd w:val="clear" w:color="auto" w:fill="DBE5F1" w:themeFill="accent1" w:themeFillTint="33"/>
            <w:noWrap/>
            <w:vAlign w:val="center"/>
            <w:hideMark/>
          </w:tcPr>
          <w:p w14:paraId="0E3F04D2" w14:textId="3C19E06A" w:rsidR="00763C43" w:rsidRPr="00E8660C" w:rsidRDefault="00763C43" w:rsidP="002242F2">
            <w:pPr>
              <w:pStyle w:val="Tabletext"/>
              <w:jc w:val="right"/>
              <w:rPr>
                <w:b/>
                <w:bCs/>
                <w:lang w:val="fr-FR"/>
              </w:rPr>
            </w:pPr>
            <w:r w:rsidRPr="00E8660C">
              <w:rPr>
                <w:b/>
                <w:bCs/>
                <w:lang w:val="fr-FR"/>
              </w:rPr>
              <w:t>91</w:t>
            </w:r>
            <w:r w:rsidR="002242F2" w:rsidRPr="00E8660C">
              <w:rPr>
                <w:b/>
                <w:bCs/>
                <w:lang w:val="fr-FR"/>
              </w:rPr>
              <w:t xml:space="preserve"> </w:t>
            </w:r>
            <w:r w:rsidRPr="00E8660C">
              <w:rPr>
                <w:b/>
                <w:bCs/>
                <w:lang w:val="fr-FR"/>
              </w:rPr>
              <w:t>800</w:t>
            </w:r>
            <w:r w:rsidR="002242F2" w:rsidRPr="00E8660C">
              <w:rPr>
                <w:b/>
                <w:bCs/>
                <w:lang w:val="fr-FR"/>
              </w:rPr>
              <w:t>,</w:t>
            </w:r>
            <w:r w:rsidRPr="00E8660C">
              <w:rPr>
                <w:b/>
                <w:bCs/>
                <w:lang w:val="fr-FR"/>
              </w:rPr>
              <w:t>0</w:t>
            </w:r>
          </w:p>
        </w:tc>
      </w:tr>
    </w:tbl>
    <w:p w14:paraId="41401B3D" w14:textId="7C2F7AFB" w:rsidR="00763C43" w:rsidRPr="00E8660C" w:rsidRDefault="002242F2" w:rsidP="009735C0">
      <w:pPr>
        <w:pStyle w:val="Tablelegend"/>
        <w:tabs>
          <w:tab w:val="clear" w:pos="284"/>
        </w:tabs>
        <w:rPr>
          <w:lang w:val="fr-FR"/>
        </w:rPr>
      </w:pPr>
      <w:r w:rsidRPr="00E8660C">
        <w:rPr>
          <w:lang w:val="fr-FR"/>
        </w:rPr>
        <w:t>(*)</w:t>
      </w:r>
      <w:r w:rsidR="009735C0" w:rsidRPr="00E8660C">
        <w:rPr>
          <w:lang w:val="fr-FR"/>
        </w:rPr>
        <w:tab/>
      </w:r>
      <w:r w:rsidRPr="00E8660C">
        <w:rPr>
          <w:lang w:val="fr-FR"/>
        </w:rPr>
        <w:t>Projets multirégionaux profitant à toutes les régions</w:t>
      </w:r>
    </w:p>
    <w:p w14:paraId="7D3280F6" w14:textId="6AC16063" w:rsidR="002242F2" w:rsidRPr="00E8660C" w:rsidRDefault="002242F2" w:rsidP="00A6493E">
      <w:pPr>
        <w:pStyle w:val="Heading1"/>
        <w:rPr>
          <w:lang w:val="fr-FR"/>
        </w:rPr>
      </w:pPr>
      <w:r w:rsidRPr="00E8660C">
        <w:rPr>
          <w:lang w:val="fr-FR"/>
        </w:rPr>
        <w:t>2</w:t>
      </w:r>
      <w:r w:rsidRPr="00E8660C">
        <w:rPr>
          <w:lang w:val="fr-FR"/>
        </w:rPr>
        <w:tab/>
        <w:t>Discussions menées par le Conseil sur les moyens propres à renforcer la présence régionale de l'UIT</w:t>
      </w:r>
    </w:p>
    <w:p w14:paraId="158A63DE" w14:textId="1BF7E52B" w:rsidR="002242F2" w:rsidRPr="00E8660C" w:rsidRDefault="002242F2" w:rsidP="009735C0">
      <w:pPr>
        <w:rPr>
          <w:lang w:val="fr-FR"/>
        </w:rPr>
      </w:pPr>
      <w:r w:rsidRPr="00E8660C">
        <w:rPr>
          <w:lang w:val="fr-FR"/>
        </w:rPr>
        <w:t>2.1</w:t>
      </w:r>
      <w:r w:rsidRPr="00E8660C">
        <w:rPr>
          <w:lang w:val="fr-FR"/>
        </w:rPr>
        <w:tab/>
        <w:t>À sa réunion tenue du 11 au 13 octobre 2023, le Groupe de travail du Conseil sur les ressources financières et les ressources humaines (GTC-FHR) a brièvement examiné les deux</w:t>
      </w:r>
      <w:r w:rsidR="00A37F78" w:rsidRPr="00E8660C">
        <w:rPr>
          <w:lang w:val="fr-FR"/>
        </w:rPr>
        <w:t> </w:t>
      </w:r>
      <w:r w:rsidRPr="00E8660C">
        <w:rPr>
          <w:lang w:val="fr-FR"/>
        </w:rPr>
        <w:t xml:space="preserve">documents ci-après qui traitent des critères applicables à la création de futurs bureaux de zone: le </w:t>
      </w:r>
      <w:hyperlink r:id="rId36" w:history="1">
        <w:r w:rsidRPr="00E8660C">
          <w:rPr>
            <w:rStyle w:val="Hyperlink"/>
            <w:lang w:val="fr-FR"/>
          </w:rPr>
          <w:t>Document CWG-FHR-1</w:t>
        </w:r>
        <w:r w:rsidRPr="00E8660C">
          <w:rPr>
            <w:rStyle w:val="Hyperlink"/>
            <w:lang w:val="fr-FR"/>
          </w:rPr>
          <w:t>6</w:t>
        </w:r>
        <w:r w:rsidRPr="00E8660C">
          <w:rPr>
            <w:rStyle w:val="Hyperlink"/>
            <w:lang w:val="fr-FR"/>
          </w:rPr>
          <w:t>/10</w:t>
        </w:r>
      </w:hyperlink>
      <w:r w:rsidRPr="00E8660C">
        <w:rPr>
          <w:lang w:val="fr-FR"/>
        </w:rPr>
        <w:t xml:space="preserve"> intitulé "Renforcement de la présence régionale – Critères applicables à la création de futurs bureaux de zone", soumis par la Secrétaire générale, et le </w:t>
      </w:r>
      <w:hyperlink r:id="rId37" w:history="1">
        <w:r w:rsidRPr="00E8660C">
          <w:rPr>
            <w:rStyle w:val="Hyperlink"/>
            <w:lang w:val="fr-FR"/>
          </w:rPr>
          <w:t>Document CWG-FHR-</w:t>
        </w:r>
        <w:r w:rsidRPr="00E8660C">
          <w:rPr>
            <w:rStyle w:val="Hyperlink"/>
            <w:lang w:val="fr-FR"/>
          </w:rPr>
          <w:t>1</w:t>
        </w:r>
        <w:r w:rsidRPr="00E8660C">
          <w:rPr>
            <w:rStyle w:val="Hyperlink"/>
            <w:lang w:val="fr-FR"/>
          </w:rPr>
          <w:t>6/24(Rév.1)</w:t>
        </w:r>
      </w:hyperlink>
      <w:r w:rsidRPr="00E8660C">
        <w:rPr>
          <w:lang w:val="fr-FR"/>
        </w:rPr>
        <w:t xml:space="preserve"> intitulé "Contribution de plusieurs pays – Proposition concernant la création de futurs bureaux de zone (Algérie, Chine, Cuba, Fédération de Russie et République sudafricaine)".</w:t>
      </w:r>
    </w:p>
    <w:p w14:paraId="7925F0EB" w14:textId="0C13FC83" w:rsidR="002242F2" w:rsidRPr="00E8660C" w:rsidRDefault="002242F2" w:rsidP="009735C0">
      <w:pPr>
        <w:rPr>
          <w:lang w:val="fr-FR"/>
        </w:rPr>
      </w:pPr>
      <w:r w:rsidRPr="00E8660C">
        <w:rPr>
          <w:lang w:val="fr-FR"/>
        </w:rPr>
        <w:t>2.1.1</w:t>
      </w:r>
      <w:r w:rsidRPr="00E8660C">
        <w:rPr>
          <w:lang w:val="fr-FR"/>
        </w:rPr>
        <w:tab/>
        <w:t>Les documents ont été de nouveau présentés à la réunion du GTC-FHR tenue en janvier</w:t>
      </w:r>
      <w:r w:rsidR="00A6493E" w:rsidRPr="00E8660C">
        <w:rPr>
          <w:lang w:val="fr-FR"/>
        </w:rPr>
        <w:t> </w:t>
      </w:r>
      <w:r w:rsidRPr="00E8660C">
        <w:rPr>
          <w:lang w:val="fr-FR"/>
        </w:rPr>
        <w:t>2024, en vue de poursuivre les discussions et éventuellement d'examiner une proposition à soumettre au Conseil.</w:t>
      </w:r>
    </w:p>
    <w:p w14:paraId="3F986D32" w14:textId="6667E701" w:rsidR="002242F2" w:rsidRPr="00E8660C" w:rsidRDefault="002242F2" w:rsidP="009735C0">
      <w:pPr>
        <w:rPr>
          <w:lang w:val="fr-FR"/>
        </w:rPr>
      </w:pPr>
      <w:r w:rsidRPr="00E8660C">
        <w:rPr>
          <w:lang w:val="fr-FR"/>
        </w:rPr>
        <w:t>2.1.2</w:t>
      </w:r>
      <w:r w:rsidRPr="00E8660C">
        <w:rPr>
          <w:lang w:val="fr-FR"/>
        </w:rPr>
        <w:tab/>
        <w:t>À sa réunion tenue du 24 au 26 janvier 2024, le GTC-FHR a pris la décision suivante:</w:t>
      </w:r>
    </w:p>
    <w:p w14:paraId="55A1DA86" w14:textId="6519507C" w:rsidR="002242F2" w:rsidRPr="00E8660C" w:rsidRDefault="002242F2" w:rsidP="009735C0">
      <w:pPr>
        <w:rPr>
          <w:lang w:val="fr-FR"/>
        </w:rPr>
      </w:pPr>
      <w:r w:rsidRPr="00E8660C">
        <w:rPr>
          <w:lang w:val="fr-FR"/>
        </w:rPr>
        <w:lastRenderedPageBreak/>
        <w:t>2.1.3</w:t>
      </w:r>
      <w:r w:rsidRPr="00E8660C">
        <w:rPr>
          <w:lang w:val="fr-FR"/>
        </w:rPr>
        <w:tab/>
        <w:t>Certains États Membres ont demandé que le rapport soit transmis au Conseil pour approbation, tandis que d'autres ont indiqué attendre des informations complémentaires de la part du Comité consultatif, une coordination avec les autres Secteurs de l'UIT et une plus grande fidélité générale dans le document. Il a été noté que les critères proposés devraient être mesurables et qu'ils devraient tenir compte du rôle que jouent les organisations régionales. À</w:t>
      </w:r>
      <w:r w:rsidR="00017651" w:rsidRPr="00E8660C">
        <w:rPr>
          <w:lang w:val="fr-FR"/>
        </w:rPr>
        <w:t> </w:t>
      </w:r>
      <w:r w:rsidRPr="00E8660C">
        <w:rPr>
          <w:lang w:val="fr-FR"/>
        </w:rPr>
        <w:t>l'issue de nouvelles discussions à caractère général sur la question, il a été décidé que le</w:t>
      </w:r>
      <w:r w:rsidR="00017651" w:rsidRPr="00E8660C">
        <w:rPr>
          <w:lang w:val="fr-FR"/>
        </w:rPr>
        <w:t> </w:t>
      </w:r>
      <w:r w:rsidRPr="00E8660C">
        <w:rPr>
          <w:lang w:val="fr-FR"/>
        </w:rPr>
        <w:t>GTC</w:t>
      </w:r>
      <w:r w:rsidR="00017651" w:rsidRPr="00E8660C">
        <w:rPr>
          <w:lang w:val="fr-FR"/>
        </w:rPr>
        <w:noBreakHyphen/>
      </w:r>
      <w:r w:rsidRPr="00E8660C">
        <w:rPr>
          <w:lang w:val="fr-FR"/>
        </w:rPr>
        <w:t>FHR enverrait une note de liaison au GCDT et au Groupe de coordination intersectorielle (ISCG), afin de demander au Groupe consultatif et au Groupe ISCG d'examiner le rapport et de faire part de leurs observations à la prochaine session</w:t>
      </w:r>
      <w:r w:rsidR="009735C0" w:rsidRPr="00E8660C">
        <w:rPr>
          <w:lang w:val="fr-FR"/>
        </w:rPr>
        <w:t xml:space="preserve"> </w:t>
      </w:r>
      <w:r w:rsidRPr="00E8660C">
        <w:rPr>
          <w:lang w:val="fr-FR"/>
        </w:rPr>
        <w:t>du Conseil.</w:t>
      </w:r>
    </w:p>
    <w:p w14:paraId="3D492BD5" w14:textId="63F235F9" w:rsidR="002242F2" w:rsidRPr="00E8660C" w:rsidRDefault="002242F2" w:rsidP="009735C0">
      <w:pPr>
        <w:rPr>
          <w:lang w:val="fr-FR"/>
        </w:rPr>
      </w:pPr>
      <w:r w:rsidRPr="00E8660C">
        <w:rPr>
          <w:lang w:val="fr-FR"/>
        </w:rPr>
        <w:t>2.2</w:t>
      </w:r>
      <w:r w:rsidR="009735C0" w:rsidRPr="00E8660C">
        <w:rPr>
          <w:lang w:val="fr-FR"/>
        </w:rPr>
        <w:tab/>
      </w:r>
      <w:r w:rsidRPr="00E8660C">
        <w:rPr>
          <w:lang w:val="fr-FR"/>
        </w:rPr>
        <w:t>À sa réunion de mars 2025, le GTC-FHR a examiné le rapport soumis par le Groupe de travail par correspondance en ligne, dans lequel figurait le mandat révisé.</w:t>
      </w:r>
    </w:p>
    <w:p w14:paraId="3B236C76" w14:textId="1A73EA0C" w:rsidR="002242F2" w:rsidRPr="00E8660C" w:rsidRDefault="002242F2" w:rsidP="009735C0">
      <w:pPr>
        <w:rPr>
          <w:lang w:val="fr-FR"/>
        </w:rPr>
      </w:pPr>
      <w:r w:rsidRPr="00E8660C">
        <w:rPr>
          <w:lang w:val="fr-FR"/>
        </w:rPr>
        <w:t>2.2.1</w:t>
      </w:r>
      <w:r w:rsidR="009735C0" w:rsidRPr="00E8660C">
        <w:rPr>
          <w:lang w:val="fr-FR"/>
        </w:rPr>
        <w:tab/>
      </w:r>
      <w:r w:rsidRPr="00E8660C">
        <w:rPr>
          <w:lang w:val="fr-FR"/>
        </w:rPr>
        <w:t>Au cours des débats, plusieurs délégués ont demandé des précisions et formulé des observations sur certains éléments clés du mandat révisé, notamment:</w:t>
      </w:r>
    </w:p>
    <w:p w14:paraId="5904BBCA" w14:textId="072DC0D2" w:rsidR="002242F2" w:rsidRPr="00E8660C" w:rsidRDefault="009735C0" w:rsidP="009735C0">
      <w:pPr>
        <w:pStyle w:val="enumlev1"/>
        <w:rPr>
          <w:lang w:val="fr-FR"/>
        </w:rPr>
      </w:pPr>
      <w:r w:rsidRPr="00E8660C">
        <w:rPr>
          <w:lang w:val="fr-FR"/>
        </w:rPr>
        <w:t>–</w:t>
      </w:r>
      <w:r w:rsidR="002242F2" w:rsidRPr="00E8660C">
        <w:rPr>
          <w:lang w:val="fr-FR"/>
        </w:rPr>
        <w:tab/>
        <w:t>la portée des consultations avec les parties prenantes</w:t>
      </w:r>
      <w:r w:rsidRPr="00E8660C">
        <w:rPr>
          <w:lang w:val="fr-FR"/>
        </w:rPr>
        <w:t>;</w:t>
      </w:r>
    </w:p>
    <w:p w14:paraId="25A514D1" w14:textId="34B633AF" w:rsidR="002242F2" w:rsidRPr="00E8660C" w:rsidRDefault="009735C0" w:rsidP="009735C0">
      <w:pPr>
        <w:pStyle w:val="enumlev1"/>
        <w:rPr>
          <w:lang w:val="fr-FR"/>
        </w:rPr>
      </w:pPr>
      <w:r w:rsidRPr="00E8660C">
        <w:rPr>
          <w:lang w:val="fr-FR"/>
        </w:rPr>
        <w:t>–</w:t>
      </w:r>
      <w:r w:rsidR="002242F2" w:rsidRPr="00E8660C">
        <w:rPr>
          <w:lang w:val="fr-FR"/>
        </w:rPr>
        <w:tab/>
        <w:t>l'alignement des indicateurs fondamentaux de performance (IFP)</w:t>
      </w:r>
      <w:r w:rsidRPr="00E8660C">
        <w:rPr>
          <w:lang w:val="fr-FR"/>
        </w:rPr>
        <w:t>;</w:t>
      </w:r>
      <w:r w:rsidR="002242F2" w:rsidRPr="00E8660C">
        <w:rPr>
          <w:lang w:val="fr-FR"/>
        </w:rPr>
        <w:t xml:space="preserve"> et</w:t>
      </w:r>
    </w:p>
    <w:p w14:paraId="491C66FF" w14:textId="319B641D" w:rsidR="002242F2" w:rsidRPr="00E8660C" w:rsidRDefault="009735C0" w:rsidP="009735C0">
      <w:pPr>
        <w:pStyle w:val="enumlev1"/>
        <w:rPr>
          <w:lang w:val="fr-FR"/>
        </w:rPr>
      </w:pPr>
      <w:r w:rsidRPr="00E8660C">
        <w:rPr>
          <w:lang w:val="fr-FR"/>
        </w:rPr>
        <w:t>–</w:t>
      </w:r>
      <w:r w:rsidR="002242F2" w:rsidRPr="00E8660C">
        <w:rPr>
          <w:lang w:val="fr-FR"/>
        </w:rPr>
        <w:tab/>
        <w:t>le processus d'examen et d'évaluation.</w:t>
      </w:r>
    </w:p>
    <w:p w14:paraId="61A83301" w14:textId="43C31551" w:rsidR="002242F2" w:rsidRPr="00E8660C" w:rsidRDefault="002242F2" w:rsidP="009735C0">
      <w:pPr>
        <w:rPr>
          <w:lang w:val="fr-FR"/>
        </w:rPr>
      </w:pPr>
      <w:r w:rsidRPr="00E8660C">
        <w:rPr>
          <w:lang w:val="fr-FR"/>
        </w:rPr>
        <w:t>2.2.2</w:t>
      </w:r>
      <w:r w:rsidR="009735C0" w:rsidRPr="00E8660C">
        <w:rPr>
          <w:lang w:val="fr-FR"/>
        </w:rPr>
        <w:tab/>
      </w:r>
      <w:r w:rsidRPr="00E8660C">
        <w:rPr>
          <w:lang w:val="fr-FR"/>
        </w:rPr>
        <w:t xml:space="preserve">À l'issue des discussions, il a été décidé que le </w:t>
      </w:r>
      <w:r w:rsidR="00A6493E" w:rsidRPr="00E8660C">
        <w:rPr>
          <w:lang w:val="fr-FR"/>
        </w:rPr>
        <w:t>p</w:t>
      </w:r>
      <w:r w:rsidRPr="00E8660C">
        <w:rPr>
          <w:lang w:val="fr-FR"/>
        </w:rPr>
        <w:t>résident du Groupe de travail par correspondance en ligne tiendrait des consultations informelles avec les membres ayant formulé des commentaires et des observations. Les résultats de ces consultations serviront ensuite de base à l'élaboration d'un rapport révisé qui sera examiné plus avant par le Groupe de travail du Conseil.</w:t>
      </w:r>
    </w:p>
    <w:p w14:paraId="1E2EDA9B" w14:textId="352993A1" w:rsidR="002242F2" w:rsidRPr="00E8660C" w:rsidRDefault="002242F2" w:rsidP="009735C0">
      <w:pPr>
        <w:rPr>
          <w:lang w:val="fr-FR"/>
        </w:rPr>
      </w:pPr>
      <w:r w:rsidRPr="00E8660C">
        <w:rPr>
          <w:lang w:val="fr-FR"/>
        </w:rPr>
        <w:t>2.2.3</w:t>
      </w:r>
      <w:r w:rsidR="009735C0" w:rsidRPr="00E8660C">
        <w:rPr>
          <w:lang w:val="fr-FR"/>
        </w:rPr>
        <w:tab/>
      </w:r>
      <w:r w:rsidRPr="00E8660C">
        <w:rPr>
          <w:lang w:val="fr-FR"/>
        </w:rPr>
        <w:t xml:space="preserve">Une fois les consultations informelles menées à bien, des modifications ont été apportées au mandat, lequel a été soumis pour examen à la 20ème réunion du GCT-FHR. Le mandat révisé (reproduit dans l'Annexe A du </w:t>
      </w:r>
      <w:hyperlink r:id="rId38" w:history="1">
        <w:r w:rsidRPr="00E8660C">
          <w:rPr>
            <w:rStyle w:val="Hyperlink"/>
            <w:lang w:val="fr-FR"/>
          </w:rPr>
          <w:t>Document TDAG25/24(</w:t>
        </w:r>
        <w:r w:rsidRPr="00E8660C">
          <w:rPr>
            <w:rStyle w:val="Hyperlink"/>
            <w:lang w:val="fr-FR"/>
          </w:rPr>
          <w:t>A</w:t>
        </w:r>
        <w:r w:rsidRPr="00E8660C">
          <w:rPr>
            <w:rStyle w:val="Hyperlink"/>
            <w:lang w:val="fr-FR"/>
          </w:rPr>
          <w:t>nn.1)</w:t>
        </w:r>
      </w:hyperlink>
      <w:r w:rsidRPr="00E8660C">
        <w:rPr>
          <w:lang w:val="fr-FR"/>
        </w:rPr>
        <w:t>) a été adopté.</w:t>
      </w:r>
    </w:p>
    <w:p w14:paraId="04EF2AA2" w14:textId="1F5481F3" w:rsidR="009735C0" w:rsidRPr="00E8660C" w:rsidRDefault="009735C0" w:rsidP="009735C0">
      <w:pPr>
        <w:pStyle w:val="Heading1"/>
        <w:rPr>
          <w:lang w:val="fr-FR"/>
        </w:rPr>
      </w:pPr>
      <w:r w:rsidRPr="00E8660C">
        <w:rPr>
          <w:lang w:val="fr-FR"/>
        </w:rPr>
        <w:t>3</w:t>
      </w:r>
      <w:r w:rsidRPr="00E8660C">
        <w:rPr>
          <w:lang w:val="fr-FR"/>
        </w:rPr>
        <w:tab/>
        <w:t>Résumé des documents de référence</w:t>
      </w:r>
    </w:p>
    <w:p w14:paraId="6643331C" w14:textId="617E94E5" w:rsidR="009735C0" w:rsidRPr="00E8660C" w:rsidRDefault="009735C0" w:rsidP="009735C0">
      <w:pPr>
        <w:rPr>
          <w:lang w:val="fr-FR"/>
        </w:rPr>
      </w:pPr>
      <w:r w:rsidRPr="00E8660C">
        <w:rPr>
          <w:lang w:val="fr-FR"/>
        </w:rPr>
        <w:t>3.1</w:t>
      </w:r>
      <w:r w:rsidRPr="00E8660C">
        <w:rPr>
          <w:lang w:val="fr-FR"/>
        </w:rPr>
        <w:tab/>
      </w:r>
      <w:hyperlink r:id="rId39" w:history="1">
        <w:r w:rsidRPr="00E8660C">
          <w:rPr>
            <w:rStyle w:val="Hyperlink"/>
            <w:lang w:val="fr-FR"/>
          </w:rPr>
          <w:t>Document CWG-FHR-16/10</w:t>
        </w:r>
      </w:hyperlink>
    </w:p>
    <w:p w14:paraId="3B0CA418" w14:textId="3F8C8AF4" w:rsidR="009735C0" w:rsidRPr="00E8660C" w:rsidRDefault="009735C0" w:rsidP="009735C0">
      <w:pPr>
        <w:rPr>
          <w:lang w:val="fr-FR"/>
        </w:rPr>
      </w:pPr>
      <w:r w:rsidRPr="00E8660C">
        <w:rPr>
          <w:lang w:val="fr-FR"/>
        </w:rPr>
        <w:t>3.1.1</w:t>
      </w:r>
      <w:r w:rsidRPr="00E8660C">
        <w:rPr>
          <w:lang w:val="fr-FR"/>
        </w:rPr>
        <w:tab/>
        <w:t>Le document pose comme principe que l'expansion de la présence régionale de l'UIT devrait être envisagée lorsqu'il existe des lacunes avérées au niveau de la couverture de l'UIT, dans un nombre suffisant de pays pour justifier cette expansion. Il conviendrait de procéder à une évaluation pour déterminer s'il existe des lacunes dans la couverture actuelle de la présence régionale de l'UIT. Si l'évaluation fait apparaître l'existence de zones géographiques non desservies dans lesquelles plusieurs pays ne sont pas couverts efficacement, ces zones devraient être identifiées comme des zones de couverture potentielles, dans lesquelles il serait approprié d'étendre la présence de l'UIT.</w:t>
      </w:r>
    </w:p>
    <w:p w14:paraId="6F000E46" w14:textId="70C9882E" w:rsidR="009735C0" w:rsidRPr="00E8660C" w:rsidRDefault="009735C0" w:rsidP="009735C0">
      <w:pPr>
        <w:rPr>
          <w:lang w:val="fr-FR"/>
        </w:rPr>
      </w:pPr>
      <w:r w:rsidRPr="00E8660C">
        <w:rPr>
          <w:lang w:val="fr-FR"/>
        </w:rPr>
        <w:t>3.1.2</w:t>
      </w:r>
      <w:r w:rsidRPr="00E8660C">
        <w:rPr>
          <w:lang w:val="fr-FR"/>
        </w:rPr>
        <w:tab/>
        <w:t>Après avoir déterminé l'existence d'une zone géographique couvrant plusieurs pays qui ne peut être desservie efficacement par un bureau existant, l'étape suivante consiste à déterminer s'il conviendrait d'étendre la présence régionale de l'UIT pour combler cette lacune, et de l'emplacement qui devrait être choisi pour assurer cette présence.</w:t>
      </w:r>
    </w:p>
    <w:p w14:paraId="7030804C" w14:textId="3078F1B6" w:rsidR="009735C0" w:rsidRPr="00E8660C" w:rsidRDefault="009735C0" w:rsidP="009735C0">
      <w:pPr>
        <w:rPr>
          <w:lang w:val="fr-FR"/>
        </w:rPr>
      </w:pPr>
      <w:r w:rsidRPr="00E8660C">
        <w:rPr>
          <w:lang w:val="fr-FR"/>
        </w:rPr>
        <w:t>3.1.3</w:t>
      </w:r>
      <w:r w:rsidRPr="00E8660C">
        <w:rPr>
          <w:lang w:val="fr-FR"/>
        </w:rPr>
        <w:tab/>
        <w:t>Les critères applicables à l'ouverture d'un nouveau bureau dans une zone où des lacunes ont été identifiées sont les suivants:</w:t>
      </w:r>
    </w:p>
    <w:p w14:paraId="0FB6E0F8" w14:textId="125B660C" w:rsidR="009735C0" w:rsidRPr="00E8660C" w:rsidRDefault="009735C0" w:rsidP="009735C0">
      <w:pPr>
        <w:pStyle w:val="enumlev1"/>
        <w:rPr>
          <w:lang w:val="fr-FR"/>
        </w:rPr>
      </w:pPr>
      <w:r w:rsidRPr="00E8660C">
        <w:rPr>
          <w:lang w:val="fr-FR"/>
        </w:rPr>
        <w:t>–</w:t>
      </w:r>
      <w:r w:rsidRPr="00E8660C">
        <w:rPr>
          <w:lang w:val="fr-FR"/>
        </w:rPr>
        <w:tab/>
        <w:t>Pertinence: le nouvel emplacement proposé devrait permettre de renforcer la capacité de l'UIT à produire des retombées dans plusieurs pays.</w:t>
      </w:r>
    </w:p>
    <w:p w14:paraId="75E13938" w14:textId="12A73013" w:rsidR="009735C0" w:rsidRPr="00E8660C" w:rsidRDefault="009735C0" w:rsidP="009735C0">
      <w:pPr>
        <w:pStyle w:val="enumlev1"/>
        <w:rPr>
          <w:lang w:val="fr-FR"/>
        </w:rPr>
      </w:pPr>
      <w:r w:rsidRPr="00E8660C">
        <w:rPr>
          <w:lang w:val="fr-FR"/>
        </w:rPr>
        <w:lastRenderedPageBreak/>
        <w:t>–</w:t>
      </w:r>
      <w:r w:rsidRPr="00E8660C">
        <w:rPr>
          <w:lang w:val="fr-FR"/>
        </w:rPr>
        <w:tab/>
        <w:t>Exclusivité: l'emplacement proposé ne doit pas faire doublon avec une présence déjà existante au niveau sous-régional.</w:t>
      </w:r>
    </w:p>
    <w:p w14:paraId="5C5D2336" w14:textId="240F91F6" w:rsidR="009735C0" w:rsidRPr="00E8660C" w:rsidRDefault="009735C0" w:rsidP="009735C0">
      <w:pPr>
        <w:pStyle w:val="enumlev1"/>
        <w:rPr>
          <w:lang w:val="fr-FR"/>
        </w:rPr>
      </w:pPr>
      <w:r w:rsidRPr="00E8660C">
        <w:rPr>
          <w:lang w:val="fr-FR"/>
        </w:rPr>
        <w:t>–</w:t>
      </w:r>
      <w:r w:rsidRPr="00E8660C">
        <w:rPr>
          <w:lang w:val="fr-FR"/>
        </w:rPr>
        <w:tab/>
        <w:t>Faisabilité: il faut garantir des ressources suffisantes pour créer le bureau et financer une masse critique minimum de compétences techniques pendant une période prolongée et s'assurer que le pays hôte dispose des ressources et de la volonté nécessaires pour remplir les obligations requises pour accueillir un bureau de l'UIT.</w:t>
      </w:r>
    </w:p>
    <w:p w14:paraId="7C1CB0D8" w14:textId="5832B257" w:rsidR="009735C0" w:rsidRPr="00E8660C" w:rsidRDefault="009735C0" w:rsidP="009735C0">
      <w:pPr>
        <w:pStyle w:val="enumlev1"/>
        <w:rPr>
          <w:lang w:val="fr-FR"/>
        </w:rPr>
      </w:pPr>
      <w:r w:rsidRPr="00E8660C">
        <w:rPr>
          <w:lang w:val="fr-FR"/>
        </w:rPr>
        <w:t>–</w:t>
      </w:r>
      <w:r w:rsidRPr="00E8660C">
        <w:rPr>
          <w:lang w:val="fr-FR"/>
        </w:rPr>
        <w:tab/>
        <w:t>Sécurité: le niveau de sécurité à assurer selon l'évaluation effectuée par le DSS de l'ONU devrait être faible, c'est-à-dire que l'emplacement ne devrait être exposé à aucune menace particulière pour la sécurité du personnel et la continuité des activités.</w:t>
      </w:r>
    </w:p>
    <w:p w14:paraId="73B953B0" w14:textId="4AD02DA6" w:rsidR="009735C0" w:rsidRPr="00E8660C" w:rsidRDefault="009735C0" w:rsidP="009735C0">
      <w:pPr>
        <w:pStyle w:val="enumlev1"/>
        <w:rPr>
          <w:lang w:val="fr-FR"/>
        </w:rPr>
      </w:pPr>
      <w:r w:rsidRPr="00E8660C">
        <w:rPr>
          <w:lang w:val="fr-FR"/>
        </w:rPr>
        <w:t>–</w:t>
      </w:r>
      <w:r w:rsidRPr="00E8660C">
        <w:rPr>
          <w:lang w:val="fr-FR"/>
        </w:rPr>
        <w:tab/>
        <w:t>Proximité: il faut assurer une proximité géographique efficace avec les pays qui en ont besoin, en particulier les PMA, les PDSL et les PEID, ainsi qu'un bon accès aux centres régionaux ou sous-régionaux d'autres institutions du système des Nations Unies et/ou d'une organisation régionale de télécommunication.</w:t>
      </w:r>
    </w:p>
    <w:p w14:paraId="27CC85A5" w14:textId="13993DE9" w:rsidR="009735C0" w:rsidRPr="00E8660C" w:rsidRDefault="009735C0" w:rsidP="009735C0">
      <w:pPr>
        <w:pStyle w:val="enumlev1"/>
        <w:rPr>
          <w:lang w:val="fr-FR"/>
        </w:rPr>
      </w:pPr>
      <w:r w:rsidRPr="00E8660C">
        <w:rPr>
          <w:lang w:val="fr-FR"/>
        </w:rPr>
        <w:t>–</w:t>
      </w:r>
      <w:r w:rsidRPr="00E8660C">
        <w:rPr>
          <w:lang w:val="fr-FR"/>
        </w:rPr>
        <w:tab/>
        <w:t>Accessibilité: l'emplacement proposé donne accès à un carrefour aérien avec de nombreuses connexions internationales (pour faciliter l'accès extérieur) et des connexions directes avec les autres pays de la sous-région.</w:t>
      </w:r>
    </w:p>
    <w:p w14:paraId="6C2FC469" w14:textId="053365C6" w:rsidR="009735C0" w:rsidRPr="00E8660C" w:rsidRDefault="009735C0" w:rsidP="009735C0">
      <w:pPr>
        <w:rPr>
          <w:lang w:val="fr-FR"/>
        </w:rPr>
      </w:pPr>
      <w:r w:rsidRPr="00E8660C">
        <w:rPr>
          <w:lang w:val="fr-FR"/>
        </w:rPr>
        <w:t>3.1.4</w:t>
      </w:r>
      <w:r w:rsidRPr="00E8660C">
        <w:rPr>
          <w:lang w:val="fr-FR"/>
        </w:rPr>
        <w:tab/>
        <w:t>Après avoir déterminé qu'une présence additionnelle de l'UIT est souhaitable et identifié les emplacements possibles, il convient de déterminer quelle forme prendrait cette présence. Il peut s'agir de l'ouverture d'un nouveau bureau régional ou bureau de zone ou d'un nouveau partenariat avec d'autres institutions ou entités internationales pour renforcer les activités de l'UIT dans la zone.</w:t>
      </w:r>
    </w:p>
    <w:p w14:paraId="7F8ED631" w14:textId="5B1E0DD5" w:rsidR="009735C0" w:rsidRPr="00E8660C" w:rsidRDefault="009735C0" w:rsidP="009735C0">
      <w:pPr>
        <w:rPr>
          <w:lang w:val="fr-FR"/>
        </w:rPr>
      </w:pPr>
      <w:r w:rsidRPr="00E8660C">
        <w:rPr>
          <w:lang w:val="fr-FR"/>
        </w:rPr>
        <w:t>3.2</w:t>
      </w:r>
      <w:r w:rsidRPr="00E8660C">
        <w:rPr>
          <w:lang w:val="fr-FR"/>
        </w:rPr>
        <w:tab/>
      </w:r>
      <w:hyperlink r:id="rId40" w:history="1">
        <w:r w:rsidRPr="00E8660C">
          <w:rPr>
            <w:rStyle w:val="Hyperlink"/>
            <w:lang w:val="fr-FR"/>
          </w:rPr>
          <w:t>Document CWG-FHR-16/24 (Rév</w:t>
        </w:r>
        <w:r w:rsidRPr="00E8660C">
          <w:rPr>
            <w:rStyle w:val="Hyperlink"/>
            <w:lang w:val="fr-FR"/>
          </w:rPr>
          <w:t>.</w:t>
        </w:r>
        <w:r w:rsidRPr="00E8660C">
          <w:rPr>
            <w:rStyle w:val="Hyperlink"/>
            <w:lang w:val="fr-FR"/>
          </w:rPr>
          <w:t>1)</w:t>
        </w:r>
      </w:hyperlink>
    </w:p>
    <w:p w14:paraId="25BC254A" w14:textId="69B6FC8F" w:rsidR="009735C0" w:rsidRPr="00E8660C" w:rsidRDefault="009735C0" w:rsidP="009735C0">
      <w:pPr>
        <w:rPr>
          <w:lang w:val="fr-FR"/>
        </w:rPr>
      </w:pPr>
      <w:r w:rsidRPr="00E8660C">
        <w:rPr>
          <w:lang w:val="fr-FR"/>
        </w:rPr>
        <w:t>3.2.1</w:t>
      </w:r>
      <w:r w:rsidRPr="00E8660C">
        <w:rPr>
          <w:lang w:val="fr-FR"/>
        </w:rPr>
        <w:tab/>
        <w:t>Le document établit que la présence régionale joue un rôle crucial pour donner effet à la mission de l'UIT, renforcer la compréhension par l'Union des réalités locales et répondre aux besoins des pays de manière efficace. En particulier, le rôle des bureaux régionaux et des bureaux de zone de l'UIT est d'aider les pays de la région dans de nombreux domaines, notamment en ce qui concerne l'exécution et le suivi des projets, y compris ceux relatifs aux initiatives régionales, la réduction de l'écart en matière de normalisation, le renforcement des capacités relatives à la gestion des fréquences et la communication d'informations mises à jour sur les activités de l'UIT, et de renforcer la collaboration avec les organisations régionales de télécommunication.</w:t>
      </w:r>
    </w:p>
    <w:p w14:paraId="3DEF5BBA" w14:textId="2EC045EE" w:rsidR="009735C0" w:rsidRPr="00E8660C" w:rsidRDefault="009735C0" w:rsidP="009735C0">
      <w:pPr>
        <w:rPr>
          <w:lang w:val="fr-FR"/>
        </w:rPr>
      </w:pPr>
      <w:r w:rsidRPr="00E8660C">
        <w:rPr>
          <w:lang w:val="fr-FR"/>
        </w:rPr>
        <w:t>3.2.2</w:t>
      </w:r>
      <w:r w:rsidRPr="00E8660C">
        <w:rPr>
          <w:lang w:val="fr-FR"/>
        </w:rPr>
        <w:tab/>
        <w:t>Le document présente des observations sur l'appui fourni par le Secteur du développement des télécommunications de l'UIT (UIT-D) par l'intermédiaire de la présence régionale. Il est noté que la majorité des recommandations visant à renforcer la présence régionale ont été mises en œuvre ou sont en train d'être mises en œuvre, et que les résultats se sont régulièrement améliorés depuis 2019.</w:t>
      </w:r>
    </w:p>
    <w:p w14:paraId="229ED23A" w14:textId="4E94268C" w:rsidR="009735C0" w:rsidRPr="00E8660C" w:rsidRDefault="009735C0" w:rsidP="009735C0">
      <w:pPr>
        <w:rPr>
          <w:lang w:val="fr-FR"/>
        </w:rPr>
      </w:pPr>
      <w:r w:rsidRPr="00E8660C">
        <w:rPr>
          <w:lang w:val="fr-FR"/>
        </w:rPr>
        <w:t>3.2.3</w:t>
      </w:r>
      <w:r w:rsidRPr="00E8660C">
        <w:rPr>
          <w:lang w:val="fr-FR"/>
        </w:rPr>
        <w:tab/>
        <w:t>Ce document contient les propositions suivantes:</w:t>
      </w:r>
    </w:p>
    <w:p w14:paraId="41F3C4E0" w14:textId="6718CC68" w:rsidR="009735C0" w:rsidRPr="00E8660C" w:rsidRDefault="009735C0" w:rsidP="009735C0">
      <w:pPr>
        <w:pStyle w:val="enumlev1"/>
        <w:rPr>
          <w:lang w:val="fr-FR"/>
        </w:rPr>
      </w:pPr>
      <w:r w:rsidRPr="00E8660C">
        <w:rPr>
          <w:lang w:val="fr-FR"/>
        </w:rPr>
        <w:t>1)</w:t>
      </w:r>
      <w:r w:rsidRPr="00E8660C">
        <w:rPr>
          <w:lang w:val="fr-FR"/>
        </w:rPr>
        <w:tab/>
        <w:t>La création de bureaux de zone devrait tenir compte de divers facteurs, notamment la volonté du pays hôte, les besoins des zones concernées, les ressources financières disponibles, la représentation géographique, etc., ainsi que de l'expérience préalable.</w:t>
      </w:r>
    </w:p>
    <w:p w14:paraId="3FD49BFE" w14:textId="242F0B9B" w:rsidR="009735C0" w:rsidRPr="00E8660C" w:rsidRDefault="009735C0" w:rsidP="00A6493E">
      <w:pPr>
        <w:pStyle w:val="enumlev1"/>
        <w:keepNext/>
        <w:keepLines/>
        <w:rPr>
          <w:lang w:val="fr-FR"/>
        </w:rPr>
      </w:pPr>
      <w:r w:rsidRPr="00E8660C">
        <w:rPr>
          <w:lang w:val="fr-FR"/>
        </w:rPr>
        <w:lastRenderedPageBreak/>
        <w:t>2)</w:t>
      </w:r>
      <w:r w:rsidRPr="00E8660C">
        <w:rPr>
          <w:lang w:val="fr-FR"/>
        </w:rPr>
        <w:tab/>
        <w:t>Étant donné que le BDT est responsable des bureaux régionaux et des bureaux de zone, les normes applicables à la création de bureaux de zone devraient être examinées de manière approfondie par le GCDT et le Conseil à sa prochaine session, afin de mener des enquêtes et de rassembler toutes les informations concernant les lacunes potentielles dans les services fournis aux États Membres et de proposer des procédures et les critères et indicateurs nécessaires en conséquence dans chaque région et de faire rapport au Conseil à sa prochaine session, pour examen.</w:t>
      </w:r>
    </w:p>
    <w:p w14:paraId="5A713836" w14:textId="278B54A3" w:rsidR="009735C0" w:rsidRPr="00E8660C" w:rsidRDefault="009735C0" w:rsidP="009735C0">
      <w:pPr>
        <w:pStyle w:val="enumlev1"/>
        <w:rPr>
          <w:lang w:val="fr-FR"/>
        </w:rPr>
      </w:pPr>
      <w:r w:rsidRPr="00E8660C">
        <w:rPr>
          <w:lang w:val="fr-FR"/>
        </w:rPr>
        <w:t>3)</w:t>
      </w:r>
      <w:r w:rsidRPr="00E8660C">
        <w:rPr>
          <w:lang w:val="fr-FR"/>
        </w:rPr>
        <w:tab/>
        <w:t>L'objectif principal de la création de bureaux de zone est de fournir de meilleurs services aux États Membres qui ont besoin d'une assistance. Tous les critères à élaborer en vue de la création de bureaux de zone devraient répondre à cet objectif.</w:t>
      </w:r>
    </w:p>
    <w:p w14:paraId="4A6E9C88" w14:textId="2B580C3D" w:rsidR="009735C0" w:rsidRPr="00E8660C" w:rsidRDefault="009735C0" w:rsidP="009735C0">
      <w:pPr>
        <w:pStyle w:val="enumlev1"/>
        <w:rPr>
          <w:lang w:val="fr-FR"/>
        </w:rPr>
      </w:pPr>
      <w:r w:rsidRPr="00E8660C">
        <w:rPr>
          <w:lang w:val="fr-FR"/>
        </w:rPr>
        <w:t>4)</w:t>
      </w:r>
      <w:r w:rsidRPr="00E8660C">
        <w:rPr>
          <w:lang w:val="fr-FR"/>
        </w:rPr>
        <w:tab/>
        <w:t>La création de bureaux de zone devrait tenir compte du développement socio</w:t>
      </w:r>
      <w:r w:rsidR="00E8660C" w:rsidRPr="00E8660C">
        <w:rPr>
          <w:lang w:val="fr-FR"/>
        </w:rPr>
        <w:noBreakHyphen/>
      </w:r>
      <w:r w:rsidRPr="00E8660C">
        <w:rPr>
          <w:lang w:val="fr-FR"/>
        </w:rPr>
        <w:t>économique des pays visés, en accordant la priorité aux bureaux de zone visant à</w:t>
      </w:r>
      <w:r w:rsidR="00E8660C" w:rsidRPr="00E8660C">
        <w:rPr>
          <w:lang w:val="fr-FR"/>
        </w:rPr>
        <w:t> </w:t>
      </w:r>
      <w:r w:rsidRPr="00E8660C">
        <w:rPr>
          <w:lang w:val="fr-FR"/>
        </w:rPr>
        <w:t>fournir des services aux pays les moins avancés (PMA).</w:t>
      </w:r>
    </w:p>
    <w:p w14:paraId="4805197D" w14:textId="42637581" w:rsidR="004C594A" w:rsidRPr="00E8660C" w:rsidRDefault="004C594A" w:rsidP="004C594A">
      <w:pPr>
        <w:rPr>
          <w:lang w:val="fr-FR"/>
        </w:rPr>
      </w:pPr>
      <w:r w:rsidRPr="00E8660C">
        <w:rPr>
          <w:lang w:val="fr-FR"/>
        </w:rPr>
        <w:t>3.3</w:t>
      </w:r>
      <w:r w:rsidRPr="00E8660C">
        <w:rPr>
          <w:lang w:val="fr-FR"/>
        </w:rPr>
        <w:tab/>
      </w:r>
      <w:hyperlink r:id="rId41" w:history="1">
        <w:r w:rsidR="00E8660C" w:rsidRPr="00E8660C">
          <w:rPr>
            <w:rStyle w:val="Hyperlink"/>
            <w:lang w:val="fr-FR"/>
          </w:rPr>
          <w:t>Documents CWG-FHR-20/</w:t>
        </w:r>
        <w:r w:rsidR="00E8660C" w:rsidRPr="00E8660C">
          <w:rPr>
            <w:rStyle w:val="Hyperlink"/>
            <w:lang w:val="fr-FR"/>
          </w:rPr>
          <w:t>2</w:t>
        </w:r>
      </w:hyperlink>
      <w:r w:rsidRPr="00E8660C">
        <w:rPr>
          <w:lang w:val="fr-FR"/>
        </w:rPr>
        <w:t xml:space="preserve"> et </w:t>
      </w:r>
      <w:hyperlink r:id="rId42" w:history="1">
        <w:r w:rsidRPr="00E8660C">
          <w:rPr>
            <w:rStyle w:val="Hyperlink"/>
            <w:lang w:val="fr-FR"/>
          </w:rPr>
          <w:t>CWG-F</w:t>
        </w:r>
        <w:r w:rsidRPr="00E8660C">
          <w:rPr>
            <w:rStyle w:val="Hyperlink"/>
            <w:lang w:val="fr-FR"/>
          </w:rPr>
          <w:t>H</w:t>
        </w:r>
        <w:r w:rsidRPr="00E8660C">
          <w:rPr>
            <w:rStyle w:val="Hyperlink"/>
            <w:lang w:val="fr-FR"/>
          </w:rPr>
          <w:t>R-20/DT/1</w:t>
        </w:r>
      </w:hyperlink>
    </w:p>
    <w:p w14:paraId="06AF9A5E" w14:textId="677FC7E4" w:rsidR="004C594A" w:rsidRPr="00E8660C" w:rsidRDefault="004C594A" w:rsidP="004C594A">
      <w:pPr>
        <w:rPr>
          <w:lang w:val="fr-FR"/>
        </w:rPr>
      </w:pPr>
      <w:r w:rsidRPr="00E8660C">
        <w:rPr>
          <w:lang w:val="fr-FR"/>
        </w:rPr>
        <w:t>3.3.1</w:t>
      </w:r>
      <w:r w:rsidRPr="00E8660C">
        <w:rPr>
          <w:lang w:val="fr-FR"/>
        </w:rPr>
        <w:tab/>
        <w:t xml:space="preserve">À sa 19ème réunion, le GTC-FHR a décidé de créer un Groupe de travail par correspondance en ligne chargé de définir un mandat afin que le Secrétariat de l'UIT puisse mener à bien un examen de la présence régionale au titre de la </w:t>
      </w:r>
      <w:hyperlink r:id="rId43" w:history="1">
        <w:r w:rsidRPr="00E8660C">
          <w:rPr>
            <w:rStyle w:val="Hyperlink"/>
            <w:i/>
            <w:iCs/>
            <w:lang w:val="fr-FR"/>
          </w:rPr>
          <w:t>Résolution 25</w:t>
        </w:r>
      </w:hyperlink>
      <w:r w:rsidRPr="00E8660C">
        <w:rPr>
          <w:i/>
          <w:iCs/>
          <w:lang w:val="fr-FR"/>
        </w:rPr>
        <w:t xml:space="preserve"> (Rév. Buc</w:t>
      </w:r>
      <w:r w:rsidRPr="00E8660C">
        <w:rPr>
          <w:i/>
          <w:iCs/>
          <w:lang w:val="fr-FR"/>
        </w:rPr>
        <w:t>a</w:t>
      </w:r>
      <w:r w:rsidRPr="00E8660C">
        <w:rPr>
          <w:i/>
          <w:iCs/>
          <w:lang w:val="fr-FR"/>
        </w:rPr>
        <w:t>rest, 2022)</w:t>
      </w:r>
      <w:r w:rsidRPr="00E8660C">
        <w:rPr>
          <w:lang w:val="fr-FR"/>
        </w:rPr>
        <w:t xml:space="preserve"> de la</w:t>
      </w:r>
      <w:r w:rsidR="00A6493E" w:rsidRPr="00E8660C">
        <w:rPr>
          <w:lang w:val="fr-FR"/>
        </w:rPr>
        <w:t> </w:t>
      </w:r>
      <w:r w:rsidRPr="00E8660C">
        <w:rPr>
          <w:lang w:val="fr-FR"/>
        </w:rPr>
        <w:t>PP. Le Groupe de travail par correspondance a été chargé d'examiner le mandat présenté à la</w:t>
      </w:r>
      <w:r w:rsidR="00A6493E" w:rsidRPr="00E8660C">
        <w:rPr>
          <w:lang w:val="fr-FR"/>
        </w:rPr>
        <w:t> </w:t>
      </w:r>
      <w:r w:rsidRPr="00E8660C">
        <w:rPr>
          <w:lang w:val="fr-FR"/>
        </w:rPr>
        <w:t>19ème réunion du GTC-FHR, et de soumettre son rapport à la 20ème réunion.</w:t>
      </w:r>
    </w:p>
    <w:p w14:paraId="19C1C657" w14:textId="7CF85054" w:rsidR="004C594A" w:rsidRPr="00E8660C" w:rsidRDefault="004C594A" w:rsidP="004C594A">
      <w:pPr>
        <w:rPr>
          <w:lang w:val="fr-FR"/>
        </w:rPr>
      </w:pPr>
      <w:r w:rsidRPr="00E8660C">
        <w:rPr>
          <w:lang w:val="fr-FR"/>
        </w:rPr>
        <w:t>3.3.2</w:t>
      </w:r>
      <w:r w:rsidRPr="00E8660C">
        <w:rPr>
          <w:lang w:val="fr-FR"/>
        </w:rPr>
        <w:tab/>
        <w:t>Le Groupe de travail par correspondance en ligne a mené ses travaux entre le 22 novembre 2024 et le 15 janvier 2025, en s'appuyant sur les outils en ligne afin de faciliter la collaboration entre les membres. Il a été tenu trois réunions virtuelles, qui ont donné lieu à des débats approfondis et à des échanges de points de vue.</w:t>
      </w:r>
    </w:p>
    <w:p w14:paraId="39E2C84E" w14:textId="72B444EE" w:rsidR="004C594A" w:rsidRPr="00E8660C" w:rsidRDefault="004C594A" w:rsidP="004C594A">
      <w:pPr>
        <w:rPr>
          <w:lang w:val="fr-FR"/>
        </w:rPr>
      </w:pPr>
      <w:r w:rsidRPr="00E8660C">
        <w:rPr>
          <w:lang w:val="fr-FR"/>
        </w:rPr>
        <w:t>3.3.3</w:t>
      </w:r>
      <w:r w:rsidRPr="00E8660C">
        <w:rPr>
          <w:lang w:val="fr-FR"/>
        </w:rPr>
        <w:tab/>
        <w:t>À l'issue d'une analyse rigoureuse de la Résolution 25 (Rév. Bucarest, 2022) de la PP, le</w:t>
      </w:r>
      <w:r w:rsidR="00A6493E" w:rsidRPr="00E8660C">
        <w:rPr>
          <w:lang w:val="fr-FR"/>
        </w:rPr>
        <w:t> </w:t>
      </w:r>
      <w:r w:rsidRPr="00E8660C">
        <w:rPr>
          <w:lang w:val="fr-FR"/>
        </w:rPr>
        <w:t>Groupe de travail par correspondance a produit un mandat révisé. Les révisions apportées visent à la fois à renforcer et affiner l'examen par l'UIT de sa présence régionale, dans le but d'accroître l'efficacité opérationnelle et de susciter une plus forte mobilisation des bureaux régionaux et des bureaux de zone.</w:t>
      </w:r>
    </w:p>
    <w:p w14:paraId="4C2B23DD" w14:textId="58776798" w:rsidR="004C594A" w:rsidRPr="00E8660C" w:rsidRDefault="004C594A" w:rsidP="004C594A">
      <w:pPr>
        <w:rPr>
          <w:lang w:val="fr-FR"/>
        </w:rPr>
      </w:pPr>
      <w:r w:rsidRPr="00E8660C">
        <w:rPr>
          <w:lang w:val="fr-FR"/>
        </w:rPr>
        <w:t>3.3.4</w:t>
      </w:r>
      <w:r w:rsidRPr="00E8660C">
        <w:rPr>
          <w:lang w:val="fr-FR"/>
        </w:rPr>
        <w:tab/>
        <w:t xml:space="preserve">Les documents soumis à la 20ème réunion du GTC-FHR présentent les travaux menés par le Groupe de travail par correspondance en ligne et contiennent le mandat révisé (voir l'Annexe A du </w:t>
      </w:r>
      <w:hyperlink r:id="rId44" w:history="1">
        <w:r w:rsidRPr="00E8660C">
          <w:rPr>
            <w:rStyle w:val="Hyperlink"/>
            <w:lang w:val="fr-FR"/>
          </w:rPr>
          <w:t>Document TDAG25/24(An</w:t>
        </w:r>
        <w:r w:rsidRPr="00E8660C">
          <w:rPr>
            <w:rStyle w:val="Hyperlink"/>
            <w:lang w:val="fr-FR"/>
          </w:rPr>
          <w:t>n</w:t>
        </w:r>
        <w:r w:rsidRPr="00E8660C">
          <w:rPr>
            <w:rStyle w:val="Hyperlink"/>
            <w:lang w:val="fr-FR"/>
          </w:rPr>
          <w:t>.1)</w:t>
        </w:r>
      </w:hyperlink>
      <w:r w:rsidRPr="00E8660C">
        <w:rPr>
          <w:lang w:val="fr-FR"/>
        </w:rPr>
        <w:t>), lequel fournit un cadre stratégique pour guider le processus d'examen, en veillant à ce que celui-ci soit complet, efficace et conforme aux objectifs à long terme de l'Union.</w:t>
      </w:r>
    </w:p>
    <w:p w14:paraId="2E0BB2B9" w14:textId="068A7D06" w:rsidR="004C594A" w:rsidRPr="00E8660C" w:rsidRDefault="004C594A" w:rsidP="004C594A">
      <w:pPr>
        <w:pStyle w:val="Heading1"/>
        <w:rPr>
          <w:lang w:val="fr-FR"/>
        </w:rPr>
      </w:pPr>
      <w:r w:rsidRPr="00E8660C">
        <w:rPr>
          <w:lang w:val="fr-FR"/>
        </w:rPr>
        <w:t>4</w:t>
      </w:r>
      <w:r w:rsidRPr="00E8660C">
        <w:rPr>
          <w:lang w:val="fr-FR"/>
        </w:rPr>
        <w:tab/>
        <w:t>Conclusion</w:t>
      </w:r>
    </w:p>
    <w:p w14:paraId="43B45ED7" w14:textId="581EF872" w:rsidR="00763C43" w:rsidRPr="00E8660C" w:rsidRDefault="004C594A" w:rsidP="004C594A">
      <w:pPr>
        <w:rPr>
          <w:lang w:val="fr-FR"/>
        </w:rPr>
      </w:pPr>
      <w:r w:rsidRPr="00E8660C">
        <w:rPr>
          <w:lang w:val="fr-FR"/>
        </w:rPr>
        <w:t>Le GCDT est invité à prendre note du présent document et à fournir les indications qu'il jugera utiles, pour soumission à la prochaine session du Conseil.</w:t>
      </w:r>
      <w:bookmarkStart w:id="6" w:name="Proposal"/>
      <w:bookmarkEnd w:id="6"/>
    </w:p>
    <w:p w14:paraId="466B3D12" w14:textId="77777777" w:rsidR="004C594A" w:rsidRPr="00E8660C" w:rsidRDefault="004C594A">
      <w:pPr>
        <w:jc w:val="center"/>
        <w:rPr>
          <w:lang w:val="fr-FR"/>
        </w:rPr>
      </w:pPr>
      <w:r w:rsidRPr="00E8660C">
        <w:rPr>
          <w:lang w:val="fr-FR"/>
        </w:rPr>
        <w:t>______________</w:t>
      </w:r>
    </w:p>
    <w:sectPr w:rsidR="004C594A" w:rsidRPr="00E8660C" w:rsidSect="00473791">
      <w:headerReference w:type="default" r:id="rId45"/>
      <w:footerReference w:type="first" r:id="rId4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2105AF" w14:paraId="5C2B0E2D" w14:textId="77777777" w:rsidTr="005539C3">
      <w:tc>
        <w:tcPr>
          <w:tcW w:w="1526" w:type="dxa"/>
          <w:tcBorders>
            <w:top w:val="single" w:sz="4" w:space="0" w:color="000000" w:themeColor="text1"/>
          </w:tcBorders>
        </w:tcPr>
        <w:p w14:paraId="176205BE" w14:textId="77777777" w:rsidR="001B030A" w:rsidRPr="001830C2" w:rsidRDefault="001B030A" w:rsidP="001B030A">
          <w:pPr>
            <w:pStyle w:val="FirstFooter"/>
            <w:tabs>
              <w:tab w:val="left" w:pos="1559"/>
              <w:tab w:val="left" w:pos="3828"/>
            </w:tabs>
            <w:rPr>
              <w:sz w:val="18"/>
              <w:szCs w:val="18"/>
            </w:rPr>
          </w:pPr>
          <w:bookmarkStart w:id="7" w:name="Email"/>
          <w:bookmarkEnd w:id="7"/>
          <w:r w:rsidRPr="001830C2">
            <w:rPr>
              <w:sz w:val="18"/>
              <w:szCs w:val="18"/>
            </w:rPr>
            <w:t>Contact:</w:t>
          </w:r>
        </w:p>
      </w:tc>
      <w:tc>
        <w:tcPr>
          <w:tcW w:w="2410" w:type="dxa"/>
          <w:tcBorders>
            <w:top w:val="single" w:sz="4" w:space="0" w:color="000000" w:themeColor="text1"/>
          </w:tcBorders>
        </w:tcPr>
        <w:p w14:paraId="26830CB6" w14:textId="77777777" w:rsidR="001B030A" w:rsidRPr="001830C2" w:rsidRDefault="001B030A" w:rsidP="001B030A">
          <w:pPr>
            <w:pStyle w:val="FirstFooter"/>
            <w:tabs>
              <w:tab w:val="left" w:pos="2302"/>
            </w:tabs>
            <w:ind w:left="2302" w:hanging="2302"/>
            <w:rPr>
              <w:sz w:val="18"/>
              <w:szCs w:val="18"/>
            </w:rPr>
          </w:pPr>
          <w:r w:rsidRPr="001830C2">
            <w:rPr>
              <w:sz w:val="18"/>
              <w:szCs w:val="18"/>
            </w:rPr>
            <w:t>Nom/Organisation/Entité:</w:t>
          </w:r>
        </w:p>
      </w:tc>
      <w:tc>
        <w:tcPr>
          <w:tcW w:w="5919" w:type="dxa"/>
          <w:tcBorders>
            <w:top w:val="single" w:sz="4" w:space="0" w:color="000000" w:themeColor="text1"/>
          </w:tcBorders>
        </w:tcPr>
        <w:p w14:paraId="0C8B6EEC" w14:textId="439E878B" w:rsidR="001B030A" w:rsidRPr="001830C2" w:rsidRDefault="00D24185" w:rsidP="001B030A">
          <w:pPr>
            <w:pStyle w:val="FirstFooter"/>
            <w:rPr>
              <w:sz w:val="18"/>
              <w:szCs w:val="18"/>
              <w:highlight w:val="yellow"/>
            </w:rPr>
          </w:pPr>
          <w:r w:rsidRPr="001830C2">
            <w:rPr>
              <w:sz w:val="18"/>
              <w:szCs w:val="18"/>
            </w:rPr>
            <w:t>Mme Archana Gulati, Adjointe au Directeur du Bureau de développement des télécommunications</w:t>
          </w:r>
        </w:p>
      </w:tc>
    </w:tr>
    <w:tr w:rsidR="001B030A" w:rsidRPr="002105AF" w14:paraId="298FE8EB" w14:textId="77777777" w:rsidTr="005539C3">
      <w:tc>
        <w:tcPr>
          <w:tcW w:w="1526" w:type="dxa"/>
        </w:tcPr>
        <w:p w14:paraId="7ACBC842" w14:textId="77777777" w:rsidR="001B030A" w:rsidRPr="001830C2" w:rsidRDefault="001B030A" w:rsidP="001B030A">
          <w:pPr>
            <w:pStyle w:val="FirstFooter"/>
            <w:tabs>
              <w:tab w:val="left" w:pos="1559"/>
              <w:tab w:val="left" w:pos="3828"/>
            </w:tabs>
            <w:rPr>
              <w:sz w:val="18"/>
              <w:szCs w:val="18"/>
            </w:rPr>
          </w:pPr>
        </w:p>
      </w:tc>
      <w:tc>
        <w:tcPr>
          <w:tcW w:w="2410" w:type="dxa"/>
        </w:tcPr>
        <w:p w14:paraId="76CE8C1A" w14:textId="77777777" w:rsidR="001B030A" w:rsidRPr="001830C2" w:rsidRDefault="001B030A" w:rsidP="001B030A">
          <w:pPr>
            <w:pStyle w:val="FirstFooter"/>
            <w:tabs>
              <w:tab w:val="left" w:pos="2302"/>
            </w:tabs>
            <w:rPr>
              <w:sz w:val="18"/>
              <w:szCs w:val="18"/>
            </w:rPr>
          </w:pPr>
          <w:r w:rsidRPr="001830C2">
            <w:rPr>
              <w:sz w:val="18"/>
              <w:szCs w:val="18"/>
            </w:rPr>
            <w:t>Numéro de téléphone:</w:t>
          </w:r>
        </w:p>
      </w:tc>
      <w:tc>
        <w:tcPr>
          <w:tcW w:w="5919" w:type="dxa"/>
        </w:tcPr>
        <w:p w14:paraId="6CE1B2A9" w14:textId="79C4ABC8" w:rsidR="001B030A" w:rsidRPr="001830C2" w:rsidRDefault="00D24185" w:rsidP="001B030A">
          <w:pPr>
            <w:pStyle w:val="FirstFooter"/>
            <w:tabs>
              <w:tab w:val="left" w:pos="2302"/>
            </w:tabs>
            <w:rPr>
              <w:sz w:val="18"/>
              <w:szCs w:val="18"/>
              <w:highlight w:val="yellow"/>
            </w:rPr>
          </w:pPr>
          <w:r w:rsidRPr="001830C2">
            <w:rPr>
              <w:sz w:val="18"/>
              <w:szCs w:val="18"/>
            </w:rPr>
            <w:t>Sans objet</w:t>
          </w:r>
        </w:p>
      </w:tc>
    </w:tr>
    <w:tr w:rsidR="001B030A" w:rsidRPr="002105AF" w14:paraId="336F05F8" w14:textId="77777777" w:rsidTr="005539C3">
      <w:tc>
        <w:tcPr>
          <w:tcW w:w="1526" w:type="dxa"/>
        </w:tcPr>
        <w:p w14:paraId="10E74C07" w14:textId="77777777" w:rsidR="001B030A" w:rsidRPr="001830C2" w:rsidRDefault="001B030A" w:rsidP="001B030A">
          <w:pPr>
            <w:pStyle w:val="FirstFooter"/>
            <w:tabs>
              <w:tab w:val="left" w:pos="1559"/>
              <w:tab w:val="left" w:pos="3828"/>
            </w:tabs>
            <w:rPr>
              <w:sz w:val="18"/>
              <w:szCs w:val="18"/>
            </w:rPr>
          </w:pPr>
        </w:p>
      </w:tc>
      <w:tc>
        <w:tcPr>
          <w:tcW w:w="2410" w:type="dxa"/>
        </w:tcPr>
        <w:p w14:paraId="145C550E" w14:textId="77777777" w:rsidR="001B030A" w:rsidRPr="001830C2" w:rsidRDefault="001B030A" w:rsidP="001B030A">
          <w:pPr>
            <w:pStyle w:val="FirstFooter"/>
            <w:tabs>
              <w:tab w:val="left" w:pos="2302"/>
            </w:tabs>
            <w:rPr>
              <w:sz w:val="18"/>
              <w:szCs w:val="18"/>
            </w:rPr>
          </w:pPr>
          <w:r w:rsidRPr="001830C2">
            <w:rPr>
              <w:sz w:val="18"/>
              <w:szCs w:val="18"/>
            </w:rPr>
            <w:t>Courriel:</w:t>
          </w:r>
        </w:p>
      </w:tc>
      <w:tc>
        <w:tcPr>
          <w:tcW w:w="5919" w:type="dxa"/>
        </w:tcPr>
        <w:p w14:paraId="3537A984" w14:textId="3BF61B03" w:rsidR="001B030A" w:rsidRPr="001830C2" w:rsidRDefault="00E8660C" w:rsidP="001B030A">
          <w:pPr>
            <w:pStyle w:val="FirstFooter"/>
            <w:tabs>
              <w:tab w:val="left" w:pos="2302"/>
            </w:tabs>
            <w:rPr>
              <w:sz w:val="18"/>
              <w:szCs w:val="18"/>
            </w:rPr>
          </w:pPr>
          <w:hyperlink r:id="rId1" w:history="1">
            <w:r w:rsidR="00D24185" w:rsidRPr="001830C2">
              <w:rPr>
                <w:rStyle w:val="Hyperlink"/>
                <w:sz w:val="18"/>
                <w:szCs w:val="18"/>
              </w:rPr>
              <w:t>archana.gulati@itu.int</w:t>
            </w:r>
          </w:hyperlink>
        </w:p>
      </w:tc>
    </w:tr>
  </w:tbl>
  <w:p w14:paraId="4830D301" w14:textId="77777777" w:rsidR="00C80022" w:rsidRPr="002105AF"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 w:id="1">
    <w:p w14:paraId="44B71229" w14:textId="1935B444" w:rsidR="00140E5E" w:rsidRPr="00360D26" w:rsidRDefault="00140E5E">
      <w:pPr>
        <w:pStyle w:val="FootnoteText"/>
        <w:rPr>
          <w:lang w:val="fr-FR"/>
        </w:rPr>
      </w:pPr>
      <w:r w:rsidRPr="00360D26">
        <w:rPr>
          <w:rStyle w:val="FootnoteReference"/>
          <w:lang w:val="fr-FR"/>
        </w:rPr>
        <w:footnoteRef/>
      </w:r>
      <w:r w:rsidRPr="00360D26">
        <w:rPr>
          <w:lang w:val="fr-FR"/>
        </w:rPr>
        <w:tab/>
      </w:r>
      <w:hyperlink r:id="rId1" w:history="1">
        <w:r w:rsidR="00DA5197">
          <w:rPr>
            <w:rStyle w:val="Hyperlink"/>
            <w:lang w:val="fr-FR"/>
          </w:rPr>
          <w:t>Document TDAG-24/12</w:t>
        </w:r>
      </w:hyperlink>
      <w:r w:rsidRPr="00360D26">
        <w:rPr>
          <w:lang w:val="fr-FR"/>
        </w:rPr>
        <w:t xml:space="preserve"> sur le Plan opérationnel de l'UIT-D pour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4761952"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D24185">
      <w:rPr>
        <w:sz w:val="22"/>
        <w:szCs w:val="22"/>
        <w:lang w:val="de-CH"/>
      </w:rPr>
      <w:t>24</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17651"/>
    <w:rsid w:val="0002520B"/>
    <w:rsid w:val="000325DF"/>
    <w:rsid w:val="00037A9E"/>
    <w:rsid w:val="00037F91"/>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0E5E"/>
    <w:rsid w:val="00141699"/>
    <w:rsid w:val="00147000"/>
    <w:rsid w:val="00163091"/>
    <w:rsid w:val="001645CB"/>
    <w:rsid w:val="00166305"/>
    <w:rsid w:val="00167545"/>
    <w:rsid w:val="001703C6"/>
    <w:rsid w:val="00173781"/>
    <w:rsid w:val="00173CA1"/>
    <w:rsid w:val="00175ADF"/>
    <w:rsid w:val="00175CAE"/>
    <w:rsid w:val="001828DB"/>
    <w:rsid w:val="001830C2"/>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105AF"/>
    <w:rsid w:val="00211B6F"/>
    <w:rsid w:val="00217CC3"/>
    <w:rsid w:val="00220AB6"/>
    <w:rsid w:val="0022120F"/>
    <w:rsid w:val="002242F2"/>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60D26"/>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446A"/>
    <w:rsid w:val="004C594A"/>
    <w:rsid w:val="004D2CC3"/>
    <w:rsid w:val="004D35CB"/>
    <w:rsid w:val="004D593A"/>
    <w:rsid w:val="004D7DAB"/>
    <w:rsid w:val="004E1910"/>
    <w:rsid w:val="004E20E5"/>
    <w:rsid w:val="004E64EA"/>
    <w:rsid w:val="004E7828"/>
    <w:rsid w:val="004E785D"/>
    <w:rsid w:val="004F46AA"/>
    <w:rsid w:val="004F6A70"/>
    <w:rsid w:val="00500AD7"/>
    <w:rsid w:val="00502ABF"/>
    <w:rsid w:val="00504DB0"/>
    <w:rsid w:val="00507C35"/>
    <w:rsid w:val="00510735"/>
    <w:rsid w:val="005125E5"/>
    <w:rsid w:val="00514D2F"/>
    <w:rsid w:val="00541E8A"/>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63C43"/>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B1F"/>
    <w:rsid w:val="008D5E4F"/>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35C0"/>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F3940"/>
    <w:rsid w:val="009F3EB2"/>
    <w:rsid w:val="009F6EB1"/>
    <w:rsid w:val="00A11D05"/>
    <w:rsid w:val="00A13162"/>
    <w:rsid w:val="00A20267"/>
    <w:rsid w:val="00A3158C"/>
    <w:rsid w:val="00A32DF3"/>
    <w:rsid w:val="00A33E32"/>
    <w:rsid w:val="00A35E20"/>
    <w:rsid w:val="00A36F6D"/>
    <w:rsid w:val="00A37F78"/>
    <w:rsid w:val="00A50CA0"/>
    <w:rsid w:val="00A525CC"/>
    <w:rsid w:val="00A53E7C"/>
    <w:rsid w:val="00A60087"/>
    <w:rsid w:val="00A6493E"/>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F0745"/>
    <w:rsid w:val="00AF4971"/>
    <w:rsid w:val="00AF5276"/>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A536F"/>
    <w:rsid w:val="00BB02B5"/>
    <w:rsid w:val="00BB1863"/>
    <w:rsid w:val="00BB25EE"/>
    <w:rsid w:val="00BB363A"/>
    <w:rsid w:val="00BB7158"/>
    <w:rsid w:val="00BC10A0"/>
    <w:rsid w:val="00BC7BA2"/>
    <w:rsid w:val="00BD426B"/>
    <w:rsid w:val="00BD79F0"/>
    <w:rsid w:val="00BE2B4D"/>
    <w:rsid w:val="00BF798B"/>
    <w:rsid w:val="00C01475"/>
    <w:rsid w:val="00C015F8"/>
    <w:rsid w:val="00C02C2A"/>
    <w:rsid w:val="00C07E26"/>
    <w:rsid w:val="00C1011C"/>
    <w:rsid w:val="00C12F94"/>
    <w:rsid w:val="00C177C5"/>
    <w:rsid w:val="00C207EE"/>
    <w:rsid w:val="00C20C04"/>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5D0"/>
    <w:rsid w:val="00CF72E5"/>
    <w:rsid w:val="00D013EE"/>
    <w:rsid w:val="00D01F54"/>
    <w:rsid w:val="00D040F7"/>
    <w:rsid w:val="00D04A76"/>
    <w:rsid w:val="00D10FC7"/>
    <w:rsid w:val="00D1519F"/>
    <w:rsid w:val="00D20E99"/>
    <w:rsid w:val="00D21C83"/>
    <w:rsid w:val="00D24185"/>
    <w:rsid w:val="00D25ABA"/>
    <w:rsid w:val="00D35BDD"/>
    <w:rsid w:val="00D63006"/>
    <w:rsid w:val="00D72301"/>
    <w:rsid w:val="00D911DE"/>
    <w:rsid w:val="00D91B97"/>
    <w:rsid w:val="00D93ACC"/>
    <w:rsid w:val="00D93C08"/>
    <w:rsid w:val="00D95DAC"/>
    <w:rsid w:val="00DA0B53"/>
    <w:rsid w:val="00DA5197"/>
    <w:rsid w:val="00DB1171"/>
    <w:rsid w:val="00DB1519"/>
    <w:rsid w:val="00DB2840"/>
    <w:rsid w:val="00DB5A08"/>
    <w:rsid w:val="00DC1BD3"/>
    <w:rsid w:val="00DC2C1A"/>
    <w:rsid w:val="00DD66B4"/>
    <w:rsid w:val="00DE1972"/>
    <w:rsid w:val="00DE27AB"/>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60C"/>
    <w:rsid w:val="00E86933"/>
    <w:rsid w:val="00E950F8"/>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24185"/>
    <w:rPr>
      <w:color w:val="605E5C"/>
      <w:shd w:val="clear" w:color="auto" w:fill="E1DFDD"/>
    </w:rPr>
  </w:style>
  <w:style w:type="character" w:styleId="CommentReference">
    <w:name w:val="annotation reference"/>
    <w:basedOn w:val="DefaultParagraphFont"/>
    <w:semiHidden/>
    <w:unhideWhenUsed/>
    <w:rsid w:val="002105AF"/>
    <w:rPr>
      <w:sz w:val="16"/>
      <w:szCs w:val="16"/>
    </w:rPr>
  </w:style>
  <w:style w:type="paragraph" w:styleId="CommentText">
    <w:name w:val="annotation text"/>
    <w:basedOn w:val="Normal"/>
    <w:link w:val="CommentTextChar"/>
    <w:unhideWhenUsed/>
    <w:rsid w:val="002105AF"/>
    <w:rPr>
      <w:sz w:val="20"/>
    </w:rPr>
  </w:style>
  <w:style w:type="character" w:customStyle="1" w:styleId="CommentTextChar">
    <w:name w:val="Comment Text Char"/>
    <w:basedOn w:val="DefaultParagraphFont"/>
    <w:link w:val="CommentText"/>
    <w:rsid w:val="002105AF"/>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105AF"/>
    <w:rPr>
      <w:b/>
      <w:bCs/>
    </w:rPr>
  </w:style>
  <w:style w:type="character" w:customStyle="1" w:styleId="CommentSubjectChar">
    <w:name w:val="Comment Subject Char"/>
    <w:basedOn w:val="CommentTextChar"/>
    <w:link w:val="CommentSubject"/>
    <w:semiHidden/>
    <w:rsid w:val="002105AF"/>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025-f.pdf" TargetMode="External"/><Relationship Id="rId18" Type="http://schemas.openxmlformats.org/officeDocument/2006/relationships/hyperlink" Target="https://www.itu.int/md/S25-CWGFHR20-250217-TD-0001/fr" TargetMode="External"/><Relationship Id="rId26" Type="http://schemas.openxmlformats.org/officeDocument/2006/relationships/hyperlink" Target="https://www.itu.int/md/D22-TDAG32-C-0003/fr" TargetMode="External"/><Relationship Id="rId39" Type="http://schemas.openxmlformats.org/officeDocument/2006/relationships/hyperlink" Target="https://www.itu.int/md/S23-CWGFHR16-C-0010/fr" TargetMode="External"/><Relationship Id="rId21" Type="http://schemas.openxmlformats.org/officeDocument/2006/relationships/hyperlink" Target="https://www.itu.int/md/D22-TDAG31-C-0007/fr" TargetMode="External"/><Relationship Id="rId34" Type="http://schemas.openxmlformats.org/officeDocument/2006/relationships/hyperlink" Target="https://www.itu.int/md/D22-TDAG32-C-0005/fr" TargetMode="External"/><Relationship Id="rId42" Type="http://schemas.openxmlformats.org/officeDocument/2006/relationships/hyperlink" Target="https://www.itu.int/md/S25-CWGFHR20-250217-TD-0001/fr"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4-CL-C-0025/fr" TargetMode="External"/><Relationship Id="rId29" Type="http://schemas.openxmlformats.org/officeDocument/2006/relationships/hyperlink" Target="https://www.itu.int/md/D22-TDAG32-INF-0004/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22-TDAG32-C-0003/fr" TargetMode="External"/><Relationship Id="rId32" Type="http://schemas.openxmlformats.org/officeDocument/2006/relationships/hyperlink" Target="https://www.itu.int/md/D22-TDAG32-C-0005/fr" TargetMode="External"/><Relationship Id="rId37" Type="http://schemas.openxmlformats.org/officeDocument/2006/relationships/hyperlink" Target="https://view.officeapps.live.com/op/view.aspx?src=https%3A%2F%2Fwww.itu.int%2Fdms_pub%2Fitu-s%2Fmd%2F23%2Fcwgfhr16%2Fc%2FS23-CWGFHR16-C-0024!R1!MSW-E.docx&amp;wdOrigin=BROWSELINK" TargetMode="External"/><Relationship Id="rId40" Type="http://schemas.openxmlformats.org/officeDocument/2006/relationships/hyperlink" Target="https://view.officeapps.live.com/op/view.aspx?src=https%3A%2F%2Fwww.itu.int%2Fdms_pub%2Fitu-s%2Fmd%2F23%2Fcwgfhr16%2Fc%2FS23-CWGFHR16-C-0024!R1!MSW-E.docx&amp;wdOrigin=BROWSELINK"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24-CL-C-0098/fr" TargetMode="External"/><Relationship Id="rId23" Type="http://schemas.openxmlformats.org/officeDocument/2006/relationships/hyperlink" Target="https://www.itu.int/en/council/ties/Pages/regional-presence-dashboard.aspx" TargetMode="External"/><Relationship Id="rId28" Type="http://schemas.openxmlformats.org/officeDocument/2006/relationships/hyperlink" Target="https://www.itu.int/fr/ITU-D/conferences/WTDC/WTDC21/Pages/default.aspx" TargetMode="External"/><Relationship Id="rId36" Type="http://schemas.openxmlformats.org/officeDocument/2006/relationships/hyperlink" Target="https://www.itu.int/md/S23-CWGFHR16-C-0010/fr" TargetMode="External"/><Relationship Id="rId10" Type="http://schemas.openxmlformats.org/officeDocument/2006/relationships/endnotes" Target="endnotes.xml"/><Relationship Id="rId19" Type="http://schemas.openxmlformats.org/officeDocument/2006/relationships/hyperlink" Target="https://www.itu.int/md/S23-CWGFHR16-C-0010/fr" TargetMode="External"/><Relationship Id="rId31" Type="http://schemas.openxmlformats.org/officeDocument/2006/relationships/hyperlink" Target="https://www.itu.int/itu-d/sites/partnerships/home/partnerships/" TargetMode="External"/><Relationship Id="rId44" Type="http://schemas.openxmlformats.org/officeDocument/2006/relationships/hyperlink" Target="https://www.itu.int/md/D22-TDAG32-C-0024/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79/fr" TargetMode="External"/><Relationship Id="rId22" Type="http://schemas.openxmlformats.org/officeDocument/2006/relationships/hyperlink" Target="https://www.itu.int/md/D22-TDAG31-C-0012/fr" TargetMode="External"/><Relationship Id="rId27" Type="http://schemas.openxmlformats.org/officeDocument/2006/relationships/hyperlink" Target="https://www.itu.int/dms_pub/itu-d/opb/tdc/D-TDC-WTDC-2022-PDF-F.pdf" TargetMode="External"/><Relationship Id="rId30" Type="http://schemas.openxmlformats.org/officeDocument/2006/relationships/hyperlink" Target="https://www.itu.int/fr/ITU-D/conferences/WTDC/WTDC21/Pages/default.aspx" TargetMode="External"/><Relationship Id="rId35" Type="http://schemas.openxmlformats.org/officeDocument/2006/relationships/hyperlink" Target="https://www.itu.int/md/D22-TDAG32-C-0009/fr" TargetMode="External"/><Relationship Id="rId43" Type="http://schemas.openxmlformats.org/officeDocument/2006/relationships/hyperlink" Target="https://www.itu.int/en/council/Documents/basic-texts-2023/RES-025-f.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S25-CWGFHR20-C-0002/fr" TargetMode="External"/><Relationship Id="rId25" Type="http://schemas.openxmlformats.org/officeDocument/2006/relationships/hyperlink" Target="https://www.itu.int/md/D22-TDAG32-C-0002/fr" TargetMode="External"/><Relationship Id="rId33" Type="http://schemas.openxmlformats.org/officeDocument/2006/relationships/hyperlink" Target="https://www.itu.int/en/ITU-D/Projects/Pages/Portfolio.aspx" TargetMode="External"/><Relationship Id="rId38" Type="http://schemas.openxmlformats.org/officeDocument/2006/relationships/hyperlink" Target="https://www.itu.int/md/D22-TDAG32-C-0024/fr" TargetMode="External"/><Relationship Id="rId46" Type="http://schemas.openxmlformats.org/officeDocument/2006/relationships/footer" Target="footer1.xml"/><Relationship Id="rId20" Type="http://schemas.openxmlformats.org/officeDocument/2006/relationships/hyperlink" Target="https://view.officeapps.live.com/op/view.aspx?src=https%3A%2F%2Fwww.itu.int%2Fdms_pub%2Fitu-s%2Fmd%2F23%2Fcwgfhr16%2Fc%2FS23-CWGFHR16-C-0024!R1!MSW-E.docx&amp;wdOrigin=BROWSELINK" TargetMode="External"/><Relationship Id="rId41" Type="http://schemas.openxmlformats.org/officeDocument/2006/relationships/hyperlink" Target="https://www.itu.int/md/S25-CWGFHR20-C-0002/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D22-TDAG31-C-0012/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75F71-CED9-4415-94A7-A9DD88BCB406}"/>
</file>

<file path=customXml/itemProps2.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4.xml><?xml version="1.0" encoding="utf-8"?>
<ds:datastoreItem xmlns:ds="http://schemas.openxmlformats.org/officeDocument/2006/customXml" ds:itemID="{A2000670-633D-4F9E-9C1D-E70D7D1C0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3205</Words>
  <Characters>19929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7</cp:revision>
  <cp:lastPrinted>2014-11-04T09:22:00Z</cp:lastPrinted>
  <dcterms:created xsi:type="dcterms:W3CDTF">2025-05-07T13:27:00Z</dcterms:created>
  <dcterms:modified xsi:type="dcterms:W3CDTF">2025-05-08T07:26:00Z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