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2C62" w14:textId="24198B57" w:rsidR="00FF220A" w:rsidRDefault="00FF220A">
      <w:pPr>
        <w:tabs>
          <w:tab w:val="clear" w:pos="1134"/>
          <w:tab w:val="clear" w:pos="1871"/>
          <w:tab w:val="clear" w:pos="2268"/>
        </w:tabs>
        <w:overflowPunct/>
        <w:autoSpaceDE/>
        <w:autoSpaceDN/>
        <w:adjustRightInd/>
        <w:spacing w:before="0"/>
        <w:textAlignment w:val="auto"/>
        <w:rPr>
          <w:szCs w:val="24"/>
        </w:rPr>
      </w:pPr>
    </w:p>
    <w:tbl>
      <w:tblPr>
        <w:tblpPr w:leftFromText="181" w:rightFromText="181" w:horzAnchor="margin" w:tblpY="-492"/>
        <w:tblW w:w="10031" w:type="dxa"/>
        <w:tblLayout w:type="fixed"/>
        <w:tblLook w:val="0000" w:firstRow="0" w:lastRow="0" w:firstColumn="0" w:lastColumn="0" w:noHBand="0" w:noVBand="0"/>
      </w:tblPr>
      <w:tblGrid>
        <w:gridCol w:w="1985"/>
        <w:gridCol w:w="4678"/>
        <w:gridCol w:w="1842"/>
        <w:gridCol w:w="1526"/>
      </w:tblGrid>
      <w:tr w:rsidR="005F4465" w:rsidRPr="00403C69" w14:paraId="4E752655" w14:textId="77777777" w:rsidTr="6E9985A3">
        <w:trPr>
          <w:cantSplit/>
          <w:trHeight w:val="1134"/>
        </w:trPr>
        <w:tc>
          <w:tcPr>
            <w:tcW w:w="1985" w:type="dxa"/>
          </w:tcPr>
          <w:p w14:paraId="4446F277" w14:textId="77777777" w:rsidR="005F4465" w:rsidRDefault="005F4465" w:rsidP="00DC48B9">
            <w:pPr>
              <w:spacing w:after="40"/>
              <w:ind w:left="34"/>
              <w:jc w:val="both"/>
              <w:rPr>
                <w:b/>
                <w:bCs/>
                <w:sz w:val="32"/>
                <w:szCs w:val="32"/>
              </w:rPr>
            </w:pPr>
            <w:bookmarkStart w:id="0" w:name="_Hlk194484853"/>
            <w:r>
              <w:rPr>
                <w:noProof/>
                <w:sz w:val="32"/>
                <w:szCs w:val="32"/>
              </w:rPr>
              <w:drawing>
                <wp:inline distT="0" distB="0" distL="0" distR="0" wp14:anchorId="0FA6A999" wp14:editId="3DD73BBC">
                  <wp:extent cx="1080000" cy="946800"/>
                  <wp:effectExtent l="0" t="0" r="6350" b="0"/>
                  <wp:docPr id="1524544783"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544783"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70D08669" w14:textId="77777777" w:rsidR="005F4465" w:rsidRDefault="005F4465" w:rsidP="00DC48B9">
            <w:pPr>
              <w:tabs>
                <w:tab w:val="clear" w:pos="1134"/>
              </w:tabs>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AC1596B" w14:textId="77777777" w:rsidR="005F4465" w:rsidRPr="00403C69" w:rsidRDefault="005F4465" w:rsidP="00DC48B9">
            <w:pPr>
              <w:tabs>
                <w:tab w:val="clear" w:pos="1134"/>
              </w:tabs>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3690074F" w14:textId="77777777" w:rsidR="005F4465" w:rsidRPr="00403C69" w:rsidRDefault="005F4465" w:rsidP="00DC48B9">
            <w:pPr>
              <w:tabs>
                <w:tab w:val="clear" w:pos="1134"/>
              </w:tabs>
              <w:spacing w:before="240" w:after="120"/>
              <w:jc w:val="right"/>
              <w:rPr>
                <w:rFonts w:cstheme="minorHAnsi"/>
              </w:rPr>
            </w:pPr>
            <w:r>
              <w:rPr>
                <w:noProof/>
                <w:lang w:val="fr-FR" w:eastAsia="fr-FR"/>
              </w:rPr>
              <w:drawing>
                <wp:inline distT="0" distB="0" distL="0" distR="0" wp14:anchorId="2E29EC3E" wp14:editId="1958C5B1">
                  <wp:extent cx="712470" cy="785495"/>
                  <wp:effectExtent l="0" t="0" r="0" b="0"/>
                  <wp:docPr id="1095978970" name="Picture 1095978970"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F4465" w:rsidRPr="00403C69" w14:paraId="5A5C8C10" w14:textId="77777777" w:rsidTr="6E9985A3">
        <w:trPr>
          <w:cantSplit/>
        </w:trPr>
        <w:tc>
          <w:tcPr>
            <w:tcW w:w="6663" w:type="dxa"/>
            <w:gridSpan w:val="2"/>
            <w:tcBorders>
              <w:top w:val="single" w:sz="12" w:space="0" w:color="auto"/>
            </w:tcBorders>
          </w:tcPr>
          <w:p w14:paraId="7F4C7366" w14:textId="77777777" w:rsidR="005F4465" w:rsidRPr="00403C69" w:rsidRDefault="005F4465" w:rsidP="00DC48B9">
            <w:pPr>
              <w:spacing w:before="0" w:after="48" w:line="240" w:lineRule="atLeast"/>
              <w:rPr>
                <w:rFonts w:cstheme="minorHAnsi"/>
                <w:b/>
                <w:smallCaps/>
                <w:sz w:val="20"/>
              </w:rPr>
            </w:pPr>
          </w:p>
        </w:tc>
        <w:tc>
          <w:tcPr>
            <w:tcW w:w="3368" w:type="dxa"/>
            <w:gridSpan w:val="2"/>
            <w:tcBorders>
              <w:top w:val="single" w:sz="12" w:space="0" w:color="auto"/>
            </w:tcBorders>
          </w:tcPr>
          <w:p w14:paraId="32F41F2B" w14:textId="77777777" w:rsidR="005F4465" w:rsidRPr="00403C69" w:rsidRDefault="005F4465" w:rsidP="00DC48B9">
            <w:pPr>
              <w:spacing w:before="0" w:line="240" w:lineRule="atLeast"/>
              <w:rPr>
                <w:rFonts w:cstheme="minorHAnsi"/>
                <w:sz w:val="20"/>
              </w:rPr>
            </w:pPr>
          </w:p>
        </w:tc>
      </w:tr>
      <w:tr w:rsidR="005F4465" w:rsidRPr="00403C69" w14:paraId="73002D6A" w14:textId="77777777" w:rsidTr="6E9985A3">
        <w:trPr>
          <w:cantSplit/>
          <w:trHeight w:val="23"/>
        </w:trPr>
        <w:tc>
          <w:tcPr>
            <w:tcW w:w="6663" w:type="dxa"/>
            <w:gridSpan w:val="2"/>
            <w:shd w:val="clear" w:color="auto" w:fill="auto"/>
          </w:tcPr>
          <w:p w14:paraId="2B761AAE" w14:textId="77777777" w:rsidR="005F4465" w:rsidRPr="00403C69" w:rsidRDefault="005F4465" w:rsidP="00DC48B9">
            <w:pPr>
              <w:pStyle w:val="Committee"/>
              <w:framePr w:hSpace="0" w:wrap="auto" w:hAnchor="text" w:yAlign="inline"/>
            </w:pPr>
          </w:p>
        </w:tc>
        <w:tc>
          <w:tcPr>
            <w:tcW w:w="3368" w:type="dxa"/>
            <w:gridSpan w:val="2"/>
          </w:tcPr>
          <w:p w14:paraId="6CEA4905" w14:textId="34586E46" w:rsidR="005F4465" w:rsidRPr="00403C69" w:rsidRDefault="005F4465" w:rsidP="00DC48B9">
            <w:pPr>
              <w:tabs>
                <w:tab w:val="left" w:pos="851"/>
              </w:tabs>
              <w:spacing w:before="0" w:line="240" w:lineRule="atLeast"/>
              <w:rPr>
                <w:rFonts w:cstheme="minorHAnsi"/>
                <w:szCs w:val="24"/>
              </w:rPr>
            </w:pPr>
            <w:r w:rsidRPr="00403C69">
              <w:rPr>
                <w:b/>
                <w:bCs/>
                <w:lang w:val="en-US"/>
              </w:rPr>
              <w:t>Document TDAG-2</w:t>
            </w:r>
            <w:r>
              <w:rPr>
                <w:b/>
                <w:bCs/>
                <w:lang w:val="en-US"/>
              </w:rPr>
              <w:t>5</w:t>
            </w:r>
            <w:r w:rsidRPr="00403C69">
              <w:rPr>
                <w:b/>
                <w:bCs/>
                <w:lang w:val="en-US"/>
              </w:rPr>
              <w:t>/</w:t>
            </w:r>
            <w:r w:rsidR="0097485E">
              <w:rPr>
                <w:b/>
                <w:bCs/>
                <w:lang w:val="en-US"/>
              </w:rPr>
              <w:t>24</w:t>
            </w:r>
            <w:r w:rsidR="009E1438">
              <w:rPr>
                <w:b/>
                <w:bCs/>
                <w:lang w:val="en-US"/>
              </w:rPr>
              <w:t>-</w:t>
            </w:r>
            <w:r w:rsidRPr="00403C69">
              <w:rPr>
                <w:b/>
                <w:bCs/>
                <w:lang w:val="en-US"/>
              </w:rPr>
              <w:t>E</w:t>
            </w:r>
          </w:p>
        </w:tc>
      </w:tr>
      <w:tr w:rsidR="005F4465" w:rsidRPr="00403C69" w14:paraId="5B55ACB2" w14:textId="77777777" w:rsidTr="6E9985A3">
        <w:trPr>
          <w:cantSplit/>
          <w:trHeight w:val="23"/>
        </w:trPr>
        <w:tc>
          <w:tcPr>
            <w:tcW w:w="6663" w:type="dxa"/>
            <w:gridSpan w:val="2"/>
            <w:shd w:val="clear" w:color="auto" w:fill="auto"/>
          </w:tcPr>
          <w:p w14:paraId="68DB2B39" w14:textId="77777777" w:rsidR="005F4465" w:rsidRPr="00403C69" w:rsidRDefault="005F4465" w:rsidP="00DC48B9">
            <w:pPr>
              <w:tabs>
                <w:tab w:val="left" w:pos="851"/>
              </w:tabs>
              <w:spacing w:before="0" w:line="240" w:lineRule="atLeast"/>
              <w:rPr>
                <w:rFonts w:cstheme="minorHAnsi"/>
                <w:b/>
                <w:szCs w:val="24"/>
              </w:rPr>
            </w:pPr>
          </w:p>
        </w:tc>
        <w:tc>
          <w:tcPr>
            <w:tcW w:w="3368" w:type="dxa"/>
            <w:gridSpan w:val="2"/>
          </w:tcPr>
          <w:p w14:paraId="3B162351" w14:textId="381D4C10" w:rsidR="005F4465" w:rsidRPr="00403C69" w:rsidRDefault="00E56959" w:rsidP="00DC48B9">
            <w:pPr>
              <w:spacing w:before="0" w:line="240" w:lineRule="atLeast"/>
              <w:rPr>
                <w:rFonts w:cstheme="minorHAnsi"/>
                <w:szCs w:val="24"/>
              </w:rPr>
            </w:pPr>
            <w:r>
              <w:rPr>
                <w:b/>
                <w:bCs/>
                <w:szCs w:val="28"/>
              </w:rPr>
              <w:t>1</w:t>
            </w:r>
            <w:r w:rsidR="007734F6">
              <w:rPr>
                <w:b/>
                <w:bCs/>
                <w:szCs w:val="28"/>
              </w:rPr>
              <w:t xml:space="preserve"> April</w:t>
            </w:r>
            <w:r w:rsidR="005F4465">
              <w:rPr>
                <w:b/>
                <w:bCs/>
                <w:szCs w:val="28"/>
              </w:rPr>
              <w:t xml:space="preserve"> 2025</w:t>
            </w:r>
          </w:p>
        </w:tc>
      </w:tr>
      <w:tr w:rsidR="005F4465" w:rsidRPr="00403C69" w14:paraId="0A9F3C74" w14:textId="77777777" w:rsidTr="6E9985A3">
        <w:trPr>
          <w:cantSplit/>
          <w:trHeight w:val="23"/>
        </w:trPr>
        <w:tc>
          <w:tcPr>
            <w:tcW w:w="6663" w:type="dxa"/>
            <w:gridSpan w:val="2"/>
            <w:shd w:val="clear" w:color="auto" w:fill="auto"/>
          </w:tcPr>
          <w:p w14:paraId="00CF1371" w14:textId="77777777" w:rsidR="005F4465" w:rsidRPr="00403C69" w:rsidRDefault="005F4465" w:rsidP="00DC48B9">
            <w:pPr>
              <w:tabs>
                <w:tab w:val="left" w:pos="851"/>
              </w:tabs>
              <w:spacing w:before="0" w:line="240" w:lineRule="atLeast"/>
              <w:rPr>
                <w:rFonts w:cstheme="minorHAnsi"/>
                <w:szCs w:val="24"/>
              </w:rPr>
            </w:pPr>
          </w:p>
        </w:tc>
        <w:tc>
          <w:tcPr>
            <w:tcW w:w="3368" w:type="dxa"/>
            <w:gridSpan w:val="2"/>
          </w:tcPr>
          <w:p w14:paraId="2329834F" w14:textId="77777777" w:rsidR="005F4465" w:rsidRPr="00403C69" w:rsidRDefault="005F4465" w:rsidP="00DC48B9">
            <w:pPr>
              <w:tabs>
                <w:tab w:val="left" w:pos="993"/>
              </w:tabs>
              <w:spacing w:before="0"/>
              <w:rPr>
                <w:rFonts w:cstheme="minorHAnsi"/>
                <w:b/>
                <w:szCs w:val="24"/>
              </w:rPr>
            </w:pPr>
            <w:r w:rsidRPr="00403C69">
              <w:rPr>
                <w:b/>
                <w:bCs/>
                <w:szCs w:val="24"/>
              </w:rPr>
              <w:t>Original: English</w:t>
            </w:r>
          </w:p>
        </w:tc>
      </w:tr>
      <w:tr w:rsidR="005F4465" w:rsidRPr="00403C69" w14:paraId="17AE9E8F" w14:textId="77777777" w:rsidTr="6E9985A3">
        <w:trPr>
          <w:cantSplit/>
          <w:trHeight w:val="23"/>
        </w:trPr>
        <w:tc>
          <w:tcPr>
            <w:tcW w:w="10031" w:type="dxa"/>
            <w:gridSpan w:val="4"/>
            <w:shd w:val="clear" w:color="auto" w:fill="auto"/>
          </w:tcPr>
          <w:p w14:paraId="19DEE973" w14:textId="77777777" w:rsidR="005F4465" w:rsidRPr="00403C69" w:rsidRDefault="005F4465" w:rsidP="00DC48B9">
            <w:pPr>
              <w:pStyle w:val="Source"/>
              <w:spacing w:before="240" w:after="240"/>
            </w:pPr>
            <w:r>
              <w:t>Director, Telecommunication Development Bureau</w:t>
            </w:r>
          </w:p>
        </w:tc>
      </w:tr>
      <w:tr w:rsidR="005F4465" w:rsidRPr="00403C69" w14:paraId="6DABD0DF" w14:textId="77777777" w:rsidTr="6E9985A3">
        <w:trPr>
          <w:cantSplit/>
          <w:trHeight w:val="23"/>
        </w:trPr>
        <w:tc>
          <w:tcPr>
            <w:tcW w:w="10031" w:type="dxa"/>
            <w:gridSpan w:val="4"/>
            <w:shd w:val="clear" w:color="auto" w:fill="auto"/>
            <w:vAlign w:val="center"/>
          </w:tcPr>
          <w:p w14:paraId="21059181" w14:textId="4EBF7CF8" w:rsidR="005F4465" w:rsidRPr="00A93A45" w:rsidRDefault="005F4465" w:rsidP="6E9985A3">
            <w:pPr>
              <w:pStyle w:val="Title1"/>
              <w:spacing w:before="120" w:after="120"/>
              <w:rPr>
                <w:caps w:val="0"/>
              </w:rPr>
            </w:pPr>
            <w:r w:rsidRPr="00A93A45">
              <w:rPr>
                <w:caps w:val="0"/>
              </w:rPr>
              <w:t xml:space="preserve">Strengthening the Regional Presence - </w:t>
            </w:r>
            <w:r w:rsidR="00A93A45">
              <w:rPr>
                <w:caps w:val="0"/>
              </w:rPr>
              <w:br/>
            </w:r>
            <w:r w:rsidRPr="00A93A45">
              <w:rPr>
                <w:caps w:val="0"/>
              </w:rPr>
              <w:t>Criteria for Establishing Future Regional and Area Offices</w:t>
            </w:r>
          </w:p>
        </w:tc>
      </w:tr>
      <w:tr w:rsidR="005F4465" w:rsidRPr="00403C69" w14:paraId="03852C0B" w14:textId="77777777" w:rsidTr="6E9985A3">
        <w:trPr>
          <w:cantSplit/>
          <w:trHeight w:val="23"/>
        </w:trPr>
        <w:tc>
          <w:tcPr>
            <w:tcW w:w="10031" w:type="dxa"/>
            <w:gridSpan w:val="4"/>
            <w:shd w:val="clear" w:color="auto" w:fill="auto"/>
            <w:vAlign w:val="center"/>
          </w:tcPr>
          <w:p w14:paraId="7378FCBF" w14:textId="77777777" w:rsidR="005F4465" w:rsidRDefault="005F4465" w:rsidP="00DC48B9">
            <w:pPr>
              <w:pStyle w:val="Title1"/>
              <w:spacing w:before="120" w:after="120"/>
              <w:jc w:val="left"/>
              <w:rPr>
                <w:caps w:val="0"/>
                <w:szCs w:val="28"/>
                <w:lang w:val="en-US"/>
              </w:rPr>
            </w:pPr>
          </w:p>
        </w:tc>
      </w:tr>
      <w:tr w:rsidR="005F4465" w:rsidRPr="00403C69" w14:paraId="5BD56658" w14:textId="77777777" w:rsidTr="6E9985A3">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26F750D4" w14:textId="77777777" w:rsidR="005F4465" w:rsidRPr="00403C69" w:rsidRDefault="005F4465" w:rsidP="00DC48B9">
            <w:pPr>
              <w:spacing w:after="120"/>
              <w:rPr>
                <w:b/>
                <w:bCs/>
                <w:szCs w:val="24"/>
              </w:rPr>
            </w:pPr>
            <w:r w:rsidRPr="00403C69">
              <w:rPr>
                <w:b/>
                <w:bCs/>
                <w:szCs w:val="24"/>
              </w:rPr>
              <w:t>Summary:</w:t>
            </w:r>
          </w:p>
          <w:p w14:paraId="78E49CA5" w14:textId="4DE4AF1B" w:rsidR="005F4465" w:rsidRPr="004E7BB0" w:rsidRDefault="005F4465" w:rsidP="00DC48B9">
            <w:pPr>
              <w:rPr>
                <w:rFonts w:cstheme="minorBidi"/>
                <w:lang w:val="en-US"/>
              </w:rPr>
            </w:pPr>
            <w:r w:rsidRPr="007A0D31">
              <w:t xml:space="preserve">This document reports on the measures undertaken by the secretariat to strengthen ITU’s regional presence, in alignment with </w:t>
            </w:r>
            <w:r w:rsidR="009E7257">
              <w:t xml:space="preserve">the </w:t>
            </w:r>
            <w:r w:rsidRPr="007A0D31">
              <w:t>ITU Strategic Plan as well as the Kigali Action Plan</w:t>
            </w:r>
            <w:r w:rsidR="586DEE7A">
              <w:t>. It</w:t>
            </w:r>
            <w:r>
              <w:t xml:space="preserve"> </w:t>
            </w:r>
            <w:r w:rsidRPr="7DA98CC1">
              <w:rPr>
                <w:rFonts w:cstheme="minorBidi"/>
                <w:lang w:val="en-US"/>
              </w:rPr>
              <w:t>summarizes the debates that have taken placeon the criteria for the establishment of future regional and area offices</w:t>
            </w:r>
            <w:r w:rsidR="3ED6FDFD" w:rsidRPr="7DA98CC1">
              <w:rPr>
                <w:rFonts w:cstheme="minorBidi"/>
                <w:lang w:val="en-US"/>
              </w:rPr>
              <w:t>,</w:t>
            </w:r>
            <w:r w:rsidRPr="7DA98CC1">
              <w:rPr>
                <w:rFonts w:cstheme="minorBidi"/>
                <w:lang w:val="en-US"/>
              </w:rPr>
              <w:t xml:space="preserve"> and seeks to assist TDAG in providing its views on the topic.</w:t>
            </w:r>
          </w:p>
          <w:p w14:paraId="755A58A7" w14:textId="77777777" w:rsidR="005F4465" w:rsidRPr="00403C69" w:rsidRDefault="005F4465" w:rsidP="00DC48B9">
            <w:pPr>
              <w:spacing w:after="120"/>
              <w:rPr>
                <w:b/>
                <w:bCs/>
                <w:szCs w:val="24"/>
              </w:rPr>
            </w:pPr>
            <w:r w:rsidRPr="00403C69">
              <w:rPr>
                <w:b/>
                <w:bCs/>
              </w:rPr>
              <w:t>Action required:</w:t>
            </w:r>
          </w:p>
          <w:p w14:paraId="26080278" w14:textId="77777777" w:rsidR="005F4465" w:rsidRPr="00403C69" w:rsidRDefault="005F4465" w:rsidP="00DC48B9">
            <w:pPr>
              <w:spacing w:after="120"/>
              <w:rPr>
                <w:szCs w:val="24"/>
              </w:rPr>
            </w:pPr>
            <w:r w:rsidRPr="00403C69">
              <w:t>TDAG is invited to note this document and provide guidance as deemed appropriate.</w:t>
            </w:r>
          </w:p>
          <w:p w14:paraId="1C537C8E" w14:textId="77777777" w:rsidR="005F4465" w:rsidRPr="00403C69" w:rsidRDefault="005F4465" w:rsidP="00DC48B9">
            <w:pPr>
              <w:spacing w:after="120"/>
              <w:rPr>
                <w:b/>
                <w:bCs/>
                <w:szCs w:val="24"/>
              </w:rPr>
            </w:pPr>
            <w:r w:rsidRPr="00403C69">
              <w:rPr>
                <w:b/>
                <w:bCs/>
                <w:szCs w:val="24"/>
              </w:rPr>
              <w:t>References:</w:t>
            </w:r>
          </w:p>
          <w:p w14:paraId="49DE0796" w14:textId="77777777" w:rsidR="005F4465" w:rsidRPr="00720496" w:rsidRDefault="005F4465" w:rsidP="003A2C92">
            <w:pPr>
              <w:pStyle w:val="ListParagraph"/>
              <w:numPr>
                <w:ilvl w:val="0"/>
                <w:numId w:val="1"/>
              </w:numPr>
              <w:tabs>
                <w:tab w:val="left" w:pos="708"/>
              </w:tabs>
              <w:overflowPunct/>
              <w:autoSpaceDE/>
              <w:adjustRightInd/>
              <w:spacing w:after="120"/>
              <w:contextualSpacing w:val="0"/>
              <w:rPr>
                <w:szCs w:val="24"/>
              </w:rPr>
            </w:pPr>
            <w:r w:rsidRPr="00720496">
              <w:rPr>
                <w:rStyle w:val="Hyperlink"/>
                <w:szCs w:val="24"/>
              </w:rPr>
              <w:t xml:space="preserve">Resolution </w:t>
            </w:r>
            <w:hyperlink r:id="rId13" w:history="1">
              <w:r w:rsidRPr="00720496">
                <w:rPr>
                  <w:rStyle w:val="Hyperlink"/>
                  <w:szCs w:val="24"/>
                </w:rPr>
                <w:t>25 (Rev. Bucharest, 2022)</w:t>
              </w:r>
            </w:hyperlink>
            <w:r w:rsidRPr="00720496">
              <w:rPr>
                <w:szCs w:val="24"/>
              </w:rPr>
              <w:t xml:space="preserve"> of the Plenipotentiary Conference</w:t>
            </w:r>
          </w:p>
          <w:p w14:paraId="65D5E194" w14:textId="77777777" w:rsidR="005F4465" w:rsidRPr="00720496" w:rsidRDefault="005F4465" w:rsidP="003A2C92">
            <w:pPr>
              <w:pStyle w:val="ListParagraph"/>
              <w:numPr>
                <w:ilvl w:val="0"/>
                <w:numId w:val="1"/>
              </w:numPr>
              <w:spacing w:after="120"/>
              <w:contextualSpacing w:val="0"/>
              <w:rPr>
                <w:szCs w:val="24"/>
              </w:rPr>
            </w:pPr>
            <w:r w:rsidRPr="00720496">
              <w:rPr>
                <w:szCs w:val="24"/>
              </w:rPr>
              <w:t xml:space="preserve">Council Documents </w:t>
            </w:r>
            <w:hyperlink r:id="rId14" w:history="1">
              <w:r w:rsidRPr="00720496">
                <w:rPr>
                  <w:rStyle w:val="Hyperlink"/>
                  <w:szCs w:val="24"/>
                </w:rPr>
                <w:t>C24/79</w:t>
              </w:r>
            </w:hyperlink>
            <w:r w:rsidRPr="00720496">
              <w:rPr>
                <w:color w:val="0000FF"/>
                <w:szCs w:val="24"/>
              </w:rPr>
              <w:t xml:space="preserve">, </w:t>
            </w:r>
            <w:hyperlink r:id="rId15" w:history="1">
              <w:r w:rsidRPr="00720496">
                <w:rPr>
                  <w:rStyle w:val="Hyperlink"/>
                  <w:szCs w:val="24"/>
                </w:rPr>
                <w:t>C24/98</w:t>
              </w:r>
            </w:hyperlink>
            <w:r w:rsidRPr="00720496">
              <w:rPr>
                <w:szCs w:val="24"/>
              </w:rPr>
              <w:t xml:space="preserve"> and </w:t>
            </w:r>
            <w:hyperlink r:id="rId16" w:history="1">
              <w:r w:rsidRPr="00720496">
                <w:rPr>
                  <w:rStyle w:val="Hyperlink"/>
                  <w:szCs w:val="24"/>
                </w:rPr>
                <w:t>C24/25</w:t>
              </w:r>
            </w:hyperlink>
            <w:r w:rsidRPr="00720496">
              <w:rPr>
                <w:szCs w:val="24"/>
              </w:rPr>
              <w:t xml:space="preserve"> </w:t>
            </w:r>
          </w:p>
          <w:p w14:paraId="593BCDAB" w14:textId="6BFF9A6B" w:rsidR="005F4465" w:rsidRDefault="005F4465" w:rsidP="003A2C92">
            <w:pPr>
              <w:pStyle w:val="ListParagraph"/>
              <w:numPr>
                <w:ilvl w:val="0"/>
                <w:numId w:val="1"/>
              </w:numPr>
              <w:tabs>
                <w:tab w:val="left" w:pos="708"/>
              </w:tabs>
              <w:overflowPunct/>
              <w:autoSpaceDE/>
              <w:adjustRightInd/>
              <w:spacing w:after="120"/>
              <w:contextualSpacing w:val="0"/>
            </w:pPr>
            <w:hyperlink r:id="rId17" w:history="1">
              <w:r w:rsidRPr="00220628">
                <w:rPr>
                  <w:rStyle w:val="Hyperlink"/>
                </w:rPr>
                <w:t>CWG-FHR-20/2</w:t>
              </w:r>
            </w:hyperlink>
            <w:r w:rsidRPr="00220628">
              <w:t xml:space="preserve"> and </w:t>
            </w:r>
            <w:hyperlink r:id="rId18" w:history="1">
              <w:r w:rsidRPr="00220628">
                <w:rPr>
                  <w:rStyle w:val="Hyperlink"/>
                </w:rPr>
                <w:t>CWG-FHR-20/DT/1</w:t>
              </w:r>
            </w:hyperlink>
            <w:r>
              <w:t xml:space="preserve"> </w:t>
            </w:r>
          </w:p>
          <w:p w14:paraId="736B86DF" w14:textId="59AE78FA" w:rsidR="00556131" w:rsidRDefault="00556131" w:rsidP="003A2C92">
            <w:pPr>
              <w:pStyle w:val="ListParagraph"/>
              <w:numPr>
                <w:ilvl w:val="0"/>
                <w:numId w:val="1"/>
              </w:numPr>
              <w:tabs>
                <w:tab w:val="left" w:pos="708"/>
              </w:tabs>
              <w:overflowPunct/>
              <w:autoSpaceDE/>
              <w:adjustRightInd/>
              <w:spacing w:after="120"/>
              <w:contextualSpacing w:val="0"/>
            </w:pPr>
            <w:hyperlink r:id="rId19" w:history="1">
              <w:r w:rsidRPr="00BC7315">
                <w:rPr>
                  <w:rStyle w:val="Hyperlink"/>
                </w:rPr>
                <w:t>CWG-FHR-16/10</w:t>
              </w:r>
            </w:hyperlink>
            <w:r w:rsidRPr="00BC7315">
              <w:t xml:space="preserve"> </w:t>
            </w:r>
            <w:r>
              <w:t xml:space="preserve">and </w:t>
            </w:r>
            <w:hyperlink r:id="rId20" w:history="1">
              <w:r w:rsidRPr="0064605C">
                <w:rPr>
                  <w:rStyle w:val="Hyperlink"/>
                </w:rPr>
                <w:t>CWG-FHR-16/24(Rev.1)</w:t>
              </w:r>
            </w:hyperlink>
            <w:r>
              <w:t xml:space="preserve"> </w:t>
            </w:r>
          </w:p>
          <w:p w14:paraId="664E1054" w14:textId="77777777" w:rsidR="005F4465" w:rsidRPr="00720496" w:rsidRDefault="005F4465" w:rsidP="003A2C92">
            <w:pPr>
              <w:pStyle w:val="ListParagraph"/>
              <w:numPr>
                <w:ilvl w:val="0"/>
                <w:numId w:val="1"/>
              </w:numPr>
              <w:tabs>
                <w:tab w:val="left" w:pos="708"/>
              </w:tabs>
              <w:overflowPunct/>
              <w:autoSpaceDE/>
              <w:adjustRightInd/>
              <w:spacing w:after="120"/>
              <w:contextualSpacing w:val="0"/>
              <w:rPr>
                <w:szCs w:val="24"/>
              </w:rPr>
            </w:pPr>
            <w:r w:rsidRPr="00720496">
              <w:rPr>
                <w:szCs w:val="24"/>
              </w:rPr>
              <w:t xml:space="preserve">Documents </w:t>
            </w:r>
            <w:hyperlink r:id="rId21" w:history="1">
              <w:r w:rsidRPr="00720496">
                <w:rPr>
                  <w:rStyle w:val="Hyperlink"/>
                  <w:szCs w:val="24"/>
                </w:rPr>
                <w:t>TDAG-24/7(Rev.1)</w:t>
              </w:r>
            </w:hyperlink>
            <w:r>
              <w:rPr>
                <w:szCs w:val="24"/>
              </w:rPr>
              <w:t xml:space="preserve">, </w:t>
            </w:r>
            <w:hyperlink r:id="rId22" w:history="1">
              <w:r w:rsidRPr="00720496">
                <w:rPr>
                  <w:rStyle w:val="Hyperlink"/>
                  <w:szCs w:val="24"/>
                </w:rPr>
                <w:t>TDAG-24/12</w:t>
              </w:r>
            </w:hyperlink>
          </w:p>
        </w:tc>
      </w:tr>
    </w:tbl>
    <w:p w14:paraId="24C4132A" w14:textId="77777777" w:rsidR="005F4465" w:rsidRPr="00403C69" w:rsidRDefault="005F4465" w:rsidP="005F4465">
      <w:pPr>
        <w:tabs>
          <w:tab w:val="clear" w:pos="1134"/>
          <w:tab w:val="clear" w:pos="1871"/>
          <w:tab w:val="clear" w:pos="2268"/>
        </w:tabs>
        <w:overflowPunct/>
        <w:autoSpaceDE/>
        <w:autoSpaceDN/>
        <w:adjustRightInd/>
        <w:spacing w:before="0"/>
        <w:textAlignment w:val="auto"/>
        <w:rPr>
          <w:szCs w:val="24"/>
        </w:rPr>
      </w:pPr>
    </w:p>
    <w:p w14:paraId="111FF9E4" w14:textId="77777777" w:rsidR="005F4465" w:rsidRDefault="005F4465" w:rsidP="005F4465">
      <w:pPr>
        <w:tabs>
          <w:tab w:val="clear" w:pos="1134"/>
          <w:tab w:val="clear" w:pos="1871"/>
          <w:tab w:val="clear" w:pos="2268"/>
        </w:tabs>
        <w:overflowPunct/>
        <w:autoSpaceDE/>
        <w:autoSpaceDN/>
        <w:adjustRightInd/>
        <w:spacing w:before="0"/>
        <w:textAlignment w:val="auto"/>
        <w:rPr>
          <w:szCs w:val="24"/>
        </w:rPr>
      </w:pPr>
      <w:r>
        <w:rPr>
          <w:szCs w:val="24"/>
        </w:rPr>
        <w:br w:type="page"/>
      </w:r>
    </w:p>
    <w:p w14:paraId="5C600149" w14:textId="60FE91EB" w:rsidR="00D11DC0" w:rsidRPr="00E117BE" w:rsidRDefault="005F4465" w:rsidP="00E117BE">
      <w:pPr>
        <w:spacing w:after="120"/>
        <w:rPr>
          <w:szCs w:val="24"/>
        </w:rPr>
      </w:pPr>
      <w:r w:rsidRPr="00E117BE">
        <w:rPr>
          <w:szCs w:val="24"/>
        </w:rPr>
        <w:lastRenderedPageBreak/>
        <w:t xml:space="preserve">The International Telecommunication Union (ITU) has been actively working to enhance its regional presence, aiming to strengthen the delivery of support through projects and other operational plan activities to Member States in a timely, effective, and impactful manner. </w:t>
      </w:r>
      <w:r w:rsidR="00D11DC0" w:rsidRPr="00E117BE">
        <w:rPr>
          <w:szCs w:val="24"/>
        </w:rPr>
        <w:t xml:space="preserve">The </w:t>
      </w:r>
      <w:hyperlink r:id="rId23">
        <w:r w:rsidR="00D11DC0" w:rsidRPr="00E117BE">
          <w:rPr>
            <w:rStyle w:val="Hyperlink"/>
            <w:szCs w:val="24"/>
          </w:rPr>
          <w:t>Regional Presence Dashboard</w:t>
        </w:r>
      </w:hyperlink>
      <w:r w:rsidR="00D11DC0" w:rsidRPr="00E117BE">
        <w:rPr>
          <w:szCs w:val="24"/>
        </w:rPr>
        <w:t xml:space="preserve"> </w:t>
      </w:r>
      <w:r w:rsidR="136556F8" w:rsidRPr="00E117BE">
        <w:rPr>
          <w:szCs w:val="24"/>
        </w:rPr>
        <w:t>to track the implementation of specific priorities to strengthen regional presence is</w:t>
      </w:r>
      <w:r w:rsidR="00D11DC0" w:rsidRPr="00E117BE">
        <w:rPr>
          <w:szCs w:val="24"/>
        </w:rPr>
        <w:t xml:space="preserve"> updated</w:t>
      </w:r>
      <w:r w:rsidR="749FE6F4" w:rsidRPr="00E117BE">
        <w:rPr>
          <w:szCs w:val="24"/>
        </w:rPr>
        <w:t xml:space="preserve"> regularly</w:t>
      </w:r>
      <w:r w:rsidR="00D11DC0" w:rsidRPr="00E117BE">
        <w:rPr>
          <w:szCs w:val="24"/>
        </w:rPr>
        <w:t>. It includes the implementation of PwC recommendations, internal and IMAC audit recommendations as well as the actions undertaken by the Secretariat to strengthen regional presence.</w:t>
      </w:r>
    </w:p>
    <w:p w14:paraId="47BCFE12" w14:textId="7AFE4630" w:rsidR="005F4465" w:rsidRPr="00E117BE" w:rsidRDefault="005F4465" w:rsidP="00E117BE">
      <w:pPr>
        <w:spacing w:after="120"/>
        <w:rPr>
          <w:szCs w:val="24"/>
        </w:rPr>
      </w:pPr>
      <w:r w:rsidRPr="00E117BE">
        <w:rPr>
          <w:szCs w:val="24"/>
        </w:rPr>
        <w:t>Well-planned and implemented interventions have attracted extrabudgetary funding from donors for the implementation of projects</w:t>
      </w:r>
      <w:r w:rsidR="6408CC29" w:rsidRPr="00E117BE">
        <w:rPr>
          <w:szCs w:val="24"/>
        </w:rPr>
        <w:t>,</w:t>
      </w:r>
      <w:r w:rsidRPr="00E117BE">
        <w:rPr>
          <w:szCs w:val="24"/>
        </w:rPr>
        <w:t xml:space="preserve"> including </w:t>
      </w:r>
      <w:r w:rsidR="04EDED6D" w:rsidRPr="00E117BE">
        <w:rPr>
          <w:szCs w:val="24"/>
        </w:rPr>
        <w:t>for</w:t>
      </w:r>
      <w:r w:rsidRPr="00E117BE">
        <w:rPr>
          <w:szCs w:val="24"/>
        </w:rPr>
        <w:t xml:space="preserve"> regional initiatives. The regional offices continue to play a crucial role in this context, serving as the frontline for ITU’s engagement with local stakeholders and governments. A detailed report on the implementation of </w:t>
      </w:r>
      <w:r w:rsidR="02B9EAD7" w:rsidRPr="00E117BE">
        <w:rPr>
          <w:szCs w:val="24"/>
        </w:rPr>
        <w:t xml:space="preserve">the </w:t>
      </w:r>
      <w:r w:rsidRPr="00E117BE">
        <w:rPr>
          <w:szCs w:val="24"/>
        </w:rPr>
        <w:t xml:space="preserve">Regional Initiatives can be found in </w:t>
      </w:r>
      <w:hyperlink r:id="rId24">
        <w:r w:rsidR="00C27C6A" w:rsidRPr="00E117BE">
          <w:rPr>
            <w:rStyle w:val="Hyperlink"/>
            <w:rFonts w:cstheme="minorHAnsi"/>
            <w:szCs w:val="24"/>
          </w:rPr>
          <w:t>TDAG-25/3</w:t>
        </w:r>
      </w:hyperlink>
      <w:r w:rsidR="75882DF0" w:rsidRPr="00E117BE">
        <w:rPr>
          <w:szCs w:val="24"/>
        </w:rPr>
        <w:t>,</w:t>
      </w:r>
      <w:r w:rsidRPr="00E117BE">
        <w:rPr>
          <w:szCs w:val="24"/>
        </w:rPr>
        <w:t xml:space="preserve"> which includes an annex mapping projects to Regional Initiatives. </w:t>
      </w:r>
      <w:r w:rsidR="19D88972" w:rsidRPr="00E117BE">
        <w:rPr>
          <w:szCs w:val="24"/>
        </w:rPr>
        <w:t>Below</w:t>
      </w:r>
      <w:r w:rsidRPr="00E117BE">
        <w:rPr>
          <w:szCs w:val="24"/>
        </w:rPr>
        <w:t xml:space="preserve"> are some key examples of the positive impact </w:t>
      </w:r>
      <w:r w:rsidR="7DA6DE97" w:rsidRPr="00E117BE">
        <w:rPr>
          <w:szCs w:val="24"/>
        </w:rPr>
        <w:t>that specific</w:t>
      </w:r>
      <w:r w:rsidRPr="00E117BE">
        <w:rPr>
          <w:szCs w:val="24"/>
        </w:rPr>
        <w:t xml:space="preserve"> </w:t>
      </w:r>
      <w:r w:rsidRPr="00E117BE">
        <w:rPr>
          <w:spacing w:val="-2"/>
          <w:szCs w:val="24"/>
        </w:rPr>
        <w:t xml:space="preserve">measures taken to strengthen regional presence </w:t>
      </w:r>
      <w:r w:rsidR="608DD1AC" w:rsidRPr="00E117BE">
        <w:rPr>
          <w:szCs w:val="24"/>
        </w:rPr>
        <w:t>between</w:t>
      </w:r>
      <w:r w:rsidRPr="00E117BE">
        <w:rPr>
          <w:szCs w:val="24"/>
        </w:rPr>
        <w:t xml:space="preserve"> </w:t>
      </w:r>
      <w:r w:rsidRPr="00E117BE">
        <w:rPr>
          <w:spacing w:val="-2"/>
          <w:szCs w:val="24"/>
        </w:rPr>
        <w:t>2023</w:t>
      </w:r>
      <w:r w:rsidR="001520FB" w:rsidRPr="00E117BE">
        <w:rPr>
          <w:spacing w:val="-2"/>
          <w:szCs w:val="24"/>
        </w:rPr>
        <w:t xml:space="preserve"> and </w:t>
      </w:r>
      <w:r w:rsidRPr="00E117BE">
        <w:rPr>
          <w:spacing w:val="-2"/>
          <w:szCs w:val="24"/>
        </w:rPr>
        <w:t>2025(</w:t>
      </w:r>
      <w:hyperlink r:id="rId25">
        <w:r w:rsidR="00FF243E" w:rsidRPr="00E117BE">
          <w:rPr>
            <w:rStyle w:val="Hyperlink"/>
            <w:rFonts w:cstheme="minorHAnsi"/>
            <w:szCs w:val="24"/>
          </w:rPr>
          <w:t>TDAG-25/2</w:t>
        </w:r>
      </w:hyperlink>
      <w:r w:rsidR="00FF243E" w:rsidRPr="00E117BE">
        <w:rPr>
          <w:rFonts w:cstheme="minorHAnsi"/>
          <w:szCs w:val="24"/>
        </w:rPr>
        <w:t xml:space="preserve"> and </w:t>
      </w:r>
      <w:hyperlink r:id="rId26">
        <w:r w:rsidR="00FF243E" w:rsidRPr="00E117BE">
          <w:rPr>
            <w:rStyle w:val="Hyperlink"/>
            <w:rFonts w:cstheme="minorHAnsi"/>
            <w:szCs w:val="24"/>
          </w:rPr>
          <w:t>TDAG-25/3</w:t>
        </w:r>
      </w:hyperlink>
      <w:r w:rsidRPr="00E117BE">
        <w:rPr>
          <w:szCs w:val="24"/>
        </w:rPr>
        <w:t xml:space="preserve"> provide detailed information)</w:t>
      </w:r>
      <w:r w:rsidR="54581065" w:rsidRPr="00E117BE">
        <w:rPr>
          <w:szCs w:val="24"/>
        </w:rPr>
        <w:t xml:space="preserve"> have had</w:t>
      </w:r>
      <w:r w:rsidRPr="00E117BE">
        <w:rPr>
          <w:szCs w:val="24"/>
        </w:rPr>
        <w:t xml:space="preserve">: </w:t>
      </w:r>
    </w:p>
    <w:p w14:paraId="386BDED1" w14:textId="77777777" w:rsidR="005F4465" w:rsidRPr="00E117BE" w:rsidRDefault="005F4465" w:rsidP="00E117BE">
      <w:pPr>
        <w:pStyle w:val="Heading1"/>
        <w:numPr>
          <w:ilvl w:val="0"/>
          <w:numId w:val="4"/>
        </w:numPr>
        <w:tabs>
          <w:tab w:val="clear" w:pos="1134"/>
          <w:tab w:val="num" w:pos="360"/>
          <w:tab w:val="left" w:pos="540"/>
        </w:tabs>
        <w:spacing w:before="120" w:after="120"/>
        <w:ind w:hanging="324"/>
        <w:rPr>
          <w:sz w:val="24"/>
          <w:szCs w:val="24"/>
        </w:rPr>
      </w:pPr>
      <w:r w:rsidRPr="00E117BE">
        <w:rPr>
          <w:sz w:val="24"/>
          <w:szCs w:val="24"/>
        </w:rPr>
        <w:t>Membership engagement and implementation of projects and operational plans</w:t>
      </w:r>
    </w:p>
    <w:p w14:paraId="0E543170" w14:textId="77777777" w:rsidR="00CF5997" w:rsidRPr="00E117BE" w:rsidRDefault="00CF5997" w:rsidP="00E117BE">
      <w:pPr>
        <w:spacing w:after="120"/>
        <w:ind w:left="36"/>
        <w:rPr>
          <w:szCs w:val="24"/>
        </w:rPr>
      </w:pPr>
      <w:r w:rsidRPr="00E117BE">
        <w:rPr>
          <w:szCs w:val="24"/>
        </w:rPr>
        <w:t xml:space="preserve">The effectiveness of ITU’s regional activities significantly contributes to its global mission of connecting the world and fostering sustainable digital transformation. These efforts are strategically designed to ensure that ITU remains responsive to the fast-evolving needs of digital economies and societies worldwide. </w:t>
      </w:r>
    </w:p>
    <w:p w14:paraId="1D4FCF72" w14:textId="29DAFD5C" w:rsidR="005F4465" w:rsidRDefault="008C5D48" w:rsidP="00644B74">
      <w:pPr>
        <w:pStyle w:val="enumlev1"/>
        <w:spacing w:before="60" w:after="60"/>
        <w:ind w:left="357" w:hanging="357"/>
      </w:pPr>
      <w:r>
        <w:t xml:space="preserve">1.1 </w:t>
      </w:r>
      <w:r w:rsidR="005F4465" w:rsidRPr="007A0D31">
        <w:rPr>
          <w:b/>
          <w:bCs/>
        </w:rPr>
        <w:t>ITU-D Operational Plan</w:t>
      </w:r>
      <w:r w:rsidR="005F4465" w:rsidRPr="007A0D31">
        <w:rPr>
          <w:rStyle w:val="FootnoteReference"/>
        </w:rPr>
        <w:footnoteReference w:id="2"/>
      </w:r>
      <w:r w:rsidR="005F4465" w:rsidRPr="007A0D31">
        <w:t xml:space="preserve"> is aligned with the structure of the strategic plan for the Union for 2024-2027. The structure follows </w:t>
      </w:r>
      <w:r w:rsidR="1B61CC03" w:rsidRPr="007A0D31">
        <w:t>the</w:t>
      </w:r>
      <w:r w:rsidR="005F4465" w:rsidRPr="007A0D31">
        <w:t xml:space="preserve"> Kigali Action Plan (KAP), outlining the ITU-D Priorities and Enablers, and their corresponding outcomes, products and services as well as the performance indicators to measure their achievement level produced by the activities of the Sector. </w:t>
      </w:r>
      <w:r w:rsidR="005F4465" w:rsidRPr="7DA98CC1">
        <w:t xml:space="preserve">Currently, a total </w:t>
      </w:r>
      <w:r w:rsidR="005F4465" w:rsidRPr="002701F5">
        <w:t>of one hundred and twenty-</w:t>
      </w:r>
      <w:r w:rsidR="2281E01B" w:rsidRPr="002701F5">
        <w:t>two</w:t>
      </w:r>
      <w:r w:rsidR="005F4465" w:rsidRPr="002701F5">
        <w:t xml:space="preserve"> (12</w:t>
      </w:r>
      <w:r w:rsidR="00B71B7F" w:rsidRPr="002701F5">
        <w:t>2</w:t>
      </w:r>
      <w:r w:rsidR="005F4465" w:rsidRPr="002701F5">
        <w:t>)</w:t>
      </w:r>
      <w:r w:rsidR="005F4465" w:rsidRPr="7DA98CC1">
        <w:t xml:space="preserve"> activities are being deployed globally and across regions. To enhance implementation, synergies are sought among regional outputs, as well as between regional and global initiatives, in collaboration with other ITU Bureaux and the General Secretariat</w:t>
      </w:r>
      <w:r w:rsidR="005F4465" w:rsidRPr="007A0D31">
        <w:rPr>
          <w:szCs w:val="24"/>
        </w:rPr>
        <w:t xml:space="preserve">. </w:t>
      </w:r>
    </w:p>
    <w:p w14:paraId="19D601E3" w14:textId="4AA2320D" w:rsidR="005F4465" w:rsidRDefault="008C5D48" w:rsidP="00644B74">
      <w:pPr>
        <w:pStyle w:val="enumlev1"/>
        <w:spacing w:before="60" w:after="60"/>
        <w:ind w:left="357" w:hanging="357"/>
        <w:rPr>
          <w:b/>
          <w:bCs/>
        </w:rPr>
      </w:pPr>
      <w:r>
        <w:t>1.2</w:t>
      </w:r>
      <w:r w:rsidR="005F4465" w:rsidRPr="007A0D31">
        <w:tab/>
      </w:r>
      <w:r w:rsidR="005F4465" w:rsidRPr="002701F5">
        <w:rPr>
          <w:b/>
        </w:rPr>
        <w:t xml:space="preserve">Coordinated Planning on OP and Projects: </w:t>
      </w:r>
      <w:r w:rsidR="005F4465" w:rsidRPr="002701F5">
        <w:rPr>
          <w:spacing w:val="-3"/>
        </w:rPr>
        <w:t xml:space="preserve">ITU’s Regional and Area Offices have been </w:t>
      </w:r>
      <w:r w:rsidR="00B10240" w:rsidRPr="002701F5">
        <w:t xml:space="preserve">working closely with Headquarters </w:t>
      </w:r>
      <w:r w:rsidR="001B7F74" w:rsidRPr="002701F5">
        <w:t>on</w:t>
      </w:r>
      <w:r w:rsidR="00B10240" w:rsidRPr="002701F5">
        <w:t xml:space="preserve"> </w:t>
      </w:r>
      <w:r w:rsidR="005F4465" w:rsidRPr="002701F5">
        <w:rPr>
          <w:spacing w:val="-3"/>
        </w:rPr>
        <w:t xml:space="preserve">the </w:t>
      </w:r>
      <w:r w:rsidR="005F7530">
        <w:rPr>
          <w:spacing w:val="-3"/>
        </w:rPr>
        <w:t>identification,</w:t>
      </w:r>
      <w:r w:rsidR="005F4465">
        <w:rPr>
          <w:spacing w:val="-3"/>
        </w:rPr>
        <w:t xml:space="preserve"> </w:t>
      </w:r>
      <w:r w:rsidR="005F4465" w:rsidRPr="002701F5">
        <w:rPr>
          <w:spacing w:val="-3"/>
        </w:rPr>
        <w:t xml:space="preserve">implementation </w:t>
      </w:r>
      <w:r w:rsidR="005F7530">
        <w:rPr>
          <w:spacing w:val="-3"/>
        </w:rPr>
        <w:t xml:space="preserve">and monitoring </w:t>
      </w:r>
      <w:r w:rsidR="005F4465" w:rsidRPr="002701F5">
        <w:rPr>
          <w:spacing w:val="-3"/>
        </w:rPr>
        <w:t xml:space="preserve">of </w:t>
      </w:r>
      <w:r w:rsidR="001B7F74" w:rsidRPr="002701F5">
        <w:t xml:space="preserve">the </w:t>
      </w:r>
      <w:r w:rsidR="005F4465" w:rsidRPr="002701F5">
        <w:rPr>
          <w:spacing w:val="-3"/>
        </w:rPr>
        <w:t>operational plans</w:t>
      </w:r>
      <w:r w:rsidR="005F7530">
        <w:rPr>
          <w:spacing w:val="-3"/>
        </w:rPr>
        <w:t>, as well as on the design, implementation and monitoring of projects for technical assistance</w:t>
      </w:r>
      <w:r w:rsidR="005F4465">
        <w:rPr>
          <w:spacing w:val="-3"/>
        </w:rPr>
        <w:t xml:space="preserve"> </w:t>
      </w:r>
      <w:r w:rsidR="005F4465" w:rsidRPr="002701F5">
        <w:rPr>
          <w:spacing w:val="-3"/>
        </w:rPr>
        <w:t xml:space="preserve">within their respective regions. This includes the </w:t>
      </w:r>
      <w:r w:rsidR="009F519E" w:rsidRPr="002701F5">
        <w:t xml:space="preserve">delivery of </w:t>
      </w:r>
      <w:r w:rsidR="00FA60C4" w:rsidRPr="002701F5">
        <w:t>ITU</w:t>
      </w:r>
      <w:r w:rsidR="00306FEE" w:rsidRPr="002701F5">
        <w:t xml:space="preserve">-D products and services to </w:t>
      </w:r>
      <w:r w:rsidR="003F3399" w:rsidRPr="002701F5">
        <w:t xml:space="preserve">Members States </w:t>
      </w:r>
      <w:r w:rsidR="00D45B0F" w:rsidRPr="002701F5">
        <w:t>as well as addressing</w:t>
      </w:r>
      <w:r w:rsidR="009F519E" w:rsidRPr="002701F5">
        <w:t xml:space="preserve"> </w:t>
      </w:r>
      <w:r w:rsidR="005F4465" w:rsidRPr="002701F5">
        <w:rPr>
          <w:spacing w:val="-3"/>
        </w:rPr>
        <w:t xml:space="preserve">country specific </w:t>
      </w:r>
      <w:r w:rsidR="00D45B0F" w:rsidRPr="002701F5">
        <w:t>needs</w:t>
      </w:r>
      <w:r w:rsidR="000E6DE9" w:rsidRPr="002701F5">
        <w:t xml:space="preserve">, </w:t>
      </w:r>
      <w:r w:rsidR="00AC04A8" w:rsidRPr="002701F5">
        <w:t xml:space="preserve">in alignment with </w:t>
      </w:r>
      <w:r w:rsidR="005F4465" w:rsidRPr="002701F5">
        <w:rPr>
          <w:spacing w:val="-3"/>
        </w:rPr>
        <w:t xml:space="preserve">the </w:t>
      </w:r>
      <w:hyperlink r:id="rId27" w:history="1">
        <w:r w:rsidR="005F4465" w:rsidRPr="002701F5">
          <w:rPr>
            <w:rStyle w:val="Hyperlink"/>
          </w:rPr>
          <w:t xml:space="preserve">ITU-D </w:t>
        </w:r>
        <w:r w:rsidR="00AC04A8" w:rsidRPr="002701F5">
          <w:rPr>
            <w:rStyle w:val="Hyperlink"/>
          </w:rPr>
          <w:t>P</w:t>
        </w:r>
        <w:r w:rsidR="005F4465" w:rsidRPr="002701F5">
          <w:rPr>
            <w:rStyle w:val="Hyperlink"/>
          </w:rPr>
          <w:t xml:space="preserve">riority </w:t>
        </w:r>
        <w:r w:rsidR="00AC04A8" w:rsidRPr="002701F5">
          <w:rPr>
            <w:rStyle w:val="Hyperlink"/>
          </w:rPr>
          <w:t xml:space="preserve">and </w:t>
        </w:r>
        <w:r w:rsidR="00A30856" w:rsidRPr="002701F5">
          <w:rPr>
            <w:rStyle w:val="Hyperlink"/>
          </w:rPr>
          <w:t>E</w:t>
        </w:r>
        <w:r w:rsidR="00AC04A8" w:rsidRPr="002701F5">
          <w:rPr>
            <w:rStyle w:val="Hyperlink"/>
          </w:rPr>
          <w:t xml:space="preserve">nablers </w:t>
        </w:r>
        <w:r w:rsidR="00D741C8" w:rsidRPr="002701F5">
          <w:rPr>
            <w:rStyle w:val="Hyperlink"/>
          </w:rPr>
          <w:t>and Regional Initiatives</w:t>
        </w:r>
      </w:hyperlink>
      <w:r w:rsidR="005F4465" w:rsidRPr="002701F5">
        <w:t xml:space="preserve"> </w:t>
      </w:r>
      <w:r w:rsidR="005F4465" w:rsidRPr="002701F5">
        <w:rPr>
          <w:spacing w:val="-3"/>
        </w:rPr>
        <w:t xml:space="preserve">adopted at </w:t>
      </w:r>
      <w:r w:rsidR="005003C5" w:rsidRPr="002701F5">
        <w:t xml:space="preserve">the </w:t>
      </w:r>
      <w:hyperlink r:id="rId28" w:history="1">
        <w:r w:rsidR="4929FA45" w:rsidRPr="40FF5E1C">
          <w:rPr>
            <w:rStyle w:val="Hyperlink"/>
          </w:rPr>
          <w:t>WTDC-22</w:t>
        </w:r>
      </w:hyperlink>
      <w:r w:rsidR="00B000F7">
        <w:t xml:space="preserve">. </w:t>
      </w:r>
      <w:r w:rsidR="006B4C94">
        <w:t xml:space="preserve">This integrated approach allows </w:t>
      </w:r>
      <w:r w:rsidR="00864B17">
        <w:t xml:space="preserve">BDT to provide better services to ITU Member States, and to leverage on the synergies between the </w:t>
      </w:r>
      <w:r w:rsidR="00A90CF1">
        <w:t xml:space="preserve">regular and extrabudgetary activities undertaken by the Bureau. The BDT Projects Board plays an important role to ensure that projects are formulated in alignment with the Kigali Action Plan, as well as to ensure </w:t>
      </w:r>
      <w:r w:rsidR="0039626D">
        <w:t>the proper governance of the BDT project portfolio.</w:t>
      </w:r>
    </w:p>
    <w:p w14:paraId="42132127" w14:textId="70FFFE03" w:rsidR="005F4465" w:rsidRPr="005B58A7" w:rsidRDefault="008C5D48" w:rsidP="00644B74">
      <w:pPr>
        <w:pStyle w:val="enumlev1"/>
        <w:spacing w:before="60" w:after="60" w:line="259" w:lineRule="auto"/>
        <w:ind w:left="357" w:hanging="357"/>
      </w:pPr>
      <w:r>
        <w:t xml:space="preserve">1.3 </w:t>
      </w:r>
      <w:r w:rsidR="005F4465">
        <w:rPr>
          <w:b/>
          <w:bCs/>
        </w:rPr>
        <w:t xml:space="preserve">Project </w:t>
      </w:r>
      <w:r w:rsidR="00EB5E19">
        <w:rPr>
          <w:b/>
          <w:bCs/>
        </w:rPr>
        <w:t>design and</w:t>
      </w:r>
      <w:r w:rsidR="005F4465">
        <w:rPr>
          <w:b/>
          <w:bCs/>
        </w:rPr>
        <w:t xml:space="preserve"> </w:t>
      </w:r>
      <w:r w:rsidR="005F4465" w:rsidRPr="004C3E76">
        <w:rPr>
          <w:b/>
          <w:bCs/>
        </w:rPr>
        <w:t>implementation:</w:t>
      </w:r>
      <w:r w:rsidR="005F4465">
        <w:t xml:space="preserve"> </w:t>
      </w:r>
      <w:r w:rsidR="005F4465" w:rsidRPr="004C3E76">
        <w:t>Following WTDC-22, the Telecommunication Development Bureau (BDT), in collaboration with relevant partners</w:t>
      </w:r>
      <w:r w:rsidR="19678B0E">
        <w:t>,</w:t>
      </w:r>
      <w:r w:rsidR="005F4465" w:rsidRPr="004C3E76">
        <w:t xml:space="preserve"> has </w:t>
      </w:r>
      <w:r w:rsidR="0042363F">
        <w:t>identified</w:t>
      </w:r>
      <w:r w:rsidR="005F4465" w:rsidRPr="004C3E76">
        <w:t xml:space="preserve">, </w:t>
      </w:r>
      <w:r w:rsidR="0042363F">
        <w:t>formulated</w:t>
      </w:r>
      <w:r w:rsidR="005F4465" w:rsidRPr="004C3E76">
        <w:t xml:space="preserve"> and implemented a wide range of projects that have </w:t>
      </w:r>
      <w:r w:rsidR="76CF8F63">
        <w:t>contributed</w:t>
      </w:r>
      <w:r w:rsidR="005F4465" w:rsidRPr="004C3E76">
        <w:t xml:space="preserve"> to the implementation of </w:t>
      </w:r>
      <w:r w:rsidR="0072526E">
        <w:t xml:space="preserve">the priorities defined for </w:t>
      </w:r>
      <w:r w:rsidR="005F4465" w:rsidRPr="004C3E76">
        <w:t>WTDC-22</w:t>
      </w:r>
      <w:r w:rsidR="0072526E">
        <w:t xml:space="preserve">. These projects </w:t>
      </w:r>
      <w:r w:rsidR="00803BD4">
        <w:t>also contribute to the implementation</w:t>
      </w:r>
      <w:r w:rsidR="0072526E">
        <w:t xml:space="preserve"> </w:t>
      </w:r>
      <w:r w:rsidR="00803BD4">
        <w:t xml:space="preserve">of </w:t>
      </w:r>
      <w:r w:rsidR="005F4465" w:rsidRPr="004C3E76">
        <w:t xml:space="preserve">Regional Initiatives to meet the </w:t>
      </w:r>
      <w:r w:rsidR="005F4465">
        <w:t>regions</w:t>
      </w:r>
      <w:r w:rsidR="485E6352">
        <w:t>’</w:t>
      </w:r>
      <w:r w:rsidR="005F4465" w:rsidRPr="004C3E76">
        <w:t xml:space="preserve"> </w:t>
      </w:r>
      <w:r w:rsidR="202FA4B4">
        <w:t>particular</w:t>
      </w:r>
      <w:r w:rsidR="005F4465" w:rsidRPr="004C3E76">
        <w:t xml:space="preserve"> needs. </w:t>
      </w:r>
      <w:r w:rsidR="00DE6C1B">
        <w:t>BDT</w:t>
      </w:r>
      <w:r w:rsidR="005F4465" w:rsidRPr="004C3E76">
        <w:t xml:space="preserve"> projects </w:t>
      </w:r>
      <w:r w:rsidR="00DE6C1B">
        <w:t>contribute</w:t>
      </w:r>
      <w:r w:rsidR="005F4465" w:rsidRPr="004C3E76">
        <w:t xml:space="preserve"> to the </w:t>
      </w:r>
      <w:r w:rsidR="005F4465" w:rsidRPr="004C3E76">
        <w:lastRenderedPageBreak/>
        <w:t>development of a variety of products and services in alignment with the ITU-D priorities and enablers defined by the Kigali Action Plan</w:t>
      </w:r>
      <w:r w:rsidR="005F4465">
        <w:t xml:space="preserve">, </w:t>
      </w:r>
      <w:r w:rsidR="005F4465" w:rsidRPr="004C3E76">
        <w:t xml:space="preserve">as well as by the ITU </w:t>
      </w:r>
      <w:r w:rsidR="41AEB52B">
        <w:t>S</w:t>
      </w:r>
      <w:r w:rsidR="005F4465" w:rsidRPr="004C3E76">
        <w:t xml:space="preserve">trategic </w:t>
      </w:r>
      <w:r w:rsidR="1CFA9F67">
        <w:t>P</w:t>
      </w:r>
      <w:r w:rsidR="005F4465" w:rsidRPr="004C3E76">
        <w:t>lan</w:t>
      </w:r>
      <w:r w:rsidR="005F4465">
        <w:t xml:space="preserve"> </w:t>
      </w:r>
      <w:r w:rsidR="005F4465" w:rsidRPr="004C3E76">
        <w:t xml:space="preserve">in each of the ITU’s six regions. The projects implemented and/or ongoing under each Regional Initiative adopted at WTDC-22 for the period 2023-2025 are mapped in </w:t>
      </w:r>
      <w:r w:rsidR="00A905C6">
        <w:t>I</w:t>
      </w:r>
      <w:r w:rsidR="00864065">
        <w:t xml:space="preserve">nformation </w:t>
      </w:r>
      <w:r w:rsidR="005F4465" w:rsidRPr="004C3E76">
        <w:t xml:space="preserve">Document </w:t>
      </w:r>
      <w:hyperlink r:id="rId29">
        <w:r w:rsidR="00D52A10" w:rsidRPr="00292323">
          <w:rPr>
            <w:rStyle w:val="Hyperlink"/>
            <w:rFonts w:cstheme="minorHAnsi"/>
            <w:szCs w:val="24"/>
          </w:rPr>
          <w:t>TDAG-25/INF/4</w:t>
        </w:r>
      </w:hyperlink>
      <w:r w:rsidR="005F4465">
        <w:t>.</w:t>
      </w:r>
    </w:p>
    <w:p w14:paraId="72EBBE24" w14:textId="20D11A21" w:rsidR="005F4465" w:rsidRDefault="008C5D48" w:rsidP="00644B74">
      <w:pPr>
        <w:pStyle w:val="enumlev1"/>
        <w:spacing w:before="60" w:after="60"/>
        <w:ind w:left="357" w:hanging="357"/>
      </w:pPr>
      <w:r>
        <w:t xml:space="preserve">1.4 </w:t>
      </w:r>
      <w:r w:rsidR="005F4465" w:rsidRPr="007A0D31">
        <w:rPr>
          <w:b/>
          <w:bCs/>
        </w:rPr>
        <w:t xml:space="preserve">Regional </w:t>
      </w:r>
      <w:r w:rsidR="020562E6" w:rsidRPr="266B05DF">
        <w:rPr>
          <w:b/>
          <w:bCs/>
        </w:rPr>
        <w:t>D</w:t>
      </w:r>
      <w:r w:rsidR="005F4465" w:rsidRPr="266B05DF">
        <w:rPr>
          <w:b/>
          <w:bCs/>
        </w:rPr>
        <w:t xml:space="preserve">evelopment </w:t>
      </w:r>
      <w:r w:rsidR="590AF507" w:rsidRPr="266B05DF">
        <w:rPr>
          <w:b/>
          <w:bCs/>
        </w:rPr>
        <w:t>F</w:t>
      </w:r>
      <w:r w:rsidR="005F4465" w:rsidRPr="007A0D31">
        <w:rPr>
          <w:b/>
          <w:bCs/>
        </w:rPr>
        <w:t>orums</w:t>
      </w:r>
      <w:r w:rsidR="51CA57C1" w:rsidRPr="625C985D">
        <w:rPr>
          <w:b/>
          <w:bCs/>
        </w:rPr>
        <w:t xml:space="preserve"> </w:t>
      </w:r>
      <w:r w:rsidR="51CA57C1" w:rsidRPr="7FC0A99A">
        <w:rPr>
          <w:b/>
          <w:bCs/>
        </w:rPr>
        <w:t>(RDFs)</w:t>
      </w:r>
      <w:r w:rsidR="005F4465">
        <w:t>:</w:t>
      </w:r>
      <w:r w:rsidR="005F4465" w:rsidRPr="007A0D31">
        <w:t xml:space="preserve"> </w:t>
      </w:r>
      <w:r w:rsidR="005F4465" w:rsidRPr="005B4AA3">
        <w:t xml:space="preserve">In 2025, between February and April, </w:t>
      </w:r>
      <w:r w:rsidR="00890056">
        <w:t>BDT organized a</w:t>
      </w:r>
      <w:r w:rsidR="005F4465" w:rsidRPr="005B4AA3">
        <w:t xml:space="preserve"> series of six RDFs back-to-back with the ITU Regional Preparatory Meetings for WTDC-25. </w:t>
      </w:r>
      <w:r w:rsidR="005F4465" w:rsidRPr="00DB4E68">
        <w:t>The Regional Development Forums promote multi-stakeholder partnerships among Member States, industry, academia, civil society, the UN system as well as regional and international development agencies and organizations, on specific regional telecommunication and ICT matters.</w:t>
      </w:r>
      <w:r w:rsidR="005F4465">
        <w:t xml:space="preserve"> </w:t>
      </w:r>
      <w:r w:rsidR="005F4465" w:rsidRPr="00DB4E68">
        <w:t xml:space="preserve">RDFs provide an opportunity for high-level dialogue between the Telecommunication Development Bureau, Member States and ITU-D Sector Members, primarily on the implementation of the Regional Initiatives, and the Kigali Action Plan as adopted by the </w:t>
      </w:r>
      <w:hyperlink r:id="rId30">
        <w:r w:rsidR="005F4465" w:rsidRPr="36F91F6D">
          <w:rPr>
            <w:rStyle w:val="Hyperlink"/>
          </w:rPr>
          <w:t>WTDC-22</w:t>
        </w:r>
      </w:hyperlink>
      <w:r w:rsidR="005F4465">
        <w:t xml:space="preserve">. </w:t>
      </w:r>
    </w:p>
    <w:p w14:paraId="58EA5746" w14:textId="585E0146" w:rsidR="005F4465" w:rsidRDefault="008C5D48" w:rsidP="003249F3">
      <w:pPr>
        <w:pStyle w:val="enumlev1"/>
        <w:spacing w:before="60" w:after="60"/>
        <w:ind w:left="357" w:hanging="357"/>
      </w:pPr>
      <w:r>
        <w:t>1.5</w:t>
      </w:r>
      <w:r w:rsidR="005F4465" w:rsidRPr="007A0D31">
        <w:tab/>
      </w:r>
      <w:r w:rsidR="005F4465" w:rsidRPr="005B4AA3">
        <w:rPr>
          <w:b/>
          <w:bCs/>
        </w:rPr>
        <w:t>P2C Matchmaking:</w:t>
      </w:r>
      <w:r w:rsidR="005F4465">
        <w:t xml:space="preserve"> Each Regional Development Forum (RDF) includes P2C Matchmaking Roundtables as follows:</w:t>
      </w:r>
    </w:p>
    <w:p w14:paraId="3122FD5C" w14:textId="281E1118" w:rsidR="005F4465" w:rsidRDefault="005F4465" w:rsidP="003249F3">
      <w:pPr>
        <w:pStyle w:val="enumlev1"/>
        <w:numPr>
          <w:ilvl w:val="0"/>
          <w:numId w:val="6"/>
        </w:numPr>
        <w:spacing w:before="60" w:after="60"/>
        <w:ind w:left="714" w:hanging="357"/>
      </w:pPr>
      <w:r>
        <w:t xml:space="preserve">Arab States (RDF/P2C Matchmaking </w:t>
      </w:r>
      <w:r w:rsidR="2386F5B2">
        <w:t>Roundtable</w:t>
      </w:r>
      <w:r>
        <w:t>) took place on 3 February 2025 in Amman, Jordan.</w:t>
      </w:r>
    </w:p>
    <w:p w14:paraId="265E7F9A" w14:textId="7E6F8590" w:rsidR="005F4465" w:rsidRDefault="005F4465" w:rsidP="003249F3">
      <w:pPr>
        <w:pStyle w:val="enumlev1"/>
        <w:numPr>
          <w:ilvl w:val="0"/>
          <w:numId w:val="6"/>
        </w:numPr>
        <w:spacing w:before="60" w:after="60"/>
        <w:ind w:left="714" w:hanging="357"/>
      </w:pPr>
      <w:r>
        <w:t>Europe (RDF/P2C Matchmaking Roundtable on Fostering Partnerships for Development) was held on 24 February 2025 in Budapest, Hungary.</w:t>
      </w:r>
    </w:p>
    <w:p w14:paraId="1251EDDF" w14:textId="33D145CD" w:rsidR="005F4465" w:rsidRDefault="005F4465" w:rsidP="003249F3">
      <w:pPr>
        <w:pStyle w:val="enumlev1"/>
        <w:numPr>
          <w:ilvl w:val="0"/>
          <w:numId w:val="6"/>
        </w:numPr>
        <w:spacing w:before="60" w:after="60"/>
        <w:ind w:left="714" w:hanging="357"/>
      </w:pPr>
      <w:r>
        <w:t xml:space="preserve">Asia and the Pacific (RDF/P2C Matchmaking </w:t>
      </w:r>
      <w:r w:rsidR="55DA6EF3">
        <w:t>Roundtable</w:t>
      </w:r>
      <w:r>
        <w:t xml:space="preserve">) </w:t>
      </w:r>
      <w:r w:rsidR="21BA619C">
        <w:t>took place</w:t>
      </w:r>
      <w:r>
        <w:t xml:space="preserve"> on 19 March 2025 in Bangkok, Thailand</w:t>
      </w:r>
      <w:r w:rsidR="00B37A8C">
        <w:t>.</w:t>
      </w:r>
    </w:p>
    <w:p w14:paraId="6C1F3CF4" w14:textId="69FD265B" w:rsidR="005F4465" w:rsidRDefault="005F4465" w:rsidP="003249F3">
      <w:pPr>
        <w:pStyle w:val="enumlev1"/>
        <w:numPr>
          <w:ilvl w:val="0"/>
          <w:numId w:val="6"/>
        </w:numPr>
        <w:spacing w:before="60" w:after="60"/>
        <w:ind w:left="714" w:hanging="357"/>
      </w:pPr>
      <w:r>
        <w:t xml:space="preserve">Americas (RDF/P2C Matchmaking </w:t>
      </w:r>
      <w:r w:rsidR="784D52F4">
        <w:t>Roundtable</w:t>
      </w:r>
      <w:r>
        <w:t xml:space="preserve">) </w:t>
      </w:r>
      <w:r w:rsidR="4C142179">
        <w:t>was held</w:t>
      </w:r>
      <w:r>
        <w:t xml:space="preserve"> on 31 March 2025 in Asunción, Paraguay</w:t>
      </w:r>
      <w:r w:rsidR="00B37A8C">
        <w:t>.</w:t>
      </w:r>
    </w:p>
    <w:p w14:paraId="05725EA5" w14:textId="24827DD8" w:rsidR="005F4465" w:rsidRDefault="005F4465" w:rsidP="003249F3">
      <w:pPr>
        <w:pStyle w:val="enumlev1"/>
        <w:numPr>
          <w:ilvl w:val="0"/>
          <w:numId w:val="6"/>
        </w:numPr>
        <w:spacing w:before="60" w:after="60"/>
        <w:ind w:left="714" w:hanging="357"/>
      </w:pPr>
      <w:r>
        <w:t xml:space="preserve">Africa (RDF/P2C Matchmaking </w:t>
      </w:r>
      <w:proofErr w:type="gramStart"/>
      <w:r w:rsidR="41E946F7">
        <w:t xml:space="preserve">Roundtable </w:t>
      </w:r>
      <w:r>
        <w:t>)</w:t>
      </w:r>
      <w:proofErr w:type="gramEnd"/>
      <w:r>
        <w:t xml:space="preserve"> </w:t>
      </w:r>
      <w:r w:rsidR="710E494C">
        <w:t>took place</w:t>
      </w:r>
      <w:r>
        <w:t xml:space="preserve"> on 7 April 2025 in Nairobi, Kenya</w:t>
      </w:r>
    </w:p>
    <w:p w14:paraId="0FA5991D" w14:textId="5B35A394" w:rsidR="005F4465" w:rsidRPr="005B4AA3" w:rsidRDefault="005F4465" w:rsidP="003249F3">
      <w:pPr>
        <w:pStyle w:val="enumlev1"/>
        <w:numPr>
          <w:ilvl w:val="0"/>
          <w:numId w:val="6"/>
        </w:numPr>
        <w:spacing w:before="60" w:after="60"/>
        <w:ind w:left="714" w:hanging="357"/>
      </w:pPr>
      <w:r>
        <w:t xml:space="preserve">Commonwealth of Independent States – CIS (RDF/ P2C Matchmaking </w:t>
      </w:r>
      <w:r w:rsidR="62B2D1D9">
        <w:t>Roundtable</w:t>
      </w:r>
      <w:r>
        <w:t xml:space="preserve">) </w:t>
      </w:r>
      <w:r w:rsidR="677D3D3D">
        <w:t>was held</w:t>
      </w:r>
      <w:r>
        <w:t xml:space="preserve"> on 23 April 2025 in Bishkek, Kyrgyzstan</w:t>
      </w:r>
      <w:r w:rsidR="00B37A8C">
        <w:t>.</w:t>
      </w:r>
    </w:p>
    <w:p w14:paraId="5EEFB7B6" w14:textId="55A56463" w:rsidR="005F4465" w:rsidRPr="005B4AA3" w:rsidRDefault="008C5D48" w:rsidP="003249F3">
      <w:pPr>
        <w:pStyle w:val="enumlev1"/>
        <w:spacing w:before="60" w:after="60"/>
        <w:ind w:left="357" w:hanging="357"/>
      </w:pPr>
      <w:r>
        <w:t xml:space="preserve">1.6 </w:t>
      </w:r>
      <w:r w:rsidR="005F4465" w:rsidRPr="005B4AA3">
        <w:rPr>
          <w:b/>
          <w:bCs/>
        </w:rPr>
        <w:t>Stakeholder engagement</w:t>
      </w:r>
      <w:r w:rsidR="005F4465" w:rsidRPr="005B4AA3">
        <w:t xml:space="preserve">: from May 2024 to March 2025, ITU signed 73 agreements with a wide range of partners. </w:t>
      </w:r>
      <w:r w:rsidR="005F4465" w:rsidRPr="0046100E">
        <w:t xml:space="preserve">Further details are posted on the </w:t>
      </w:r>
      <w:r w:rsidR="33A4428D" w:rsidRPr="0046100E">
        <w:t xml:space="preserve">ITU-D </w:t>
      </w:r>
      <w:hyperlink r:id="rId31" w:history="1">
        <w:r w:rsidR="33A4428D" w:rsidRPr="0046100E">
          <w:rPr>
            <w:rStyle w:val="Hyperlink"/>
          </w:rPr>
          <w:t>Partnership webpage</w:t>
        </w:r>
      </w:hyperlink>
      <w:r w:rsidR="005F4465" w:rsidRPr="0046100E">
        <w:t>.</w:t>
      </w:r>
      <w:r w:rsidR="005F4465">
        <w:t xml:space="preserve"> </w:t>
      </w:r>
    </w:p>
    <w:p w14:paraId="67831363" w14:textId="44B61CEF" w:rsidR="00D11DC0" w:rsidRPr="005B4AA3" w:rsidRDefault="008C5D48" w:rsidP="003249F3">
      <w:pPr>
        <w:pStyle w:val="enumlev1"/>
        <w:spacing w:before="60" w:after="60"/>
        <w:ind w:left="357" w:hanging="357"/>
        <w:rPr>
          <w:b/>
          <w:bCs/>
        </w:rPr>
      </w:pPr>
      <w:r>
        <w:t xml:space="preserve">1.7 </w:t>
      </w:r>
      <w:r w:rsidR="005F4465" w:rsidRPr="005B4AA3">
        <w:rPr>
          <w:b/>
          <w:bCs/>
        </w:rPr>
        <w:t xml:space="preserve">New projects signed: </w:t>
      </w:r>
      <w:r w:rsidR="005F4465" w:rsidRPr="005B4AA3">
        <w:t xml:space="preserve">from May 2024 and March 2025, ITU signed a total of 35 new projects and addenda valued at CHF 26.7 million. These figures confirm the positive trend experienced in the last years in the increase of funds mobilized by BDT in support of projects, showcasing enhanced confidence in ITU as a leading partner in implementing ICT initiatives, both in projects to provide technical assistance to ITU Member States, as well as in projects funded by third party donors. Further details on project implementation by </w:t>
      </w:r>
      <w:r w:rsidR="005F4465" w:rsidRPr="002701F5">
        <w:t>BDT</w:t>
      </w:r>
      <w:r w:rsidR="005F4465" w:rsidRPr="005B4AA3">
        <w:t xml:space="preserve"> are included in </w:t>
      </w:r>
      <w:hyperlink r:id="rId32" w:history="1">
        <w:r w:rsidR="003249F3" w:rsidRPr="00664878">
          <w:rPr>
            <w:rStyle w:val="Hyperlink"/>
            <w:rFonts w:cstheme="minorHAnsi"/>
            <w:szCs w:val="24"/>
          </w:rPr>
          <w:t>TDAG-25/5</w:t>
        </w:r>
      </w:hyperlink>
      <w:r w:rsidR="005F4465">
        <w:t>,</w:t>
      </w:r>
      <w:r w:rsidR="005F4465" w:rsidRPr="005B4AA3">
        <w:t xml:space="preserve"> as well as in the </w:t>
      </w:r>
      <w:hyperlink r:id="rId33" w:tgtFrame="_blank" w:history="1">
        <w:r w:rsidR="005F4465" w:rsidRPr="005B4AA3">
          <w:rPr>
            <w:rStyle w:val="Hyperlink"/>
          </w:rPr>
          <w:t xml:space="preserve">ITU-D projects </w:t>
        </w:r>
        <w:r w:rsidR="005F4465" w:rsidRPr="3E5A4EFB">
          <w:rPr>
            <w:rStyle w:val="Hyperlink"/>
          </w:rPr>
          <w:t>portal</w:t>
        </w:r>
      </w:hyperlink>
      <w:r w:rsidR="005F4465">
        <w:t>,</w:t>
      </w:r>
      <w:r w:rsidR="005F4465" w:rsidRPr="005B4AA3">
        <w:t xml:space="preserve"> which includes an interactive dashboard for TDAG members with further information about BDT project portfolio.</w:t>
      </w:r>
    </w:p>
    <w:p w14:paraId="7F6D8419" w14:textId="264254FB" w:rsidR="005F4465" w:rsidRPr="004C3E76" w:rsidRDefault="008C5D48" w:rsidP="003249F3">
      <w:pPr>
        <w:pStyle w:val="enumlev1"/>
        <w:spacing w:before="60" w:after="60"/>
        <w:ind w:left="357" w:hanging="357"/>
        <w:rPr>
          <w:b/>
          <w:bCs/>
        </w:rPr>
      </w:pPr>
      <w:r>
        <w:t xml:space="preserve">1.8 </w:t>
      </w:r>
      <w:r w:rsidR="005F4465" w:rsidRPr="004C3E76">
        <w:rPr>
          <w:b/>
          <w:bCs/>
        </w:rPr>
        <w:t xml:space="preserve">Existing projects, partnerships, and cooperation activities: </w:t>
      </w:r>
      <w:r w:rsidR="005F4465" w:rsidRPr="004C3E76">
        <w:t xml:space="preserve">During 2024, BDT implemented </w:t>
      </w:r>
      <w:r w:rsidR="005B1B86" w:rsidRPr="002701F5">
        <w:t>a total of 105</w:t>
      </w:r>
      <w:r w:rsidR="005F4465" w:rsidRPr="004C3E76">
        <w:t xml:space="preserve"> projects, valued at CHF </w:t>
      </w:r>
      <w:r w:rsidR="005B1B86" w:rsidRPr="002701F5">
        <w:t>91.8</w:t>
      </w:r>
      <w:r w:rsidR="005F4465" w:rsidRPr="004C3E76">
        <w:t xml:space="preserve"> million. </w:t>
      </w:r>
      <w:r w:rsidR="005B1B86" w:rsidRPr="002701F5">
        <w:t>Figure 1 presents the overall distribution of this portfolio by region and the overview of (1) the funds mobilized to support the implementation of these projects, (2) the seed funding allocated by ITU from the ICT Development Fund (ICT-DF).</w:t>
      </w:r>
      <w:r w:rsidR="005B1B86" w:rsidRPr="005B1B86">
        <w:rPr>
          <w:b/>
          <w:bCs/>
        </w:rPr>
        <w:t xml:space="preserve"> </w:t>
      </w:r>
      <w:r w:rsidR="005F4465" w:rsidRPr="004C3E76">
        <w:t xml:space="preserve">More information on BDT </w:t>
      </w:r>
      <w:r w:rsidR="00A76238">
        <w:t xml:space="preserve">projects is available in </w:t>
      </w:r>
      <w:r w:rsidR="00B71DAC">
        <w:t>document</w:t>
      </w:r>
      <w:hyperlink r:id="rId34" w:history="1">
        <w:r w:rsidR="003249F3" w:rsidRPr="00664878">
          <w:rPr>
            <w:rStyle w:val="Hyperlink"/>
            <w:rFonts w:cstheme="minorHAnsi"/>
            <w:szCs w:val="24"/>
          </w:rPr>
          <w:t>TDAG-25/5</w:t>
        </w:r>
      </w:hyperlink>
      <w:r w:rsidR="00C631DB">
        <w:t xml:space="preserve"> </w:t>
      </w:r>
      <w:r w:rsidR="00B71DAC">
        <w:t>and more information on</w:t>
      </w:r>
      <w:r w:rsidR="005F4465" w:rsidRPr="004C3E76">
        <w:t xml:space="preserve"> resource mobilization efforts and partnerships is available in </w:t>
      </w:r>
      <w:r w:rsidR="00B71DAC">
        <w:t xml:space="preserve">document </w:t>
      </w:r>
      <w:hyperlink r:id="rId35" w:history="1">
        <w:r w:rsidR="008C4D9E" w:rsidRPr="00664878">
          <w:rPr>
            <w:rStyle w:val="Hyperlink"/>
            <w:rFonts w:cstheme="minorHAnsi"/>
            <w:szCs w:val="24"/>
          </w:rPr>
          <w:t>TDAG-25/</w:t>
        </w:r>
        <w:r w:rsidR="008C4D9E">
          <w:rPr>
            <w:rStyle w:val="Hyperlink"/>
            <w:rFonts w:cstheme="minorHAnsi"/>
            <w:szCs w:val="24"/>
          </w:rPr>
          <w:t>9</w:t>
        </w:r>
      </w:hyperlink>
      <w:r w:rsidR="005F4465" w:rsidRPr="004C3E76">
        <w:t>.</w:t>
      </w:r>
    </w:p>
    <w:p w14:paraId="1F88494E" w14:textId="432A3F36" w:rsidR="005F4465" w:rsidRPr="00223683" w:rsidRDefault="00223683" w:rsidP="00223683">
      <w:pPr>
        <w:pStyle w:val="TableNo"/>
        <w:rPr>
          <w:rFonts w:cs="Times New Roman Bold"/>
          <w:b/>
          <w:bCs/>
          <w:caps w:val="0"/>
          <w:sz w:val="24"/>
          <w:szCs w:val="24"/>
        </w:rPr>
      </w:pPr>
      <w:r w:rsidRPr="00223683">
        <w:rPr>
          <w:rFonts w:cs="Times New Roman Bold"/>
          <w:b/>
          <w:bCs/>
          <w:caps w:val="0"/>
          <w:sz w:val="24"/>
          <w:szCs w:val="24"/>
        </w:rPr>
        <w:lastRenderedPageBreak/>
        <w:t>T</w:t>
      </w:r>
      <w:r>
        <w:rPr>
          <w:rFonts w:cs="Times New Roman Bold"/>
          <w:b/>
          <w:bCs/>
          <w:caps w:val="0"/>
          <w:sz w:val="24"/>
          <w:szCs w:val="24"/>
        </w:rPr>
        <w:t>able</w:t>
      </w:r>
      <w:r w:rsidRPr="00223683">
        <w:rPr>
          <w:rFonts w:cs="Times New Roman Bold"/>
          <w:b/>
          <w:bCs/>
          <w:caps w:val="0"/>
          <w:sz w:val="24"/>
          <w:szCs w:val="24"/>
        </w:rPr>
        <w:t xml:space="preserve"> 1: </w:t>
      </w:r>
      <w:r w:rsidR="005F4465" w:rsidRPr="00223683">
        <w:rPr>
          <w:rFonts w:cs="Times New Roman Bold"/>
          <w:b/>
          <w:bCs/>
          <w:caps w:val="0"/>
          <w:sz w:val="24"/>
          <w:szCs w:val="24"/>
        </w:rPr>
        <w:t xml:space="preserve">Overview of ITU projects by region </w:t>
      </w:r>
      <w:r w:rsidR="00FF2CE7" w:rsidRPr="00223683">
        <w:rPr>
          <w:rFonts w:cs="Times New Roman Bold"/>
          <w:b/>
          <w:bCs/>
          <w:caps w:val="0"/>
          <w:sz w:val="24"/>
          <w:szCs w:val="24"/>
        </w:rPr>
        <w:t>with activities in 2024</w:t>
      </w:r>
      <w:r>
        <w:rPr>
          <w:rFonts w:cs="Times New Roman Bold"/>
          <w:b/>
          <w:bCs/>
          <w:caps w:val="0"/>
          <w:sz w:val="24"/>
          <w:szCs w:val="24"/>
        </w:rPr>
        <w:t xml:space="preserve"> </w:t>
      </w:r>
      <w:r w:rsidR="005F4465" w:rsidRPr="00223683">
        <w:rPr>
          <w:rFonts w:cs="Times New Roman Bold"/>
          <w:b/>
          <w:bCs/>
          <w:caps w:val="0"/>
          <w:sz w:val="24"/>
          <w:szCs w:val="24"/>
        </w:rPr>
        <w:t>(figures in k CHF)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95"/>
        <w:gridCol w:w="1989"/>
        <w:gridCol w:w="2268"/>
        <w:gridCol w:w="1745"/>
        <w:gridCol w:w="2132"/>
      </w:tblGrid>
      <w:tr w:rsidR="00FF2CE7" w:rsidRPr="00223683" w14:paraId="0042470E" w14:textId="77777777" w:rsidTr="00223683">
        <w:trPr>
          <w:trHeight w:val="852"/>
          <w:jc w:val="center"/>
        </w:trPr>
        <w:tc>
          <w:tcPr>
            <w:tcW w:w="805" w:type="pct"/>
            <w:shd w:val="clear" w:color="auto" w:fill="8DB3E2" w:themeFill="text2" w:themeFillTint="66"/>
            <w:noWrap/>
            <w:vAlign w:val="center"/>
            <w:hideMark/>
          </w:tcPr>
          <w:p w14:paraId="2966C1B4" w14:textId="77777777" w:rsidR="00FF2CE7" w:rsidRPr="00223683" w:rsidRDefault="00FF2CE7">
            <w:pPr>
              <w:keepNext/>
              <w:spacing w:before="60" w:after="60"/>
              <w:jc w:val="center"/>
              <w:rPr>
                <w:rFonts w:eastAsiaTheme="minorEastAsia" w:cstheme="minorHAnsi"/>
                <w:b/>
                <w:bCs/>
                <w:sz w:val="22"/>
                <w:szCs w:val="22"/>
                <w:lang w:eastAsia="zh-CN"/>
              </w:rPr>
            </w:pPr>
            <w:r w:rsidRPr="00223683">
              <w:rPr>
                <w:rFonts w:eastAsiaTheme="minorEastAsia" w:cstheme="minorHAnsi"/>
                <w:b/>
                <w:bCs/>
                <w:sz w:val="22"/>
                <w:szCs w:val="22"/>
                <w:lang w:eastAsia="zh-CN"/>
              </w:rPr>
              <w:t>Region</w:t>
            </w:r>
          </w:p>
        </w:tc>
        <w:tc>
          <w:tcPr>
            <w:tcW w:w="957" w:type="pct"/>
            <w:shd w:val="clear" w:color="auto" w:fill="8DB3E2" w:themeFill="text2" w:themeFillTint="66"/>
            <w:noWrap/>
            <w:vAlign w:val="center"/>
            <w:hideMark/>
          </w:tcPr>
          <w:p w14:paraId="6621D81A" w14:textId="77777777" w:rsidR="00FF2CE7" w:rsidRPr="00223683" w:rsidRDefault="00FF2CE7">
            <w:pPr>
              <w:keepNext/>
              <w:spacing w:before="60" w:after="60"/>
              <w:jc w:val="center"/>
              <w:rPr>
                <w:rFonts w:eastAsiaTheme="minorEastAsia" w:cstheme="minorHAnsi"/>
                <w:b/>
                <w:bCs/>
                <w:sz w:val="22"/>
                <w:szCs w:val="22"/>
                <w:lang w:eastAsia="zh-CN"/>
              </w:rPr>
            </w:pPr>
            <w:r w:rsidRPr="00223683">
              <w:rPr>
                <w:rFonts w:eastAsiaTheme="minorEastAsia" w:cstheme="minorHAnsi"/>
                <w:b/>
                <w:bCs/>
                <w:sz w:val="22"/>
                <w:szCs w:val="22"/>
                <w:lang w:eastAsia="zh-CN"/>
              </w:rPr>
              <w:t>Number of Projects</w:t>
            </w:r>
          </w:p>
        </w:tc>
        <w:tc>
          <w:tcPr>
            <w:tcW w:w="1185" w:type="pct"/>
            <w:shd w:val="clear" w:color="auto" w:fill="8DB3E2" w:themeFill="text2" w:themeFillTint="66"/>
            <w:noWrap/>
            <w:vAlign w:val="center"/>
            <w:hideMark/>
          </w:tcPr>
          <w:p w14:paraId="3B6C42C0" w14:textId="77777777" w:rsidR="00FF2CE7" w:rsidRPr="00223683" w:rsidRDefault="00FF2CE7">
            <w:pPr>
              <w:keepNext/>
              <w:spacing w:before="60" w:after="60"/>
              <w:jc w:val="center"/>
              <w:rPr>
                <w:rFonts w:eastAsiaTheme="minorEastAsia" w:cstheme="minorHAnsi"/>
                <w:b/>
                <w:bCs/>
                <w:sz w:val="22"/>
                <w:szCs w:val="22"/>
                <w:lang w:eastAsia="zh-CN"/>
              </w:rPr>
            </w:pPr>
            <w:r w:rsidRPr="00223683">
              <w:rPr>
                <w:rFonts w:eastAsiaTheme="minorEastAsia" w:cstheme="minorHAnsi"/>
                <w:b/>
                <w:bCs/>
                <w:sz w:val="22"/>
                <w:szCs w:val="22"/>
                <w:lang w:eastAsia="zh-CN"/>
              </w:rPr>
              <w:t xml:space="preserve">Funding from partners </w:t>
            </w:r>
          </w:p>
        </w:tc>
        <w:tc>
          <w:tcPr>
            <w:tcW w:w="956" w:type="pct"/>
            <w:shd w:val="clear" w:color="auto" w:fill="8DB3E2" w:themeFill="text2" w:themeFillTint="66"/>
            <w:noWrap/>
            <w:vAlign w:val="center"/>
          </w:tcPr>
          <w:p w14:paraId="43498968" w14:textId="77777777" w:rsidR="00FF2CE7" w:rsidRPr="00223683" w:rsidRDefault="00FF2CE7">
            <w:pPr>
              <w:keepNext/>
              <w:spacing w:before="60" w:after="60"/>
              <w:jc w:val="center"/>
              <w:rPr>
                <w:rFonts w:eastAsiaTheme="minorEastAsia" w:cstheme="minorHAnsi"/>
                <w:b/>
                <w:bCs/>
                <w:sz w:val="22"/>
                <w:szCs w:val="22"/>
                <w:lang w:eastAsia="zh-CN"/>
              </w:rPr>
            </w:pPr>
            <w:r w:rsidRPr="00223683">
              <w:rPr>
                <w:rFonts w:eastAsiaTheme="minorEastAsia" w:cstheme="minorHAnsi"/>
                <w:b/>
                <w:bCs/>
                <w:sz w:val="22"/>
                <w:szCs w:val="22"/>
                <w:lang w:eastAsia="zh-CN"/>
              </w:rPr>
              <w:t xml:space="preserve">ITU funds </w:t>
            </w:r>
          </w:p>
        </w:tc>
        <w:tc>
          <w:tcPr>
            <w:tcW w:w="1097" w:type="pct"/>
            <w:shd w:val="clear" w:color="auto" w:fill="8DB3E2" w:themeFill="text2" w:themeFillTint="66"/>
            <w:noWrap/>
            <w:vAlign w:val="center"/>
            <w:hideMark/>
          </w:tcPr>
          <w:p w14:paraId="77292375" w14:textId="77777777" w:rsidR="00FF2CE7" w:rsidRPr="00223683" w:rsidRDefault="00FF2CE7">
            <w:pPr>
              <w:keepNext/>
              <w:spacing w:before="60" w:after="60"/>
              <w:jc w:val="center"/>
              <w:rPr>
                <w:rFonts w:eastAsiaTheme="minorEastAsia" w:cstheme="minorHAnsi"/>
                <w:b/>
                <w:bCs/>
                <w:sz w:val="22"/>
                <w:szCs w:val="22"/>
                <w:lang w:eastAsia="zh-CN"/>
              </w:rPr>
            </w:pPr>
            <w:r w:rsidRPr="00223683">
              <w:rPr>
                <w:rFonts w:eastAsiaTheme="minorEastAsia" w:cstheme="minorHAnsi"/>
                <w:b/>
                <w:bCs/>
                <w:sz w:val="22"/>
                <w:szCs w:val="22"/>
                <w:lang w:eastAsia="zh-CN"/>
              </w:rPr>
              <w:t>Total project funding</w:t>
            </w:r>
          </w:p>
        </w:tc>
      </w:tr>
      <w:tr w:rsidR="00FF2CE7" w:rsidRPr="00223683" w14:paraId="40E75829" w14:textId="77777777" w:rsidTr="00223683">
        <w:trPr>
          <w:trHeight w:val="54"/>
          <w:jc w:val="center"/>
        </w:trPr>
        <w:tc>
          <w:tcPr>
            <w:tcW w:w="805" w:type="pct"/>
            <w:hideMark/>
          </w:tcPr>
          <w:p w14:paraId="09AC87D5" w14:textId="77777777" w:rsidR="00FF2CE7" w:rsidRPr="00223683" w:rsidRDefault="00FF2CE7">
            <w:pPr>
              <w:spacing w:before="60" w:after="60"/>
              <w:rPr>
                <w:rFonts w:cstheme="minorHAnsi"/>
                <w:sz w:val="22"/>
                <w:szCs w:val="22"/>
                <w:lang w:eastAsia="zh-CN"/>
              </w:rPr>
            </w:pPr>
            <w:r w:rsidRPr="00223683">
              <w:rPr>
                <w:rFonts w:cstheme="minorHAnsi"/>
                <w:sz w:val="22"/>
                <w:szCs w:val="22"/>
                <w:lang w:eastAsia="zh-CN"/>
              </w:rPr>
              <w:t xml:space="preserve">AFR </w:t>
            </w:r>
          </w:p>
        </w:tc>
        <w:tc>
          <w:tcPr>
            <w:tcW w:w="957" w:type="pct"/>
            <w:noWrap/>
            <w:vAlign w:val="bottom"/>
            <w:hideMark/>
          </w:tcPr>
          <w:p w14:paraId="3AE39C25" w14:textId="77777777" w:rsidR="00FF2CE7" w:rsidRPr="00223683" w:rsidRDefault="00FF2CE7">
            <w:pPr>
              <w:spacing w:before="60" w:after="60"/>
              <w:jc w:val="center"/>
              <w:rPr>
                <w:rFonts w:eastAsiaTheme="minorEastAsia" w:cstheme="minorHAnsi"/>
                <w:sz w:val="22"/>
                <w:szCs w:val="22"/>
                <w:lang w:eastAsia="zh-CN"/>
              </w:rPr>
            </w:pPr>
            <w:r w:rsidRPr="00223683">
              <w:rPr>
                <w:rFonts w:eastAsiaTheme="minorEastAsia" w:cstheme="minorHAnsi"/>
                <w:sz w:val="22"/>
                <w:szCs w:val="22"/>
                <w:lang w:eastAsia="zh-CN"/>
              </w:rPr>
              <w:t>17</w:t>
            </w:r>
          </w:p>
        </w:tc>
        <w:tc>
          <w:tcPr>
            <w:tcW w:w="1185" w:type="pct"/>
            <w:vAlign w:val="bottom"/>
            <w:hideMark/>
          </w:tcPr>
          <w:p w14:paraId="48EA0E46" w14:textId="77777777" w:rsidR="00FF2CE7" w:rsidRPr="00223683" w:rsidRDefault="00FF2CE7">
            <w:pPr>
              <w:spacing w:before="60" w:after="60"/>
              <w:jc w:val="right"/>
              <w:rPr>
                <w:rFonts w:eastAsiaTheme="minorEastAsia" w:cstheme="minorHAnsi"/>
                <w:sz w:val="22"/>
                <w:szCs w:val="22"/>
                <w:lang w:eastAsia="zh-CN"/>
              </w:rPr>
            </w:pPr>
            <w:r w:rsidRPr="00223683">
              <w:rPr>
                <w:rFonts w:eastAsiaTheme="minorEastAsia" w:cstheme="minorHAnsi"/>
                <w:sz w:val="22"/>
                <w:szCs w:val="22"/>
                <w:lang w:eastAsia="zh-CN"/>
              </w:rPr>
              <w:t>26,548.5</w:t>
            </w:r>
          </w:p>
        </w:tc>
        <w:tc>
          <w:tcPr>
            <w:tcW w:w="956" w:type="pct"/>
            <w:vAlign w:val="bottom"/>
            <w:hideMark/>
          </w:tcPr>
          <w:p w14:paraId="563271FD" w14:textId="77777777" w:rsidR="00FF2CE7" w:rsidRPr="00223683" w:rsidRDefault="00FF2CE7">
            <w:pPr>
              <w:spacing w:before="60" w:after="60"/>
              <w:jc w:val="right"/>
              <w:rPr>
                <w:rFonts w:eastAsiaTheme="minorEastAsia" w:cstheme="minorHAnsi"/>
                <w:sz w:val="22"/>
                <w:szCs w:val="22"/>
                <w:lang w:eastAsia="zh-CN"/>
              </w:rPr>
            </w:pPr>
            <w:r w:rsidRPr="00223683">
              <w:rPr>
                <w:rFonts w:eastAsiaTheme="minorEastAsia" w:cstheme="minorHAnsi"/>
                <w:sz w:val="22"/>
                <w:szCs w:val="22"/>
                <w:lang w:eastAsia="zh-CN"/>
              </w:rPr>
              <w:t>1,516.8</w:t>
            </w:r>
          </w:p>
        </w:tc>
        <w:tc>
          <w:tcPr>
            <w:tcW w:w="1097" w:type="pct"/>
            <w:shd w:val="clear" w:color="auto" w:fill="DBE5F1" w:themeFill="accent1" w:themeFillTint="33"/>
            <w:vAlign w:val="bottom"/>
            <w:hideMark/>
          </w:tcPr>
          <w:p w14:paraId="684BD997" w14:textId="77777777" w:rsidR="00FF2CE7" w:rsidRPr="00223683" w:rsidRDefault="00FF2CE7">
            <w:pPr>
              <w:spacing w:before="60" w:after="60"/>
              <w:jc w:val="right"/>
              <w:rPr>
                <w:rFonts w:eastAsiaTheme="minorEastAsia" w:cstheme="minorHAnsi"/>
                <w:sz w:val="22"/>
                <w:szCs w:val="22"/>
                <w:lang w:eastAsia="zh-CN"/>
              </w:rPr>
            </w:pPr>
            <w:r w:rsidRPr="00223683">
              <w:rPr>
                <w:rFonts w:eastAsiaTheme="minorEastAsia" w:cstheme="minorHAnsi"/>
                <w:sz w:val="22"/>
                <w:szCs w:val="22"/>
                <w:lang w:eastAsia="zh-CN"/>
              </w:rPr>
              <w:t>28,197.8</w:t>
            </w:r>
          </w:p>
        </w:tc>
      </w:tr>
      <w:tr w:rsidR="00FF2CE7" w:rsidRPr="00223683" w14:paraId="06CD4216" w14:textId="77777777" w:rsidTr="00223683">
        <w:trPr>
          <w:trHeight w:val="54"/>
          <w:jc w:val="center"/>
        </w:trPr>
        <w:tc>
          <w:tcPr>
            <w:tcW w:w="805" w:type="pct"/>
            <w:hideMark/>
          </w:tcPr>
          <w:p w14:paraId="062E02BA" w14:textId="77777777" w:rsidR="00FF2CE7" w:rsidRPr="00223683" w:rsidRDefault="00FF2CE7">
            <w:pPr>
              <w:spacing w:before="60" w:after="60"/>
              <w:rPr>
                <w:rFonts w:cstheme="minorHAnsi"/>
                <w:sz w:val="22"/>
                <w:szCs w:val="22"/>
                <w:lang w:eastAsia="zh-CN"/>
              </w:rPr>
            </w:pPr>
            <w:r w:rsidRPr="00223683">
              <w:rPr>
                <w:rFonts w:cstheme="minorHAnsi"/>
                <w:sz w:val="22"/>
                <w:szCs w:val="22"/>
                <w:lang w:eastAsia="zh-CN"/>
              </w:rPr>
              <w:t xml:space="preserve">AMS </w:t>
            </w:r>
          </w:p>
        </w:tc>
        <w:tc>
          <w:tcPr>
            <w:tcW w:w="957" w:type="pct"/>
            <w:noWrap/>
            <w:vAlign w:val="bottom"/>
            <w:hideMark/>
          </w:tcPr>
          <w:p w14:paraId="2E2B4747" w14:textId="77777777" w:rsidR="00FF2CE7" w:rsidRPr="00223683" w:rsidRDefault="00FF2CE7">
            <w:pPr>
              <w:spacing w:before="60" w:after="60"/>
              <w:jc w:val="center"/>
              <w:rPr>
                <w:rFonts w:eastAsiaTheme="minorEastAsia" w:cstheme="minorHAnsi"/>
                <w:sz w:val="22"/>
                <w:szCs w:val="22"/>
                <w:lang w:eastAsia="zh-CN"/>
              </w:rPr>
            </w:pPr>
            <w:r w:rsidRPr="00223683">
              <w:rPr>
                <w:rFonts w:eastAsiaTheme="minorEastAsia" w:cstheme="minorHAnsi"/>
                <w:sz w:val="22"/>
                <w:szCs w:val="22"/>
                <w:lang w:eastAsia="zh-CN"/>
              </w:rPr>
              <w:t>19</w:t>
            </w:r>
          </w:p>
        </w:tc>
        <w:tc>
          <w:tcPr>
            <w:tcW w:w="1185" w:type="pct"/>
            <w:vAlign w:val="bottom"/>
            <w:hideMark/>
          </w:tcPr>
          <w:p w14:paraId="4D5A40FD" w14:textId="77777777" w:rsidR="00FF2CE7" w:rsidRPr="00223683" w:rsidRDefault="00FF2CE7">
            <w:pPr>
              <w:spacing w:before="60" w:after="60"/>
              <w:jc w:val="right"/>
              <w:rPr>
                <w:rFonts w:eastAsiaTheme="minorEastAsia" w:cstheme="minorHAnsi"/>
                <w:sz w:val="22"/>
                <w:szCs w:val="22"/>
                <w:lang w:eastAsia="zh-CN"/>
              </w:rPr>
            </w:pPr>
            <w:r w:rsidRPr="00223683">
              <w:rPr>
                <w:rFonts w:eastAsiaTheme="minorEastAsia" w:cstheme="minorHAnsi"/>
                <w:sz w:val="22"/>
                <w:szCs w:val="22"/>
                <w:lang w:eastAsia="zh-CN"/>
              </w:rPr>
              <w:t>12,600.3</w:t>
            </w:r>
          </w:p>
        </w:tc>
        <w:tc>
          <w:tcPr>
            <w:tcW w:w="956" w:type="pct"/>
            <w:vAlign w:val="bottom"/>
            <w:hideMark/>
          </w:tcPr>
          <w:p w14:paraId="1A7C0DB8" w14:textId="77777777" w:rsidR="00FF2CE7" w:rsidRPr="00223683" w:rsidRDefault="00FF2CE7">
            <w:pPr>
              <w:spacing w:before="60" w:after="60"/>
              <w:jc w:val="right"/>
              <w:rPr>
                <w:rFonts w:eastAsiaTheme="minorEastAsia" w:cstheme="minorHAnsi"/>
                <w:sz w:val="22"/>
                <w:szCs w:val="22"/>
                <w:lang w:eastAsia="zh-CN"/>
              </w:rPr>
            </w:pPr>
            <w:r w:rsidRPr="00223683">
              <w:rPr>
                <w:rFonts w:eastAsiaTheme="minorEastAsia" w:cstheme="minorHAnsi"/>
                <w:sz w:val="22"/>
                <w:szCs w:val="22"/>
                <w:lang w:eastAsia="zh-CN"/>
              </w:rPr>
              <w:t>335.5</w:t>
            </w:r>
          </w:p>
        </w:tc>
        <w:tc>
          <w:tcPr>
            <w:tcW w:w="1097" w:type="pct"/>
            <w:shd w:val="clear" w:color="auto" w:fill="DBE5F1" w:themeFill="accent1" w:themeFillTint="33"/>
            <w:vAlign w:val="bottom"/>
            <w:hideMark/>
          </w:tcPr>
          <w:p w14:paraId="2426FD39" w14:textId="77777777" w:rsidR="00FF2CE7" w:rsidRPr="00223683" w:rsidRDefault="00FF2CE7">
            <w:pPr>
              <w:spacing w:before="60" w:after="60"/>
              <w:jc w:val="right"/>
              <w:rPr>
                <w:rFonts w:eastAsiaTheme="minorEastAsia" w:cstheme="minorHAnsi"/>
                <w:sz w:val="22"/>
                <w:szCs w:val="22"/>
                <w:lang w:eastAsia="zh-CN"/>
              </w:rPr>
            </w:pPr>
            <w:r w:rsidRPr="00223683">
              <w:rPr>
                <w:rFonts w:eastAsiaTheme="minorEastAsia" w:cstheme="minorHAnsi"/>
                <w:sz w:val="22"/>
                <w:szCs w:val="22"/>
                <w:lang w:eastAsia="zh-CN"/>
              </w:rPr>
              <w:t>13,211.4</w:t>
            </w:r>
          </w:p>
        </w:tc>
      </w:tr>
      <w:tr w:rsidR="00FF2CE7" w:rsidRPr="00223683" w14:paraId="5D7CED2D" w14:textId="77777777" w:rsidTr="00223683">
        <w:trPr>
          <w:trHeight w:val="300"/>
          <w:jc w:val="center"/>
        </w:trPr>
        <w:tc>
          <w:tcPr>
            <w:tcW w:w="805" w:type="pct"/>
            <w:hideMark/>
          </w:tcPr>
          <w:p w14:paraId="0B6CF952" w14:textId="77777777" w:rsidR="00FF2CE7" w:rsidRPr="00223683" w:rsidRDefault="00FF2CE7">
            <w:pPr>
              <w:spacing w:before="60" w:after="60"/>
              <w:rPr>
                <w:rFonts w:cstheme="minorHAnsi"/>
                <w:sz w:val="22"/>
                <w:szCs w:val="22"/>
                <w:lang w:eastAsia="zh-CN"/>
              </w:rPr>
            </w:pPr>
            <w:r w:rsidRPr="00223683">
              <w:rPr>
                <w:rFonts w:cstheme="minorHAnsi"/>
                <w:sz w:val="22"/>
                <w:szCs w:val="22"/>
                <w:lang w:eastAsia="zh-CN"/>
              </w:rPr>
              <w:t xml:space="preserve">ARB </w:t>
            </w:r>
          </w:p>
        </w:tc>
        <w:tc>
          <w:tcPr>
            <w:tcW w:w="957" w:type="pct"/>
            <w:vAlign w:val="bottom"/>
            <w:hideMark/>
          </w:tcPr>
          <w:p w14:paraId="6EA58286" w14:textId="77777777" w:rsidR="00FF2CE7" w:rsidRPr="00223683" w:rsidRDefault="00FF2CE7">
            <w:pPr>
              <w:spacing w:before="60" w:after="60"/>
              <w:jc w:val="center"/>
              <w:rPr>
                <w:rFonts w:eastAsiaTheme="minorEastAsia" w:cstheme="minorHAnsi"/>
                <w:sz w:val="22"/>
                <w:szCs w:val="22"/>
                <w:lang w:eastAsia="zh-CN"/>
              </w:rPr>
            </w:pPr>
            <w:r w:rsidRPr="00223683">
              <w:rPr>
                <w:rFonts w:eastAsiaTheme="minorEastAsia" w:cstheme="minorHAnsi"/>
                <w:sz w:val="22"/>
                <w:szCs w:val="22"/>
                <w:lang w:eastAsia="zh-CN"/>
              </w:rPr>
              <w:t>5</w:t>
            </w:r>
          </w:p>
        </w:tc>
        <w:tc>
          <w:tcPr>
            <w:tcW w:w="1185" w:type="pct"/>
            <w:vAlign w:val="bottom"/>
            <w:hideMark/>
          </w:tcPr>
          <w:p w14:paraId="5E8D304F" w14:textId="77777777" w:rsidR="00FF2CE7" w:rsidRPr="00223683" w:rsidRDefault="00FF2CE7">
            <w:pPr>
              <w:spacing w:before="60" w:after="60"/>
              <w:jc w:val="right"/>
              <w:rPr>
                <w:rFonts w:eastAsiaTheme="minorEastAsia" w:cstheme="minorHAnsi"/>
                <w:sz w:val="22"/>
                <w:szCs w:val="22"/>
                <w:lang w:eastAsia="zh-CN"/>
              </w:rPr>
            </w:pPr>
            <w:r w:rsidRPr="00223683">
              <w:rPr>
                <w:rFonts w:eastAsiaTheme="minorEastAsia" w:cstheme="minorHAnsi"/>
                <w:sz w:val="22"/>
                <w:szCs w:val="22"/>
                <w:lang w:eastAsia="zh-CN"/>
              </w:rPr>
              <w:t>2,989.6</w:t>
            </w:r>
          </w:p>
        </w:tc>
        <w:tc>
          <w:tcPr>
            <w:tcW w:w="956" w:type="pct"/>
            <w:vAlign w:val="bottom"/>
            <w:hideMark/>
          </w:tcPr>
          <w:p w14:paraId="69833A9C" w14:textId="77777777" w:rsidR="00FF2CE7" w:rsidRPr="00223683" w:rsidRDefault="00FF2CE7">
            <w:pPr>
              <w:spacing w:before="60" w:after="60"/>
              <w:jc w:val="right"/>
              <w:rPr>
                <w:rFonts w:eastAsiaTheme="minorEastAsia" w:cstheme="minorHAnsi"/>
                <w:sz w:val="22"/>
                <w:szCs w:val="22"/>
                <w:lang w:eastAsia="zh-CN"/>
              </w:rPr>
            </w:pPr>
            <w:r w:rsidRPr="00223683">
              <w:rPr>
                <w:rFonts w:eastAsiaTheme="minorEastAsia" w:cstheme="minorHAnsi"/>
                <w:sz w:val="22"/>
                <w:szCs w:val="22"/>
                <w:lang w:eastAsia="zh-CN"/>
              </w:rPr>
              <w:t>664.5</w:t>
            </w:r>
          </w:p>
        </w:tc>
        <w:tc>
          <w:tcPr>
            <w:tcW w:w="1097" w:type="pct"/>
            <w:shd w:val="clear" w:color="auto" w:fill="DBE5F1" w:themeFill="accent1" w:themeFillTint="33"/>
            <w:vAlign w:val="bottom"/>
            <w:hideMark/>
          </w:tcPr>
          <w:p w14:paraId="6A6C72CC" w14:textId="77777777" w:rsidR="00FF2CE7" w:rsidRPr="00223683" w:rsidRDefault="00FF2CE7">
            <w:pPr>
              <w:spacing w:before="60" w:after="60"/>
              <w:jc w:val="right"/>
              <w:rPr>
                <w:rFonts w:eastAsiaTheme="minorEastAsia" w:cstheme="minorHAnsi"/>
                <w:sz w:val="22"/>
                <w:szCs w:val="22"/>
                <w:lang w:eastAsia="zh-CN"/>
              </w:rPr>
            </w:pPr>
            <w:r w:rsidRPr="00223683">
              <w:rPr>
                <w:rFonts w:eastAsiaTheme="minorEastAsia" w:cstheme="minorHAnsi"/>
                <w:sz w:val="22"/>
                <w:szCs w:val="22"/>
                <w:lang w:eastAsia="zh-CN"/>
              </w:rPr>
              <w:t>3,654.1</w:t>
            </w:r>
          </w:p>
        </w:tc>
      </w:tr>
      <w:tr w:rsidR="00FF2CE7" w:rsidRPr="00223683" w14:paraId="11390CDC" w14:textId="77777777" w:rsidTr="00223683">
        <w:trPr>
          <w:trHeight w:val="54"/>
          <w:jc w:val="center"/>
        </w:trPr>
        <w:tc>
          <w:tcPr>
            <w:tcW w:w="805" w:type="pct"/>
            <w:vAlign w:val="center"/>
            <w:hideMark/>
          </w:tcPr>
          <w:p w14:paraId="1CA3B4DC" w14:textId="77777777" w:rsidR="00FF2CE7" w:rsidRPr="00223683" w:rsidRDefault="00FF2CE7">
            <w:pPr>
              <w:spacing w:before="60" w:after="60"/>
              <w:rPr>
                <w:rFonts w:cstheme="minorHAnsi"/>
                <w:sz w:val="22"/>
                <w:szCs w:val="22"/>
                <w:lang w:eastAsia="zh-CN"/>
              </w:rPr>
            </w:pPr>
            <w:r w:rsidRPr="00223683">
              <w:rPr>
                <w:rFonts w:cstheme="minorHAnsi"/>
                <w:sz w:val="22"/>
                <w:szCs w:val="22"/>
                <w:lang w:eastAsia="zh-CN"/>
              </w:rPr>
              <w:t>ASP</w:t>
            </w:r>
          </w:p>
        </w:tc>
        <w:tc>
          <w:tcPr>
            <w:tcW w:w="957" w:type="pct"/>
            <w:noWrap/>
            <w:vAlign w:val="bottom"/>
            <w:hideMark/>
          </w:tcPr>
          <w:p w14:paraId="4F5E29C6" w14:textId="77777777" w:rsidR="00FF2CE7" w:rsidRPr="00223683" w:rsidRDefault="00FF2CE7">
            <w:pPr>
              <w:spacing w:before="60" w:after="60"/>
              <w:jc w:val="center"/>
              <w:rPr>
                <w:rFonts w:eastAsiaTheme="minorEastAsia" w:cstheme="minorHAnsi"/>
                <w:sz w:val="22"/>
                <w:szCs w:val="22"/>
                <w:lang w:eastAsia="zh-CN"/>
              </w:rPr>
            </w:pPr>
            <w:r w:rsidRPr="00223683">
              <w:rPr>
                <w:rFonts w:eastAsiaTheme="minorEastAsia" w:cstheme="minorHAnsi"/>
                <w:sz w:val="22"/>
                <w:szCs w:val="22"/>
                <w:lang w:eastAsia="zh-CN"/>
              </w:rPr>
              <w:t>15</w:t>
            </w:r>
          </w:p>
        </w:tc>
        <w:tc>
          <w:tcPr>
            <w:tcW w:w="1185" w:type="pct"/>
            <w:vAlign w:val="bottom"/>
            <w:hideMark/>
          </w:tcPr>
          <w:p w14:paraId="6A756034" w14:textId="77777777" w:rsidR="00FF2CE7" w:rsidRPr="00223683" w:rsidRDefault="00FF2CE7">
            <w:pPr>
              <w:spacing w:before="60" w:after="60"/>
              <w:jc w:val="right"/>
              <w:rPr>
                <w:rFonts w:eastAsiaTheme="minorEastAsia" w:cstheme="minorHAnsi"/>
                <w:sz w:val="22"/>
                <w:szCs w:val="22"/>
                <w:lang w:eastAsia="zh-CN"/>
              </w:rPr>
            </w:pPr>
            <w:r w:rsidRPr="00223683">
              <w:rPr>
                <w:rFonts w:eastAsiaTheme="minorEastAsia" w:cstheme="minorHAnsi"/>
                <w:sz w:val="22"/>
                <w:szCs w:val="22"/>
                <w:lang w:eastAsia="zh-CN"/>
              </w:rPr>
              <w:t>6,667.2</w:t>
            </w:r>
          </w:p>
        </w:tc>
        <w:tc>
          <w:tcPr>
            <w:tcW w:w="956" w:type="pct"/>
            <w:vAlign w:val="bottom"/>
          </w:tcPr>
          <w:p w14:paraId="33F88B79" w14:textId="77777777" w:rsidR="00FF2CE7" w:rsidRPr="00223683" w:rsidRDefault="00FF2CE7">
            <w:pPr>
              <w:spacing w:before="60" w:after="60"/>
              <w:jc w:val="right"/>
              <w:rPr>
                <w:rFonts w:eastAsiaTheme="minorEastAsia" w:cstheme="minorHAnsi"/>
                <w:sz w:val="22"/>
                <w:szCs w:val="22"/>
                <w:lang w:eastAsia="zh-CN"/>
              </w:rPr>
            </w:pPr>
            <w:r w:rsidRPr="00223683">
              <w:rPr>
                <w:rFonts w:eastAsiaTheme="minorEastAsia" w:cstheme="minorHAnsi"/>
                <w:sz w:val="22"/>
                <w:szCs w:val="22"/>
                <w:lang w:eastAsia="zh-CN"/>
              </w:rPr>
              <w:t>655.6</w:t>
            </w:r>
          </w:p>
        </w:tc>
        <w:tc>
          <w:tcPr>
            <w:tcW w:w="1097" w:type="pct"/>
            <w:shd w:val="clear" w:color="auto" w:fill="DBE5F1" w:themeFill="accent1" w:themeFillTint="33"/>
            <w:vAlign w:val="bottom"/>
            <w:hideMark/>
          </w:tcPr>
          <w:p w14:paraId="610B7FF7" w14:textId="77777777" w:rsidR="00FF2CE7" w:rsidRPr="00223683" w:rsidRDefault="00FF2CE7">
            <w:pPr>
              <w:spacing w:before="60" w:after="60"/>
              <w:jc w:val="right"/>
              <w:rPr>
                <w:rFonts w:eastAsiaTheme="minorEastAsia" w:cstheme="minorHAnsi"/>
                <w:sz w:val="22"/>
                <w:szCs w:val="22"/>
                <w:lang w:eastAsia="zh-CN"/>
              </w:rPr>
            </w:pPr>
            <w:r w:rsidRPr="00223683">
              <w:rPr>
                <w:rFonts w:eastAsiaTheme="minorEastAsia" w:cstheme="minorHAnsi"/>
                <w:sz w:val="22"/>
                <w:szCs w:val="22"/>
                <w:lang w:eastAsia="zh-CN"/>
              </w:rPr>
              <w:t>7,804.7</w:t>
            </w:r>
          </w:p>
        </w:tc>
      </w:tr>
      <w:tr w:rsidR="00FF2CE7" w:rsidRPr="00223683" w14:paraId="27FFCFD6" w14:textId="77777777" w:rsidTr="00223683">
        <w:trPr>
          <w:trHeight w:val="54"/>
          <w:jc w:val="center"/>
        </w:trPr>
        <w:tc>
          <w:tcPr>
            <w:tcW w:w="805" w:type="pct"/>
            <w:hideMark/>
          </w:tcPr>
          <w:p w14:paraId="54AF1D80" w14:textId="77777777" w:rsidR="00FF2CE7" w:rsidRPr="00223683" w:rsidRDefault="00FF2CE7">
            <w:pPr>
              <w:spacing w:before="60" w:after="60"/>
              <w:rPr>
                <w:rFonts w:cstheme="minorHAnsi"/>
                <w:sz w:val="22"/>
                <w:szCs w:val="22"/>
                <w:lang w:eastAsia="zh-CN"/>
              </w:rPr>
            </w:pPr>
            <w:r w:rsidRPr="00223683">
              <w:rPr>
                <w:rFonts w:cstheme="minorHAnsi"/>
                <w:sz w:val="22"/>
                <w:szCs w:val="22"/>
                <w:lang w:eastAsia="zh-CN"/>
              </w:rPr>
              <w:t xml:space="preserve">CIS </w:t>
            </w:r>
          </w:p>
        </w:tc>
        <w:tc>
          <w:tcPr>
            <w:tcW w:w="957" w:type="pct"/>
            <w:vAlign w:val="bottom"/>
            <w:hideMark/>
          </w:tcPr>
          <w:p w14:paraId="5D0B9F93" w14:textId="77777777" w:rsidR="00FF2CE7" w:rsidRPr="00223683" w:rsidRDefault="00FF2CE7">
            <w:pPr>
              <w:spacing w:before="60" w:after="60"/>
              <w:jc w:val="center"/>
              <w:rPr>
                <w:rFonts w:eastAsiaTheme="minorEastAsia" w:cstheme="minorHAnsi"/>
                <w:sz w:val="22"/>
                <w:szCs w:val="22"/>
                <w:lang w:eastAsia="zh-CN"/>
              </w:rPr>
            </w:pPr>
            <w:r w:rsidRPr="00223683">
              <w:rPr>
                <w:rFonts w:eastAsiaTheme="minorEastAsia" w:cstheme="minorHAnsi"/>
                <w:sz w:val="22"/>
                <w:szCs w:val="22"/>
                <w:lang w:eastAsia="zh-CN"/>
              </w:rPr>
              <w:t>4</w:t>
            </w:r>
          </w:p>
        </w:tc>
        <w:tc>
          <w:tcPr>
            <w:tcW w:w="1185" w:type="pct"/>
            <w:vAlign w:val="bottom"/>
            <w:hideMark/>
          </w:tcPr>
          <w:p w14:paraId="21F5AFB5" w14:textId="77777777" w:rsidR="00FF2CE7" w:rsidRPr="00223683" w:rsidRDefault="00FF2CE7">
            <w:pPr>
              <w:spacing w:before="60" w:after="60"/>
              <w:jc w:val="right"/>
              <w:rPr>
                <w:rFonts w:eastAsiaTheme="minorEastAsia" w:cstheme="minorHAnsi"/>
                <w:sz w:val="22"/>
                <w:szCs w:val="22"/>
                <w:lang w:eastAsia="zh-CN"/>
              </w:rPr>
            </w:pPr>
            <w:r w:rsidRPr="00223683">
              <w:rPr>
                <w:rFonts w:eastAsiaTheme="minorEastAsia" w:cstheme="minorHAnsi"/>
                <w:sz w:val="22"/>
                <w:szCs w:val="22"/>
                <w:lang w:eastAsia="zh-CN"/>
              </w:rPr>
              <w:t>342.0</w:t>
            </w:r>
          </w:p>
        </w:tc>
        <w:tc>
          <w:tcPr>
            <w:tcW w:w="956" w:type="pct"/>
            <w:vAlign w:val="bottom"/>
          </w:tcPr>
          <w:p w14:paraId="69627C68" w14:textId="77777777" w:rsidR="00FF2CE7" w:rsidRPr="00223683" w:rsidRDefault="00FF2CE7">
            <w:pPr>
              <w:spacing w:before="60" w:after="60"/>
              <w:jc w:val="right"/>
              <w:rPr>
                <w:rFonts w:eastAsiaTheme="minorEastAsia" w:cstheme="minorHAnsi"/>
                <w:sz w:val="22"/>
                <w:szCs w:val="22"/>
                <w:lang w:eastAsia="zh-CN"/>
              </w:rPr>
            </w:pPr>
            <w:r w:rsidRPr="00223683">
              <w:rPr>
                <w:rFonts w:eastAsiaTheme="minorEastAsia" w:cstheme="minorHAnsi"/>
                <w:sz w:val="22"/>
                <w:szCs w:val="22"/>
                <w:lang w:eastAsia="zh-CN"/>
              </w:rPr>
              <w:t>532.2</w:t>
            </w:r>
          </w:p>
        </w:tc>
        <w:tc>
          <w:tcPr>
            <w:tcW w:w="1097" w:type="pct"/>
            <w:shd w:val="clear" w:color="auto" w:fill="DBE5F1" w:themeFill="accent1" w:themeFillTint="33"/>
            <w:vAlign w:val="bottom"/>
            <w:hideMark/>
          </w:tcPr>
          <w:p w14:paraId="024B90D4" w14:textId="77777777" w:rsidR="00FF2CE7" w:rsidRPr="00223683" w:rsidRDefault="00FF2CE7">
            <w:pPr>
              <w:spacing w:before="60" w:after="60"/>
              <w:jc w:val="right"/>
              <w:rPr>
                <w:rFonts w:eastAsiaTheme="minorEastAsia" w:cstheme="minorHAnsi"/>
                <w:sz w:val="22"/>
                <w:szCs w:val="22"/>
                <w:lang w:eastAsia="zh-CN"/>
              </w:rPr>
            </w:pPr>
            <w:r w:rsidRPr="00223683">
              <w:rPr>
                <w:rFonts w:eastAsiaTheme="minorEastAsia" w:cstheme="minorHAnsi"/>
                <w:sz w:val="22"/>
                <w:szCs w:val="22"/>
                <w:lang w:eastAsia="zh-CN"/>
              </w:rPr>
              <w:t>874.1</w:t>
            </w:r>
          </w:p>
        </w:tc>
      </w:tr>
      <w:tr w:rsidR="00FF2CE7" w:rsidRPr="00223683" w14:paraId="08FDD1F9" w14:textId="77777777" w:rsidTr="00223683">
        <w:trPr>
          <w:trHeight w:val="54"/>
          <w:jc w:val="center"/>
        </w:trPr>
        <w:tc>
          <w:tcPr>
            <w:tcW w:w="805" w:type="pct"/>
            <w:vAlign w:val="bottom"/>
            <w:hideMark/>
          </w:tcPr>
          <w:p w14:paraId="1BD50EC7" w14:textId="77777777" w:rsidR="00FF2CE7" w:rsidRPr="00223683" w:rsidRDefault="00FF2CE7">
            <w:pPr>
              <w:spacing w:before="60" w:after="60"/>
              <w:rPr>
                <w:rFonts w:cstheme="minorHAnsi"/>
                <w:sz w:val="22"/>
                <w:szCs w:val="22"/>
                <w:lang w:eastAsia="zh-CN"/>
              </w:rPr>
            </w:pPr>
            <w:r w:rsidRPr="00223683">
              <w:rPr>
                <w:rFonts w:cstheme="minorHAnsi"/>
                <w:sz w:val="22"/>
                <w:szCs w:val="22"/>
                <w:lang w:eastAsia="zh-CN"/>
              </w:rPr>
              <w:t>EUR</w:t>
            </w:r>
          </w:p>
        </w:tc>
        <w:tc>
          <w:tcPr>
            <w:tcW w:w="957" w:type="pct"/>
            <w:vAlign w:val="bottom"/>
            <w:hideMark/>
          </w:tcPr>
          <w:p w14:paraId="57A49E17" w14:textId="77777777" w:rsidR="00FF2CE7" w:rsidRPr="00223683" w:rsidRDefault="00FF2CE7">
            <w:pPr>
              <w:spacing w:before="60" w:after="60"/>
              <w:jc w:val="center"/>
              <w:rPr>
                <w:rFonts w:eastAsiaTheme="minorEastAsia" w:cstheme="minorHAnsi"/>
                <w:sz w:val="22"/>
                <w:szCs w:val="22"/>
                <w:lang w:eastAsia="zh-CN"/>
              </w:rPr>
            </w:pPr>
            <w:r w:rsidRPr="00223683">
              <w:rPr>
                <w:rFonts w:eastAsiaTheme="minorEastAsia" w:cstheme="minorHAnsi"/>
                <w:sz w:val="22"/>
                <w:szCs w:val="22"/>
                <w:lang w:eastAsia="zh-CN"/>
              </w:rPr>
              <w:t>4</w:t>
            </w:r>
          </w:p>
        </w:tc>
        <w:tc>
          <w:tcPr>
            <w:tcW w:w="1185" w:type="pct"/>
            <w:vAlign w:val="bottom"/>
            <w:hideMark/>
          </w:tcPr>
          <w:p w14:paraId="6151C23A" w14:textId="77777777" w:rsidR="00FF2CE7" w:rsidRPr="00223683" w:rsidRDefault="00FF2CE7">
            <w:pPr>
              <w:spacing w:before="60" w:after="60"/>
              <w:jc w:val="right"/>
              <w:rPr>
                <w:rFonts w:eastAsiaTheme="minorEastAsia" w:cstheme="minorHAnsi"/>
                <w:sz w:val="22"/>
                <w:szCs w:val="22"/>
                <w:lang w:eastAsia="zh-CN"/>
              </w:rPr>
            </w:pPr>
            <w:r w:rsidRPr="00223683">
              <w:rPr>
                <w:rFonts w:eastAsiaTheme="minorEastAsia" w:cstheme="minorHAnsi"/>
                <w:sz w:val="22"/>
                <w:szCs w:val="22"/>
                <w:lang w:eastAsia="zh-CN"/>
              </w:rPr>
              <w:t>4,034.6</w:t>
            </w:r>
          </w:p>
        </w:tc>
        <w:tc>
          <w:tcPr>
            <w:tcW w:w="956" w:type="pct"/>
            <w:vAlign w:val="bottom"/>
          </w:tcPr>
          <w:p w14:paraId="18951E2A" w14:textId="77777777" w:rsidR="00FF2CE7" w:rsidRPr="00223683" w:rsidRDefault="00FF2CE7">
            <w:pPr>
              <w:spacing w:before="60" w:after="60"/>
              <w:jc w:val="right"/>
              <w:rPr>
                <w:rFonts w:eastAsiaTheme="minorEastAsia" w:cstheme="minorHAnsi"/>
                <w:sz w:val="22"/>
                <w:szCs w:val="22"/>
                <w:lang w:eastAsia="zh-CN"/>
              </w:rPr>
            </w:pPr>
            <w:r w:rsidRPr="00223683">
              <w:rPr>
                <w:rFonts w:eastAsiaTheme="minorEastAsia" w:cstheme="minorHAnsi"/>
                <w:sz w:val="22"/>
                <w:szCs w:val="22"/>
                <w:lang w:eastAsia="zh-CN"/>
              </w:rPr>
              <w:t>44.2</w:t>
            </w:r>
          </w:p>
        </w:tc>
        <w:tc>
          <w:tcPr>
            <w:tcW w:w="1097" w:type="pct"/>
            <w:shd w:val="clear" w:color="auto" w:fill="DBE5F1" w:themeFill="accent1" w:themeFillTint="33"/>
            <w:vAlign w:val="bottom"/>
            <w:hideMark/>
          </w:tcPr>
          <w:p w14:paraId="2BB2E4BC" w14:textId="77777777" w:rsidR="00FF2CE7" w:rsidRPr="00223683" w:rsidRDefault="00FF2CE7">
            <w:pPr>
              <w:spacing w:before="60" w:after="60"/>
              <w:jc w:val="right"/>
              <w:rPr>
                <w:rFonts w:eastAsiaTheme="minorEastAsia" w:cstheme="minorHAnsi"/>
                <w:sz w:val="22"/>
                <w:szCs w:val="22"/>
                <w:lang w:eastAsia="zh-CN"/>
              </w:rPr>
            </w:pPr>
            <w:r w:rsidRPr="00223683">
              <w:rPr>
                <w:rFonts w:eastAsiaTheme="minorEastAsia" w:cstheme="minorHAnsi"/>
                <w:sz w:val="22"/>
                <w:szCs w:val="22"/>
                <w:lang w:eastAsia="zh-CN"/>
              </w:rPr>
              <w:t>4,078.8</w:t>
            </w:r>
          </w:p>
        </w:tc>
      </w:tr>
      <w:tr w:rsidR="00FF2CE7" w:rsidRPr="00223683" w14:paraId="1E32F4D5" w14:textId="77777777" w:rsidTr="00223683">
        <w:trPr>
          <w:trHeight w:val="54"/>
          <w:jc w:val="center"/>
        </w:trPr>
        <w:tc>
          <w:tcPr>
            <w:tcW w:w="805" w:type="pct"/>
            <w:hideMark/>
          </w:tcPr>
          <w:p w14:paraId="0C6CF07D" w14:textId="77777777" w:rsidR="00FF2CE7" w:rsidRPr="00223683" w:rsidRDefault="00FF2CE7">
            <w:pPr>
              <w:spacing w:before="60" w:after="60"/>
              <w:rPr>
                <w:rFonts w:cstheme="minorHAnsi"/>
                <w:sz w:val="22"/>
                <w:szCs w:val="22"/>
                <w:lang w:eastAsia="zh-CN"/>
              </w:rPr>
            </w:pPr>
            <w:r w:rsidRPr="00223683">
              <w:rPr>
                <w:rFonts w:cstheme="minorHAnsi"/>
                <w:sz w:val="22"/>
                <w:szCs w:val="22"/>
                <w:lang w:eastAsia="zh-CN"/>
              </w:rPr>
              <w:t>MUL (*)</w:t>
            </w:r>
          </w:p>
        </w:tc>
        <w:tc>
          <w:tcPr>
            <w:tcW w:w="957" w:type="pct"/>
            <w:noWrap/>
            <w:vAlign w:val="bottom"/>
            <w:hideMark/>
          </w:tcPr>
          <w:p w14:paraId="4A529346" w14:textId="77777777" w:rsidR="00FF2CE7" w:rsidRPr="00223683" w:rsidRDefault="00FF2CE7">
            <w:pPr>
              <w:spacing w:before="60" w:after="60"/>
              <w:jc w:val="center"/>
              <w:rPr>
                <w:rFonts w:eastAsiaTheme="minorEastAsia" w:cstheme="minorHAnsi"/>
                <w:sz w:val="22"/>
                <w:szCs w:val="22"/>
                <w:lang w:eastAsia="zh-CN"/>
              </w:rPr>
            </w:pPr>
            <w:r w:rsidRPr="00223683">
              <w:rPr>
                <w:rFonts w:eastAsiaTheme="minorEastAsia" w:cstheme="minorHAnsi"/>
                <w:sz w:val="22"/>
                <w:szCs w:val="22"/>
                <w:lang w:eastAsia="zh-CN"/>
              </w:rPr>
              <w:t>41</w:t>
            </w:r>
          </w:p>
        </w:tc>
        <w:tc>
          <w:tcPr>
            <w:tcW w:w="1185" w:type="pct"/>
            <w:vAlign w:val="bottom"/>
            <w:hideMark/>
          </w:tcPr>
          <w:p w14:paraId="5CE8B02E" w14:textId="77777777" w:rsidR="00FF2CE7" w:rsidRPr="00223683" w:rsidRDefault="00FF2CE7">
            <w:pPr>
              <w:spacing w:before="60" w:after="60"/>
              <w:jc w:val="right"/>
              <w:rPr>
                <w:rFonts w:eastAsiaTheme="minorEastAsia" w:cstheme="minorHAnsi"/>
                <w:sz w:val="22"/>
                <w:szCs w:val="22"/>
                <w:lang w:eastAsia="zh-CN"/>
              </w:rPr>
            </w:pPr>
            <w:r w:rsidRPr="00223683">
              <w:rPr>
                <w:rFonts w:eastAsiaTheme="minorEastAsia" w:cstheme="minorHAnsi"/>
                <w:sz w:val="22"/>
                <w:szCs w:val="22"/>
                <w:lang w:eastAsia="zh-CN"/>
              </w:rPr>
              <w:t>26,852.4</w:t>
            </w:r>
          </w:p>
        </w:tc>
        <w:tc>
          <w:tcPr>
            <w:tcW w:w="956" w:type="pct"/>
            <w:vAlign w:val="bottom"/>
            <w:hideMark/>
          </w:tcPr>
          <w:p w14:paraId="65BBC70D" w14:textId="77777777" w:rsidR="00FF2CE7" w:rsidRPr="00223683" w:rsidRDefault="00FF2CE7">
            <w:pPr>
              <w:spacing w:before="60" w:after="60"/>
              <w:jc w:val="right"/>
              <w:rPr>
                <w:rFonts w:eastAsiaTheme="minorEastAsia" w:cstheme="minorHAnsi"/>
                <w:sz w:val="22"/>
                <w:szCs w:val="22"/>
                <w:lang w:eastAsia="zh-CN"/>
              </w:rPr>
            </w:pPr>
            <w:r w:rsidRPr="00223683">
              <w:rPr>
                <w:rFonts w:eastAsiaTheme="minorEastAsia" w:cstheme="minorHAnsi"/>
                <w:sz w:val="22"/>
                <w:szCs w:val="22"/>
                <w:lang w:eastAsia="zh-CN"/>
              </w:rPr>
              <w:t>6,676.5</w:t>
            </w:r>
          </w:p>
        </w:tc>
        <w:tc>
          <w:tcPr>
            <w:tcW w:w="1097" w:type="pct"/>
            <w:shd w:val="clear" w:color="auto" w:fill="DBE5F1" w:themeFill="accent1" w:themeFillTint="33"/>
            <w:vAlign w:val="bottom"/>
            <w:hideMark/>
          </w:tcPr>
          <w:p w14:paraId="6FD01E9A" w14:textId="77777777" w:rsidR="00FF2CE7" w:rsidRPr="00223683" w:rsidRDefault="00FF2CE7">
            <w:pPr>
              <w:spacing w:before="60" w:after="60"/>
              <w:jc w:val="right"/>
              <w:rPr>
                <w:rFonts w:eastAsiaTheme="minorEastAsia" w:cstheme="minorHAnsi"/>
                <w:sz w:val="22"/>
                <w:szCs w:val="22"/>
                <w:lang w:eastAsia="zh-CN"/>
              </w:rPr>
            </w:pPr>
            <w:r w:rsidRPr="00223683">
              <w:rPr>
                <w:rFonts w:eastAsiaTheme="minorEastAsia" w:cstheme="minorHAnsi"/>
                <w:sz w:val="22"/>
                <w:szCs w:val="22"/>
                <w:lang w:eastAsia="zh-CN"/>
              </w:rPr>
              <w:t>33,979.1</w:t>
            </w:r>
          </w:p>
        </w:tc>
      </w:tr>
      <w:tr w:rsidR="00FF2CE7" w:rsidRPr="00223683" w14:paraId="134F74E2" w14:textId="77777777" w:rsidTr="00223683">
        <w:trPr>
          <w:trHeight w:val="54"/>
          <w:jc w:val="center"/>
        </w:trPr>
        <w:tc>
          <w:tcPr>
            <w:tcW w:w="805" w:type="pct"/>
            <w:shd w:val="clear" w:color="auto" w:fill="DBE5F1" w:themeFill="accent1" w:themeFillTint="33"/>
            <w:noWrap/>
            <w:vAlign w:val="center"/>
            <w:hideMark/>
          </w:tcPr>
          <w:p w14:paraId="23E73EA9" w14:textId="77777777" w:rsidR="00FF2CE7" w:rsidRPr="00223683" w:rsidRDefault="00FF2CE7">
            <w:pPr>
              <w:spacing w:before="60" w:after="60"/>
              <w:rPr>
                <w:rFonts w:cstheme="minorHAnsi"/>
                <w:b/>
                <w:bCs/>
                <w:sz w:val="22"/>
                <w:szCs w:val="22"/>
                <w:lang w:eastAsia="zh-CN"/>
              </w:rPr>
            </w:pPr>
            <w:r w:rsidRPr="00223683">
              <w:rPr>
                <w:rFonts w:cstheme="minorHAnsi"/>
                <w:b/>
                <w:bCs/>
                <w:sz w:val="22"/>
                <w:szCs w:val="22"/>
                <w:lang w:eastAsia="zh-CN"/>
              </w:rPr>
              <w:t>Total</w:t>
            </w:r>
          </w:p>
        </w:tc>
        <w:tc>
          <w:tcPr>
            <w:tcW w:w="957" w:type="pct"/>
            <w:shd w:val="clear" w:color="auto" w:fill="DBE5F1" w:themeFill="accent1" w:themeFillTint="33"/>
            <w:noWrap/>
            <w:vAlign w:val="bottom"/>
            <w:hideMark/>
          </w:tcPr>
          <w:p w14:paraId="795BA478" w14:textId="77777777" w:rsidR="00FF2CE7" w:rsidRPr="00223683" w:rsidRDefault="00FF2CE7">
            <w:pPr>
              <w:spacing w:before="60" w:after="60"/>
              <w:jc w:val="center"/>
              <w:rPr>
                <w:rFonts w:eastAsiaTheme="minorEastAsia" w:cstheme="minorHAnsi"/>
                <w:b/>
                <w:bCs/>
                <w:sz w:val="22"/>
                <w:szCs w:val="22"/>
                <w:lang w:eastAsia="zh-CN"/>
              </w:rPr>
            </w:pPr>
            <w:r w:rsidRPr="00223683">
              <w:rPr>
                <w:rFonts w:eastAsiaTheme="minorEastAsia" w:cstheme="minorHAnsi"/>
                <w:b/>
                <w:bCs/>
                <w:sz w:val="22"/>
                <w:szCs w:val="22"/>
                <w:lang w:eastAsia="zh-CN"/>
              </w:rPr>
              <w:t>105</w:t>
            </w:r>
          </w:p>
        </w:tc>
        <w:tc>
          <w:tcPr>
            <w:tcW w:w="1185" w:type="pct"/>
            <w:shd w:val="clear" w:color="auto" w:fill="DBE5F1" w:themeFill="accent1" w:themeFillTint="33"/>
            <w:noWrap/>
            <w:vAlign w:val="bottom"/>
            <w:hideMark/>
          </w:tcPr>
          <w:p w14:paraId="4BC18FF2" w14:textId="77777777" w:rsidR="00FF2CE7" w:rsidRPr="00223683" w:rsidRDefault="00FF2CE7">
            <w:pPr>
              <w:spacing w:before="60" w:after="60"/>
              <w:jc w:val="right"/>
              <w:rPr>
                <w:rFonts w:eastAsiaTheme="minorEastAsia" w:cstheme="minorHAnsi"/>
                <w:b/>
                <w:bCs/>
                <w:sz w:val="22"/>
                <w:szCs w:val="22"/>
                <w:lang w:eastAsia="zh-CN"/>
              </w:rPr>
            </w:pPr>
            <w:r w:rsidRPr="00223683">
              <w:rPr>
                <w:rFonts w:eastAsiaTheme="minorEastAsia" w:cstheme="minorHAnsi"/>
                <w:b/>
                <w:bCs/>
                <w:sz w:val="22"/>
                <w:szCs w:val="22"/>
                <w:lang w:eastAsia="zh-CN"/>
              </w:rPr>
              <w:t>80,034.7</w:t>
            </w:r>
          </w:p>
        </w:tc>
        <w:tc>
          <w:tcPr>
            <w:tcW w:w="956" w:type="pct"/>
            <w:shd w:val="clear" w:color="auto" w:fill="DBE5F1" w:themeFill="accent1" w:themeFillTint="33"/>
            <w:noWrap/>
            <w:vAlign w:val="bottom"/>
            <w:hideMark/>
          </w:tcPr>
          <w:p w14:paraId="5BBC1699" w14:textId="77777777" w:rsidR="00FF2CE7" w:rsidRPr="00223683" w:rsidRDefault="00FF2CE7">
            <w:pPr>
              <w:spacing w:before="60" w:after="60"/>
              <w:jc w:val="right"/>
              <w:rPr>
                <w:rFonts w:eastAsiaTheme="minorEastAsia" w:cstheme="minorHAnsi"/>
                <w:b/>
                <w:bCs/>
                <w:sz w:val="22"/>
                <w:szCs w:val="22"/>
                <w:lang w:eastAsia="zh-CN"/>
              </w:rPr>
            </w:pPr>
            <w:r w:rsidRPr="00223683">
              <w:rPr>
                <w:rFonts w:eastAsiaTheme="minorEastAsia" w:cstheme="minorHAnsi"/>
                <w:b/>
                <w:bCs/>
                <w:sz w:val="22"/>
                <w:szCs w:val="22"/>
                <w:lang w:eastAsia="zh-CN"/>
              </w:rPr>
              <w:t>10,425.3</w:t>
            </w:r>
          </w:p>
        </w:tc>
        <w:tc>
          <w:tcPr>
            <w:tcW w:w="1097" w:type="pct"/>
            <w:shd w:val="clear" w:color="auto" w:fill="DBE5F1" w:themeFill="accent1" w:themeFillTint="33"/>
            <w:noWrap/>
            <w:vAlign w:val="bottom"/>
            <w:hideMark/>
          </w:tcPr>
          <w:p w14:paraId="59BBC3B2" w14:textId="77777777" w:rsidR="00FF2CE7" w:rsidRPr="00223683" w:rsidRDefault="00FF2CE7">
            <w:pPr>
              <w:spacing w:before="60" w:after="60"/>
              <w:jc w:val="right"/>
              <w:rPr>
                <w:rFonts w:eastAsiaTheme="minorEastAsia" w:cstheme="minorHAnsi"/>
                <w:b/>
                <w:bCs/>
                <w:sz w:val="22"/>
                <w:szCs w:val="22"/>
                <w:lang w:eastAsia="zh-CN"/>
              </w:rPr>
            </w:pPr>
            <w:r w:rsidRPr="00223683">
              <w:rPr>
                <w:rFonts w:eastAsiaTheme="minorEastAsia" w:cstheme="minorHAnsi"/>
                <w:b/>
                <w:bCs/>
                <w:sz w:val="22"/>
                <w:szCs w:val="22"/>
                <w:lang w:eastAsia="zh-CN"/>
              </w:rPr>
              <w:t>91,800.0</w:t>
            </w:r>
          </w:p>
        </w:tc>
      </w:tr>
    </w:tbl>
    <w:p w14:paraId="6A43C72F" w14:textId="5A347FBD" w:rsidR="00FF2CE7" w:rsidRPr="00223683" w:rsidRDefault="00FF2CE7" w:rsidP="00FF2CE7">
      <w:pPr>
        <w:rPr>
          <w:rFonts w:cstheme="minorBidi"/>
          <w:sz w:val="20"/>
        </w:rPr>
      </w:pPr>
      <w:r w:rsidRPr="00223683">
        <w:rPr>
          <w:rFonts w:cstheme="minorBidi"/>
          <w:sz w:val="20"/>
        </w:rPr>
        <w:t>(*) Multi-regional projects benefiting all regions</w:t>
      </w:r>
    </w:p>
    <w:p w14:paraId="53712F5B" w14:textId="09CCBD6F" w:rsidR="005F4465" w:rsidRPr="00223683" w:rsidRDefault="005F4465" w:rsidP="00223683">
      <w:pPr>
        <w:pStyle w:val="Heading1"/>
        <w:tabs>
          <w:tab w:val="num" w:pos="360"/>
        </w:tabs>
        <w:spacing w:before="120" w:after="120"/>
        <w:rPr>
          <w:sz w:val="24"/>
          <w:szCs w:val="24"/>
        </w:rPr>
      </w:pPr>
      <w:r w:rsidRPr="00223683">
        <w:rPr>
          <w:sz w:val="24"/>
          <w:szCs w:val="24"/>
        </w:rPr>
        <w:t>2</w:t>
      </w:r>
      <w:r w:rsidR="003144DA">
        <w:rPr>
          <w:sz w:val="24"/>
          <w:szCs w:val="24"/>
        </w:rPr>
        <w:t xml:space="preserve">. </w:t>
      </w:r>
      <w:r w:rsidRPr="00223683">
        <w:rPr>
          <w:sz w:val="24"/>
          <w:szCs w:val="24"/>
        </w:rPr>
        <w:t>Discussions at Council on Strengthening Regional Presence</w:t>
      </w:r>
    </w:p>
    <w:p w14:paraId="06A7A91E" w14:textId="76A67538" w:rsidR="005F4465" w:rsidRPr="00223683" w:rsidRDefault="00D11DC0" w:rsidP="00223683">
      <w:pPr>
        <w:spacing w:after="120"/>
        <w:rPr>
          <w:szCs w:val="24"/>
        </w:rPr>
      </w:pPr>
      <w:r w:rsidRPr="00223683">
        <w:rPr>
          <w:szCs w:val="24"/>
        </w:rPr>
        <w:t>2</w:t>
      </w:r>
      <w:r w:rsidR="005F4465" w:rsidRPr="00223683">
        <w:rPr>
          <w:szCs w:val="24"/>
        </w:rPr>
        <w:t xml:space="preserve">.1 The Council Working Group on Financial and Human resources, during its meeting on 11-13 October 2023, examined and discussed briefly the following two documents, both on the topic of establishing criteria for the creation of future area offices: </w:t>
      </w:r>
      <w:hyperlink r:id="rId36" w:history="1">
        <w:r w:rsidR="005F4465" w:rsidRPr="00223683">
          <w:rPr>
            <w:rStyle w:val="Hyperlink"/>
            <w:szCs w:val="24"/>
          </w:rPr>
          <w:t>CWG-FHR-16/10</w:t>
        </w:r>
      </w:hyperlink>
      <w:r w:rsidR="005F4465" w:rsidRPr="00223683">
        <w:rPr>
          <w:szCs w:val="24"/>
        </w:rPr>
        <w:t xml:space="preserve"> - Strengthening the Regional Presence - Criteria for Establishing Future Area Offices, submitted by the Secretary-General</w:t>
      </w:r>
      <w:r w:rsidR="00503C17" w:rsidRPr="00223683">
        <w:rPr>
          <w:szCs w:val="24"/>
        </w:rPr>
        <w:t xml:space="preserve">, and </w:t>
      </w:r>
      <w:hyperlink r:id="rId37" w:history="1">
        <w:r w:rsidR="005F4465" w:rsidRPr="00223683">
          <w:rPr>
            <w:rStyle w:val="Hyperlink"/>
            <w:szCs w:val="24"/>
          </w:rPr>
          <w:t>CWG-FHR-16/24(Rev.1)</w:t>
        </w:r>
      </w:hyperlink>
      <w:r w:rsidR="005F4465" w:rsidRPr="00223683">
        <w:rPr>
          <w:szCs w:val="24"/>
        </w:rPr>
        <w:t xml:space="preserve"> - Multi-country contribution - The Proposal for Establishing Future Area Offices, from Algeria, China, Cuba, Russian Federation and South Africa</w:t>
      </w:r>
    </w:p>
    <w:p w14:paraId="690F95E0" w14:textId="124B92A9" w:rsidR="005F4465" w:rsidRPr="00223683" w:rsidRDefault="00D11DC0" w:rsidP="00223683">
      <w:pPr>
        <w:spacing w:after="120"/>
        <w:rPr>
          <w:szCs w:val="24"/>
        </w:rPr>
      </w:pPr>
      <w:r w:rsidRPr="00223683">
        <w:rPr>
          <w:szCs w:val="24"/>
        </w:rPr>
        <w:t>2</w:t>
      </w:r>
      <w:r w:rsidR="005F4465" w:rsidRPr="00223683">
        <w:rPr>
          <w:szCs w:val="24"/>
        </w:rPr>
        <w:t xml:space="preserve">.1.1 The documents were sent to the </w:t>
      </w:r>
      <w:r w:rsidR="389E4B63" w:rsidRPr="00223683">
        <w:rPr>
          <w:szCs w:val="24"/>
        </w:rPr>
        <w:t>January 2024</w:t>
      </w:r>
      <w:r w:rsidR="005F4465" w:rsidRPr="00223683">
        <w:rPr>
          <w:szCs w:val="24"/>
        </w:rPr>
        <w:t xml:space="preserve"> CWG-FHR meeting, for continued discussions and possible deliberation on a proposal to be sent to the Council.</w:t>
      </w:r>
    </w:p>
    <w:p w14:paraId="15F59223" w14:textId="29050899" w:rsidR="005F4465" w:rsidRPr="00223683" w:rsidRDefault="00D11DC0" w:rsidP="00223683">
      <w:pPr>
        <w:spacing w:after="120"/>
        <w:rPr>
          <w:szCs w:val="24"/>
        </w:rPr>
      </w:pPr>
      <w:r w:rsidRPr="00223683">
        <w:rPr>
          <w:szCs w:val="24"/>
        </w:rPr>
        <w:t>2</w:t>
      </w:r>
      <w:r w:rsidR="005F4465" w:rsidRPr="00223683">
        <w:rPr>
          <w:szCs w:val="24"/>
        </w:rPr>
        <w:t>.1.2 The CWG-FHR, during its meeting on 24-26 January 2024, resolved the following:</w:t>
      </w:r>
    </w:p>
    <w:p w14:paraId="08F40170" w14:textId="3549926E" w:rsidR="005F4465" w:rsidRPr="00223683" w:rsidRDefault="00D11DC0" w:rsidP="00223683">
      <w:pPr>
        <w:spacing w:after="120"/>
        <w:rPr>
          <w:szCs w:val="24"/>
        </w:rPr>
      </w:pPr>
      <w:r w:rsidRPr="00223683">
        <w:rPr>
          <w:szCs w:val="24"/>
        </w:rPr>
        <w:t>2</w:t>
      </w:r>
      <w:r w:rsidR="005F4465" w:rsidRPr="00223683">
        <w:rPr>
          <w:szCs w:val="24"/>
        </w:rPr>
        <w:t xml:space="preserve">.1.3 Some Member </w:t>
      </w:r>
      <w:r w:rsidR="7BE1C749" w:rsidRPr="00223683">
        <w:rPr>
          <w:szCs w:val="24"/>
        </w:rPr>
        <w:t>S</w:t>
      </w:r>
      <w:r w:rsidR="005F4465" w:rsidRPr="00223683">
        <w:rPr>
          <w:szCs w:val="24"/>
        </w:rPr>
        <w:t xml:space="preserve">tates motioned for the report to be forwarded to </w:t>
      </w:r>
      <w:r w:rsidR="254D7CD5" w:rsidRPr="00223683">
        <w:rPr>
          <w:szCs w:val="24"/>
        </w:rPr>
        <w:t>C</w:t>
      </w:r>
      <w:r w:rsidR="005F4465" w:rsidRPr="00223683">
        <w:rPr>
          <w:szCs w:val="24"/>
        </w:rPr>
        <w:t>ouncil for approval while others expected additional information from the advisory committee, coordination with other ITU sectors, and enhanced overall fidelity in the document. It was noted that the proposed criteria should be measurable and that it should incorporate the role of regional organizations. After further general discussions on the topic, it was decided that the CWG-FHR would send a Liaison Statement to TDAG and to the Inter-Sector Coordination Group (ISCG), asking the advisory group and ISCG to review and provide any feedback to the next meeting of Council.</w:t>
      </w:r>
    </w:p>
    <w:p w14:paraId="13E7EC6C" w14:textId="1EBC967B" w:rsidR="005F4465" w:rsidRPr="00223683" w:rsidRDefault="00D11DC0" w:rsidP="00223683">
      <w:pPr>
        <w:spacing w:after="120"/>
        <w:rPr>
          <w:szCs w:val="24"/>
        </w:rPr>
      </w:pPr>
      <w:r w:rsidRPr="00223683">
        <w:rPr>
          <w:szCs w:val="24"/>
        </w:rPr>
        <w:t>2</w:t>
      </w:r>
      <w:r w:rsidR="005F4465" w:rsidRPr="00223683">
        <w:rPr>
          <w:szCs w:val="24"/>
        </w:rPr>
        <w:t xml:space="preserve">.2 The CWG-FHR, during its meeting in March 2025 reviewed the report submitted by the Online Correspondence Group (OCG), which included the revised Terms of Reference (ToR). </w:t>
      </w:r>
    </w:p>
    <w:p w14:paraId="4365B0B1" w14:textId="5EEFCC04" w:rsidR="005F4465" w:rsidRPr="00223683" w:rsidRDefault="00D11DC0" w:rsidP="00223683">
      <w:pPr>
        <w:spacing w:after="120"/>
        <w:rPr>
          <w:szCs w:val="24"/>
        </w:rPr>
      </w:pPr>
      <w:r w:rsidRPr="00223683">
        <w:rPr>
          <w:szCs w:val="24"/>
        </w:rPr>
        <w:t>2</w:t>
      </w:r>
      <w:r w:rsidR="005F4465" w:rsidRPr="00223683">
        <w:rPr>
          <w:szCs w:val="24"/>
        </w:rPr>
        <w:t>.2.1 During the discussion, several delegates sought clarifications and provided comments on key aspects of the revised ToR, including:</w:t>
      </w:r>
    </w:p>
    <w:p w14:paraId="2F385EC1" w14:textId="77777777" w:rsidR="005F4465" w:rsidRPr="00223683" w:rsidRDefault="005F4465" w:rsidP="00887B28">
      <w:pPr>
        <w:pStyle w:val="ListParagraph"/>
        <w:numPr>
          <w:ilvl w:val="0"/>
          <w:numId w:val="7"/>
        </w:numPr>
        <w:spacing w:before="60" w:after="60"/>
        <w:ind w:left="714" w:hanging="357"/>
        <w:contextualSpacing w:val="0"/>
        <w:rPr>
          <w:szCs w:val="24"/>
        </w:rPr>
      </w:pPr>
      <w:r w:rsidRPr="00223683">
        <w:rPr>
          <w:szCs w:val="24"/>
        </w:rPr>
        <w:t>The scope of stakeholder consultations,</w:t>
      </w:r>
    </w:p>
    <w:p w14:paraId="2097CD89" w14:textId="77777777" w:rsidR="005F4465" w:rsidRPr="00223683" w:rsidRDefault="005F4465" w:rsidP="00887B28">
      <w:pPr>
        <w:pStyle w:val="ListParagraph"/>
        <w:numPr>
          <w:ilvl w:val="0"/>
          <w:numId w:val="7"/>
        </w:numPr>
        <w:spacing w:before="60" w:after="60"/>
        <w:ind w:left="714" w:hanging="357"/>
        <w:contextualSpacing w:val="0"/>
        <w:rPr>
          <w:szCs w:val="24"/>
        </w:rPr>
      </w:pPr>
      <w:r w:rsidRPr="00223683">
        <w:rPr>
          <w:szCs w:val="24"/>
        </w:rPr>
        <w:t>The alignment of Key Performance Indicators (KPIs), and</w:t>
      </w:r>
    </w:p>
    <w:p w14:paraId="7AB4B5D1" w14:textId="77777777" w:rsidR="005F4465" w:rsidRPr="00223683" w:rsidRDefault="005F4465" w:rsidP="00887B28">
      <w:pPr>
        <w:pStyle w:val="ListParagraph"/>
        <w:numPr>
          <w:ilvl w:val="0"/>
          <w:numId w:val="7"/>
        </w:numPr>
        <w:spacing w:before="60" w:after="60"/>
        <w:ind w:left="714" w:hanging="357"/>
        <w:contextualSpacing w:val="0"/>
        <w:rPr>
          <w:szCs w:val="24"/>
        </w:rPr>
      </w:pPr>
      <w:r w:rsidRPr="00223683">
        <w:rPr>
          <w:szCs w:val="24"/>
        </w:rPr>
        <w:t>The process for review and evaluation.</w:t>
      </w:r>
    </w:p>
    <w:p w14:paraId="01B003D9" w14:textId="39A7771D" w:rsidR="005F4465" w:rsidRPr="00223683" w:rsidRDefault="00D11DC0" w:rsidP="00223683">
      <w:pPr>
        <w:spacing w:after="120"/>
        <w:rPr>
          <w:szCs w:val="24"/>
        </w:rPr>
      </w:pPr>
      <w:r w:rsidRPr="00223683">
        <w:rPr>
          <w:szCs w:val="24"/>
        </w:rPr>
        <w:t>2</w:t>
      </w:r>
      <w:r w:rsidR="005F4465" w:rsidRPr="00223683">
        <w:rPr>
          <w:szCs w:val="24"/>
        </w:rPr>
        <w:t>.2.2 Following these discussions, it was agreed that the Chair of the Online Correspondence Group would engage with members who had raised comments and observations in an informal consultation. The outcome of these consultations would then inform the preparation of a revised report for further consideration by the Council Working Group.</w:t>
      </w:r>
    </w:p>
    <w:p w14:paraId="5890451E" w14:textId="7284F165" w:rsidR="005F4465" w:rsidRPr="00223683" w:rsidRDefault="00D11DC0" w:rsidP="00223683">
      <w:pPr>
        <w:spacing w:after="120"/>
        <w:rPr>
          <w:szCs w:val="24"/>
        </w:rPr>
      </w:pPr>
      <w:r w:rsidRPr="00223683">
        <w:rPr>
          <w:szCs w:val="24"/>
        </w:rPr>
        <w:lastRenderedPageBreak/>
        <w:t>2</w:t>
      </w:r>
      <w:r w:rsidR="005F4465" w:rsidRPr="00223683">
        <w:rPr>
          <w:szCs w:val="24"/>
        </w:rPr>
        <w:t xml:space="preserve">.2.3 Following the completion of the informal consultations, amendments were made to the Terms of Reference. The revised document was subsequently submitted to the </w:t>
      </w:r>
      <w:r w:rsidR="4DAC9E78" w:rsidRPr="00223683">
        <w:rPr>
          <w:rFonts w:ascii="Calibri" w:eastAsia="Calibri" w:hAnsi="Calibri" w:cs="Calibri"/>
          <w:szCs w:val="24"/>
        </w:rPr>
        <w:t>20th Session of the CWG FHR</w:t>
      </w:r>
      <w:r w:rsidR="00C8139C">
        <w:rPr>
          <w:szCs w:val="24"/>
        </w:rPr>
        <w:t xml:space="preserve"> </w:t>
      </w:r>
      <w:r w:rsidR="005F4465" w:rsidRPr="00223683">
        <w:rPr>
          <w:szCs w:val="24"/>
        </w:rPr>
        <w:t xml:space="preserve">for consideration. The revised Terms of Reference, subject to minor typographical adjustments were adopted, and are reflected in </w:t>
      </w:r>
      <w:r w:rsidR="005F4465" w:rsidRPr="00641F12">
        <w:rPr>
          <w:szCs w:val="24"/>
        </w:rPr>
        <w:t>Annex A</w:t>
      </w:r>
      <w:r w:rsidR="00FA6EA1">
        <w:rPr>
          <w:szCs w:val="24"/>
        </w:rPr>
        <w:t xml:space="preserve"> (</w:t>
      </w:r>
      <w:hyperlink r:id="rId38" w:history="1">
        <w:r w:rsidR="00FA6EA1" w:rsidRPr="00664878">
          <w:rPr>
            <w:rStyle w:val="Hyperlink"/>
            <w:rFonts w:cstheme="minorHAnsi"/>
            <w:szCs w:val="24"/>
          </w:rPr>
          <w:t>TDAG25/24(Ann.1)</w:t>
        </w:r>
      </w:hyperlink>
      <w:r w:rsidR="00FA6EA1">
        <w:t>)</w:t>
      </w:r>
      <w:r w:rsidR="005F4465" w:rsidRPr="00223683">
        <w:rPr>
          <w:szCs w:val="24"/>
        </w:rPr>
        <w:t xml:space="preserve"> to this document.</w:t>
      </w:r>
    </w:p>
    <w:p w14:paraId="31B86CF7" w14:textId="1B74D90D" w:rsidR="005F4465" w:rsidRPr="00223683" w:rsidRDefault="005F4465" w:rsidP="003144DA">
      <w:pPr>
        <w:pStyle w:val="Heading1"/>
        <w:numPr>
          <w:ilvl w:val="0"/>
          <w:numId w:val="11"/>
        </w:numPr>
        <w:spacing w:before="120" w:after="120"/>
        <w:ind w:left="360"/>
        <w:rPr>
          <w:sz w:val="24"/>
          <w:szCs w:val="24"/>
        </w:rPr>
      </w:pPr>
      <w:r w:rsidRPr="00223683">
        <w:rPr>
          <w:sz w:val="24"/>
          <w:szCs w:val="24"/>
        </w:rPr>
        <w:t>Summary of documents in reference</w:t>
      </w:r>
    </w:p>
    <w:p w14:paraId="0B38FAC7" w14:textId="7659A1A5" w:rsidR="005F4465" w:rsidRPr="00223683" w:rsidRDefault="00D11DC0" w:rsidP="00223683">
      <w:pPr>
        <w:spacing w:after="120"/>
        <w:rPr>
          <w:szCs w:val="24"/>
        </w:rPr>
      </w:pPr>
      <w:r w:rsidRPr="00223683">
        <w:rPr>
          <w:szCs w:val="24"/>
        </w:rPr>
        <w:t>3</w:t>
      </w:r>
      <w:r w:rsidR="005F4465" w:rsidRPr="00223683">
        <w:rPr>
          <w:szCs w:val="24"/>
        </w:rPr>
        <w:t xml:space="preserve">.1 </w:t>
      </w:r>
      <w:hyperlink r:id="rId39" w:history="1">
        <w:r w:rsidR="005F4465" w:rsidRPr="00223683">
          <w:rPr>
            <w:rStyle w:val="Hyperlink"/>
            <w:szCs w:val="24"/>
          </w:rPr>
          <w:t>CWG-FHR-16/10</w:t>
        </w:r>
      </w:hyperlink>
    </w:p>
    <w:p w14:paraId="23F95CDE" w14:textId="23441DC1" w:rsidR="005F4465" w:rsidRPr="00223683" w:rsidRDefault="00D11DC0" w:rsidP="00223683">
      <w:pPr>
        <w:spacing w:after="120"/>
        <w:rPr>
          <w:szCs w:val="24"/>
        </w:rPr>
      </w:pPr>
      <w:r w:rsidRPr="00223683">
        <w:rPr>
          <w:szCs w:val="24"/>
        </w:rPr>
        <w:t>3</w:t>
      </w:r>
      <w:r w:rsidR="005F4465" w:rsidRPr="00223683">
        <w:rPr>
          <w:szCs w:val="24"/>
        </w:rPr>
        <w:t>.1.1 The document established that the expansion of ITU’s regional presence should be considered where there are verified gaps in ITU’s coverage</w:t>
      </w:r>
      <w:r w:rsidR="085515DF" w:rsidRPr="00223683">
        <w:rPr>
          <w:szCs w:val="24"/>
        </w:rPr>
        <w:t>,</w:t>
      </w:r>
      <w:r w:rsidR="005F4465" w:rsidRPr="00223683">
        <w:rPr>
          <w:szCs w:val="24"/>
        </w:rPr>
        <w:t xml:space="preserve"> which comprise sufficient countries to justify the expansion. An assessment should be conducted to determine whether there are any gaps in the current coverage of ITU’s regional presence. If the assessment identifies a geographical gap where multiple countries are not effectively covered, this should be identified as a potential “area” for coverage by ITU, which may be suitable for a new ITU presence.</w:t>
      </w:r>
    </w:p>
    <w:p w14:paraId="306C6972" w14:textId="660D40FC" w:rsidR="005F4465" w:rsidRPr="00223683" w:rsidRDefault="00D11DC0" w:rsidP="00223683">
      <w:pPr>
        <w:spacing w:after="120"/>
        <w:rPr>
          <w:szCs w:val="24"/>
        </w:rPr>
      </w:pPr>
      <w:r w:rsidRPr="00223683">
        <w:rPr>
          <w:szCs w:val="24"/>
        </w:rPr>
        <w:t>3</w:t>
      </w:r>
      <w:r w:rsidR="005F4465" w:rsidRPr="00223683">
        <w:rPr>
          <w:szCs w:val="24"/>
        </w:rPr>
        <w:t xml:space="preserve">.1.2 Once it is determined that there is a geographical area comprising multiple countries </w:t>
      </w:r>
      <w:r w:rsidR="1C5DCA9A" w:rsidRPr="00223683">
        <w:rPr>
          <w:szCs w:val="24"/>
        </w:rPr>
        <w:t>whose needs</w:t>
      </w:r>
      <w:r w:rsidR="005F4465" w:rsidRPr="00223683">
        <w:rPr>
          <w:szCs w:val="24"/>
        </w:rPr>
        <w:t xml:space="preserve"> cannot effectively be addressed from an existing office, the next step is to determine whether it would be appropriate to expand ITU’s regional presence to address that gap, and where the ITU presence in the area should be situated.</w:t>
      </w:r>
    </w:p>
    <w:p w14:paraId="4A16081D" w14:textId="36BE911D" w:rsidR="005F4465" w:rsidRPr="00223683" w:rsidRDefault="00D11DC0" w:rsidP="00223683">
      <w:pPr>
        <w:spacing w:after="120"/>
        <w:rPr>
          <w:szCs w:val="24"/>
        </w:rPr>
      </w:pPr>
      <w:r w:rsidRPr="00223683">
        <w:rPr>
          <w:szCs w:val="24"/>
        </w:rPr>
        <w:t>3</w:t>
      </w:r>
      <w:r w:rsidR="005F4465" w:rsidRPr="00223683">
        <w:rPr>
          <w:szCs w:val="24"/>
        </w:rPr>
        <w:t>.1.3 The following criteria are presented regarding the opening of a new presence in an area where a gap has been identified:</w:t>
      </w:r>
    </w:p>
    <w:p w14:paraId="4A42283C" w14:textId="77777777" w:rsidR="005F4465" w:rsidRPr="00223683" w:rsidRDefault="005F4465" w:rsidP="00641F12">
      <w:pPr>
        <w:pStyle w:val="ListParagraph"/>
        <w:numPr>
          <w:ilvl w:val="0"/>
          <w:numId w:val="8"/>
        </w:numPr>
        <w:spacing w:before="60" w:after="60"/>
        <w:ind w:left="714" w:hanging="357"/>
        <w:contextualSpacing w:val="0"/>
        <w:rPr>
          <w:szCs w:val="24"/>
        </w:rPr>
      </w:pPr>
      <w:r w:rsidRPr="00223683">
        <w:rPr>
          <w:szCs w:val="24"/>
        </w:rPr>
        <w:t>Relevance – the proposed new location should improve ITU's ability to generate impact across several countries.</w:t>
      </w:r>
    </w:p>
    <w:p w14:paraId="670E6E9F" w14:textId="77777777" w:rsidR="005F4465" w:rsidRPr="00223683" w:rsidRDefault="005F4465" w:rsidP="00641F12">
      <w:pPr>
        <w:pStyle w:val="ListParagraph"/>
        <w:numPr>
          <w:ilvl w:val="0"/>
          <w:numId w:val="8"/>
        </w:numPr>
        <w:spacing w:before="60" w:after="60"/>
        <w:ind w:left="714" w:hanging="357"/>
        <w:contextualSpacing w:val="0"/>
        <w:rPr>
          <w:szCs w:val="24"/>
        </w:rPr>
      </w:pPr>
      <w:r w:rsidRPr="00223683">
        <w:rPr>
          <w:szCs w:val="24"/>
        </w:rPr>
        <w:t>Exclusivity – the suggested location does not duplicate any existing presence at sub-regional level.</w:t>
      </w:r>
    </w:p>
    <w:p w14:paraId="2FB6A806" w14:textId="77777777" w:rsidR="005F4465" w:rsidRPr="00223683" w:rsidRDefault="005F4465" w:rsidP="00641F12">
      <w:pPr>
        <w:pStyle w:val="ListParagraph"/>
        <w:numPr>
          <w:ilvl w:val="0"/>
          <w:numId w:val="8"/>
        </w:numPr>
        <w:spacing w:before="60" w:after="60"/>
        <w:ind w:left="714" w:hanging="357"/>
        <w:contextualSpacing w:val="0"/>
        <w:rPr>
          <w:szCs w:val="24"/>
        </w:rPr>
      </w:pPr>
      <w:r w:rsidRPr="00223683">
        <w:rPr>
          <w:szCs w:val="24"/>
        </w:rPr>
        <w:t>Feasibility – Sufficient resources can be secured to establish the office and support a minimum critical mass of technical skills for an extended period, and the host country has the resources and commitment to meet the obligations required to host an ITU office.</w:t>
      </w:r>
    </w:p>
    <w:p w14:paraId="0D58B4FE" w14:textId="77777777" w:rsidR="005F4465" w:rsidRPr="00223683" w:rsidRDefault="005F4465" w:rsidP="00641F12">
      <w:pPr>
        <w:pStyle w:val="ListParagraph"/>
        <w:numPr>
          <w:ilvl w:val="0"/>
          <w:numId w:val="8"/>
        </w:numPr>
        <w:spacing w:before="60" w:after="60"/>
        <w:ind w:left="714" w:hanging="357"/>
        <w:contextualSpacing w:val="0"/>
        <w:rPr>
          <w:szCs w:val="24"/>
        </w:rPr>
      </w:pPr>
      <w:r w:rsidRPr="00223683">
        <w:rPr>
          <w:szCs w:val="24"/>
        </w:rPr>
        <w:t>Security - The location should be assessed by UNDSS as having a low security level, i.e. the location should not represent any specific threat to staff safety and business continuity.</w:t>
      </w:r>
    </w:p>
    <w:p w14:paraId="1F241A57" w14:textId="77777777" w:rsidR="005F4465" w:rsidRPr="00223683" w:rsidRDefault="005F4465" w:rsidP="00641F12">
      <w:pPr>
        <w:pStyle w:val="ListParagraph"/>
        <w:numPr>
          <w:ilvl w:val="0"/>
          <w:numId w:val="8"/>
        </w:numPr>
        <w:spacing w:before="60" w:after="60"/>
        <w:ind w:left="714" w:hanging="357"/>
        <w:contextualSpacing w:val="0"/>
        <w:rPr>
          <w:szCs w:val="24"/>
        </w:rPr>
      </w:pPr>
      <w:r w:rsidRPr="00223683">
        <w:rPr>
          <w:szCs w:val="24"/>
        </w:rPr>
        <w:t>Proximity – Efficient geographical proximity to countries in need, particularly LDCs, LLDCs, SIDS, and good access to regional or sub-regional hubs of other UN Agencies and/or a Regional Telecom Organization.</w:t>
      </w:r>
    </w:p>
    <w:p w14:paraId="47133992" w14:textId="77777777" w:rsidR="005F4465" w:rsidRPr="00223683" w:rsidRDefault="005F4465" w:rsidP="00641F12">
      <w:pPr>
        <w:pStyle w:val="ListParagraph"/>
        <w:numPr>
          <w:ilvl w:val="0"/>
          <w:numId w:val="8"/>
        </w:numPr>
        <w:spacing w:before="60" w:after="60"/>
        <w:ind w:left="714" w:hanging="357"/>
        <w:contextualSpacing w:val="0"/>
        <w:rPr>
          <w:szCs w:val="24"/>
        </w:rPr>
      </w:pPr>
      <w:r w:rsidRPr="00223683">
        <w:rPr>
          <w:szCs w:val="24"/>
        </w:rPr>
        <w:t>Accessibility – the suggested location provides access to an airline hub with extensive international connections (facilitating external access) and direct connections with the other countries in the sub-region.</w:t>
      </w:r>
    </w:p>
    <w:p w14:paraId="47947832" w14:textId="58BB3FD3" w:rsidR="005F4465" w:rsidRPr="00223683" w:rsidRDefault="00D11DC0" w:rsidP="00223683">
      <w:pPr>
        <w:spacing w:after="120"/>
        <w:rPr>
          <w:szCs w:val="24"/>
        </w:rPr>
      </w:pPr>
      <w:r w:rsidRPr="00223683">
        <w:rPr>
          <w:szCs w:val="24"/>
        </w:rPr>
        <w:t>3</w:t>
      </w:r>
      <w:r w:rsidR="005F4465" w:rsidRPr="00223683">
        <w:rPr>
          <w:szCs w:val="24"/>
        </w:rPr>
        <w:t>.1.4 Having determined that an additional presence of ITU is desirable, and identifying the possible locations of the ITU presence, it should be determined what form the presence would take. This may involve the opening of a new regional or area office or partnering with other international agencies or entities to increase ITU’s activities in the area.</w:t>
      </w:r>
    </w:p>
    <w:p w14:paraId="25D3EE0F" w14:textId="2D2F6DD1" w:rsidR="005F4465" w:rsidRPr="00223683" w:rsidRDefault="00D11DC0" w:rsidP="00223683">
      <w:pPr>
        <w:spacing w:after="120"/>
        <w:rPr>
          <w:szCs w:val="24"/>
        </w:rPr>
      </w:pPr>
      <w:r w:rsidRPr="00223683">
        <w:rPr>
          <w:szCs w:val="24"/>
        </w:rPr>
        <w:t>3</w:t>
      </w:r>
      <w:r w:rsidR="005F4465" w:rsidRPr="00223683">
        <w:rPr>
          <w:szCs w:val="24"/>
        </w:rPr>
        <w:t xml:space="preserve">.2 </w:t>
      </w:r>
      <w:hyperlink r:id="rId40" w:history="1">
        <w:r w:rsidR="005F4465" w:rsidRPr="00223683">
          <w:rPr>
            <w:rStyle w:val="Hyperlink"/>
            <w:szCs w:val="24"/>
          </w:rPr>
          <w:t>CWG-FHR-16/24 (Rev.1)</w:t>
        </w:r>
      </w:hyperlink>
    </w:p>
    <w:p w14:paraId="4E606B66" w14:textId="2D92B5AA" w:rsidR="005F4465" w:rsidRPr="00223683" w:rsidRDefault="00D11DC0" w:rsidP="00223683">
      <w:pPr>
        <w:spacing w:after="120"/>
        <w:rPr>
          <w:szCs w:val="24"/>
        </w:rPr>
      </w:pPr>
      <w:r w:rsidRPr="00223683">
        <w:rPr>
          <w:szCs w:val="24"/>
        </w:rPr>
        <w:t>3</w:t>
      </w:r>
      <w:r w:rsidR="005F4465" w:rsidRPr="00223683">
        <w:rPr>
          <w:szCs w:val="24"/>
        </w:rPr>
        <w:t>.2.1 The document establishes that the regional presence plays a vital role in the achievement of ITU's mission, enhancing the Union's understanding of local contexts and responding to countries' needs effectively</w:t>
      </w:r>
      <w:r w:rsidR="12BBAAF9" w:rsidRPr="00223683">
        <w:rPr>
          <w:szCs w:val="24"/>
        </w:rPr>
        <w:t>.</w:t>
      </w:r>
      <w:r w:rsidR="005F4465" w:rsidRPr="00223683">
        <w:rPr>
          <w:szCs w:val="24"/>
        </w:rPr>
        <w:t xml:space="preserve"> n particular, the role of the ITU regional and area offices is to assist countries in the regions in many areas, such as in execution of and follow-up to projects, including ones related to the regional initiatives, bridging the standardization gap, capacity building related to frequency </w:t>
      </w:r>
      <w:r w:rsidR="005F4465" w:rsidRPr="00223683">
        <w:rPr>
          <w:szCs w:val="24"/>
        </w:rPr>
        <w:lastRenderedPageBreak/>
        <w:t>management, updating the regions on ITU activities and strengthening collaboration with regional telecommunication organizations.</w:t>
      </w:r>
    </w:p>
    <w:p w14:paraId="6404F980" w14:textId="705014BE" w:rsidR="005F4465" w:rsidRPr="00223683" w:rsidRDefault="00D11DC0" w:rsidP="00223683">
      <w:pPr>
        <w:spacing w:after="120"/>
        <w:rPr>
          <w:szCs w:val="24"/>
        </w:rPr>
      </w:pPr>
      <w:r w:rsidRPr="00223683">
        <w:rPr>
          <w:szCs w:val="24"/>
        </w:rPr>
        <w:t>3</w:t>
      </w:r>
      <w:r w:rsidR="005F4465" w:rsidRPr="00223683">
        <w:rPr>
          <w:szCs w:val="24"/>
        </w:rPr>
        <w:t xml:space="preserve">.2.2 The document provides views on the support provided by ITU’s </w:t>
      </w:r>
      <w:r w:rsidR="2106C2A6" w:rsidRPr="00223683">
        <w:rPr>
          <w:szCs w:val="24"/>
        </w:rPr>
        <w:t>Telecommunication Development Sector (ITU-D)</w:t>
      </w:r>
      <w:r w:rsidR="005F4465" w:rsidRPr="00223683">
        <w:rPr>
          <w:szCs w:val="24"/>
        </w:rPr>
        <w:t xml:space="preserve"> through the regional presence. It notes that most of the recommendations made to strengthen the regional presence have been implemented</w:t>
      </w:r>
      <w:r w:rsidR="15D036E0" w:rsidRPr="00223683">
        <w:rPr>
          <w:szCs w:val="24"/>
        </w:rPr>
        <w:t>,</w:t>
      </w:r>
      <w:r w:rsidR="005F4465" w:rsidRPr="00223683">
        <w:rPr>
          <w:szCs w:val="24"/>
        </w:rPr>
        <w:t xml:space="preserve"> or are in progress, and that the results have improved steadily since 2019.</w:t>
      </w:r>
    </w:p>
    <w:p w14:paraId="2DE48E59" w14:textId="6D09FF5D" w:rsidR="005F4465" w:rsidRPr="00223683" w:rsidRDefault="00D11DC0" w:rsidP="00223683">
      <w:pPr>
        <w:spacing w:after="120"/>
        <w:rPr>
          <w:szCs w:val="24"/>
        </w:rPr>
      </w:pPr>
      <w:r w:rsidRPr="00223683">
        <w:rPr>
          <w:szCs w:val="24"/>
        </w:rPr>
        <w:t>3</w:t>
      </w:r>
      <w:r w:rsidR="005F4465" w:rsidRPr="00223683">
        <w:rPr>
          <w:szCs w:val="24"/>
        </w:rPr>
        <w:t>.2.3 The document makes the following proposals:</w:t>
      </w:r>
    </w:p>
    <w:p w14:paraId="3435C6EC" w14:textId="42577D25" w:rsidR="005F4465" w:rsidRPr="00641F12" w:rsidRDefault="005F4465" w:rsidP="00641F12">
      <w:pPr>
        <w:pStyle w:val="ListParagraph"/>
        <w:numPr>
          <w:ilvl w:val="0"/>
          <w:numId w:val="9"/>
        </w:numPr>
        <w:spacing w:before="60" w:after="60"/>
        <w:ind w:left="714" w:hanging="357"/>
        <w:contextualSpacing w:val="0"/>
        <w:rPr>
          <w:szCs w:val="24"/>
        </w:rPr>
      </w:pPr>
      <w:r w:rsidRPr="00641F12">
        <w:rPr>
          <w:szCs w:val="24"/>
        </w:rPr>
        <w:t>The establishment of area offices should comprehensively consider various factors, including the host country's willingness</w:t>
      </w:r>
      <w:r w:rsidR="0C6CD213" w:rsidRPr="00641F12">
        <w:rPr>
          <w:szCs w:val="24"/>
        </w:rPr>
        <w:t xml:space="preserve"> to host a new office</w:t>
      </w:r>
      <w:r w:rsidRPr="00641F12">
        <w:rPr>
          <w:szCs w:val="24"/>
        </w:rPr>
        <w:t>, the needs from the relevant areas, the financial resources availability, geograph</w:t>
      </w:r>
      <w:r w:rsidR="0BAE1C68" w:rsidRPr="00641F12">
        <w:rPr>
          <w:szCs w:val="24"/>
        </w:rPr>
        <w:t>ic</w:t>
      </w:r>
      <w:r w:rsidRPr="00641F12">
        <w:rPr>
          <w:szCs w:val="24"/>
        </w:rPr>
        <w:t xml:space="preserve"> representat</w:t>
      </w:r>
      <w:r w:rsidR="22B61F73" w:rsidRPr="00641F12">
        <w:rPr>
          <w:szCs w:val="24"/>
        </w:rPr>
        <w:t>ion</w:t>
      </w:r>
      <w:r w:rsidRPr="00641F12">
        <w:rPr>
          <w:szCs w:val="24"/>
        </w:rPr>
        <w:t xml:space="preserve"> etc. and should also take the previous experience into account.</w:t>
      </w:r>
    </w:p>
    <w:p w14:paraId="0E1D165E" w14:textId="7D54FD74" w:rsidR="005F4465" w:rsidRPr="00641F12" w:rsidRDefault="005F4465" w:rsidP="00641F12">
      <w:pPr>
        <w:pStyle w:val="ListParagraph"/>
        <w:numPr>
          <w:ilvl w:val="0"/>
          <w:numId w:val="9"/>
        </w:numPr>
        <w:spacing w:before="60" w:after="60"/>
        <w:ind w:left="714" w:hanging="357"/>
        <w:contextualSpacing w:val="0"/>
        <w:rPr>
          <w:szCs w:val="24"/>
        </w:rPr>
      </w:pPr>
      <w:r w:rsidRPr="00641F12">
        <w:rPr>
          <w:szCs w:val="24"/>
        </w:rPr>
        <w:t xml:space="preserve">Considering </w:t>
      </w:r>
      <w:r w:rsidR="3BFDBF51" w:rsidRPr="00641F12">
        <w:rPr>
          <w:szCs w:val="24"/>
        </w:rPr>
        <w:t>that</w:t>
      </w:r>
      <w:r w:rsidRPr="00641F12">
        <w:rPr>
          <w:szCs w:val="24"/>
        </w:rPr>
        <w:t xml:space="preserve"> the BDT is responsible for regional and area offices, the </w:t>
      </w:r>
      <w:r w:rsidR="705E2469" w:rsidRPr="00641F12">
        <w:rPr>
          <w:szCs w:val="24"/>
        </w:rPr>
        <w:t>criteria identified</w:t>
      </w:r>
      <w:r w:rsidRPr="00641F12">
        <w:rPr>
          <w:szCs w:val="24"/>
        </w:rPr>
        <w:t xml:space="preserve"> for establishing area offices should be fully reviewed and discussed in TDAG and the future Council</w:t>
      </w:r>
      <w:r w:rsidR="3C183808" w:rsidRPr="00641F12">
        <w:rPr>
          <w:szCs w:val="24"/>
        </w:rPr>
        <w:t>.</w:t>
      </w:r>
      <w:r w:rsidR="00C8139C">
        <w:rPr>
          <w:szCs w:val="24"/>
        </w:rPr>
        <w:t xml:space="preserve"> </w:t>
      </w:r>
      <w:r w:rsidR="7EDBFF3A" w:rsidRPr="00641F12">
        <w:rPr>
          <w:szCs w:val="24"/>
        </w:rPr>
        <w:t>Both should be able</w:t>
      </w:r>
      <w:r w:rsidRPr="00641F12">
        <w:rPr>
          <w:szCs w:val="24"/>
        </w:rPr>
        <w:t xml:space="preserve"> to investigate and </w:t>
      </w:r>
      <w:r w:rsidR="50C8E465" w:rsidRPr="00641F12">
        <w:rPr>
          <w:szCs w:val="24"/>
        </w:rPr>
        <w:t>obtain all necessary information regarding</w:t>
      </w:r>
      <w:r w:rsidRPr="00641F12">
        <w:rPr>
          <w:szCs w:val="24"/>
        </w:rPr>
        <w:t xml:space="preserve"> the potential gap in serving </w:t>
      </w:r>
      <w:r w:rsidR="661C4F6E" w:rsidRPr="00641F12">
        <w:rPr>
          <w:szCs w:val="24"/>
        </w:rPr>
        <w:t>M</w:t>
      </w:r>
      <w:r w:rsidRPr="00641F12">
        <w:rPr>
          <w:szCs w:val="24"/>
        </w:rPr>
        <w:t xml:space="preserve">ember </w:t>
      </w:r>
      <w:r w:rsidR="1DD992BE" w:rsidRPr="00641F12">
        <w:rPr>
          <w:szCs w:val="24"/>
        </w:rPr>
        <w:t>S</w:t>
      </w:r>
      <w:r w:rsidRPr="00641F12">
        <w:rPr>
          <w:szCs w:val="24"/>
        </w:rPr>
        <w:t xml:space="preserve">tates and propose </w:t>
      </w:r>
      <w:r w:rsidR="00EB718A" w:rsidRPr="00641F12">
        <w:rPr>
          <w:szCs w:val="24"/>
        </w:rPr>
        <w:t>the</w:t>
      </w:r>
      <w:r w:rsidRPr="00641F12">
        <w:rPr>
          <w:szCs w:val="24"/>
        </w:rPr>
        <w:t xml:space="preserve"> process </w:t>
      </w:r>
      <w:r w:rsidR="73A99ABE" w:rsidRPr="00641F12">
        <w:rPr>
          <w:szCs w:val="24"/>
        </w:rPr>
        <w:t xml:space="preserve">as well as the </w:t>
      </w:r>
      <w:r w:rsidRPr="00641F12">
        <w:rPr>
          <w:szCs w:val="24"/>
        </w:rPr>
        <w:t xml:space="preserve">necessary </w:t>
      </w:r>
      <w:r w:rsidR="4A9F24B6" w:rsidRPr="00641F12">
        <w:rPr>
          <w:szCs w:val="24"/>
        </w:rPr>
        <w:t>criteria</w:t>
      </w:r>
      <w:r w:rsidRPr="00641F12">
        <w:rPr>
          <w:szCs w:val="24"/>
        </w:rPr>
        <w:t xml:space="preserve"> and indicators </w:t>
      </w:r>
      <w:r w:rsidR="4960820B" w:rsidRPr="00641F12">
        <w:rPr>
          <w:szCs w:val="24"/>
        </w:rPr>
        <w:t>for</w:t>
      </w:r>
      <w:r w:rsidRPr="00641F12">
        <w:rPr>
          <w:szCs w:val="24"/>
        </w:rPr>
        <w:t xml:space="preserve"> each region </w:t>
      </w:r>
      <w:r w:rsidR="6337E9CE" w:rsidRPr="00641F12">
        <w:rPr>
          <w:szCs w:val="24"/>
        </w:rPr>
        <w:t>to</w:t>
      </w:r>
      <w:r w:rsidRPr="00641F12">
        <w:rPr>
          <w:szCs w:val="24"/>
        </w:rPr>
        <w:t xml:space="preserve"> report back to future Council for </w:t>
      </w:r>
      <w:r w:rsidR="579EF371" w:rsidRPr="00641F12">
        <w:rPr>
          <w:szCs w:val="24"/>
        </w:rPr>
        <w:t>consideration</w:t>
      </w:r>
      <w:r w:rsidRPr="00641F12">
        <w:rPr>
          <w:szCs w:val="24"/>
        </w:rPr>
        <w:t>.</w:t>
      </w:r>
    </w:p>
    <w:p w14:paraId="0CEFC455" w14:textId="3B683F53" w:rsidR="005F4465" w:rsidRPr="00641F12" w:rsidRDefault="005F4465" w:rsidP="00641F12">
      <w:pPr>
        <w:pStyle w:val="ListParagraph"/>
        <w:numPr>
          <w:ilvl w:val="0"/>
          <w:numId w:val="9"/>
        </w:numPr>
        <w:spacing w:before="60" w:after="60"/>
        <w:ind w:left="714" w:hanging="357"/>
        <w:contextualSpacing w:val="0"/>
        <w:rPr>
          <w:szCs w:val="24"/>
        </w:rPr>
      </w:pPr>
      <w:r w:rsidRPr="00641F12">
        <w:rPr>
          <w:szCs w:val="24"/>
        </w:rPr>
        <w:t xml:space="preserve">The main purpose for </w:t>
      </w:r>
      <w:r w:rsidR="39B6906E" w:rsidRPr="00641F12">
        <w:rPr>
          <w:szCs w:val="24"/>
        </w:rPr>
        <w:t xml:space="preserve">the </w:t>
      </w:r>
      <w:r w:rsidRPr="00641F12">
        <w:rPr>
          <w:szCs w:val="24"/>
        </w:rPr>
        <w:t xml:space="preserve">establishment of </w:t>
      </w:r>
      <w:r w:rsidR="157BD14B" w:rsidRPr="00641F12">
        <w:rPr>
          <w:szCs w:val="24"/>
        </w:rPr>
        <w:t>an</w:t>
      </w:r>
      <w:r w:rsidRPr="00641F12">
        <w:rPr>
          <w:szCs w:val="24"/>
        </w:rPr>
        <w:t xml:space="preserve"> area offices is to provide better services to Member States which ar in need of assistance. Any </w:t>
      </w:r>
      <w:r w:rsidR="46F2E226" w:rsidRPr="00641F12">
        <w:rPr>
          <w:szCs w:val="24"/>
        </w:rPr>
        <w:t>criteria</w:t>
      </w:r>
      <w:r w:rsidRPr="00641F12">
        <w:rPr>
          <w:szCs w:val="24"/>
        </w:rPr>
        <w:t xml:space="preserve"> to be developed for the establishment of </w:t>
      </w:r>
      <w:r w:rsidR="58A1C2A9" w:rsidRPr="00641F12">
        <w:rPr>
          <w:szCs w:val="24"/>
        </w:rPr>
        <w:t xml:space="preserve">a new </w:t>
      </w:r>
      <w:r w:rsidRPr="00641F12">
        <w:rPr>
          <w:szCs w:val="24"/>
        </w:rPr>
        <w:t>area office should fulfil this objective.</w:t>
      </w:r>
    </w:p>
    <w:p w14:paraId="654B9C7C" w14:textId="7CB7573E" w:rsidR="005F4465" w:rsidRPr="00641F12" w:rsidRDefault="005F4465" w:rsidP="00641F12">
      <w:pPr>
        <w:pStyle w:val="ListParagraph"/>
        <w:numPr>
          <w:ilvl w:val="0"/>
          <w:numId w:val="9"/>
        </w:numPr>
        <w:spacing w:before="60" w:after="60"/>
        <w:ind w:left="714" w:hanging="357"/>
        <w:contextualSpacing w:val="0"/>
        <w:rPr>
          <w:szCs w:val="24"/>
        </w:rPr>
      </w:pPr>
      <w:r w:rsidRPr="00641F12">
        <w:rPr>
          <w:szCs w:val="24"/>
        </w:rPr>
        <w:t xml:space="preserve">The establishment of area offices should consider </w:t>
      </w:r>
      <w:r w:rsidR="673FF1D5" w:rsidRPr="00641F12">
        <w:rPr>
          <w:szCs w:val="24"/>
        </w:rPr>
        <w:t xml:space="preserve">the </w:t>
      </w:r>
      <w:r w:rsidRPr="00641F12">
        <w:rPr>
          <w:szCs w:val="24"/>
        </w:rPr>
        <w:t>social and economic development of the countries intended to be served, with a particular priority to area offices serving the Least Developed Countries (LDCs).</w:t>
      </w:r>
    </w:p>
    <w:p w14:paraId="20BF3650" w14:textId="17A51AE5" w:rsidR="005F4465" w:rsidRPr="00641F12" w:rsidRDefault="00D11DC0" w:rsidP="00641F12">
      <w:pPr>
        <w:tabs>
          <w:tab w:val="left" w:pos="708"/>
        </w:tabs>
        <w:overflowPunct/>
        <w:autoSpaceDE/>
        <w:adjustRightInd/>
        <w:spacing w:after="120"/>
        <w:rPr>
          <w:szCs w:val="24"/>
        </w:rPr>
      </w:pPr>
      <w:r w:rsidRPr="00641F12">
        <w:rPr>
          <w:szCs w:val="24"/>
        </w:rPr>
        <w:t>3</w:t>
      </w:r>
      <w:r w:rsidR="005F4465" w:rsidRPr="00641F12">
        <w:rPr>
          <w:szCs w:val="24"/>
        </w:rPr>
        <w:t xml:space="preserve">.3 </w:t>
      </w:r>
      <w:hyperlink r:id="rId41" w:history="1">
        <w:r w:rsidR="008C26C3" w:rsidRPr="00641F12">
          <w:rPr>
            <w:rStyle w:val="Hyperlink"/>
            <w:szCs w:val="24"/>
          </w:rPr>
          <w:t>CWG-FHR-20/2</w:t>
        </w:r>
      </w:hyperlink>
      <w:r w:rsidR="008C26C3" w:rsidRPr="00641F12">
        <w:rPr>
          <w:szCs w:val="24"/>
        </w:rPr>
        <w:t xml:space="preserve"> and </w:t>
      </w:r>
      <w:hyperlink r:id="rId42" w:history="1">
        <w:r w:rsidR="008C26C3" w:rsidRPr="00641F12">
          <w:rPr>
            <w:rStyle w:val="Hyperlink"/>
            <w:szCs w:val="24"/>
          </w:rPr>
          <w:t>CWG-FHR-20/DT/1</w:t>
        </w:r>
      </w:hyperlink>
      <w:r w:rsidR="008C26C3" w:rsidRPr="00641F12">
        <w:rPr>
          <w:szCs w:val="24"/>
        </w:rPr>
        <w:t xml:space="preserve"> </w:t>
      </w:r>
    </w:p>
    <w:p w14:paraId="49C2A416" w14:textId="76B03B88" w:rsidR="005F4465" w:rsidRPr="00223683" w:rsidRDefault="00D11DC0" w:rsidP="00223683">
      <w:pPr>
        <w:pStyle w:val="ListParagraph"/>
        <w:tabs>
          <w:tab w:val="clear" w:pos="1134"/>
          <w:tab w:val="clear" w:pos="1871"/>
          <w:tab w:val="clear" w:pos="2268"/>
        </w:tabs>
        <w:overflowPunct/>
        <w:autoSpaceDE/>
        <w:autoSpaceDN/>
        <w:adjustRightInd/>
        <w:spacing w:after="120"/>
        <w:ind w:left="0"/>
        <w:contextualSpacing w:val="0"/>
        <w:textAlignment w:val="auto"/>
        <w:rPr>
          <w:rFonts w:cstheme="minorBidi"/>
          <w:kern w:val="2"/>
          <w:szCs w:val="24"/>
          <w14:ligatures w14:val="standardContextual"/>
        </w:rPr>
      </w:pPr>
      <w:r w:rsidRPr="00223683">
        <w:rPr>
          <w:szCs w:val="24"/>
        </w:rPr>
        <w:t>3</w:t>
      </w:r>
      <w:r w:rsidR="005F4465" w:rsidRPr="00223683">
        <w:rPr>
          <w:szCs w:val="24"/>
        </w:rPr>
        <w:t xml:space="preserve">.3.1 </w:t>
      </w:r>
      <w:r w:rsidR="005F4465" w:rsidRPr="00223683">
        <w:rPr>
          <w:rStyle w:val="normaltextrun"/>
          <w:rFonts w:cstheme="minorBidi"/>
          <w:color w:val="000000"/>
          <w:szCs w:val="24"/>
          <w:shd w:val="clear" w:color="auto" w:fill="FFFFFF"/>
        </w:rPr>
        <w:t>The 19</w:t>
      </w:r>
      <w:r w:rsidR="005F4465" w:rsidRPr="00223683">
        <w:rPr>
          <w:rStyle w:val="normaltextrun"/>
          <w:rFonts w:cstheme="minorBidi"/>
          <w:color w:val="000000"/>
          <w:szCs w:val="24"/>
          <w:shd w:val="clear" w:color="auto" w:fill="FFFFFF"/>
          <w:vertAlign w:val="superscript"/>
        </w:rPr>
        <w:t>th</w:t>
      </w:r>
      <w:r w:rsidR="005F4465" w:rsidRPr="00223683">
        <w:rPr>
          <w:rStyle w:val="normaltextrun"/>
          <w:rFonts w:cstheme="minorBidi"/>
          <w:color w:val="000000"/>
          <w:szCs w:val="24"/>
          <w:shd w:val="clear" w:color="auto" w:fill="FFFFFF"/>
        </w:rPr>
        <w:t xml:space="preserve"> meeting of the </w:t>
      </w:r>
      <w:r w:rsidR="005F4465" w:rsidRPr="00223683">
        <w:rPr>
          <w:rFonts w:cstheme="minorBidi"/>
          <w:color w:val="000000"/>
          <w:szCs w:val="24"/>
          <w:shd w:val="clear" w:color="auto" w:fill="FFFFFF"/>
        </w:rPr>
        <w:t xml:space="preserve">Council Working Group on financial and human resources (CWG-FHR), took a decision to establish </w:t>
      </w:r>
      <w:r w:rsidR="005F4465" w:rsidRPr="00223683">
        <w:rPr>
          <w:rStyle w:val="normaltextrun"/>
          <w:rFonts w:cstheme="minorBidi"/>
          <w:color w:val="000000"/>
          <w:szCs w:val="24"/>
          <w:shd w:val="clear" w:color="auto" w:fill="FFFFFF"/>
        </w:rPr>
        <w:t xml:space="preserve">an online Correspondence Group to develop </w:t>
      </w:r>
      <w:r w:rsidR="005F4465" w:rsidRPr="00223683">
        <w:rPr>
          <w:rFonts w:cstheme="minorBidi"/>
          <w:kern w:val="2"/>
          <w:szCs w:val="24"/>
          <w14:ligatures w14:val="standardContextual"/>
        </w:rPr>
        <w:t xml:space="preserve">Terms of Reference for the ITU secretariat to complete a review of regional presence under </w:t>
      </w:r>
      <w:hyperlink r:id="rId43" w:history="1">
        <w:r w:rsidR="005F4465" w:rsidRPr="00613295">
          <w:rPr>
            <w:rStyle w:val="Hyperlink"/>
            <w:rFonts w:cstheme="minorBidi"/>
            <w:i/>
            <w:szCs w:val="24"/>
          </w:rPr>
          <w:t>Resolution 25</w:t>
        </w:r>
      </w:hyperlink>
      <w:r w:rsidR="005F4465" w:rsidRPr="00223683">
        <w:rPr>
          <w:rFonts w:cstheme="minorBidi"/>
          <w:i/>
          <w:szCs w:val="24"/>
        </w:rPr>
        <w:t xml:space="preserve"> (Rev. Bucharest, 2022)</w:t>
      </w:r>
      <w:r w:rsidR="005F4465" w:rsidRPr="00223683">
        <w:rPr>
          <w:rFonts w:cstheme="minorBidi"/>
          <w:kern w:val="2"/>
          <w:szCs w:val="24"/>
          <w14:ligatures w14:val="standardContextual"/>
        </w:rPr>
        <w:t xml:space="preserve">. </w:t>
      </w:r>
      <w:r w:rsidR="005F4465" w:rsidRPr="00223683">
        <w:rPr>
          <w:rFonts w:cstheme="minorBidi"/>
          <w:szCs w:val="24"/>
        </w:rPr>
        <w:t>The Correspondence Group was tasked to review the Terms of Reference submitted at the 19</w:t>
      </w:r>
      <w:r w:rsidR="005F4465" w:rsidRPr="00223683">
        <w:rPr>
          <w:rFonts w:cstheme="minorBidi"/>
          <w:szCs w:val="24"/>
          <w:vertAlign w:val="superscript"/>
        </w:rPr>
        <w:t>th</w:t>
      </w:r>
      <w:r w:rsidR="005F4465" w:rsidRPr="00223683">
        <w:rPr>
          <w:rFonts w:cstheme="minorBidi"/>
          <w:szCs w:val="24"/>
        </w:rPr>
        <w:t xml:space="preserve"> meeting of the </w:t>
      </w:r>
      <w:r w:rsidR="005F4465" w:rsidRPr="00223683">
        <w:rPr>
          <w:rFonts w:cstheme="minorBidi"/>
          <w:color w:val="000000"/>
          <w:szCs w:val="24"/>
          <w:shd w:val="clear" w:color="auto" w:fill="FFFFFF"/>
        </w:rPr>
        <w:t>CWG-FHR</w:t>
      </w:r>
      <w:r w:rsidR="005F4465" w:rsidRPr="00223683">
        <w:rPr>
          <w:rFonts w:cstheme="minorBidi"/>
          <w:szCs w:val="24"/>
        </w:rPr>
        <w:t xml:space="preserve"> and to submit its report to the 20</w:t>
      </w:r>
      <w:r w:rsidR="005F4465" w:rsidRPr="00223683">
        <w:rPr>
          <w:rFonts w:cstheme="minorBidi"/>
          <w:szCs w:val="24"/>
          <w:vertAlign w:val="superscript"/>
        </w:rPr>
        <w:t>th</w:t>
      </w:r>
      <w:r w:rsidR="005F4465" w:rsidRPr="00223683">
        <w:rPr>
          <w:rFonts w:cstheme="minorBidi"/>
          <w:szCs w:val="24"/>
        </w:rPr>
        <w:t xml:space="preserve"> meeting.</w:t>
      </w:r>
    </w:p>
    <w:p w14:paraId="4B1DC43F" w14:textId="02B43947" w:rsidR="005F4465" w:rsidRPr="00223683" w:rsidRDefault="00D11DC0" w:rsidP="00223683">
      <w:pPr>
        <w:pStyle w:val="ListParagraph"/>
        <w:tabs>
          <w:tab w:val="clear" w:pos="1134"/>
          <w:tab w:val="clear" w:pos="1871"/>
          <w:tab w:val="clear" w:pos="2268"/>
        </w:tabs>
        <w:overflowPunct/>
        <w:autoSpaceDE/>
        <w:autoSpaceDN/>
        <w:adjustRightInd/>
        <w:spacing w:after="120"/>
        <w:ind w:left="0"/>
        <w:contextualSpacing w:val="0"/>
        <w:textAlignment w:val="auto"/>
        <w:rPr>
          <w:rFonts w:cstheme="minorHAnsi"/>
          <w:szCs w:val="24"/>
        </w:rPr>
      </w:pPr>
      <w:r w:rsidRPr="00223683">
        <w:rPr>
          <w:rFonts w:cstheme="minorHAnsi"/>
          <w:szCs w:val="24"/>
        </w:rPr>
        <w:t>3</w:t>
      </w:r>
      <w:r w:rsidR="005F4465" w:rsidRPr="00223683">
        <w:rPr>
          <w:rFonts w:cstheme="minorHAnsi"/>
          <w:szCs w:val="24"/>
        </w:rPr>
        <w:t xml:space="preserve">.3.2 Between 22 November 2024 and 15 January 2025, the Correspondence Group undertook its work, leveraging online tools to facilitate collaboration among members. Three virtual meetings were convened, enabling in-depth discussions and the exchange of diverse perspectives. </w:t>
      </w:r>
    </w:p>
    <w:p w14:paraId="4FFE8013" w14:textId="7889C769" w:rsidR="005F4465" w:rsidRPr="00223683" w:rsidRDefault="00D11DC0" w:rsidP="00223683">
      <w:pPr>
        <w:pStyle w:val="ListParagraph"/>
        <w:tabs>
          <w:tab w:val="clear" w:pos="1134"/>
          <w:tab w:val="clear" w:pos="1871"/>
          <w:tab w:val="clear" w:pos="2268"/>
        </w:tabs>
        <w:overflowPunct/>
        <w:autoSpaceDE/>
        <w:autoSpaceDN/>
        <w:adjustRightInd/>
        <w:spacing w:after="120"/>
        <w:ind w:left="0"/>
        <w:contextualSpacing w:val="0"/>
        <w:textAlignment w:val="auto"/>
        <w:rPr>
          <w:rFonts w:cstheme="minorBidi"/>
          <w:szCs w:val="24"/>
        </w:rPr>
      </w:pPr>
      <w:r w:rsidRPr="00223683">
        <w:rPr>
          <w:rFonts w:cstheme="minorBidi"/>
          <w:szCs w:val="24"/>
        </w:rPr>
        <w:t>3</w:t>
      </w:r>
      <w:r w:rsidR="005F4465" w:rsidRPr="00223683">
        <w:rPr>
          <w:rFonts w:cstheme="minorBidi"/>
          <w:szCs w:val="24"/>
        </w:rPr>
        <w:t>.3.3</w:t>
      </w:r>
      <w:r w:rsidR="4EE728C1" w:rsidRPr="00223683">
        <w:rPr>
          <w:rFonts w:cstheme="minorBidi"/>
          <w:szCs w:val="24"/>
        </w:rPr>
        <w:t xml:space="preserve"> </w:t>
      </w:r>
      <w:r w:rsidR="005F4465" w:rsidRPr="00223683">
        <w:rPr>
          <w:rFonts w:cstheme="minorBidi"/>
          <w:szCs w:val="24"/>
        </w:rPr>
        <w:t>Through rigorous analysis of Resolution 25, the Correspondence Group developed a revised set of Terms of Reference. The revisions aim to both strengthen and sharpen the ITU’s review of its regional presence, with a view to enhancing operational efficiency, and fostering greater engagement with regional and area offices</w:t>
      </w:r>
    </w:p>
    <w:p w14:paraId="1A40B5C0" w14:textId="48387509" w:rsidR="04481660" w:rsidRPr="00223683" w:rsidRDefault="00D11DC0" w:rsidP="00223683">
      <w:pPr>
        <w:spacing w:after="120"/>
        <w:rPr>
          <w:rFonts w:ascii="Calibri" w:eastAsia="Calibri" w:hAnsi="Calibri" w:cs="Calibri"/>
          <w:szCs w:val="24"/>
        </w:rPr>
      </w:pPr>
      <w:r w:rsidRPr="00223683">
        <w:rPr>
          <w:szCs w:val="24"/>
        </w:rPr>
        <w:t>3</w:t>
      </w:r>
      <w:r w:rsidR="005F4465" w:rsidRPr="00223683">
        <w:rPr>
          <w:szCs w:val="24"/>
        </w:rPr>
        <w:t>.3.4 The documents</w:t>
      </w:r>
      <w:r w:rsidR="00421BBC" w:rsidRPr="00223683">
        <w:rPr>
          <w:szCs w:val="24"/>
        </w:rPr>
        <w:t xml:space="preserve"> to </w:t>
      </w:r>
      <w:r w:rsidR="00421BBC" w:rsidRPr="00223683">
        <w:rPr>
          <w:rFonts w:cstheme="minorBidi"/>
          <w:szCs w:val="24"/>
        </w:rPr>
        <w:t>the 20</w:t>
      </w:r>
      <w:r w:rsidR="00421BBC" w:rsidRPr="00223683">
        <w:rPr>
          <w:rFonts w:cstheme="minorBidi"/>
          <w:szCs w:val="24"/>
          <w:vertAlign w:val="superscript"/>
        </w:rPr>
        <w:t>th</w:t>
      </w:r>
      <w:r w:rsidR="00421BBC" w:rsidRPr="00223683">
        <w:rPr>
          <w:rFonts w:cstheme="minorBidi"/>
          <w:szCs w:val="24"/>
        </w:rPr>
        <w:t xml:space="preserve"> meeting</w:t>
      </w:r>
      <w:r w:rsidR="00421BBC" w:rsidRPr="00223683">
        <w:rPr>
          <w:szCs w:val="24"/>
        </w:rPr>
        <w:t xml:space="preserve"> of CWG</w:t>
      </w:r>
      <w:r w:rsidR="00631211" w:rsidRPr="00223683">
        <w:rPr>
          <w:szCs w:val="24"/>
        </w:rPr>
        <w:t xml:space="preserve">-FHR </w:t>
      </w:r>
      <w:r w:rsidR="005F4465" w:rsidRPr="00223683">
        <w:rPr>
          <w:szCs w:val="24"/>
        </w:rPr>
        <w:t>present the work conducted by the Online Correspondence Group</w:t>
      </w:r>
      <w:r w:rsidR="00D60335" w:rsidRPr="00223683">
        <w:rPr>
          <w:szCs w:val="24"/>
        </w:rPr>
        <w:t xml:space="preserve"> and include t</w:t>
      </w:r>
      <w:r w:rsidR="005F4465" w:rsidRPr="00223683">
        <w:rPr>
          <w:szCs w:val="24"/>
        </w:rPr>
        <w:t>he Terms of Reference (</w:t>
      </w:r>
      <w:r w:rsidR="00613295" w:rsidRPr="00664878">
        <w:rPr>
          <w:rFonts w:cstheme="minorHAnsi"/>
          <w:szCs w:val="24"/>
        </w:rPr>
        <w:t xml:space="preserve">see Annex A of Document </w:t>
      </w:r>
      <w:hyperlink r:id="rId44" w:history="1">
        <w:r w:rsidR="00613295" w:rsidRPr="00664878">
          <w:rPr>
            <w:rStyle w:val="Hyperlink"/>
            <w:rFonts w:cstheme="minorHAnsi"/>
            <w:szCs w:val="24"/>
          </w:rPr>
          <w:t>TDAG25/24(Ann.1)</w:t>
        </w:r>
      </w:hyperlink>
      <w:r w:rsidR="00613295">
        <w:t>)</w:t>
      </w:r>
      <w:r w:rsidR="005F4465" w:rsidRPr="00223683">
        <w:rPr>
          <w:szCs w:val="24"/>
        </w:rPr>
        <w:t xml:space="preserve"> </w:t>
      </w:r>
      <w:r w:rsidR="00D60335" w:rsidRPr="00223683">
        <w:rPr>
          <w:szCs w:val="24"/>
        </w:rPr>
        <w:t xml:space="preserve">that </w:t>
      </w:r>
      <w:r w:rsidR="005F4465" w:rsidRPr="00223683">
        <w:rPr>
          <w:szCs w:val="24"/>
        </w:rPr>
        <w:t>provide a strategic framework to guide the review process ensuring it is thorough, impactful, and aligned with the organization's long-term goals.</w:t>
      </w:r>
    </w:p>
    <w:p w14:paraId="77EED0F1" w14:textId="2EDCD0CD" w:rsidR="005F4465" w:rsidRPr="00223683" w:rsidRDefault="00D11DC0" w:rsidP="00223683">
      <w:pPr>
        <w:pStyle w:val="Heading1"/>
        <w:tabs>
          <w:tab w:val="num" w:pos="360"/>
        </w:tabs>
        <w:spacing w:before="120" w:after="120"/>
        <w:rPr>
          <w:sz w:val="24"/>
          <w:szCs w:val="24"/>
        </w:rPr>
      </w:pPr>
      <w:r w:rsidRPr="00223683">
        <w:rPr>
          <w:sz w:val="24"/>
          <w:szCs w:val="24"/>
        </w:rPr>
        <w:t>4</w:t>
      </w:r>
      <w:r w:rsidR="005F4465" w:rsidRPr="00223683">
        <w:rPr>
          <w:sz w:val="24"/>
          <w:szCs w:val="24"/>
        </w:rPr>
        <w:t>. Conclusion</w:t>
      </w:r>
    </w:p>
    <w:p w14:paraId="1DC30005" w14:textId="6325D7DE" w:rsidR="00D83BF5" w:rsidRPr="0084734D" w:rsidRDefault="005F4465" w:rsidP="00621EBB">
      <w:pPr>
        <w:spacing w:after="120"/>
        <w:rPr>
          <w:szCs w:val="24"/>
        </w:rPr>
      </w:pPr>
      <w:r w:rsidRPr="001D6874">
        <w:rPr>
          <w:szCs w:val="24"/>
        </w:rPr>
        <w:t>TDAG is invited to note this document and provide guidance as deemed appropriate as input to the next meeting of the Council.</w:t>
      </w:r>
      <w:bookmarkEnd w:id="0"/>
    </w:p>
    <w:sectPr w:rsidR="00D83BF5" w:rsidRPr="0084734D" w:rsidSect="0081159E">
      <w:headerReference w:type="default" r:id="rId45"/>
      <w:footerReference w:type="first" r:id="rId4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9E855" w14:textId="77777777" w:rsidR="00FA1ECE" w:rsidRDefault="00FA1ECE">
      <w:r>
        <w:separator/>
      </w:r>
    </w:p>
    <w:p w14:paraId="3172E1B7" w14:textId="77777777" w:rsidR="00FA1ECE" w:rsidRDefault="00FA1ECE"/>
  </w:endnote>
  <w:endnote w:type="continuationSeparator" w:id="0">
    <w:p w14:paraId="75BBCEF7" w14:textId="77777777" w:rsidR="00FA1ECE" w:rsidRDefault="00FA1ECE">
      <w:r>
        <w:continuationSeparator/>
      </w:r>
    </w:p>
    <w:p w14:paraId="40FFDD4E" w14:textId="77777777" w:rsidR="00FA1ECE" w:rsidRDefault="00FA1ECE"/>
  </w:endnote>
  <w:endnote w:type="continuationNotice" w:id="1">
    <w:p w14:paraId="694DB99B" w14:textId="77777777" w:rsidR="00FA1ECE" w:rsidRDefault="00FA1ECE">
      <w:pPr>
        <w:spacing w:before="0"/>
      </w:pPr>
    </w:p>
    <w:p w14:paraId="65D64E64" w14:textId="77777777" w:rsidR="00FA1ECE" w:rsidRDefault="00FA1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Gulim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9A74E4" w:rsidRPr="00941B59" w14:paraId="674BD8CD" w14:textId="77777777" w:rsidTr="00133A48">
      <w:trPr>
        <w:trHeight w:val="423"/>
      </w:trPr>
      <w:tc>
        <w:tcPr>
          <w:tcW w:w="1526" w:type="dxa"/>
          <w:tcBorders>
            <w:top w:val="single" w:sz="4" w:space="0" w:color="auto"/>
          </w:tcBorders>
          <w:shd w:val="clear" w:color="auto" w:fill="auto"/>
        </w:tcPr>
        <w:p w14:paraId="36B67292" w14:textId="77777777" w:rsidR="009A74E4" w:rsidRPr="00941B59" w:rsidRDefault="009A74E4" w:rsidP="009A74E4">
          <w:pPr>
            <w:pStyle w:val="FirstFooter"/>
            <w:tabs>
              <w:tab w:val="left" w:pos="1559"/>
              <w:tab w:val="left" w:pos="3828"/>
            </w:tabs>
            <w:rPr>
              <w:sz w:val="18"/>
              <w:szCs w:val="18"/>
            </w:rPr>
          </w:pPr>
          <w:r w:rsidRPr="00941B59">
            <w:rPr>
              <w:sz w:val="18"/>
              <w:szCs w:val="18"/>
              <w:lang w:val="en-US"/>
            </w:rPr>
            <w:t>Contact:</w:t>
          </w:r>
        </w:p>
      </w:tc>
      <w:tc>
        <w:tcPr>
          <w:tcW w:w="2410" w:type="dxa"/>
          <w:tcBorders>
            <w:top w:val="single" w:sz="4" w:space="0" w:color="auto"/>
          </w:tcBorders>
          <w:shd w:val="clear" w:color="auto" w:fill="auto"/>
        </w:tcPr>
        <w:p w14:paraId="10560AA8" w14:textId="77777777" w:rsidR="009A74E4" w:rsidRPr="00941B59" w:rsidRDefault="009A74E4" w:rsidP="009A74E4">
          <w:pPr>
            <w:pStyle w:val="FirstFooter"/>
            <w:tabs>
              <w:tab w:val="left" w:pos="2302"/>
            </w:tabs>
            <w:rPr>
              <w:sz w:val="18"/>
              <w:szCs w:val="18"/>
              <w:lang w:val="en-US"/>
            </w:rPr>
          </w:pPr>
          <w:r w:rsidRPr="00941B59">
            <w:rPr>
              <w:sz w:val="18"/>
              <w:szCs w:val="18"/>
              <w:lang w:val="en-US"/>
            </w:rPr>
            <w:t>Name/Organization/Entity:</w:t>
          </w:r>
        </w:p>
      </w:tc>
      <w:tc>
        <w:tcPr>
          <w:tcW w:w="5987" w:type="dxa"/>
          <w:tcBorders>
            <w:top w:val="single" w:sz="4" w:space="0" w:color="auto"/>
          </w:tcBorders>
        </w:tcPr>
        <w:p w14:paraId="4FE38AAC" w14:textId="77777777" w:rsidR="009A74E4" w:rsidRPr="00941B59" w:rsidRDefault="009A74E4" w:rsidP="009A74E4">
          <w:pPr>
            <w:pStyle w:val="FirstFooter"/>
            <w:tabs>
              <w:tab w:val="left" w:pos="2302"/>
            </w:tabs>
            <w:rPr>
              <w:sz w:val="18"/>
              <w:szCs w:val="18"/>
              <w:lang w:val="en-US"/>
            </w:rPr>
          </w:pPr>
          <w:proofErr w:type="spellStart"/>
          <w:r w:rsidRPr="00941B59">
            <w:rPr>
              <w:sz w:val="18"/>
              <w:szCs w:val="18"/>
              <w:lang w:val="en-US"/>
            </w:rPr>
            <w:t>Ms</w:t>
          </w:r>
          <w:proofErr w:type="spellEnd"/>
          <w:r w:rsidRPr="00941B59">
            <w:rPr>
              <w:sz w:val="18"/>
              <w:szCs w:val="18"/>
              <w:lang w:val="en-US"/>
            </w:rPr>
            <w:t xml:space="preserve"> Archana Gulati, Deputy to the Director, Telecommunication Development Bureau</w:t>
          </w:r>
        </w:p>
      </w:tc>
      <w:bookmarkStart w:id="1" w:name="OrgName"/>
      <w:bookmarkEnd w:id="1"/>
    </w:tr>
    <w:tr w:rsidR="009A74E4" w:rsidRPr="00941B59" w14:paraId="70B9BC28" w14:textId="77777777" w:rsidTr="00133A48">
      <w:tc>
        <w:tcPr>
          <w:tcW w:w="1526" w:type="dxa"/>
          <w:shd w:val="clear" w:color="auto" w:fill="auto"/>
        </w:tcPr>
        <w:p w14:paraId="63C91506" w14:textId="77777777" w:rsidR="009A74E4" w:rsidRPr="00941B59" w:rsidRDefault="009A74E4" w:rsidP="009A74E4">
          <w:pPr>
            <w:pStyle w:val="FirstFooter"/>
            <w:tabs>
              <w:tab w:val="left" w:pos="1559"/>
              <w:tab w:val="left" w:pos="3828"/>
            </w:tabs>
            <w:rPr>
              <w:sz w:val="18"/>
              <w:szCs w:val="18"/>
              <w:lang w:val="en-US"/>
            </w:rPr>
          </w:pPr>
        </w:p>
      </w:tc>
      <w:tc>
        <w:tcPr>
          <w:tcW w:w="2410" w:type="dxa"/>
          <w:shd w:val="clear" w:color="auto" w:fill="auto"/>
        </w:tcPr>
        <w:p w14:paraId="34387E3E" w14:textId="77777777" w:rsidR="009A74E4" w:rsidRPr="00941B59" w:rsidRDefault="009A74E4" w:rsidP="009A74E4">
          <w:pPr>
            <w:pStyle w:val="FirstFooter"/>
            <w:tabs>
              <w:tab w:val="left" w:pos="2302"/>
            </w:tabs>
            <w:rPr>
              <w:sz w:val="18"/>
              <w:szCs w:val="18"/>
              <w:lang w:val="en-US"/>
            </w:rPr>
          </w:pPr>
          <w:r w:rsidRPr="00941B59">
            <w:rPr>
              <w:sz w:val="18"/>
              <w:szCs w:val="18"/>
              <w:lang w:val="en-US"/>
            </w:rPr>
            <w:t>Phone number:</w:t>
          </w:r>
        </w:p>
      </w:tc>
      <w:tc>
        <w:tcPr>
          <w:tcW w:w="5987" w:type="dxa"/>
        </w:tcPr>
        <w:p w14:paraId="764FDC0C" w14:textId="77777777" w:rsidR="009A74E4" w:rsidRPr="00941B59" w:rsidRDefault="009A74E4" w:rsidP="009A74E4">
          <w:pPr>
            <w:pStyle w:val="FirstFooter"/>
            <w:tabs>
              <w:tab w:val="left" w:pos="2302"/>
            </w:tabs>
            <w:rPr>
              <w:sz w:val="18"/>
              <w:szCs w:val="18"/>
              <w:lang w:val="en-US"/>
            </w:rPr>
          </w:pPr>
          <w:r w:rsidRPr="00941B59">
            <w:rPr>
              <w:sz w:val="18"/>
              <w:szCs w:val="18"/>
              <w:lang w:val="en-US"/>
            </w:rPr>
            <w:t>n/a</w:t>
          </w:r>
        </w:p>
      </w:tc>
      <w:bookmarkStart w:id="2" w:name="PhoneNo"/>
      <w:bookmarkEnd w:id="2"/>
    </w:tr>
    <w:tr w:rsidR="009A74E4" w:rsidRPr="00941B59" w14:paraId="6AF10810" w14:textId="77777777" w:rsidTr="00133A48">
      <w:tc>
        <w:tcPr>
          <w:tcW w:w="1526" w:type="dxa"/>
          <w:shd w:val="clear" w:color="auto" w:fill="auto"/>
        </w:tcPr>
        <w:p w14:paraId="207437DB" w14:textId="77777777" w:rsidR="009A74E4" w:rsidRPr="00941B59" w:rsidRDefault="009A74E4" w:rsidP="009A74E4">
          <w:pPr>
            <w:pStyle w:val="FirstFooter"/>
            <w:tabs>
              <w:tab w:val="left" w:pos="1559"/>
              <w:tab w:val="left" w:pos="3828"/>
            </w:tabs>
            <w:rPr>
              <w:sz w:val="18"/>
              <w:szCs w:val="18"/>
              <w:lang w:val="en-US"/>
            </w:rPr>
          </w:pPr>
        </w:p>
      </w:tc>
      <w:tc>
        <w:tcPr>
          <w:tcW w:w="2410" w:type="dxa"/>
          <w:shd w:val="clear" w:color="auto" w:fill="auto"/>
        </w:tcPr>
        <w:p w14:paraId="258F80A3" w14:textId="77777777" w:rsidR="009A74E4" w:rsidRPr="00941B59" w:rsidRDefault="009A74E4" w:rsidP="009A74E4">
          <w:pPr>
            <w:pStyle w:val="FirstFooter"/>
            <w:tabs>
              <w:tab w:val="left" w:pos="2302"/>
            </w:tabs>
            <w:rPr>
              <w:sz w:val="18"/>
              <w:szCs w:val="18"/>
              <w:lang w:val="en-US"/>
            </w:rPr>
          </w:pPr>
          <w:r w:rsidRPr="00941B59">
            <w:rPr>
              <w:sz w:val="18"/>
              <w:szCs w:val="18"/>
              <w:lang w:val="en-US"/>
            </w:rPr>
            <w:t>E-mail:</w:t>
          </w:r>
        </w:p>
      </w:tc>
      <w:tc>
        <w:tcPr>
          <w:tcW w:w="5987" w:type="dxa"/>
        </w:tcPr>
        <w:p w14:paraId="0D46A9E9" w14:textId="77777777" w:rsidR="009A74E4" w:rsidRPr="00941B59" w:rsidRDefault="009A74E4" w:rsidP="009A74E4">
          <w:pPr>
            <w:pStyle w:val="FirstFooter"/>
            <w:tabs>
              <w:tab w:val="left" w:pos="2302"/>
            </w:tabs>
            <w:rPr>
              <w:sz w:val="18"/>
              <w:szCs w:val="18"/>
            </w:rPr>
          </w:pPr>
          <w:hyperlink r:id="rId1" w:history="1">
            <w:r w:rsidRPr="00941B59">
              <w:rPr>
                <w:rStyle w:val="Hyperlink"/>
                <w:sz w:val="18"/>
                <w:szCs w:val="18"/>
              </w:rPr>
              <w:t>archana.gulati@itu.int</w:t>
            </w:r>
          </w:hyperlink>
          <w:r w:rsidRPr="00941B59">
            <w:rPr>
              <w:sz w:val="18"/>
              <w:szCs w:val="18"/>
            </w:rPr>
            <w:t xml:space="preserve"> </w:t>
          </w:r>
        </w:p>
      </w:tc>
      <w:bookmarkStart w:id="3" w:name="Email"/>
      <w:bookmarkEnd w:id="3"/>
    </w:tr>
  </w:tbl>
  <w:p w14:paraId="3FF320CD" w14:textId="77777777" w:rsidR="003447A8" w:rsidRPr="009A74E4" w:rsidRDefault="003447A8" w:rsidP="009A7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F0F2C" w14:textId="77777777" w:rsidR="00FA1ECE" w:rsidRPr="0054377E" w:rsidRDefault="00FA1ECE" w:rsidP="0054377E">
      <w:pPr>
        <w:spacing w:before="0"/>
      </w:pPr>
      <w:r w:rsidRPr="0054377E">
        <w:rPr>
          <w:b/>
        </w:rPr>
        <w:t>_______________</w:t>
      </w:r>
    </w:p>
  </w:footnote>
  <w:footnote w:type="continuationSeparator" w:id="0">
    <w:p w14:paraId="3DEC37E9" w14:textId="77777777" w:rsidR="00FA1ECE" w:rsidRDefault="00FA1ECE" w:rsidP="0054377E">
      <w:pPr>
        <w:spacing w:before="0"/>
      </w:pPr>
      <w:r>
        <w:continuationSeparator/>
      </w:r>
    </w:p>
    <w:p w14:paraId="2A29B30C" w14:textId="77777777" w:rsidR="00FA1ECE" w:rsidRDefault="00FA1ECE"/>
  </w:footnote>
  <w:footnote w:type="continuationNotice" w:id="1">
    <w:p w14:paraId="0AD5C763" w14:textId="77777777" w:rsidR="00FA1ECE" w:rsidRDefault="00FA1ECE">
      <w:pPr>
        <w:spacing w:before="0"/>
      </w:pPr>
    </w:p>
    <w:p w14:paraId="464ED75D" w14:textId="77777777" w:rsidR="00FA1ECE" w:rsidRDefault="00FA1ECE"/>
  </w:footnote>
  <w:footnote w:id="2">
    <w:p w14:paraId="06CFC98A" w14:textId="77777777" w:rsidR="005F4465" w:rsidRPr="00644B74" w:rsidRDefault="005F4465" w:rsidP="005F4465">
      <w:pPr>
        <w:pStyle w:val="FootnoteText"/>
        <w:spacing w:before="80"/>
        <w:rPr>
          <w:sz w:val="20"/>
          <w:lang w:val="fr-FR"/>
        </w:rPr>
      </w:pPr>
      <w:r w:rsidRPr="00644B74">
        <w:rPr>
          <w:rStyle w:val="FootnoteReference"/>
          <w:sz w:val="20"/>
        </w:rPr>
        <w:footnoteRef/>
      </w:r>
      <w:r w:rsidRPr="00644B74">
        <w:rPr>
          <w:sz w:val="20"/>
          <w:lang w:val="fr-FR"/>
        </w:rPr>
        <w:tab/>
        <w:t xml:space="preserve">Document </w:t>
      </w:r>
      <w:hyperlink r:id="rId1" w:history="1">
        <w:r w:rsidRPr="00644B74">
          <w:rPr>
            <w:rStyle w:val="Hyperlink"/>
            <w:sz w:val="20"/>
            <w:lang w:val="fr-FR"/>
          </w:rPr>
          <w:t>TDAG-24/12</w:t>
        </w:r>
      </w:hyperlink>
      <w:r w:rsidRPr="00644B74">
        <w:rPr>
          <w:sz w:val="20"/>
          <w:lang w:val="fr-FR"/>
        </w:rPr>
        <w:t xml:space="preserve"> on ITU-D Operational Plan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1B53" w14:textId="1B089371" w:rsidR="00636181" w:rsidRPr="00A7027A" w:rsidRDefault="00A7027A" w:rsidP="00A7027A">
    <w:pPr>
      <w:tabs>
        <w:tab w:val="clear" w:pos="1134"/>
        <w:tab w:val="clear" w:pos="1871"/>
        <w:tab w:val="clear" w:pos="2268"/>
        <w:tab w:val="center" w:pos="4820"/>
        <w:tab w:val="right" w:pos="14003"/>
      </w:tabs>
      <w:ind w:right="1"/>
      <w:rPr>
        <w:smallCaps/>
        <w:spacing w:val="24"/>
        <w:sz w:val="22"/>
        <w:szCs w:val="22"/>
        <w:lang w:val="es-ES_tradnl"/>
      </w:rPr>
    </w:pPr>
    <w:r w:rsidRPr="004D495C">
      <w:rPr>
        <w:sz w:val="22"/>
        <w:szCs w:val="22"/>
      </w:rPr>
      <w:tab/>
    </w:r>
    <w:r>
      <w:rPr>
        <w:sz w:val="22"/>
        <w:szCs w:val="22"/>
        <w:lang w:val="es-ES_tradnl"/>
      </w:rPr>
      <w:t>TDAG-25</w:t>
    </w:r>
    <w:r w:rsidRPr="00FF089C">
      <w:rPr>
        <w:sz w:val="22"/>
        <w:szCs w:val="22"/>
        <w:lang w:val="es-ES_tradnl"/>
      </w:rPr>
      <w:t>/</w:t>
    </w:r>
    <w:r w:rsidR="009A74E4">
      <w:rPr>
        <w:sz w:val="22"/>
        <w:szCs w:val="22"/>
        <w:lang w:val="es-ES_tradnl"/>
      </w:rPr>
      <w:t>24</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1848"/>
    <w:multiLevelType w:val="hybridMultilevel"/>
    <w:tmpl w:val="EACE65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046A9"/>
    <w:multiLevelType w:val="hybridMultilevel"/>
    <w:tmpl w:val="F58696B8"/>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C12541"/>
    <w:multiLevelType w:val="hybridMultilevel"/>
    <w:tmpl w:val="73726D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246D3"/>
    <w:multiLevelType w:val="hybridMultilevel"/>
    <w:tmpl w:val="FC36453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47D4EF3"/>
    <w:multiLevelType w:val="hybridMultilevel"/>
    <w:tmpl w:val="1C2296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C0D96"/>
    <w:multiLevelType w:val="hybridMultilevel"/>
    <w:tmpl w:val="DB32CBF2"/>
    <w:lvl w:ilvl="0" w:tplc="7486A2B2">
      <w:start w:val="3"/>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41617C"/>
    <w:multiLevelType w:val="hybridMultilevel"/>
    <w:tmpl w:val="4E745178"/>
    <w:lvl w:ilvl="0" w:tplc="D8AA70EE">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7" w15:restartNumberingAfterBreak="0">
    <w:nsid w:val="40264114"/>
    <w:multiLevelType w:val="hybridMultilevel"/>
    <w:tmpl w:val="1C0C52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DDE0E99"/>
    <w:multiLevelType w:val="hybridMultilevel"/>
    <w:tmpl w:val="4336FF1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4FC6693"/>
    <w:multiLevelType w:val="hybridMultilevel"/>
    <w:tmpl w:val="B6D47D64"/>
    <w:lvl w:ilvl="0" w:tplc="0A048C52">
      <w:numFmt w:val="bullet"/>
      <w:lvlText w:val=""/>
      <w:lvlJc w:val="left"/>
      <w:pPr>
        <w:ind w:left="720" w:hanging="360"/>
      </w:pPr>
      <w:rPr>
        <w:rFonts w:ascii="Symbol" w:eastAsia="Bata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4A015D"/>
    <w:multiLevelType w:val="hybridMultilevel"/>
    <w:tmpl w:val="A756346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344639">
    <w:abstractNumId w:val="6"/>
  </w:num>
  <w:num w:numId="2" w16cid:durableId="1681080113">
    <w:abstractNumId w:val="7"/>
  </w:num>
  <w:num w:numId="3" w16cid:durableId="534078390">
    <w:abstractNumId w:val="9"/>
  </w:num>
  <w:num w:numId="4" w16cid:durableId="2090690033">
    <w:abstractNumId w:val="3"/>
  </w:num>
  <w:num w:numId="5" w16cid:durableId="1385059708">
    <w:abstractNumId w:val="5"/>
  </w:num>
  <w:num w:numId="6" w16cid:durableId="662515395">
    <w:abstractNumId w:val="8"/>
  </w:num>
  <w:num w:numId="7" w16cid:durableId="2051101661">
    <w:abstractNumId w:val="1"/>
  </w:num>
  <w:num w:numId="8" w16cid:durableId="1846087272">
    <w:abstractNumId w:val="10"/>
  </w:num>
  <w:num w:numId="9" w16cid:durableId="1549491577">
    <w:abstractNumId w:val="4"/>
  </w:num>
  <w:num w:numId="10" w16cid:durableId="1817138799">
    <w:abstractNumId w:val="2"/>
  </w:num>
  <w:num w:numId="11" w16cid:durableId="157162188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2BBA"/>
    <w:rsid w:val="000041EA"/>
    <w:rsid w:val="00004EB7"/>
    <w:rsid w:val="000053A5"/>
    <w:rsid w:val="00005A53"/>
    <w:rsid w:val="00005FBD"/>
    <w:rsid w:val="00007800"/>
    <w:rsid w:val="000104B7"/>
    <w:rsid w:val="00011ECB"/>
    <w:rsid w:val="00013201"/>
    <w:rsid w:val="000150B0"/>
    <w:rsid w:val="00015A0D"/>
    <w:rsid w:val="00015E52"/>
    <w:rsid w:val="00022A29"/>
    <w:rsid w:val="0002307B"/>
    <w:rsid w:val="00023534"/>
    <w:rsid w:val="00023E43"/>
    <w:rsid w:val="0002559C"/>
    <w:rsid w:val="00025926"/>
    <w:rsid w:val="00025965"/>
    <w:rsid w:val="00030B5B"/>
    <w:rsid w:val="000313AB"/>
    <w:rsid w:val="000315E7"/>
    <w:rsid w:val="00034760"/>
    <w:rsid w:val="0003540E"/>
    <w:rsid w:val="000355FD"/>
    <w:rsid w:val="0003589F"/>
    <w:rsid w:val="00037CB3"/>
    <w:rsid w:val="00041F2D"/>
    <w:rsid w:val="000447FC"/>
    <w:rsid w:val="00050E2D"/>
    <w:rsid w:val="0005184F"/>
    <w:rsid w:val="000518B8"/>
    <w:rsid w:val="00051E39"/>
    <w:rsid w:val="00052412"/>
    <w:rsid w:val="00053725"/>
    <w:rsid w:val="00054B72"/>
    <w:rsid w:val="0005581A"/>
    <w:rsid w:val="0005619C"/>
    <w:rsid w:val="0005747E"/>
    <w:rsid w:val="000604E5"/>
    <w:rsid w:val="000605B2"/>
    <w:rsid w:val="000617DF"/>
    <w:rsid w:val="000646D3"/>
    <w:rsid w:val="00065156"/>
    <w:rsid w:val="0006550B"/>
    <w:rsid w:val="0007000B"/>
    <w:rsid w:val="000735FD"/>
    <w:rsid w:val="00074109"/>
    <w:rsid w:val="0007439C"/>
    <w:rsid w:val="00074C4D"/>
    <w:rsid w:val="00075C63"/>
    <w:rsid w:val="00076288"/>
    <w:rsid w:val="00077239"/>
    <w:rsid w:val="000778CA"/>
    <w:rsid w:val="000805BB"/>
    <w:rsid w:val="00080905"/>
    <w:rsid w:val="00081C9D"/>
    <w:rsid w:val="00081D0A"/>
    <w:rsid w:val="000822BE"/>
    <w:rsid w:val="000829BB"/>
    <w:rsid w:val="00082B11"/>
    <w:rsid w:val="000840A7"/>
    <w:rsid w:val="00084195"/>
    <w:rsid w:val="00085C6A"/>
    <w:rsid w:val="00085FB9"/>
    <w:rsid w:val="00086491"/>
    <w:rsid w:val="000904F9"/>
    <w:rsid w:val="000909ED"/>
    <w:rsid w:val="00091346"/>
    <w:rsid w:val="00091C80"/>
    <w:rsid w:val="0009381F"/>
    <w:rsid w:val="00093A90"/>
    <w:rsid w:val="0009581F"/>
    <w:rsid w:val="00095901"/>
    <w:rsid w:val="00097074"/>
    <w:rsid w:val="000A002E"/>
    <w:rsid w:val="000A0174"/>
    <w:rsid w:val="000A348A"/>
    <w:rsid w:val="000A3B54"/>
    <w:rsid w:val="000A4EDF"/>
    <w:rsid w:val="000A59AE"/>
    <w:rsid w:val="000A7918"/>
    <w:rsid w:val="000A7931"/>
    <w:rsid w:val="000A7F83"/>
    <w:rsid w:val="000B6FCD"/>
    <w:rsid w:val="000B738A"/>
    <w:rsid w:val="000C03F4"/>
    <w:rsid w:val="000C090F"/>
    <w:rsid w:val="000C17EA"/>
    <w:rsid w:val="000C1A3B"/>
    <w:rsid w:val="000C1E12"/>
    <w:rsid w:val="000C2592"/>
    <w:rsid w:val="000C3632"/>
    <w:rsid w:val="000C42BA"/>
    <w:rsid w:val="000C4FD1"/>
    <w:rsid w:val="000D1759"/>
    <w:rsid w:val="000D38EB"/>
    <w:rsid w:val="000D4875"/>
    <w:rsid w:val="000D6891"/>
    <w:rsid w:val="000D6E8D"/>
    <w:rsid w:val="000E2B96"/>
    <w:rsid w:val="000E6092"/>
    <w:rsid w:val="000E672B"/>
    <w:rsid w:val="000E6DE9"/>
    <w:rsid w:val="000E71F8"/>
    <w:rsid w:val="000F10B8"/>
    <w:rsid w:val="000F1DD4"/>
    <w:rsid w:val="000F20C5"/>
    <w:rsid w:val="000F29EC"/>
    <w:rsid w:val="000F38EA"/>
    <w:rsid w:val="000F3E8A"/>
    <w:rsid w:val="000F3F1A"/>
    <w:rsid w:val="000F42C1"/>
    <w:rsid w:val="000F4325"/>
    <w:rsid w:val="000F542E"/>
    <w:rsid w:val="000F641B"/>
    <w:rsid w:val="000F73FF"/>
    <w:rsid w:val="000F76F9"/>
    <w:rsid w:val="000F7F1C"/>
    <w:rsid w:val="00102175"/>
    <w:rsid w:val="00102343"/>
    <w:rsid w:val="001029B3"/>
    <w:rsid w:val="00105DCD"/>
    <w:rsid w:val="001066B3"/>
    <w:rsid w:val="001077D2"/>
    <w:rsid w:val="00111399"/>
    <w:rsid w:val="001114AC"/>
    <w:rsid w:val="00114443"/>
    <w:rsid w:val="00114584"/>
    <w:rsid w:val="00114CF7"/>
    <w:rsid w:val="00115411"/>
    <w:rsid w:val="00115B33"/>
    <w:rsid w:val="00116B95"/>
    <w:rsid w:val="00116C2C"/>
    <w:rsid w:val="00117233"/>
    <w:rsid w:val="00122245"/>
    <w:rsid w:val="001227D7"/>
    <w:rsid w:val="00123B68"/>
    <w:rsid w:val="00124AF4"/>
    <w:rsid w:val="00124CAA"/>
    <w:rsid w:val="001250AD"/>
    <w:rsid w:val="00125E69"/>
    <w:rsid w:val="00126F2E"/>
    <w:rsid w:val="00127FC6"/>
    <w:rsid w:val="00130570"/>
    <w:rsid w:val="00133A35"/>
    <w:rsid w:val="00133BA2"/>
    <w:rsid w:val="00134951"/>
    <w:rsid w:val="0013504E"/>
    <w:rsid w:val="001424DC"/>
    <w:rsid w:val="00143A87"/>
    <w:rsid w:val="00144066"/>
    <w:rsid w:val="00144C93"/>
    <w:rsid w:val="00144E69"/>
    <w:rsid w:val="001451C8"/>
    <w:rsid w:val="001456C0"/>
    <w:rsid w:val="00145CC7"/>
    <w:rsid w:val="00146F6F"/>
    <w:rsid w:val="0014714E"/>
    <w:rsid w:val="00147964"/>
    <w:rsid w:val="00147DA1"/>
    <w:rsid w:val="00151975"/>
    <w:rsid w:val="001519A2"/>
    <w:rsid w:val="00151C85"/>
    <w:rsid w:val="001520FB"/>
    <w:rsid w:val="00152957"/>
    <w:rsid w:val="001614C8"/>
    <w:rsid w:val="001655E8"/>
    <w:rsid w:val="00166196"/>
    <w:rsid w:val="00166201"/>
    <w:rsid w:val="001664A7"/>
    <w:rsid w:val="00166B40"/>
    <w:rsid w:val="00167327"/>
    <w:rsid w:val="0016791B"/>
    <w:rsid w:val="00167A9D"/>
    <w:rsid w:val="00167E5B"/>
    <w:rsid w:val="00170C5A"/>
    <w:rsid w:val="0017171C"/>
    <w:rsid w:val="00171758"/>
    <w:rsid w:val="00172CB3"/>
    <w:rsid w:val="0017500F"/>
    <w:rsid w:val="00175C80"/>
    <w:rsid w:val="00176991"/>
    <w:rsid w:val="00180444"/>
    <w:rsid w:val="00182B43"/>
    <w:rsid w:val="001832B9"/>
    <w:rsid w:val="00185737"/>
    <w:rsid w:val="0018776D"/>
    <w:rsid w:val="00187BD9"/>
    <w:rsid w:val="00190227"/>
    <w:rsid w:val="0019060A"/>
    <w:rsid w:val="00190A1C"/>
    <w:rsid w:val="00190B55"/>
    <w:rsid w:val="00191F5C"/>
    <w:rsid w:val="00192FA9"/>
    <w:rsid w:val="00194CFB"/>
    <w:rsid w:val="00196986"/>
    <w:rsid w:val="00197F62"/>
    <w:rsid w:val="001A024A"/>
    <w:rsid w:val="001A1611"/>
    <w:rsid w:val="001A1FFD"/>
    <w:rsid w:val="001A3858"/>
    <w:rsid w:val="001A3A78"/>
    <w:rsid w:val="001A4BD2"/>
    <w:rsid w:val="001A58AF"/>
    <w:rsid w:val="001A5CB2"/>
    <w:rsid w:val="001A64BA"/>
    <w:rsid w:val="001A79A3"/>
    <w:rsid w:val="001B073B"/>
    <w:rsid w:val="001B0CB2"/>
    <w:rsid w:val="001B2A9D"/>
    <w:rsid w:val="001B2ED3"/>
    <w:rsid w:val="001B2F58"/>
    <w:rsid w:val="001B4FF8"/>
    <w:rsid w:val="001B643A"/>
    <w:rsid w:val="001B6675"/>
    <w:rsid w:val="001B7EA3"/>
    <w:rsid w:val="001B7F74"/>
    <w:rsid w:val="001C14AD"/>
    <w:rsid w:val="001C23D1"/>
    <w:rsid w:val="001C3376"/>
    <w:rsid w:val="001C35D5"/>
    <w:rsid w:val="001C3B5F"/>
    <w:rsid w:val="001C4877"/>
    <w:rsid w:val="001C4907"/>
    <w:rsid w:val="001C61EA"/>
    <w:rsid w:val="001C6977"/>
    <w:rsid w:val="001D058F"/>
    <w:rsid w:val="001D10F4"/>
    <w:rsid w:val="001D1B52"/>
    <w:rsid w:val="001D2025"/>
    <w:rsid w:val="001D520B"/>
    <w:rsid w:val="001D6874"/>
    <w:rsid w:val="001D77AD"/>
    <w:rsid w:val="001D78D5"/>
    <w:rsid w:val="001E0384"/>
    <w:rsid w:val="001E24AF"/>
    <w:rsid w:val="001E252D"/>
    <w:rsid w:val="001E29BE"/>
    <w:rsid w:val="001E3678"/>
    <w:rsid w:val="001E43DC"/>
    <w:rsid w:val="001E4AAF"/>
    <w:rsid w:val="001F2BFC"/>
    <w:rsid w:val="001F3E85"/>
    <w:rsid w:val="001F3F07"/>
    <w:rsid w:val="00200987"/>
    <w:rsid w:val="002009EA"/>
    <w:rsid w:val="00202CA0"/>
    <w:rsid w:val="0020514B"/>
    <w:rsid w:val="00206E7D"/>
    <w:rsid w:val="00207A5D"/>
    <w:rsid w:val="002103CC"/>
    <w:rsid w:val="0021072A"/>
    <w:rsid w:val="002139CA"/>
    <w:rsid w:val="00213A5C"/>
    <w:rsid w:val="00214607"/>
    <w:rsid w:val="002154A6"/>
    <w:rsid w:val="002162CD"/>
    <w:rsid w:val="00216478"/>
    <w:rsid w:val="00220634"/>
    <w:rsid w:val="00220AAC"/>
    <w:rsid w:val="00220F8A"/>
    <w:rsid w:val="00221C1D"/>
    <w:rsid w:val="002226B9"/>
    <w:rsid w:val="00223683"/>
    <w:rsid w:val="002237A7"/>
    <w:rsid w:val="00224A2B"/>
    <w:rsid w:val="00224B7C"/>
    <w:rsid w:val="00224CDD"/>
    <w:rsid w:val="002255B3"/>
    <w:rsid w:val="00225DE6"/>
    <w:rsid w:val="0022687F"/>
    <w:rsid w:val="0023164A"/>
    <w:rsid w:val="002319F6"/>
    <w:rsid w:val="00232DA1"/>
    <w:rsid w:val="0023409C"/>
    <w:rsid w:val="002346C7"/>
    <w:rsid w:val="00234829"/>
    <w:rsid w:val="002351D4"/>
    <w:rsid w:val="00236E8A"/>
    <w:rsid w:val="00240BC8"/>
    <w:rsid w:val="002416FB"/>
    <w:rsid w:val="00241717"/>
    <w:rsid w:val="002420D0"/>
    <w:rsid w:val="00242487"/>
    <w:rsid w:val="00243411"/>
    <w:rsid w:val="00244F0F"/>
    <w:rsid w:val="00246B32"/>
    <w:rsid w:val="00251A53"/>
    <w:rsid w:val="00253CD5"/>
    <w:rsid w:val="002543F7"/>
    <w:rsid w:val="0025489C"/>
    <w:rsid w:val="00257CF5"/>
    <w:rsid w:val="0026406F"/>
    <w:rsid w:val="002653F2"/>
    <w:rsid w:val="00266589"/>
    <w:rsid w:val="002676D5"/>
    <w:rsid w:val="00267792"/>
    <w:rsid w:val="00267EF2"/>
    <w:rsid w:val="002701F5"/>
    <w:rsid w:val="002712A9"/>
    <w:rsid w:val="00271316"/>
    <w:rsid w:val="00272417"/>
    <w:rsid w:val="00274CC3"/>
    <w:rsid w:val="00276238"/>
    <w:rsid w:val="00276414"/>
    <w:rsid w:val="002767B5"/>
    <w:rsid w:val="00277C03"/>
    <w:rsid w:val="00283F74"/>
    <w:rsid w:val="00285610"/>
    <w:rsid w:val="00286C1D"/>
    <w:rsid w:val="00286C4C"/>
    <w:rsid w:val="00290DD9"/>
    <w:rsid w:val="00291610"/>
    <w:rsid w:val="00293526"/>
    <w:rsid w:val="00293594"/>
    <w:rsid w:val="002944FF"/>
    <w:rsid w:val="00294BF6"/>
    <w:rsid w:val="00294D5A"/>
    <w:rsid w:val="002955BC"/>
    <w:rsid w:val="002955DA"/>
    <w:rsid w:val="00295A71"/>
    <w:rsid w:val="00296313"/>
    <w:rsid w:val="00296DA0"/>
    <w:rsid w:val="00297006"/>
    <w:rsid w:val="00297B5D"/>
    <w:rsid w:val="002A0A7A"/>
    <w:rsid w:val="002A0D8C"/>
    <w:rsid w:val="002A1D4A"/>
    <w:rsid w:val="002A24F8"/>
    <w:rsid w:val="002A2742"/>
    <w:rsid w:val="002A27F8"/>
    <w:rsid w:val="002A2A97"/>
    <w:rsid w:val="002A4EFF"/>
    <w:rsid w:val="002A51DF"/>
    <w:rsid w:val="002A61B2"/>
    <w:rsid w:val="002A684E"/>
    <w:rsid w:val="002A7134"/>
    <w:rsid w:val="002B05A4"/>
    <w:rsid w:val="002B074A"/>
    <w:rsid w:val="002B10D5"/>
    <w:rsid w:val="002B2AA2"/>
    <w:rsid w:val="002B3296"/>
    <w:rsid w:val="002B3C84"/>
    <w:rsid w:val="002B4CDB"/>
    <w:rsid w:val="002B500A"/>
    <w:rsid w:val="002B5490"/>
    <w:rsid w:val="002C12ED"/>
    <w:rsid w:val="002C1A2F"/>
    <w:rsid w:val="002C2AC0"/>
    <w:rsid w:val="002C49BA"/>
    <w:rsid w:val="002C4B75"/>
    <w:rsid w:val="002C6B70"/>
    <w:rsid w:val="002C73F6"/>
    <w:rsid w:val="002C7D5E"/>
    <w:rsid w:val="002D58BE"/>
    <w:rsid w:val="002D5CE8"/>
    <w:rsid w:val="002E068A"/>
    <w:rsid w:val="002E071E"/>
    <w:rsid w:val="002E0F32"/>
    <w:rsid w:val="002E4D1D"/>
    <w:rsid w:val="002E51E0"/>
    <w:rsid w:val="002E5411"/>
    <w:rsid w:val="002E7A84"/>
    <w:rsid w:val="002F1BD0"/>
    <w:rsid w:val="002F2199"/>
    <w:rsid w:val="002F619A"/>
    <w:rsid w:val="002F6709"/>
    <w:rsid w:val="002F7752"/>
    <w:rsid w:val="003013EE"/>
    <w:rsid w:val="0030313E"/>
    <w:rsid w:val="00304031"/>
    <w:rsid w:val="00306FEE"/>
    <w:rsid w:val="0031014E"/>
    <w:rsid w:val="00311808"/>
    <w:rsid w:val="00311851"/>
    <w:rsid w:val="00311CD5"/>
    <w:rsid w:val="00313B1C"/>
    <w:rsid w:val="003144DA"/>
    <w:rsid w:val="00316725"/>
    <w:rsid w:val="00316A69"/>
    <w:rsid w:val="003174D9"/>
    <w:rsid w:val="00317C58"/>
    <w:rsid w:val="00317DA9"/>
    <w:rsid w:val="00321D91"/>
    <w:rsid w:val="003231C6"/>
    <w:rsid w:val="00323651"/>
    <w:rsid w:val="00323E49"/>
    <w:rsid w:val="003243B1"/>
    <w:rsid w:val="003247A5"/>
    <w:rsid w:val="003249F3"/>
    <w:rsid w:val="00325939"/>
    <w:rsid w:val="003273BC"/>
    <w:rsid w:val="00331F05"/>
    <w:rsid w:val="003351A6"/>
    <w:rsid w:val="00335759"/>
    <w:rsid w:val="00337750"/>
    <w:rsid w:val="00342BD9"/>
    <w:rsid w:val="0034384D"/>
    <w:rsid w:val="003447A8"/>
    <w:rsid w:val="003447F5"/>
    <w:rsid w:val="00345D42"/>
    <w:rsid w:val="00346224"/>
    <w:rsid w:val="0034636C"/>
    <w:rsid w:val="00346CEE"/>
    <w:rsid w:val="0035089A"/>
    <w:rsid w:val="003511BC"/>
    <w:rsid w:val="00354A1D"/>
    <w:rsid w:val="00355E83"/>
    <w:rsid w:val="00356083"/>
    <w:rsid w:val="003572D4"/>
    <w:rsid w:val="003603B8"/>
    <w:rsid w:val="0036055B"/>
    <w:rsid w:val="00361609"/>
    <w:rsid w:val="00364098"/>
    <w:rsid w:val="003668DD"/>
    <w:rsid w:val="00366978"/>
    <w:rsid w:val="0037003F"/>
    <w:rsid w:val="00372BCF"/>
    <w:rsid w:val="00373365"/>
    <w:rsid w:val="00373B80"/>
    <w:rsid w:val="00374AED"/>
    <w:rsid w:val="00376255"/>
    <w:rsid w:val="00376280"/>
    <w:rsid w:val="00377BD3"/>
    <w:rsid w:val="00377DDD"/>
    <w:rsid w:val="003807EA"/>
    <w:rsid w:val="0038091A"/>
    <w:rsid w:val="00381C62"/>
    <w:rsid w:val="003829D8"/>
    <w:rsid w:val="00382DFC"/>
    <w:rsid w:val="0038304D"/>
    <w:rsid w:val="00384088"/>
    <w:rsid w:val="0038489B"/>
    <w:rsid w:val="00384EEE"/>
    <w:rsid w:val="0038583C"/>
    <w:rsid w:val="00385BE9"/>
    <w:rsid w:val="0039169B"/>
    <w:rsid w:val="00392277"/>
    <w:rsid w:val="003939B1"/>
    <w:rsid w:val="003948BF"/>
    <w:rsid w:val="00394B90"/>
    <w:rsid w:val="0039626D"/>
    <w:rsid w:val="003968CC"/>
    <w:rsid w:val="00396F5C"/>
    <w:rsid w:val="00397C59"/>
    <w:rsid w:val="003A03FF"/>
    <w:rsid w:val="003A04F5"/>
    <w:rsid w:val="003A22FC"/>
    <w:rsid w:val="003A260A"/>
    <w:rsid w:val="003A2C92"/>
    <w:rsid w:val="003A5137"/>
    <w:rsid w:val="003A54E2"/>
    <w:rsid w:val="003A5D2B"/>
    <w:rsid w:val="003A658E"/>
    <w:rsid w:val="003A6BAC"/>
    <w:rsid w:val="003A6BED"/>
    <w:rsid w:val="003A6EE9"/>
    <w:rsid w:val="003A722A"/>
    <w:rsid w:val="003A7F8C"/>
    <w:rsid w:val="003B08DA"/>
    <w:rsid w:val="003B0FA5"/>
    <w:rsid w:val="003B10ED"/>
    <w:rsid w:val="003B11F9"/>
    <w:rsid w:val="003B186C"/>
    <w:rsid w:val="003B2B56"/>
    <w:rsid w:val="003B4F8E"/>
    <w:rsid w:val="003B522D"/>
    <w:rsid w:val="003B532E"/>
    <w:rsid w:val="003B621C"/>
    <w:rsid w:val="003B6306"/>
    <w:rsid w:val="003B6602"/>
    <w:rsid w:val="003B6F14"/>
    <w:rsid w:val="003B6F60"/>
    <w:rsid w:val="003C1870"/>
    <w:rsid w:val="003C3650"/>
    <w:rsid w:val="003C5D09"/>
    <w:rsid w:val="003C6136"/>
    <w:rsid w:val="003C695D"/>
    <w:rsid w:val="003C69D2"/>
    <w:rsid w:val="003C6B1E"/>
    <w:rsid w:val="003C6D08"/>
    <w:rsid w:val="003D0F8B"/>
    <w:rsid w:val="003D1814"/>
    <w:rsid w:val="003D39F2"/>
    <w:rsid w:val="003D4359"/>
    <w:rsid w:val="003D4949"/>
    <w:rsid w:val="003D5A63"/>
    <w:rsid w:val="003D6425"/>
    <w:rsid w:val="003D66A7"/>
    <w:rsid w:val="003D6847"/>
    <w:rsid w:val="003D79ED"/>
    <w:rsid w:val="003D7EE8"/>
    <w:rsid w:val="003E00F8"/>
    <w:rsid w:val="003E26C8"/>
    <w:rsid w:val="003E4AE4"/>
    <w:rsid w:val="003E5C09"/>
    <w:rsid w:val="003F0A6C"/>
    <w:rsid w:val="003F0F49"/>
    <w:rsid w:val="003F1363"/>
    <w:rsid w:val="003F23BA"/>
    <w:rsid w:val="003F3399"/>
    <w:rsid w:val="003F3440"/>
    <w:rsid w:val="003F3F0F"/>
    <w:rsid w:val="003F444A"/>
    <w:rsid w:val="003F5A6F"/>
    <w:rsid w:val="003F5E51"/>
    <w:rsid w:val="003F6342"/>
    <w:rsid w:val="003F68CC"/>
    <w:rsid w:val="003F6F8B"/>
    <w:rsid w:val="003F6FE1"/>
    <w:rsid w:val="00403C69"/>
    <w:rsid w:val="00405EC2"/>
    <w:rsid w:val="00406278"/>
    <w:rsid w:val="00406297"/>
    <w:rsid w:val="004109A2"/>
    <w:rsid w:val="00412C81"/>
    <w:rsid w:val="004131D4"/>
    <w:rsid w:val="0041348E"/>
    <w:rsid w:val="00414895"/>
    <w:rsid w:val="004148E6"/>
    <w:rsid w:val="00417326"/>
    <w:rsid w:val="004208C6"/>
    <w:rsid w:val="00421605"/>
    <w:rsid w:val="00421BBC"/>
    <w:rsid w:val="00421E01"/>
    <w:rsid w:val="0042363F"/>
    <w:rsid w:val="0042649A"/>
    <w:rsid w:val="004269E6"/>
    <w:rsid w:val="00431074"/>
    <w:rsid w:val="00433357"/>
    <w:rsid w:val="00433BA1"/>
    <w:rsid w:val="00435024"/>
    <w:rsid w:val="00435662"/>
    <w:rsid w:val="00435762"/>
    <w:rsid w:val="00435E45"/>
    <w:rsid w:val="004364D9"/>
    <w:rsid w:val="00436654"/>
    <w:rsid w:val="00437819"/>
    <w:rsid w:val="00437A8D"/>
    <w:rsid w:val="00440C4F"/>
    <w:rsid w:val="00441E8B"/>
    <w:rsid w:val="004445FD"/>
    <w:rsid w:val="00446FBA"/>
    <w:rsid w:val="00447308"/>
    <w:rsid w:val="00447990"/>
    <w:rsid w:val="004500BC"/>
    <w:rsid w:val="00450DCE"/>
    <w:rsid w:val="00451B1B"/>
    <w:rsid w:val="00451B3F"/>
    <w:rsid w:val="00451C5C"/>
    <w:rsid w:val="00454AED"/>
    <w:rsid w:val="004552B4"/>
    <w:rsid w:val="0046001E"/>
    <w:rsid w:val="00460CF8"/>
    <w:rsid w:val="0046100E"/>
    <w:rsid w:val="00462253"/>
    <w:rsid w:val="00462CB2"/>
    <w:rsid w:val="004631CC"/>
    <w:rsid w:val="00464EF7"/>
    <w:rsid w:val="00466AD3"/>
    <w:rsid w:val="00467DB2"/>
    <w:rsid w:val="004705EC"/>
    <w:rsid w:val="00470D7B"/>
    <w:rsid w:val="00472FC1"/>
    <w:rsid w:val="00473529"/>
    <w:rsid w:val="00474401"/>
    <w:rsid w:val="004755BA"/>
    <w:rsid w:val="00475B95"/>
    <w:rsid w:val="004765FF"/>
    <w:rsid w:val="004773CE"/>
    <w:rsid w:val="00481E58"/>
    <w:rsid w:val="00483290"/>
    <w:rsid w:val="00483F59"/>
    <w:rsid w:val="0048520E"/>
    <w:rsid w:val="00486163"/>
    <w:rsid w:val="00492075"/>
    <w:rsid w:val="0049304E"/>
    <w:rsid w:val="00495290"/>
    <w:rsid w:val="004969AD"/>
    <w:rsid w:val="00496E2A"/>
    <w:rsid w:val="004A0244"/>
    <w:rsid w:val="004A0579"/>
    <w:rsid w:val="004A078F"/>
    <w:rsid w:val="004A0B2A"/>
    <w:rsid w:val="004A14A2"/>
    <w:rsid w:val="004A3226"/>
    <w:rsid w:val="004A3FF4"/>
    <w:rsid w:val="004A46E8"/>
    <w:rsid w:val="004A6677"/>
    <w:rsid w:val="004A7674"/>
    <w:rsid w:val="004A783D"/>
    <w:rsid w:val="004B13CB"/>
    <w:rsid w:val="004B2466"/>
    <w:rsid w:val="004B2531"/>
    <w:rsid w:val="004B3C6F"/>
    <w:rsid w:val="004B46F3"/>
    <w:rsid w:val="004B4C3B"/>
    <w:rsid w:val="004B4FDF"/>
    <w:rsid w:val="004B4FF2"/>
    <w:rsid w:val="004B553C"/>
    <w:rsid w:val="004B5890"/>
    <w:rsid w:val="004B5B6C"/>
    <w:rsid w:val="004B716F"/>
    <w:rsid w:val="004B7C16"/>
    <w:rsid w:val="004B7E77"/>
    <w:rsid w:val="004C0A27"/>
    <w:rsid w:val="004C0FEF"/>
    <w:rsid w:val="004C3355"/>
    <w:rsid w:val="004C4A8B"/>
    <w:rsid w:val="004C728A"/>
    <w:rsid w:val="004C7640"/>
    <w:rsid w:val="004D04E2"/>
    <w:rsid w:val="004D0AFC"/>
    <w:rsid w:val="004D2564"/>
    <w:rsid w:val="004D4243"/>
    <w:rsid w:val="004D5D5C"/>
    <w:rsid w:val="004D752D"/>
    <w:rsid w:val="004D7763"/>
    <w:rsid w:val="004E0767"/>
    <w:rsid w:val="004E2711"/>
    <w:rsid w:val="004E27DE"/>
    <w:rsid w:val="004E2F10"/>
    <w:rsid w:val="004E3276"/>
    <w:rsid w:val="004E4F74"/>
    <w:rsid w:val="004E5959"/>
    <w:rsid w:val="004E61DD"/>
    <w:rsid w:val="004E704A"/>
    <w:rsid w:val="004F051F"/>
    <w:rsid w:val="004F2887"/>
    <w:rsid w:val="004F33AC"/>
    <w:rsid w:val="004F3D95"/>
    <w:rsid w:val="004F660E"/>
    <w:rsid w:val="004F7270"/>
    <w:rsid w:val="005003C5"/>
    <w:rsid w:val="005004A4"/>
    <w:rsid w:val="0050139F"/>
    <w:rsid w:val="00503C17"/>
    <w:rsid w:val="00503F1A"/>
    <w:rsid w:val="0050484D"/>
    <w:rsid w:val="005048DF"/>
    <w:rsid w:val="00505A48"/>
    <w:rsid w:val="0050712D"/>
    <w:rsid w:val="005071EB"/>
    <w:rsid w:val="00510692"/>
    <w:rsid w:val="00510F4D"/>
    <w:rsid w:val="00516722"/>
    <w:rsid w:val="00517624"/>
    <w:rsid w:val="00517713"/>
    <w:rsid w:val="00520565"/>
    <w:rsid w:val="00520EED"/>
    <w:rsid w:val="00521223"/>
    <w:rsid w:val="00523934"/>
    <w:rsid w:val="00523D3E"/>
    <w:rsid w:val="00524DF1"/>
    <w:rsid w:val="005252E6"/>
    <w:rsid w:val="00526DAF"/>
    <w:rsid w:val="0052716E"/>
    <w:rsid w:val="0053019A"/>
    <w:rsid w:val="00531317"/>
    <w:rsid w:val="00532527"/>
    <w:rsid w:val="00532B8C"/>
    <w:rsid w:val="00533CBA"/>
    <w:rsid w:val="00534533"/>
    <w:rsid w:val="005358BC"/>
    <w:rsid w:val="00536513"/>
    <w:rsid w:val="00536DB4"/>
    <w:rsid w:val="00537086"/>
    <w:rsid w:val="00541D24"/>
    <w:rsid w:val="00543159"/>
    <w:rsid w:val="0054377E"/>
    <w:rsid w:val="0054450F"/>
    <w:rsid w:val="00546CD3"/>
    <w:rsid w:val="005476A4"/>
    <w:rsid w:val="00550A45"/>
    <w:rsid w:val="0055140B"/>
    <w:rsid w:val="00552F4D"/>
    <w:rsid w:val="00552F9E"/>
    <w:rsid w:val="00553A3F"/>
    <w:rsid w:val="00554C4F"/>
    <w:rsid w:val="00556131"/>
    <w:rsid w:val="005569A7"/>
    <w:rsid w:val="00561199"/>
    <w:rsid w:val="00561D72"/>
    <w:rsid w:val="005629D5"/>
    <w:rsid w:val="00564F36"/>
    <w:rsid w:val="00566EEB"/>
    <w:rsid w:val="00567FAF"/>
    <w:rsid w:val="00570FA3"/>
    <w:rsid w:val="00571767"/>
    <w:rsid w:val="00575A45"/>
    <w:rsid w:val="00576FB4"/>
    <w:rsid w:val="0057783D"/>
    <w:rsid w:val="00577EF9"/>
    <w:rsid w:val="00581664"/>
    <w:rsid w:val="005821CF"/>
    <w:rsid w:val="00583918"/>
    <w:rsid w:val="00585238"/>
    <w:rsid w:val="005855FC"/>
    <w:rsid w:val="00585CC9"/>
    <w:rsid w:val="005862DC"/>
    <w:rsid w:val="00586EB9"/>
    <w:rsid w:val="005875C7"/>
    <w:rsid w:val="00590DDB"/>
    <w:rsid w:val="00590FEF"/>
    <w:rsid w:val="00591B7E"/>
    <w:rsid w:val="00592321"/>
    <w:rsid w:val="005933B2"/>
    <w:rsid w:val="00593B87"/>
    <w:rsid w:val="00594EA3"/>
    <w:rsid w:val="005964AB"/>
    <w:rsid w:val="00596504"/>
    <w:rsid w:val="005A2BEB"/>
    <w:rsid w:val="005A3485"/>
    <w:rsid w:val="005A56E7"/>
    <w:rsid w:val="005A5E0C"/>
    <w:rsid w:val="005A6739"/>
    <w:rsid w:val="005A7433"/>
    <w:rsid w:val="005A772C"/>
    <w:rsid w:val="005B0278"/>
    <w:rsid w:val="005B037E"/>
    <w:rsid w:val="005B0466"/>
    <w:rsid w:val="005B122D"/>
    <w:rsid w:val="005B1B86"/>
    <w:rsid w:val="005B25C3"/>
    <w:rsid w:val="005B2DD6"/>
    <w:rsid w:val="005B329E"/>
    <w:rsid w:val="005B41B7"/>
    <w:rsid w:val="005B44F5"/>
    <w:rsid w:val="005B6D88"/>
    <w:rsid w:val="005B718F"/>
    <w:rsid w:val="005B798C"/>
    <w:rsid w:val="005C099A"/>
    <w:rsid w:val="005C116F"/>
    <w:rsid w:val="005C13B5"/>
    <w:rsid w:val="005C26D1"/>
    <w:rsid w:val="005C3173"/>
    <w:rsid w:val="005C31A5"/>
    <w:rsid w:val="005C3248"/>
    <w:rsid w:val="005C350E"/>
    <w:rsid w:val="005C3F17"/>
    <w:rsid w:val="005C4740"/>
    <w:rsid w:val="005C5B93"/>
    <w:rsid w:val="005C5CC3"/>
    <w:rsid w:val="005D0BEA"/>
    <w:rsid w:val="005D29AC"/>
    <w:rsid w:val="005D4916"/>
    <w:rsid w:val="005D4F88"/>
    <w:rsid w:val="005D557A"/>
    <w:rsid w:val="005D7D1F"/>
    <w:rsid w:val="005E0641"/>
    <w:rsid w:val="005E0D2B"/>
    <w:rsid w:val="005E10C9"/>
    <w:rsid w:val="005E44A2"/>
    <w:rsid w:val="005E4D37"/>
    <w:rsid w:val="005E61DD"/>
    <w:rsid w:val="005E6321"/>
    <w:rsid w:val="005F151C"/>
    <w:rsid w:val="005F290A"/>
    <w:rsid w:val="005F2E29"/>
    <w:rsid w:val="005F4465"/>
    <w:rsid w:val="005F5413"/>
    <w:rsid w:val="005F7530"/>
    <w:rsid w:val="00600B9C"/>
    <w:rsid w:val="00601BB3"/>
    <w:rsid w:val="00601C21"/>
    <w:rsid w:val="006023DF"/>
    <w:rsid w:val="00604723"/>
    <w:rsid w:val="0060693B"/>
    <w:rsid w:val="00607D9D"/>
    <w:rsid w:val="00610750"/>
    <w:rsid w:val="00610811"/>
    <w:rsid w:val="006117C6"/>
    <w:rsid w:val="00611CD2"/>
    <w:rsid w:val="0061226A"/>
    <w:rsid w:val="00613295"/>
    <w:rsid w:val="00615AB9"/>
    <w:rsid w:val="00617602"/>
    <w:rsid w:val="00617E9E"/>
    <w:rsid w:val="00620ECD"/>
    <w:rsid w:val="00621EBB"/>
    <w:rsid w:val="00621FDD"/>
    <w:rsid w:val="00622B63"/>
    <w:rsid w:val="00624A81"/>
    <w:rsid w:val="00625EE2"/>
    <w:rsid w:val="0062697F"/>
    <w:rsid w:val="00627881"/>
    <w:rsid w:val="00631211"/>
    <w:rsid w:val="00631756"/>
    <w:rsid w:val="006317F9"/>
    <w:rsid w:val="00636181"/>
    <w:rsid w:val="00636E7C"/>
    <w:rsid w:val="00637E99"/>
    <w:rsid w:val="00640254"/>
    <w:rsid w:val="00641F12"/>
    <w:rsid w:val="006422AD"/>
    <w:rsid w:val="006428F2"/>
    <w:rsid w:val="00642FAF"/>
    <w:rsid w:val="006430DA"/>
    <w:rsid w:val="0064322F"/>
    <w:rsid w:val="00644364"/>
    <w:rsid w:val="006449A5"/>
    <w:rsid w:val="00644B74"/>
    <w:rsid w:val="00644F99"/>
    <w:rsid w:val="006459EE"/>
    <w:rsid w:val="0064605C"/>
    <w:rsid w:val="006463EE"/>
    <w:rsid w:val="0065209E"/>
    <w:rsid w:val="006521B2"/>
    <w:rsid w:val="00652610"/>
    <w:rsid w:val="00653BD2"/>
    <w:rsid w:val="00654A16"/>
    <w:rsid w:val="00657DE0"/>
    <w:rsid w:val="006608C4"/>
    <w:rsid w:val="006612C2"/>
    <w:rsid w:val="00661FB8"/>
    <w:rsid w:val="00665B75"/>
    <w:rsid w:val="00667F38"/>
    <w:rsid w:val="0067199F"/>
    <w:rsid w:val="006747D8"/>
    <w:rsid w:val="00674AEF"/>
    <w:rsid w:val="00675DB5"/>
    <w:rsid w:val="006765F1"/>
    <w:rsid w:val="00676ED7"/>
    <w:rsid w:val="00677048"/>
    <w:rsid w:val="00680225"/>
    <w:rsid w:val="0068384F"/>
    <w:rsid w:val="00685313"/>
    <w:rsid w:val="00685B9F"/>
    <w:rsid w:val="00687B3A"/>
    <w:rsid w:val="00690B44"/>
    <w:rsid w:val="006912F3"/>
    <w:rsid w:val="006923F9"/>
    <w:rsid w:val="00692D5E"/>
    <w:rsid w:val="00696114"/>
    <w:rsid w:val="00696E7A"/>
    <w:rsid w:val="006A0BBE"/>
    <w:rsid w:val="006A0D14"/>
    <w:rsid w:val="006A47E5"/>
    <w:rsid w:val="006A6D2C"/>
    <w:rsid w:val="006A6E9B"/>
    <w:rsid w:val="006A747C"/>
    <w:rsid w:val="006B1038"/>
    <w:rsid w:val="006B4265"/>
    <w:rsid w:val="006B4C94"/>
    <w:rsid w:val="006B4D48"/>
    <w:rsid w:val="006B502E"/>
    <w:rsid w:val="006B5AA9"/>
    <w:rsid w:val="006B73C2"/>
    <w:rsid w:val="006B7C2A"/>
    <w:rsid w:val="006C03CD"/>
    <w:rsid w:val="006C0CBD"/>
    <w:rsid w:val="006C23DA"/>
    <w:rsid w:val="006C250D"/>
    <w:rsid w:val="006C35AB"/>
    <w:rsid w:val="006C6835"/>
    <w:rsid w:val="006C7898"/>
    <w:rsid w:val="006C7CA9"/>
    <w:rsid w:val="006D2DD5"/>
    <w:rsid w:val="006D4843"/>
    <w:rsid w:val="006D5456"/>
    <w:rsid w:val="006D6130"/>
    <w:rsid w:val="006D64A3"/>
    <w:rsid w:val="006D6DDA"/>
    <w:rsid w:val="006D7887"/>
    <w:rsid w:val="006E099C"/>
    <w:rsid w:val="006E3D45"/>
    <w:rsid w:val="006E64F1"/>
    <w:rsid w:val="006E6FEF"/>
    <w:rsid w:val="006E7629"/>
    <w:rsid w:val="006F0619"/>
    <w:rsid w:val="006F0C99"/>
    <w:rsid w:val="006F1412"/>
    <w:rsid w:val="006F1889"/>
    <w:rsid w:val="006F7874"/>
    <w:rsid w:val="006F7BD3"/>
    <w:rsid w:val="007007ED"/>
    <w:rsid w:val="007026A2"/>
    <w:rsid w:val="0070311B"/>
    <w:rsid w:val="007034D9"/>
    <w:rsid w:val="00705369"/>
    <w:rsid w:val="00705932"/>
    <w:rsid w:val="00710D1B"/>
    <w:rsid w:val="007112FB"/>
    <w:rsid w:val="00712149"/>
    <w:rsid w:val="007149F9"/>
    <w:rsid w:val="0071531C"/>
    <w:rsid w:val="0071541F"/>
    <w:rsid w:val="00715518"/>
    <w:rsid w:val="007167D5"/>
    <w:rsid w:val="00720C37"/>
    <w:rsid w:val="00720DD1"/>
    <w:rsid w:val="0072526E"/>
    <w:rsid w:val="007265FE"/>
    <w:rsid w:val="007266CB"/>
    <w:rsid w:val="00730009"/>
    <w:rsid w:val="00731AF6"/>
    <w:rsid w:val="00732A6C"/>
    <w:rsid w:val="00733A30"/>
    <w:rsid w:val="007357C3"/>
    <w:rsid w:val="00736271"/>
    <w:rsid w:val="007372E2"/>
    <w:rsid w:val="007379E5"/>
    <w:rsid w:val="00743072"/>
    <w:rsid w:val="00743184"/>
    <w:rsid w:val="00744EBA"/>
    <w:rsid w:val="00745AEE"/>
    <w:rsid w:val="00747028"/>
    <w:rsid w:val="007479EA"/>
    <w:rsid w:val="00747A98"/>
    <w:rsid w:val="00750F10"/>
    <w:rsid w:val="00751F95"/>
    <w:rsid w:val="0075242F"/>
    <w:rsid w:val="00752942"/>
    <w:rsid w:val="00753B07"/>
    <w:rsid w:val="00755557"/>
    <w:rsid w:val="00756ADC"/>
    <w:rsid w:val="00761CEF"/>
    <w:rsid w:val="00763064"/>
    <w:rsid w:val="0076471A"/>
    <w:rsid w:val="00765410"/>
    <w:rsid w:val="007654FE"/>
    <w:rsid w:val="00765BA5"/>
    <w:rsid w:val="007664D4"/>
    <w:rsid w:val="00767B09"/>
    <w:rsid w:val="00770D7E"/>
    <w:rsid w:val="007734F6"/>
    <w:rsid w:val="00773732"/>
    <w:rsid w:val="007742CA"/>
    <w:rsid w:val="00774675"/>
    <w:rsid w:val="0077509B"/>
    <w:rsid w:val="00776272"/>
    <w:rsid w:val="00776A65"/>
    <w:rsid w:val="00776DB1"/>
    <w:rsid w:val="0077768B"/>
    <w:rsid w:val="0077794B"/>
    <w:rsid w:val="00777FA2"/>
    <w:rsid w:val="00784943"/>
    <w:rsid w:val="00785A03"/>
    <w:rsid w:val="00785DDE"/>
    <w:rsid w:val="00787B74"/>
    <w:rsid w:val="00792DB8"/>
    <w:rsid w:val="007934A5"/>
    <w:rsid w:val="00793BB0"/>
    <w:rsid w:val="00794ABD"/>
    <w:rsid w:val="0079580F"/>
    <w:rsid w:val="00795C00"/>
    <w:rsid w:val="0079605E"/>
    <w:rsid w:val="00797B5C"/>
    <w:rsid w:val="007A15DE"/>
    <w:rsid w:val="007A4C7D"/>
    <w:rsid w:val="007A5D30"/>
    <w:rsid w:val="007A633C"/>
    <w:rsid w:val="007A67D8"/>
    <w:rsid w:val="007A7077"/>
    <w:rsid w:val="007A781B"/>
    <w:rsid w:val="007A7FAF"/>
    <w:rsid w:val="007B12EB"/>
    <w:rsid w:val="007B1D3C"/>
    <w:rsid w:val="007B2EB6"/>
    <w:rsid w:val="007B3244"/>
    <w:rsid w:val="007B3BF6"/>
    <w:rsid w:val="007B4198"/>
    <w:rsid w:val="007B4578"/>
    <w:rsid w:val="007B4E3F"/>
    <w:rsid w:val="007B53BE"/>
    <w:rsid w:val="007C0A4D"/>
    <w:rsid w:val="007C2360"/>
    <w:rsid w:val="007C5A7B"/>
    <w:rsid w:val="007C7F78"/>
    <w:rsid w:val="007D01E0"/>
    <w:rsid w:val="007D06F0"/>
    <w:rsid w:val="007D0E22"/>
    <w:rsid w:val="007D35D0"/>
    <w:rsid w:val="007D3C25"/>
    <w:rsid w:val="007D45E3"/>
    <w:rsid w:val="007D4CEC"/>
    <w:rsid w:val="007D4FF4"/>
    <w:rsid w:val="007D5320"/>
    <w:rsid w:val="007D714B"/>
    <w:rsid w:val="007E065B"/>
    <w:rsid w:val="007E0A1D"/>
    <w:rsid w:val="007E28A9"/>
    <w:rsid w:val="007E2FDF"/>
    <w:rsid w:val="007E5EAC"/>
    <w:rsid w:val="007E713F"/>
    <w:rsid w:val="007E7819"/>
    <w:rsid w:val="007E799D"/>
    <w:rsid w:val="007F236E"/>
    <w:rsid w:val="007F2668"/>
    <w:rsid w:val="007F26E3"/>
    <w:rsid w:val="007F27C5"/>
    <w:rsid w:val="007F28F2"/>
    <w:rsid w:val="007F3331"/>
    <w:rsid w:val="007F35B2"/>
    <w:rsid w:val="007F535C"/>
    <w:rsid w:val="007F54EB"/>
    <w:rsid w:val="007F5787"/>
    <w:rsid w:val="007F67AF"/>
    <w:rsid w:val="007F735C"/>
    <w:rsid w:val="00800972"/>
    <w:rsid w:val="008026DE"/>
    <w:rsid w:val="00802880"/>
    <w:rsid w:val="00803BAC"/>
    <w:rsid w:val="00803BD4"/>
    <w:rsid w:val="00804475"/>
    <w:rsid w:val="0081159E"/>
    <w:rsid w:val="00811633"/>
    <w:rsid w:val="00811E18"/>
    <w:rsid w:val="00814C00"/>
    <w:rsid w:val="008163F0"/>
    <w:rsid w:val="00821CEF"/>
    <w:rsid w:val="00823AE9"/>
    <w:rsid w:val="00823BDC"/>
    <w:rsid w:val="008250D9"/>
    <w:rsid w:val="00832828"/>
    <w:rsid w:val="00833049"/>
    <w:rsid w:val="008334AF"/>
    <w:rsid w:val="00833697"/>
    <w:rsid w:val="0083645A"/>
    <w:rsid w:val="0083797D"/>
    <w:rsid w:val="00837AB9"/>
    <w:rsid w:val="00837BA2"/>
    <w:rsid w:val="00840B0F"/>
    <w:rsid w:val="00840D07"/>
    <w:rsid w:val="00840FD0"/>
    <w:rsid w:val="0084241C"/>
    <w:rsid w:val="008439D2"/>
    <w:rsid w:val="00844945"/>
    <w:rsid w:val="0084590A"/>
    <w:rsid w:val="00845C0D"/>
    <w:rsid w:val="00845F90"/>
    <w:rsid w:val="008529D3"/>
    <w:rsid w:val="00853794"/>
    <w:rsid w:val="00854840"/>
    <w:rsid w:val="00854B10"/>
    <w:rsid w:val="00854F23"/>
    <w:rsid w:val="0085555B"/>
    <w:rsid w:val="00855FDC"/>
    <w:rsid w:val="00856163"/>
    <w:rsid w:val="00857AC8"/>
    <w:rsid w:val="00860F8A"/>
    <w:rsid w:val="0086166B"/>
    <w:rsid w:val="0086299C"/>
    <w:rsid w:val="00863578"/>
    <w:rsid w:val="00863FC4"/>
    <w:rsid w:val="00864065"/>
    <w:rsid w:val="00864B17"/>
    <w:rsid w:val="008671A4"/>
    <w:rsid w:val="00867B8E"/>
    <w:rsid w:val="008711AE"/>
    <w:rsid w:val="00872FC8"/>
    <w:rsid w:val="00873FDA"/>
    <w:rsid w:val="00874817"/>
    <w:rsid w:val="00874E9B"/>
    <w:rsid w:val="00875034"/>
    <w:rsid w:val="00875992"/>
    <w:rsid w:val="00877397"/>
    <w:rsid w:val="00877D80"/>
    <w:rsid w:val="008801D3"/>
    <w:rsid w:val="00880325"/>
    <w:rsid w:val="008806F3"/>
    <w:rsid w:val="00881DBB"/>
    <w:rsid w:val="00882996"/>
    <w:rsid w:val="00883866"/>
    <w:rsid w:val="008845D0"/>
    <w:rsid w:val="00887B28"/>
    <w:rsid w:val="00890056"/>
    <w:rsid w:val="0089151A"/>
    <w:rsid w:val="008918D4"/>
    <w:rsid w:val="0089368F"/>
    <w:rsid w:val="00893B2C"/>
    <w:rsid w:val="00894A8E"/>
    <w:rsid w:val="00894F96"/>
    <w:rsid w:val="00895419"/>
    <w:rsid w:val="0089721E"/>
    <w:rsid w:val="00897881"/>
    <w:rsid w:val="008A0270"/>
    <w:rsid w:val="008A0BFE"/>
    <w:rsid w:val="008A166D"/>
    <w:rsid w:val="008A2753"/>
    <w:rsid w:val="008A370D"/>
    <w:rsid w:val="008A3933"/>
    <w:rsid w:val="008A3D37"/>
    <w:rsid w:val="008A59C3"/>
    <w:rsid w:val="008A7165"/>
    <w:rsid w:val="008A75AD"/>
    <w:rsid w:val="008B20A4"/>
    <w:rsid w:val="008B3713"/>
    <w:rsid w:val="008B3E22"/>
    <w:rsid w:val="008B43F2"/>
    <w:rsid w:val="008B54AB"/>
    <w:rsid w:val="008B54D9"/>
    <w:rsid w:val="008B5F35"/>
    <w:rsid w:val="008B61EA"/>
    <w:rsid w:val="008B63AA"/>
    <w:rsid w:val="008B6CFF"/>
    <w:rsid w:val="008B732D"/>
    <w:rsid w:val="008C26C3"/>
    <w:rsid w:val="008C28A0"/>
    <w:rsid w:val="008C2C7C"/>
    <w:rsid w:val="008C3502"/>
    <w:rsid w:val="008C3D02"/>
    <w:rsid w:val="008C4ADD"/>
    <w:rsid w:val="008C4D9E"/>
    <w:rsid w:val="008C5D48"/>
    <w:rsid w:val="008C696A"/>
    <w:rsid w:val="008C706F"/>
    <w:rsid w:val="008D06CB"/>
    <w:rsid w:val="008D20FD"/>
    <w:rsid w:val="008D279B"/>
    <w:rsid w:val="008D2AFE"/>
    <w:rsid w:val="008D2B46"/>
    <w:rsid w:val="008D3554"/>
    <w:rsid w:val="008D39F2"/>
    <w:rsid w:val="008D5372"/>
    <w:rsid w:val="008D678E"/>
    <w:rsid w:val="008E05B7"/>
    <w:rsid w:val="008E33DA"/>
    <w:rsid w:val="008E3A88"/>
    <w:rsid w:val="008E4743"/>
    <w:rsid w:val="008E6B36"/>
    <w:rsid w:val="008E7478"/>
    <w:rsid w:val="008E7DF8"/>
    <w:rsid w:val="008F04EE"/>
    <w:rsid w:val="008F1799"/>
    <w:rsid w:val="008F238A"/>
    <w:rsid w:val="008F2A23"/>
    <w:rsid w:val="008F3023"/>
    <w:rsid w:val="008F3284"/>
    <w:rsid w:val="008F36FB"/>
    <w:rsid w:val="008F53A5"/>
    <w:rsid w:val="008F54C0"/>
    <w:rsid w:val="008F7A7B"/>
    <w:rsid w:val="009006A0"/>
    <w:rsid w:val="00900E22"/>
    <w:rsid w:val="009023DF"/>
    <w:rsid w:val="0090293E"/>
    <w:rsid w:val="00902A3F"/>
    <w:rsid w:val="00903673"/>
    <w:rsid w:val="009050F2"/>
    <w:rsid w:val="0091016B"/>
    <w:rsid w:val="009103A6"/>
    <w:rsid w:val="00910408"/>
    <w:rsid w:val="00910B26"/>
    <w:rsid w:val="00912004"/>
    <w:rsid w:val="00915EEC"/>
    <w:rsid w:val="009238B9"/>
    <w:rsid w:val="0092455C"/>
    <w:rsid w:val="009263E0"/>
    <w:rsid w:val="00926C6F"/>
    <w:rsid w:val="00926D9C"/>
    <w:rsid w:val="009274B4"/>
    <w:rsid w:val="009332BF"/>
    <w:rsid w:val="00934743"/>
    <w:rsid w:val="00934EA2"/>
    <w:rsid w:val="00935123"/>
    <w:rsid w:val="009358F1"/>
    <w:rsid w:val="009373C9"/>
    <w:rsid w:val="009403AF"/>
    <w:rsid w:val="00941B98"/>
    <w:rsid w:val="00941F43"/>
    <w:rsid w:val="00942B4C"/>
    <w:rsid w:val="00942FC1"/>
    <w:rsid w:val="00943485"/>
    <w:rsid w:val="00943545"/>
    <w:rsid w:val="00944A5C"/>
    <w:rsid w:val="00944A99"/>
    <w:rsid w:val="009508F8"/>
    <w:rsid w:val="00951816"/>
    <w:rsid w:val="00952A66"/>
    <w:rsid w:val="00953C32"/>
    <w:rsid w:val="0095479A"/>
    <w:rsid w:val="00955EDC"/>
    <w:rsid w:val="00956978"/>
    <w:rsid w:val="00962201"/>
    <w:rsid w:val="00963A7C"/>
    <w:rsid w:val="00964C68"/>
    <w:rsid w:val="00967075"/>
    <w:rsid w:val="00967081"/>
    <w:rsid w:val="00971200"/>
    <w:rsid w:val="009716D1"/>
    <w:rsid w:val="009737F9"/>
    <w:rsid w:val="0097485E"/>
    <w:rsid w:val="00974E60"/>
    <w:rsid w:val="00975082"/>
    <w:rsid w:val="0097700A"/>
    <w:rsid w:val="00980AD1"/>
    <w:rsid w:val="00980AD6"/>
    <w:rsid w:val="00980F9A"/>
    <w:rsid w:val="009817D1"/>
    <w:rsid w:val="009828A4"/>
    <w:rsid w:val="00985001"/>
    <w:rsid w:val="00986EBB"/>
    <w:rsid w:val="009907F3"/>
    <w:rsid w:val="00990A55"/>
    <w:rsid w:val="00992F9A"/>
    <w:rsid w:val="009944BE"/>
    <w:rsid w:val="00994C0B"/>
    <w:rsid w:val="00996913"/>
    <w:rsid w:val="00996ACA"/>
    <w:rsid w:val="00997678"/>
    <w:rsid w:val="009A04EC"/>
    <w:rsid w:val="009A08DF"/>
    <w:rsid w:val="009A234F"/>
    <w:rsid w:val="009A291A"/>
    <w:rsid w:val="009A448B"/>
    <w:rsid w:val="009A496D"/>
    <w:rsid w:val="009A6711"/>
    <w:rsid w:val="009A74E4"/>
    <w:rsid w:val="009B0708"/>
    <w:rsid w:val="009B0EE6"/>
    <w:rsid w:val="009B28F2"/>
    <w:rsid w:val="009B5126"/>
    <w:rsid w:val="009B71C3"/>
    <w:rsid w:val="009B75FF"/>
    <w:rsid w:val="009C1200"/>
    <w:rsid w:val="009C1CE5"/>
    <w:rsid w:val="009C39A2"/>
    <w:rsid w:val="009C4D44"/>
    <w:rsid w:val="009C4D88"/>
    <w:rsid w:val="009C4EF1"/>
    <w:rsid w:val="009C56E5"/>
    <w:rsid w:val="009C60B3"/>
    <w:rsid w:val="009C699D"/>
    <w:rsid w:val="009C6F7B"/>
    <w:rsid w:val="009C7144"/>
    <w:rsid w:val="009D3343"/>
    <w:rsid w:val="009D3429"/>
    <w:rsid w:val="009E1438"/>
    <w:rsid w:val="009E3E98"/>
    <w:rsid w:val="009E3F7C"/>
    <w:rsid w:val="009E55AA"/>
    <w:rsid w:val="009E5FC8"/>
    <w:rsid w:val="009E687A"/>
    <w:rsid w:val="009E7257"/>
    <w:rsid w:val="009E7291"/>
    <w:rsid w:val="009E72E7"/>
    <w:rsid w:val="009E7B34"/>
    <w:rsid w:val="009F1542"/>
    <w:rsid w:val="009F32C8"/>
    <w:rsid w:val="009F459D"/>
    <w:rsid w:val="009F519E"/>
    <w:rsid w:val="009F5A46"/>
    <w:rsid w:val="00A00AC6"/>
    <w:rsid w:val="00A02E5B"/>
    <w:rsid w:val="00A03386"/>
    <w:rsid w:val="00A03878"/>
    <w:rsid w:val="00A03C5C"/>
    <w:rsid w:val="00A04417"/>
    <w:rsid w:val="00A04C6E"/>
    <w:rsid w:val="00A04FB0"/>
    <w:rsid w:val="00A05A79"/>
    <w:rsid w:val="00A05F85"/>
    <w:rsid w:val="00A065DF"/>
    <w:rsid w:val="00A066F1"/>
    <w:rsid w:val="00A107F4"/>
    <w:rsid w:val="00A1280A"/>
    <w:rsid w:val="00A1347B"/>
    <w:rsid w:val="00A141AF"/>
    <w:rsid w:val="00A14741"/>
    <w:rsid w:val="00A15958"/>
    <w:rsid w:val="00A16D29"/>
    <w:rsid w:val="00A1757C"/>
    <w:rsid w:val="00A1778F"/>
    <w:rsid w:val="00A200CF"/>
    <w:rsid w:val="00A20E5E"/>
    <w:rsid w:val="00A2101B"/>
    <w:rsid w:val="00A21E18"/>
    <w:rsid w:val="00A235FD"/>
    <w:rsid w:val="00A2413A"/>
    <w:rsid w:val="00A2618D"/>
    <w:rsid w:val="00A2673C"/>
    <w:rsid w:val="00A27146"/>
    <w:rsid w:val="00A278B7"/>
    <w:rsid w:val="00A30305"/>
    <w:rsid w:val="00A30856"/>
    <w:rsid w:val="00A31315"/>
    <w:rsid w:val="00A31D2D"/>
    <w:rsid w:val="00A32267"/>
    <w:rsid w:val="00A32291"/>
    <w:rsid w:val="00A33D45"/>
    <w:rsid w:val="00A34772"/>
    <w:rsid w:val="00A356C0"/>
    <w:rsid w:val="00A35D6D"/>
    <w:rsid w:val="00A35EF3"/>
    <w:rsid w:val="00A378E0"/>
    <w:rsid w:val="00A4049B"/>
    <w:rsid w:val="00A43642"/>
    <w:rsid w:val="00A44D51"/>
    <w:rsid w:val="00A4600A"/>
    <w:rsid w:val="00A47007"/>
    <w:rsid w:val="00A4735C"/>
    <w:rsid w:val="00A50CA8"/>
    <w:rsid w:val="00A524E6"/>
    <w:rsid w:val="00A538A6"/>
    <w:rsid w:val="00A53F56"/>
    <w:rsid w:val="00A5405B"/>
    <w:rsid w:val="00A54C25"/>
    <w:rsid w:val="00A55CBB"/>
    <w:rsid w:val="00A56100"/>
    <w:rsid w:val="00A56C71"/>
    <w:rsid w:val="00A612BB"/>
    <w:rsid w:val="00A62F73"/>
    <w:rsid w:val="00A6388D"/>
    <w:rsid w:val="00A64617"/>
    <w:rsid w:val="00A65953"/>
    <w:rsid w:val="00A659C5"/>
    <w:rsid w:val="00A66FB8"/>
    <w:rsid w:val="00A67FB8"/>
    <w:rsid w:val="00A7027A"/>
    <w:rsid w:val="00A70EB3"/>
    <w:rsid w:val="00A710E7"/>
    <w:rsid w:val="00A7140C"/>
    <w:rsid w:val="00A7372E"/>
    <w:rsid w:val="00A74272"/>
    <w:rsid w:val="00A74739"/>
    <w:rsid w:val="00A76238"/>
    <w:rsid w:val="00A76372"/>
    <w:rsid w:val="00A76BD5"/>
    <w:rsid w:val="00A76DD0"/>
    <w:rsid w:val="00A80D65"/>
    <w:rsid w:val="00A81102"/>
    <w:rsid w:val="00A812A6"/>
    <w:rsid w:val="00A81F59"/>
    <w:rsid w:val="00A83162"/>
    <w:rsid w:val="00A8341C"/>
    <w:rsid w:val="00A83AA7"/>
    <w:rsid w:val="00A83E00"/>
    <w:rsid w:val="00A853F5"/>
    <w:rsid w:val="00A870F8"/>
    <w:rsid w:val="00A87A07"/>
    <w:rsid w:val="00A905C6"/>
    <w:rsid w:val="00A90CF1"/>
    <w:rsid w:val="00A90D35"/>
    <w:rsid w:val="00A90E78"/>
    <w:rsid w:val="00A930EE"/>
    <w:rsid w:val="00A9323C"/>
    <w:rsid w:val="00A93364"/>
    <w:rsid w:val="00A93A45"/>
    <w:rsid w:val="00A93B85"/>
    <w:rsid w:val="00A965B6"/>
    <w:rsid w:val="00A96F7D"/>
    <w:rsid w:val="00AA0550"/>
    <w:rsid w:val="00AA05FD"/>
    <w:rsid w:val="00AA0B18"/>
    <w:rsid w:val="00AA4774"/>
    <w:rsid w:val="00AA4C78"/>
    <w:rsid w:val="00AA666F"/>
    <w:rsid w:val="00AA75EB"/>
    <w:rsid w:val="00AA7A11"/>
    <w:rsid w:val="00AA7FE0"/>
    <w:rsid w:val="00AB15BE"/>
    <w:rsid w:val="00AB3842"/>
    <w:rsid w:val="00AB4006"/>
    <w:rsid w:val="00AB4927"/>
    <w:rsid w:val="00AB4EF9"/>
    <w:rsid w:val="00AB4F6D"/>
    <w:rsid w:val="00AB73BF"/>
    <w:rsid w:val="00AB7D34"/>
    <w:rsid w:val="00AC007A"/>
    <w:rsid w:val="00AC034F"/>
    <w:rsid w:val="00AC04A8"/>
    <w:rsid w:val="00AC1A8E"/>
    <w:rsid w:val="00AC1AAB"/>
    <w:rsid w:val="00AC2950"/>
    <w:rsid w:val="00AC30E0"/>
    <w:rsid w:val="00AC4C17"/>
    <w:rsid w:val="00AC4C6B"/>
    <w:rsid w:val="00AC4DB5"/>
    <w:rsid w:val="00AC62B6"/>
    <w:rsid w:val="00AC6714"/>
    <w:rsid w:val="00AC7E9A"/>
    <w:rsid w:val="00AD0AEB"/>
    <w:rsid w:val="00AD135B"/>
    <w:rsid w:val="00AD2D22"/>
    <w:rsid w:val="00AD4C39"/>
    <w:rsid w:val="00AD4C7B"/>
    <w:rsid w:val="00AD7775"/>
    <w:rsid w:val="00AE0D58"/>
    <w:rsid w:val="00AE1B2E"/>
    <w:rsid w:val="00AE53E2"/>
    <w:rsid w:val="00AE6F34"/>
    <w:rsid w:val="00AF17A2"/>
    <w:rsid w:val="00AF19B8"/>
    <w:rsid w:val="00AF2081"/>
    <w:rsid w:val="00AF2664"/>
    <w:rsid w:val="00AF2FE4"/>
    <w:rsid w:val="00AF4BE8"/>
    <w:rsid w:val="00AF57EF"/>
    <w:rsid w:val="00AF6C5C"/>
    <w:rsid w:val="00B000F7"/>
    <w:rsid w:val="00B004E5"/>
    <w:rsid w:val="00B00FC7"/>
    <w:rsid w:val="00B0140A"/>
    <w:rsid w:val="00B053F3"/>
    <w:rsid w:val="00B10240"/>
    <w:rsid w:val="00B10A09"/>
    <w:rsid w:val="00B11533"/>
    <w:rsid w:val="00B124E4"/>
    <w:rsid w:val="00B124F9"/>
    <w:rsid w:val="00B13FFC"/>
    <w:rsid w:val="00B15F9D"/>
    <w:rsid w:val="00B16267"/>
    <w:rsid w:val="00B1674D"/>
    <w:rsid w:val="00B17325"/>
    <w:rsid w:val="00B17BDC"/>
    <w:rsid w:val="00B20035"/>
    <w:rsid w:val="00B20480"/>
    <w:rsid w:val="00B20F6D"/>
    <w:rsid w:val="00B21BEA"/>
    <w:rsid w:val="00B2212C"/>
    <w:rsid w:val="00B22FF9"/>
    <w:rsid w:val="00B232A2"/>
    <w:rsid w:val="00B23AD6"/>
    <w:rsid w:val="00B247C3"/>
    <w:rsid w:val="00B27180"/>
    <w:rsid w:val="00B279B6"/>
    <w:rsid w:val="00B27EA8"/>
    <w:rsid w:val="00B3083D"/>
    <w:rsid w:val="00B30ECC"/>
    <w:rsid w:val="00B30ECE"/>
    <w:rsid w:val="00B31509"/>
    <w:rsid w:val="00B35A1C"/>
    <w:rsid w:val="00B35BC5"/>
    <w:rsid w:val="00B36A3C"/>
    <w:rsid w:val="00B37A8C"/>
    <w:rsid w:val="00B4012B"/>
    <w:rsid w:val="00B41367"/>
    <w:rsid w:val="00B41C9E"/>
    <w:rsid w:val="00B423AE"/>
    <w:rsid w:val="00B43D73"/>
    <w:rsid w:val="00B44083"/>
    <w:rsid w:val="00B441B1"/>
    <w:rsid w:val="00B442A7"/>
    <w:rsid w:val="00B45C98"/>
    <w:rsid w:val="00B50520"/>
    <w:rsid w:val="00B50CCF"/>
    <w:rsid w:val="00B547D1"/>
    <w:rsid w:val="00B5544A"/>
    <w:rsid w:val="00B6032D"/>
    <w:rsid w:val="00B639E9"/>
    <w:rsid w:val="00B6598C"/>
    <w:rsid w:val="00B66F17"/>
    <w:rsid w:val="00B67B44"/>
    <w:rsid w:val="00B7140F"/>
    <w:rsid w:val="00B71863"/>
    <w:rsid w:val="00B71B7F"/>
    <w:rsid w:val="00B71DAC"/>
    <w:rsid w:val="00B7233E"/>
    <w:rsid w:val="00B7345F"/>
    <w:rsid w:val="00B76EA0"/>
    <w:rsid w:val="00B771A5"/>
    <w:rsid w:val="00B800BB"/>
    <w:rsid w:val="00B800E8"/>
    <w:rsid w:val="00B817CD"/>
    <w:rsid w:val="00B81D00"/>
    <w:rsid w:val="00B825BC"/>
    <w:rsid w:val="00B830CC"/>
    <w:rsid w:val="00B850F8"/>
    <w:rsid w:val="00B854B2"/>
    <w:rsid w:val="00B86916"/>
    <w:rsid w:val="00B87DA1"/>
    <w:rsid w:val="00B9105F"/>
    <w:rsid w:val="00B911B2"/>
    <w:rsid w:val="00B9131B"/>
    <w:rsid w:val="00B917E9"/>
    <w:rsid w:val="00B92195"/>
    <w:rsid w:val="00B922FA"/>
    <w:rsid w:val="00B92520"/>
    <w:rsid w:val="00B94ED9"/>
    <w:rsid w:val="00B951D0"/>
    <w:rsid w:val="00B95DA2"/>
    <w:rsid w:val="00B96944"/>
    <w:rsid w:val="00B97BE8"/>
    <w:rsid w:val="00B97C6E"/>
    <w:rsid w:val="00BA1C4F"/>
    <w:rsid w:val="00BA1DB3"/>
    <w:rsid w:val="00BA231A"/>
    <w:rsid w:val="00BA2D00"/>
    <w:rsid w:val="00BA2FE8"/>
    <w:rsid w:val="00BA46DD"/>
    <w:rsid w:val="00BA650B"/>
    <w:rsid w:val="00BB0703"/>
    <w:rsid w:val="00BB0CD0"/>
    <w:rsid w:val="00BB0DE8"/>
    <w:rsid w:val="00BB1F20"/>
    <w:rsid w:val="00BB1F53"/>
    <w:rsid w:val="00BB29C8"/>
    <w:rsid w:val="00BB3A95"/>
    <w:rsid w:val="00BB42AD"/>
    <w:rsid w:val="00BB4491"/>
    <w:rsid w:val="00BB5234"/>
    <w:rsid w:val="00BB53C6"/>
    <w:rsid w:val="00BB66DD"/>
    <w:rsid w:val="00BB6ADE"/>
    <w:rsid w:val="00BB6DD0"/>
    <w:rsid w:val="00BC00FB"/>
    <w:rsid w:val="00BC0382"/>
    <w:rsid w:val="00BC1DBF"/>
    <w:rsid w:val="00BC31AC"/>
    <w:rsid w:val="00BC401E"/>
    <w:rsid w:val="00BC6488"/>
    <w:rsid w:val="00BC71BE"/>
    <w:rsid w:val="00BC7315"/>
    <w:rsid w:val="00BD11D6"/>
    <w:rsid w:val="00BD158B"/>
    <w:rsid w:val="00BD239D"/>
    <w:rsid w:val="00BD31E7"/>
    <w:rsid w:val="00BD49BF"/>
    <w:rsid w:val="00BD50BD"/>
    <w:rsid w:val="00BD618D"/>
    <w:rsid w:val="00BD62C6"/>
    <w:rsid w:val="00BE0641"/>
    <w:rsid w:val="00BE0D26"/>
    <w:rsid w:val="00BE34A3"/>
    <w:rsid w:val="00BE51CE"/>
    <w:rsid w:val="00BE61CA"/>
    <w:rsid w:val="00BE7042"/>
    <w:rsid w:val="00BE7870"/>
    <w:rsid w:val="00BF095D"/>
    <w:rsid w:val="00BF3618"/>
    <w:rsid w:val="00BF4F16"/>
    <w:rsid w:val="00BF65C9"/>
    <w:rsid w:val="00BF6E53"/>
    <w:rsid w:val="00C0018F"/>
    <w:rsid w:val="00C02828"/>
    <w:rsid w:val="00C03779"/>
    <w:rsid w:val="00C04123"/>
    <w:rsid w:val="00C04E48"/>
    <w:rsid w:val="00C05634"/>
    <w:rsid w:val="00C06829"/>
    <w:rsid w:val="00C07B4E"/>
    <w:rsid w:val="00C10097"/>
    <w:rsid w:val="00C10393"/>
    <w:rsid w:val="00C1244B"/>
    <w:rsid w:val="00C13C55"/>
    <w:rsid w:val="00C14872"/>
    <w:rsid w:val="00C14874"/>
    <w:rsid w:val="00C14BCA"/>
    <w:rsid w:val="00C166D0"/>
    <w:rsid w:val="00C16D39"/>
    <w:rsid w:val="00C20466"/>
    <w:rsid w:val="00C20A2D"/>
    <w:rsid w:val="00C214ED"/>
    <w:rsid w:val="00C227EF"/>
    <w:rsid w:val="00C234E6"/>
    <w:rsid w:val="00C246DC"/>
    <w:rsid w:val="00C24E20"/>
    <w:rsid w:val="00C25E64"/>
    <w:rsid w:val="00C25F9D"/>
    <w:rsid w:val="00C27C6A"/>
    <w:rsid w:val="00C3078A"/>
    <w:rsid w:val="00C324A8"/>
    <w:rsid w:val="00C34589"/>
    <w:rsid w:val="00C349B4"/>
    <w:rsid w:val="00C35C13"/>
    <w:rsid w:val="00C36662"/>
    <w:rsid w:val="00C37120"/>
    <w:rsid w:val="00C3772E"/>
    <w:rsid w:val="00C40981"/>
    <w:rsid w:val="00C40DF2"/>
    <w:rsid w:val="00C42C35"/>
    <w:rsid w:val="00C52A15"/>
    <w:rsid w:val="00C54517"/>
    <w:rsid w:val="00C55CE4"/>
    <w:rsid w:val="00C55D5B"/>
    <w:rsid w:val="00C55DBA"/>
    <w:rsid w:val="00C56D5D"/>
    <w:rsid w:val="00C56E3C"/>
    <w:rsid w:val="00C606BC"/>
    <w:rsid w:val="00C60AEF"/>
    <w:rsid w:val="00C6240E"/>
    <w:rsid w:val="00C631DB"/>
    <w:rsid w:val="00C634DC"/>
    <w:rsid w:val="00C6439C"/>
    <w:rsid w:val="00C64CD8"/>
    <w:rsid w:val="00C65E53"/>
    <w:rsid w:val="00C720B0"/>
    <w:rsid w:val="00C73347"/>
    <w:rsid w:val="00C75194"/>
    <w:rsid w:val="00C75A80"/>
    <w:rsid w:val="00C75E0E"/>
    <w:rsid w:val="00C75FF8"/>
    <w:rsid w:val="00C76A69"/>
    <w:rsid w:val="00C76A6C"/>
    <w:rsid w:val="00C77589"/>
    <w:rsid w:val="00C8033A"/>
    <w:rsid w:val="00C80652"/>
    <w:rsid w:val="00C80A64"/>
    <w:rsid w:val="00C8139C"/>
    <w:rsid w:val="00C81746"/>
    <w:rsid w:val="00C858CE"/>
    <w:rsid w:val="00C8594B"/>
    <w:rsid w:val="00C866B7"/>
    <w:rsid w:val="00C87447"/>
    <w:rsid w:val="00C9039B"/>
    <w:rsid w:val="00C90579"/>
    <w:rsid w:val="00C94524"/>
    <w:rsid w:val="00C953CB"/>
    <w:rsid w:val="00C976EE"/>
    <w:rsid w:val="00C97C68"/>
    <w:rsid w:val="00CA18A2"/>
    <w:rsid w:val="00CA1A47"/>
    <w:rsid w:val="00CA2929"/>
    <w:rsid w:val="00CA36C5"/>
    <w:rsid w:val="00CA48CF"/>
    <w:rsid w:val="00CA6187"/>
    <w:rsid w:val="00CB00EC"/>
    <w:rsid w:val="00CB0FF2"/>
    <w:rsid w:val="00CB137E"/>
    <w:rsid w:val="00CB1404"/>
    <w:rsid w:val="00CB1D84"/>
    <w:rsid w:val="00CB3537"/>
    <w:rsid w:val="00CB40E5"/>
    <w:rsid w:val="00CB615D"/>
    <w:rsid w:val="00CB6664"/>
    <w:rsid w:val="00CC247A"/>
    <w:rsid w:val="00CC358D"/>
    <w:rsid w:val="00CC3F0B"/>
    <w:rsid w:val="00CC41F6"/>
    <w:rsid w:val="00CC42FB"/>
    <w:rsid w:val="00CC4AC5"/>
    <w:rsid w:val="00CC6834"/>
    <w:rsid w:val="00CC74C9"/>
    <w:rsid w:val="00CC7B94"/>
    <w:rsid w:val="00CD0CBD"/>
    <w:rsid w:val="00CD16C9"/>
    <w:rsid w:val="00CD2733"/>
    <w:rsid w:val="00CD2A68"/>
    <w:rsid w:val="00CD2BC1"/>
    <w:rsid w:val="00CD3139"/>
    <w:rsid w:val="00CD4117"/>
    <w:rsid w:val="00CD7BC2"/>
    <w:rsid w:val="00CD7EC4"/>
    <w:rsid w:val="00CE4502"/>
    <w:rsid w:val="00CE45D6"/>
    <w:rsid w:val="00CE4CEE"/>
    <w:rsid w:val="00CE5ACA"/>
    <w:rsid w:val="00CE5E47"/>
    <w:rsid w:val="00CE69C8"/>
    <w:rsid w:val="00CE6A45"/>
    <w:rsid w:val="00CE6B12"/>
    <w:rsid w:val="00CE6C8F"/>
    <w:rsid w:val="00CE6F1F"/>
    <w:rsid w:val="00CE7A25"/>
    <w:rsid w:val="00CF020F"/>
    <w:rsid w:val="00CF2038"/>
    <w:rsid w:val="00CF22FC"/>
    <w:rsid w:val="00CF2374"/>
    <w:rsid w:val="00CF269A"/>
    <w:rsid w:val="00CF2A29"/>
    <w:rsid w:val="00CF2B5B"/>
    <w:rsid w:val="00CF33C0"/>
    <w:rsid w:val="00CF4A84"/>
    <w:rsid w:val="00CF5997"/>
    <w:rsid w:val="00D007A5"/>
    <w:rsid w:val="00D00E2A"/>
    <w:rsid w:val="00D05A44"/>
    <w:rsid w:val="00D06B61"/>
    <w:rsid w:val="00D06C90"/>
    <w:rsid w:val="00D0723D"/>
    <w:rsid w:val="00D10839"/>
    <w:rsid w:val="00D10D23"/>
    <w:rsid w:val="00D10DE1"/>
    <w:rsid w:val="00D11DC0"/>
    <w:rsid w:val="00D1266B"/>
    <w:rsid w:val="00D12A27"/>
    <w:rsid w:val="00D12ED0"/>
    <w:rsid w:val="00D14CE0"/>
    <w:rsid w:val="00D16AAB"/>
    <w:rsid w:val="00D217E0"/>
    <w:rsid w:val="00D21D87"/>
    <w:rsid w:val="00D22341"/>
    <w:rsid w:val="00D233CB"/>
    <w:rsid w:val="00D25FC3"/>
    <w:rsid w:val="00D26046"/>
    <w:rsid w:val="00D26DDA"/>
    <w:rsid w:val="00D27B31"/>
    <w:rsid w:val="00D27D0F"/>
    <w:rsid w:val="00D304B2"/>
    <w:rsid w:val="00D32BD7"/>
    <w:rsid w:val="00D3318C"/>
    <w:rsid w:val="00D33CD3"/>
    <w:rsid w:val="00D33DC1"/>
    <w:rsid w:val="00D342C4"/>
    <w:rsid w:val="00D35350"/>
    <w:rsid w:val="00D36333"/>
    <w:rsid w:val="00D40E92"/>
    <w:rsid w:val="00D42CDE"/>
    <w:rsid w:val="00D42FEE"/>
    <w:rsid w:val="00D44DE2"/>
    <w:rsid w:val="00D45A9C"/>
    <w:rsid w:val="00D45B0F"/>
    <w:rsid w:val="00D47013"/>
    <w:rsid w:val="00D52A10"/>
    <w:rsid w:val="00D53EAE"/>
    <w:rsid w:val="00D541E4"/>
    <w:rsid w:val="00D55B43"/>
    <w:rsid w:val="00D5651D"/>
    <w:rsid w:val="00D56836"/>
    <w:rsid w:val="00D60335"/>
    <w:rsid w:val="00D61378"/>
    <w:rsid w:val="00D62D8E"/>
    <w:rsid w:val="00D630E7"/>
    <w:rsid w:val="00D630FE"/>
    <w:rsid w:val="00D634E2"/>
    <w:rsid w:val="00D671CE"/>
    <w:rsid w:val="00D67A2E"/>
    <w:rsid w:val="00D71278"/>
    <w:rsid w:val="00D724BE"/>
    <w:rsid w:val="00D73CFE"/>
    <w:rsid w:val="00D73F34"/>
    <w:rsid w:val="00D741C8"/>
    <w:rsid w:val="00D74898"/>
    <w:rsid w:val="00D75941"/>
    <w:rsid w:val="00D75EB3"/>
    <w:rsid w:val="00D7609A"/>
    <w:rsid w:val="00D7786E"/>
    <w:rsid w:val="00D801ED"/>
    <w:rsid w:val="00D80938"/>
    <w:rsid w:val="00D817A7"/>
    <w:rsid w:val="00D83BF5"/>
    <w:rsid w:val="00D8609B"/>
    <w:rsid w:val="00D864B0"/>
    <w:rsid w:val="00D86F55"/>
    <w:rsid w:val="00D87035"/>
    <w:rsid w:val="00D87E9C"/>
    <w:rsid w:val="00D91F0E"/>
    <w:rsid w:val="00D91F53"/>
    <w:rsid w:val="00D925C2"/>
    <w:rsid w:val="00D936BC"/>
    <w:rsid w:val="00D93863"/>
    <w:rsid w:val="00D95534"/>
    <w:rsid w:val="00D9621A"/>
    <w:rsid w:val="00D96530"/>
    <w:rsid w:val="00D96B4B"/>
    <w:rsid w:val="00D9767E"/>
    <w:rsid w:val="00DA020F"/>
    <w:rsid w:val="00DA2345"/>
    <w:rsid w:val="00DA273A"/>
    <w:rsid w:val="00DA296D"/>
    <w:rsid w:val="00DA3AC1"/>
    <w:rsid w:val="00DA3AC4"/>
    <w:rsid w:val="00DA453A"/>
    <w:rsid w:val="00DA561A"/>
    <w:rsid w:val="00DA5678"/>
    <w:rsid w:val="00DA5C6F"/>
    <w:rsid w:val="00DA6B46"/>
    <w:rsid w:val="00DA7078"/>
    <w:rsid w:val="00DB1086"/>
    <w:rsid w:val="00DB2FB8"/>
    <w:rsid w:val="00DB4598"/>
    <w:rsid w:val="00DB4E0A"/>
    <w:rsid w:val="00DB71F7"/>
    <w:rsid w:val="00DB750F"/>
    <w:rsid w:val="00DC19DC"/>
    <w:rsid w:val="00DC2A65"/>
    <w:rsid w:val="00DC3758"/>
    <w:rsid w:val="00DC3FC1"/>
    <w:rsid w:val="00DC457B"/>
    <w:rsid w:val="00DC48B9"/>
    <w:rsid w:val="00DC574F"/>
    <w:rsid w:val="00DC6EEA"/>
    <w:rsid w:val="00DC7C93"/>
    <w:rsid w:val="00DD08B4"/>
    <w:rsid w:val="00DD0C6C"/>
    <w:rsid w:val="00DD10B7"/>
    <w:rsid w:val="00DD2268"/>
    <w:rsid w:val="00DD4070"/>
    <w:rsid w:val="00DD44AF"/>
    <w:rsid w:val="00DD55FE"/>
    <w:rsid w:val="00DD603D"/>
    <w:rsid w:val="00DD6283"/>
    <w:rsid w:val="00DD71EA"/>
    <w:rsid w:val="00DE2A39"/>
    <w:rsid w:val="00DE2AC3"/>
    <w:rsid w:val="00DE434C"/>
    <w:rsid w:val="00DE5692"/>
    <w:rsid w:val="00DE5E67"/>
    <w:rsid w:val="00DE6C1B"/>
    <w:rsid w:val="00DE7021"/>
    <w:rsid w:val="00DE75B4"/>
    <w:rsid w:val="00DE7766"/>
    <w:rsid w:val="00DE7918"/>
    <w:rsid w:val="00DE79F1"/>
    <w:rsid w:val="00DE7E0C"/>
    <w:rsid w:val="00DF02A0"/>
    <w:rsid w:val="00DF1BA6"/>
    <w:rsid w:val="00DF1E46"/>
    <w:rsid w:val="00DF21DF"/>
    <w:rsid w:val="00DF2D60"/>
    <w:rsid w:val="00DF393D"/>
    <w:rsid w:val="00DF503B"/>
    <w:rsid w:val="00DF6F8E"/>
    <w:rsid w:val="00E017A1"/>
    <w:rsid w:val="00E02014"/>
    <w:rsid w:val="00E03C94"/>
    <w:rsid w:val="00E03CF8"/>
    <w:rsid w:val="00E03E4E"/>
    <w:rsid w:val="00E05074"/>
    <w:rsid w:val="00E05ED3"/>
    <w:rsid w:val="00E06290"/>
    <w:rsid w:val="00E06AEA"/>
    <w:rsid w:val="00E07105"/>
    <w:rsid w:val="00E11115"/>
    <w:rsid w:val="00E117BE"/>
    <w:rsid w:val="00E12074"/>
    <w:rsid w:val="00E12368"/>
    <w:rsid w:val="00E1307C"/>
    <w:rsid w:val="00E15617"/>
    <w:rsid w:val="00E15E8F"/>
    <w:rsid w:val="00E17879"/>
    <w:rsid w:val="00E17BAD"/>
    <w:rsid w:val="00E21B22"/>
    <w:rsid w:val="00E21D2E"/>
    <w:rsid w:val="00E239BD"/>
    <w:rsid w:val="00E241C9"/>
    <w:rsid w:val="00E24817"/>
    <w:rsid w:val="00E249DE"/>
    <w:rsid w:val="00E26226"/>
    <w:rsid w:val="00E26EE1"/>
    <w:rsid w:val="00E27938"/>
    <w:rsid w:val="00E31B77"/>
    <w:rsid w:val="00E33ECD"/>
    <w:rsid w:val="00E344D5"/>
    <w:rsid w:val="00E3602F"/>
    <w:rsid w:val="00E36E67"/>
    <w:rsid w:val="00E378D8"/>
    <w:rsid w:val="00E4021C"/>
    <w:rsid w:val="00E40269"/>
    <w:rsid w:val="00E4059F"/>
    <w:rsid w:val="00E407FC"/>
    <w:rsid w:val="00E4165C"/>
    <w:rsid w:val="00E422AC"/>
    <w:rsid w:val="00E425D0"/>
    <w:rsid w:val="00E42B12"/>
    <w:rsid w:val="00E4328B"/>
    <w:rsid w:val="00E45D05"/>
    <w:rsid w:val="00E45FF5"/>
    <w:rsid w:val="00E467A6"/>
    <w:rsid w:val="00E47739"/>
    <w:rsid w:val="00E47CFE"/>
    <w:rsid w:val="00E50AF9"/>
    <w:rsid w:val="00E52521"/>
    <w:rsid w:val="00E528F8"/>
    <w:rsid w:val="00E529E4"/>
    <w:rsid w:val="00E5442B"/>
    <w:rsid w:val="00E55816"/>
    <w:rsid w:val="00E55AEF"/>
    <w:rsid w:val="00E55E9A"/>
    <w:rsid w:val="00E56178"/>
    <w:rsid w:val="00E56959"/>
    <w:rsid w:val="00E61442"/>
    <w:rsid w:val="00E6287E"/>
    <w:rsid w:val="00E636EA"/>
    <w:rsid w:val="00E64B4B"/>
    <w:rsid w:val="00E66A93"/>
    <w:rsid w:val="00E71B64"/>
    <w:rsid w:val="00E81961"/>
    <w:rsid w:val="00E82877"/>
    <w:rsid w:val="00E83BBB"/>
    <w:rsid w:val="00E84088"/>
    <w:rsid w:val="00E848C5"/>
    <w:rsid w:val="00E90489"/>
    <w:rsid w:val="00E90BE9"/>
    <w:rsid w:val="00E9225D"/>
    <w:rsid w:val="00E939C1"/>
    <w:rsid w:val="00E946B3"/>
    <w:rsid w:val="00E9527A"/>
    <w:rsid w:val="00E976C1"/>
    <w:rsid w:val="00EA025D"/>
    <w:rsid w:val="00EA07F0"/>
    <w:rsid w:val="00EA12E5"/>
    <w:rsid w:val="00EA2136"/>
    <w:rsid w:val="00EA36A2"/>
    <w:rsid w:val="00EA3D99"/>
    <w:rsid w:val="00EA5695"/>
    <w:rsid w:val="00EA58AF"/>
    <w:rsid w:val="00EA6016"/>
    <w:rsid w:val="00EA66A4"/>
    <w:rsid w:val="00EB00F7"/>
    <w:rsid w:val="00EB0E5E"/>
    <w:rsid w:val="00EB2238"/>
    <w:rsid w:val="00EB2B69"/>
    <w:rsid w:val="00EB2BF6"/>
    <w:rsid w:val="00EB4096"/>
    <w:rsid w:val="00EB4C45"/>
    <w:rsid w:val="00EB53BD"/>
    <w:rsid w:val="00EB5B73"/>
    <w:rsid w:val="00EB5E19"/>
    <w:rsid w:val="00EB7127"/>
    <w:rsid w:val="00EB718A"/>
    <w:rsid w:val="00EC00DF"/>
    <w:rsid w:val="00EC0FC2"/>
    <w:rsid w:val="00EC31E1"/>
    <w:rsid w:val="00EC3585"/>
    <w:rsid w:val="00EC3E32"/>
    <w:rsid w:val="00EC6B11"/>
    <w:rsid w:val="00EC6B65"/>
    <w:rsid w:val="00ED29AB"/>
    <w:rsid w:val="00ED335C"/>
    <w:rsid w:val="00ED44A8"/>
    <w:rsid w:val="00ED4E8E"/>
    <w:rsid w:val="00ED5AAF"/>
    <w:rsid w:val="00ED6C2C"/>
    <w:rsid w:val="00EE130E"/>
    <w:rsid w:val="00EE1DC8"/>
    <w:rsid w:val="00EE3198"/>
    <w:rsid w:val="00EE4646"/>
    <w:rsid w:val="00EE67EC"/>
    <w:rsid w:val="00EE733C"/>
    <w:rsid w:val="00EE7488"/>
    <w:rsid w:val="00EF0BA7"/>
    <w:rsid w:val="00EF258E"/>
    <w:rsid w:val="00EF3031"/>
    <w:rsid w:val="00EF33D5"/>
    <w:rsid w:val="00EF481F"/>
    <w:rsid w:val="00EF6EB6"/>
    <w:rsid w:val="00F000EA"/>
    <w:rsid w:val="00F01125"/>
    <w:rsid w:val="00F02766"/>
    <w:rsid w:val="00F03EB7"/>
    <w:rsid w:val="00F04067"/>
    <w:rsid w:val="00F0520E"/>
    <w:rsid w:val="00F05BD4"/>
    <w:rsid w:val="00F05EA0"/>
    <w:rsid w:val="00F07798"/>
    <w:rsid w:val="00F07F46"/>
    <w:rsid w:val="00F11A98"/>
    <w:rsid w:val="00F13242"/>
    <w:rsid w:val="00F1463E"/>
    <w:rsid w:val="00F15368"/>
    <w:rsid w:val="00F15E05"/>
    <w:rsid w:val="00F15E77"/>
    <w:rsid w:val="00F16F35"/>
    <w:rsid w:val="00F202F6"/>
    <w:rsid w:val="00F20BA6"/>
    <w:rsid w:val="00F20CA2"/>
    <w:rsid w:val="00F21A1D"/>
    <w:rsid w:val="00F21D10"/>
    <w:rsid w:val="00F25E6D"/>
    <w:rsid w:val="00F277F9"/>
    <w:rsid w:val="00F3249C"/>
    <w:rsid w:val="00F339E3"/>
    <w:rsid w:val="00F340C8"/>
    <w:rsid w:val="00F349CB"/>
    <w:rsid w:val="00F34B4D"/>
    <w:rsid w:val="00F354F7"/>
    <w:rsid w:val="00F357E0"/>
    <w:rsid w:val="00F37983"/>
    <w:rsid w:val="00F409C4"/>
    <w:rsid w:val="00F44E08"/>
    <w:rsid w:val="00F45551"/>
    <w:rsid w:val="00F45892"/>
    <w:rsid w:val="00F4678F"/>
    <w:rsid w:val="00F53615"/>
    <w:rsid w:val="00F536ED"/>
    <w:rsid w:val="00F56913"/>
    <w:rsid w:val="00F56CDC"/>
    <w:rsid w:val="00F579D6"/>
    <w:rsid w:val="00F605CD"/>
    <w:rsid w:val="00F61818"/>
    <w:rsid w:val="00F623D9"/>
    <w:rsid w:val="00F62472"/>
    <w:rsid w:val="00F64274"/>
    <w:rsid w:val="00F64593"/>
    <w:rsid w:val="00F64DBC"/>
    <w:rsid w:val="00F659A6"/>
    <w:rsid w:val="00F65C19"/>
    <w:rsid w:val="00F6660F"/>
    <w:rsid w:val="00F66B3A"/>
    <w:rsid w:val="00F67276"/>
    <w:rsid w:val="00F705AB"/>
    <w:rsid w:val="00F7164A"/>
    <w:rsid w:val="00F71AD1"/>
    <w:rsid w:val="00F7223A"/>
    <w:rsid w:val="00F7338B"/>
    <w:rsid w:val="00F73799"/>
    <w:rsid w:val="00F7440E"/>
    <w:rsid w:val="00F76603"/>
    <w:rsid w:val="00F772D4"/>
    <w:rsid w:val="00F8050E"/>
    <w:rsid w:val="00F808C6"/>
    <w:rsid w:val="00F80FF5"/>
    <w:rsid w:val="00F83918"/>
    <w:rsid w:val="00F83F60"/>
    <w:rsid w:val="00F8476E"/>
    <w:rsid w:val="00F848EE"/>
    <w:rsid w:val="00F84DF8"/>
    <w:rsid w:val="00F91898"/>
    <w:rsid w:val="00F937F2"/>
    <w:rsid w:val="00F93BE2"/>
    <w:rsid w:val="00F94FEF"/>
    <w:rsid w:val="00F971FB"/>
    <w:rsid w:val="00FA1D7B"/>
    <w:rsid w:val="00FA1ECE"/>
    <w:rsid w:val="00FA2757"/>
    <w:rsid w:val="00FA45A5"/>
    <w:rsid w:val="00FA4CD4"/>
    <w:rsid w:val="00FA5792"/>
    <w:rsid w:val="00FA579C"/>
    <w:rsid w:val="00FA60C4"/>
    <w:rsid w:val="00FA668B"/>
    <w:rsid w:val="00FA6EA1"/>
    <w:rsid w:val="00FA7F6F"/>
    <w:rsid w:val="00FB143F"/>
    <w:rsid w:val="00FB1CF2"/>
    <w:rsid w:val="00FB20E0"/>
    <w:rsid w:val="00FB34B9"/>
    <w:rsid w:val="00FB4883"/>
    <w:rsid w:val="00FB699D"/>
    <w:rsid w:val="00FB6BC3"/>
    <w:rsid w:val="00FC05C9"/>
    <w:rsid w:val="00FC0868"/>
    <w:rsid w:val="00FC0BEF"/>
    <w:rsid w:val="00FC24DA"/>
    <w:rsid w:val="00FC3625"/>
    <w:rsid w:val="00FC4118"/>
    <w:rsid w:val="00FC4678"/>
    <w:rsid w:val="00FC52A3"/>
    <w:rsid w:val="00FC5425"/>
    <w:rsid w:val="00FC5767"/>
    <w:rsid w:val="00FC6545"/>
    <w:rsid w:val="00FC6755"/>
    <w:rsid w:val="00FC7003"/>
    <w:rsid w:val="00FD0183"/>
    <w:rsid w:val="00FD037B"/>
    <w:rsid w:val="00FD0A61"/>
    <w:rsid w:val="00FD0F2A"/>
    <w:rsid w:val="00FD1814"/>
    <w:rsid w:val="00FD2546"/>
    <w:rsid w:val="00FD3A5B"/>
    <w:rsid w:val="00FD4558"/>
    <w:rsid w:val="00FD5582"/>
    <w:rsid w:val="00FD5F4E"/>
    <w:rsid w:val="00FD772E"/>
    <w:rsid w:val="00FE1E19"/>
    <w:rsid w:val="00FE2D4B"/>
    <w:rsid w:val="00FE3346"/>
    <w:rsid w:val="00FE3926"/>
    <w:rsid w:val="00FE399E"/>
    <w:rsid w:val="00FE43D6"/>
    <w:rsid w:val="00FE47A8"/>
    <w:rsid w:val="00FE48BE"/>
    <w:rsid w:val="00FE7205"/>
    <w:rsid w:val="00FE78C7"/>
    <w:rsid w:val="00FE7FA5"/>
    <w:rsid w:val="00FF21ED"/>
    <w:rsid w:val="00FF220A"/>
    <w:rsid w:val="00FF243E"/>
    <w:rsid w:val="00FF2A26"/>
    <w:rsid w:val="00FF2CE7"/>
    <w:rsid w:val="00FF3D55"/>
    <w:rsid w:val="00FF43AC"/>
    <w:rsid w:val="00FF505E"/>
    <w:rsid w:val="00FF5B5A"/>
    <w:rsid w:val="00FF64D7"/>
    <w:rsid w:val="00FF7981"/>
    <w:rsid w:val="00FF7C84"/>
    <w:rsid w:val="01A2B1B8"/>
    <w:rsid w:val="01D2998F"/>
    <w:rsid w:val="020562E6"/>
    <w:rsid w:val="0247C5E3"/>
    <w:rsid w:val="02B9EAD7"/>
    <w:rsid w:val="03524608"/>
    <w:rsid w:val="036D5F00"/>
    <w:rsid w:val="03869309"/>
    <w:rsid w:val="039CFA75"/>
    <w:rsid w:val="03F05C15"/>
    <w:rsid w:val="04481660"/>
    <w:rsid w:val="04EDED6D"/>
    <w:rsid w:val="05A93F21"/>
    <w:rsid w:val="0621699D"/>
    <w:rsid w:val="068B6AC3"/>
    <w:rsid w:val="0725E0F4"/>
    <w:rsid w:val="075BD0DE"/>
    <w:rsid w:val="078B890F"/>
    <w:rsid w:val="08250FCE"/>
    <w:rsid w:val="085515DF"/>
    <w:rsid w:val="086346E0"/>
    <w:rsid w:val="0901055A"/>
    <w:rsid w:val="090E4417"/>
    <w:rsid w:val="0A2CC8C2"/>
    <w:rsid w:val="0BAE1C68"/>
    <w:rsid w:val="0C6CD213"/>
    <w:rsid w:val="0CA1D3A2"/>
    <w:rsid w:val="0CCAC60D"/>
    <w:rsid w:val="0CFB091F"/>
    <w:rsid w:val="0DCEB973"/>
    <w:rsid w:val="0E2157CE"/>
    <w:rsid w:val="0F5828F3"/>
    <w:rsid w:val="0FFD0C4B"/>
    <w:rsid w:val="10690E73"/>
    <w:rsid w:val="12B0546A"/>
    <w:rsid w:val="12BBAAF9"/>
    <w:rsid w:val="136556F8"/>
    <w:rsid w:val="138BEF58"/>
    <w:rsid w:val="13CDD28A"/>
    <w:rsid w:val="13CF2A24"/>
    <w:rsid w:val="147F78CF"/>
    <w:rsid w:val="15002CEA"/>
    <w:rsid w:val="157BD14B"/>
    <w:rsid w:val="15D036E0"/>
    <w:rsid w:val="161F3CFB"/>
    <w:rsid w:val="16FCFBE2"/>
    <w:rsid w:val="17978648"/>
    <w:rsid w:val="17B13695"/>
    <w:rsid w:val="1803FB13"/>
    <w:rsid w:val="1828A9F7"/>
    <w:rsid w:val="183711BB"/>
    <w:rsid w:val="183B496F"/>
    <w:rsid w:val="18A659E0"/>
    <w:rsid w:val="19678B0E"/>
    <w:rsid w:val="19D88972"/>
    <w:rsid w:val="1A602B32"/>
    <w:rsid w:val="1B61CC03"/>
    <w:rsid w:val="1C5DCA9A"/>
    <w:rsid w:val="1CA3E3BA"/>
    <w:rsid w:val="1CFA9F67"/>
    <w:rsid w:val="1DD992BE"/>
    <w:rsid w:val="1E0F4684"/>
    <w:rsid w:val="1E4C3019"/>
    <w:rsid w:val="202FA4B4"/>
    <w:rsid w:val="20C41498"/>
    <w:rsid w:val="2106C2A6"/>
    <w:rsid w:val="213C4A6D"/>
    <w:rsid w:val="21BA619C"/>
    <w:rsid w:val="2281E01B"/>
    <w:rsid w:val="22B61F73"/>
    <w:rsid w:val="22F40908"/>
    <w:rsid w:val="2386F5B2"/>
    <w:rsid w:val="23A9ED4A"/>
    <w:rsid w:val="23AEF7F5"/>
    <w:rsid w:val="254D7CD5"/>
    <w:rsid w:val="266B05DF"/>
    <w:rsid w:val="267B0442"/>
    <w:rsid w:val="26D0413D"/>
    <w:rsid w:val="278E8178"/>
    <w:rsid w:val="2843EF27"/>
    <w:rsid w:val="2856E658"/>
    <w:rsid w:val="29620BC9"/>
    <w:rsid w:val="2A7917D0"/>
    <w:rsid w:val="2CE06B34"/>
    <w:rsid w:val="2E04F791"/>
    <w:rsid w:val="2ED47C41"/>
    <w:rsid w:val="2EF89635"/>
    <w:rsid w:val="2F51B40A"/>
    <w:rsid w:val="319C63A7"/>
    <w:rsid w:val="3334AA6C"/>
    <w:rsid w:val="33409047"/>
    <w:rsid w:val="33475294"/>
    <w:rsid w:val="33A4428D"/>
    <w:rsid w:val="34F23155"/>
    <w:rsid w:val="35CAB277"/>
    <w:rsid w:val="36671BFC"/>
    <w:rsid w:val="36F91F6D"/>
    <w:rsid w:val="370A4F0E"/>
    <w:rsid w:val="3710E00F"/>
    <w:rsid w:val="3740ABCB"/>
    <w:rsid w:val="3798450C"/>
    <w:rsid w:val="37B715DE"/>
    <w:rsid w:val="38804A12"/>
    <w:rsid w:val="389E4B63"/>
    <w:rsid w:val="38A3C19D"/>
    <w:rsid w:val="38E78406"/>
    <w:rsid w:val="38ECD361"/>
    <w:rsid w:val="395DD8C1"/>
    <w:rsid w:val="3969A6DB"/>
    <w:rsid w:val="39984433"/>
    <w:rsid w:val="39B6906E"/>
    <w:rsid w:val="39C05E33"/>
    <w:rsid w:val="39D83998"/>
    <w:rsid w:val="3B50519D"/>
    <w:rsid w:val="3BFDBF51"/>
    <w:rsid w:val="3C183808"/>
    <w:rsid w:val="3CF61F52"/>
    <w:rsid w:val="3D648C93"/>
    <w:rsid w:val="3E0B99E3"/>
    <w:rsid w:val="3E5864D0"/>
    <w:rsid w:val="3E5A4EFB"/>
    <w:rsid w:val="3ED6FDFD"/>
    <w:rsid w:val="40FF5E1C"/>
    <w:rsid w:val="412653A0"/>
    <w:rsid w:val="418AF797"/>
    <w:rsid w:val="419AA08A"/>
    <w:rsid w:val="41AEB52B"/>
    <w:rsid w:val="41E946F7"/>
    <w:rsid w:val="42199125"/>
    <w:rsid w:val="421CF200"/>
    <w:rsid w:val="44BDFA6D"/>
    <w:rsid w:val="4553BA83"/>
    <w:rsid w:val="46F2E226"/>
    <w:rsid w:val="471CBA92"/>
    <w:rsid w:val="485E6352"/>
    <w:rsid w:val="48E093DC"/>
    <w:rsid w:val="4929FA45"/>
    <w:rsid w:val="4960820B"/>
    <w:rsid w:val="4967932E"/>
    <w:rsid w:val="499CDA8C"/>
    <w:rsid w:val="49BD1ACA"/>
    <w:rsid w:val="49F4058F"/>
    <w:rsid w:val="4A1A0296"/>
    <w:rsid w:val="4A9F24B6"/>
    <w:rsid w:val="4B002A07"/>
    <w:rsid w:val="4B2ECA92"/>
    <w:rsid w:val="4B38E8DB"/>
    <w:rsid w:val="4BA1E021"/>
    <w:rsid w:val="4BD29E5F"/>
    <w:rsid w:val="4C142179"/>
    <w:rsid w:val="4C170008"/>
    <w:rsid w:val="4C185CFE"/>
    <w:rsid w:val="4C56103B"/>
    <w:rsid w:val="4C5DB07A"/>
    <w:rsid w:val="4CF73605"/>
    <w:rsid w:val="4D7ACAD9"/>
    <w:rsid w:val="4DAC9E78"/>
    <w:rsid w:val="4E9DA475"/>
    <w:rsid w:val="4ECC8D05"/>
    <w:rsid w:val="4EE728C1"/>
    <w:rsid w:val="504B23B7"/>
    <w:rsid w:val="50665199"/>
    <w:rsid w:val="50C8E465"/>
    <w:rsid w:val="515732A4"/>
    <w:rsid w:val="51CA57C1"/>
    <w:rsid w:val="51D79874"/>
    <w:rsid w:val="52372C77"/>
    <w:rsid w:val="524EE5C3"/>
    <w:rsid w:val="5332AFFD"/>
    <w:rsid w:val="536A0241"/>
    <w:rsid w:val="53A9ACEA"/>
    <w:rsid w:val="54581065"/>
    <w:rsid w:val="5585B2CB"/>
    <w:rsid w:val="55DA6EF3"/>
    <w:rsid w:val="56097EFD"/>
    <w:rsid w:val="56D86B76"/>
    <w:rsid w:val="57831F41"/>
    <w:rsid w:val="579EF371"/>
    <w:rsid w:val="5806F6C2"/>
    <w:rsid w:val="580D5134"/>
    <w:rsid w:val="586DEE7A"/>
    <w:rsid w:val="58A1C2A9"/>
    <w:rsid w:val="58B30B9A"/>
    <w:rsid w:val="590AF507"/>
    <w:rsid w:val="594A5973"/>
    <w:rsid w:val="59F7E292"/>
    <w:rsid w:val="5A6EDBD8"/>
    <w:rsid w:val="5C847A3D"/>
    <w:rsid w:val="5CA31935"/>
    <w:rsid w:val="5D0FE76E"/>
    <w:rsid w:val="5D4A514D"/>
    <w:rsid w:val="5DFA4699"/>
    <w:rsid w:val="5F5B18D0"/>
    <w:rsid w:val="6045B02F"/>
    <w:rsid w:val="606A7964"/>
    <w:rsid w:val="608DD1AC"/>
    <w:rsid w:val="618E618A"/>
    <w:rsid w:val="61A98BB9"/>
    <w:rsid w:val="61D3FEC6"/>
    <w:rsid w:val="621E8B87"/>
    <w:rsid w:val="625C985D"/>
    <w:rsid w:val="62B2D1D9"/>
    <w:rsid w:val="6337E9CE"/>
    <w:rsid w:val="63E22C99"/>
    <w:rsid w:val="6408CC29"/>
    <w:rsid w:val="64810A6B"/>
    <w:rsid w:val="650C2E4E"/>
    <w:rsid w:val="661C4F6E"/>
    <w:rsid w:val="673FF1D5"/>
    <w:rsid w:val="677D3D3D"/>
    <w:rsid w:val="68460019"/>
    <w:rsid w:val="69D0E1CD"/>
    <w:rsid w:val="6A0D48EB"/>
    <w:rsid w:val="6A1D7182"/>
    <w:rsid w:val="6A45E16A"/>
    <w:rsid w:val="6A4F1C43"/>
    <w:rsid w:val="6A671951"/>
    <w:rsid w:val="6A6745A9"/>
    <w:rsid w:val="6AEFFAF6"/>
    <w:rsid w:val="6B3304FF"/>
    <w:rsid w:val="6B4C7C55"/>
    <w:rsid w:val="6B59B80A"/>
    <w:rsid w:val="6BD2B049"/>
    <w:rsid w:val="6BF61101"/>
    <w:rsid w:val="6C9A8767"/>
    <w:rsid w:val="6D5E9906"/>
    <w:rsid w:val="6D6223B0"/>
    <w:rsid w:val="6DDB2647"/>
    <w:rsid w:val="6E9985A3"/>
    <w:rsid w:val="6F0DBFB6"/>
    <w:rsid w:val="6F51B810"/>
    <w:rsid w:val="705E2469"/>
    <w:rsid w:val="710E494C"/>
    <w:rsid w:val="714EFE76"/>
    <w:rsid w:val="719E9EF9"/>
    <w:rsid w:val="72EFF403"/>
    <w:rsid w:val="734B155D"/>
    <w:rsid w:val="73884AC6"/>
    <w:rsid w:val="73A99ABE"/>
    <w:rsid w:val="7439F35B"/>
    <w:rsid w:val="7441A621"/>
    <w:rsid w:val="74710039"/>
    <w:rsid w:val="749FE6F4"/>
    <w:rsid w:val="75882DF0"/>
    <w:rsid w:val="7596CD6A"/>
    <w:rsid w:val="75EA30E4"/>
    <w:rsid w:val="762AF615"/>
    <w:rsid w:val="76BEA924"/>
    <w:rsid w:val="76CF8F63"/>
    <w:rsid w:val="76FE6D39"/>
    <w:rsid w:val="77E8B7BA"/>
    <w:rsid w:val="784D52F4"/>
    <w:rsid w:val="78B611C9"/>
    <w:rsid w:val="78DADC02"/>
    <w:rsid w:val="79383A7A"/>
    <w:rsid w:val="79516C33"/>
    <w:rsid w:val="7956C21D"/>
    <w:rsid w:val="79A9E3CE"/>
    <w:rsid w:val="79B0E75E"/>
    <w:rsid w:val="7A8E254B"/>
    <w:rsid w:val="7AB836E9"/>
    <w:rsid w:val="7AC637FA"/>
    <w:rsid w:val="7AD7CDF0"/>
    <w:rsid w:val="7BA227C8"/>
    <w:rsid w:val="7BE1C749"/>
    <w:rsid w:val="7C270E91"/>
    <w:rsid w:val="7D016DE3"/>
    <w:rsid w:val="7D7D0C12"/>
    <w:rsid w:val="7DA6DE97"/>
    <w:rsid w:val="7DA98CC1"/>
    <w:rsid w:val="7EB1FFED"/>
    <w:rsid w:val="7EDBFF3A"/>
    <w:rsid w:val="7F3D8F98"/>
    <w:rsid w:val="7F9B4651"/>
    <w:rsid w:val="7FC0A99A"/>
    <w:rsid w:val="7FF8C0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024FD"/>
  <w15:docId w15:val="{82B952B8-4074-0744-8AC1-5A68AD11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Batang"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O5,Para_sk,Resume Title,- Bullets,Equipment,Numbered Indented Text,Figure_name,NUMBERED PARAGRAPH,List Paragraph 1,List Paragraph (numbered (a)),Use Case List Paragraph,References,lp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Style 58,超????,하이퍼링크2,超链接1,超?级链?,Style?,S,하이퍼링크21,ECC 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NUMBERED PARAGRAPH Char,List Paragraph 1 Char,lp1 Char"/>
    <w:link w:val="ListParagraph"/>
    <w:uiPriority w:val="34"/>
    <w:qFormat/>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unhideWhenUsed/>
    <w:rsid w:val="006747D8"/>
    <w:rPr>
      <w:sz w:val="20"/>
    </w:rPr>
  </w:style>
  <w:style w:type="character" w:customStyle="1" w:styleId="CommentTextChar">
    <w:name w:val="Comment Text Char"/>
    <w:basedOn w:val="DefaultParagraphFont"/>
    <w:link w:val="CommentText"/>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6449A5"/>
    <w:rPr>
      <w:color w:val="605E5C"/>
      <w:shd w:val="clear" w:color="auto" w:fill="E1DFDD"/>
    </w:rPr>
  </w:style>
  <w:style w:type="paragraph" w:customStyle="1" w:styleId="CEOAgendaItemN">
    <w:name w:val="CEO_AgendaItemN°"/>
    <w:basedOn w:val="Normal"/>
    <w:rsid w:val="00BF4F16"/>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link w:val="enumlev1"/>
    <w:qFormat/>
    <w:rsid w:val="00A62F73"/>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7345F"/>
    <w:rPr>
      <w:color w:val="605E5C"/>
      <w:shd w:val="clear" w:color="auto" w:fill="E1DFDD"/>
    </w:rPr>
  </w:style>
  <w:style w:type="paragraph" w:styleId="HTMLPreformatted">
    <w:name w:val="HTML Preformatted"/>
    <w:basedOn w:val="Normal"/>
    <w:link w:val="HTMLPreformattedChar"/>
    <w:uiPriority w:val="99"/>
    <w:unhideWhenUsed/>
    <w:qFormat/>
    <w:rsid w:val="0063618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szCs w:val="24"/>
      <w:lang w:val="zh-CN" w:eastAsia="zh-CN"/>
    </w:rPr>
  </w:style>
  <w:style w:type="character" w:customStyle="1" w:styleId="HTMLPreformattedChar">
    <w:name w:val="HTML Preformatted Char"/>
    <w:basedOn w:val="DefaultParagraphFont"/>
    <w:link w:val="HTMLPreformatted"/>
    <w:uiPriority w:val="99"/>
    <w:qFormat/>
    <w:rsid w:val="00636181"/>
    <w:rPr>
      <w:rFonts w:ascii="GulimChe" w:eastAsia="GulimChe" w:hAnsi="GulimChe"/>
      <w:sz w:val="24"/>
      <w:szCs w:val="24"/>
      <w:lang w:val="zh-CN"/>
    </w:rPr>
  </w:style>
  <w:style w:type="character" w:styleId="UnresolvedMention">
    <w:name w:val="Unresolved Mention"/>
    <w:basedOn w:val="DefaultParagraphFont"/>
    <w:uiPriority w:val="99"/>
    <w:semiHidden/>
    <w:unhideWhenUsed/>
    <w:rsid w:val="00D10D23"/>
    <w:rPr>
      <w:color w:val="605E5C"/>
      <w:shd w:val="clear" w:color="auto" w:fill="E1DFDD"/>
    </w:rPr>
  </w:style>
  <w:style w:type="paragraph" w:customStyle="1" w:styleId="Tablefin">
    <w:name w:val="Table_fin"/>
    <w:basedOn w:val="Tabletext"/>
    <w:rsid w:val="005F4465"/>
    <w:pPr>
      <w:tabs>
        <w:tab w:val="clear" w:pos="284"/>
        <w:tab w:val="clear" w:pos="851"/>
        <w:tab w:val="clear" w:pos="1134"/>
        <w:tab w:val="clear" w:pos="1418"/>
        <w:tab w:val="clear" w:pos="1871"/>
        <w:tab w:val="clear" w:pos="1985"/>
        <w:tab w:val="clear" w:pos="2268"/>
        <w:tab w:val="clear" w:pos="2552"/>
        <w:tab w:val="clear" w:pos="3119"/>
        <w:tab w:val="clear" w:pos="3402"/>
        <w:tab w:val="clear" w:pos="3686"/>
        <w:tab w:val="clear" w:pos="3969"/>
      </w:tabs>
      <w:spacing w:before="0" w:after="0"/>
    </w:pPr>
    <w:rPr>
      <w:rFonts w:ascii="Calibri" w:eastAsia="Times New Roman" w:hAnsi="Calibri"/>
      <w:sz w:val="22"/>
    </w:rPr>
  </w:style>
  <w:style w:type="character" w:customStyle="1" w:styleId="normaltextrun">
    <w:name w:val="normaltextrun"/>
    <w:basedOn w:val="DefaultParagraphFont"/>
    <w:rsid w:val="005F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452796831">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00844044">
      <w:bodyDiv w:val="1"/>
      <w:marLeft w:val="0"/>
      <w:marRight w:val="0"/>
      <w:marTop w:val="0"/>
      <w:marBottom w:val="0"/>
      <w:divBdr>
        <w:top w:val="none" w:sz="0" w:space="0" w:color="auto"/>
        <w:left w:val="none" w:sz="0" w:space="0" w:color="auto"/>
        <w:bottom w:val="none" w:sz="0" w:space="0" w:color="auto"/>
        <w:right w:val="none" w:sz="0" w:space="0" w:color="auto"/>
      </w:divBdr>
    </w:div>
    <w:div w:id="210884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2023/RES-025-e.pdf" TargetMode="External"/><Relationship Id="rId18" Type="http://schemas.openxmlformats.org/officeDocument/2006/relationships/hyperlink" Target="https://www.itu.int/md/S25-CWGFHR20-250217-TD-0001/en" TargetMode="External"/><Relationship Id="rId26" Type="http://schemas.openxmlformats.org/officeDocument/2006/relationships/hyperlink" Target="https://www.itu.int/md/D22-TDAG32-C-0003/" TargetMode="External"/><Relationship Id="rId39" Type="http://schemas.openxmlformats.org/officeDocument/2006/relationships/hyperlink" Target="https://www.itu.int/md/meetingdoc.asp?lang=en&amp;parent=S23-CWGFHR16-C-0010" TargetMode="External"/><Relationship Id="rId21" Type="http://schemas.openxmlformats.org/officeDocument/2006/relationships/hyperlink" Target="https://www.itu.int/md/D22-TDAG31-C-0007/en" TargetMode="External"/><Relationship Id="rId34" Type="http://schemas.openxmlformats.org/officeDocument/2006/relationships/hyperlink" Target="https://www.itu.int/md/D22-TDAG32-C-0005/" TargetMode="External"/><Relationship Id="rId42" Type="http://schemas.openxmlformats.org/officeDocument/2006/relationships/hyperlink" Target="https://www.itu.int/md/S25-CWGFHR20-250217-TD-0001/en"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4-CL-C-0025/en" TargetMode="External"/><Relationship Id="rId29" Type="http://schemas.openxmlformats.org/officeDocument/2006/relationships/hyperlink" Target="https://www.itu.int/md/D22-TDAG32-INF-00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D22-TDAG32-C-0003/" TargetMode="External"/><Relationship Id="rId32" Type="http://schemas.openxmlformats.org/officeDocument/2006/relationships/hyperlink" Target="https://www.itu.int/md/D22-TDAG32-C-0005/" TargetMode="External"/><Relationship Id="rId37" Type="http://schemas.openxmlformats.org/officeDocument/2006/relationships/hyperlink" Target="https://www.itu.int/dms_pub/itu-s/md/23/cwgfhr16/c/S23-CWGFHR16-C-0024!R1!MSW-E.docx" TargetMode="External"/><Relationship Id="rId40" Type="http://schemas.openxmlformats.org/officeDocument/2006/relationships/hyperlink" Target="https://www.itu.int/dms_pub/itu-s/md/23/cwgfhr16/c/S23-CWGFHR16-C-0024!R1!MSW-E.docx"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S24-CL-C-0098/en" TargetMode="External"/><Relationship Id="rId23" Type="http://schemas.openxmlformats.org/officeDocument/2006/relationships/hyperlink" Target="https://www.itu.int/en/council/ties/Pages/regional-presence-dashboard.aspx" TargetMode="External"/><Relationship Id="rId28" Type="http://schemas.openxmlformats.org/officeDocument/2006/relationships/hyperlink" Target="https://www.itu.int/wtdc" TargetMode="External"/><Relationship Id="rId36" Type="http://schemas.openxmlformats.org/officeDocument/2006/relationships/hyperlink" Target="https://www.itu.int/md/meetingdoc.asp?lang=en&amp;parent=S23-CWGFHR16-C-0010" TargetMode="External"/><Relationship Id="rId10" Type="http://schemas.openxmlformats.org/officeDocument/2006/relationships/endnotes" Target="endnotes.xml"/><Relationship Id="rId19" Type="http://schemas.openxmlformats.org/officeDocument/2006/relationships/hyperlink" Target="https://www.itu.int/md/meetingdoc.asp?lang=en&amp;parent=S23-CWGFHR16-C-0010" TargetMode="External"/><Relationship Id="rId31" Type="http://schemas.openxmlformats.org/officeDocument/2006/relationships/hyperlink" Target="https://www.itu.int/itu-d/sites/partnerships/home/partnerships/" TargetMode="External"/><Relationship Id="rId44" Type="http://schemas.openxmlformats.org/officeDocument/2006/relationships/hyperlink" Target="https://www.itu.int/md/D22-TDAG32-C-00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79/en" TargetMode="External"/><Relationship Id="rId22" Type="http://schemas.openxmlformats.org/officeDocument/2006/relationships/hyperlink" Target="https://www.itu.int/md/D22-TDAG31-C-0012/en" TargetMode="External"/><Relationship Id="rId27" Type="http://schemas.openxmlformats.org/officeDocument/2006/relationships/hyperlink" Target="https://www.itu.int/dms_pub/itu-d/opb/tdc/D-TDC-WTDC-2022-PDF-E.pdf" TargetMode="External"/><Relationship Id="rId30" Type="http://schemas.openxmlformats.org/officeDocument/2006/relationships/hyperlink" Target="https://www.itu.int/wtdc" TargetMode="External"/><Relationship Id="rId35" Type="http://schemas.openxmlformats.org/officeDocument/2006/relationships/hyperlink" Target="https://www.itu.int/md/D22-TDAG32-C-0009/" TargetMode="External"/><Relationship Id="rId43" Type="http://schemas.openxmlformats.org/officeDocument/2006/relationships/hyperlink" Target="https://www.itu.int/en/council/Documents/basic-texts-2023/RES-025-E.pdf"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S25-CWGFHR20-C-0002/en" TargetMode="External"/><Relationship Id="rId25" Type="http://schemas.openxmlformats.org/officeDocument/2006/relationships/hyperlink" Target="https://www.itu.int/md/D22-TDAG32-C-0002/" TargetMode="External"/><Relationship Id="rId33" Type="http://schemas.openxmlformats.org/officeDocument/2006/relationships/hyperlink" Target="https://www.itu.int/en/ITU-D/Projects/Pages/Portfolio.aspx" TargetMode="External"/><Relationship Id="rId38" Type="http://schemas.openxmlformats.org/officeDocument/2006/relationships/hyperlink" Target="https://www.itu.int/md/D22-TDAG32-C-0024/" TargetMode="External"/><Relationship Id="rId46" Type="http://schemas.openxmlformats.org/officeDocument/2006/relationships/footer" Target="footer1.xml"/><Relationship Id="rId20" Type="http://schemas.openxmlformats.org/officeDocument/2006/relationships/hyperlink" Target="https://www.itu.int/dms_pub/itu-s/md/23/cwgfhr16/c/S23-CWGFHR16-C-0024!R1!MSW-E.docx" TargetMode="External"/><Relationship Id="rId41" Type="http://schemas.openxmlformats.org/officeDocument/2006/relationships/hyperlink" Target="https://www.itu.int/md/S25-CWGFHR20-C-0002/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D22-TDAG31-C-001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A9246-389C-4331-B114-33867B596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2A876-AB41-4784-9C7F-CAA56FAF5040}">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8A7C67D6-CEFE-4AFE-8EC3-4585BFEF5BAE}">
  <ds:schemaRefs>
    <ds:schemaRef ds:uri="http://schemas.microsoft.com/office/2006/documentManagement/types"/>
    <ds:schemaRef ds:uri="b78e6d94-60f4-4bd5-98e7-9cc4677dcdaa"/>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purl.org/dc/terms/"/>
    <ds:schemaRef ds:uri="d4ea696a-cca3-460b-a983-57ac2621983a"/>
    <ds:schemaRef ds:uri="29399490-13b9-4c73-b71e-403b715b75a7"/>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2607</Words>
  <Characters>17173</Characters>
  <Application>Microsoft Office Word</Application>
  <DocSecurity>0</DocSecurity>
  <Lines>143</Lines>
  <Paragraphs>39</Paragraphs>
  <ScaleCrop>false</ScaleCrop>
  <Manager>General Secretariat - Pool</Manager>
  <Company/>
  <LinksUpToDate>false</LinksUpToDate>
  <CharactersWithSpaces>19741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cp:lastModifiedBy>BDT</cp:lastModifiedBy>
  <cp:revision>24</cp:revision>
  <cp:lastPrinted>2019-01-16T16:57:00Z</cp:lastPrinted>
  <dcterms:created xsi:type="dcterms:W3CDTF">2025-05-05T17:22:00Z</dcterms:created>
  <dcterms:modified xsi:type="dcterms:W3CDTF">2025-05-06T05:42:00Z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0x0101000421F7F6C5263B4B928A068E40912AB8</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diaServiceImageTags">
    <vt:lpwstr/>
  </property>
</Properties>
</file>