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329C01A0">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17183961"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5C474D">
              <w:rPr>
                <w:rFonts w:hint="eastAsia"/>
                <w:b/>
                <w:bCs/>
                <w:lang w:val="en-US" w:eastAsia="zh-CN"/>
              </w:rPr>
              <w:t>24</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17E63523"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5C474D">
              <w:rPr>
                <w:rFonts w:hint="eastAsia"/>
                <w:b/>
                <w:bCs/>
                <w:szCs w:val="28"/>
                <w:lang w:eastAsia="zh-CN"/>
              </w:rPr>
              <w:t>4</w:t>
            </w:r>
            <w:r w:rsidRPr="00227A1C">
              <w:rPr>
                <w:rFonts w:ascii="SimSun" w:eastAsia="SimSun" w:hAnsi="SimSun" w:hint="eastAsia"/>
                <w:b/>
                <w:bCs/>
                <w:szCs w:val="28"/>
                <w:lang w:eastAsia="zh-CN"/>
              </w:rPr>
              <w:t>月</w:t>
            </w:r>
            <w:r w:rsidR="005C474D">
              <w:rPr>
                <w:rFonts w:hint="eastAsia"/>
                <w:b/>
                <w:bCs/>
                <w:szCs w:val="28"/>
                <w:lang w:eastAsia="zh-CN"/>
              </w:rPr>
              <w:t>1</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2B63C640" w:rsidR="00A13162" w:rsidRPr="0030353C" w:rsidRDefault="005C474D" w:rsidP="0030353C">
            <w:pPr>
              <w:pStyle w:val="Source"/>
            </w:pPr>
            <w:bookmarkStart w:id="3" w:name="Source"/>
            <w:bookmarkEnd w:id="3"/>
            <w:proofErr w:type="spellStart"/>
            <w:r>
              <w:rPr>
                <w:bCs/>
                <w:color w:val="000000"/>
                <w:lang w:val="zh-CN"/>
              </w:rPr>
              <w:t>电信发展局主任</w:t>
            </w:r>
            <w:proofErr w:type="spellEnd"/>
          </w:p>
        </w:tc>
      </w:tr>
      <w:tr w:rsidR="00AC6F14" w:rsidRPr="002E6963" w14:paraId="581FD305" w14:textId="77777777" w:rsidTr="00107E85">
        <w:trPr>
          <w:cantSplit/>
        </w:trPr>
        <w:tc>
          <w:tcPr>
            <w:tcW w:w="9888" w:type="dxa"/>
            <w:gridSpan w:val="4"/>
          </w:tcPr>
          <w:p w14:paraId="43ACD2CD" w14:textId="44CCE75C" w:rsidR="00AC6F14" w:rsidRPr="0030353C" w:rsidRDefault="005C474D" w:rsidP="0030353C">
            <w:pPr>
              <w:pStyle w:val="Title1"/>
              <w:rPr>
                <w:lang w:eastAsia="zh-CN"/>
              </w:rPr>
            </w:pPr>
            <w:bookmarkStart w:id="4" w:name="Title"/>
            <w:bookmarkEnd w:id="4"/>
            <w:r>
              <w:rPr>
                <w:color w:val="000000"/>
                <w:lang w:val="zh-CN" w:eastAsia="zh-CN"/>
              </w:rPr>
              <w:t>加强区域代表性</w:t>
            </w:r>
            <w:r>
              <w:rPr>
                <w:color w:val="000000"/>
                <w:lang w:val="zh-CN" w:eastAsia="zh-CN"/>
              </w:rPr>
              <w:t xml:space="preserve"> – </w:t>
            </w:r>
            <w:r>
              <w:rPr>
                <w:color w:val="000000"/>
                <w:lang w:val="zh-CN" w:eastAsia="zh-CN"/>
              </w:rPr>
              <w:t>设立未来区域代表处和地区办事处的标准</w:t>
            </w:r>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pPr>
              <w:rPr>
                <w:lang w:eastAsia="zh-CN"/>
              </w:rPr>
            </w:pPr>
          </w:p>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D9621A" w:rsidRDefault="00966BA6" w:rsidP="00EA0C51">
            <w:pPr>
              <w:spacing w:after="120"/>
              <w:rPr>
                <w:b/>
                <w:bCs/>
                <w:szCs w:val="24"/>
                <w:lang w:eastAsia="zh-CN"/>
              </w:rPr>
            </w:pPr>
            <w:r>
              <w:rPr>
                <w:rFonts w:hint="eastAsia"/>
                <w:b/>
                <w:bCs/>
                <w:szCs w:val="24"/>
                <w:lang w:eastAsia="zh-CN"/>
              </w:rPr>
              <w:t>概要：</w:t>
            </w:r>
          </w:p>
          <w:p w14:paraId="60130A41" w14:textId="1B76347B" w:rsidR="00A721F4" w:rsidRPr="00D9621A" w:rsidRDefault="005C474D" w:rsidP="008069EB">
            <w:pPr>
              <w:spacing w:after="120"/>
              <w:ind w:firstLineChars="200" w:firstLine="480"/>
              <w:rPr>
                <w:szCs w:val="24"/>
                <w:lang w:eastAsia="zh-CN"/>
              </w:rPr>
            </w:pPr>
            <w:r>
              <w:rPr>
                <w:color w:val="000000"/>
                <w:lang w:val="zh-CN" w:eastAsia="zh-CN"/>
              </w:rPr>
              <w:t>本文件报告秘书处根据国际电联战略规划和《基加利行动计划》为加强国际电</w:t>
            </w:r>
            <w:proofErr w:type="gramStart"/>
            <w:r>
              <w:rPr>
                <w:color w:val="000000"/>
                <w:lang w:val="zh-CN" w:eastAsia="zh-CN"/>
              </w:rPr>
              <w:t>联区域</w:t>
            </w:r>
            <w:proofErr w:type="gramEnd"/>
            <w:r>
              <w:rPr>
                <w:color w:val="000000"/>
                <w:lang w:val="zh-CN" w:eastAsia="zh-CN"/>
              </w:rPr>
              <w:t>代表性而采取的措施。文件概述了迄今为止就设立未来区域代表处和地区办事处的标准所进行的讨论，并力求协助</w:t>
            </w:r>
            <w:r>
              <w:rPr>
                <w:color w:val="000000"/>
                <w:lang w:val="zh-CN" w:eastAsia="zh-CN"/>
              </w:rPr>
              <w:t>TDAG</w:t>
            </w:r>
            <w:r>
              <w:rPr>
                <w:color w:val="000000"/>
                <w:lang w:val="zh-CN" w:eastAsia="zh-CN"/>
              </w:rPr>
              <w:t>就此议题提出意见。</w:t>
            </w:r>
          </w:p>
          <w:p w14:paraId="557D42AB" w14:textId="77777777" w:rsidR="00A721F4" w:rsidRPr="00D9621A" w:rsidRDefault="00966BA6" w:rsidP="00EA0C51">
            <w:pPr>
              <w:spacing w:after="120"/>
              <w:rPr>
                <w:b/>
                <w:bCs/>
                <w:szCs w:val="24"/>
                <w:lang w:eastAsia="zh-CN"/>
              </w:rPr>
            </w:pPr>
            <w:r>
              <w:rPr>
                <w:rFonts w:hint="eastAsia"/>
                <w:b/>
                <w:bCs/>
                <w:lang w:eastAsia="zh-CN"/>
              </w:rPr>
              <w:t>需采取的行动：</w:t>
            </w:r>
          </w:p>
          <w:p w14:paraId="417378E8" w14:textId="77777777" w:rsidR="00A721F4" w:rsidRPr="00D9621A" w:rsidRDefault="00885B75" w:rsidP="008069EB">
            <w:pPr>
              <w:spacing w:after="120"/>
              <w:ind w:firstLineChars="200" w:firstLine="480"/>
              <w:rPr>
                <w:szCs w:val="24"/>
                <w:lang w:eastAsia="zh-CN"/>
              </w:rPr>
            </w:pPr>
            <w:r>
              <w:rPr>
                <w:rFonts w:ascii="SimSun" w:eastAsia="SimSun" w:hAnsi="SimSun" w:cs="SimSun" w:hint="eastAsia"/>
                <w:lang w:eastAsia="zh-CN"/>
              </w:rPr>
              <w:t>请</w:t>
            </w:r>
            <w:r w:rsidRPr="00403C69">
              <w:rPr>
                <w:lang w:eastAsia="zh-CN"/>
              </w:rPr>
              <w:t>TDAG</w:t>
            </w:r>
            <w:r>
              <w:rPr>
                <w:rFonts w:ascii="SimSun" w:eastAsia="SimSun" w:hAnsi="SimSun" w:cs="SimSun" w:hint="eastAsia"/>
                <w:lang w:eastAsia="zh-CN"/>
              </w:rPr>
              <w:t>将本文件记录在案，并酌情提供指导。</w:t>
            </w:r>
          </w:p>
          <w:p w14:paraId="05F22D82" w14:textId="77777777" w:rsidR="00A721F4" w:rsidRPr="00D9621A" w:rsidRDefault="00966BA6" w:rsidP="00EA0C51">
            <w:pPr>
              <w:spacing w:after="120"/>
              <w:rPr>
                <w:b/>
                <w:bCs/>
                <w:szCs w:val="24"/>
                <w:lang w:eastAsia="zh-CN"/>
              </w:rPr>
            </w:pPr>
            <w:r>
              <w:rPr>
                <w:rFonts w:hint="eastAsia"/>
                <w:b/>
                <w:bCs/>
                <w:szCs w:val="24"/>
                <w:lang w:eastAsia="zh-CN"/>
              </w:rPr>
              <w:t>参考文件：</w:t>
            </w:r>
          </w:p>
          <w:p w14:paraId="57A5A279" w14:textId="74F1E5F1" w:rsidR="005C474D" w:rsidRPr="00720496" w:rsidRDefault="00F07A99" w:rsidP="0054550C">
            <w:pPr>
              <w:pStyle w:val="ListParagraph"/>
              <w:numPr>
                <w:ilvl w:val="0"/>
                <w:numId w:val="1"/>
              </w:numPr>
              <w:tabs>
                <w:tab w:val="left" w:pos="708"/>
              </w:tabs>
              <w:overflowPunct/>
              <w:autoSpaceDE/>
              <w:adjustRightInd/>
              <w:spacing w:after="120" w:line="280" w:lineRule="exact"/>
              <w:contextualSpacing w:val="0"/>
              <w:jc w:val="both"/>
              <w:rPr>
                <w:szCs w:val="24"/>
                <w:lang w:eastAsia="zh-CN"/>
              </w:rPr>
            </w:pPr>
            <w:r w:rsidRPr="00F07A99">
              <w:rPr>
                <w:rFonts w:hint="eastAsia"/>
                <w:color w:val="000000"/>
                <w:lang w:val="zh-CN" w:eastAsia="zh-CN"/>
              </w:rPr>
              <w:t>全权代表大会</w:t>
            </w:r>
            <w:r>
              <w:fldChar w:fldCharType="begin"/>
            </w:r>
            <w:r>
              <w:rPr>
                <w:lang w:eastAsia="zh-CN"/>
              </w:rPr>
              <w:instrText>HYPERLINK "https://www.itu.int/en/council/Documents/basic-texts-2023/RES-025-e.pdf"</w:instrText>
            </w:r>
            <w:r>
              <w:fldChar w:fldCharType="separate"/>
            </w:r>
            <w:r w:rsidRPr="00F07A99">
              <w:rPr>
                <w:rStyle w:val="Hyperlink"/>
                <w:rFonts w:hint="eastAsia"/>
                <w:lang w:val="zh-CN" w:eastAsia="zh-CN"/>
              </w:rPr>
              <w:t>第</w:t>
            </w:r>
            <w:r w:rsidRPr="00F07A99">
              <w:rPr>
                <w:rStyle w:val="Hyperlink"/>
                <w:rFonts w:hint="eastAsia"/>
                <w:lang w:val="zh-CN" w:eastAsia="zh-CN"/>
              </w:rPr>
              <w:t>25</w:t>
            </w:r>
            <w:r w:rsidRPr="00F07A99">
              <w:rPr>
                <w:rStyle w:val="Hyperlink"/>
                <w:rFonts w:hint="eastAsia"/>
                <w:lang w:val="zh-CN" w:eastAsia="zh-CN"/>
              </w:rPr>
              <w:t>号决议（</w:t>
            </w:r>
            <w:r w:rsidRPr="00F07A99">
              <w:rPr>
                <w:rStyle w:val="Hyperlink"/>
                <w:rFonts w:hint="eastAsia"/>
                <w:lang w:val="zh-CN" w:eastAsia="zh-CN"/>
              </w:rPr>
              <w:t>2022</w:t>
            </w:r>
            <w:r w:rsidRPr="00F07A99">
              <w:rPr>
                <w:rStyle w:val="Hyperlink"/>
                <w:rFonts w:hint="eastAsia"/>
                <w:lang w:val="zh-CN" w:eastAsia="zh-CN"/>
              </w:rPr>
              <w:t>年，布加勒斯特，修订版）</w:t>
            </w:r>
            <w:r>
              <w:fldChar w:fldCharType="end"/>
            </w:r>
          </w:p>
          <w:p w14:paraId="0856D054" w14:textId="49D90811" w:rsidR="005C474D" w:rsidRPr="00720496" w:rsidRDefault="005C474D" w:rsidP="0054550C">
            <w:pPr>
              <w:pStyle w:val="ListParagraph"/>
              <w:numPr>
                <w:ilvl w:val="0"/>
                <w:numId w:val="1"/>
              </w:numPr>
              <w:spacing w:after="120" w:line="280" w:lineRule="exact"/>
              <w:contextualSpacing w:val="0"/>
              <w:jc w:val="both"/>
              <w:rPr>
                <w:szCs w:val="24"/>
                <w:lang w:eastAsia="zh-CN"/>
              </w:rPr>
            </w:pPr>
            <w:r>
              <w:rPr>
                <w:color w:val="000000"/>
                <w:lang w:val="zh-CN" w:eastAsia="zh-CN"/>
              </w:rPr>
              <w:t>理事会</w:t>
            </w:r>
            <w:r w:rsidR="00F07A99">
              <w:fldChar w:fldCharType="begin"/>
            </w:r>
            <w:r w:rsidR="00F07A99">
              <w:rPr>
                <w:lang w:eastAsia="zh-CN"/>
              </w:rPr>
              <w:instrText>HYPERLINK "https://www.itu.int/md/S24-CL-C-0079/en"</w:instrText>
            </w:r>
            <w:r w:rsidR="00F07A99">
              <w:fldChar w:fldCharType="separate"/>
            </w:r>
            <w:r w:rsidR="00F07A99" w:rsidRPr="00720496">
              <w:rPr>
                <w:rStyle w:val="Hyperlink"/>
                <w:szCs w:val="24"/>
                <w:lang w:eastAsia="zh-CN"/>
              </w:rPr>
              <w:t>C24/79</w:t>
            </w:r>
            <w:r w:rsidR="00F07A99">
              <w:fldChar w:fldCharType="end"/>
            </w:r>
            <w:r w:rsidR="00F07A99">
              <w:rPr>
                <w:rFonts w:hint="eastAsia"/>
                <w:color w:val="0000FF"/>
                <w:szCs w:val="24"/>
                <w:lang w:eastAsia="zh-CN"/>
              </w:rPr>
              <w:t>、</w:t>
            </w:r>
            <w:r w:rsidR="00F07A99">
              <w:fldChar w:fldCharType="begin"/>
            </w:r>
            <w:r w:rsidR="00F07A99">
              <w:rPr>
                <w:lang w:eastAsia="zh-CN"/>
              </w:rPr>
              <w:instrText>HYPERLINK "https://www.itu.int/md/S24-CL-C-0098/en"</w:instrText>
            </w:r>
            <w:r w:rsidR="00F07A99">
              <w:fldChar w:fldCharType="separate"/>
            </w:r>
            <w:r w:rsidR="00F07A99" w:rsidRPr="00720496">
              <w:rPr>
                <w:rStyle w:val="Hyperlink"/>
                <w:szCs w:val="24"/>
                <w:lang w:eastAsia="zh-CN"/>
              </w:rPr>
              <w:t>C24/98</w:t>
            </w:r>
            <w:r w:rsidR="00F07A99">
              <w:fldChar w:fldCharType="end"/>
            </w:r>
            <w:r w:rsidR="00F07A99">
              <w:rPr>
                <w:rFonts w:hint="eastAsia"/>
                <w:szCs w:val="24"/>
                <w:lang w:eastAsia="zh-CN"/>
              </w:rPr>
              <w:t>和</w:t>
            </w:r>
            <w:r w:rsidR="00F07A99">
              <w:fldChar w:fldCharType="begin"/>
            </w:r>
            <w:r w:rsidR="00F07A99">
              <w:rPr>
                <w:lang w:eastAsia="zh-CN"/>
              </w:rPr>
              <w:instrText>HYPERLINK "https://www.itu.int/md/S24-CL-C-0025/en"</w:instrText>
            </w:r>
            <w:r w:rsidR="00F07A99">
              <w:fldChar w:fldCharType="separate"/>
            </w:r>
            <w:r w:rsidR="00F07A99" w:rsidRPr="00720496">
              <w:rPr>
                <w:rStyle w:val="Hyperlink"/>
                <w:szCs w:val="24"/>
                <w:lang w:eastAsia="zh-CN"/>
              </w:rPr>
              <w:t>C24/25</w:t>
            </w:r>
            <w:r w:rsidR="00F07A99">
              <w:fldChar w:fldCharType="end"/>
            </w:r>
            <w:r w:rsidR="00F07A99">
              <w:rPr>
                <w:color w:val="000000"/>
                <w:lang w:val="zh-CN" w:eastAsia="zh-CN"/>
              </w:rPr>
              <w:t>号</w:t>
            </w:r>
            <w:r>
              <w:rPr>
                <w:color w:val="000000"/>
                <w:lang w:val="zh-CN" w:eastAsia="zh-CN"/>
              </w:rPr>
              <w:t>文件</w:t>
            </w:r>
          </w:p>
          <w:p w14:paraId="0582EE3A" w14:textId="63BD80C2" w:rsidR="005C474D" w:rsidRDefault="00F07A99" w:rsidP="0054550C">
            <w:pPr>
              <w:pStyle w:val="ListParagraph"/>
              <w:numPr>
                <w:ilvl w:val="0"/>
                <w:numId w:val="1"/>
              </w:numPr>
              <w:tabs>
                <w:tab w:val="left" w:pos="708"/>
              </w:tabs>
              <w:overflowPunct/>
              <w:autoSpaceDE/>
              <w:adjustRightInd/>
              <w:spacing w:after="120" w:line="280" w:lineRule="exact"/>
              <w:contextualSpacing w:val="0"/>
              <w:jc w:val="both"/>
            </w:pPr>
            <w:hyperlink r:id="rId13" w:history="1">
              <w:hyperlink r:id="rId14" w:history="1">
                <w:r w:rsidRPr="00220628">
                  <w:rPr>
                    <w:rStyle w:val="Hyperlink"/>
                  </w:rPr>
                  <w:t>CWG-FHR-20/2</w:t>
                </w:r>
              </w:hyperlink>
              <w:r w:rsidR="005C474D">
                <w:rPr>
                  <w:color w:val="000000"/>
                </w:rPr>
                <w:t>和</w:t>
              </w:r>
              <w:hyperlink r:id="rId15" w:history="1">
                <w:r w:rsidRPr="00220628">
                  <w:rPr>
                    <w:rStyle w:val="Hyperlink"/>
                  </w:rPr>
                  <w:t>CWG-FHR-20/DT/1</w:t>
                </w:r>
              </w:hyperlink>
            </w:hyperlink>
          </w:p>
          <w:p w14:paraId="0AF9D408" w14:textId="3D2D9168" w:rsidR="005C474D" w:rsidRDefault="00F07A99" w:rsidP="0054550C">
            <w:pPr>
              <w:pStyle w:val="ListParagraph"/>
              <w:numPr>
                <w:ilvl w:val="0"/>
                <w:numId w:val="1"/>
              </w:numPr>
              <w:tabs>
                <w:tab w:val="left" w:pos="708"/>
              </w:tabs>
              <w:overflowPunct/>
              <w:autoSpaceDE/>
              <w:adjustRightInd/>
              <w:spacing w:after="120" w:line="280" w:lineRule="exact"/>
              <w:contextualSpacing w:val="0"/>
              <w:jc w:val="both"/>
            </w:pPr>
            <w:hyperlink r:id="rId16" w:history="1">
              <w:hyperlink r:id="rId17" w:history="1">
                <w:r w:rsidRPr="00BC7315">
                  <w:rPr>
                    <w:rStyle w:val="Hyperlink"/>
                  </w:rPr>
                  <w:t>CWG-FHR-16/10</w:t>
                </w:r>
              </w:hyperlink>
              <w:r w:rsidR="005C474D">
                <w:rPr>
                  <w:color w:val="000000"/>
                </w:rPr>
                <w:t>和</w:t>
              </w:r>
              <w:hyperlink r:id="rId18" w:history="1">
                <w:r w:rsidRPr="0064605C">
                  <w:rPr>
                    <w:rStyle w:val="Hyperlink"/>
                  </w:rPr>
                  <w:t>CWG-FHR-16/24(Rev.1)</w:t>
                </w:r>
              </w:hyperlink>
            </w:hyperlink>
          </w:p>
          <w:p w14:paraId="36C883CF" w14:textId="4C1A9CE3" w:rsidR="00A721F4" w:rsidRPr="00D9621A" w:rsidRDefault="00F07A99" w:rsidP="00150AD3">
            <w:pPr>
              <w:pStyle w:val="ListParagraph"/>
              <w:numPr>
                <w:ilvl w:val="0"/>
                <w:numId w:val="1"/>
              </w:numPr>
              <w:tabs>
                <w:tab w:val="left" w:pos="708"/>
              </w:tabs>
              <w:overflowPunct/>
              <w:autoSpaceDE/>
              <w:adjustRightInd/>
              <w:spacing w:after="120" w:line="280" w:lineRule="exact"/>
              <w:contextualSpacing w:val="0"/>
              <w:jc w:val="both"/>
            </w:pPr>
            <w:hyperlink r:id="rId19" w:history="1">
              <w:r w:rsidRPr="00720496">
                <w:rPr>
                  <w:rStyle w:val="Hyperlink"/>
                  <w:szCs w:val="24"/>
                </w:rPr>
                <w:t>TDAG-24/7(Rev.1)</w:t>
              </w:r>
            </w:hyperlink>
            <w:r>
              <w:rPr>
                <w:rFonts w:hint="eastAsia"/>
                <w:szCs w:val="24"/>
                <w:lang w:eastAsia="zh-CN"/>
              </w:rPr>
              <w:t>、</w:t>
            </w:r>
            <w:r>
              <w:fldChar w:fldCharType="begin"/>
            </w:r>
            <w:r>
              <w:instrText>HYPERLINK "https://www.itu.int/md/D22-TDAG31-C-0012/en"</w:instrText>
            </w:r>
            <w:r>
              <w:fldChar w:fldCharType="separate"/>
            </w:r>
            <w:r w:rsidRPr="00720496">
              <w:rPr>
                <w:rStyle w:val="Hyperlink"/>
                <w:szCs w:val="24"/>
              </w:rPr>
              <w:t>TDAG-24/12</w:t>
            </w:r>
            <w:r>
              <w:fldChar w:fldCharType="end"/>
            </w:r>
            <w:proofErr w:type="spellStart"/>
            <w:r>
              <w:rPr>
                <w:color w:val="000000"/>
                <w:lang w:val="zh-CN"/>
              </w:rPr>
              <w:t>号文件</w:t>
            </w:r>
            <w:proofErr w:type="spellEnd"/>
          </w:p>
        </w:tc>
      </w:tr>
    </w:tbl>
    <w:p w14:paraId="42757AE3" w14:textId="77777777" w:rsidR="00923CF1" w:rsidRDefault="00923CF1" w:rsidP="00935FF0">
      <w:pPr>
        <w:rPr>
          <w:lang w:eastAsia="zh-CN"/>
        </w:rPr>
      </w:pPr>
    </w:p>
    <w:p w14:paraId="2FF83793" w14:textId="77777777" w:rsidR="00923CF1" w:rsidRDefault="00923CF1" w:rsidP="00AD0FC0">
      <w:r>
        <w:br w:type="page"/>
      </w:r>
    </w:p>
    <w:p w14:paraId="0EF1A115" w14:textId="4EA33E07" w:rsidR="00BA54DE" w:rsidRPr="00292323" w:rsidRDefault="00BA54DE" w:rsidP="007B29A5">
      <w:pPr>
        <w:ind w:firstLineChars="200" w:firstLine="480"/>
        <w:rPr>
          <w:rFonts w:cstheme="minorHAnsi"/>
          <w:szCs w:val="24"/>
          <w:lang w:eastAsia="zh-CN"/>
        </w:rPr>
      </w:pPr>
      <w:r>
        <w:rPr>
          <w:lang w:val="zh-CN" w:eastAsia="zh-CN"/>
        </w:rPr>
        <w:lastRenderedPageBreak/>
        <w:t>国际电信联盟（</w:t>
      </w:r>
      <w:r>
        <w:rPr>
          <w:lang w:val="zh-CN" w:eastAsia="zh-CN"/>
        </w:rPr>
        <w:t>ITU</w:t>
      </w:r>
      <w:r>
        <w:rPr>
          <w:lang w:val="zh-CN" w:eastAsia="zh-CN"/>
        </w:rPr>
        <w:t>）一直在积极努力加强其区域代表性，旨在以及时、有效和有影响力的方式，通过项目和其他运作规划活动，加强向成员国提供支持。定期更新</w:t>
      </w:r>
      <w:hyperlink r:id="rId20" w:history="1">
        <w:r w:rsidRPr="00D513A4">
          <w:rPr>
            <w:rStyle w:val="Hyperlink"/>
            <w:lang w:val="zh-CN" w:eastAsia="zh-CN"/>
          </w:rPr>
          <w:t>区域代表处信息概览</w:t>
        </w:r>
      </w:hyperlink>
      <w:r>
        <w:rPr>
          <w:lang w:val="zh-CN" w:eastAsia="zh-CN"/>
        </w:rPr>
        <w:t>，以跟踪具体优先事项的执行情况，</w:t>
      </w:r>
      <w:r w:rsidR="00D513A4">
        <w:rPr>
          <w:rFonts w:hint="eastAsia"/>
          <w:lang w:val="zh-CN" w:eastAsia="zh-CN"/>
        </w:rPr>
        <w:t>从而</w:t>
      </w:r>
      <w:r>
        <w:rPr>
          <w:lang w:val="zh-CN" w:eastAsia="zh-CN"/>
        </w:rPr>
        <w:t>加强区域代表处的作用。它包括实施普华永道的建议、内部和</w:t>
      </w:r>
      <w:r>
        <w:rPr>
          <w:lang w:val="zh-CN" w:eastAsia="zh-CN"/>
        </w:rPr>
        <w:t>IMAC</w:t>
      </w:r>
      <w:r>
        <w:rPr>
          <w:lang w:val="zh-CN" w:eastAsia="zh-CN"/>
        </w:rPr>
        <w:t>审计建议以及秘书处为加强区域代表性而采取的行动。</w:t>
      </w:r>
    </w:p>
    <w:p w14:paraId="66BD683C" w14:textId="68698A06" w:rsidR="00BA54DE" w:rsidRPr="00292323" w:rsidRDefault="00BA54DE" w:rsidP="007B29A5">
      <w:pPr>
        <w:ind w:firstLineChars="200" w:firstLine="480"/>
        <w:rPr>
          <w:rFonts w:cstheme="minorHAnsi"/>
          <w:szCs w:val="24"/>
          <w:lang w:eastAsia="zh-CN"/>
        </w:rPr>
      </w:pPr>
      <w:r>
        <w:rPr>
          <w:lang w:val="zh-CN" w:eastAsia="zh-CN"/>
        </w:rPr>
        <w:t>精心规划和实施的干预措施吸引了来自捐助方的预算外资金，用于实施项目，包括区域性举措。区域代表处继续在这方面发挥关键作用，成为国际电联与当地利益攸关方和政府接触的第一线。关于区域性举措实施情况的详细报告见</w:t>
      </w:r>
      <w:hyperlink r:id="rId21">
        <w:r w:rsidR="00123509" w:rsidRPr="00292323">
          <w:rPr>
            <w:rStyle w:val="Hyperlink"/>
            <w:rFonts w:cstheme="minorHAnsi"/>
            <w:szCs w:val="24"/>
            <w:lang w:eastAsia="zh-CN"/>
          </w:rPr>
          <w:t>TDAG-25/3</w:t>
        </w:r>
      </w:hyperlink>
      <w:r>
        <w:rPr>
          <w:lang w:val="zh-CN" w:eastAsia="zh-CN"/>
        </w:rPr>
        <w:t>，其中包括一份区域性举措项目对照情况的附件。以下</w:t>
      </w:r>
      <w:r w:rsidR="00123509">
        <w:rPr>
          <w:lang w:val="zh-CN" w:eastAsia="zh-CN"/>
        </w:rPr>
        <w:t>一些关键示例</w:t>
      </w:r>
      <w:r w:rsidR="00123509">
        <w:rPr>
          <w:rFonts w:hint="eastAsia"/>
          <w:lang w:val="en-US" w:eastAsia="zh-CN"/>
        </w:rPr>
        <w:t>说明了</w:t>
      </w:r>
      <w:r>
        <w:rPr>
          <w:lang w:val="zh-CN" w:eastAsia="zh-CN"/>
        </w:rPr>
        <w:t>2023</w:t>
      </w:r>
      <w:r>
        <w:rPr>
          <w:lang w:val="zh-CN" w:eastAsia="zh-CN"/>
        </w:rPr>
        <w:t>年至</w:t>
      </w:r>
      <w:r>
        <w:rPr>
          <w:lang w:val="zh-CN" w:eastAsia="zh-CN"/>
        </w:rPr>
        <w:t>2025</w:t>
      </w:r>
      <w:r>
        <w:rPr>
          <w:lang w:val="zh-CN" w:eastAsia="zh-CN"/>
        </w:rPr>
        <w:t>年期间为加强区域代表性而采取的具体措施</w:t>
      </w:r>
      <w:r w:rsidR="00123509">
        <w:rPr>
          <w:rFonts w:hint="eastAsia"/>
          <w:lang w:val="zh-CN" w:eastAsia="zh-CN"/>
        </w:rPr>
        <w:t>所</w:t>
      </w:r>
      <w:r>
        <w:rPr>
          <w:lang w:val="zh-CN" w:eastAsia="zh-CN"/>
        </w:rPr>
        <w:t>产生的积极影响（</w:t>
      </w:r>
      <w:hyperlink r:id="rId22">
        <w:r w:rsidR="00123509" w:rsidRPr="00292323">
          <w:rPr>
            <w:rStyle w:val="Hyperlink"/>
            <w:rFonts w:cstheme="minorHAnsi"/>
            <w:szCs w:val="24"/>
            <w:lang w:eastAsia="zh-CN"/>
          </w:rPr>
          <w:t>TDAG-25/2</w:t>
        </w:r>
      </w:hyperlink>
      <w:r>
        <w:rPr>
          <w:lang w:val="zh-CN" w:eastAsia="zh-CN"/>
        </w:rPr>
        <w:t>和</w:t>
      </w:r>
      <w:hyperlink r:id="rId23">
        <w:r w:rsidR="00123509" w:rsidRPr="00292323">
          <w:rPr>
            <w:rStyle w:val="Hyperlink"/>
            <w:rFonts w:cstheme="minorHAnsi"/>
            <w:szCs w:val="24"/>
            <w:lang w:eastAsia="zh-CN"/>
          </w:rPr>
          <w:t>TDAG-25/3</w:t>
        </w:r>
      </w:hyperlink>
      <w:r>
        <w:rPr>
          <w:lang w:val="zh-CN" w:eastAsia="zh-CN"/>
        </w:rPr>
        <w:t>提供了详细信息）：</w:t>
      </w:r>
    </w:p>
    <w:p w14:paraId="0B54BC30" w14:textId="54BFDA2B" w:rsidR="00BA54DE" w:rsidRPr="007B29A5" w:rsidRDefault="007B29A5" w:rsidP="007B29A5">
      <w:pPr>
        <w:pStyle w:val="Heading1"/>
        <w:rPr>
          <w:sz w:val="24"/>
          <w:szCs w:val="24"/>
          <w:lang w:eastAsia="zh-CN"/>
        </w:rPr>
      </w:pPr>
      <w:r>
        <w:rPr>
          <w:rFonts w:hint="eastAsia"/>
          <w:sz w:val="24"/>
          <w:szCs w:val="24"/>
          <w:lang w:eastAsia="zh-CN"/>
        </w:rPr>
        <w:t>1</w:t>
      </w:r>
      <w:r>
        <w:rPr>
          <w:sz w:val="24"/>
          <w:szCs w:val="24"/>
          <w:lang w:eastAsia="zh-CN"/>
        </w:rPr>
        <w:tab/>
      </w:r>
      <w:r w:rsidR="00BA54DE" w:rsidRPr="007B29A5">
        <w:rPr>
          <w:sz w:val="24"/>
          <w:szCs w:val="24"/>
          <w:lang w:eastAsia="zh-CN"/>
        </w:rPr>
        <w:t>成员参与项目和运作规划的实施</w:t>
      </w:r>
    </w:p>
    <w:p w14:paraId="4CC4309D" w14:textId="7A0E253A" w:rsidR="00BA54DE" w:rsidRPr="00292323" w:rsidRDefault="00BA54DE" w:rsidP="007B29A5">
      <w:pPr>
        <w:ind w:left="36" w:firstLineChars="200" w:firstLine="480"/>
        <w:rPr>
          <w:rFonts w:cstheme="minorHAnsi"/>
          <w:szCs w:val="24"/>
          <w:lang w:eastAsia="zh-CN"/>
        </w:rPr>
      </w:pPr>
      <w:r>
        <w:rPr>
          <w:lang w:val="zh-CN" w:eastAsia="zh-CN"/>
        </w:rPr>
        <w:t>国际电</w:t>
      </w:r>
      <w:proofErr w:type="gramStart"/>
      <w:r>
        <w:rPr>
          <w:lang w:val="zh-CN" w:eastAsia="zh-CN"/>
        </w:rPr>
        <w:t>联区域</w:t>
      </w:r>
      <w:proofErr w:type="gramEnd"/>
      <w:r>
        <w:rPr>
          <w:lang w:val="zh-CN" w:eastAsia="zh-CN"/>
        </w:rPr>
        <w:t>活动的有效性极大地促进了其连通世界和促进可持续数字化转型的全球使命。</w:t>
      </w:r>
      <w:r w:rsidR="00E71EC7" w:rsidRPr="00E71EC7">
        <w:rPr>
          <w:rFonts w:hint="eastAsia"/>
          <w:lang w:val="zh-CN" w:eastAsia="zh-CN"/>
        </w:rPr>
        <w:t>这些努力的战略目的是确保国际电联继续对全球数字经济和社会快速发展的需求</w:t>
      </w:r>
      <w:proofErr w:type="gramStart"/>
      <w:r w:rsidR="00E71EC7" w:rsidRPr="00E71EC7">
        <w:rPr>
          <w:rFonts w:hint="eastAsia"/>
          <w:lang w:val="zh-CN" w:eastAsia="zh-CN"/>
        </w:rPr>
        <w:t>作出</w:t>
      </w:r>
      <w:proofErr w:type="gramEnd"/>
      <w:r w:rsidR="00E71EC7">
        <w:rPr>
          <w:lang w:val="zh-CN" w:eastAsia="zh-CN"/>
        </w:rPr>
        <w:t>响应</w:t>
      </w:r>
      <w:r w:rsidR="00E71EC7" w:rsidRPr="00E71EC7">
        <w:rPr>
          <w:rFonts w:hint="eastAsia"/>
          <w:lang w:val="zh-CN" w:eastAsia="zh-CN"/>
        </w:rPr>
        <w:t>。</w:t>
      </w:r>
    </w:p>
    <w:p w14:paraId="1D89D333" w14:textId="3804397A" w:rsidR="00BA54DE" w:rsidRPr="00292323" w:rsidRDefault="00FB3949" w:rsidP="007F586D">
      <w:pPr>
        <w:rPr>
          <w:rFonts w:cstheme="minorHAnsi"/>
          <w:szCs w:val="24"/>
          <w:lang w:eastAsia="zh-CN"/>
        </w:rPr>
      </w:pPr>
      <w:r>
        <w:rPr>
          <w:rFonts w:hint="eastAsia"/>
          <w:lang w:val="zh-CN" w:eastAsia="zh-CN"/>
        </w:rPr>
        <w:t>1.1</w:t>
      </w:r>
      <w:r>
        <w:rPr>
          <w:lang w:val="zh-CN" w:eastAsia="zh-CN"/>
        </w:rPr>
        <w:tab/>
      </w:r>
      <w:r w:rsidR="00BA54DE" w:rsidRPr="007C476A">
        <w:rPr>
          <w:b/>
          <w:bCs/>
          <w:lang w:val="zh-CN" w:eastAsia="zh-CN"/>
        </w:rPr>
        <w:t>ITU-D</w:t>
      </w:r>
      <w:r w:rsidR="00BA54DE" w:rsidRPr="007C476A">
        <w:rPr>
          <w:b/>
          <w:bCs/>
          <w:lang w:val="zh-CN" w:eastAsia="zh-CN"/>
        </w:rPr>
        <w:t>运作规划</w:t>
      </w:r>
      <w:r w:rsidR="00E71EC7" w:rsidRPr="00664878">
        <w:rPr>
          <w:rStyle w:val="FootnoteReference"/>
          <w:rFonts w:cstheme="minorHAnsi"/>
          <w:szCs w:val="18"/>
          <w:lang w:val="zh-CN"/>
        </w:rPr>
        <w:footnoteReference w:id="2"/>
      </w:r>
      <w:r w:rsidR="00BA54DE">
        <w:rPr>
          <w:lang w:val="zh-CN" w:eastAsia="zh-CN"/>
        </w:rPr>
        <w:t>与国际电联《</w:t>
      </w:r>
      <w:r w:rsidR="00BA54DE">
        <w:rPr>
          <w:lang w:val="zh-CN" w:eastAsia="zh-CN"/>
        </w:rPr>
        <w:t>2024-2027</w:t>
      </w:r>
      <w:r w:rsidR="00BA54DE">
        <w:rPr>
          <w:lang w:val="zh-CN" w:eastAsia="zh-CN"/>
        </w:rPr>
        <w:t>年战略规划》的结构保持一致。规划采用了《基加利行动计划》（</w:t>
      </w:r>
      <w:r w:rsidR="00BA54DE">
        <w:rPr>
          <w:lang w:val="zh-CN" w:eastAsia="zh-CN"/>
        </w:rPr>
        <w:t>KAP</w:t>
      </w:r>
      <w:r w:rsidR="00BA54DE">
        <w:rPr>
          <w:lang w:val="zh-CN" w:eastAsia="zh-CN"/>
        </w:rPr>
        <w:t>）的结构，概要阐述了</w:t>
      </w:r>
      <w:r w:rsidR="00BA54DE">
        <w:rPr>
          <w:lang w:val="zh-CN" w:eastAsia="zh-CN"/>
        </w:rPr>
        <w:t>ITU-D</w:t>
      </w:r>
      <w:r w:rsidR="00BA54DE">
        <w:rPr>
          <w:lang w:val="zh-CN" w:eastAsia="zh-CN"/>
        </w:rPr>
        <w:t>的重点工作和推动因素以及相应的成果、产品和服务以及用于衡量部门活动所取得成就水平的绩效指标。目前，全球和各区域部署的活动共计</w:t>
      </w:r>
      <w:r w:rsidR="00E71EC7">
        <w:rPr>
          <w:rFonts w:hint="eastAsia"/>
          <w:lang w:val="zh-CN" w:eastAsia="zh-CN"/>
        </w:rPr>
        <w:t>一百</w:t>
      </w:r>
      <w:r>
        <w:rPr>
          <w:rFonts w:hint="eastAsia"/>
          <w:lang w:val="zh-CN" w:eastAsia="zh-CN"/>
        </w:rPr>
        <w:t>二十二</w:t>
      </w:r>
      <w:r w:rsidR="00E71EC7">
        <w:rPr>
          <w:rFonts w:hint="eastAsia"/>
          <w:lang w:val="zh-CN" w:eastAsia="zh-CN"/>
        </w:rPr>
        <w:t>（</w:t>
      </w:r>
      <w:r w:rsidR="00E71EC7">
        <w:rPr>
          <w:rFonts w:hint="eastAsia"/>
          <w:lang w:val="zh-CN" w:eastAsia="zh-CN"/>
        </w:rPr>
        <w:t>1</w:t>
      </w:r>
      <w:r>
        <w:rPr>
          <w:rFonts w:hint="eastAsia"/>
          <w:lang w:val="zh-CN" w:eastAsia="zh-CN"/>
        </w:rPr>
        <w:t>22</w:t>
      </w:r>
      <w:r w:rsidR="00E71EC7">
        <w:rPr>
          <w:rFonts w:hint="eastAsia"/>
          <w:lang w:val="zh-CN" w:eastAsia="zh-CN"/>
        </w:rPr>
        <w:t>）</w:t>
      </w:r>
      <w:r w:rsidR="00BA54DE">
        <w:rPr>
          <w:lang w:val="zh-CN" w:eastAsia="zh-CN"/>
        </w:rPr>
        <w:t>项。为了推动活动实施，将与国际电联其他各局和总秘书处合作，寻求区域输出成果之间以及区域和全球举措之间进一步协同增效。</w:t>
      </w:r>
    </w:p>
    <w:p w14:paraId="4B780F0A" w14:textId="151DD510" w:rsidR="00BA54DE" w:rsidRPr="00292323" w:rsidRDefault="00FB3949" w:rsidP="007F586D">
      <w:pPr>
        <w:rPr>
          <w:rFonts w:cstheme="minorHAnsi"/>
          <w:b/>
          <w:bCs/>
          <w:szCs w:val="24"/>
          <w:lang w:eastAsia="zh-CN"/>
        </w:rPr>
      </w:pPr>
      <w:r>
        <w:rPr>
          <w:rFonts w:hint="eastAsia"/>
          <w:lang w:val="zh-CN" w:eastAsia="zh-CN"/>
        </w:rPr>
        <w:t>1.2</w:t>
      </w:r>
      <w:r>
        <w:rPr>
          <w:lang w:val="zh-CN" w:eastAsia="zh-CN"/>
        </w:rPr>
        <w:tab/>
      </w:r>
      <w:r w:rsidR="00BA54DE" w:rsidRPr="007C476A">
        <w:rPr>
          <w:b/>
          <w:bCs/>
          <w:lang w:val="zh-CN" w:eastAsia="zh-CN"/>
        </w:rPr>
        <w:t>协调规划运作规划和项目</w:t>
      </w:r>
      <w:r w:rsidR="00BA54DE">
        <w:rPr>
          <w:lang w:val="zh-CN" w:eastAsia="zh-CN"/>
        </w:rPr>
        <w:t>：国际电</w:t>
      </w:r>
      <w:proofErr w:type="gramStart"/>
      <w:r w:rsidR="00BA54DE">
        <w:rPr>
          <w:lang w:val="zh-CN" w:eastAsia="zh-CN"/>
        </w:rPr>
        <w:t>联区域</w:t>
      </w:r>
      <w:proofErr w:type="gramEnd"/>
      <w:r w:rsidR="00BA54DE">
        <w:rPr>
          <w:lang w:val="zh-CN" w:eastAsia="zh-CN"/>
        </w:rPr>
        <w:t>代表处和地区办事处一直与总部密切合作，确定、实施和监督运作规划，并设计、实施和监督各自区域内的技术援助项目。这包括向成员国提供</w:t>
      </w:r>
      <w:r w:rsidR="00BA54DE">
        <w:rPr>
          <w:lang w:val="zh-CN" w:eastAsia="zh-CN"/>
        </w:rPr>
        <w:t>ITU-D</w:t>
      </w:r>
      <w:r w:rsidR="00BA54DE">
        <w:rPr>
          <w:lang w:val="zh-CN" w:eastAsia="zh-CN"/>
        </w:rPr>
        <w:t>产品和服务，以及根据</w:t>
      </w:r>
      <w:hyperlink r:id="rId24" w:history="1">
        <w:r w:rsidR="007C476A" w:rsidRPr="00292323">
          <w:rPr>
            <w:rStyle w:val="Hyperlink"/>
            <w:rFonts w:cstheme="minorHAnsi"/>
            <w:szCs w:val="24"/>
            <w:lang w:eastAsia="zh-CN"/>
          </w:rPr>
          <w:t>WTDC-22</w:t>
        </w:r>
      </w:hyperlink>
      <w:r w:rsidR="00BA54DE">
        <w:rPr>
          <w:lang w:val="zh-CN" w:eastAsia="zh-CN"/>
        </w:rPr>
        <w:t>通过的</w:t>
      </w:r>
      <w:hyperlink r:id="rId25" w:history="1">
        <w:r w:rsidR="00BA54DE" w:rsidRPr="007C476A">
          <w:rPr>
            <w:rStyle w:val="Hyperlink"/>
            <w:lang w:val="zh-CN" w:eastAsia="zh-CN"/>
          </w:rPr>
          <w:t>ITU-D</w:t>
        </w:r>
        <w:r w:rsidR="00BA54DE" w:rsidRPr="007C476A">
          <w:rPr>
            <w:rStyle w:val="Hyperlink"/>
            <w:lang w:val="zh-CN" w:eastAsia="zh-CN"/>
          </w:rPr>
          <w:t>重点工作和推动因素以及区域性举措</w:t>
        </w:r>
      </w:hyperlink>
      <w:r w:rsidR="00BA54DE">
        <w:rPr>
          <w:lang w:val="zh-CN" w:eastAsia="zh-CN"/>
        </w:rPr>
        <w:t>满足各国的具体需求。这种综合方法使电信发展局能够为国际电联成员国提供更好的服务，并利用电信发展局开展的正常和预算外活动之间的协同效应。电信发展局项目委员会发挥着重要作用，确保项目的制定符合《基加利行动计划》，并确保电信发展局项目组合得到适当治理。</w:t>
      </w:r>
    </w:p>
    <w:p w14:paraId="07F8EE7C" w14:textId="34839530" w:rsidR="00BA54DE" w:rsidRPr="00292323" w:rsidRDefault="00FB3949" w:rsidP="007F586D">
      <w:pPr>
        <w:rPr>
          <w:rFonts w:cstheme="minorHAnsi"/>
          <w:szCs w:val="24"/>
          <w:lang w:eastAsia="zh-CN"/>
        </w:rPr>
      </w:pPr>
      <w:r>
        <w:rPr>
          <w:rFonts w:hint="eastAsia"/>
          <w:lang w:val="zh-CN" w:eastAsia="zh-CN"/>
        </w:rPr>
        <w:t>1.3</w:t>
      </w:r>
      <w:r>
        <w:rPr>
          <w:lang w:val="zh-CN" w:eastAsia="zh-CN"/>
        </w:rPr>
        <w:tab/>
      </w:r>
      <w:r w:rsidR="00BA54DE" w:rsidRPr="007C476A">
        <w:rPr>
          <w:b/>
          <w:bCs/>
          <w:lang w:val="zh-CN" w:eastAsia="zh-CN"/>
        </w:rPr>
        <w:t>项目的设计和实施</w:t>
      </w:r>
      <w:r w:rsidR="00BA54DE">
        <w:rPr>
          <w:lang w:val="zh-CN" w:eastAsia="zh-CN"/>
        </w:rPr>
        <w:t>：在</w:t>
      </w:r>
      <w:r w:rsidR="00BA54DE">
        <w:rPr>
          <w:lang w:val="zh-CN" w:eastAsia="zh-CN"/>
        </w:rPr>
        <w:t>WTDC-22</w:t>
      </w:r>
      <w:r w:rsidR="00BA54DE">
        <w:rPr>
          <w:lang w:val="zh-CN" w:eastAsia="zh-CN"/>
        </w:rPr>
        <w:t>之后，电信发展局（</w:t>
      </w:r>
      <w:r w:rsidR="00BA54DE">
        <w:rPr>
          <w:lang w:val="zh-CN" w:eastAsia="zh-CN"/>
        </w:rPr>
        <w:t>BDT</w:t>
      </w:r>
      <w:r w:rsidR="00BA54DE">
        <w:rPr>
          <w:lang w:val="zh-CN" w:eastAsia="zh-CN"/>
        </w:rPr>
        <w:t>）与相关合作伙伴协作，确定、制定和实施了有助于实施为</w:t>
      </w:r>
      <w:r w:rsidR="00BA54DE">
        <w:rPr>
          <w:lang w:val="zh-CN" w:eastAsia="zh-CN"/>
        </w:rPr>
        <w:t>WTDC-22</w:t>
      </w:r>
      <w:r w:rsidR="00BA54DE">
        <w:rPr>
          <w:lang w:val="zh-CN" w:eastAsia="zh-CN"/>
        </w:rPr>
        <w:t>确定的优先事项的广泛项目。这些项目亦有助于区域性举措的实施，以满足各区域的特殊需求。电信发展局项目有助于根据《基加利行动计划》以及国际电联六个区域中每个区域的战略规划确定的</w:t>
      </w:r>
      <w:r w:rsidR="00BA54DE">
        <w:rPr>
          <w:lang w:val="zh-CN" w:eastAsia="zh-CN"/>
        </w:rPr>
        <w:t>ITU-D</w:t>
      </w:r>
      <w:r w:rsidR="00BA54DE">
        <w:rPr>
          <w:lang w:val="zh-CN" w:eastAsia="zh-CN"/>
        </w:rPr>
        <w:t>重点工作和推动因素开发各种产品和服务。</w:t>
      </w:r>
      <w:r w:rsidR="00BA54DE">
        <w:rPr>
          <w:lang w:val="zh-CN" w:eastAsia="zh-CN"/>
        </w:rPr>
        <w:t>WTDC-22</w:t>
      </w:r>
      <w:r w:rsidR="00BA54DE">
        <w:rPr>
          <w:lang w:val="zh-CN" w:eastAsia="zh-CN"/>
        </w:rPr>
        <w:t>通过的</w:t>
      </w:r>
      <w:r w:rsidR="00BA54DE">
        <w:rPr>
          <w:lang w:val="zh-CN" w:eastAsia="zh-CN"/>
        </w:rPr>
        <w:t>2023-2025</w:t>
      </w:r>
      <w:r w:rsidR="00BA54DE">
        <w:rPr>
          <w:lang w:val="zh-CN" w:eastAsia="zh-CN"/>
        </w:rPr>
        <w:t>年期间每项区域性举措下实施和</w:t>
      </w:r>
      <w:r w:rsidR="00BA54DE">
        <w:rPr>
          <w:lang w:val="zh-CN" w:eastAsia="zh-CN"/>
        </w:rPr>
        <w:t>/</w:t>
      </w:r>
      <w:r w:rsidR="00BA54DE">
        <w:rPr>
          <w:lang w:val="zh-CN" w:eastAsia="zh-CN"/>
        </w:rPr>
        <w:t>或正在进行的项目在</w:t>
      </w:r>
      <w:hyperlink r:id="rId26">
        <w:r w:rsidR="007C476A" w:rsidRPr="00292323">
          <w:rPr>
            <w:rStyle w:val="Hyperlink"/>
            <w:rFonts w:cstheme="minorHAnsi"/>
            <w:szCs w:val="24"/>
            <w:lang w:eastAsia="zh-CN"/>
          </w:rPr>
          <w:t>TDAG-25/INF/4</w:t>
        </w:r>
      </w:hyperlink>
      <w:r w:rsidR="00BA54DE">
        <w:rPr>
          <w:lang w:val="zh-CN" w:eastAsia="zh-CN"/>
        </w:rPr>
        <w:t>号情况通报文件中对应。</w:t>
      </w:r>
    </w:p>
    <w:p w14:paraId="73E1B2E8" w14:textId="36FF2C21" w:rsidR="00BA54DE" w:rsidRPr="00292323" w:rsidRDefault="00FB3949" w:rsidP="007F586D">
      <w:pPr>
        <w:rPr>
          <w:rFonts w:cstheme="minorHAnsi"/>
          <w:szCs w:val="24"/>
          <w:lang w:eastAsia="zh-CN"/>
        </w:rPr>
      </w:pPr>
      <w:r>
        <w:rPr>
          <w:rFonts w:hint="eastAsia"/>
          <w:lang w:val="zh-CN" w:eastAsia="zh-CN"/>
        </w:rPr>
        <w:t>1.4</w:t>
      </w:r>
      <w:r>
        <w:rPr>
          <w:lang w:val="zh-CN" w:eastAsia="zh-CN"/>
        </w:rPr>
        <w:tab/>
      </w:r>
      <w:r w:rsidR="00BA54DE" w:rsidRPr="0025590B">
        <w:rPr>
          <w:b/>
          <w:bCs/>
          <w:lang w:val="zh-CN" w:eastAsia="zh-CN"/>
        </w:rPr>
        <w:t>区域发展论坛（</w:t>
      </w:r>
      <w:r w:rsidR="00BA54DE" w:rsidRPr="0025590B">
        <w:rPr>
          <w:b/>
          <w:bCs/>
          <w:lang w:val="zh-CN" w:eastAsia="zh-CN"/>
        </w:rPr>
        <w:t>RDF</w:t>
      </w:r>
      <w:r w:rsidR="00BA54DE" w:rsidRPr="0025590B">
        <w:rPr>
          <w:b/>
          <w:bCs/>
          <w:lang w:val="zh-CN" w:eastAsia="zh-CN"/>
        </w:rPr>
        <w:t>）</w:t>
      </w:r>
      <w:r w:rsidR="00BA54DE">
        <w:rPr>
          <w:lang w:val="zh-CN" w:eastAsia="zh-CN"/>
        </w:rPr>
        <w:t>：</w:t>
      </w:r>
      <w:r w:rsidR="00BA54DE">
        <w:rPr>
          <w:lang w:val="zh-CN" w:eastAsia="zh-CN"/>
        </w:rPr>
        <w:t>2025</w:t>
      </w:r>
      <w:r w:rsidR="00BA54DE">
        <w:rPr>
          <w:lang w:val="zh-CN" w:eastAsia="zh-CN"/>
        </w:rPr>
        <w:t>年</w:t>
      </w:r>
      <w:r w:rsidR="00BA54DE">
        <w:rPr>
          <w:lang w:val="zh-CN" w:eastAsia="zh-CN"/>
        </w:rPr>
        <w:t>2</w:t>
      </w:r>
      <w:r w:rsidR="00BA54DE">
        <w:rPr>
          <w:lang w:val="zh-CN" w:eastAsia="zh-CN"/>
        </w:rPr>
        <w:t>月至</w:t>
      </w:r>
      <w:r w:rsidR="00BA54DE">
        <w:rPr>
          <w:lang w:val="zh-CN" w:eastAsia="zh-CN"/>
        </w:rPr>
        <w:t>4</w:t>
      </w:r>
      <w:r w:rsidR="00BA54DE">
        <w:rPr>
          <w:lang w:val="zh-CN" w:eastAsia="zh-CN"/>
        </w:rPr>
        <w:t>月期间，电信发展局组织了一系列六个</w:t>
      </w:r>
      <w:r w:rsidR="00BA54DE">
        <w:rPr>
          <w:lang w:val="zh-CN" w:eastAsia="zh-CN"/>
        </w:rPr>
        <w:t>RDF</w:t>
      </w:r>
      <w:r w:rsidR="00BA54DE">
        <w:rPr>
          <w:lang w:val="zh-CN" w:eastAsia="zh-CN"/>
        </w:rPr>
        <w:t>，与国际电联</w:t>
      </w:r>
      <w:r w:rsidR="00BA54DE">
        <w:rPr>
          <w:lang w:val="zh-CN" w:eastAsia="zh-CN"/>
        </w:rPr>
        <w:t>WTDC-25</w:t>
      </w:r>
      <w:r w:rsidR="00BA54DE">
        <w:rPr>
          <w:lang w:val="zh-CN" w:eastAsia="zh-CN"/>
        </w:rPr>
        <w:t>区域筹备会议背靠背举行。区域发展论坛促进成员国、业界、学术界、民间团体、联合国系统以及区域和国际发展机构和组织之间就具体的区域性电信和</w:t>
      </w:r>
      <w:r w:rsidR="00BA54DE">
        <w:rPr>
          <w:lang w:val="zh-CN" w:eastAsia="zh-CN"/>
        </w:rPr>
        <w:t>ICT</w:t>
      </w:r>
      <w:r w:rsidR="00BA54DE">
        <w:rPr>
          <w:lang w:val="zh-CN" w:eastAsia="zh-CN"/>
        </w:rPr>
        <w:t>事宜结成利益攸关多方伙伴关系。</w:t>
      </w:r>
      <w:r w:rsidR="00BA54DE">
        <w:rPr>
          <w:lang w:val="zh-CN" w:eastAsia="zh-CN"/>
        </w:rPr>
        <w:t>RDF</w:t>
      </w:r>
      <w:r w:rsidR="00BA54DE">
        <w:rPr>
          <w:lang w:val="zh-CN" w:eastAsia="zh-CN"/>
        </w:rPr>
        <w:t>为电信发展局、成员国和</w:t>
      </w:r>
      <w:r w:rsidR="00BA54DE">
        <w:rPr>
          <w:lang w:val="zh-CN" w:eastAsia="zh-CN"/>
        </w:rPr>
        <w:t>ITU-D</w:t>
      </w:r>
      <w:r w:rsidR="00BA54DE">
        <w:rPr>
          <w:lang w:val="zh-CN" w:eastAsia="zh-CN"/>
        </w:rPr>
        <w:t>部门成员之间开展高级别对话提供了机会，主要围绕区域性举措和</w:t>
      </w:r>
      <w:hyperlink r:id="rId27">
        <w:r w:rsidR="0025590B" w:rsidRPr="00292323">
          <w:rPr>
            <w:rStyle w:val="Hyperlink"/>
            <w:rFonts w:cstheme="minorHAnsi"/>
            <w:szCs w:val="24"/>
            <w:lang w:eastAsia="zh-CN"/>
          </w:rPr>
          <w:t>WTDC-22</w:t>
        </w:r>
      </w:hyperlink>
      <w:r w:rsidR="00BA54DE">
        <w:rPr>
          <w:lang w:val="zh-CN" w:eastAsia="zh-CN"/>
        </w:rPr>
        <w:t>通过的《基加利行动计划》的执行情况。</w:t>
      </w:r>
    </w:p>
    <w:p w14:paraId="34996066" w14:textId="4A6AA7B0" w:rsidR="00BA54DE" w:rsidRPr="00292323" w:rsidRDefault="00FB3949" w:rsidP="007F586D">
      <w:pPr>
        <w:rPr>
          <w:rFonts w:cstheme="minorHAnsi"/>
          <w:szCs w:val="24"/>
          <w:lang w:eastAsia="zh-CN"/>
        </w:rPr>
      </w:pPr>
      <w:r>
        <w:rPr>
          <w:rFonts w:hint="eastAsia"/>
          <w:lang w:val="zh-CN" w:eastAsia="zh-CN"/>
        </w:rPr>
        <w:t>1.5</w:t>
      </w:r>
      <w:r>
        <w:rPr>
          <w:lang w:val="zh-CN" w:eastAsia="zh-CN"/>
        </w:rPr>
        <w:tab/>
      </w:r>
      <w:r w:rsidR="00BA54DE" w:rsidRPr="0025590B">
        <w:rPr>
          <w:b/>
          <w:bCs/>
          <w:lang w:val="zh-CN" w:eastAsia="zh-CN"/>
        </w:rPr>
        <w:t>P2C</w:t>
      </w:r>
      <w:r w:rsidR="00BA54DE" w:rsidRPr="0025590B">
        <w:rPr>
          <w:b/>
          <w:bCs/>
          <w:lang w:val="zh-CN" w:eastAsia="zh-CN"/>
        </w:rPr>
        <w:t>牵线搭桥</w:t>
      </w:r>
      <w:r w:rsidR="00BA54DE">
        <w:rPr>
          <w:lang w:val="zh-CN" w:eastAsia="zh-CN"/>
        </w:rPr>
        <w:t>：每个区域发展论坛（</w:t>
      </w:r>
      <w:r w:rsidR="00BA54DE">
        <w:rPr>
          <w:lang w:val="zh-CN" w:eastAsia="zh-CN"/>
        </w:rPr>
        <w:t>RDF</w:t>
      </w:r>
      <w:r w:rsidR="00BA54DE">
        <w:rPr>
          <w:lang w:val="zh-CN" w:eastAsia="zh-CN"/>
        </w:rPr>
        <w:t>）都包括以下</w:t>
      </w:r>
      <w:r w:rsidR="00BA54DE">
        <w:rPr>
          <w:lang w:val="zh-CN" w:eastAsia="zh-CN"/>
        </w:rPr>
        <w:t>P2C</w:t>
      </w:r>
      <w:r w:rsidR="00BA54DE">
        <w:rPr>
          <w:lang w:val="zh-CN" w:eastAsia="zh-CN"/>
        </w:rPr>
        <w:t>牵线搭桥圆桌会议：</w:t>
      </w:r>
    </w:p>
    <w:p w14:paraId="7B13F51B" w14:textId="04724FA0" w:rsidR="00BA54DE" w:rsidRPr="00292323" w:rsidRDefault="0054550C" w:rsidP="0054550C">
      <w:pPr>
        <w:pStyle w:val="enumlev2"/>
        <w:rPr>
          <w:rFonts w:cstheme="minorHAnsi"/>
          <w:szCs w:val="24"/>
          <w:lang w:eastAsia="zh-CN"/>
        </w:rPr>
      </w:pPr>
      <w:r w:rsidRPr="0054550C">
        <w:rPr>
          <w:lang w:val="zh-CN" w:eastAsia="zh-CN"/>
        </w:rPr>
        <w:t>•</w:t>
      </w:r>
      <w:r>
        <w:rPr>
          <w:lang w:val="zh-CN" w:eastAsia="zh-CN"/>
        </w:rPr>
        <w:tab/>
      </w:r>
      <w:r w:rsidR="00BA54DE">
        <w:rPr>
          <w:lang w:val="zh-CN" w:eastAsia="zh-CN"/>
        </w:rPr>
        <w:t>阿拉伯国家（</w:t>
      </w:r>
      <w:r w:rsidR="00BA54DE">
        <w:rPr>
          <w:lang w:val="zh-CN" w:eastAsia="zh-CN"/>
        </w:rPr>
        <w:t>RDF/P2C</w:t>
      </w:r>
      <w:r w:rsidR="00BA54DE">
        <w:rPr>
          <w:lang w:val="zh-CN" w:eastAsia="zh-CN"/>
        </w:rPr>
        <w:t>牵线搭桥圆桌会议）</w:t>
      </w:r>
      <w:r w:rsidR="00663AA0">
        <w:rPr>
          <w:lang w:val="zh-CN" w:eastAsia="zh-CN"/>
        </w:rPr>
        <w:t>于</w:t>
      </w:r>
      <w:r w:rsidR="00BA54DE">
        <w:rPr>
          <w:lang w:val="zh-CN" w:eastAsia="zh-CN"/>
        </w:rPr>
        <w:t>2025</w:t>
      </w:r>
      <w:r w:rsidR="00BA54DE">
        <w:rPr>
          <w:lang w:val="zh-CN" w:eastAsia="zh-CN"/>
        </w:rPr>
        <w:t>年</w:t>
      </w:r>
      <w:r w:rsidR="00BA54DE">
        <w:rPr>
          <w:lang w:val="zh-CN" w:eastAsia="zh-CN"/>
        </w:rPr>
        <w:t>2</w:t>
      </w:r>
      <w:r w:rsidR="00BA54DE">
        <w:rPr>
          <w:lang w:val="zh-CN" w:eastAsia="zh-CN"/>
        </w:rPr>
        <w:t>月</w:t>
      </w:r>
      <w:r w:rsidR="00BA54DE">
        <w:rPr>
          <w:lang w:val="zh-CN" w:eastAsia="zh-CN"/>
        </w:rPr>
        <w:t>3</w:t>
      </w:r>
      <w:r w:rsidR="00BA54DE">
        <w:rPr>
          <w:lang w:val="zh-CN" w:eastAsia="zh-CN"/>
        </w:rPr>
        <w:t>日</w:t>
      </w:r>
      <w:r w:rsidR="00663AA0">
        <w:rPr>
          <w:rFonts w:hint="eastAsia"/>
          <w:lang w:val="zh-CN" w:eastAsia="zh-CN"/>
        </w:rPr>
        <w:t>在</w:t>
      </w:r>
      <w:r w:rsidR="00BA54DE">
        <w:rPr>
          <w:lang w:val="zh-CN" w:eastAsia="zh-CN"/>
        </w:rPr>
        <w:t>约旦安曼</w:t>
      </w:r>
      <w:r w:rsidR="00663AA0">
        <w:rPr>
          <w:lang w:val="zh-CN" w:eastAsia="zh-CN"/>
        </w:rPr>
        <w:t>举行。</w:t>
      </w:r>
    </w:p>
    <w:p w14:paraId="47AEF4A9" w14:textId="07856F0F" w:rsidR="00BA54DE" w:rsidRPr="00292323" w:rsidRDefault="0054550C" w:rsidP="0054550C">
      <w:pPr>
        <w:pStyle w:val="enumlev2"/>
        <w:rPr>
          <w:rFonts w:cstheme="minorHAnsi"/>
          <w:szCs w:val="24"/>
          <w:lang w:eastAsia="zh-CN"/>
        </w:rPr>
      </w:pPr>
      <w:r w:rsidRPr="0054550C">
        <w:rPr>
          <w:lang w:val="zh-CN" w:eastAsia="zh-CN"/>
        </w:rPr>
        <w:lastRenderedPageBreak/>
        <w:t>•</w:t>
      </w:r>
      <w:r>
        <w:rPr>
          <w:lang w:val="zh-CN" w:eastAsia="zh-CN"/>
        </w:rPr>
        <w:tab/>
      </w:r>
      <w:r w:rsidR="00BA54DE">
        <w:rPr>
          <w:lang w:val="zh-CN" w:eastAsia="zh-CN"/>
        </w:rPr>
        <w:t>欧洲（</w:t>
      </w:r>
      <w:r w:rsidR="00BA54DE">
        <w:rPr>
          <w:lang w:val="zh-CN" w:eastAsia="zh-CN"/>
        </w:rPr>
        <w:t>RDF/P2C</w:t>
      </w:r>
      <w:r w:rsidR="00BA54DE">
        <w:rPr>
          <w:lang w:val="zh-CN" w:eastAsia="zh-CN"/>
        </w:rPr>
        <w:t>关于促进发展的伙伴关系牵线搭桥圆桌会议）于</w:t>
      </w:r>
      <w:r w:rsidR="00BA54DE">
        <w:rPr>
          <w:lang w:val="zh-CN" w:eastAsia="zh-CN"/>
        </w:rPr>
        <w:t>2025</w:t>
      </w:r>
      <w:r w:rsidR="00BA54DE">
        <w:rPr>
          <w:lang w:val="zh-CN" w:eastAsia="zh-CN"/>
        </w:rPr>
        <w:t>年</w:t>
      </w:r>
      <w:r w:rsidR="00BA54DE">
        <w:rPr>
          <w:lang w:val="zh-CN" w:eastAsia="zh-CN"/>
        </w:rPr>
        <w:t>2</w:t>
      </w:r>
      <w:r w:rsidR="00BA54DE">
        <w:rPr>
          <w:lang w:val="zh-CN" w:eastAsia="zh-CN"/>
        </w:rPr>
        <w:t>月</w:t>
      </w:r>
      <w:r w:rsidR="00BA54DE">
        <w:rPr>
          <w:lang w:val="zh-CN" w:eastAsia="zh-CN"/>
        </w:rPr>
        <w:t>24</w:t>
      </w:r>
      <w:r w:rsidR="00BA54DE">
        <w:rPr>
          <w:lang w:val="zh-CN" w:eastAsia="zh-CN"/>
        </w:rPr>
        <w:t>日在匈牙利布达佩斯举行。</w:t>
      </w:r>
    </w:p>
    <w:p w14:paraId="1DECC7F2" w14:textId="250243AE" w:rsidR="00BA54DE" w:rsidRPr="00292323" w:rsidRDefault="0054550C" w:rsidP="0054550C">
      <w:pPr>
        <w:pStyle w:val="enumlev2"/>
        <w:rPr>
          <w:rFonts w:cstheme="minorHAnsi"/>
          <w:szCs w:val="24"/>
          <w:lang w:eastAsia="zh-CN"/>
        </w:rPr>
      </w:pPr>
      <w:r w:rsidRPr="0054550C">
        <w:rPr>
          <w:lang w:val="zh-CN" w:eastAsia="zh-CN"/>
        </w:rPr>
        <w:t>•</w:t>
      </w:r>
      <w:r>
        <w:rPr>
          <w:lang w:val="zh-CN" w:eastAsia="zh-CN"/>
        </w:rPr>
        <w:tab/>
      </w:r>
      <w:r w:rsidR="00BA54DE">
        <w:rPr>
          <w:lang w:val="zh-CN" w:eastAsia="zh-CN"/>
        </w:rPr>
        <w:t>亚太地区（</w:t>
      </w:r>
      <w:r w:rsidR="00BA54DE">
        <w:rPr>
          <w:lang w:val="zh-CN" w:eastAsia="zh-CN"/>
        </w:rPr>
        <w:t>RDF/P2C</w:t>
      </w:r>
      <w:r w:rsidR="00BA54DE">
        <w:rPr>
          <w:lang w:val="zh-CN" w:eastAsia="zh-CN"/>
        </w:rPr>
        <w:t>牵线搭桥圆桌会议）</w:t>
      </w:r>
      <w:r w:rsidR="00663AA0">
        <w:rPr>
          <w:lang w:val="zh-CN" w:eastAsia="zh-CN"/>
        </w:rPr>
        <w:t>于</w:t>
      </w:r>
      <w:r w:rsidR="00BA54DE">
        <w:rPr>
          <w:lang w:val="zh-CN" w:eastAsia="zh-CN"/>
        </w:rPr>
        <w:t>2025</w:t>
      </w:r>
      <w:r w:rsidR="00BA54DE">
        <w:rPr>
          <w:lang w:val="zh-CN" w:eastAsia="zh-CN"/>
        </w:rPr>
        <w:t>年</w:t>
      </w:r>
      <w:r w:rsidR="00BA54DE">
        <w:rPr>
          <w:lang w:val="zh-CN" w:eastAsia="zh-CN"/>
        </w:rPr>
        <w:t>3</w:t>
      </w:r>
      <w:r w:rsidR="00BA54DE">
        <w:rPr>
          <w:lang w:val="zh-CN" w:eastAsia="zh-CN"/>
        </w:rPr>
        <w:t>月</w:t>
      </w:r>
      <w:r w:rsidR="00BA54DE">
        <w:rPr>
          <w:lang w:val="zh-CN" w:eastAsia="zh-CN"/>
        </w:rPr>
        <w:t>19</w:t>
      </w:r>
      <w:r w:rsidR="00BA54DE">
        <w:rPr>
          <w:lang w:val="zh-CN" w:eastAsia="zh-CN"/>
        </w:rPr>
        <w:t>日</w:t>
      </w:r>
      <w:r w:rsidR="00663AA0">
        <w:rPr>
          <w:rFonts w:hint="eastAsia"/>
          <w:lang w:val="zh-CN" w:eastAsia="zh-CN"/>
        </w:rPr>
        <w:t>在</w:t>
      </w:r>
      <w:r w:rsidR="00BA54DE">
        <w:rPr>
          <w:lang w:val="zh-CN" w:eastAsia="zh-CN"/>
        </w:rPr>
        <w:t>泰国曼谷</w:t>
      </w:r>
      <w:r w:rsidR="00663AA0">
        <w:rPr>
          <w:rFonts w:hint="eastAsia"/>
          <w:lang w:val="zh-CN" w:eastAsia="zh-CN"/>
        </w:rPr>
        <w:t>举行。</w:t>
      </w:r>
    </w:p>
    <w:p w14:paraId="1FBF4C82" w14:textId="62EB2AA6" w:rsidR="00BA54DE" w:rsidRPr="00292323" w:rsidRDefault="0054550C" w:rsidP="0054550C">
      <w:pPr>
        <w:pStyle w:val="enumlev2"/>
        <w:rPr>
          <w:rFonts w:cstheme="minorHAnsi"/>
          <w:szCs w:val="24"/>
          <w:lang w:eastAsia="zh-CN"/>
        </w:rPr>
      </w:pPr>
      <w:r w:rsidRPr="0054550C">
        <w:rPr>
          <w:lang w:val="zh-CN" w:eastAsia="zh-CN"/>
        </w:rPr>
        <w:t>•</w:t>
      </w:r>
      <w:r>
        <w:rPr>
          <w:lang w:val="zh-CN" w:eastAsia="zh-CN"/>
        </w:rPr>
        <w:tab/>
      </w:r>
      <w:r w:rsidR="00BA54DE">
        <w:rPr>
          <w:lang w:val="zh-CN" w:eastAsia="zh-CN"/>
        </w:rPr>
        <w:t>美洲（</w:t>
      </w:r>
      <w:r w:rsidR="00BA54DE">
        <w:rPr>
          <w:lang w:val="zh-CN" w:eastAsia="zh-CN"/>
        </w:rPr>
        <w:t>RDF/P2C</w:t>
      </w:r>
      <w:r w:rsidR="00BA54DE">
        <w:rPr>
          <w:lang w:val="zh-CN" w:eastAsia="zh-CN"/>
        </w:rPr>
        <w:t>牵线搭桥圆桌会议）</w:t>
      </w:r>
      <w:r w:rsidR="00663AA0">
        <w:rPr>
          <w:rFonts w:hint="eastAsia"/>
          <w:lang w:val="zh-CN" w:eastAsia="zh-CN"/>
        </w:rPr>
        <w:t>于</w:t>
      </w:r>
      <w:r w:rsidR="00BA54DE">
        <w:rPr>
          <w:lang w:val="zh-CN" w:eastAsia="zh-CN"/>
        </w:rPr>
        <w:t>2025</w:t>
      </w:r>
      <w:r w:rsidR="00BA54DE">
        <w:rPr>
          <w:lang w:val="zh-CN" w:eastAsia="zh-CN"/>
        </w:rPr>
        <w:t>年</w:t>
      </w:r>
      <w:r w:rsidR="00BA54DE">
        <w:rPr>
          <w:lang w:val="zh-CN" w:eastAsia="zh-CN"/>
        </w:rPr>
        <w:t>3</w:t>
      </w:r>
      <w:r w:rsidR="00BA54DE">
        <w:rPr>
          <w:lang w:val="zh-CN" w:eastAsia="zh-CN"/>
        </w:rPr>
        <w:t>月</w:t>
      </w:r>
      <w:r w:rsidR="00BA54DE">
        <w:rPr>
          <w:lang w:val="zh-CN" w:eastAsia="zh-CN"/>
        </w:rPr>
        <w:t>31</w:t>
      </w:r>
      <w:r w:rsidR="00BA54DE">
        <w:rPr>
          <w:lang w:val="zh-CN" w:eastAsia="zh-CN"/>
        </w:rPr>
        <w:t>日</w:t>
      </w:r>
      <w:r w:rsidR="00663AA0">
        <w:rPr>
          <w:rFonts w:hint="eastAsia"/>
          <w:lang w:val="zh-CN" w:eastAsia="zh-CN"/>
        </w:rPr>
        <w:t>在</w:t>
      </w:r>
      <w:r w:rsidR="00BA54DE">
        <w:rPr>
          <w:lang w:val="zh-CN" w:eastAsia="zh-CN"/>
        </w:rPr>
        <w:t>巴拉圭亚松森</w:t>
      </w:r>
      <w:r w:rsidR="00663AA0">
        <w:rPr>
          <w:rFonts w:hint="eastAsia"/>
          <w:lang w:val="zh-CN" w:eastAsia="zh-CN"/>
        </w:rPr>
        <w:t>举行。</w:t>
      </w:r>
    </w:p>
    <w:p w14:paraId="08E6D68B" w14:textId="72D0043C" w:rsidR="00BA54DE" w:rsidRPr="00292323" w:rsidRDefault="0054550C" w:rsidP="0054550C">
      <w:pPr>
        <w:pStyle w:val="enumlev2"/>
        <w:rPr>
          <w:rFonts w:cstheme="minorHAnsi"/>
          <w:szCs w:val="24"/>
          <w:lang w:eastAsia="zh-CN"/>
        </w:rPr>
      </w:pPr>
      <w:r w:rsidRPr="0054550C">
        <w:rPr>
          <w:lang w:val="zh-CN" w:eastAsia="zh-CN"/>
        </w:rPr>
        <w:t>•</w:t>
      </w:r>
      <w:r>
        <w:rPr>
          <w:lang w:val="zh-CN" w:eastAsia="zh-CN"/>
        </w:rPr>
        <w:tab/>
      </w:r>
      <w:r w:rsidR="00BA54DE">
        <w:rPr>
          <w:lang w:val="zh-CN" w:eastAsia="zh-CN"/>
        </w:rPr>
        <w:t>非洲（</w:t>
      </w:r>
      <w:r w:rsidR="00BA54DE">
        <w:rPr>
          <w:lang w:val="zh-CN" w:eastAsia="zh-CN"/>
        </w:rPr>
        <w:t>RDF/P2C</w:t>
      </w:r>
      <w:r w:rsidR="00BA54DE">
        <w:rPr>
          <w:lang w:val="zh-CN" w:eastAsia="zh-CN"/>
        </w:rPr>
        <w:t>牵线搭桥圆桌会议）</w:t>
      </w:r>
      <w:r w:rsidR="00663AA0">
        <w:rPr>
          <w:rFonts w:hint="eastAsia"/>
          <w:lang w:val="zh-CN" w:eastAsia="zh-CN"/>
        </w:rPr>
        <w:t>于</w:t>
      </w:r>
      <w:r w:rsidR="00BA54DE">
        <w:rPr>
          <w:lang w:val="zh-CN" w:eastAsia="zh-CN"/>
        </w:rPr>
        <w:t>2025</w:t>
      </w:r>
      <w:r w:rsidR="00BA54DE">
        <w:rPr>
          <w:lang w:val="zh-CN" w:eastAsia="zh-CN"/>
        </w:rPr>
        <w:t>年</w:t>
      </w:r>
      <w:r w:rsidR="00BA54DE">
        <w:rPr>
          <w:lang w:val="zh-CN" w:eastAsia="zh-CN"/>
        </w:rPr>
        <w:t>4</w:t>
      </w:r>
      <w:r w:rsidR="00BA54DE">
        <w:rPr>
          <w:lang w:val="zh-CN" w:eastAsia="zh-CN"/>
        </w:rPr>
        <w:t>月</w:t>
      </w:r>
      <w:r w:rsidR="00BA54DE">
        <w:rPr>
          <w:lang w:val="zh-CN" w:eastAsia="zh-CN"/>
        </w:rPr>
        <w:t>7</w:t>
      </w:r>
      <w:r w:rsidR="00BA54DE">
        <w:rPr>
          <w:lang w:val="zh-CN" w:eastAsia="zh-CN"/>
        </w:rPr>
        <w:t>日</w:t>
      </w:r>
      <w:r w:rsidR="00663AA0">
        <w:rPr>
          <w:rFonts w:hint="eastAsia"/>
          <w:lang w:val="zh-CN" w:eastAsia="zh-CN"/>
        </w:rPr>
        <w:t>在</w:t>
      </w:r>
      <w:r w:rsidR="00BA54DE">
        <w:rPr>
          <w:lang w:val="zh-CN" w:eastAsia="zh-CN"/>
        </w:rPr>
        <w:t>肯尼亚内罗毕</w:t>
      </w:r>
      <w:r w:rsidR="00663AA0">
        <w:rPr>
          <w:rFonts w:hint="eastAsia"/>
          <w:lang w:val="zh-CN" w:eastAsia="zh-CN"/>
        </w:rPr>
        <w:t>举行。</w:t>
      </w:r>
    </w:p>
    <w:p w14:paraId="1AC158A2" w14:textId="313F5B26" w:rsidR="00BA54DE" w:rsidRDefault="0054550C" w:rsidP="0054550C">
      <w:pPr>
        <w:pStyle w:val="enumlev2"/>
        <w:rPr>
          <w:lang w:val="zh-CN" w:eastAsia="zh-CN"/>
        </w:rPr>
      </w:pPr>
      <w:r w:rsidRPr="0054550C">
        <w:rPr>
          <w:lang w:val="zh-CN" w:eastAsia="zh-CN"/>
        </w:rPr>
        <w:t>•</w:t>
      </w:r>
      <w:r>
        <w:rPr>
          <w:lang w:val="zh-CN" w:eastAsia="zh-CN"/>
        </w:rPr>
        <w:tab/>
      </w:r>
      <w:r w:rsidR="00BA54DE">
        <w:rPr>
          <w:lang w:val="zh-CN" w:eastAsia="zh-CN"/>
        </w:rPr>
        <w:t>独立国家联合体</w:t>
      </w:r>
      <w:r w:rsidR="00BA54DE">
        <w:rPr>
          <w:lang w:val="zh-CN" w:eastAsia="zh-CN"/>
        </w:rPr>
        <w:t xml:space="preserve"> – </w:t>
      </w:r>
      <w:r w:rsidR="00BA54DE">
        <w:rPr>
          <w:lang w:val="zh-CN" w:eastAsia="zh-CN"/>
        </w:rPr>
        <w:t>独联体国家（</w:t>
      </w:r>
      <w:r w:rsidR="00BA54DE">
        <w:rPr>
          <w:lang w:val="zh-CN" w:eastAsia="zh-CN"/>
        </w:rPr>
        <w:t>RDF/P2C</w:t>
      </w:r>
      <w:r w:rsidR="00BA54DE">
        <w:rPr>
          <w:lang w:val="zh-CN" w:eastAsia="zh-CN"/>
        </w:rPr>
        <w:t>牵线搭桥圆桌会议）</w:t>
      </w:r>
      <w:r w:rsidR="0060545E">
        <w:rPr>
          <w:rFonts w:hint="eastAsia"/>
          <w:lang w:val="zh-CN" w:eastAsia="zh-CN"/>
        </w:rPr>
        <w:t>于</w:t>
      </w:r>
      <w:r w:rsidR="00BA54DE">
        <w:rPr>
          <w:lang w:val="zh-CN" w:eastAsia="zh-CN"/>
        </w:rPr>
        <w:t>2025</w:t>
      </w:r>
      <w:r w:rsidR="00BA54DE">
        <w:rPr>
          <w:lang w:val="zh-CN" w:eastAsia="zh-CN"/>
        </w:rPr>
        <w:t>年</w:t>
      </w:r>
      <w:r w:rsidR="00BA54DE">
        <w:rPr>
          <w:lang w:val="zh-CN" w:eastAsia="zh-CN"/>
        </w:rPr>
        <w:t>4</w:t>
      </w:r>
      <w:r w:rsidR="00BA54DE">
        <w:rPr>
          <w:lang w:val="zh-CN" w:eastAsia="zh-CN"/>
        </w:rPr>
        <w:t>月</w:t>
      </w:r>
      <w:r w:rsidR="00BA54DE">
        <w:rPr>
          <w:lang w:val="zh-CN" w:eastAsia="zh-CN"/>
        </w:rPr>
        <w:t>23</w:t>
      </w:r>
      <w:r w:rsidR="00BA54DE">
        <w:rPr>
          <w:lang w:val="zh-CN" w:eastAsia="zh-CN"/>
        </w:rPr>
        <w:t>日</w:t>
      </w:r>
      <w:r w:rsidR="0060545E">
        <w:rPr>
          <w:rFonts w:hint="eastAsia"/>
          <w:lang w:val="zh-CN" w:eastAsia="zh-CN"/>
        </w:rPr>
        <w:t>在</w:t>
      </w:r>
      <w:r w:rsidR="00BA54DE">
        <w:rPr>
          <w:lang w:val="zh-CN" w:eastAsia="zh-CN"/>
        </w:rPr>
        <w:t>吉尔吉斯斯坦比什凯克</w:t>
      </w:r>
      <w:r w:rsidR="0060545E">
        <w:rPr>
          <w:rFonts w:hint="eastAsia"/>
          <w:lang w:val="zh-CN" w:eastAsia="zh-CN"/>
        </w:rPr>
        <w:t>举行。</w:t>
      </w:r>
    </w:p>
    <w:p w14:paraId="436A0F35" w14:textId="78AFE599" w:rsidR="00FB3949" w:rsidRDefault="00FB3949" w:rsidP="007F586D">
      <w:pPr>
        <w:rPr>
          <w:lang w:val="zh-CN" w:eastAsia="zh-CN"/>
        </w:rPr>
      </w:pPr>
      <w:r w:rsidRPr="00B2032F">
        <w:rPr>
          <w:rFonts w:hint="eastAsia"/>
          <w:lang w:val="zh-CN" w:eastAsia="zh-CN"/>
        </w:rPr>
        <w:t>1.6</w:t>
      </w:r>
      <w:r>
        <w:rPr>
          <w:b/>
          <w:bCs/>
          <w:lang w:val="zh-CN" w:eastAsia="zh-CN"/>
        </w:rPr>
        <w:tab/>
      </w:r>
      <w:r w:rsidRPr="0025590B">
        <w:rPr>
          <w:rFonts w:hint="eastAsia"/>
          <w:b/>
          <w:bCs/>
          <w:lang w:val="zh-CN" w:eastAsia="zh-CN"/>
        </w:rPr>
        <w:t>利益攸关方的参与</w:t>
      </w:r>
      <w:r>
        <w:rPr>
          <w:lang w:val="zh-CN" w:eastAsia="zh-CN"/>
        </w:rPr>
        <w:t>：</w:t>
      </w:r>
      <w:r>
        <w:rPr>
          <w:lang w:val="zh-CN" w:eastAsia="zh-CN"/>
        </w:rPr>
        <w:t>202</w:t>
      </w:r>
      <w:r>
        <w:rPr>
          <w:rFonts w:hint="eastAsia"/>
          <w:lang w:val="zh-CN" w:eastAsia="zh-CN"/>
        </w:rPr>
        <w:t>4</w:t>
      </w:r>
      <w:r>
        <w:rPr>
          <w:lang w:val="zh-CN" w:eastAsia="zh-CN"/>
        </w:rPr>
        <w:t>年</w:t>
      </w:r>
      <w:r>
        <w:rPr>
          <w:rFonts w:hint="eastAsia"/>
          <w:lang w:val="zh-CN" w:eastAsia="zh-CN"/>
        </w:rPr>
        <w:t>5</w:t>
      </w:r>
      <w:r>
        <w:rPr>
          <w:lang w:val="zh-CN" w:eastAsia="zh-CN"/>
        </w:rPr>
        <w:t>月至</w:t>
      </w:r>
      <w:r>
        <w:rPr>
          <w:lang w:val="zh-CN" w:eastAsia="zh-CN"/>
        </w:rPr>
        <w:t>202</w:t>
      </w:r>
      <w:r>
        <w:rPr>
          <w:rFonts w:hint="eastAsia"/>
          <w:lang w:val="zh-CN" w:eastAsia="zh-CN"/>
        </w:rPr>
        <w:t>5</w:t>
      </w:r>
      <w:r>
        <w:rPr>
          <w:lang w:val="zh-CN" w:eastAsia="zh-CN"/>
        </w:rPr>
        <w:t>年</w:t>
      </w:r>
      <w:r>
        <w:rPr>
          <w:rFonts w:hint="eastAsia"/>
          <w:lang w:val="zh-CN" w:eastAsia="zh-CN"/>
        </w:rPr>
        <w:t>3</w:t>
      </w:r>
      <w:r>
        <w:rPr>
          <w:lang w:val="zh-CN" w:eastAsia="zh-CN"/>
        </w:rPr>
        <w:t>月期间，国际电联与众多合作伙伴签署了</w:t>
      </w:r>
      <w:r>
        <w:rPr>
          <w:lang w:val="zh-CN" w:eastAsia="zh-CN"/>
        </w:rPr>
        <w:t>73</w:t>
      </w:r>
      <w:r>
        <w:rPr>
          <w:lang w:val="zh-CN" w:eastAsia="zh-CN"/>
        </w:rPr>
        <w:t>项协议。更多详情见</w:t>
      </w:r>
      <w:hyperlink r:id="rId28" w:anchor="/zh" w:history="1">
        <w:r w:rsidRPr="0025590B">
          <w:rPr>
            <w:rStyle w:val="Hyperlink"/>
            <w:lang w:val="zh-CN" w:eastAsia="zh-CN"/>
          </w:rPr>
          <w:t>ITU-D</w:t>
        </w:r>
        <w:r w:rsidRPr="0025590B">
          <w:rPr>
            <w:rStyle w:val="Hyperlink"/>
            <w:lang w:val="zh-CN" w:eastAsia="zh-CN"/>
          </w:rPr>
          <w:t>伙伴关系网页</w:t>
        </w:r>
      </w:hyperlink>
      <w:r>
        <w:rPr>
          <w:lang w:val="zh-CN" w:eastAsia="zh-CN"/>
        </w:rPr>
        <w:t>。</w:t>
      </w:r>
    </w:p>
    <w:p w14:paraId="5D1D3F19" w14:textId="0F08168C" w:rsidR="00FB3949" w:rsidRPr="00292323" w:rsidRDefault="00FB3949" w:rsidP="007F586D">
      <w:pPr>
        <w:rPr>
          <w:rFonts w:cstheme="minorHAnsi"/>
          <w:b/>
          <w:bCs/>
          <w:szCs w:val="24"/>
          <w:lang w:eastAsia="zh-CN"/>
        </w:rPr>
      </w:pPr>
      <w:r>
        <w:rPr>
          <w:rFonts w:hint="eastAsia"/>
          <w:lang w:val="zh-CN" w:eastAsia="zh-CN"/>
        </w:rPr>
        <w:t>1.7</w:t>
      </w:r>
      <w:r>
        <w:rPr>
          <w:lang w:val="zh-CN" w:eastAsia="zh-CN"/>
        </w:rPr>
        <w:tab/>
      </w:r>
      <w:r w:rsidRPr="007C476A">
        <w:rPr>
          <w:b/>
          <w:bCs/>
          <w:lang w:val="zh-CN" w:eastAsia="zh-CN"/>
        </w:rPr>
        <w:t>签署的新项目</w:t>
      </w:r>
      <w:r>
        <w:rPr>
          <w:lang w:val="zh-CN" w:eastAsia="zh-CN"/>
        </w:rPr>
        <w:t>：</w:t>
      </w:r>
      <w:r w:rsidRPr="0025590B">
        <w:rPr>
          <w:rFonts w:hint="eastAsia"/>
          <w:lang w:val="zh-CN" w:eastAsia="zh-CN"/>
        </w:rPr>
        <w:t>自</w:t>
      </w:r>
      <w:r w:rsidRPr="0025590B">
        <w:rPr>
          <w:rFonts w:hint="eastAsia"/>
          <w:lang w:val="zh-CN" w:eastAsia="zh-CN"/>
        </w:rPr>
        <w:t>2024</w:t>
      </w:r>
      <w:r w:rsidRPr="0025590B">
        <w:rPr>
          <w:rFonts w:hint="eastAsia"/>
          <w:lang w:val="zh-CN" w:eastAsia="zh-CN"/>
        </w:rPr>
        <w:t>年</w:t>
      </w:r>
      <w:r w:rsidRPr="0025590B">
        <w:rPr>
          <w:rFonts w:hint="eastAsia"/>
          <w:lang w:val="zh-CN" w:eastAsia="zh-CN"/>
        </w:rPr>
        <w:t>5</w:t>
      </w:r>
      <w:r w:rsidRPr="0025590B">
        <w:rPr>
          <w:rFonts w:hint="eastAsia"/>
          <w:lang w:val="zh-CN" w:eastAsia="zh-CN"/>
        </w:rPr>
        <w:t>月至</w:t>
      </w:r>
      <w:r w:rsidRPr="0025590B">
        <w:rPr>
          <w:rFonts w:hint="eastAsia"/>
          <w:lang w:val="zh-CN" w:eastAsia="zh-CN"/>
        </w:rPr>
        <w:t>2025</w:t>
      </w:r>
      <w:r w:rsidRPr="0025590B">
        <w:rPr>
          <w:rFonts w:hint="eastAsia"/>
          <w:lang w:val="zh-CN" w:eastAsia="zh-CN"/>
        </w:rPr>
        <w:t>年</w:t>
      </w:r>
      <w:r w:rsidRPr="0025590B">
        <w:rPr>
          <w:rFonts w:hint="eastAsia"/>
          <w:lang w:val="zh-CN" w:eastAsia="zh-CN"/>
        </w:rPr>
        <w:t>3</w:t>
      </w:r>
      <w:r w:rsidRPr="0025590B">
        <w:rPr>
          <w:rFonts w:hint="eastAsia"/>
          <w:lang w:val="zh-CN" w:eastAsia="zh-CN"/>
        </w:rPr>
        <w:t>月，国际电</w:t>
      </w:r>
      <w:proofErr w:type="gramStart"/>
      <w:r w:rsidRPr="0025590B">
        <w:rPr>
          <w:rFonts w:hint="eastAsia"/>
          <w:lang w:val="zh-CN" w:eastAsia="zh-CN"/>
        </w:rPr>
        <w:t>联共签署</w:t>
      </w:r>
      <w:proofErr w:type="gramEnd"/>
      <w:r w:rsidRPr="0025590B">
        <w:rPr>
          <w:rFonts w:hint="eastAsia"/>
          <w:lang w:val="zh-CN" w:eastAsia="zh-CN"/>
        </w:rPr>
        <w:t>了</w:t>
      </w:r>
      <w:r w:rsidRPr="0025590B">
        <w:rPr>
          <w:rFonts w:hint="eastAsia"/>
          <w:lang w:val="zh-CN" w:eastAsia="zh-CN"/>
        </w:rPr>
        <w:t>35</w:t>
      </w:r>
      <w:r w:rsidRPr="0025590B">
        <w:rPr>
          <w:rFonts w:hint="eastAsia"/>
          <w:lang w:val="zh-CN" w:eastAsia="zh-CN"/>
        </w:rPr>
        <w:t>个新项目</w:t>
      </w:r>
      <w:r w:rsidRPr="00FB3949">
        <w:rPr>
          <w:rFonts w:hint="eastAsia"/>
          <w:lang w:val="zh-CN" w:eastAsia="zh-CN"/>
        </w:rPr>
        <w:t>及补充协议</w:t>
      </w:r>
      <w:r w:rsidRPr="0025590B">
        <w:rPr>
          <w:rFonts w:hint="eastAsia"/>
          <w:lang w:val="zh-CN" w:eastAsia="zh-CN"/>
        </w:rPr>
        <w:t>，价值</w:t>
      </w:r>
      <w:r w:rsidRPr="0025590B">
        <w:rPr>
          <w:rFonts w:hint="eastAsia"/>
          <w:lang w:val="zh-CN" w:eastAsia="zh-CN"/>
        </w:rPr>
        <w:t>2670</w:t>
      </w:r>
      <w:proofErr w:type="gramStart"/>
      <w:r w:rsidRPr="0025590B">
        <w:rPr>
          <w:rFonts w:hint="eastAsia"/>
          <w:lang w:val="zh-CN" w:eastAsia="zh-CN"/>
        </w:rPr>
        <w:t>万瑞</w:t>
      </w:r>
      <w:proofErr w:type="gramEnd"/>
      <w:r w:rsidRPr="0025590B">
        <w:rPr>
          <w:rFonts w:hint="eastAsia"/>
          <w:lang w:val="zh-CN" w:eastAsia="zh-CN"/>
        </w:rPr>
        <w:t>郎。</w:t>
      </w:r>
      <w:r w:rsidR="006734C7" w:rsidRPr="006734C7">
        <w:rPr>
          <w:rFonts w:hint="eastAsia"/>
          <w:lang w:val="zh-CN" w:eastAsia="zh-CN"/>
        </w:rPr>
        <w:t>这些数据印证了近年来</w:t>
      </w:r>
      <w:r w:rsidR="006734C7" w:rsidRPr="006734C7">
        <w:rPr>
          <w:rFonts w:hint="eastAsia"/>
          <w:lang w:val="zh-CN" w:eastAsia="zh-CN"/>
        </w:rPr>
        <w:t>BDT</w:t>
      </w:r>
      <w:r w:rsidR="006734C7" w:rsidRPr="006734C7">
        <w:rPr>
          <w:rFonts w:hint="eastAsia"/>
          <w:lang w:val="zh-CN" w:eastAsia="zh-CN"/>
        </w:rPr>
        <w:t>项目筹资持续增长的积极趋势，</w:t>
      </w:r>
      <w:r w:rsidR="006734C7" w:rsidRPr="00FB3949">
        <w:rPr>
          <w:rFonts w:hint="eastAsia"/>
          <w:lang w:val="zh-CN" w:eastAsia="zh-CN"/>
        </w:rPr>
        <w:t>显示出各方对国际电联作为</w:t>
      </w:r>
      <w:r w:rsidR="006734C7" w:rsidRPr="006734C7">
        <w:rPr>
          <w:rFonts w:hint="eastAsia"/>
          <w:lang w:val="zh-CN" w:eastAsia="zh-CN"/>
        </w:rPr>
        <w:t>在为成员国提供技术援助</w:t>
      </w:r>
      <w:r w:rsidR="006734C7" w:rsidRPr="00FB3949">
        <w:rPr>
          <w:rFonts w:hint="eastAsia"/>
          <w:lang w:val="zh-CN" w:eastAsia="zh-CN"/>
        </w:rPr>
        <w:t>以及由第三方捐助方资助的项目</w:t>
      </w:r>
      <w:r w:rsidR="006734C7">
        <w:rPr>
          <w:rFonts w:hint="eastAsia"/>
          <w:lang w:val="zh-CN" w:eastAsia="zh-CN"/>
        </w:rPr>
        <w:t>中</w:t>
      </w:r>
      <w:r w:rsidR="006734C7" w:rsidRPr="00FB3949">
        <w:rPr>
          <w:rFonts w:hint="eastAsia"/>
          <w:lang w:val="zh-CN" w:eastAsia="zh-CN"/>
        </w:rPr>
        <w:t>实施</w:t>
      </w:r>
      <w:r w:rsidR="006734C7" w:rsidRPr="00FB3949">
        <w:rPr>
          <w:rFonts w:hint="eastAsia"/>
          <w:lang w:val="zh-CN" w:eastAsia="zh-CN"/>
        </w:rPr>
        <w:t>ICT</w:t>
      </w:r>
      <w:r w:rsidR="006734C7" w:rsidRPr="00FB3949">
        <w:rPr>
          <w:rFonts w:hint="eastAsia"/>
          <w:lang w:val="zh-CN" w:eastAsia="zh-CN"/>
        </w:rPr>
        <w:t>举措</w:t>
      </w:r>
      <w:r w:rsidR="006734C7">
        <w:rPr>
          <w:rFonts w:hint="eastAsia"/>
          <w:lang w:val="zh-CN" w:eastAsia="zh-CN"/>
        </w:rPr>
        <w:t>的主导</w:t>
      </w:r>
      <w:r w:rsidR="006734C7" w:rsidRPr="00FB3949">
        <w:rPr>
          <w:rFonts w:hint="eastAsia"/>
          <w:lang w:val="zh-CN" w:eastAsia="zh-CN"/>
        </w:rPr>
        <w:t>合作伙伴的信心不断增强</w:t>
      </w:r>
      <w:r w:rsidR="006734C7">
        <w:rPr>
          <w:rFonts w:hint="eastAsia"/>
          <w:lang w:val="zh-CN" w:eastAsia="zh-CN"/>
        </w:rPr>
        <w:t>。</w:t>
      </w:r>
      <w:r>
        <w:rPr>
          <w:lang w:val="zh-CN" w:eastAsia="zh-CN"/>
        </w:rPr>
        <w:t>有关</w:t>
      </w:r>
      <w:r w:rsidR="00B2032F" w:rsidRPr="00FB3949">
        <w:rPr>
          <w:rFonts w:hint="eastAsia"/>
          <w:lang w:val="zh-CN" w:eastAsia="zh-CN"/>
        </w:rPr>
        <w:t>BDT</w:t>
      </w:r>
      <w:r w:rsidR="00B2032F" w:rsidRPr="00FB3949">
        <w:rPr>
          <w:rFonts w:hint="eastAsia"/>
          <w:lang w:val="zh-CN" w:eastAsia="zh-CN"/>
        </w:rPr>
        <w:t>项目实施</w:t>
      </w:r>
      <w:r>
        <w:rPr>
          <w:lang w:val="zh-CN" w:eastAsia="zh-CN"/>
        </w:rPr>
        <w:t>的更多详细信息，可查阅</w:t>
      </w:r>
      <w:hyperlink r:id="rId29" w:history="1">
        <w:r w:rsidRPr="00664878">
          <w:rPr>
            <w:rStyle w:val="Hyperlink"/>
            <w:rFonts w:cstheme="minorHAnsi"/>
            <w:szCs w:val="24"/>
            <w:lang w:eastAsia="zh-CN"/>
          </w:rPr>
          <w:t>TDAG-25/5</w:t>
        </w:r>
      </w:hyperlink>
      <w:r>
        <w:rPr>
          <w:lang w:val="zh-CN" w:eastAsia="zh-CN"/>
        </w:rPr>
        <w:t>号文件以及</w:t>
      </w:r>
      <w:hyperlink r:id="rId30" w:history="1">
        <w:r w:rsidRPr="0025590B">
          <w:rPr>
            <w:rStyle w:val="Hyperlink"/>
            <w:lang w:val="zh-CN" w:eastAsia="zh-CN"/>
          </w:rPr>
          <w:t>ITU-D</w:t>
        </w:r>
        <w:r w:rsidRPr="0025590B">
          <w:rPr>
            <w:rStyle w:val="Hyperlink"/>
            <w:lang w:val="zh-CN" w:eastAsia="zh-CN"/>
          </w:rPr>
          <w:t>项目门户网站</w:t>
        </w:r>
      </w:hyperlink>
      <w:r w:rsidR="00B2032F">
        <w:rPr>
          <w:rFonts w:hint="eastAsia"/>
          <w:lang w:val="zh-CN" w:eastAsia="zh-CN"/>
        </w:rPr>
        <w:t>，</w:t>
      </w:r>
      <w:r w:rsidRPr="00FB3949">
        <w:rPr>
          <w:rFonts w:hint="eastAsia"/>
          <w:lang w:val="zh-CN" w:eastAsia="zh-CN"/>
        </w:rPr>
        <w:t>该网站为</w:t>
      </w:r>
      <w:r w:rsidRPr="00FB3949">
        <w:rPr>
          <w:rFonts w:hint="eastAsia"/>
          <w:lang w:val="zh-CN" w:eastAsia="zh-CN"/>
        </w:rPr>
        <w:t>TDAG</w:t>
      </w:r>
      <w:r w:rsidRPr="00FB3949">
        <w:rPr>
          <w:rFonts w:hint="eastAsia"/>
          <w:lang w:val="zh-CN" w:eastAsia="zh-CN"/>
        </w:rPr>
        <w:t>成员提供了一个互动式信息</w:t>
      </w:r>
      <w:r w:rsidR="00B2032F">
        <w:rPr>
          <w:rFonts w:hint="eastAsia"/>
          <w:lang w:val="zh-CN" w:eastAsia="zh-CN"/>
        </w:rPr>
        <w:t>概览</w:t>
      </w:r>
      <w:r w:rsidRPr="00FB3949">
        <w:rPr>
          <w:rFonts w:hint="eastAsia"/>
          <w:lang w:val="zh-CN" w:eastAsia="zh-CN"/>
        </w:rPr>
        <w:t>，进一步介绍</w:t>
      </w:r>
      <w:r w:rsidRPr="00FB3949">
        <w:rPr>
          <w:rFonts w:hint="eastAsia"/>
          <w:lang w:val="zh-CN" w:eastAsia="zh-CN"/>
        </w:rPr>
        <w:t>BDT</w:t>
      </w:r>
      <w:r w:rsidRPr="00FB3949">
        <w:rPr>
          <w:rFonts w:hint="eastAsia"/>
          <w:lang w:val="zh-CN" w:eastAsia="zh-CN"/>
        </w:rPr>
        <w:t>项目组合情况。</w:t>
      </w:r>
    </w:p>
    <w:p w14:paraId="460A8BA8" w14:textId="4455A4FE" w:rsidR="00FB3949" w:rsidRPr="00292323" w:rsidRDefault="00FB3949" w:rsidP="007F586D">
      <w:pPr>
        <w:rPr>
          <w:rFonts w:cstheme="minorHAnsi"/>
          <w:szCs w:val="24"/>
          <w:lang w:eastAsia="zh-CN"/>
        </w:rPr>
      </w:pPr>
      <w:r>
        <w:rPr>
          <w:rFonts w:hint="eastAsia"/>
          <w:lang w:val="zh-CN" w:eastAsia="zh-CN"/>
        </w:rPr>
        <w:t>1.8</w:t>
      </w:r>
      <w:r>
        <w:rPr>
          <w:lang w:val="zh-CN" w:eastAsia="zh-CN"/>
        </w:rPr>
        <w:tab/>
      </w:r>
      <w:r w:rsidR="00B2032F" w:rsidRPr="00B2032F">
        <w:rPr>
          <w:rFonts w:hint="eastAsia"/>
          <w:b/>
          <w:bCs/>
          <w:lang w:val="zh-CN" w:eastAsia="zh-CN"/>
        </w:rPr>
        <w:t>现有项目、伙伴关系和合作活动</w:t>
      </w:r>
      <w:r w:rsidR="00B2032F" w:rsidRPr="00B2032F">
        <w:rPr>
          <w:rFonts w:hint="eastAsia"/>
          <w:lang w:val="zh-CN" w:eastAsia="zh-CN"/>
        </w:rPr>
        <w:t>：</w:t>
      </w:r>
      <w:r w:rsidR="00B2032F" w:rsidRPr="00B2032F">
        <w:rPr>
          <w:rFonts w:hint="eastAsia"/>
          <w:lang w:val="zh-CN" w:eastAsia="zh-CN"/>
        </w:rPr>
        <w:t>2024</w:t>
      </w:r>
      <w:r w:rsidR="00B2032F" w:rsidRPr="00B2032F">
        <w:rPr>
          <w:rFonts w:hint="eastAsia"/>
          <w:lang w:val="zh-CN" w:eastAsia="zh-CN"/>
        </w:rPr>
        <w:t>年，</w:t>
      </w:r>
      <w:r w:rsidR="00B2032F" w:rsidRPr="006734C7">
        <w:rPr>
          <w:rFonts w:hint="eastAsia"/>
          <w:lang w:val="zh-CN" w:eastAsia="zh-CN"/>
        </w:rPr>
        <w:t>BDT</w:t>
      </w:r>
      <w:r w:rsidR="00B2032F" w:rsidRPr="00B2032F">
        <w:rPr>
          <w:rFonts w:hint="eastAsia"/>
          <w:lang w:val="zh-CN" w:eastAsia="zh-CN"/>
        </w:rPr>
        <w:t>共实施了</w:t>
      </w:r>
      <w:r w:rsidR="00B2032F" w:rsidRPr="00B2032F">
        <w:rPr>
          <w:rFonts w:hint="eastAsia"/>
          <w:lang w:val="zh-CN" w:eastAsia="zh-CN"/>
        </w:rPr>
        <w:t>105</w:t>
      </w:r>
      <w:r w:rsidR="00B2032F" w:rsidRPr="00B2032F">
        <w:rPr>
          <w:rFonts w:hint="eastAsia"/>
          <w:lang w:val="zh-CN" w:eastAsia="zh-CN"/>
        </w:rPr>
        <w:t>个项目，价值</w:t>
      </w:r>
      <w:r w:rsidR="00B2032F" w:rsidRPr="00B2032F">
        <w:rPr>
          <w:rFonts w:hint="eastAsia"/>
          <w:lang w:val="zh-CN" w:eastAsia="zh-CN"/>
        </w:rPr>
        <w:t>9 180</w:t>
      </w:r>
      <w:proofErr w:type="gramStart"/>
      <w:r w:rsidR="00B2032F" w:rsidRPr="00B2032F">
        <w:rPr>
          <w:rFonts w:hint="eastAsia"/>
          <w:lang w:val="zh-CN" w:eastAsia="zh-CN"/>
        </w:rPr>
        <w:t>万瑞</w:t>
      </w:r>
      <w:proofErr w:type="gramEnd"/>
      <w:r w:rsidR="00B2032F" w:rsidRPr="00B2032F">
        <w:rPr>
          <w:rFonts w:hint="eastAsia"/>
          <w:lang w:val="zh-CN" w:eastAsia="zh-CN"/>
        </w:rPr>
        <w:t>郎</w:t>
      </w:r>
      <w:r w:rsidR="00B2032F">
        <w:rPr>
          <w:rFonts w:hint="eastAsia"/>
          <w:lang w:val="zh-CN" w:eastAsia="zh-CN"/>
        </w:rPr>
        <w:t>。</w:t>
      </w:r>
      <w:r w:rsidR="00B2032F" w:rsidRPr="00B2032F">
        <w:rPr>
          <w:rFonts w:hint="eastAsia"/>
          <w:lang w:val="zh-CN" w:eastAsia="zh-CN"/>
        </w:rPr>
        <w:t>图</w:t>
      </w:r>
      <w:r w:rsidR="00B2032F" w:rsidRPr="00B2032F">
        <w:rPr>
          <w:rFonts w:hint="eastAsia"/>
          <w:lang w:val="zh-CN" w:eastAsia="zh-CN"/>
        </w:rPr>
        <w:t>1</w:t>
      </w:r>
      <w:r w:rsidR="00B2032F" w:rsidRPr="00B2032F">
        <w:rPr>
          <w:rFonts w:hint="eastAsia"/>
          <w:lang w:val="zh-CN" w:eastAsia="zh-CN"/>
        </w:rPr>
        <w:t>显示了这些项目</w:t>
      </w:r>
      <w:proofErr w:type="gramStart"/>
      <w:r w:rsidR="00B2032F" w:rsidRPr="00B2032F">
        <w:rPr>
          <w:rFonts w:hint="eastAsia"/>
          <w:lang w:val="zh-CN" w:eastAsia="zh-CN"/>
        </w:rPr>
        <w:t>组合按</w:t>
      </w:r>
      <w:proofErr w:type="gramEnd"/>
      <w:r w:rsidR="00B2032F" w:rsidRPr="00B2032F">
        <w:rPr>
          <w:rFonts w:hint="eastAsia"/>
          <w:lang w:val="zh-CN" w:eastAsia="zh-CN"/>
        </w:rPr>
        <w:t>区域的总体分布，</w:t>
      </w:r>
      <w:r w:rsidR="00B2032F">
        <w:rPr>
          <w:rFonts w:hint="eastAsia"/>
          <w:lang w:val="zh-CN" w:eastAsia="zh-CN"/>
        </w:rPr>
        <w:t>并概述了</w:t>
      </w:r>
      <w:r w:rsidR="00B2032F" w:rsidRPr="00B2032F">
        <w:rPr>
          <w:rFonts w:hint="eastAsia"/>
          <w:lang w:val="zh-CN" w:eastAsia="zh-CN"/>
        </w:rPr>
        <w:t>（</w:t>
      </w:r>
      <w:r w:rsidR="00B2032F" w:rsidRPr="00B2032F">
        <w:rPr>
          <w:rFonts w:hint="eastAsia"/>
          <w:lang w:val="zh-CN" w:eastAsia="zh-CN"/>
        </w:rPr>
        <w:t>1</w:t>
      </w:r>
      <w:r w:rsidR="00B2032F" w:rsidRPr="00B2032F">
        <w:rPr>
          <w:rFonts w:hint="eastAsia"/>
          <w:lang w:val="zh-CN" w:eastAsia="zh-CN"/>
        </w:rPr>
        <w:t>）为支持这些项目的实施而</w:t>
      </w:r>
      <w:r w:rsidR="00B2032F">
        <w:rPr>
          <w:rFonts w:hint="eastAsia"/>
          <w:lang w:val="zh-CN" w:eastAsia="zh-CN"/>
        </w:rPr>
        <w:t>筹措</w:t>
      </w:r>
      <w:r w:rsidR="00B2032F" w:rsidRPr="00B2032F">
        <w:rPr>
          <w:rFonts w:hint="eastAsia"/>
          <w:lang w:val="zh-CN" w:eastAsia="zh-CN"/>
        </w:rPr>
        <w:t>的资金，（</w:t>
      </w:r>
      <w:r w:rsidR="00B2032F" w:rsidRPr="00B2032F">
        <w:rPr>
          <w:rFonts w:hint="eastAsia"/>
          <w:lang w:val="zh-CN" w:eastAsia="zh-CN"/>
        </w:rPr>
        <w:t>2</w:t>
      </w:r>
      <w:r w:rsidR="00B2032F" w:rsidRPr="00B2032F">
        <w:rPr>
          <w:rFonts w:hint="eastAsia"/>
          <w:lang w:val="zh-CN" w:eastAsia="zh-CN"/>
        </w:rPr>
        <w:t>）国际电联从</w:t>
      </w:r>
      <w:r w:rsidR="00B2032F" w:rsidRPr="00B2032F">
        <w:rPr>
          <w:rFonts w:hint="eastAsia"/>
          <w:lang w:val="zh-CN" w:eastAsia="zh-CN"/>
        </w:rPr>
        <w:t>ICT</w:t>
      </w:r>
      <w:r w:rsidR="00B2032F" w:rsidRPr="00B2032F">
        <w:rPr>
          <w:rFonts w:hint="eastAsia"/>
          <w:lang w:val="zh-CN" w:eastAsia="zh-CN"/>
        </w:rPr>
        <w:t>发展基金（</w:t>
      </w:r>
      <w:r w:rsidR="00B2032F" w:rsidRPr="00B2032F">
        <w:rPr>
          <w:rFonts w:hint="eastAsia"/>
          <w:lang w:val="zh-CN" w:eastAsia="zh-CN"/>
        </w:rPr>
        <w:t>ICT-DF</w:t>
      </w:r>
      <w:r w:rsidR="00B2032F" w:rsidRPr="00B2032F">
        <w:rPr>
          <w:rFonts w:hint="eastAsia"/>
          <w:lang w:val="zh-CN" w:eastAsia="zh-CN"/>
        </w:rPr>
        <w:t>）中分配的种子资金。有关</w:t>
      </w:r>
      <w:r w:rsidR="00B2032F" w:rsidRPr="00B2032F">
        <w:rPr>
          <w:rFonts w:hint="eastAsia"/>
          <w:lang w:val="zh-CN" w:eastAsia="zh-CN"/>
        </w:rPr>
        <w:t>BDT</w:t>
      </w:r>
      <w:r w:rsidR="00B2032F" w:rsidRPr="00B2032F">
        <w:rPr>
          <w:rFonts w:hint="eastAsia"/>
          <w:lang w:val="zh-CN" w:eastAsia="zh-CN"/>
        </w:rPr>
        <w:t>项目的更多信息见</w:t>
      </w:r>
      <w:hyperlink r:id="rId31" w:history="1">
        <w:r w:rsidR="00B2032F" w:rsidRPr="00664878">
          <w:rPr>
            <w:rStyle w:val="Hyperlink"/>
            <w:rFonts w:cstheme="minorHAnsi"/>
            <w:szCs w:val="24"/>
            <w:lang w:eastAsia="zh-CN"/>
          </w:rPr>
          <w:t>TDAG-25/5</w:t>
        </w:r>
      </w:hyperlink>
      <w:r w:rsidR="00B2032F" w:rsidRPr="00B2032F">
        <w:rPr>
          <w:rFonts w:hint="eastAsia"/>
          <w:lang w:val="zh-CN" w:eastAsia="zh-CN"/>
        </w:rPr>
        <w:t>号文件</w:t>
      </w:r>
      <w:r w:rsidR="00B2032F">
        <w:rPr>
          <w:rFonts w:hint="eastAsia"/>
          <w:lang w:val="zh-CN" w:eastAsia="zh-CN"/>
        </w:rPr>
        <w:t>，</w:t>
      </w:r>
      <w:r w:rsidR="00B2032F" w:rsidRPr="00B2032F">
        <w:rPr>
          <w:rFonts w:hint="eastAsia"/>
          <w:lang w:val="zh-CN" w:eastAsia="zh-CN"/>
        </w:rPr>
        <w:t>有关资源</w:t>
      </w:r>
      <w:r w:rsidR="00B2032F">
        <w:rPr>
          <w:rFonts w:hint="eastAsia"/>
          <w:lang w:val="zh-CN" w:eastAsia="zh-CN"/>
        </w:rPr>
        <w:t>筹措工作</w:t>
      </w:r>
      <w:r w:rsidR="00B2032F" w:rsidRPr="00B2032F">
        <w:rPr>
          <w:rFonts w:hint="eastAsia"/>
          <w:lang w:val="zh-CN" w:eastAsia="zh-CN"/>
        </w:rPr>
        <w:t>和伙伴关系的更多信息见</w:t>
      </w:r>
      <w:hyperlink r:id="rId32" w:history="1">
        <w:r w:rsidR="00B2032F" w:rsidRPr="00664878">
          <w:rPr>
            <w:rStyle w:val="Hyperlink"/>
            <w:rFonts w:cstheme="minorHAnsi"/>
            <w:szCs w:val="24"/>
            <w:lang w:eastAsia="zh-CN"/>
          </w:rPr>
          <w:t>TDAG-25/</w:t>
        </w:r>
        <w:r w:rsidR="00B2032F">
          <w:rPr>
            <w:rStyle w:val="Hyperlink"/>
            <w:rFonts w:cstheme="minorHAnsi"/>
            <w:szCs w:val="24"/>
            <w:lang w:eastAsia="zh-CN"/>
          </w:rPr>
          <w:t>9</w:t>
        </w:r>
      </w:hyperlink>
      <w:r w:rsidR="00B2032F" w:rsidRPr="00B2032F">
        <w:rPr>
          <w:rFonts w:hint="eastAsia"/>
          <w:lang w:val="zh-CN" w:eastAsia="zh-CN"/>
        </w:rPr>
        <w:t>号文件。</w:t>
      </w:r>
    </w:p>
    <w:p w14:paraId="24637A86" w14:textId="42728C86" w:rsidR="00FB3949" w:rsidRDefault="00B2032F" w:rsidP="007F586D">
      <w:pPr>
        <w:pStyle w:val="Tabletitle"/>
        <w:spacing w:before="240"/>
        <w:rPr>
          <w:lang w:eastAsia="zh-CN"/>
        </w:rPr>
      </w:pPr>
      <w:r w:rsidRPr="00B2032F">
        <w:rPr>
          <w:rFonts w:hint="eastAsia"/>
          <w:lang w:eastAsia="zh-CN"/>
        </w:rPr>
        <w:t>表</w:t>
      </w:r>
      <w:r w:rsidRPr="00B2032F">
        <w:rPr>
          <w:rFonts w:hint="eastAsia"/>
          <w:lang w:eastAsia="zh-CN"/>
        </w:rPr>
        <w:t>1</w:t>
      </w:r>
      <w:r w:rsidRPr="00B2032F">
        <w:rPr>
          <w:rFonts w:hint="eastAsia"/>
          <w:lang w:eastAsia="zh-CN"/>
        </w:rPr>
        <w:t>：按区域划分的国际电</w:t>
      </w:r>
      <w:proofErr w:type="gramStart"/>
      <w:r w:rsidRPr="00B2032F">
        <w:rPr>
          <w:rFonts w:hint="eastAsia"/>
          <w:lang w:eastAsia="zh-CN"/>
        </w:rPr>
        <w:t>联项目</w:t>
      </w:r>
      <w:proofErr w:type="gramEnd"/>
      <w:r w:rsidRPr="00B2032F">
        <w:rPr>
          <w:rFonts w:hint="eastAsia"/>
          <w:lang w:eastAsia="zh-CN"/>
        </w:rPr>
        <w:t>概览及</w:t>
      </w:r>
      <w:r w:rsidRPr="00B2032F">
        <w:rPr>
          <w:rFonts w:hint="eastAsia"/>
          <w:lang w:eastAsia="zh-CN"/>
        </w:rPr>
        <w:t>2024</w:t>
      </w:r>
      <w:r w:rsidRPr="00B2032F">
        <w:rPr>
          <w:rFonts w:hint="eastAsia"/>
          <w:lang w:eastAsia="zh-CN"/>
        </w:rPr>
        <w:t>年的活动（单位：</w:t>
      </w:r>
      <w:proofErr w:type="gramStart"/>
      <w:r w:rsidRPr="00B2032F">
        <w:rPr>
          <w:rFonts w:hint="eastAsia"/>
          <w:lang w:eastAsia="zh-CN"/>
        </w:rPr>
        <w:t>千瑞郎</w:t>
      </w:r>
      <w:proofErr w:type="gramEnd"/>
      <w:r w:rsidRPr="00B2032F">
        <w:rPr>
          <w:rFonts w:hint="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550"/>
        <w:gridCol w:w="1843"/>
        <w:gridCol w:w="2282"/>
        <w:gridCol w:w="1841"/>
        <w:gridCol w:w="2113"/>
      </w:tblGrid>
      <w:tr w:rsidR="00B2032F" w:rsidRPr="00223683" w14:paraId="2E90D4FC" w14:textId="77777777" w:rsidTr="009847D8">
        <w:trPr>
          <w:trHeight w:val="852"/>
          <w:jc w:val="center"/>
        </w:trPr>
        <w:tc>
          <w:tcPr>
            <w:tcW w:w="805" w:type="pct"/>
            <w:shd w:val="clear" w:color="auto" w:fill="8DB3E2" w:themeFill="text2" w:themeFillTint="66"/>
            <w:noWrap/>
            <w:vAlign w:val="center"/>
            <w:hideMark/>
          </w:tcPr>
          <w:p w14:paraId="4115F0BE" w14:textId="005CCE0C" w:rsidR="00B2032F" w:rsidRPr="00223683" w:rsidRDefault="00B2032F" w:rsidP="00E54067">
            <w:pPr>
              <w:pStyle w:val="Tablehead"/>
              <w:rPr>
                <w:lang w:eastAsia="zh-CN"/>
              </w:rPr>
            </w:pPr>
            <w:r>
              <w:rPr>
                <w:rFonts w:hint="eastAsia"/>
                <w:lang w:eastAsia="zh-CN"/>
              </w:rPr>
              <w:t>区域</w:t>
            </w:r>
          </w:p>
        </w:tc>
        <w:tc>
          <w:tcPr>
            <w:tcW w:w="957" w:type="pct"/>
            <w:shd w:val="clear" w:color="auto" w:fill="8DB3E2" w:themeFill="text2" w:themeFillTint="66"/>
            <w:noWrap/>
            <w:vAlign w:val="center"/>
            <w:hideMark/>
          </w:tcPr>
          <w:p w14:paraId="01C16F4F" w14:textId="2F0D603C" w:rsidR="00B2032F" w:rsidRPr="00223683" w:rsidRDefault="00B2032F" w:rsidP="00E54067">
            <w:pPr>
              <w:pStyle w:val="Tablehead"/>
              <w:rPr>
                <w:lang w:eastAsia="zh-CN"/>
              </w:rPr>
            </w:pPr>
            <w:r>
              <w:rPr>
                <w:rFonts w:hint="eastAsia"/>
                <w:lang w:eastAsia="zh-CN"/>
              </w:rPr>
              <w:t>项目数量</w:t>
            </w:r>
          </w:p>
        </w:tc>
        <w:tc>
          <w:tcPr>
            <w:tcW w:w="1185" w:type="pct"/>
            <w:shd w:val="clear" w:color="auto" w:fill="8DB3E2" w:themeFill="text2" w:themeFillTint="66"/>
            <w:noWrap/>
            <w:vAlign w:val="center"/>
            <w:hideMark/>
          </w:tcPr>
          <w:p w14:paraId="74D7EBB5" w14:textId="04BD5E77" w:rsidR="00B2032F" w:rsidRPr="00223683" w:rsidRDefault="00B2032F" w:rsidP="00E54067">
            <w:pPr>
              <w:pStyle w:val="Tablehead"/>
              <w:rPr>
                <w:lang w:eastAsia="zh-CN"/>
              </w:rPr>
            </w:pPr>
            <w:r>
              <w:rPr>
                <w:rFonts w:hint="eastAsia"/>
                <w:lang w:eastAsia="zh-CN"/>
              </w:rPr>
              <w:t>来自合作伙伴的资金</w:t>
            </w:r>
            <w:r w:rsidRPr="00223683">
              <w:rPr>
                <w:lang w:eastAsia="zh-CN"/>
              </w:rPr>
              <w:t xml:space="preserve"> </w:t>
            </w:r>
          </w:p>
        </w:tc>
        <w:tc>
          <w:tcPr>
            <w:tcW w:w="956" w:type="pct"/>
            <w:shd w:val="clear" w:color="auto" w:fill="8DB3E2" w:themeFill="text2" w:themeFillTint="66"/>
            <w:noWrap/>
            <w:vAlign w:val="center"/>
          </w:tcPr>
          <w:p w14:paraId="1A7A7FEF" w14:textId="4BBF882D" w:rsidR="00B2032F" w:rsidRPr="00223683" w:rsidRDefault="00B2032F" w:rsidP="00E54067">
            <w:pPr>
              <w:pStyle w:val="Tablehead"/>
              <w:rPr>
                <w:lang w:eastAsia="zh-CN"/>
              </w:rPr>
            </w:pPr>
            <w:r>
              <w:rPr>
                <w:rFonts w:hint="eastAsia"/>
                <w:lang w:eastAsia="zh-CN"/>
              </w:rPr>
              <w:t>国际电联的资金</w:t>
            </w:r>
          </w:p>
        </w:tc>
        <w:tc>
          <w:tcPr>
            <w:tcW w:w="1097" w:type="pct"/>
            <w:shd w:val="clear" w:color="auto" w:fill="8DB3E2" w:themeFill="text2" w:themeFillTint="66"/>
            <w:noWrap/>
            <w:vAlign w:val="center"/>
            <w:hideMark/>
          </w:tcPr>
          <w:p w14:paraId="688AC412" w14:textId="70B5F8CF" w:rsidR="00B2032F" w:rsidRPr="00223683" w:rsidRDefault="00B2032F" w:rsidP="00E54067">
            <w:pPr>
              <w:pStyle w:val="Tablehead"/>
              <w:rPr>
                <w:lang w:eastAsia="zh-CN"/>
              </w:rPr>
            </w:pPr>
            <w:r w:rsidRPr="00B2032F">
              <w:rPr>
                <w:rFonts w:hint="eastAsia"/>
                <w:lang w:eastAsia="zh-CN"/>
              </w:rPr>
              <w:t>项目资金总额</w:t>
            </w:r>
          </w:p>
        </w:tc>
      </w:tr>
      <w:tr w:rsidR="00B2032F" w:rsidRPr="00223683" w14:paraId="49F9CBEF" w14:textId="77777777" w:rsidTr="009847D8">
        <w:trPr>
          <w:trHeight w:val="54"/>
          <w:jc w:val="center"/>
        </w:trPr>
        <w:tc>
          <w:tcPr>
            <w:tcW w:w="805" w:type="pct"/>
            <w:hideMark/>
          </w:tcPr>
          <w:p w14:paraId="05479759" w14:textId="7D41B61E" w:rsidR="00B2032F" w:rsidRPr="00223683" w:rsidRDefault="005760B0" w:rsidP="00E54067">
            <w:pPr>
              <w:pStyle w:val="Tabletext"/>
              <w:rPr>
                <w:lang w:eastAsia="zh-CN"/>
              </w:rPr>
            </w:pPr>
            <w:r>
              <w:rPr>
                <w:rFonts w:hint="eastAsia"/>
                <w:lang w:eastAsia="zh-CN"/>
              </w:rPr>
              <w:t>非洲</w:t>
            </w:r>
          </w:p>
        </w:tc>
        <w:tc>
          <w:tcPr>
            <w:tcW w:w="957" w:type="pct"/>
            <w:noWrap/>
            <w:vAlign w:val="bottom"/>
            <w:hideMark/>
          </w:tcPr>
          <w:p w14:paraId="2685F5F8" w14:textId="77777777" w:rsidR="00B2032F" w:rsidRPr="00223683" w:rsidRDefault="00B2032F" w:rsidP="004D2AE7">
            <w:pPr>
              <w:pStyle w:val="Tabletext"/>
              <w:jc w:val="center"/>
              <w:rPr>
                <w:lang w:eastAsia="zh-CN"/>
              </w:rPr>
            </w:pPr>
            <w:r w:rsidRPr="00223683">
              <w:rPr>
                <w:lang w:eastAsia="zh-CN"/>
              </w:rPr>
              <w:t>17</w:t>
            </w:r>
          </w:p>
        </w:tc>
        <w:tc>
          <w:tcPr>
            <w:tcW w:w="1185" w:type="pct"/>
            <w:vAlign w:val="bottom"/>
            <w:hideMark/>
          </w:tcPr>
          <w:p w14:paraId="7C39ED41" w14:textId="77777777" w:rsidR="00B2032F" w:rsidRPr="00223683" w:rsidRDefault="00B2032F" w:rsidP="004D2AE7">
            <w:pPr>
              <w:pStyle w:val="Tabletext"/>
              <w:jc w:val="right"/>
              <w:rPr>
                <w:lang w:eastAsia="zh-CN"/>
              </w:rPr>
            </w:pPr>
            <w:r w:rsidRPr="00223683">
              <w:rPr>
                <w:lang w:eastAsia="zh-CN"/>
              </w:rPr>
              <w:t>26,548.5</w:t>
            </w:r>
          </w:p>
        </w:tc>
        <w:tc>
          <w:tcPr>
            <w:tcW w:w="956" w:type="pct"/>
            <w:vAlign w:val="bottom"/>
            <w:hideMark/>
          </w:tcPr>
          <w:p w14:paraId="554FBF5D" w14:textId="77777777" w:rsidR="00B2032F" w:rsidRPr="00223683" w:rsidRDefault="00B2032F" w:rsidP="004D2AE7">
            <w:pPr>
              <w:pStyle w:val="Tabletext"/>
              <w:jc w:val="right"/>
              <w:rPr>
                <w:lang w:eastAsia="zh-CN"/>
              </w:rPr>
            </w:pPr>
            <w:r w:rsidRPr="00223683">
              <w:rPr>
                <w:lang w:eastAsia="zh-CN"/>
              </w:rPr>
              <w:t>1,516.8</w:t>
            </w:r>
          </w:p>
        </w:tc>
        <w:tc>
          <w:tcPr>
            <w:tcW w:w="1097" w:type="pct"/>
            <w:shd w:val="clear" w:color="auto" w:fill="DBE5F1" w:themeFill="accent1" w:themeFillTint="33"/>
            <w:vAlign w:val="bottom"/>
            <w:hideMark/>
          </w:tcPr>
          <w:p w14:paraId="6F6D2A39" w14:textId="77777777" w:rsidR="00B2032F" w:rsidRPr="00223683" w:rsidRDefault="00B2032F" w:rsidP="004D2AE7">
            <w:pPr>
              <w:pStyle w:val="Tabletext"/>
              <w:jc w:val="right"/>
              <w:rPr>
                <w:lang w:eastAsia="zh-CN"/>
              </w:rPr>
            </w:pPr>
            <w:r w:rsidRPr="00223683">
              <w:rPr>
                <w:lang w:eastAsia="zh-CN"/>
              </w:rPr>
              <w:t>28,197.8</w:t>
            </w:r>
          </w:p>
        </w:tc>
      </w:tr>
      <w:tr w:rsidR="00B2032F" w:rsidRPr="00223683" w14:paraId="4D811ECE" w14:textId="77777777" w:rsidTr="009847D8">
        <w:trPr>
          <w:trHeight w:val="54"/>
          <w:jc w:val="center"/>
        </w:trPr>
        <w:tc>
          <w:tcPr>
            <w:tcW w:w="805" w:type="pct"/>
            <w:hideMark/>
          </w:tcPr>
          <w:p w14:paraId="0F117A27" w14:textId="5CF49070" w:rsidR="00B2032F" w:rsidRPr="00223683" w:rsidRDefault="005760B0" w:rsidP="00E54067">
            <w:pPr>
              <w:pStyle w:val="Tabletext"/>
              <w:rPr>
                <w:lang w:eastAsia="zh-CN"/>
              </w:rPr>
            </w:pPr>
            <w:r>
              <w:rPr>
                <w:rFonts w:hint="eastAsia"/>
                <w:lang w:eastAsia="zh-CN"/>
              </w:rPr>
              <w:t>美洲</w:t>
            </w:r>
          </w:p>
        </w:tc>
        <w:tc>
          <w:tcPr>
            <w:tcW w:w="957" w:type="pct"/>
            <w:noWrap/>
            <w:vAlign w:val="bottom"/>
            <w:hideMark/>
          </w:tcPr>
          <w:p w14:paraId="2C87D3FB" w14:textId="77777777" w:rsidR="00B2032F" w:rsidRPr="00223683" w:rsidRDefault="00B2032F" w:rsidP="004D2AE7">
            <w:pPr>
              <w:pStyle w:val="Tabletext"/>
              <w:jc w:val="center"/>
              <w:rPr>
                <w:lang w:eastAsia="zh-CN"/>
              </w:rPr>
            </w:pPr>
            <w:r w:rsidRPr="00223683">
              <w:rPr>
                <w:lang w:eastAsia="zh-CN"/>
              </w:rPr>
              <w:t>19</w:t>
            </w:r>
          </w:p>
        </w:tc>
        <w:tc>
          <w:tcPr>
            <w:tcW w:w="1185" w:type="pct"/>
            <w:vAlign w:val="bottom"/>
            <w:hideMark/>
          </w:tcPr>
          <w:p w14:paraId="71DC054B" w14:textId="77777777" w:rsidR="00B2032F" w:rsidRPr="00223683" w:rsidRDefault="00B2032F" w:rsidP="004D2AE7">
            <w:pPr>
              <w:pStyle w:val="Tabletext"/>
              <w:jc w:val="right"/>
              <w:rPr>
                <w:lang w:eastAsia="zh-CN"/>
              </w:rPr>
            </w:pPr>
            <w:r w:rsidRPr="00223683">
              <w:rPr>
                <w:lang w:eastAsia="zh-CN"/>
              </w:rPr>
              <w:t>12,600.3</w:t>
            </w:r>
          </w:p>
        </w:tc>
        <w:tc>
          <w:tcPr>
            <w:tcW w:w="956" w:type="pct"/>
            <w:vAlign w:val="bottom"/>
            <w:hideMark/>
          </w:tcPr>
          <w:p w14:paraId="20C40888" w14:textId="77777777" w:rsidR="00B2032F" w:rsidRPr="00223683" w:rsidRDefault="00B2032F" w:rsidP="004D2AE7">
            <w:pPr>
              <w:pStyle w:val="Tabletext"/>
              <w:jc w:val="right"/>
              <w:rPr>
                <w:lang w:eastAsia="zh-CN"/>
              </w:rPr>
            </w:pPr>
            <w:r w:rsidRPr="00223683">
              <w:rPr>
                <w:lang w:eastAsia="zh-CN"/>
              </w:rPr>
              <w:t>335.5</w:t>
            </w:r>
          </w:p>
        </w:tc>
        <w:tc>
          <w:tcPr>
            <w:tcW w:w="1097" w:type="pct"/>
            <w:shd w:val="clear" w:color="auto" w:fill="DBE5F1" w:themeFill="accent1" w:themeFillTint="33"/>
            <w:vAlign w:val="bottom"/>
            <w:hideMark/>
          </w:tcPr>
          <w:p w14:paraId="1B880DAB" w14:textId="77777777" w:rsidR="00B2032F" w:rsidRPr="00223683" w:rsidRDefault="00B2032F" w:rsidP="004D2AE7">
            <w:pPr>
              <w:pStyle w:val="Tabletext"/>
              <w:jc w:val="right"/>
              <w:rPr>
                <w:lang w:eastAsia="zh-CN"/>
              </w:rPr>
            </w:pPr>
            <w:r w:rsidRPr="00223683">
              <w:rPr>
                <w:lang w:eastAsia="zh-CN"/>
              </w:rPr>
              <w:t>13,211.4</w:t>
            </w:r>
          </w:p>
        </w:tc>
      </w:tr>
      <w:tr w:rsidR="00B2032F" w:rsidRPr="00223683" w14:paraId="63D8F8B8" w14:textId="77777777" w:rsidTr="009847D8">
        <w:trPr>
          <w:trHeight w:val="300"/>
          <w:jc w:val="center"/>
        </w:trPr>
        <w:tc>
          <w:tcPr>
            <w:tcW w:w="805" w:type="pct"/>
            <w:hideMark/>
          </w:tcPr>
          <w:p w14:paraId="6D879BD3" w14:textId="2D55F620" w:rsidR="00B2032F" w:rsidRPr="00223683" w:rsidRDefault="005760B0" w:rsidP="00E54067">
            <w:pPr>
              <w:pStyle w:val="Tabletext"/>
              <w:rPr>
                <w:lang w:eastAsia="zh-CN"/>
              </w:rPr>
            </w:pPr>
            <w:r>
              <w:rPr>
                <w:rFonts w:hint="eastAsia"/>
                <w:lang w:eastAsia="zh-CN"/>
              </w:rPr>
              <w:t>阿拉伯国家</w:t>
            </w:r>
          </w:p>
        </w:tc>
        <w:tc>
          <w:tcPr>
            <w:tcW w:w="957" w:type="pct"/>
            <w:vAlign w:val="bottom"/>
            <w:hideMark/>
          </w:tcPr>
          <w:p w14:paraId="0671E970" w14:textId="77777777" w:rsidR="00B2032F" w:rsidRPr="00223683" w:rsidRDefault="00B2032F" w:rsidP="004D2AE7">
            <w:pPr>
              <w:pStyle w:val="Tabletext"/>
              <w:jc w:val="center"/>
              <w:rPr>
                <w:lang w:eastAsia="zh-CN"/>
              </w:rPr>
            </w:pPr>
            <w:r w:rsidRPr="00223683">
              <w:rPr>
                <w:lang w:eastAsia="zh-CN"/>
              </w:rPr>
              <w:t>5</w:t>
            </w:r>
          </w:p>
        </w:tc>
        <w:tc>
          <w:tcPr>
            <w:tcW w:w="1185" w:type="pct"/>
            <w:vAlign w:val="bottom"/>
            <w:hideMark/>
          </w:tcPr>
          <w:p w14:paraId="5B1523DC" w14:textId="77777777" w:rsidR="00B2032F" w:rsidRPr="00223683" w:rsidRDefault="00B2032F" w:rsidP="004D2AE7">
            <w:pPr>
              <w:pStyle w:val="Tabletext"/>
              <w:jc w:val="right"/>
              <w:rPr>
                <w:lang w:eastAsia="zh-CN"/>
              </w:rPr>
            </w:pPr>
            <w:r w:rsidRPr="00223683">
              <w:rPr>
                <w:lang w:eastAsia="zh-CN"/>
              </w:rPr>
              <w:t>2,989.6</w:t>
            </w:r>
          </w:p>
        </w:tc>
        <w:tc>
          <w:tcPr>
            <w:tcW w:w="956" w:type="pct"/>
            <w:vAlign w:val="bottom"/>
            <w:hideMark/>
          </w:tcPr>
          <w:p w14:paraId="550D9546" w14:textId="77777777" w:rsidR="00B2032F" w:rsidRPr="00223683" w:rsidRDefault="00B2032F" w:rsidP="004D2AE7">
            <w:pPr>
              <w:pStyle w:val="Tabletext"/>
              <w:jc w:val="right"/>
              <w:rPr>
                <w:lang w:eastAsia="zh-CN"/>
              </w:rPr>
            </w:pPr>
            <w:r w:rsidRPr="00223683">
              <w:rPr>
                <w:lang w:eastAsia="zh-CN"/>
              </w:rPr>
              <w:t>664.5</w:t>
            </w:r>
          </w:p>
        </w:tc>
        <w:tc>
          <w:tcPr>
            <w:tcW w:w="1097" w:type="pct"/>
            <w:shd w:val="clear" w:color="auto" w:fill="DBE5F1" w:themeFill="accent1" w:themeFillTint="33"/>
            <w:vAlign w:val="bottom"/>
            <w:hideMark/>
          </w:tcPr>
          <w:p w14:paraId="05247CEB" w14:textId="77777777" w:rsidR="00B2032F" w:rsidRPr="00223683" w:rsidRDefault="00B2032F" w:rsidP="004D2AE7">
            <w:pPr>
              <w:pStyle w:val="Tabletext"/>
              <w:jc w:val="right"/>
              <w:rPr>
                <w:lang w:eastAsia="zh-CN"/>
              </w:rPr>
            </w:pPr>
            <w:r w:rsidRPr="00223683">
              <w:rPr>
                <w:lang w:eastAsia="zh-CN"/>
              </w:rPr>
              <w:t>3,654.1</w:t>
            </w:r>
          </w:p>
        </w:tc>
      </w:tr>
      <w:tr w:rsidR="00B2032F" w:rsidRPr="00223683" w14:paraId="6457374C" w14:textId="77777777" w:rsidTr="009847D8">
        <w:trPr>
          <w:trHeight w:val="54"/>
          <w:jc w:val="center"/>
        </w:trPr>
        <w:tc>
          <w:tcPr>
            <w:tcW w:w="805" w:type="pct"/>
            <w:vAlign w:val="center"/>
            <w:hideMark/>
          </w:tcPr>
          <w:p w14:paraId="15CA9146" w14:textId="42E8E235" w:rsidR="00B2032F" w:rsidRPr="00223683" w:rsidRDefault="005760B0" w:rsidP="00E54067">
            <w:pPr>
              <w:pStyle w:val="Tabletext"/>
              <w:rPr>
                <w:lang w:eastAsia="zh-CN"/>
              </w:rPr>
            </w:pPr>
            <w:r>
              <w:rPr>
                <w:rFonts w:hint="eastAsia"/>
                <w:lang w:eastAsia="zh-CN"/>
              </w:rPr>
              <w:t>亚太</w:t>
            </w:r>
          </w:p>
        </w:tc>
        <w:tc>
          <w:tcPr>
            <w:tcW w:w="957" w:type="pct"/>
            <w:noWrap/>
            <w:vAlign w:val="bottom"/>
            <w:hideMark/>
          </w:tcPr>
          <w:p w14:paraId="1733E986" w14:textId="77777777" w:rsidR="00B2032F" w:rsidRPr="00223683" w:rsidRDefault="00B2032F" w:rsidP="004D2AE7">
            <w:pPr>
              <w:pStyle w:val="Tabletext"/>
              <w:jc w:val="center"/>
              <w:rPr>
                <w:lang w:eastAsia="zh-CN"/>
              </w:rPr>
            </w:pPr>
            <w:r w:rsidRPr="00223683">
              <w:rPr>
                <w:lang w:eastAsia="zh-CN"/>
              </w:rPr>
              <w:t>15</w:t>
            </w:r>
          </w:p>
        </w:tc>
        <w:tc>
          <w:tcPr>
            <w:tcW w:w="1185" w:type="pct"/>
            <w:vAlign w:val="bottom"/>
            <w:hideMark/>
          </w:tcPr>
          <w:p w14:paraId="3D926AE8" w14:textId="77777777" w:rsidR="00B2032F" w:rsidRPr="00223683" w:rsidRDefault="00B2032F" w:rsidP="004D2AE7">
            <w:pPr>
              <w:pStyle w:val="Tabletext"/>
              <w:jc w:val="right"/>
              <w:rPr>
                <w:lang w:eastAsia="zh-CN"/>
              </w:rPr>
            </w:pPr>
            <w:r w:rsidRPr="00223683">
              <w:rPr>
                <w:lang w:eastAsia="zh-CN"/>
              </w:rPr>
              <w:t>6,667.2</w:t>
            </w:r>
          </w:p>
        </w:tc>
        <w:tc>
          <w:tcPr>
            <w:tcW w:w="956" w:type="pct"/>
            <w:vAlign w:val="bottom"/>
          </w:tcPr>
          <w:p w14:paraId="351C2D15" w14:textId="77777777" w:rsidR="00B2032F" w:rsidRPr="00223683" w:rsidRDefault="00B2032F" w:rsidP="004D2AE7">
            <w:pPr>
              <w:pStyle w:val="Tabletext"/>
              <w:jc w:val="right"/>
              <w:rPr>
                <w:lang w:eastAsia="zh-CN"/>
              </w:rPr>
            </w:pPr>
            <w:r w:rsidRPr="00223683">
              <w:rPr>
                <w:lang w:eastAsia="zh-CN"/>
              </w:rPr>
              <w:t>655.6</w:t>
            </w:r>
          </w:p>
        </w:tc>
        <w:tc>
          <w:tcPr>
            <w:tcW w:w="1097" w:type="pct"/>
            <w:shd w:val="clear" w:color="auto" w:fill="DBE5F1" w:themeFill="accent1" w:themeFillTint="33"/>
            <w:vAlign w:val="bottom"/>
            <w:hideMark/>
          </w:tcPr>
          <w:p w14:paraId="14FA6090" w14:textId="77777777" w:rsidR="00B2032F" w:rsidRPr="00223683" w:rsidRDefault="00B2032F" w:rsidP="004D2AE7">
            <w:pPr>
              <w:pStyle w:val="Tabletext"/>
              <w:jc w:val="right"/>
              <w:rPr>
                <w:lang w:eastAsia="zh-CN"/>
              </w:rPr>
            </w:pPr>
            <w:r w:rsidRPr="00223683">
              <w:rPr>
                <w:lang w:eastAsia="zh-CN"/>
              </w:rPr>
              <w:t>7,804.7</w:t>
            </w:r>
          </w:p>
        </w:tc>
      </w:tr>
      <w:tr w:rsidR="00B2032F" w:rsidRPr="00223683" w14:paraId="5A78B437" w14:textId="77777777" w:rsidTr="009847D8">
        <w:trPr>
          <w:trHeight w:val="54"/>
          <w:jc w:val="center"/>
        </w:trPr>
        <w:tc>
          <w:tcPr>
            <w:tcW w:w="805" w:type="pct"/>
            <w:hideMark/>
          </w:tcPr>
          <w:p w14:paraId="00F1474A" w14:textId="55CFF082" w:rsidR="00B2032F" w:rsidRPr="00223683" w:rsidRDefault="005760B0" w:rsidP="00E54067">
            <w:pPr>
              <w:pStyle w:val="Tabletext"/>
              <w:rPr>
                <w:lang w:eastAsia="zh-CN"/>
              </w:rPr>
            </w:pPr>
            <w:r>
              <w:rPr>
                <w:rFonts w:hint="eastAsia"/>
                <w:lang w:eastAsia="zh-CN"/>
              </w:rPr>
              <w:t>独联体</w:t>
            </w:r>
          </w:p>
        </w:tc>
        <w:tc>
          <w:tcPr>
            <w:tcW w:w="957" w:type="pct"/>
            <w:vAlign w:val="bottom"/>
            <w:hideMark/>
          </w:tcPr>
          <w:p w14:paraId="43488BD8" w14:textId="77777777" w:rsidR="00B2032F" w:rsidRPr="00223683" w:rsidRDefault="00B2032F" w:rsidP="004D2AE7">
            <w:pPr>
              <w:pStyle w:val="Tabletext"/>
              <w:jc w:val="center"/>
              <w:rPr>
                <w:lang w:eastAsia="zh-CN"/>
              </w:rPr>
            </w:pPr>
            <w:r w:rsidRPr="00223683">
              <w:rPr>
                <w:lang w:eastAsia="zh-CN"/>
              </w:rPr>
              <w:t>4</w:t>
            </w:r>
          </w:p>
        </w:tc>
        <w:tc>
          <w:tcPr>
            <w:tcW w:w="1185" w:type="pct"/>
            <w:vAlign w:val="bottom"/>
            <w:hideMark/>
          </w:tcPr>
          <w:p w14:paraId="5129AC85" w14:textId="77777777" w:rsidR="00B2032F" w:rsidRPr="00223683" w:rsidRDefault="00B2032F" w:rsidP="004D2AE7">
            <w:pPr>
              <w:pStyle w:val="Tabletext"/>
              <w:jc w:val="right"/>
              <w:rPr>
                <w:lang w:eastAsia="zh-CN"/>
              </w:rPr>
            </w:pPr>
            <w:r w:rsidRPr="00223683">
              <w:rPr>
                <w:lang w:eastAsia="zh-CN"/>
              </w:rPr>
              <w:t>342.0</w:t>
            </w:r>
          </w:p>
        </w:tc>
        <w:tc>
          <w:tcPr>
            <w:tcW w:w="956" w:type="pct"/>
            <w:vAlign w:val="bottom"/>
          </w:tcPr>
          <w:p w14:paraId="46CC4175" w14:textId="77777777" w:rsidR="00B2032F" w:rsidRPr="00223683" w:rsidRDefault="00B2032F" w:rsidP="004D2AE7">
            <w:pPr>
              <w:pStyle w:val="Tabletext"/>
              <w:jc w:val="right"/>
              <w:rPr>
                <w:lang w:eastAsia="zh-CN"/>
              </w:rPr>
            </w:pPr>
            <w:r w:rsidRPr="00223683">
              <w:rPr>
                <w:lang w:eastAsia="zh-CN"/>
              </w:rPr>
              <w:t>532.2</w:t>
            </w:r>
          </w:p>
        </w:tc>
        <w:tc>
          <w:tcPr>
            <w:tcW w:w="1097" w:type="pct"/>
            <w:shd w:val="clear" w:color="auto" w:fill="DBE5F1" w:themeFill="accent1" w:themeFillTint="33"/>
            <w:vAlign w:val="bottom"/>
            <w:hideMark/>
          </w:tcPr>
          <w:p w14:paraId="24F808DC" w14:textId="77777777" w:rsidR="00B2032F" w:rsidRPr="00223683" w:rsidRDefault="00B2032F" w:rsidP="004D2AE7">
            <w:pPr>
              <w:pStyle w:val="Tabletext"/>
              <w:jc w:val="right"/>
              <w:rPr>
                <w:lang w:eastAsia="zh-CN"/>
              </w:rPr>
            </w:pPr>
            <w:r w:rsidRPr="00223683">
              <w:rPr>
                <w:lang w:eastAsia="zh-CN"/>
              </w:rPr>
              <w:t>874.1</w:t>
            </w:r>
          </w:p>
        </w:tc>
      </w:tr>
      <w:tr w:rsidR="00B2032F" w:rsidRPr="00223683" w14:paraId="6ADB10DB" w14:textId="77777777" w:rsidTr="009847D8">
        <w:trPr>
          <w:trHeight w:val="54"/>
          <w:jc w:val="center"/>
        </w:trPr>
        <w:tc>
          <w:tcPr>
            <w:tcW w:w="805" w:type="pct"/>
            <w:vAlign w:val="bottom"/>
            <w:hideMark/>
          </w:tcPr>
          <w:p w14:paraId="63A68914" w14:textId="7ACF0016" w:rsidR="00B2032F" w:rsidRPr="00223683" w:rsidRDefault="005760B0" w:rsidP="00E54067">
            <w:pPr>
              <w:pStyle w:val="Tabletext"/>
              <w:rPr>
                <w:lang w:eastAsia="zh-CN"/>
              </w:rPr>
            </w:pPr>
            <w:r>
              <w:rPr>
                <w:rFonts w:hint="eastAsia"/>
                <w:lang w:eastAsia="zh-CN"/>
              </w:rPr>
              <w:t>欧洲</w:t>
            </w:r>
          </w:p>
        </w:tc>
        <w:tc>
          <w:tcPr>
            <w:tcW w:w="957" w:type="pct"/>
            <w:vAlign w:val="bottom"/>
            <w:hideMark/>
          </w:tcPr>
          <w:p w14:paraId="06E5C213" w14:textId="77777777" w:rsidR="00B2032F" w:rsidRPr="00223683" w:rsidRDefault="00B2032F" w:rsidP="004D2AE7">
            <w:pPr>
              <w:pStyle w:val="Tabletext"/>
              <w:jc w:val="center"/>
              <w:rPr>
                <w:lang w:eastAsia="zh-CN"/>
              </w:rPr>
            </w:pPr>
            <w:r w:rsidRPr="00223683">
              <w:rPr>
                <w:lang w:eastAsia="zh-CN"/>
              </w:rPr>
              <w:t>4</w:t>
            </w:r>
          </w:p>
        </w:tc>
        <w:tc>
          <w:tcPr>
            <w:tcW w:w="1185" w:type="pct"/>
            <w:vAlign w:val="bottom"/>
            <w:hideMark/>
          </w:tcPr>
          <w:p w14:paraId="37530568" w14:textId="77777777" w:rsidR="00B2032F" w:rsidRPr="00223683" w:rsidRDefault="00B2032F" w:rsidP="004D2AE7">
            <w:pPr>
              <w:pStyle w:val="Tabletext"/>
              <w:jc w:val="right"/>
              <w:rPr>
                <w:lang w:eastAsia="zh-CN"/>
              </w:rPr>
            </w:pPr>
            <w:r w:rsidRPr="00223683">
              <w:rPr>
                <w:lang w:eastAsia="zh-CN"/>
              </w:rPr>
              <w:t>4,034.6</w:t>
            </w:r>
          </w:p>
        </w:tc>
        <w:tc>
          <w:tcPr>
            <w:tcW w:w="956" w:type="pct"/>
            <w:vAlign w:val="bottom"/>
          </w:tcPr>
          <w:p w14:paraId="07032A98" w14:textId="77777777" w:rsidR="00B2032F" w:rsidRPr="00223683" w:rsidRDefault="00B2032F" w:rsidP="004D2AE7">
            <w:pPr>
              <w:pStyle w:val="Tabletext"/>
              <w:jc w:val="right"/>
              <w:rPr>
                <w:lang w:eastAsia="zh-CN"/>
              </w:rPr>
            </w:pPr>
            <w:r w:rsidRPr="00223683">
              <w:rPr>
                <w:lang w:eastAsia="zh-CN"/>
              </w:rPr>
              <w:t>44.2</w:t>
            </w:r>
          </w:p>
        </w:tc>
        <w:tc>
          <w:tcPr>
            <w:tcW w:w="1097" w:type="pct"/>
            <w:shd w:val="clear" w:color="auto" w:fill="DBE5F1" w:themeFill="accent1" w:themeFillTint="33"/>
            <w:vAlign w:val="bottom"/>
            <w:hideMark/>
          </w:tcPr>
          <w:p w14:paraId="1F85CB75" w14:textId="77777777" w:rsidR="00B2032F" w:rsidRPr="00223683" w:rsidRDefault="00B2032F" w:rsidP="004D2AE7">
            <w:pPr>
              <w:pStyle w:val="Tabletext"/>
              <w:jc w:val="right"/>
              <w:rPr>
                <w:lang w:eastAsia="zh-CN"/>
              </w:rPr>
            </w:pPr>
            <w:r w:rsidRPr="00223683">
              <w:rPr>
                <w:lang w:eastAsia="zh-CN"/>
              </w:rPr>
              <w:t>4,078.8</w:t>
            </w:r>
          </w:p>
        </w:tc>
      </w:tr>
      <w:tr w:rsidR="00B2032F" w:rsidRPr="00223683" w14:paraId="63C1A6CC" w14:textId="77777777" w:rsidTr="009847D8">
        <w:trPr>
          <w:trHeight w:val="54"/>
          <w:jc w:val="center"/>
        </w:trPr>
        <w:tc>
          <w:tcPr>
            <w:tcW w:w="805" w:type="pct"/>
            <w:hideMark/>
          </w:tcPr>
          <w:p w14:paraId="71229B17" w14:textId="35E879F8" w:rsidR="00B2032F" w:rsidRPr="00223683" w:rsidRDefault="005760B0" w:rsidP="00E54067">
            <w:pPr>
              <w:pStyle w:val="Tabletext"/>
              <w:rPr>
                <w:lang w:eastAsia="zh-CN"/>
              </w:rPr>
            </w:pPr>
            <w:r>
              <w:rPr>
                <w:rFonts w:hint="eastAsia"/>
                <w:lang w:eastAsia="zh-CN"/>
              </w:rPr>
              <w:t>跨区域</w:t>
            </w:r>
            <w:r w:rsidR="006E06E3">
              <w:rPr>
                <w:lang w:eastAsia="zh-CN"/>
              </w:rPr>
              <w:t xml:space="preserve"> </w:t>
            </w:r>
            <w:r w:rsidR="00B2032F" w:rsidRPr="00223683">
              <w:rPr>
                <w:lang w:eastAsia="zh-CN"/>
              </w:rPr>
              <w:t>(*)</w:t>
            </w:r>
          </w:p>
        </w:tc>
        <w:tc>
          <w:tcPr>
            <w:tcW w:w="957" w:type="pct"/>
            <w:noWrap/>
            <w:vAlign w:val="bottom"/>
            <w:hideMark/>
          </w:tcPr>
          <w:p w14:paraId="57A4B32C" w14:textId="77777777" w:rsidR="00B2032F" w:rsidRPr="00223683" w:rsidRDefault="00B2032F" w:rsidP="004D2AE7">
            <w:pPr>
              <w:pStyle w:val="Tabletext"/>
              <w:jc w:val="center"/>
              <w:rPr>
                <w:lang w:eastAsia="zh-CN"/>
              </w:rPr>
            </w:pPr>
            <w:r w:rsidRPr="00223683">
              <w:rPr>
                <w:lang w:eastAsia="zh-CN"/>
              </w:rPr>
              <w:t>41</w:t>
            </w:r>
          </w:p>
        </w:tc>
        <w:tc>
          <w:tcPr>
            <w:tcW w:w="1185" w:type="pct"/>
            <w:vAlign w:val="bottom"/>
            <w:hideMark/>
          </w:tcPr>
          <w:p w14:paraId="647A7586" w14:textId="77777777" w:rsidR="00B2032F" w:rsidRPr="00223683" w:rsidRDefault="00B2032F" w:rsidP="004D2AE7">
            <w:pPr>
              <w:pStyle w:val="Tabletext"/>
              <w:jc w:val="right"/>
              <w:rPr>
                <w:lang w:eastAsia="zh-CN"/>
              </w:rPr>
            </w:pPr>
            <w:r w:rsidRPr="00223683">
              <w:rPr>
                <w:lang w:eastAsia="zh-CN"/>
              </w:rPr>
              <w:t>26,852.4</w:t>
            </w:r>
          </w:p>
        </w:tc>
        <w:tc>
          <w:tcPr>
            <w:tcW w:w="956" w:type="pct"/>
            <w:vAlign w:val="bottom"/>
            <w:hideMark/>
          </w:tcPr>
          <w:p w14:paraId="48FB8E04" w14:textId="77777777" w:rsidR="00B2032F" w:rsidRPr="00223683" w:rsidRDefault="00B2032F" w:rsidP="004D2AE7">
            <w:pPr>
              <w:pStyle w:val="Tabletext"/>
              <w:jc w:val="right"/>
              <w:rPr>
                <w:lang w:eastAsia="zh-CN"/>
              </w:rPr>
            </w:pPr>
            <w:r w:rsidRPr="00223683">
              <w:rPr>
                <w:lang w:eastAsia="zh-CN"/>
              </w:rPr>
              <w:t>6,676.5</w:t>
            </w:r>
          </w:p>
        </w:tc>
        <w:tc>
          <w:tcPr>
            <w:tcW w:w="1097" w:type="pct"/>
            <w:shd w:val="clear" w:color="auto" w:fill="DBE5F1" w:themeFill="accent1" w:themeFillTint="33"/>
            <w:vAlign w:val="bottom"/>
            <w:hideMark/>
          </w:tcPr>
          <w:p w14:paraId="7583FE5A" w14:textId="77777777" w:rsidR="00B2032F" w:rsidRPr="00223683" w:rsidRDefault="00B2032F" w:rsidP="004D2AE7">
            <w:pPr>
              <w:pStyle w:val="Tabletext"/>
              <w:jc w:val="right"/>
              <w:rPr>
                <w:lang w:eastAsia="zh-CN"/>
              </w:rPr>
            </w:pPr>
            <w:r w:rsidRPr="00223683">
              <w:rPr>
                <w:lang w:eastAsia="zh-CN"/>
              </w:rPr>
              <w:t>33,979.1</w:t>
            </w:r>
          </w:p>
        </w:tc>
      </w:tr>
      <w:tr w:rsidR="00B2032F" w:rsidRPr="00223683" w14:paraId="163276CA" w14:textId="77777777" w:rsidTr="009847D8">
        <w:trPr>
          <w:trHeight w:val="54"/>
          <w:jc w:val="center"/>
        </w:trPr>
        <w:tc>
          <w:tcPr>
            <w:tcW w:w="805" w:type="pct"/>
            <w:shd w:val="clear" w:color="auto" w:fill="DBE5F1" w:themeFill="accent1" w:themeFillTint="33"/>
            <w:noWrap/>
            <w:vAlign w:val="center"/>
            <w:hideMark/>
          </w:tcPr>
          <w:p w14:paraId="1728D3BA" w14:textId="10E74B65" w:rsidR="00B2032F" w:rsidRPr="00223683" w:rsidRDefault="005760B0" w:rsidP="00E54067">
            <w:pPr>
              <w:pStyle w:val="Tabletext"/>
              <w:rPr>
                <w:b/>
                <w:bCs/>
                <w:lang w:eastAsia="zh-CN"/>
              </w:rPr>
            </w:pPr>
            <w:r>
              <w:rPr>
                <w:rFonts w:hint="eastAsia"/>
                <w:b/>
                <w:bCs/>
                <w:lang w:eastAsia="zh-CN"/>
              </w:rPr>
              <w:t>合计</w:t>
            </w:r>
          </w:p>
        </w:tc>
        <w:tc>
          <w:tcPr>
            <w:tcW w:w="957" w:type="pct"/>
            <w:shd w:val="clear" w:color="auto" w:fill="DBE5F1" w:themeFill="accent1" w:themeFillTint="33"/>
            <w:noWrap/>
            <w:vAlign w:val="bottom"/>
            <w:hideMark/>
          </w:tcPr>
          <w:p w14:paraId="144F4477" w14:textId="77777777" w:rsidR="00B2032F" w:rsidRPr="00223683" w:rsidRDefault="00B2032F" w:rsidP="004D2AE7">
            <w:pPr>
              <w:pStyle w:val="Tabletext"/>
              <w:jc w:val="center"/>
              <w:rPr>
                <w:b/>
                <w:bCs/>
                <w:lang w:eastAsia="zh-CN"/>
              </w:rPr>
            </w:pPr>
            <w:r w:rsidRPr="00223683">
              <w:rPr>
                <w:b/>
                <w:bCs/>
                <w:lang w:eastAsia="zh-CN"/>
              </w:rPr>
              <w:t>105</w:t>
            </w:r>
          </w:p>
        </w:tc>
        <w:tc>
          <w:tcPr>
            <w:tcW w:w="1185" w:type="pct"/>
            <w:shd w:val="clear" w:color="auto" w:fill="DBE5F1" w:themeFill="accent1" w:themeFillTint="33"/>
            <w:noWrap/>
            <w:vAlign w:val="bottom"/>
            <w:hideMark/>
          </w:tcPr>
          <w:p w14:paraId="40023E0E" w14:textId="77777777" w:rsidR="00B2032F" w:rsidRPr="00223683" w:rsidRDefault="00B2032F" w:rsidP="004D2AE7">
            <w:pPr>
              <w:pStyle w:val="Tabletext"/>
              <w:jc w:val="right"/>
              <w:rPr>
                <w:b/>
                <w:bCs/>
                <w:lang w:eastAsia="zh-CN"/>
              </w:rPr>
            </w:pPr>
            <w:r w:rsidRPr="00223683">
              <w:rPr>
                <w:b/>
                <w:bCs/>
                <w:lang w:eastAsia="zh-CN"/>
              </w:rPr>
              <w:t>80,034.7</w:t>
            </w:r>
          </w:p>
        </w:tc>
        <w:tc>
          <w:tcPr>
            <w:tcW w:w="956" w:type="pct"/>
            <w:shd w:val="clear" w:color="auto" w:fill="DBE5F1" w:themeFill="accent1" w:themeFillTint="33"/>
            <w:noWrap/>
            <w:vAlign w:val="bottom"/>
            <w:hideMark/>
          </w:tcPr>
          <w:p w14:paraId="31137B19" w14:textId="77777777" w:rsidR="00B2032F" w:rsidRPr="00223683" w:rsidRDefault="00B2032F" w:rsidP="004D2AE7">
            <w:pPr>
              <w:pStyle w:val="Tabletext"/>
              <w:jc w:val="right"/>
              <w:rPr>
                <w:b/>
                <w:bCs/>
                <w:lang w:eastAsia="zh-CN"/>
              </w:rPr>
            </w:pPr>
            <w:r w:rsidRPr="00223683">
              <w:rPr>
                <w:b/>
                <w:bCs/>
                <w:lang w:eastAsia="zh-CN"/>
              </w:rPr>
              <w:t>10,425.3</w:t>
            </w:r>
          </w:p>
        </w:tc>
        <w:tc>
          <w:tcPr>
            <w:tcW w:w="1097" w:type="pct"/>
            <w:shd w:val="clear" w:color="auto" w:fill="DBE5F1" w:themeFill="accent1" w:themeFillTint="33"/>
            <w:noWrap/>
            <w:vAlign w:val="bottom"/>
            <w:hideMark/>
          </w:tcPr>
          <w:p w14:paraId="53664A05" w14:textId="77777777" w:rsidR="00B2032F" w:rsidRPr="00223683" w:rsidRDefault="00B2032F" w:rsidP="004D2AE7">
            <w:pPr>
              <w:pStyle w:val="Tabletext"/>
              <w:jc w:val="right"/>
              <w:rPr>
                <w:b/>
                <w:bCs/>
                <w:lang w:eastAsia="zh-CN"/>
              </w:rPr>
            </w:pPr>
            <w:r w:rsidRPr="00223683">
              <w:rPr>
                <w:b/>
                <w:bCs/>
                <w:lang w:eastAsia="zh-CN"/>
              </w:rPr>
              <w:t>91,800.0</w:t>
            </w:r>
          </w:p>
        </w:tc>
      </w:tr>
    </w:tbl>
    <w:p w14:paraId="09D40C35" w14:textId="14053A85" w:rsidR="00B2032F" w:rsidRPr="00E54067" w:rsidRDefault="00B2032F" w:rsidP="00E54067">
      <w:pPr>
        <w:pStyle w:val="Tableref"/>
        <w:spacing w:before="120"/>
        <w:jc w:val="left"/>
        <w:rPr>
          <w:rFonts w:cstheme="minorHAnsi"/>
          <w:sz w:val="20"/>
          <w:lang w:eastAsia="zh-CN"/>
        </w:rPr>
      </w:pPr>
      <w:r w:rsidRPr="00E54067">
        <w:rPr>
          <w:sz w:val="20"/>
          <w:lang w:eastAsia="zh-CN"/>
        </w:rPr>
        <w:t xml:space="preserve">(*) </w:t>
      </w:r>
      <w:r w:rsidRPr="00E54067">
        <w:rPr>
          <w:rFonts w:hint="eastAsia"/>
          <w:sz w:val="20"/>
          <w:lang w:eastAsia="zh-CN"/>
        </w:rPr>
        <w:t>惠及所有区域的</w:t>
      </w:r>
      <w:r w:rsidR="005760B0" w:rsidRPr="00E54067">
        <w:rPr>
          <w:rFonts w:hint="eastAsia"/>
          <w:sz w:val="20"/>
          <w:lang w:eastAsia="zh-CN"/>
        </w:rPr>
        <w:t>跨</w:t>
      </w:r>
      <w:r w:rsidRPr="00E54067">
        <w:rPr>
          <w:rFonts w:hint="eastAsia"/>
          <w:sz w:val="20"/>
          <w:lang w:eastAsia="zh-CN"/>
        </w:rPr>
        <w:t>区域项目</w:t>
      </w:r>
    </w:p>
    <w:p w14:paraId="0671F2EE" w14:textId="6EE329D8" w:rsidR="00BA54DE" w:rsidRPr="00BA7FAA" w:rsidRDefault="00BA7FAA" w:rsidP="003B5682">
      <w:pPr>
        <w:pStyle w:val="Heading1"/>
        <w:rPr>
          <w:sz w:val="24"/>
          <w:szCs w:val="24"/>
          <w:lang w:eastAsia="zh-CN"/>
        </w:rPr>
      </w:pPr>
      <w:r>
        <w:rPr>
          <w:rFonts w:hint="eastAsia"/>
          <w:sz w:val="24"/>
          <w:szCs w:val="24"/>
          <w:lang w:eastAsia="zh-CN"/>
        </w:rPr>
        <w:t>2</w:t>
      </w:r>
      <w:r>
        <w:rPr>
          <w:sz w:val="24"/>
          <w:szCs w:val="24"/>
          <w:lang w:eastAsia="zh-CN"/>
        </w:rPr>
        <w:tab/>
      </w:r>
      <w:r w:rsidR="00BA54DE" w:rsidRPr="00BA7FAA">
        <w:rPr>
          <w:sz w:val="24"/>
          <w:szCs w:val="24"/>
          <w:lang w:eastAsia="zh-CN"/>
        </w:rPr>
        <w:t>理事会关于加强区域代表处作用的讨论</w:t>
      </w:r>
    </w:p>
    <w:p w14:paraId="681323F3" w14:textId="093A24D2" w:rsidR="00BA54DE" w:rsidRPr="00292323" w:rsidRDefault="00BA54DE" w:rsidP="00BA54DE">
      <w:pPr>
        <w:rPr>
          <w:rFonts w:cstheme="minorHAnsi"/>
          <w:szCs w:val="24"/>
          <w:lang w:eastAsia="zh-CN"/>
        </w:rPr>
      </w:pPr>
      <w:r>
        <w:rPr>
          <w:lang w:val="zh-CN" w:eastAsia="zh-CN"/>
        </w:rPr>
        <w:t>2.1</w:t>
      </w:r>
      <w:r w:rsidR="003B5682">
        <w:rPr>
          <w:lang w:val="zh-CN" w:eastAsia="zh-CN"/>
        </w:rPr>
        <w:tab/>
      </w:r>
      <w:r>
        <w:rPr>
          <w:lang w:val="zh-CN" w:eastAsia="zh-CN"/>
        </w:rPr>
        <w:t>理事会财务和人力资源工作组在</w:t>
      </w:r>
      <w:r>
        <w:rPr>
          <w:lang w:val="zh-CN" w:eastAsia="zh-CN"/>
        </w:rPr>
        <w:t>2023</w:t>
      </w:r>
      <w:r>
        <w:rPr>
          <w:lang w:val="zh-CN" w:eastAsia="zh-CN"/>
        </w:rPr>
        <w:t>年</w:t>
      </w:r>
      <w:r>
        <w:rPr>
          <w:lang w:val="zh-CN" w:eastAsia="zh-CN"/>
        </w:rPr>
        <w:t>10</w:t>
      </w:r>
      <w:r>
        <w:rPr>
          <w:lang w:val="zh-CN" w:eastAsia="zh-CN"/>
        </w:rPr>
        <w:t>月</w:t>
      </w:r>
      <w:r>
        <w:rPr>
          <w:lang w:val="zh-CN" w:eastAsia="zh-CN"/>
        </w:rPr>
        <w:t>11-13</w:t>
      </w:r>
      <w:r>
        <w:rPr>
          <w:lang w:val="zh-CN" w:eastAsia="zh-CN"/>
        </w:rPr>
        <w:t>日的会议上，审查并简要讨论了以下两份文件，这两份文件的主题都是确立创建未来地区办事处的标准：秘书长提交的</w:t>
      </w:r>
      <w:hyperlink r:id="rId33" w:history="1">
        <w:r w:rsidR="00F634B2" w:rsidRPr="00292323">
          <w:rPr>
            <w:rStyle w:val="Hyperlink"/>
            <w:rFonts w:cstheme="minorHAnsi"/>
            <w:szCs w:val="24"/>
            <w:lang w:eastAsia="zh-CN"/>
          </w:rPr>
          <w:t>CWG-FHR-16/10</w:t>
        </w:r>
      </w:hyperlink>
      <w:r w:rsidR="00F634B2">
        <w:rPr>
          <w:rFonts w:hint="eastAsia"/>
          <w:lang w:val="zh-CN" w:eastAsia="zh-CN"/>
        </w:rPr>
        <w:t>号文件（</w:t>
      </w:r>
      <w:r>
        <w:rPr>
          <w:lang w:val="zh-CN" w:eastAsia="zh-CN"/>
        </w:rPr>
        <w:t>加强区域代表处的作用</w:t>
      </w:r>
      <w:r>
        <w:rPr>
          <w:lang w:val="zh-CN" w:eastAsia="zh-CN"/>
        </w:rPr>
        <w:t xml:space="preserve"> – </w:t>
      </w:r>
      <w:r>
        <w:rPr>
          <w:lang w:val="zh-CN" w:eastAsia="zh-CN"/>
        </w:rPr>
        <w:t>未来地区办事处的建立标准</w:t>
      </w:r>
      <w:r w:rsidR="00F634B2">
        <w:rPr>
          <w:rFonts w:hint="eastAsia"/>
          <w:lang w:val="zh-CN" w:eastAsia="zh-CN"/>
        </w:rPr>
        <w:t>）</w:t>
      </w:r>
      <w:r>
        <w:rPr>
          <w:lang w:val="zh-CN" w:eastAsia="zh-CN"/>
        </w:rPr>
        <w:t>，以及</w:t>
      </w:r>
      <w:r w:rsidR="00F634B2">
        <w:rPr>
          <w:lang w:val="zh-CN" w:eastAsia="zh-CN"/>
        </w:rPr>
        <w:t>阿尔及利亚、中国、古巴、俄罗斯联邦和南非</w:t>
      </w:r>
      <w:r w:rsidR="00F634B2">
        <w:rPr>
          <w:rFonts w:hint="eastAsia"/>
          <w:lang w:val="zh-CN" w:eastAsia="zh-CN"/>
        </w:rPr>
        <w:t>提交的</w:t>
      </w:r>
      <w:r w:rsidR="00F634B2">
        <w:rPr>
          <w:lang w:val="zh-CN" w:eastAsia="zh-CN"/>
        </w:rPr>
        <w:t>多国文稿</w:t>
      </w:r>
      <w:hyperlink r:id="rId34" w:history="1">
        <w:r w:rsidR="00F634B2" w:rsidRPr="00292323">
          <w:rPr>
            <w:rStyle w:val="Hyperlink"/>
            <w:rFonts w:cstheme="minorHAnsi"/>
            <w:szCs w:val="24"/>
            <w:lang w:eastAsia="zh-CN"/>
          </w:rPr>
          <w:t>CWG-FHR-16/24(Rev.1)</w:t>
        </w:r>
      </w:hyperlink>
      <w:r w:rsidR="00F634B2">
        <w:rPr>
          <w:rFonts w:hint="eastAsia"/>
          <w:lang w:val="zh-CN" w:eastAsia="zh-CN"/>
        </w:rPr>
        <w:t>号文件（</w:t>
      </w:r>
      <w:r>
        <w:rPr>
          <w:lang w:val="zh-CN" w:eastAsia="zh-CN"/>
        </w:rPr>
        <w:t>建立未来地区办事处的</w:t>
      </w:r>
      <w:r w:rsidR="00F634B2">
        <w:rPr>
          <w:rFonts w:hint="eastAsia"/>
          <w:lang w:val="zh-CN" w:eastAsia="zh-CN"/>
        </w:rPr>
        <w:t>提案）。</w:t>
      </w:r>
    </w:p>
    <w:p w14:paraId="415718DD" w14:textId="0D59B054" w:rsidR="00BA54DE" w:rsidRPr="00292323" w:rsidRDefault="00BA54DE" w:rsidP="00BA54DE">
      <w:pPr>
        <w:rPr>
          <w:rFonts w:cstheme="minorHAnsi"/>
          <w:szCs w:val="24"/>
          <w:lang w:eastAsia="zh-CN"/>
        </w:rPr>
      </w:pPr>
      <w:r>
        <w:rPr>
          <w:lang w:val="zh-CN" w:eastAsia="zh-CN"/>
        </w:rPr>
        <w:lastRenderedPageBreak/>
        <w:t>2.1.1</w:t>
      </w:r>
      <w:r w:rsidR="003B5682">
        <w:rPr>
          <w:lang w:val="zh-CN" w:eastAsia="zh-CN"/>
        </w:rPr>
        <w:tab/>
      </w:r>
      <w:r>
        <w:rPr>
          <w:lang w:val="zh-CN" w:eastAsia="zh-CN"/>
        </w:rPr>
        <w:t>这些文件已于</w:t>
      </w:r>
      <w:r>
        <w:rPr>
          <w:lang w:val="zh-CN" w:eastAsia="zh-CN"/>
        </w:rPr>
        <w:t>2024</w:t>
      </w:r>
      <w:r>
        <w:rPr>
          <w:lang w:val="zh-CN" w:eastAsia="zh-CN"/>
        </w:rPr>
        <w:t>年</w:t>
      </w:r>
      <w:r>
        <w:rPr>
          <w:lang w:val="zh-CN" w:eastAsia="zh-CN"/>
        </w:rPr>
        <w:t>1</w:t>
      </w:r>
      <w:r>
        <w:rPr>
          <w:lang w:val="zh-CN" w:eastAsia="zh-CN"/>
        </w:rPr>
        <w:t>月呈交</w:t>
      </w:r>
      <w:r>
        <w:rPr>
          <w:lang w:val="zh-CN" w:eastAsia="zh-CN"/>
        </w:rPr>
        <w:t>CWG-FHR</w:t>
      </w:r>
      <w:r>
        <w:rPr>
          <w:lang w:val="zh-CN" w:eastAsia="zh-CN"/>
        </w:rPr>
        <w:t>会议，以便继续讨论并在可能的情况下审议将呈交理事会的提案。</w:t>
      </w:r>
    </w:p>
    <w:p w14:paraId="4561AC3A" w14:textId="3A25ADD2" w:rsidR="00BA54DE" w:rsidRPr="00292323" w:rsidRDefault="00BA54DE" w:rsidP="00BA54DE">
      <w:pPr>
        <w:rPr>
          <w:rFonts w:cstheme="minorHAnsi"/>
          <w:szCs w:val="24"/>
          <w:lang w:eastAsia="zh-CN"/>
        </w:rPr>
      </w:pPr>
      <w:r>
        <w:rPr>
          <w:lang w:val="zh-CN" w:eastAsia="zh-CN"/>
        </w:rPr>
        <w:t>2.1.2</w:t>
      </w:r>
      <w:r w:rsidR="003B5682">
        <w:rPr>
          <w:lang w:val="zh-CN" w:eastAsia="zh-CN"/>
        </w:rPr>
        <w:tab/>
      </w:r>
      <w:r>
        <w:rPr>
          <w:lang w:val="zh-CN" w:eastAsia="zh-CN"/>
        </w:rPr>
        <w:t>CWG-FHR</w:t>
      </w:r>
      <w:r>
        <w:rPr>
          <w:lang w:val="zh-CN" w:eastAsia="zh-CN"/>
        </w:rPr>
        <w:t>在</w:t>
      </w:r>
      <w:r>
        <w:rPr>
          <w:lang w:val="zh-CN" w:eastAsia="zh-CN"/>
        </w:rPr>
        <w:t>2024</w:t>
      </w:r>
      <w:r>
        <w:rPr>
          <w:lang w:val="zh-CN" w:eastAsia="zh-CN"/>
        </w:rPr>
        <w:t>年</w:t>
      </w:r>
      <w:r>
        <w:rPr>
          <w:lang w:val="zh-CN" w:eastAsia="zh-CN"/>
        </w:rPr>
        <w:t>1</w:t>
      </w:r>
      <w:r>
        <w:rPr>
          <w:lang w:val="zh-CN" w:eastAsia="zh-CN"/>
        </w:rPr>
        <w:t>月</w:t>
      </w:r>
      <w:r>
        <w:rPr>
          <w:lang w:val="zh-CN" w:eastAsia="zh-CN"/>
        </w:rPr>
        <w:t>24-26</w:t>
      </w:r>
      <w:r>
        <w:rPr>
          <w:lang w:val="zh-CN" w:eastAsia="zh-CN"/>
        </w:rPr>
        <w:t>日的会议上做出以下决议：</w:t>
      </w:r>
    </w:p>
    <w:p w14:paraId="4F191405" w14:textId="18A86E0B" w:rsidR="00BA54DE" w:rsidRPr="00292323" w:rsidRDefault="00BA54DE" w:rsidP="00BA54DE">
      <w:pPr>
        <w:rPr>
          <w:rFonts w:cstheme="minorHAnsi"/>
          <w:szCs w:val="24"/>
          <w:lang w:eastAsia="zh-CN"/>
        </w:rPr>
      </w:pPr>
      <w:r>
        <w:rPr>
          <w:lang w:val="zh-CN" w:eastAsia="zh-CN"/>
        </w:rPr>
        <w:t>2.1.3</w:t>
      </w:r>
      <w:r w:rsidR="003B5682">
        <w:rPr>
          <w:lang w:val="zh-CN" w:eastAsia="zh-CN"/>
        </w:rPr>
        <w:tab/>
      </w:r>
      <w:r>
        <w:rPr>
          <w:lang w:val="zh-CN" w:eastAsia="zh-CN"/>
        </w:rPr>
        <w:t>一些成员国提议将报告</w:t>
      </w:r>
      <w:r w:rsidR="00574E87">
        <w:rPr>
          <w:rFonts w:hint="eastAsia"/>
          <w:lang w:val="zh-CN" w:eastAsia="zh-CN"/>
        </w:rPr>
        <w:t>转呈</w:t>
      </w:r>
      <w:r>
        <w:rPr>
          <w:lang w:val="zh-CN" w:eastAsia="zh-CN"/>
        </w:rPr>
        <w:t>理事会批准，而另一些成员国则期待顾问委员会提供更多的信息，与国际电</w:t>
      </w:r>
      <w:proofErr w:type="gramStart"/>
      <w:r>
        <w:rPr>
          <w:lang w:val="zh-CN" w:eastAsia="zh-CN"/>
        </w:rPr>
        <w:t>联其它</w:t>
      </w:r>
      <w:proofErr w:type="gramEnd"/>
      <w:r>
        <w:rPr>
          <w:lang w:val="zh-CN" w:eastAsia="zh-CN"/>
        </w:rPr>
        <w:t>部门协调，并提高文件的整体忠实度。会议注意到，拟议的标准应是可衡量的，并应纳入区域组织的作用。经过对该议题的进一步一般性讨论，会议决定由</w:t>
      </w:r>
      <w:r>
        <w:rPr>
          <w:lang w:val="zh-CN" w:eastAsia="zh-CN"/>
        </w:rPr>
        <w:t>CWG-FHR</w:t>
      </w:r>
      <w:r>
        <w:rPr>
          <w:lang w:val="zh-CN" w:eastAsia="zh-CN"/>
        </w:rPr>
        <w:t>向</w:t>
      </w:r>
      <w:r>
        <w:rPr>
          <w:lang w:val="zh-CN" w:eastAsia="zh-CN"/>
        </w:rPr>
        <w:t>TDAG</w:t>
      </w:r>
      <w:r>
        <w:rPr>
          <w:lang w:val="zh-CN" w:eastAsia="zh-CN"/>
        </w:rPr>
        <w:t>和跨部门协调组（</w:t>
      </w:r>
      <w:r>
        <w:rPr>
          <w:lang w:val="zh-CN" w:eastAsia="zh-CN"/>
        </w:rPr>
        <w:t>ISCG</w:t>
      </w:r>
      <w:r>
        <w:rPr>
          <w:lang w:val="zh-CN" w:eastAsia="zh-CN"/>
        </w:rPr>
        <w:t>）发出一份联络声明，请顾问组和</w:t>
      </w:r>
      <w:r>
        <w:rPr>
          <w:lang w:val="zh-CN" w:eastAsia="zh-CN"/>
        </w:rPr>
        <w:t>ISCG</w:t>
      </w:r>
      <w:r>
        <w:rPr>
          <w:lang w:val="zh-CN" w:eastAsia="zh-CN"/>
        </w:rPr>
        <w:t>审议并向理事会下次会议提供反馈。</w:t>
      </w:r>
    </w:p>
    <w:p w14:paraId="1021F3B0" w14:textId="5A894966" w:rsidR="00BA54DE" w:rsidRPr="00292323" w:rsidRDefault="00BA54DE" w:rsidP="00BA54DE">
      <w:pPr>
        <w:rPr>
          <w:rFonts w:cstheme="minorHAnsi"/>
          <w:szCs w:val="24"/>
          <w:lang w:eastAsia="zh-CN"/>
        </w:rPr>
      </w:pPr>
      <w:r>
        <w:rPr>
          <w:lang w:val="zh-CN" w:eastAsia="zh-CN"/>
        </w:rPr>
        <w:t>2.2</w:t>
      </w:r>
      <w:r w:rsidR="003B5682">
        <w:rPr>
          <w:lang w:val="zh-CN" w:eastAsia="zh-CN"/>
        </w:rPr>
        <w:tab/>
      </w:r>
      <w:r>
        <w:rPr>
          <w:lang w:val="zh-CN" w:eastAsia="zh-CN"/>
        </w:rPr>
        <w:t>CWG-FHR</w:t>
      </w:r>
      <w:r>
        <w:rPr>
          <w:lang w:val="zh-CN" w:eastAsia="zh-CN"/>
        </w:rPr>
        <w:t>在</w:t>
      </w:r>
      <w:r>
        <w:rPr>
          <w:lang w:val="zh-CN" w:eastAsia="zh-CN"/>
        </w:rPr>
        <w:t>2025</w:t>
      </w:r>
      <w:r>
        <w:rPr>
          <w:lang w:val="zh-CN" w:eastAsia="zh-CN"/>
        </w:rPr>
        <w:t>年</w:t>
      </w:r>
      <w:r>
        <w:rPr>
          <w:lang w:val="zh-CN" w:eastAsia="zh-CN"/>
        </w:rPr>
        <w:t>3</w:t>
      </w:r>
      <w:r>
        <w:rPr>
          <w:lang w:val="zh-CN" w:eastAsia="zh-CN"/>
        </w:rPr>
        <w:t>月的会议上审议了在线信函通信组（</w:t>
      </w:r>
      <w:r>
        <w:rPr>
          <w:lang w:val="zh-CN" w:eastAsia="zh-CN"/>
        </w:rPr>
        <w:t>OCG</w:t>
      </w:r>
      <w:r>
        <w:rPr>
          <w:lang w:val="zh-CN" w:eastAsia="zh-CN"/>
        </w:rPr>
        <w:t>）提交的报告，其中包括经修订的职责范围（</w:t>
      </w:r>
      <w:r>
        <w:rPr>
          <w:lang w:val="zh-CN" w:eastAsia="zh-CN"/>
        </w:rPr>
        <w:t>ToR</w:t>
      </w:r>
      <w:r>
        <w:rPr>
          <w:lang w:val="zh-CN" w:eastAsia="zh-CN"/>
        </w:rPr>
        <w:t>）。</w:t>
      </w:r>
    </w:p>
    <w:p w14:paraId="018E61AF" w14:textId="0D391ECB" w:rsidR="00BA54DE" w:rsidRPr="00292323" w:rsidRDefault="00BA54DE" w:rsidP="00BA54DE">
      <w:pPr>
        <w:rPr>
          <w:rFonts w:cstheme="minorHAnsi"/>
          <w:szCs w:val="24"/>
          <w:lang w:eastAsia="zh-CN"/>
        </w:rPr>
      </w:pPr>
      <w:r>
        <w:rPr>
          <w:lang w:val="zh-CN" w:eastAsia="zh-CN"/>
        </w:rPr>
        <w:t>2.2.1</w:t>
      </w:r>
      <w:r w:rsidR="003B5682">
        <w:rPr>
          <w:lang w:val="zh-CN" w:eastAsia="zh-CN"/>
        </w:rPr>
        <w:tab/>
      </w:r>
      <w:r>
        <w:rPr>
          <w:lang w:val="zh-CN" w:eastAsia="zh-CN"/>
        </w:rPr>
        <w:t>在讨论中，多位代表要求就经修订的职责范围的主要方面做出澄清并发表意见，包括：</w:t>
      </w:r>
    </w:p>
    <w:p w14:paraId="4E4639A2" w14:textId="0B3A06B4" w:rsidR="00BA54DE" w:rsidRPr="00292323" w:rsidRDefault="00DE0585" w:rsidP="00DE0585">
      <w:pPr>
        <w:pStyle w:val="enumlev1"/>
        <w:rPr>
          <w:rFonts w:cstheme="minorHAnsi"/>
          <w:szCs w:val="24"/>
          <w:lang w:eastAsia="zh-CN"/>
        </w:rPr>
      </w:pPr>
      <w:r w:rsidRPr="00DE0585">
        <w:rPr>
          <w:lang w:val="zh-CN" w:eastAsia="zh-CN"/>
        </w:rPr>
        <w:t>–</w:t>
      </w:r>
      <w:r>
        <w:rPr>
          <w:lang w:val="zh-CN" w:eastAsia="zh-CN"/>
        </w:rPr>
        <w:tab/>
      </w:r>
      <w:r w:rsidR="00BA54DE">
        <w:rPr>
          <w:lang w:val="zh-CN" w:eastAsia="zh-CN"/>
        </w:rPr>
        <w:t>利益攸关方磋商的范围，</w:t>
      </w:r>
    </w:p>
    <w:p w14:paraId="771DEB7E" w14:textId="7E445AFF" w:rsidR="00BA54DE" w:rsidRPr="00292323" w:rsidRDefault="00DE0585" w:rsidP="00DE0585">
      <w:pPr>
        <w:pStyle w:val="enumlev1"/>
        <w:rPr>
          <w:rFonts w:cstheme="minorHAnsi"/>
          <w:szCs w:val="24"/>
          <w:lang w:eastAsia="zh-CN"/>
        </w:rPr>
      </w:pPr>
      <w:r w:rsidRPr="00DE0585">
        <w:rPr>
          <w:lang w:val="zh-CN" w:eastAsia="zh-CN"/>
        </w:rPr>
        <w:t>–</w:t>
      </w:r>
      <w:r>
        <w:rPr>
          <w:lang w:val="zh-CN" w:eastAsia="zh-CN"/>
        </w:rPr>
        <w:tab/>
      </w:r>
      <w:r w:rsidR="00BA54DE">
        <w:rPr>
          <w:lang w:val="zh-CN" w:eastAsia="zh-CN"/>
        </w:rPr>
        <w:t>关键绩效指标（</w:t>
      </w:r>
      <w:r w:rsidR="00BA54DE">
        <w:rPr>
          <w:lang w:val="zh-CN" w:eastAsia="zh-CN"/>
        </w:rPr>
        <w:t>KPI</w:t>
      </w:r>
      <w:r w:rsidR="00BA54DE">
        <w:rPr>
          <w:lang w:val="zh-CN" w:eastAsia="zh-CN"/>
        </w:rPr>
        <w:t>）</w:t>
      </w:r>
      <w:r w:rsidR="00574E87">
        <w:rPr>
          <w:rFonts w:hint="eastAsia"/>
          <w:lang w:val="zh-CN" w:eastAsia="zh-CN"/>
        </w:rPr>
        <w:t>的调整，</w:t>
      </w:r>
      <w:proofErr w:type="gramStart"/>
      <w:r w:rsidR="00BA54DE">
        <w:rPr>
          <w:lang w:val="zh-CN" w:eastAsia="zh-CN"/>
        </w:rPr>
        <w:t>和</w:t>
      </w:r>
      <w:proofErr w:type="gramEnd"/>
    </w:p>
    <w:p w14:paraId="51E03ECD" w14:textId="1F63E5EB" w:rsidR="00BA54DE" w:rsidRPr="00292323" w:rsidRDefault="00DE0585" w:rsidP="00DE0585">
      <w:pPr>
        <w:pStyle w:val="enumlev1"/>
        <w:rPr>
          <w:rFonts w:cstheme="minorHAnsi"/>
          <w:szCs w:val="24"/>
          <w:lang w:eastAsia="zh-CN"/>
        </w:rPr>
      </w:pPr>
      <w:r w:rsidRPr="00DE0585">
        <w:rPr>
          <w:lang w:val="zh-CN" w:eastAsia="zh-CN"/>
        </w:rPr>
        <w:t>–</w:t>
      </w:r>
      <w:r>
        <w:rPr>
          <w:lang w:val="zh-CN" w:eastAsia="zh-CN"/>
        </w:rPr>
        <w:tab/>
      </w:r>
      <w:r w:rsidR="00574E87">
        <w:rPr>
          <w:rFonts w:hint="eastAsia"/>
          <w:lang w:val="zh-CN" w:eastAsia="zh-CN"/>
        </w:rPr>
        <w:t>审查和</w:t>
      </w:r>
      <w:r w:rsidR="00BA54DE">
        <w:rPr>
          <w:lang w:val="zh-CN" w:eastAsia="zh-CN"/>
        </w:rPr>
        <w:t>评估过程</w:t>
      </w:r>
      <w:r w:rsidR="00B831BB">
        <w:rPr>
          <w:rFonts w:hint="eastAsia"/>
          <w:lang w:val="zh-CN" w:eastAsia="zh-CN"/>
        </w:rPr>
        <w:t>。</w:t>
      </w:r>
    </w:p>
    <w:p w14:paraId="22D62C65" w14:textId="2D19480B" w:rsidR="00BA54DE" w:rsidRPr="00292323" w:rsidRDefault="00BA54DE" w:rsidP="00BA54DE">
      <w:pPr>
        <w:rPr>
          <w:rFonts w:cstheme="minorHAnsi"/>
          <w:szCs w:val="24"/>
          <w:lang w:eastAsia="zh-CN"/>
        </w:rPr>
      </w:pPr>
      <w:r>
        <w:rPr>
          <w:lang w:val="zh-CN" w:eastAsia="zh-CN"/>
        </w:rPr>
        <w:t>2.2.2</w:t>
      </w:r>
      <w:r w:rsidR="00721D65">
        <w:rPr>
          <w:lang w:val="zh-CN" w:eastAsia="zh-CN"/>
        </w:rPr>
        <w:tab/>
      </w:r>
      <w:r>
        <w:rPr>
          <w:lang w:val="zh-CN" w:eastAsia="zh-CN"/>
        </w:rPr>
        <w:t>经过这些讨论，会议商定，在线信函</w:t>
      </w:r>
      <w:proofErr w:type="gramStart"/>
      <w:r>
        <w:rPr>
          <w:lang w:val="zh-CN" w:eastAsia="zh-CN"/>
        </w:rPr>
        <w:t>通信组</w:t>
      </w:r>
      <w:proofErr w:type="gramEnd"/>
      <w:r>
        <w:rPr>
          <w:lang w:val="zh-CN" w:eastAsia="zh-CN"/>
        </w:rPr>
        <w:t>主席将与在非正式磋商中提出</w:t>
      </w:r>
      <w:r w:rsidR="00B831BB">
        <w:rPr>
          <w:rFonts w:hint="eastAsia"/>
          <w:lang w:val="zh-CN" w:eastAsia="zh-CN"/>
        </w:rPr>
        <w:t>评论</w:t>
      </w:r>
      <w:r>
        <w:rPr>
          <w:lang w:val="zh-CN" w:eastAsia="zh-CN"/>
        </w:rPr>
        <w:t>意见的成员进行接触。</w:t>
      </w:r>
      <w:r w:rsidR="00B831BB" w:rsidRPr="00B831BB">
        <w:rPr>
          <w:rFonts w:hint="eastAsia"/>
          <w:lang w:val="zh-CN" w:eastAsia="zh-CN"/>
        </w:rPr>
        <w:t>这些磋商的结果将作为编制修订报告的依据，供理事会工作组进一步审议。</w:t>
      </w:r>
    </w:p>
    <w:p w14:paraId="0D71E414" w14:textId="1F7CB77E" w:rsidR="00BA54DE" w:rsidRPr="00292323" w:rsidRDefault="00BA54DE" w:rsidP="00BA54DE">
      <w:pPr>
        <w:rPr>
          <w:rFonts w:cstheme="minorHAnsi"/>
          <w:szCs w:val="24"/>
          <w:lang w:eastAsia="zh-CN"/>
        </w:rPr>
      </w:pPr>
      <w:r>
        <w:rPr>
          <w:lang w:val="zh-CN" w:eastAsia="zh-CN"/>
        </w:rPr>
        <w:t>2.2.3</w:t>
      </w:r>
      <w:r w:rsidR="00721D65">
        <w:rPr>
          <w:lang w:val="zh-CN" w:eastAsia="zh-CN"/>
        </w:rPr>
        <w:tab/>
      </w:r>
      <w:r>
        <w:rPr>
          <w:lang w:val="zh-CN" w:eastAsia="zh-CN"/>
        </w:rPr>
        <w:t>在完成非正式磋商后，对职责范围进行了修正。经修订的文件随后被提交</w:t>
      </w:r>
      <w:r>
        <w:rPr>
          <w:lang w:val="zh-CN" w:eastAsia="zh-CN"/>
        </w:rPr>
        <w:t>CWG FHR</w:t>
      </w:r>
      <w:r>
        <w:rPr>
          <w:lang w:val="zh-CN" w:eastAsia="zh-CN"/>
        </w:rPr>
        <w:t>第</w:t>
      </w:r>
      <w:r>
        <w:rPr>
          <w:lang w:val="zh-CN" w:eastAsia="zh-CN"/>
        </w:rPr>
        <w:t>20</w:t>
      </w:r>
      <w:r>
        <w:rPr>
          <w:lang w:val="zh-CN" w:eastAsia="zh-CN"/>
        </w:rPr>
        <w:t>次会议审议。</w:t>
      </w:r>
      <w:r w:rsidR="003179D8" w:rsidRPr="003179D8">
        <w:rPr>
          <w:rFonts w:hint="eastAsia"/>
          <w:lang w:val="zh-CN" w:eastAsia="zh-CN"/>
        </w:rPr>
        <w:t>经修订的职责范围稍经文字调整后获得通过，并反映在本文件附件</w:t>
      </w:r>
      <w:r w:rsidR="003179D8" w:rsidRPr="003179D8">
        <w:rPr>
          <w:rFonts w:hint="eastAsia"/>
          <w:lang w:val="zh-CN" w:eastAsia="zh-CN"/>
        </w:rPr>
        <w:t>A</w:t>
      </w:r>
      <w:r w:rsidR="003179D8" w:rsidRPr="003179D8">
        <w:rPr>
          <w:rFonts w:hint="eastAsia"/>
          <w:lang w:val="zh-CN" w:eastAsia="zh-CN"/>
        </w:rPr>
        <w:t>（</w:t>
      </w:r>
      <w:hyperlink r:id="rId35" w:history="1">
        <w:r w:rsidR="003179D8" w:rsidRPr="00664878">
          <w:rPr>
            <w:rStyle w:val="Hyperlink"/>
            <w:rFonts w:cstheme="minorHAnsi"/>
            <w:szCs w:val="24"/>
            <w:lang w:eastAsia="zh-CN"/>
          </w:rPr>
          <w:t>TDAG25/24(Ann.1)</w:t>
        </w:r>
      </w:hyperlink>
      <w:r w:rsidR="003179D8" w:rsidRPr="003179D8">
        <w:rPr>
          <w:rFonts w:hint="eastAsia"/>
          <w:lang w:val="zh-CN" w:eastAsia="zh-CN"/>
        </w:rPr>
        <w:t>）中</w:t>
      </w:r>
    </w:p>
    <w:p w14:paraId="65478E62" w14:textId="26A78F8A" w:rsidR="00BA54DE" w:rsidRPr="00DA230C" w:rsidRDefault="003179D8" w:rsidP="00DA230C">
      <w:pPr>
        <w:pStyle w:val="Heading1"/>
        <w:rPr>
          <w:sz w:val="24"/>
          <w:szCs w:val="24"/>
          <w:lang w:eastAsia="zh-CN"/>
        </w:rPr>
      </w:pPr>
      <w:r w:rsidRPr="00DA230C">
        <w:rPr>
          <w:rFonts w:hint="eastAsia"/>
          <w:sz w:val="24"/>
          <w:szCs w:val="24"/>
          <w:lang w:eastAsia="zh-CN"/>
        </w:rPr>
        <w:t>3</w:t>
      </w:r>
      <w:r w:rsidR="00721D65" w:rsidRPr="00DA230C">
        <w:rPr>
          <w:sz w:val="24"/>
          <w:szCs w:val="24"/>
          <w:lang w:eastAsia="zh-CN"/>
        </w:rPr>
        <w:tab/>
      </w:r>
      <w:r w:rsidR="00BA54DE" w:rsidRPr="00DA230C">
        <w:rPr>
          <w:sz w:val="24"/>
          <w:szCs w:val="24"/>
          <w:lang w:eastAsia="zh-CN"/>
        </w:rPr>
        <w:t>参考文件的摘要</w:t>
      </w:r>
    </w:p>
    <w:p w14:paraId="052E2B82" w14:textId="5C1663E7" w:rsidR="00BA54DE" w:rsidRPr="00292323" w:rsidRDefault="00BA54DE" w:rsidP="00BA54DE">
      <w:pPr>
        <w:rPr>
          <w:rFonts w:cstheme="minorHAnsi"/>
          <w:szCs w:val="24"/>
          <w:lang w:eastAsia="zh-CN"/>
        </w:rPr>
      </w:pPr>
      <w:r>
        <w:rPr>
          <w:lang w:val="zh-CN" w:eastAsia="zh-CN"/>
        </w:rPr>
        <w:t>3.1</w:t>
      </w:r>
      <w:r w:rsidR="00721D65">
        <w:rPr>
          <w:lang w:val="zh-CN" w:eastAsia="zh-CN"/>
        </w:rPr>
        <w:tab/>
      </w:r>
      <w:hyperlink r:id="rId36" w:history="1">
        <w:r w:rsidR="00FA4444" w:rsidRPr="00292323">
          <w:rPr>
            <w:rStyle w:val="Hyperlink"/>
            <w:rFonts w:cstheme="minorHAnsi"/>
            <w:szCs w:val="24"/>
            <w:lang w:eastAsia="zh-CN"/>
          </w:rPr>
          <w:t>CWG-FHR-16/10</w:t>
        </w:r>
      </w:hyperlink>
    </w:p>
    <w:p w14:paraId="5747CEE6" w14:textId="38E7F836" w:rsidR="00BA54DE" w:rsidRPr="00292323" w:rsidRDefault="00BA54DE" w:rsidP="00BA54DE">
      <w:pPr>
        <w:rPr>
          <w:rFonts w:cstheme="minorHAnsi"/>
          <w:szCs w:val="24"/>
          <w:lang w:eastAsia="zh-CN"/>
        </w:rPr>
      </w:pPr>
      <w:r>
        <w:rPr>
          <w:lang w:val="zh-CN" w:eastAsia="zh-CN"/>
        </w:rPr>
        <w:t>3.1.1</w:t>
      </w:r>
      <w:r w:rsidR="00721D65">
        <w:rPr>
          <w:lang w:val="zh-CN" w:eastAsia="zh-CN"/>
        </w:rPr>
        <w:tab/>
      </w:r>
      <w:r>
        <w:rPr>
          <w:lang w:val="zh-CN" w:eastAsia="zh-CN"/>
        </w:rPr>
        <w:t>该文件规定，如果经核实国际电联的覆盖范围存在差距，</w:t>
      </w:r>
      <w:r w:rsidR="00241AE3" w:rsidRPr="00241AE3">
        <w:rPr>
          <w:rFonts w:hint="eastAsia"/>
          <w:lang w:val="zh-CN" w:eastAsia="zh-CN"/>
        </w:rPr>
        <w:t>而且有足够</w:t>
      </w:r>
      <w:r w:rsidR="00241AE3">
        <w:rPr>
          <w:rFonts w:hint="eastAsia"/>
          <w:lang w:val="zh-CN" w:eastAsia="zh-CN"/>
        </w:rPr>
        <w:t>多</w:t>
      </w:r>
      <w:r w:rsidR="00241AE3" w:rsidRPr="00241AE3">
        <w:rPr>
          <w:rFonts w:hint="eastAsia"/>
          <w:lang w:val="zh-CN" w:eastAsia="zh-CN"/>
        </w:rPr>
        <w:t>的国家证明有理由</w:t>
      </w:r>
      <w:r>
        <w:rPr>
          <w:lang w:val="zh-CN" w:eastAsia="zh-CN"/>
        </w:rPr>
        <w:t>扩大</w:t>
      </w:r>
      <w:r w:rsidR="00241AE3">
        <w:rPr>
          <w:lang w:val="zh-CN" w:eastAsia="zh-CN"/>
        </w:rPr>
        <w:t>国际电联的区域代表性</w:t>
      </w:r>
      <w:r>
        <w:rPr>
          <w:lang w:val="zh-CN" w:eastAsia="zh-CN"/>
        </w:rPr>
        <w:t>，则应考虑</w:t>
      </w:r>
      <w:r w:rsidR="00241AE3">
        <w:rPr>
          <w:rFonts w:hint="eastAsia"/>
          <w:lang w:val="zh-CN" w:eastAsia="zh-CN"/>
        </w:rPr>
        <w:t>予以</w:t>
      </w:r>
      <w:r>
        <w:rPr>
          <w:lang w:val="zh-CN" w:eastAsia="zh-CN"/>
        </w:rPr>
        <w:t>扩大。应开展评估，以确定国际电联目前的区域代表性的覆盖范围是否存在任何差距。如果评估发现存在地域差距，多个国家未被有效覆盖，则应将其确定为国际电联覆盖的潜在地区，可能适合建立国际电联新的代表处</w:t>
      </w:r>
      <w:r w:rsidR="00241AE3" w:rsidRPr="00241AE3">
        <w:rPr>
          <w:rFonts w:hint="eastAsia"/>
          <w:lang w:val="zh-CN" w:eastAsia="zh-CN"/>
        </w:rPr>
        <w:t>。</w:t>
      </w:r>
    </w:p>
    <w:p w14:paraId="78D941FD" w14:textId="0224A86F" w:rsidR="00BA54DE" w:rsidRPr="00292323" w:rsidRDefault="00BA54DE" w:rsidP="00BA54DE">
      <w:pPr>
        <w:rPr>
          <w:rFonts w:cstheme="minorHAnsi"/>
          <w:szCs w:val="24"/>
          <w:lang w:eastAsia="zh-CN"/>
        </w:rPr>
      </w:pPr>
      <w:r>
        <w:rPr>
          <w:lang w:val="zh-CN" w:eastAsia="zh-CN"/>
        </w:rPr>
        <w:t>3.1.2</w:t>
      </w:r>
      <w:r w:rsidR="00721D65">
        <w:rPr>
          <w:lang w:val="zh-CN" w:eastAsia="zh-CN"/>
        </w:rPr>
        <w:tab/>
      </w:r>
      <w:r>
        <w:rPr>
          <w:lang w:val="zh-CN" w:eastAsia="zh-CN"/>
        </w:rPr>
        <w:t>一旦确定存在一个由多个国家组成的地理地区无法通过现有办事处</w:t>
      </w:r>
      <w:r w:rsidR="00C53554" w:rsidRPr="00C53554">
        <w:rPr>
          <w:rFonts w:hint="eastAsia"/>
          <w:lang w:val="zh-CN" w:eastAsia="zh-CN"/>
        </w:rPr>
        <w:t>有效满足这些国家的需求</w:t>
      </w:r>
      <w:r>
        <w:rPr>
          <w:lang w:val="zh-CN" w:eastAsia="zh-CN"/>
        </w:rPr>
        <w:t>，下一步就是确定是否适宜扩大国际电联的区域代表性以弥补这一差距，以及国际电联在该地区的代表处应设在何处。</w:t>
      </w:r>
    </w:p>
    <w:p w14:paraId="41C59174" w14:textId="67B9E234" w:rsidR="00BA54DE" w:rsidRPr="00292323" w:rsidRDefault="00BA54DE" w:rsidP="00BA54DE">
      <w:pPr>
        <w:rPr>
          <w:rFonts w:cstheme="minorHAnsi"/>
          <w:szCs w:val="24"/>
          <w:lang w:eastAsia="zh-CN"/>
        </w:rPr>
      </w:pPr>
      <w:r>
        <w:rPr>
          <w:lang w:val="zh-CN" w:eastAsia="zh-CN"/>
        </w:rPr>
        <w:t>3.1.3</w:t>
      </w:r>
      <w:r w:rsidR="00721D65">
        <w:rPr>
          <w:lang w:val="zh-CN" w:eastAsia="zh-CN"/>
        </w:rPr>
        <w:tab/>
      </w:r>
      <w:r>
        <w:rPr>
          <w:lang w:val="zh-CN" w:eastAsia="zh-CN"/>
        </w:rPr>
        <w:t>以下是关于在已发现差距的地区开设新的代表处的标准：</w:t>
      </w:r>
    </w:p>
    <w:p w14:paraId="5369E36F" w14:textId="1524AB97" w:rsidR="00BA54DE" w:rsidRPr="00292323" w:rsidRDefault="00721D65" w:rsidP="00721D65">
      <w:pPr>
        <w:pStyle w:val="enumlev1"/>
        <w:rPr>
          <w:rFonts w:cstheme="minorHAnsi"/>
          <w:szCs w:val="24"/>
          <w:lang w:eastAsia="zh-CN"/>
        </w:rPr>
      </w:pPr>
      <w:r w:rsidRPr="00721D65">
        <w:rPr>
          <w:lang w:val="zh-CN" w:eastAsia="zh-CN"/>
        </w:rPr>
        <w:t>–</w:t>
      </w:r>
      <w:r>
        <w:rPr>
          <w:lang w:val="zh-CN" w:eastAsia="zh-CN"/>
        </w:rPr>
        <w:tab/>
      </w:r>
      <w:r w:rsidR="00BA54DE">
        <w:rPr>
          <w:lang w:val="zh-CN" w:eastAsia="zh-CN"/>
        </w:rPr>
        <w:t>相关性</w:t>
      </w:r>
      <w:r w:rsidR="00BA54DE">
        <w:rPr>
          <w:lang w:val="zh-CN" w:eastAsia="zh-CN"/>
        </w:rPr>
        <w:t xml:space="preserve"> – </w:t>
      </w:r>
      <w:r w:rsidR="00BA54DE">
        <w:rPr>
          <w:lang w:val="zh-CN" w:eastAsia="zh-CN"/>
        </w:rPr>
        <w:t>拟议的新地点应能改善国际电联在多个国家产生影响的能力。</w:t>
      </w:r>
    </w:p>
    <w:p w14:paraId="2047006E" w14:textId="78DD399D" w:rsidR="00BA54DE" w:rsidRPr="00292323" w:rsidRDefault="00721D65" w:rsidP="00721D65">
      <w:pPr>
        <w:pStyle w:val="enumlev1"/>
        <w:rPr>
          <w:rFonts w:cstheme="minorHAnsi"/>
          <w:szCs w:val="24"/>
          <w:lang w:eastAsia="zh-CN"/>
        </w:rPr>
      </w:pPr>
      <w:r w:rsidRPr="00721D65">
        <w:rPr>
          <w:lang w:val="zh-CN" w:eastAsia="zh-CN"/>
        </w:rPr>
        <w:t>–</w:t>
      </w:r>
      <w:r>
        <w:rPr>
          <w:lang w:val="zh-CN" w:eastAsia="zh-CN"/>
        </w:rPr>
        <w:tab/>
      </w:r>
      <w:r w:rsidR="00BA54DE">
        <w:rPr>
          <w:lang w:val="zh-CN" w:eastAsia="zh-CN"/>
        </w:rPr>
        <w:t>排他性</w:t>
      </w:r>
      <w:r w:rsidR="00BA54DE">
        <w:rPr>
          <w:lang w:val="zh-CN" w:eastAsia="zh-CN"/>
        </w:rPr>
        <w:t xml:space="preserve"> – </w:t>
      </w:r>
      <w:r w:rsidR="00BA54DE">
        <w:rPr>
          <w:lang w:val="zh-CN" w:eastAsia="zh-CN"/>
        </w:rPr>
        <w:t>建议的地点不会与任何次区域层面的现有代表性重叠。</w:t>
      </w:r>
    </w:p>
    <w:p w14:paraId="5EE82D0A" w14:textId="59F833FE" w:rsidR="00BA54DE" w:rsidRPr="00292323" w:rsidRDefault="00721D65" w:rsidP="00721D65">
      <w:pPr>
        <w:pStyle w:val="enumlev1"/>
        <w:rPr>
          <w:rFonts w:cstheme="minorHAnsi"/>
          <w:szCs w:val="24"/>
          <w:lang w:eastAsia="zh-CN"/>
        </w:rPr>
      </w:pPr>
      <w:r w:rsidRPr="00721D65">
        <w:rPr>
          <w:lang w:val="zh-CN" w:eastAsia="zh-CN"/>
        </w:rPr>
        <w:t>–</w:t>
      </w:r>
      <w:r>
        <w:rPr>
          <w:lang w:val="zh-CN" w:eastAsia="zh-CN"/>
        </w:rPr>
        <w:tab/>
      </w:r>
      <w:r w:rsidR="00BA54DE">
        <w:rPr>
          <w:lang w:val="zh-CN" w:eastAsia="zh-CN"/>
        </w:rPr>
        <w:t>可行性</w:t>
      </w:r>
      <w:r w:rsidR="00BA54DE">
        <w:rPr>
          <w:lang w:val="zh-CN" w:eastAsia="zh-CN"/>
        </w:rPr>
        <w:t xml:space="preserve"> – </w:t>
      </w:r>
      <w:r w:rsidR="00BA54DE">
        <w:rPr>
          <w:lang w:val="zh-CN" w:eastAsia="zh-CN"/>
        </w:rPr>
        <w:t>可获得足够资源建立办事处，并在较长时间内支持最低限度的技术技能，而且东道国有资源和承诺来履行作为国际电联办事处东道国所需的义务。</w:t>
      </w:r>
    </w:p>
    <w:p w14:paraId="0C14B180" w14:textId="21EF9023" w:rsidR="00BA54DE" w:rsidRPr="00292323" w:rsidRDefault="00721D65" w:rsidP="00721D65">
      <w:pPr>
        <w:pStyle w:val="enumlev1"/>
        <w:rPr>
          <w:rFonts w:cstheme="minorHAnsi"/>
          <w:szCs w:val="24"/>
          <w:lang w:eastAsia="zh-CN"/>
        </w:rPr>
      </w:pPr>
      <w:r w:rsidRPr="00721D65">
        <w:rPr>
          <w:lang w:val="zh-CN" w:eastAsia="zh-CN"/>
        </w:rPr>
        <w:t>–</w:t>
      </w:r>
      <w:r>
        <w:rPr>
          <w:lang w:val="zh-CN" w:eastAsia="zh-CN"/>
        </w:rPr>
        <w:tab/>
      </w:r>
      <w:r w:rsidR="00BA54DE">
        <w:rPr>
          <w:lang w:val="zh-CN" w:eastAsia="zh-CN"/>
        </w:rPr>
        <w:t>安全性</w:t>
      </w:r>
      <w:r w:rsidR="00BA54DE">
        <w:rPr>
          <w:lang w:val="zh-CN" w:eastAsia="zh-CN"/>
        </w:rPr>
        <w:t xml:space="preserve"> – UNDSS</w:t>
      </w:r>
      <w:r w:rsidR="00BA54DE">
        <w:rPr>
          <w:lang w:val="zh-CN" w:eastAsia="zh-CN"/>
        </w:rPr>
        <w:t>应将该地点评估为低安保等级，即该地点不应对职员的安全和业务连续性构成任何具体威胁。</w:t>
      </w:r>
    </w:p>
    <w:p w14:paraId="10EA3F50" w14:textId="7E7941AA" w:rsidR="00BA54DE" w:rsidRPr="00292323" w:rsidRDefault="00721D65" w:rsidP="00721D65">
      <w:pPr>
        <w:pStyle w:val="enumlev1"/>
        <w:rPr>
          <w:rFonts w:cstheme="minorHAnsi"/>
          <w:szCs w:val="24"/>
          <w:lang w:eastAsia="zh-CN"/>
        </w:rPr>
      </w:pPr>
      <w:r w:rsidRPr="00721D65">
        <w:rPr>
          <w:lang w:val="zh-CN" w:eastAsia="zh-CN"/>
        </w:rPr>
        <w:lastRenderedPageBreak/>
        <w:t>–</w:t>
      </w:r>
      <w:r>
        <w:rPr>
          <w:lang w:val="zh-CN" w:eastAsia="zh-CN"/>
        </w:rPr>
        <w:tab/>
      </w:r>
      <w:r w:rsidR="00BA54DE">
        <w:rPr>
          <w:lang w:val="zh-CN" w:eastAsia="zh-CN"/>
        </w:rPr>
        <w:t>邻近性</w:t>
      </w:r>
      <w:r w:rsidR="00BA54DE">
        <w:rPr>
          <w:lang w:val="zh-CN" w:eastAsia="zh-CN"/>
        </w:rPr>
        <w:t xml:space="preserve"> – </w:t>
      </w:r>
      <w:r w:rsidR="00BA54DE">
        <w:rPr>
          <w:lang w:val="zh-CN" w:eastAsia="zh-CN"/>
        </w:rPr>
        <w:t>在地理上有效地邻近有需要的国家，特别是最不发达国家、内陆发展中国家、小岛屿发展中国家，并方便访问其他联合国机构和</w:t>
      </w:r>
      <w:r w:rsidR="00BA54DE">
        <w:rPr>
          <w:lang w:val="zh-CN" w:eastAsia="zh-CN"/>
        </w:rPr>
        <w:t>/</w:t>
      </w:r>
      <w:r w:rsidR="00BA54DE">
        <w:rPr>
          <w:lang w:val="zh-CN" w:eastAsia="zh-CN"/>
        </w:rPr>
        <w:t>或区域电信组织的区域或次区域中心。</w:t>
      </w:r>
    </w:p>
    <w:p w14:paraId="058BA24E" w14:textId="0CD90462" w:rsidR="00BA54DE" w:rsidRPr="00292323" w:rsidRDefault="00721D65" w:rsidP="00721D65">
      <w:pPr>
        <w:pStyle w:val="enumlev1"/>
        <w:rPr>
          <w:rFonts w:cstheme="minorHAnsi"/>
          <w:szCs w:val="24"/>
          <w:lang w:eastAsia="zh-CN"/>
        </w:rPr>
      </w:pPr>
      <w:r w:rsidRPr="00721D65">
        <w:rPr>
          <w:lang w:val="zh-CN" w:eastAsia="zh-CN"/>
        </w:rPr>
        <w:t>–</w:t>
      </w:r>
      <w:r>
        <w:rPr>
          <w:lang w:val="zh-CN" w:eastAsia="zh-CN"/>
        </w:rPr>
        <w:tab/>
      </w:r>
      <w:r w:rsidR="00BA54DE">
        <w:rPr>
          <w:lang w:val="zh-CN" w:eastAsia="zh-CN"/>
        </w:rPr>
        <w:t>可达性</w:t>
      </w:r>
      <w:r w:rsidR="00BA54DE">
        <w:rPr>
          <w:lang w:val="zh-CN" w:eastAsia="zh-CN"/>
        </w:rPr>
        <w:t xml:space="preserve"> – </w:t>
      </w:r>
      <w:r w:rsidR="00BA54DE">
        <w:rPr>
          <w:lang w:val="zh-CN" w:eastAsia="zh-CN"/>
        </w:rPr>
        <w:t>建议的地点提供通往航空公司枢纽的通道，该枢纽具有广泛的国际连接（便于外部访问）以及与次区域其他国家的直接连接。</w:t>
      </w:r>
    </w:p>
    <w:p w14:paraId="58DE2D54" w14:textId="17FEC36C" w:rsidR="00BA54DE" w:rsidRPr="00292323" w:rsidRDefault="00BA54DE" w:rsidP="00BA54DE">
      <w:pPr>
        <w:rPr>
          <w:rFonts w:cstheme="minorHAnsi"/>
          <w:szCs w:val="24"/>
          <w:lang w:eastAsia="zh-CN"/>
        </w:rPr>
      </w:pPr>
      <w:r>
        <w:rPr>
          <w:lang w:val="zh-CN" w:eastAsia="zh-CN"/>
        </w:rPr>
        <w:t>3.1.4</w:t>
      </w:r>
      <w:r w:rsidR="000D0083">
        <w:rPr>
          <w:lang w:val="zh-CN" w:eastAsia="zh-CN"/>
        </w:rPr>
        <w:tab/>
      </w:r>
      <w:r>
        <w:rPr>
          <w:lang w:val="zh-CN" w:eastAsia="zh-CN"/>
        </w:rPr>
        <w:t>在确定应增加国际电联的代表性并确定其可能的地点之后，应确定代表性将采取何种形式。这可能涉及开设新的区域代表处或地区办事处，或与其它国际机构或实体建立伙伴关系，以增加国际电联在该地区的活动。</w:t>
      </w:r>
    </w:p>
    <w:p w14:paraId="5E7DC2AF" w14:textId="2B6F076A" w:rsidR="00BA54DE" w:rsidRPr="00292323" w:rsidRDefault="00BA54DE" w:rsidP="00BA54DE">
      <w:pPr>
        <w:rPr>
          <w:rFonts w:cstheme="minorHAnsi"/>
          <w:szCs w:val="24"/>
          <w:lang w:eastAsia="zh-CN"/>
        </w:rPr>
      </w:pPr>
      <w:r w:rsidRPr="00087CE9">
        <w:rPr>
          <w:lang w:val="en-US" w:eastAsia="zh-CN"/>
        </w:rPr>
        <w:t>3.2</w:t>
      </w:r>
      <w:r w:rsidR="000D0083">
        <w:rPr>
          <w:lang w:val="en-US" w:eastAsia="zh-CN"/>
        </w:rPr>
        <w:tab/>
      </w:r>
      <w:hyperlink r:id="rId37" w:history="1">
        <w:r w:rsidR="006410DA" w:rsidRPr="00292323">
          <w:rPr>
            <w:rStyle w:val="Hyperlink"/>
            <w:rFonts w:cstheme="minorHAnsi"/>
            <w:szCs w:val="24"/>
            <w:lang w:eastAsia="zh-CN"/>
          </w:rPr>
          <w:t>CWG-FHR-16/24 (Rev.1)</w:t>
        </w:r>
      </w:hyperlink>
    </w:p>
    <w:p w14:paraId="19A2A53E" w14:textId="037696C2" w:rsidR="00BA54DE" w:rsidRPr="00292323" w:rsidRDefault="00BA54DE" w:rsidP="00BA54DE">
      <w:pPr>
        <w:rPr>
          <w:rFonts w:cstheme="minorHAnsi"/>
          <w:szCs w:val="24"/>
          <w:lang w:eastAsia="zh-CN"/>
        </w:rPr>
      </w:pPr>
      <w:r>
        <w:rPr>
          <w:lang w:val="zh-CN" w:eastAsia="zh-CN"/>
        </w:rPr>
        <w:t>3.2.1</w:t>
      </w:r>
      <w:r w:rsidR="000D0083">
        <w:rPr>
          <w:lang w:val="zh-CN" w:eastAsia="zh-CN"/>
        </w:rPr>
        <w:tab/>
      </w:r>
      <w:r w:rsidR="00414D8B" w:rsidRPr="00414D8B">
        <w:rPr>
          <w:rFonts w:hint="eastAsia"/>
          <w:lang w:val="zh-CN" w:eastAsia="zh-CN"/>
        </w:rPr>
        <w:t>该文件规定，区域</w:t>
      </w:r>
      <w:r w:rsidR="00414D8B">
        <w:rPr>
          <w:lang w:val="zh-CN" w:eastAsia="zh-CN"/>
        </w:rPr>
        <w:t>代表处</w:t>
      </w:r>
      <w:r w:rsidR="00414D8B" w:rsidRPr="00414D8B">
        <w:rPr>
          <w:rFonts w:hint="eastAsia"/>
          <w:lang w:val="zh-CN" w:eastAsia="zh-CN"/>
        </w:rPr>
        <w:t>在实现国际电联的使命、加强国际电联对当地情况的了解和有效应对各国需求方面发挥着至关重要的作用。特别是，国际电</w:t>
      </w:r>
      <w:proofErr w:type="gramStart"/>
      <w:r w:rsidR="00414D8B" w:rsidRPr="00414D8B">
        <w:rPr>
          <w:rFonts w:hint="eastAsia"/>
          <w:lang w:val="zh-CN" w:eastAsia="zh-CN"/>
        </w:rPr>
        <w:t>联</w:t>
      </w:r>
      <w:r w:rsidR="00414D8B">
        <w:rPr>
          <w:lang w:val="zh-CN" w:eastAsia="zh-CN"/>
        </w:rPr>
        <w:t>区域</w:t>
      </w:r>
      <w:proofErr w:type="gramEnd"/>
      <w:r w:rsidR="00414D8B">
        <w:rPr>
          <w:lang w:val="zh-CN" w:eastAsia="zh-CN"/>
        </w:rPr>
        <w:t>代表处或地区办事处</w:t>
      </w:r>
      <w:r w:rsidR="00414D8B" w:rsidRPr="00414D8B">
        <w:rPr>
          <w:rFonts w:hint="eastAsia"/>
          <w:lang w:val="zh-CN" w:eastAsia="zh-CN"/>
        </w:rPr>
        <w:t>的作用是在许多领域协助区域内的国家，如执行和跟进项目，包括与区域</w:t>
      </w:r>
      <w:r w:rsidR="00414D8B">
        <w:rPr>
          <w:rFonts w:hint="eastAsia"/>
          <w:lang w:val="zh-CN" w:eastAsia="zh-CN"/>
        </w:rPr>
        <w:t>性举措</w:t>
      </w:r>
      <w:r w:rsidR="00414D8B" w:rsidRPr="00414D8B">
        <w:rPr>
          <w:rFonts w:hint="eastAsia"/>
          <w:lang w:val="zh-CN" w:eastAsia="zh-CN"/>
        </w:rPr>
        <w:t>有关的项目，缩小标准化差距，与频率管理有关的能力建设，向各区域介绍国际电</w:t>
      </w:r>
      <w:proofErr w:type="gramStart"/>
      <w:r w:rsidR="00414D8B" w:rsidRPr="00414D8B">
        <w:rPr>
          <w:rFonts w:hint="eastAsia"/>
          <w:lang w:val="zh-CN" w:eastAsia="zh-CN"/>
        </w:rPr>
        <w:t>联</w:t>
      </w:r>
      <w:r w:rsidR="00414D8B">
        <w:rPr>
          <w:rFonts w:hint="eastAsia"/>
          <w:lang w:val="zh-CN" w:eastAsia="zh-CN"/>
        </w:rPr>
        <w:t>各项</w:t>
      </w:r>
      <w:proofErr w:type="gramEnd"/>
      <w:r w:rsidR="00414D8B" w:rsidRPr="00414D8B">
        <w:rPr>
          <w:rFonts w:hint="eastAsia"/>
          <w:lang w:val="zh-CN" w:eastAsia="zh-CN"/>
        </w:rPr>
        <w:t>活动的最新情况，以及加强与区域电信组织的</w:t>
      </w:r>
      <w:r w:rsidR="00414D8B">
        <w:rPr>
          <w:rFonts w:hint="eastAsia"/>
          <w:lang w:val="zh-CN" w:eastAsia="zh-CN"/>
        </w:rPr>
        <w:t>协作</w:t>
      </w:r>
      <w:r w:rsidR="00414D8B" w:rsidRPr="00414D8B">
        <w:rPr>
          <w:rFonts w:hint="eastAsia"/>
          <w:lang w:val="zh-CN" w:eastAsia="zh-CN"/>
        </w:rPr>
        <w:t>。</w:t>
      </w:r>
    </w:p>
    <w:p w14:paraId="0FAA040F" w14:textId="5C0E1275" w:rsidR="00BA54DE" w:rsidRPr="00292323" w:rsidRDefault="00BA54DE" w:rsidP="00BA54DE">
      <w:pPr>
        <w:rPr>
          <w:rFonts w:cstheme="minorHAnsi"/>
          <w:szCs w:val="24"/>
          <w:lang w:eastAsia="zh-CN"/>
        </w:rPr>
      </w:pPr>
      <w:r>
        <w:rPr>
          <w:lang w:val="zh-CN" w:eastAsia="zh-CN"/>
        </w:rPr>
        <w:t>3.2.2</w:t>
      </w:r>
      <w:r w:rsidR="000D0083">
        <w:rPr>
          <w:lang w:val="zh-CN" w:eastAsia="zh-CN"/>
        </w:rPr>
        <w:tab/>
      </w:r>
      <w:r w:rsidR="005F1A0D">
        <w:rPr>
          <w:rFonts w:hint="eastAsia"/>
          <w:lang w:val="zh-CN" w:eastAsia="zh-CN"/>
        </w:rPr>
        <w:t>该</w:t>
      </w:r>
      <w:r>
        <w:rPr>
          <w:lang w:val="zh-CN" w:eastAsia="zh-CN"/>
        </w:rPr>
        <w:t>文件</w:t>
      </w:r>
      <w:r w:rsidR="005F1A0D" w:rsidRPr="005F1A0D">
        <w:rPr>
          <w:rFonts w:hint="eastAsia"/>
          <w:lang w:val="zh-CN" w:eastAsia="zh-CN"/>
        </w:rPr>
        <w:t>就</w:t>
      </w:r>
      <w:r>
        <w:rPr>
          <w:lang w:val="zh-CN" w:eastAsia="zh-CN"/>
        </w:rPr>
        <w:t>国际电联发展部门</w:t>
      </w:r>
      <w:r w:rsidR="005F1A0D" w:rsidRPr="005F1A0D">
        <w:rPr>
          <w:rFonts w:hint="eastAsia"/>
          <w:lang w:val="zh-CN" w:eastAsia="zh-CN"/>
        </w:rPr>
        <w:t>（</w:t>
      </w:r>
      <w:r w:rsidR="005F1A0D" w:rsidRPr="005F1A0D">
        <w:rPr>
          <w:rFonts w:hint="eastAsia"/>
          <w:lang w:val="zh-CN" w:eastAsia="zh-CN"/>
        </w:rPr>
        <w:t>ITU-D</w:t>
      </w:r>
      <w:r w:rsidR="005F1A0D" w:rsidRPr="005F1A0D">
        <w:rPr>
          <w:rFonts w:hint="eastAsia"/>
          <w:lang w:val="zh-CN" w:eastAsia="zh-CN"/>
        </w:rPr>
        <w:t>）</w:t>
      </w:r>
      <w:r>
        <w:rPr>
          <w:lang w:val="zh-CN" w:eastAsia="zh-CN"/>
        </w:rPr>
        <w:t>通过区域代表处提供的支持</w:t>
      </w:r>
      <w:r w:rsidR="005F1A0D" w:rsidRPr="005F1A0D">
        <w:rPr>
          <w:rFonts w:hint="eastAsia"/>
          <w:lang w:val="zh-CN" w:eastAsia="zh-CN"/>
        </w:rPr>
        <w:t>提出了看法</w:t>
      </w:r>
      <w:r>
        <w:rPr>
          <w:lang w:val="zh-CN" w:eastAsia="zh-CN"/>
        </w:rPr>
        <w:t>。</w:t>
      </w:r>
      <w:r w:rsidR="005F1A0D" w:rsidRPr="005F1A0D">
        <w:rPr>
          <w:rFonts w:hint="eastAsia"/>
          <w:lang w:val="zh-CN" w:eastAsia="zh-CN"/>
        </w:rPr>
        <w:t>文件</w:t>
      </w:r>
      <w:r>
        <w:rPr>
          <w:lang w:val="zh-CN" w:eastAsia="zh-CN"/>
        </w:rPr>
        <w:t>指出，为加强区域代表性而提出的大多数建议已经落实或正在取得进展，而且自</w:t>
      </w:r>
      <w:r>
        <w:rPr>
          <w:lang w:val="zh-CN" w:eastAsia="zh-CN"/>
        </w:rPr>
        <w:t>2019</w:t>
      </w:r>
      <w:r>
        <w:rPr>
          <w:lang w:val="zh-CN" w:eastAsia="zh-CN"/>
        </w:rPr>
        <w:t>年以来成果稳步改善。</w:t>
      </w:r>
    </w:p>
    <w:p w14:paraId="086A6056" w14:textId="4117F559" w:rsidR="00BA54DE" w:rsidRPr="00292323" w:rsidRDefault="00BA54DE" w:rsidP="00BA54DE">
      <w:pPr>
        <w:rPr>
          <w:rFonts w:cstheme="minorHAnsi"/>
          <w:szCs w:val="24"/>
          <w:lang w:eastAsia="zh-CN"/>
        </w:rPr>
      </w:pPr>
      <w:r>
        <w:rPr>
          <w:lang w:val="zh-CN" w:eastAsia="zh-CN"/>
        </w:rPr>
        <w:t>3.2.3</w:t>
      </w:r>
      <w:r w:rsidR="000D0083">
        <w:rPr>
          <w:lang w:val="zh-CN" w:eastAsia="zh-CN"/>
        </w:rPr>
        <w:tab/>
      </w:r>
      <w:r w:rsidR="005F1A0D">
        <w:rPr>
          <w:rFonts w:hint="eastAsia"/>
          <w:lang w:val="zh-CN" w:eastAsia="zh-CN"/>
        </w:rPr>
        <w:t>该</w:t>
      </w:r>
      <w:r>
        <w:rPr>
          <w:lang w:val="zh-CN" w:eastAsia="zh-CN"/>
        </w:rPr>
        <w:t>文件提出如下</w:t>
      </w:r>
      <w:r w:rsidR="00582445">
        <w:rPr>
          <w:rFonts w:hint="eastAsia"/>
          <w:lang w:val="zh-CN" w:eastAsia="zh-CN"/>
        </w:rPr>
        <w:t>建议</w:t>
      </w:r>
      <w:r>
        <w:rPr>
          <w:lang w:val="zh-CN" w:eastAsia="zh-CN"/>
        </w:rPr>
        <w:t>：</w:t>
      </w:r>
    </w:p>
    <w:p w14:paraId="73FE6F26" w14:textId="43535517" w:rsidR="00BA54DE" w:rsidRPr="00292323" w:rsidRDefault="00582445" w:rsidP="00245EFC">
      <w:pPr>
        <w:pStyle w:val="enumlev1"/>
        <w:rPr>
          <w:rFonts w:cstheme="minorHAnsi"/>
          <w:szCs w:val="24"/>
          <w:lang w:eastAsia="zh-CN"/>
        </w:rPr>
      </w:pPr>
      <w:r>
        <w:rPr>
          <w:rFonts w:hint="eastAsia"/>
          <w:lang w:val="zh-CN" w:eastAsia="zh-CN"/>
        </w:rPr>
        <w:t>1</w:t>
      </w:r>
      <w:r w:rsidR="00245EFC">
        <w:rPr>
          <w:rFonts w:hint="eastAsia"/>
          <w:lang w:val="zh-CN" w:eastAsia="zh-CN"/>
        </w:rPr>
        <w:t>)</w:t>
      </w:r>
      <w:r w:rsidR="00245EFC">
        <w:rPr>
          <w:lang w:val="zh-CN" w:eastAsia="zh-CN"/>
        </w:rPr>
        <w:tab/>
      </w:r>
      <w:r w:rsidR="00BA54DE">
        <w:rPr>
          <w:lang w:val="zh-CN" w:eastAsia="zh-CN"/>
        </w:rPr>
        <w:t>设立地区办事处应综合考虑各种因素，包括东道国</w:t>
      </w:r>
      <w:r w:rsidRPr="00582445">
        <w:rPr>
          <w:rFonts w:hint="eastAsia"/>
          <w:lang w:val="zh-CN" w:eastAsia="zh-CN"/>
        </w:rPr>
        <w:t>是否愿意接纳新的办事处、</w:t>
      </w:r>
      <w:r w:rsidR="00BA54DE">
        <w:rPr>
          <w:lang w:val="zh-CN" w:eastAsia="zh-CN"/>
        </w:rPr>
        <w:t>相关地区的需求、</w:t>
      </w:r>
      <w:r w:rsidRPr="00582445">
        <w:rPr>
          <w:rFonts w:hint="eastAsia"/>
          <w:lang w:val="zh-CN" w:eastAsia="zh-CN"/>
        </w:rPr>
        <w:t>可用的财政资源</w:t>
      </w:r>
      <w:r w:rsidR="00BA54DE">
        <w:rPr>
          <w:lang w:val="zh-CN" w:eastAsia="zh-CN"/>
        </w:rPr>
        <w:t>、地理代表性等，并应兼顾以往的经验。</w:t>
      </w:r>
    </w:p>
    <w:p w14:paraId="02FAEF95" w14:textId="3BAD03F4" w:rsidR="00BA54DE" w:rsidRPr="00292323" w:rsidRDefault="00BA54DE" w:rsidP="00245EFC">
      <w:pPr>
        <w:pStyle w:val="enumlev1"/>
        <w:rPr>
          <w:rFonts w:cstheme="minorHAnsi"/>
          <w:szCs w:val="24"/>
          <w:lang w:eastAsia="zh-CN"/>
        </w:rPr>
      </w:pPr>
      <w:r>
        <w:rPr>
          <w:lang w:val="zh-CN" w:eastAsia="zh-CN"/>
        </w:rPr>
        <w:t>2</w:t>
      </w:r>
      <w:r w:rsidR="00245EFC">
        <w:rPr>
          <w:rFonts w:hint="eastAsia"/>
          <w:lang w:val="zh-CN" w:eastAsia="zh-CN"/>
        </w:rPr>
        <w:t>)</w:t>
      </w:r>
      <w:r w:rsidR="00245EFC">
        <w:rPr>
          <w:lang w:val="zh-CN" w:eastAsia="zh-CN"/>
        </w:rPr>
        <w:tab/>
      </w:r>
      <w:r>
        <w:rPr>
          <w:lang w:val="zh-CN" w:eastAsia="zh-CN"/>
        </w:rPr>
        <w:t>考虑到电信发展局负责区域代表处和地区办事处，为设立地区办事处确定的标准应得到</w:t>
      </w:r>
      <w:r>
        <w:rPr>
          <w:lang w:val="zh-CN" w:eastAsia="zh-CN"/>
        </w:rPr>
        <w:t>TDAG</w:t>
      </w:r>
      <w:r>
        <w:rPr>
          <w:lang w:val="zh-CN" w:eastAsia="zh-CN"/>
        </w:rPr>
        <w:t>和未来的理事会的全面审议和讨论。</w:t>
      </w:r>
      <w:r w:rsidR="007F4B59">
        <w:rPr>
          <w:rFonts w:hint="eastAsia"/>
          <w:lang w:val="zh-CN" w:eastAsia="zh-CN"/>
        </w:rPr>
        <w:t>二者皆</w:t>
      </w:r>
      <w:r>
        <w:rPr>
          <w:lang w:val="zh-CN" w:eastAsia="zh-CN"/>
        </w:rPr>
        <w:t>应能够调查并</w:t>
      </w:r>
      <w:r w:rsidR="007F4B59">
        <w:rPr>
          <w:rFonts w:hint="eastAsia"/>
          <w:lang w:val="zh-CN" w:eastAsia="zh-CN"/>
        </w:rPr>
        <w:t>获取</w:t>
      </w:r>
      <w:r>
        <w:rPr>
          <w:lang w:val="zh-CN" w:eastAsia="zh-CN"/>
        </w:rPr>
        <w:t>有关为成员国提供服务的潜在差距的所有必要信息，并提出每个区域的流程以及必要的标准和指标，以便向未来的理事会报告以供审议。</w:t>
      </w:r>
    </w:p>
    <w:p w14:paraId="6FC5D475" w14:textId="25B1D3CA" w:rsidR="00BA54DE" w:rsidRPr="00292323" w:rsidRDefault="00E1346D" w:rsidP="00245EFC">
      <w:pPr>
        <w:pStyle w:val="enumlev1"/>
        <w:rPr>
          <w:rFonts w:cstheme="minorHAnsi"/>
          <w:szCs w:val="24"/>
          <w:lang w:eastAsia="zh-CN"/>
        </w:rPr>
      </w:pPr>
      <w:r>
        <w:rPr>
          <w:rFonts w:hint="eastAsia"/>
          <w:lang w:val="zh-CN" w:eastAsia="zh-CN"/>
        </w:rPr>
        <w:t>3</w:t>
      </w:r>
      <w:r w:rsidR="00245EFC">
        <w:rPr>
          <w:rFonts w:hint="eastAsia"/>
          <w:lang w:val="zh-CN" w:eastAsia="zh-CN"/>
        </w:rPr>
        <w:t>)</w:t>
      </w:r>
      <w:r w:rsidR="00245EFC">
        <w:rPr>
          <w:lang w:val="zh-CN" w:eastAsia="zh-CN"/>
        </w:rPr>
        <w:tab/>
      </w:r>
      <w:r w:rsidR="00BA54DE">
        <w:rPr>
          <w:lang w:val="zh-CN" w:eastAsia="zh-CN"/>
        </w:rPr>
        <w:t>设立地区办事处的主要目的是为需要援助的成员国提供更好的服务。任何拟制定的设立地区办事处的标准都应实现这一目标。</w:t>
      </w:r>
    </w:p>
    <w:p w14:paraId="13748897" w14:textId="29390A02" w:rsidR="00BA54DE" w:rsidRPr="00292323" w:rsidRDefault="00E1346D" w:rsidP="00245EFC">
      <w:pPr>
        <w:pStyle w:val="enumlev1"/>
        <w:rPr>
          <w:rFonts w:cstheme="minorHAnsi"/>
          <w:szCs w:val="24"/>
          <w:lang w:eastAsia="zh-CN"/>
        </w:rPr>
      </w:pPr>
      <w:r>
        <w:rPr>
          <w:rFonts w:hint="eastAsia"/>
          <w:lang w:val="zh-CN" w:eastAsia="zh-CN"/>
        </w:rPr>
        <w:t>4</w:t>
      </w:r>
      <w:r w:rsidR="00245EFC">
        <w:rPr>
          <w:rFonts w:hint="eastAsia"/>
          <w:lang w:val="zh-CN" w:eastAsia="zh-CN"/>
        </w:rPr>
        <w:t>)</w:t>
      </w:r>
      <w:r w:rsidR="00245EFC">
        <w:rPr>
          <w:lang w:val="zh-CN" w:eastAsia="zh-CN"/>
        </w:rPr>
        <w:tab/>
      </w:r>
      <w:r w:rsidR="00BA54DE">
        <w:rPr>
          <w:lang w:val="zh-CN" w:eastAsia="zh-CN"/>
        </w:rPr>
        <w:t>设立地区办事处应考虑到所服务国家的社会和经济发展，尤其应优先考虑设立服务于最不发达国家（</w:t>
      </w:r>
      <w:r w:rsidR="00BA54DE">
        <w:rPr>
          <w:lang w:val="zh-CN" w:eastAsia="zh-CN"/>
        </w:rPr>
        <w:t>LDC</w:t>
      </w:r>
      <w:r w:rsidR="00BA54DE">
        <w:rPr>
          <w:lang w:val="zh-CN" w:eastAsia="zh-CN"/>
        </w:rPr>
        <w:t>）的地区办事处。</w:t>
      </w:r>
    </w:p>
    <w:p w14:paraId="78A8CB9D" w14:textId="3E00531A" w:rsidR="00BA54DE" w:rsidRPr="00386CD5" w:rsidRDefault="00BA54DE" w:rsidP="00386CD5">
      <w:pPr>
        <w:tabs>
          <w:tab w:val="left" w:pos="708"/>
        </w:tabs>
        <w:overflowPunct/>
        <w:autoSpaceDE/>
        <w:adjustRightInd/>
        <w:spacing w:after="120" w:line="280" w:lineRule="exact"/>
        <w:jc w:val="both"/>
        <w:rPr>
          <w:rFonts w:cstheme="minorHAnsi"/>
          <w:szCs w:val="24"/>
        </w:rPr>
      </w:pPr>
      <w:r w:rsidRPr="00386CD5">
        <w:rPr>
          <w:lang w:val="en-US"/>
        </w:rPr>
        <w:t>3.3</w:t>
      </w:r>
      <w:r w:rsidR="00386CD5">
        <w:rPr>
          <w:lang w:val="en-US"/>
        </w:rPr>
        <w:tab/>
      </w:r>
      <w:hyperlink r:id="rId38" w:history="1">
        <w:r w:rsidR="00E1346D" w:rsidRPr="00386CD5">
          <w:rPr>
            <w:rStyle w:val="Hyperlink"/>
            <w:rFonts w:cstheme="minorHAnsi"/>
            <w:szCs w:val="24"/>
          </w:rPr>
          <w:t>CWG-FHR-20/2</w:t>
        </w:r>
      </w:hyperlink>
      <w:r w:rsidRPr="00386CD5">
        <w:rPr>
          <w:lang w:val="zh-CN"/>
        </w:rPr>
        <w:t>和</w:t>
      </w:r>
      <w:hyperlink r:id="rId39" w:history="1">
        <w:r w:rsidR="00E1346D" w:rsidRPr="00386CD5">
          <w:rPr>
            <w:rStyle w:val="Hyperlink"/>
            <w:rFonts w:cstheme="minorHAnsi"/>
            <w:szCs w:val="24"/>
          </w:rPr>
          <w:t>CWG-FHR-20/DT/1</w:t>
        </w:r>
      </w:hyperlink>
    </w:p>
    <w:p w14:paraId="7E98402A" w14:textId="3CC75B82" w:rsidR="00BA54DE" w:rsidRPr="00292323" w:rsidRDefault="00BA54DE" w:rsidP="00BA54DE">
      <w:pPr>
        <w:pStyle w:val="ListParagraph"/>
        <w:tabs>
          <w:tab w:val="clear" w:pos="1134"/>
          <w:tab w:val="clear" w:pos="1871"/>
          <w:tab w:val="clear" w:pos="2268"/>
        </w:tabs>
        <w:overflowPunct/>
        <w:autoSpaceDE/>
        <w:autoSpaceDN/>
        <w:adjustRightInd/>
        <w:ind w:left="0"/>
        <w:contextualSpacing w:val="0"/>
        <w:textAlignment w:val="auto"/>
        <w:rPr>
          <w:rFonts w:cstheme="minorHAnsi"/>
          <w:kern w:val="2"/>
          <w:szCs w:val="24"/>
          <w:lang w:eastAsia="zh-CN"/>
          <w14:ligatures w14:val="standardContextual"/>
        </w:rPr>
      </w:pPr>
      <w:r>
        <w:rPr>
          <w:lang w:val="zh-CN" w:eastAsia="zh-CN"/>
        </w:rPr>
        <w:t>3.3.1</w:t>
      </w:r>
      <w:r w:rsidR="00386CD5">
        <w:rPr>
          <w:lang w:val="zh-CN" w:eastAsia="zh-CN"/>
        </w:rPr>
        <w:tab/>
      </w:r>
      <w:r>
        <w:rPr>
          <w:lang w:val="zh-CN" w:eastAsia="zh-CN"/>
        </w:rPr>
        <w:t>理事会财务和人力资源工作组（</w:t>
      </w:r>
      <w:r>
        <w:rPr>
          <w:lang w:val="zh-CN" w:eastAsia="zh-CN"/>
        </w:rPr>
        <w:t>CWG-FHR</w:t>
      </w:r>
      <w:r>
        <w:rPr>
          <w:lang w:val="zh-CN" w:eastAsia="zh-CN"/>
        </w:rPr>
        <w:t>）第</w:t>
      </w:r>
      <w:r>
        <w:rPr>
          <w:lang w:val="zh-CN" w:eastAsia="zh-CN"/>
        </w:rPr>
        <w:t>19</w:t>
      </w:r>
      <w:r>
        <w:rPr>
          <w:lang w:val="zh-CN" w:eastAsia="zh-CN"/>
        </w:rPr>
        <w:t>次会议决定</w:t>
      </w:r>
      <w:r w:rsidR="00224796">
        <w:rPr>
          <w:rFonts w:hint="eastAsia"/>
          <w:lang w:val="zh-CN" w:eastAsia="zh-CN"/>
        </w:rPr>
        <w:t>成立</w:t>
      </w:r>
      <w:r>
        <w:rPr>
          <w:lang w:val="zh-CN" w:eastAsia="zh-CN"/>
        </w:rPr>
        <w:t>一个在线信函通信组，为国际电联秘书处制定职责范围，从而根据</w:t>
      </w:r>
      <w:hyperlink r:id="rId40" w:history="1">
        <w:r w:rsidRPr="00EB1A4B">
          <w:rPr>
            <w:rStyle w:val="Hyperlink"/>
            <w:rFonts w:ascii="Times New Roman" w:eastAsia="STKaiti" w:hAnsi="Times New Roman"/>
            <w:lang w:val="zh-CN" w:eastAsia="zh-CN"/>
          </w:rPr>
          <w:t>第</w:t>
        </w:r>
        <w:r w:rsidRPr="00EB1A4B">
          <w:rPr>
            <w:rStyle w:val="Hyperlink"/>
            <w:rFonts w:ascii="Times New Roman" w:eastAsia="STKaiti" w:hAnsi="Times New Roman"/>
            <w:lang w:val="zh-CN" w:eastAsia="zh-CN"/>
          </w:rPr>
          <w:t>25</w:t>
        </w:r>
        <w:r w:rsidRPr="00EB1A4B">
          <w:rPr>
            <w:rStyle w:val="Hyperlink"/>
            <w:rFonts w:ascii="Times New Roman" w:eastAsia="STKaiti" w:hAnsi="Times New Roman"/>
            <w:lang w:val="zh-CN" w:eastAsia="zh-CN"/>
          </w:rPr>
          <w:t>号决议</w:t>
        </w:r>
      </w:hyperlink>
      <w:r w:rsidRPr="00EB1A4B">
        <w:rPr>
          <w:rFonts w:ascii="Times New Roman" w:eastAsia="STKaiti" w:hAnsi="Times New Roman"/>
          <w:lang w:val="zh-CN" w:eastAsia="zh-CN"/>
        </w:rPr>
        <w:t>（</w:t>
      </w:r>
      <w:r w:rsidRPr="00EB1A4B">
        <w:rPr>
          <w:rFonts w:ascii="Times New Roman" w:eastAsia="STKaiti" w:hAnsi="Times New Roman"/>
          <w:lang w:val="zh-CN" w:eastAsia="zh-CN"/>
        </w:rPr>
        <w:t>2022</w:t>
      </w:r>
      <w:r w:rsidRPr="00EB1A4B">
        <w:rPr>
          <w:rFonts w:ascii="Times New Roman" w:eastAsia="STKaiti" w:hAnsi="Times New Roman"/>
          <w:lang w:val="zh-CN" w:eastAsia="zh-CN"/>
        </w:rPr>
        <w:t>年，布加勒斯特，修订版）</w:t>
      </w:r>
      <w:r>
        <w:rPr>
          <w:lang w:val="zh-CN" w:eastAsia="zh-CN"/>
        </w:rPr>
        <w:t>完成对区域代表处的审查。信函</w:t>
      </w:r>
      <w:proofErr w:type="gramStart"/>
      <w:r>
        <w:rPr>
          <w:lang w:val="zh-CN" w:eastAsia="zh-CN"/>
        </w:rPr>
        <w:t>通信组</w:t>
      </w:r>
      <w:proofErr w:type="gramEnd"/>
      <w:r>
        <w:rPr>
          <w:lang w:val="zh-CN" w:eastAsia="zh-CN"/>
        </w:rPr>
        <w:t>的任务是审议提交</w:t>
      </w:r>
      <w:r>
        <w:rPr>
          <w:lang w:val="zh-CN" w:eastAsia="zh-CN"/>
        </w:rPr>
        <w:t>CWG-FHR</w:t>
      </w:r>
      <w:r>
        <w:rPr>
          <w:lang w:val="zh-CN" w:eastAsia="zh-CN"/>
        </w:rPr>
        <w:t>第</w:t>
      </w:r>
      <w:r>
        <w:rPr>
          <w:lang w:val="zh-CN" w:eastAsia="zh-CN"/>
        </w:rPr>
        <w:t>19</w:t>
      </w:r>
      <w:r>
        <w:rPr>
          <w:lang w:val="zh-CN" w:eastAsia="zh-CN"/>
        </w:rPr>
        <w:t>次会议的职责范围，并向第</w:t>
      </w:r>
      <w:r>
        <w:rPr>
          <w:lang w:val="zh-CN" w:eastAsia="zh-CN"/>
        </w:rPr>
        <w:t>20</w:t>
      </w:r>
      <w:r>
        <w:rPr>
          <w:lang w:val="zh-CN" w:eastAsia="zh-CN"/>
        </w:rPr>
        <w:t>次会议提交报告。</w:t>
      </w:r>
    </w:p>
    <w:p w14:paraId="31E28E75" w14:textId="2CF2BAF4" w:rsidR="00BA54DE" w:rsidRPr="00292323" w:rsidRDefault="00BA54DE" w:rsidP="00BA54DE">
      <w:pPr>
        <w:pStyle w:val="ListParagraph"/>
        <w:tabs>
          <w:tab w:val="clear" w:pos="1134"/>
          <w:tab w:val="clear" w:pos="1871"/>
          <w:tab w:val="clear" w:pos="2268"/>
        </w:tabs>
        <w:overflowPunct/>
        <w:autoSpaceDE/>
        <w:autoSpaceDN/>
        <w:adjustRightInd/>
        <w:ind w:left="0"/>
        <w:contextualSpacing w:val="0"/>
        <w:textAlignment w:val="auto"/>
        <w:rPr>
          <w:rFonts w:cstheme="minorHAnsi"/>
          <w:szCs w:val="24"/>
          <w:lang w:eastAsia="zh-CN"/>
        </w:rPr>
      </w:pPr>
      <w:r>
        <w:rPr>
          <w:lang w:val="zh-CN" w:eastAsia="zh-CN"/>
        </w:rPr>
        <w:t>3.3.2</w:t>
      </w:r>
      <w:r w:rsidR="00386CD5">
        <w:rPr>
          <w:lang w:val="zh-CN" w:eastAsia="zh-CN"/>
        </w:rPr>
        <w:tab/>
      </w:r>
      <w:r>
        <w:rPr>
          <w:lang w:val="zh-CN" w:eastAsia="zh-CN"/>
        </w:rPr>
        <w:t>2024</w:t>
      </w:r>
      <w:r>
        <w:rPr>
          <w:lang w:val="zh-CN" w:eastAsia="zh-CN"/>
        </w:rPr>
        <w:t>年</w:t>
      </w:r>
      <w:r>
        <w:rPr>
          <w:lang w:val="zh-CN" w:eastAsia="zh-CN"/>
        </w:rPr>
        <w:t>11</w:t>
      </w:r>
      <w:r>
        <w:rPr>
          <w:lang w:val="zh-CN" w:eastAsia="zh-CN"/>
        </w:rPr>
        <w:t>月</w:t>
      </w:r>
      <w:r>
        <w:rPr>
          <w:lang w:val="zh-CN" w:eastAsia="zh-CN"/>
        </w:rPr>
        <w:t>22</w:t>
      </w:r>
      <w:r>
        <w:rPr>
          <w:lang w:val="zh-CN" w:eastAsia="zh-CN"/>
        </w:rPr>
        <w:t>日至</w:t>
      </w:r>
      <w:r>
        <w:rPr>
          <w:lang w:val="zh-CN" w:eastAsia="zh-CN"/>
        </w:rPr>
        <w:t>2025</w:t>
      </w:r>
      <w:r>
        <w:rPr>
          <w:lang w:val="zh-CN" w:eastAsia="zh-CN"/>
        </w:rPr>
        <w:t>年</w:t>
      </w:r>
      <w:r>
        <w:rPr>
          <w:lang w:val="zh-CN" w:eastAsia="zh-CN"/>
        </w:rPr>
        <w:t>1</w:t>
      </w:r>
      <w:r>
        <w:rPr>
          <w:lang w:val="zh-CN" w:eastAsia="zh-CN"/>
        </w:rPr>
        <w:t>月</w:t>
      </w:r>
      <w:r>
        <w:rPr>
          <w:lang w:val="zh-CN" w:eastAsia="zh-CN"/>
        </w:rPr>
        <w:t>15</w:t>
      </w:r>
      <w:r>
        <w:rPr>
          <w:lang w:val="zh-CN" w:eastAsia="zh-CN"/>
        </w:rPr>
        <w:t>日，信函</w:t>
      </w:r>
      <w:proofErr w:type="gramStart"/>
      <w:r>
        <w:rPr>
          <w:lang w:val="zh-CN" w:eastAsia="zh-CN"/>
        </w:rPr>
        <w:t>通信组</w:t>
      </w:r>
      <w:proofErr w:type="gramEnd"/>
      <w:r w:rsidR="00EB1A4B" w:rsidRPr="00EB1A4B">
        <w:rPr>
          <w:rFonts w:hint="eastAsia"/>
          <w:lang w:val="zh-CN" w:eastAsia="zh-CN"/>
        </w:rPr>
        <w:t>利用在线工具开展工作，促进成员之间的合作。召开了三次虚拟会议，进行了深入讨论，交流了不同观点。</w:t>
      </w:r>
    </w:p>
    <w:p w14:paraId="5B7FFA71" w14:textId="148F998D" w:rsidR="00BA54DE" w:rsidRPr="00292323" w:rsidRDefault="00BA54DE" w:rsidP="00BA54DE">
      <w:pPr>
        <w:pStyle w:val="ListParagraph"/>
        <w:tabs>
          <w:tab w:val="clear" w:pos="1134"/>
          <w:tab w:val="clear" w:pos="1871"/>
          <w:tab w:val="clear" w:pos="2268"/>
        </w:tabs>
        <w:overflowPunct/>
        <w:autoSpaceDE/>
        <w:autoSpaceDN/>
        <w:adjustRightInd/>
        <w:ind w:left="0"/>
        <w:contextualSpacing w:val="0"/>
        <w:textAlignment w:val="auto"/>
        <w:rPr>
          <w:rFonts w:cstheme="minorHAnsi"/>
          <w:szCs w:val="24"/>
          <w:lang w:eastAsia="zh-CN"/>
        </w:rPr>
      </w:pPr>
      <w:r>
        <w:rPr>
          <w:lang w:val="zh-CN" w:eastAsia="zh-CN"/>
        </w:rPr>
        <w:t>3.3.3</w:t>
      </w:r>
      <w:r w:rsidR="00386CD5">
        <w:rPr>
          <w:lang w:val="zh-CN" w:eastAsia="zh-CN"/>
        </w:rPr>
        <w:tab/>
      </w:r>
      <w:r>
        <w:rPr>
          <w:lang w:val="zh-CN" w:eastAsia="zh-CN"/>
        </w:rPr>
        <w:t>通过对第</w:t>
      </w:r>
      <w:r>
        <w:rPr>
          <w:lang w:val="zh-CN" w:eastAsia="zh-CN"/>
        </w:rPr>
        <w:t>25</w:t>
      </w:r>
      <w:r>
        <w:rPr>
          <w:lang w:val="zh-CN" w:eastAsia="zh-CN"/>
        </w:rPr>
        <w:t>号决议的认真分析，信函</w:t>
      </w:r>
      <w:proofErr w:type="gramStart"/>
      <w:r>
        <w:rPr>
          <w:lang w:val="zh-CN" w:eastAsia="zh-CN"/>
        </w:rPr>
        <w:t>通信组拟定</w:t>
      </w:r>
      <w:proofErr w:type="gramEnd"/>
      <w:r>
        <w:rPr>
          <w:lang w:val="zh-CN" w:eastAsia="zh-CN"/>
        </w:rPr>
        <w:t>了一套经修订的职责范围。修订旨在加强和强化国际电联对其区域代表处的审查，以提高运作效率，并促进与区域代表处和地区办事处的更多接触</w:t>
      </w:r>
      <w:r w:rsidR="00EB1A4B">
        <w:rPr>
          <w:rFonts w:hint="eastAsia"/>
          <w:lang w:val="zh-CN" w:eastAsia="zh-CN"/>
        </w:rPr>
        <w:t>。</w:t>
      </w:r>
    </w:p>
    <w:p w14:paraId="57B79605" w14:textId="4B4D4D52" w:rsidR="00BA54DE" w:rsidRPr="00292323" w:rsidRDefault="00BA54DE" w:rsidP="00BA54DE">
      <w:pPr>
        <w:rPr>
          <w:rFonts w:eastAsia="Calibri" w:cstheme="minorHAnsi"/>
          <w:szCs w:val="24"/>
          <w:lang w:eastAsia="zh-CN"/>
        </w:rPr>
      </w:pPr>
      <w:r>
        <w:rPr>
          <w:lang w:val="zh-CN" w:eastAsia="zh-CN"/>
        </w:rPr>
        <w:lastRenderedPageBreak/>
        <w:t>3.3.4</w:t>
      </w:r>
      <w:r w:rsidR="00386CD5">
        <w:rPr>
          <w:lang w:val="zh-CN" w:eastAsia="zh-CN"/>
        </w:rPr>
        <w:tab/>
      </w:r>
      <w:r>
        <w:rPr>
          <w:lang w:val="zh-CN" w:eastAsia="zh-CN"/>
        </w:rPr>
        <w:t>提交</w:t>
      </w:r>
      <w:r>
        <w:rPr>
          <w:lang w:val="zh-CN" w:eastAsia="zh-CN"/>
        </w:rPr>
        <w:t>CWG-FHR</w:t>
      </w:r>
      <w:r>
        <w:rPr>
          <w:lang w:val="zh-CN" w:eastAsia="zh-CN"/>
        </w:rPr>
        <w:t>第</w:t>
      </w:r>
      <w:r>
        <w:rPr>
          <w:lang w:val="zh-CN" w:eastAsia="zh-CN"/>
        </w:rPr>
        <w:t>20</w:t>
      </w:r>
      <w:r>
        <w:rPr>
          <w:lang w:val="zh-CN" w:eastAsia="zh-CN"/>
        </w:rPr>
        <w:t>次会议的文件介绍了在线信函</w:t>
      </w:r>
      <w:proofErr w:type="gramStart"/>
      <w:r>
        <w:rPr>
          <w:lang w:val="zh-CN" w:eastAsia="zh-CN"/>
        </w:rPr>
        <w:t>通信组</w:t>
      </w:r>
      <w:proofErr w:type="gramEnd"/>
      <w:r>
        <w:rPr>
          <w:lang w:val="zh-CN" w:eastAsia="zh-CN"/>
        </w:rPr>
        <w:t>开展的工作，包括职责范围（见</w:t>
      </w:r>
      <w:hyperlink r:id="rId41" w:history="1">
        <w:r w:rsidR="00EB1A4B" w:rsidRPr="00664878">
          <w:rPr>
            <w:rStyle w:val="Hyperlink"/>
            <w:rFonts w:cstheme="minorHAnsi"/>
            <w:szCs w:val="24"/>
            <w:lang w:eastAsia="zh-CN"/>
          </w:rPr>
          <w:t>TDAG25/24(Ann.1)</w:t>
        </w:r>
      </w:hyperlink>
      <w:r>
        <w:rPr>
          <w:lang w:val="zh-CN" w:eastAsia="zh-CN"/>
        </w:rPr>
        <w:t>号文件附件</w:t>
      </w:r>
      <w:r>
        <w:rPr>
          <w:lang w:val="zh-CN" w:eastAsia="zh-CN"/>
        </w:rPr>
        <w:t>A</w:t>
      </w:r>
      <w:r>
        <w:rPr>
          <w:lang w:val="zh-CN" w:eastAsia="zh-CN"/>
        </w:rPr>
        <w:t>），</w:t>
      </w:r>
      <w:r w:rsidR="00EB1A4B" w:rsidRPr="00EB1A4B">
        <w:rPr>
          <w:rFonts w:hint="eastAsia"/>
          <w:lang w:val="zh-CN" w:eastAsia="zh-CN"/>
        </w:rPr>
        <w:t>该</w:t>
      </w:r>
      <w:r w:rsidR="00EB1A4B">
        <w:rPr>
          <w:lang w:val="zh-CN" w:eastAsia="zh-CN"/>
        </w:rPr>
        <w:t>职责范围</w:t>
      </w:r>
      <w:r w:rsidR="00EB1A4B" w:rsidRPr="00EB1A4B">
        <w:rPr>
          <w:rFonts w:hint="eastAsia"/>
          <w:lang w:val="zh-CN" w:eastAsia="zh-CN"/>
        </w:rPr>
        <w:t>提供了</w:t>
      </w:r>
      <w:r>
        <w:rPr>
          <w:lang w:val="zh-CN" w:eastAsia="zh-CN"/>
        </w:rPr>
        <w:t>指导审查进程</w:t>
      </w:r>
      <w:r w:rsidR="00EB1A4B">
        <w:rPr>
          <w:rFonts w:hint="eastAsia"/>
          <w:lang w:val="zh-CN" w:eastAsia="zh-CN"/>
        </w:rPr>
        <w:t>的</w:t>
      </w:r>
      <w:r>
        <w:rPr>
          <w:lang w:val="zh-CN" w:eastAsia="zh-CN"/>
        </w:rPr>
        <w:t>战略框架，确保审查</w:t>
      </w:r>
      <w:r w:rsidR="00EB1A4B" w:rsidRPr="00EB1A4B">
        <w:rPr>
          <w:rFonts w:hint="eastAsia"/>
          <w:lang w:val="zh-CN" w:eastAsia="zh-CN"/>
        </w:rPr>
        <w:t>进程彻底</w:t>
      </w:r>
      <w:r>
        <w:rPr>
          <w:lang w:val="zh-CN" w:eastAsia="zh-CN"/>
        </w:rPr>
        <w:t>、有影响力并与本组织的长期目标</w:t>
      </w:r>
      <w:r w:rsidR="00EB1A4B">
        <w:rPr>
          <w:rFonts w:hint="eastAsia"/>
          <w:lang w:val="zh-CN" w:eastAsia="zh-CN"/>
        </w:rPr>
        <w:t>相</w:t>
      </w:r>
      <w:r>
        <w:rPr>
          <w:lang w:val="zh-CN" w:eastAsia="zh-CN"/>
        </w:rPr>
        <w:t>一致。</w:t>
      </w:r>
    </w:p>
    <w:p w14:paraId="390316E8" w14:textId="290F0F8D" w:rsidR="00BA54DE" w:rsidRPr="00386CD5" w:rsidRDefault="00BA54DE" w:rsidP="00386CD5">
      <w:pPr>
        <w:pStyle w:val="Heading1"/>
        <w:rPr>
          <w:sz w:val="24"/>
          <w:szCs w:val="24"/>
          <w:lang w:eastAsia="zh-CN"/>
        </w:rPr>
      </w:pPr>
      <w:r w:rsidRPr="00386CD5">
        <w:rPr>
          <w:sz w:val="24"/>
          <w:szCs w:val="24"/>
          <w:lang w:eastAsia="zh-CN"/>
        </w:rPr>
        <w:t>4</w:t>
      </w:r>
      <w:r w:rsidRPr="00386CD5">
        <w:rPr>
          <w:sz w:val="24"/>
          <w:szCs w:val="24"/>
          <w:lang w:eastAsia="zh-CN"/>
        </w:rPr>
        <w:tab/>
      </w:r>
      <w:r w:rsidRPr="00386CD5">
        <w:rPr>
          <w:sz w:val="24"/>
          <w:szCs w:val="24"/>
          <w:lang w:eastAsia="zh-CN"/>
        </w:rPr>
        <w:t>结论</w:t>
      </w:r>
    </w:p>
    <w:p w14:paraId="6078C576" w14:textId="46929AFF" w:rsidR="00EC6FED" w:rsidRDefault="00BA54DE" w:rsidP="00386CD5">
      <w:pPr>
        <w:ind w:firstLineChars="200" w:firstLine="480"/>
        <w:rPr>
          <w:lang w:val="zh-CN" w:eastAsia="zh-CN"/>
        </w:rPr>
      </w:pPr>
      <w:r>
        <w:rPr>
          <w:lang w:val="zh-CN" w:eastAsia="zh-CN"/>
        </w:rPr>
        <w:t>请</w:t>
      </w:r>
      <w:r>
        <w:rPr>
          <w:lang w:val="zh-CN" w:eastAsia="zh-CN"/>
        </w:rPr>
        <w:t>TDAG</w:t>
      </w:r>
      <w:r>
        <w:rPr>
          <w:lang w:val="zh-CN" w:eastAsia="zh-CN"/>
        </w:rPr>
        <w:t>将本文件记录在案并酌情提供指导意见，作为理事会下次会议的输入意见。</w:t>
      </w:r>
    </w:p>
    <w:p w14:paraId="083F8AA9" w14:textId="77777777" w:rsidR="00386CD5" w:rsidRDefault="00386CD5" w:rsidP="00386CD5">
      <w:pPr>
        <w:rPr>
          <w:lang w:eastAsia="zh-CN"/>
        </w:rPr>
      </w:pPr>
    </w:p>
    <w:p w14:paraId="143C2F83" w14:textId="77777777" w:rsidR="00821996" w:rsidRDefault="003C58BF" w:rsidP="00DF240D">
      <w:pPr>
        <w:tabs>
          <w:tab w:val="clear" w:pos="794"/>
          <w:tab w:val="clear" w:pos="1191"/>
          <w:tab w:val="clear" w:pos="1588"/>
          <w:tab w:val="clear" w:pos="1985"/>
        </w:tabs>
        <w:spacing w:after="120"/>
        <w:jc w:val="center"/>
        <w:rPr>
          <w:lang w:eastAsia="zh-CN"/>
        </w:rPr>
      </w:pPr>
      <w:bookmarkStart w:id="5" w:name="Proposal"/>
      <w:bookmarkEnd w:id="5"/>
      <w:r>
        <w:rPr>
          <w:lang w:eastAsia="zh-CN"/>
        </w:rPr>
        <w:t>_____________</w:t>
      </w:r>
      <w:r w:rsidR="004122C5">
        <w:rPr>
          <w:lang w:eastAsia="zh-CN"/>
        </w:rPr>
        <w:t>_</w:t>
      </w:r>
      <w:r w:rsidR="00922EC1">
        <w:rPr>
          <w:lang w:eastAsia="zh-CN"/>
        </w:rPr>
        <w:t>_</w:t>
      </w:r>
    </w:p>
    <w:sectPr w:rsidR="00821996" w:rsidSect="008069EB">
      <w:headerReference w:type="default" r:id="rId42"/>
      <w:footerReference w:type="first" r:id="rId43"/>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83BC7" w14:textId="77777777" w:rsidR="00D7508E" w:rsidRDefault="00D7508E">
      <w:r>
        <w:separator/>
      </w:r>
    </w:p>
  </w:endnote>
  <w:endnote w:type="continuationSeparator" w:id="0">
    <w:p w14:paraId="2212A973" w14:textId="77777777" w:rsidR="00D7508E" w:rsidRDefault="00D7508E">
      <w:r>
        <w:continuationSeparator/>
      </w:r>
    </w:p>
  </w:endnote>
  <w:endnote w:type="continuationNotice" w:id="1">
    <w:p w14:paraId="087C8984" w14:textId="77777777" w:rsidR="00D7508E" w:rsidRDefault="00D7508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C45B6" w:rsidRPr="00217762" w14:paraId="72CAD167" w14:textId="77777777" w:rsidTr="005539C3">
      <w:tc>
        <w:tcPr>
          <w:tcW w:w="1526" w:type="dxa"/>
          <w:tcBorders>
            <w:top w:val="single" w:sz="4" w:space="0" w:color="000000" w:themeColor="text1"/>
          </w:tcBorders>
        </w:tcPr>
        <w:p w14:paraId="3ED6D869" w14:textId="77777777" w:rsidR="005C45B6" w:rsidRPr="00BA0009" w:rsidRDefault="005C45B6" w:rsidP="005C45B6">
          <w:pPr>
            <w:pStyle w:val="FirstFooter"/>
            <w:tabs>
              <w:tab w:val="left" w:pos="1559"/>
              <w:tab w:val="left" w:pos="3828"/>
            </w:tabs>
            <w:rPr>
              <w:sz w:val="18"/>
              <w:szCs w:val="18"/>
            </w:rPr>
          </w:pPr>
          <w:bookmarkStart w:id="6" w:name="Email"/>
          <w:bookmarkEnd w:id="6"/>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53390E35" w14:textId="77777777" w:rsidR="005C45B6" w:rsidRPr="00CB110F" w:rsidRDefault="005C45B6" w:rsidP="005C45B6">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姓名/</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4EE2EDD5" w14:textId="70D86B96" w:rsidR="005C45B6" w:rsidRPr="00217762" w:rsidRDefault="00BA54DE" w:rsidP="005C45B6">
          <w:pPr>
            <w:pStyle w:val="FirstFooter"/>
            <w:tabs>
              <w:tab w:val="left" w:pos="1593"/>
            </w:tabs>
            <w:rPr>
              <w:sz w:val="18"/>
              <w:szCs w:val="18"/>
              <w:lang w:val="es-ES" w:eastAsia="zh-CN"/>
            </w:rPr>
          </w:pPr>
          <w:r>
            <w:rPr>
              <w:rFonts w:hint="eastAsia"/>
              <w:sz w:val="18"/>
              <w:szCs w:val="18"/>
              <w:lang w:val="en-US" w:eastAsia="zh-CN"/>
            </w:rPr>
            <w:t>电信发展局副主任</w:t>
          </w:r>
          <w:r>
            <w:rPr>
              <w:rFonts w:hint="eastAsia"/>
              <w:sz w:val="18"/>
              <w:szCs w:val="18"/>
              <w:lang w:val="en-US" w:eastAsia="zh-CN"/>
            </w:rPr>
            <w:t>Archana Gulati</w:t>
          </w:r>
          <w:r>
            <w:rPr>
              <w:rFonts w:hint="eastAsia"/>
              <w:sz w:val="18"/>
              <w:szCs w:val="18"/>
              <w:lang w:val="en-US" w:eastAsia="zh-CN"/>
            </w:rPr>
            <w:t>女士</w:t>
          </w:r>
        </w:p>
      </w:tc>
    </w:tr>
    <w:tr w:rsidR="005C45B6" w:rsidRPr="00CB110F" w14:paraId="1B32D05D" w14:textId="77777777" w:rsidTr="005539C3">
      <w:tc>
        <w:tcPr>
          <w:tcW w:w="1526" w:type="dxa"/>
        </w:tcPr>
        <w:p w14:paraId="69D05221" w14:textId="77777777" w:rsidR="005C45B6" w:rsidRPr="00217762" w:rsidRDefault="005C45B6" w:rsidP="005C45B6">
          <w:pPr>
            <w:pStyle w:val="FirstFooter"/>
            <w:tabs>
              <w:tab w:val="left" w:pos="1559"/>
              <w:tab w:val="left" w:pos="3828"/>
            </w:tabs>
            <w:rPr>
              <w:sz w:val="20"/>
              <w:lang w:val="es-ES" w:eastAsia="zh-CN"/>
            </w:rPr>
          </w:pPr>
        </w:p>
      </w:tc>
      <w:tc>
        <w:tcPr>
          <w:tcW w:w="2410" w:type="dxa"/>
        </w:tcPr>
        <w:p w14:paraId="77EBA39C"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14:paraId="25F09FE5" w14:textId="12D66387" w:rsidR="005C45B6" w:rsidRPr="00536F3A" w:rsidRDefault="00BA54DE" w:rsidP="005C45B6">
          <w:pPr>
            <w:pStyle w:val="FirstFooter"/>
            <w:tabs>
              <w:tab w:val="left" w:pos="2443"/>
            </w:tabs>
            <w:rPr>
              <w:sz w:val="18"/>
              <w:szCs w:val="18"/>
              <w:lang w:val="es-ES_tradnl"/>
            </w:rPr>
          </w:pPr>
          <w:r>
            <w:rPr>
              <w:rFonts w:hint="eastAsia"/>
              <w:sz w:val="18"/>
              <w:szCs w:val="18"/>
              <w:lang w:val="en-US" w:eastAsia="zh-CN"/>
            </w:rPr>
            <w:t>不适用</w:t>
          </w:r>
        </w:p>
      </w:tc>
    </w:tr>
    <w:tr w:rsidR="00BA54DE" w:rsidRPr="00CB110F" w14:paraId="16E0B51C" w14:textId="77777777" w:rsidTr="005539C3">
      <w:tc>
        <w:tcPr>
          <w:tcW w:w="1526" w:type="dxa"/>
        </w:tcPr>
        <w:p w14:paraId="07702DCB" w14:textId="77777777" w:rsidR="00BA54DE" w:rsidRPr="00CB110F" w:rsidRDefault="00BA54DE" w:rsidP="00BA54DE">
          <w:pPr>
            <w:pStyle w:val="FirstFooter"/>
            <w:tabs>
              <w:tab w:val="left" w:pos="1559"/>
              <w:tab w:val="left" w:pos="3828"/>
            </w:tabs>
            <w:rPr>
              <w:sz w:val="20"/>
              <w:lang w:val="en-US"/>
            </w:rPr>
          </w:pPr>
        </w:p>
      </w:tc>
      <w:tc>
        <w:tcPr>
          <w:tcW w:w="2410" w:type="dxa"/>
        </w:tcPr>
        <w:p w14:paraId="75998C73" w14:textId="77777777" w:rsidR="00BA54DE" w:rsidRPr="00CB110F" w:rsidRDefault="00BA54DE" w:rsidP="00BA54DE">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14:paraId="1EAE1177" w14:textId="22D62D53" w:rsidR="00BA54DE" w:rsidRPr="00536F3A" w:rsidRDefault="00BA54DE" w:rsidP="00BA54DE">
          <w:pPr>
            <w:pStyle w:val="FirstFooter"/>
            <w:tabs>
              <w:tab w:val="left" w:pos="2443"/>
            </w:tabs>
          </w:pPr>
          <w:hyperlink r:id="rId1" w:history="1">
            <w:r w:rsidRPr="00941B59">
              <w:rPr>
                <w:rStyle w:val="Hyperlink"/>
                <w:sz w:val="18"/>
                <w:szCs w:val="18"/>
              </w:rPr>
              <w:t>archana.gulati@itu.int</w:t>
            </w:r>
          </w:hyperlink>
          <w:r w:rsidRPr="00941B59">
            <w:rPr>
              <w:sz w:val="18"/>
              <w:szCs w:val="18"/>
            </w:rPr>
            <w:t xml:space="preserve"> </w:t>
          </w:r>
        </w:p>
      </w:tc>
    </w:tr>
  </w:tbl>
  <w:p w14:paraId="4590B376" w14:textId="77777777" w:rsidR="00AC43E3" w:rsidRDefault="00AC4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85FAF" w14:textId="77777777" w:rsidR="00D7508E" w:rsidRDefault="00D7508E">
      <w:r>
        <w:t>____________________</w:t>
      </w:r>
    </w:p>
  </w:footnote>
  <w:footnote w:type="continuationSeparator" w:id="0">
    <w:p w14:paraId="75D93328" w14:textId="77777777" w:rsidR="00D7508E" w:rsidRDefault="00D7508E">
      <w:r>
        <w:continuationSeparator/>
      </w:r>
    </w:p>
  </w:footnote>
  <w:footnote w:type="continuationNotice" w:id="1">
    <w:p w14:paraId="2E64181E" w14:textId="77777777" w:rsidR="00D7508E" w:rsidRDefault="00D7508E">
      <w:pPr>
        <w:spacing w:before="0"/>
      </w:pPr>
    </w:p>
  </w:footnote>
  <w:footnote w:id="2">
    <w:p w14:paraId="1DBC104B" w14:textId="7AC53832" w:rsidR="00E71EC7" w:rsidRPr="00292323" w:rsidRDefault="00E71EC7" w:rsidP="00E71EC7">
      <w:pPr>
        <w:pStyle w:val="FootnoteText"/>
        <w:spacing w:before="0"/>
        <w:rPr>
          <w:sz w:val="20"/>
          <w:lang w:eastAsia="zh-CN"/>
        </w:rPr>
      </w:pPr>
      <w:r w:rsidRPr="00292323">
        <w:rPr>
          <w:rStyle w:val="FootnoteReference"/>
          <w:sz w:val="20"/>
          <w:lang w:val="zh-CN"/>
        </w:rPr>
        <w:footnoteRef/>
      </w:r>
      <w:r>
        <w:rPr>
          <w:lang w:val="zh-CN" w:eastAsia="zh-CN"/>
        </w:rPr>
        <w:tab/>
      </w:r>
      <w:r w:rsidRPr="000D052E">
        <w:rPr>
          <w:sz w:val="20"/>
          <w:lang w:val="zh-CN" w:eastAsia="zh-CN"/>
        </w:rPr>
        <w:t>关于</w:t>
      </w:r>
      <w:r w:rsidRPr="000D052E">
        <w:rPr>
          <w:sz w:val="20"/>
          <w:lang w:val="zh-CN" w:eastAsia="zh-CN"/>
        </w:rPr>
        <w:t>2024</w:t>
      </w:r>
      <w:r w:rsidRPr="000D052E">
        <w:rPr>
          <w:sz w:val="20"/>
          <w:lang w:val="zh-CN" w:eastAsia="zh-CN"/>
        </w:rPr>
        <w:t>年</w:t>
      </w:r>
      <w:r w:rsidR="0025590B" w:rsidRPr="000D052E">
        <w:rPr>
          <w:sz w:val="20"/>
          <w:lang w:val="zh-CN" w:eastAsia="zh-CN"/>
        </w:rPr>
        <w:t>ITU-D</w:t>
      </w:r>
      <w:r w:rsidRPr="000D052E">
        <w:rPr>
          <w:sz w:val="20"/>
          <w:lang w:val="zh-CN" w:eastAsia="zh-CN"/>
        </w:rPr>
        <w:t>运作规划的</w:t>
      </w:r>
      <w:hyperlink r:id="rId1" w:history="1">
        <w:r w:rsidR="0025590B" w:rsidRPr="000D052E">
          <w:rPr>
            <w:rStyle w:val="Hyperlink"/>
            <w:sz w:val="20"/>
            <w:lang w:val="fr-FR" w:eastAsia="zh-CN"/>
          </w:rPr>
          <w:t>TDAG-24/12</w:t>
        </w:r>
      </w:hyperlink>
      <w:r w:rsidRPr="000D052E">
        <w:rPr>
          <w:sz w:val="20"/>
          <w:lang w:val="zh-CN"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0D4C8ACE"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7B29A5">
      <w:rPr>
        <w:rFonts w:hint="eastAsia"/>
        <w:sz w:val="22"/>
        <w:szCs w:val="22"/>
        <w:lang w:eastAsia="zh-CN"/>
      </w:rPr>
      <w:t>24</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16A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1C23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5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6C78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0078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94E4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A849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1269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B484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41617C"/>
    <w:multiLevelType w:val="hybridMultilevel"/>
    <w:tmpl w:val="4E745178"/>
    <w:lvl w:ilvl="0" w:tplc="D8AA70EE">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num w:numId="1" w16cid:durableId="154344639">
    <w:abstractNumId w:val="10"/>
    <w:lvlOverride w:ilvl="0">
      <w:lvl w:ilvl="0" w:tplc="D8AA70EE">
        <w:start w:val="1"/>
        <w:numFmt w:val="bullet"/>
        <w:lvlText w:val=""/>
        <w:lvlJc w:val="left"/>
        <w:pPr>
          <w:ind w:left="360" w:hanging="360"/>
        </w:pPr>
        <w:rPr>
          <w:rFonts w:ascii="Symbol" w:hAnsi="Symbol" w:hint="default"/>
        </w:rPr>
      </w:lvl>
    </w:lvlOverride>
  </w:num>
  <w:num w:numId="2" w16cid:durableId="893389219">
    <w:abstractNumId w:val="9"/>
  </w:num>
  <w:num w:numId="3" w16cid:durableId="680090513">
    <w:abstractNumId w:val="7"/>
  </w:num>
  <w:num w:numId="4" w16cid:durableId="1934123878">
    <w:abstractNumId w:val="6"/>
  </w:num>
  <w:num w:numId="5" w16cid:durableId="406072548">
    <w:abstractNumId w:val="5"/>
  </w:num>
  <w:num w:numId="6" w16cid:durableId="1728454782">
    <w:abstractNumId w:val="4"/>
  </w:num>
  <w:num w:numId="7" w16cid:durableId="988829429">
    <w:abstractNumId w:val="8"/>
  </w:num>
  <w:num w:numId="8" w16cid:durableId="645550276">
    <w:abstractNumId w:val="3"/>
  </w:num>
  <w:num w:numId="9" w16cid:durableId="1076630262">
    <w:abstractNumId w:val="2"/>
  </w:num>
  <w:num w:numId="10" w16cid:durableId="390273203">
    <w:abstractNumId w:val="1"/>
  </w:num>
  <w:num w:numId="11" w16cid:durableId="1211963079">
    <w:abstractNumId w:val="0"/>
  </w:num>
  <w:num w:numId="12" w16cid:durableId="294330924">
    <w:abstractNumId w:val="8"/>
  </w:num>
  <w:num w:numId="13" w16cid:durableId="2049600472">
    <w:abstractNumId w:val="3"/>
  </w:num>
  <w:num w:numId="14" w16cid:durableId="1274555693">
    <w:abstractNumId w:val="2"/>
  </w:num>
  <w:num w:numId="15" w16cid:durableId="1578325726">
    <w:abstractNumId w:val="1"/>
  </w:num>
  <w:num w:numId="16" w16cid:durableId="1815679870">
    <w:abstractNumId w:val="0"/>
  </w:num>
  <w:num w:numId="17" w16cid:durableId="392824046">
    <w:abstractNumId w:val="8"/>
  </w:num>
  <w:num w:numId="18" w16cid:durableId="1830290646">
    <w:abstractNumId w:val="3"/>
  </w:num>
  <w:num w:numId="19" w16cid:durableId="977611737">
    <w:abstractNumId w:val="2"/>
  </w:num>
  <w:num w:numId="20" w16cid:durableId="340468896">
    <w:abstractNumId w:val="1"/>
  </w:num>
  <w:num w:numId="21" w16cid:durableId="788470610">
    <w:abstractNumId w:val="0"/>
  </w:num>
  <w:num w:numId="22" w16cid:durableId="1033459112">
    <w:abstractNumId w:val="8"/>
  </w:num>
  <w:num w:numId="23" w16cid:durableId="245725738">
    <w:abstractNumId w:val="3"/>
  </w:num>
  <w:num w:numId="24" w16cid:durableId="952591670">
    <w:abstractNumId w:val="2"/>
  </w:num>
  <w:num w:numId="25" w16cid:durableId="759258874">
    <w:abstractNumId w:val="1"/>
  </w:num>
  <w:num w:numId="26" w16cid:durableId="160538119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42FE4"/>
    <w:rsid w:val="000539F1"/>
    <w:rsid w:val="00054747"/>
    <w:rsid w:val="00055A2A"/>
    <w:rsid w:val="000615C1"/>
    <w:rsid w:val="00061675"/>
    <w:rsid w:val="000743AA"/>
    <w:rsid w:val="0009076F"/>
    <w:rsid w:val="000908C0"/>
    <w:rsid w:val="0009225C"/>
    <w:rsid w:val="000A17C4"/>
    <w:rsid w:val="000A36A4"/>
    <w:rsid w:val="000B2352"/>
    <w:rsid w:val="000C1340"/>
    <w:rsid w:val="000C7B84"/>
    <w:rsid w:val="000D0083"/>
    <w:rsid w:val="000D052E"/>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3509"/>
    <w:rsid w:val="0012683F"/>
    <w:rsid w:val="00133061"/>
    <w:rsid w:val="00140857"/>
    <w:rsid w:val="00141699"/>
    <w:rsid w:val="00147000"/>
    <w:rsid w:val="00150AD3"/>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085A"/>
    <w:rsid w:val="00191273"/>
    <w:rsid w:val="001942A7"/>
    <w:rsid w:val="0019587B"/>
    <w:rsid w:val="001A163D"/>
    <w:rsid w:val="001A441E"/>
    <w:rsid w:val="001A6733"/>
    <w:rsid w:val="001B357F"/>
    <w:rsid w:val="001C3444"/>
    <w:rsid w:val="001C3702"/>
    <w:rsid w:val="001C4656"/>
    <w:rsid w:val="001C46BC"/>
    <w:rsid w:val="001D14D8"/>
    <w:rsid w:val="001D1E06"/>
    <w:rsid w:val="001F23E6"/>
    <w:rsid w:val="001F4238"/>
    <w:rsid w:val="00200A38"/>
    <w:rsid w:val="00200A46"/>
    <w:rsid w:val="002109CD"/>
    <w:rsid w:val="00211B6F"/>
    <w:rsid w:val="00217CC3"/>
    <w:rsid w:val="00220AB6"/>
    <w:rsid w:val="0022120F"/>
    <w:rsid w:val="00224796"/>
    <w:rsid w:val="0022754A"/>
    <w:rsid w:val="00236560"/>
    <w:rsid w:val="0023662E"/>
    <w:rsid w:val="00241AE3"/>
    <w:rsid w:val="00245D0F"/>
    <w:rsid w:val="00245EFC"/>
    <w:rsid w:val="002548C3"/>
    <w:rsid w:val="0025590B"/>
    <w:rsid w:val="00257ACD"/>
    <w:rsid w:val="00262908"/>
    <w:rsid w:val="002650F4"/>
    <w:rsid w:val="002715FD"/>
    <w:rsid w:val="002770B1"/>
    <w:rsid w:val="00285B33"/>
    <w:rsid w:val="00287A3C"/>
    <w:rsid w:val="002A2D67"/>
    <w:rsid w:val="002A2FC6"/>
    <w:rsid w:val="002A76B5"/>
    <w:rsid w:val="002B36D0"/>
    <w:rsid w:val="002C1EC7"/>
    <w:rsid w:val="002C3015"/>
    <w:rsid w:val="002C4342"/>
    <w:rsid w:val="002C7EA3"/>
    <w:rsid w:val="002D20AE"/>
    <w:rsid w:val="002D4979"/>
    <w:rsid w:val="002D6C61"/>
    <w:rsid w:val="002E2104"/>
    <w:rsid w:val="002E2DAC"/>
    <w:rsid w:val="002E6963"/>
    <w:rsid w:val="002E6F8F"/>
    <w:rsid w:val="002F05D8"/>
    <w:rsid w:val="002F2DE0"/>
    <w:rsid w:val="002F5E25"/>
    <w:rsid w:val="0030353C"/>
    <w:rsid w:val="00303BD1"/>
    <w:rsid w:val="00307769"/>
    <w:rsid w:val="003125C3"/>
    <w:rsid w:val="00312AE6"/>
    <w:rsid w:val="003179D8"/>
    <w:rsid w:val="00317D1A"/>
    <w:rsid w:val="003211FF"/>
    <w:rsid w:val="003222A1"/>
    <w:rsid w:val="003242AB"/>
    <w:rsid w:val="00327247"/>
    <w:rsid w:val="00327A9D"/>
    <w:rsid w:val="0033130E"/>
    <w:rsid w:val="0033269C"/>
    <w:rsid w:val="00351C79"/>
    <w:rsid w:val="00353347"/>
    <w:rsid w:val="0035516C"/>
    <w:rsid w:val="00355A4C"/>
    <w:rsid w:val="003604FB"/>
    <w:rsid w:val="00360B73"/>
    <w:rsid w:val="00380B71"/>
    <w:rsid w:val="0038365A"/>
    <w:rsid w:val="00386A89"/>
    <w:rsid w:val="00386CD5"/>
    <w:rsid w:val="0039648E"/>
    <w:rsid w:val="003A353C"/>
    <w:rsid w:val="003A5AFE"/>
    <w:rsid w:val="003A5D5F"/>
    <w:rsid w:val="003A7FFE"/>
    <w:rsid w:val="003B0A63"/>
    <w:rsid w:val="003B50E1"/>
    <w:rsid w:val="003B5682"/>
    <w:rsid w:val="003C1746"/>
    <w:rsid w:val="003C2AA9"/>
    <w:rsid w:val="003C58BF"/>
    <w:rsid w:val="003D451D"/>
    <w:rsid w:val="003E3102"/>
    <w:rsid w:val="003F2DD8"/>
    <w:rsid w:val="003F3F2D"/>
    <w:rsid w:val="003F50B2"/>
    <w:rsid w:val="00400CCF"/>
    <w:rsid w:val="00401BFF"/>
    <w:rsid w:val="00404424"/>
    <w:rsid w:val="0041156B"/>
    <w:rsid w:val="004122C5"/>
    <w:rsid w:val="00413B78"/>
    <w:rsid w:val="00413CCC"/>
    <w:rsid w:val="00414D8B"/>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C0E2C"/>
    <w:rsid w:val="004D2AE7"/>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50C"/>
    <w:rsid w:val="00545DC0"/>
    <w:rsid w:val="00545F6C"/>
    <w:rsid w:val="005477D9"/>
    <w:rsid w:val="0055720C"/>
    <w:rsid w:val="00561796"/>
    <w:rsid w:val="005632DD"/>
    <w:rsid w:val="0056423B"/>
    <w:rsid w:val="00572129"/>
    <w:rsid w:val="00573424"/>
    <w:rsid w:val="0057402F"/>
    <w:rsid w:val="00574E87"/>
    <w:rsid w:val="005760B0"/>
    <w:rsid w:val="00581653"/>
    <w:rsid w:val="00582445"/>
    <w:rsid w:val="005849D6"/>
    <w:rsid w:val="00585367"/>
    <w:rsid w:val="005861B7"/>
    <w:rsid w:val="005871A1"/>
    <w:rsid w:val="0058737E"/>
    <w:rsid w:val="00587C79"/>
    <w:rsid w:val="00592518"/>
    <w:rsid w:val="00592E87"/>
    <w:rsid w:val="0059420B"/>
    <w:rsid w:val="00594C4D"/>
    <w:rsid w:val="005A33B0"/>
    <w:rsid w:val="005A5FEA"/>
    <w:rsid w:val="005C2DC2"/>
    <w:rsid w:val="005C304A"/>
    <w:rsid w:val="005C3D69"/>
    <w:rsid w:val="005C45B6"/>
    <w:rsid w:val="005C474D"/>
    <w:rsid w:val="005C7C98"/>
    <w:rsid w:val="005D2C3A"/>
    <w:rsid w:val="005D55A4"/>
    <w:rsid w:val="005D57C8"/>
    <w:rsid w:val="005D7761"/>
    <w:rsid w:val="005E0278"/>
    <w:rsid w:val="005E090D"/>
    <w:rsid w:val="005E3CA0"/>
    <w:rsid w:val="005E44B1"/>
    <w:rsid w:val="005E67B0"/>
    <w:rsid w:val="005E7047"/>
    <w:rsid w:val="005E777F"/>
    <w:rsid w:val="005F1A0D"/>
    <w:rsid w:val="005F1CA7"/>
    <w:rsid w:val="005F43DD"/>
    <w:rsid w:val="005F51A9"/>
    <w:rsid w:val="005F6BE1"/>
    <w:rsid w:val="005F7416"/>
    <w:rsid w:val="00600C11"/>
    <w:rsid w:val="00604536"/>
    <w:rsid w:val="0060545E"/>
    <w:rsid w:val="00606B89"/>
    <w:rsid w:val="00611EAF"/>
    <w:rsid w:val="00623F30"/>
    <w:rsid w:val="00625FB8"/>
    <w:rsid w:val="006261BD"/>
    <w:rsid w:val="00635EDB"/>
    <w:rsid w:val="006410DA"/>
    <w:rsid w:val="00643908"/>
    <w:rsid w:val="0064734E"/>
    <w:rsid w:val="00650137"/>
    <w:rsid w:val="006509D7"/>
    <w:rsid w:val="00651CE8"/>
    <w:rsid w:val="0065521B"/>
    <w:rsid w:val="00663AA0"/>
    <w:rsid w:val="00671EF6"/>
    <w:rsid w:val="0067205B"/>
    <w:rsid w:val="006734C7"/>
    <w:rsid w:val="006745DE"/>
    <w:rsid w:val="006748F8"/>
    <w:rsid w:val="00680489"/>
    <w:rsid w:val="00683C32"/>
    <w:rsid w:val="00690BB2"/>
    <w:rsid w:val="00693D09"/>
    <w:rsid w:val="006A6549"/>
    <w:rsid w:val="006A67FB"/>
    <w:rsid w:val="006A7710"/>
    <w:rsid w:val="006A7A61"/>
    <w:rsid w:val="006B1E59"/>
    <w:rsid w:val="006B2FFB"/>
    <w:rsid w:val="006B5AA9"/>
    <w:rsid w:val="006B66E2"/>
    <w:rsid w:val="006C10A2"/>
    <w:rsid w:val="006C1F18"/>
    <w:rsid w:val="006D40D5"/>
    <w:rsid w:val="006E06E3"/>
    <w:rsid w:val="006F009A"/>
    <w:rsid w:val="006F3D93"/>
    <w:rsid w:val="007019B1"/>
    <w:rsid w:val="00721657"/>
    <w:rsid w:val="00721D65"/>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B29A5"/>
    <w:rsid w:val="007C27FC"/>
    <w:rsid w:val="007C476A"/>
    <w:rsid w:val="007C51FF"/>
    <w:rsid w:val="007D50E4"/>
    <w:rsid w:val="007E2DC5"/>
    <w:rsid w:val="007F1CC7"/>
    <w:rsid w:val="007F4B59"/>
    <w:rsid w:val="007F586D"/>
    <w:rsid w:val="008027AC"/>
    <w:rsid w:val="008028CE"/>
    <w:rsid w:val="0080332E"/>
    <w:rsid w:val="008069EB"/>
    <w:rsid w:val="008141E0"/>
    <w:rsid w:val="00816EE1"/>
    <w:rsid w:val="00816F88"/>
    <w:rsid w:val="00821996"/>
    <w:rsid w:val="00822323"/>
    <w:rsid w:val="00827BC6"/>
    <w:rsid w:val="008300AD"/>
    <w:rsid w:val="00833024"/>
    <w:rsid w:val="00834B79"/>
    <w:rsid w:val="008419B1"/>
    <w:rsid w:val="00844A56"/>
    <w:rsid w:val="00845B11"/>
    <w:rsid w:val="00852081"/>
    <w:rsid w:val="00872B6E"/>
    <w:rsid w:val="00874DFD"/>
    <w:rsid w:val="008802F9"/>
    <w:rsid w:val="00883086"/>
    <w:rsid w:val="00885B75"/>
    <w:rsid w:val="008879FD"/>
    <w:rsid w:val="00894C37"/>
    <w:rsid w:val="008A00EA"/>
    <w:rsid w:val="008A3F93"/>
    <w:rsid w:val="008A6236"/>
    <w:rsid w:val="008A6E1C"/>
    <w:rsid w:val="008A72FD"/>
    <w:rsid w:val="008B1833"/>
    <w:rsid w:val="008B1E82"/>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5D19"/>
    <w:rsid w:val="00922EC1"/>
    <w:rsid w:val="00923CF1"/>
    <w:rsid w:val="009301F1"/>
    <w:rsid w:val="009307DF"/>
    <w:rsid w:val="009359B8"/>
    <w:rsid w:val="00935FF0"/>
    <w:rsid w:val="00940545"/>
    <w:rsid w:val="009431F8"/>
    <w:rsid w:val="00947A35"/>
    <w:rsid w:val="00952667"/>
    <w:rsid w:val="0096201B"/>
    <w:rsid w:val="00962081"/>
    <w:rsid w:val="00966BA6"/>
    <w:rsid w:val="00966CB5"/>
    <w:rsid w:val="00975786"/>
    <w:rsid w:val="00981CB7"/>
    <w:rsid w:val="00983E1F"/>
    <w:rsid w:val="00987541"/>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4758"/>
    <w:rsid w:val="00A705E8"/>
    <w:rsid w:val="00A721F4"/>
    <w:rsid w:val="00A9392C"/>
    <w:rsid w:val="00A9462B"/>
    <w:rsid w:val="00A97D59"/>
    <w:rsid w:val="00AA3E09"/>
    <w:rsid w:val="00AA4BEF"/>
    <w:rsid w:val="00AA599F"/>
    <w:rsid w:val="00AB1659"/>
    <w:rsid w:val="00AB4962"/>
    <w:rsid w:val="00AB734E"/>
    <w:rsid w:val="00AB740F"/>
    <w:rsid w:val="00AC43E3"/>
    <w:rsid w:val="00AC6F14"/>
    <w:rsid w:val="00AC7221"/>
    <w:rsid w:val="00AD0FC0"/>
    <w:rsid w:val="00AD3FDB"/>
    <w:rsid w:val="00AD4677"/>
    <w:rsid w:val="00AE4B4B"/>
    <w:rsid w:val="00AE5961"/>
    <w:rsid w:val="00AE740F"/>
    <w:rsid w:val="00AF0745"/>
    <w:rsid w:val="00AF4971"/>
    <w:rsid w:val="00AF5276"/>
    <w:rsid w:val="00AF7C86"/>
    <w:rsid w:val="00B01046"/>
    <w:rsid w:val="00B2032F"/>
    <w:rsid w:val="00B310F9"/>
    <w:rsid w:val="00B37866"/>
    <w:rsid w:val="00B412FB"/>
    <w:rsid w:val="00B4576B"/>
    <w:rsid w:val="00B46350"/>
    <w:rsid w:val="00B46DF3"/>
    <w:rsid w:val="00B648C7"/>
    <w:rsid w:val="00B66E8F"/>
    <w:rsid w:val="00B80157"/>
    <w:rsid w:val="00B831BB"/>
    <w:rsid w:val="00B83D5E"/>
    <w:rsid w:val="00B8460A"/>
    <w:rsid w:val="00B8650D"/>
    <w:rsid w:val="00B879B4"/>
    <w:rsid w:val="00B90F07"/>
    <w:rsid w:val="00B97BB9"/>
    <w:rsid w:val="00BA0009"/>
    <w:rsid w:val="00BA2143"/>
    <w:rsid w:val="00BA54DE"/>
    <w:rsid w:val="00BA7FAA"/>
    <w:rsid w:val="00BB02B5"/>
    <w:rsid w:val="00BB1863"/>
    <w:rsid w:val="00BB25EE"/>
    <w:rsid w:val="00BB363A"/>
    <w:rsid w:val="00BB3E50"/>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47BCF"/>
    <w:rsid w:val="00C53554"/>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470"/>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5009"/>
    <w:rsid w:val="00D513A4"/>
    <w:rsid w:val="00D63006"/>
    <w:rsid w:val="00D72301"/>
    <w:rsid w:val="00D7508E"/>
    <w:rsid w:val="00D911DE"/>
    <w:rsid w:val="00D91B97"/>
    <w:rsid w:val="00D93ACC"/>
    <w:rsid w:val="00D93C08"/>
    <w:rsid w:val="00D95DAC"/>
    <w:rsid w:val="00DA0B53"/>
    <w:rsid w:val="00DA230C"/>
    <w:rsid w:val="00DB07D3"/>
    <w:rsid w:val="00DB1171"/>
    <w:rsid w:val="00DB1519"/>
    <w:rsid w:val="00DB2840"/>
    <w:rsid w:val="00DC1BD3"/>
    <w:rsid w:val="00DC2C1A"/>
    <w:rsid w:val="00DD66B4"/>
    <w:rsid w:val="00DE0585"/>
    <w:rsid w:val="00DE1972"/>
    <w:rsid w:val="00DE27AB"/>
    <w:rsid w:val="00DF240D"/>
    <w:rsid w:val="00DF2AB3"/>
    <w:rsid w:val="00DF7250"/>
    <w:rsid w:val="00E00CAA"/>
    <w:rsid w:val="00E03EBF"/>
    <w:rsid w:val="00E05209"/>
    <w:rsid w:val="00E05AC1"/>
    <w:rsid w:val="00E11BCF"/>
    <w:rsid w:val="00E1346D"/>
    <w:rsid w:val="00E2258E"/>
    <w:rsid w:val="00E260C2"/>
    <w:rsid w:val="00E32596"/>
    <w:rsid w:val="00E368F7"/>
    <w:rsid w:val="00E36EB8"/>
    <w:rsid w:val="00E37FB8"/>
    <w:rsid w:val="00E40B07"/>
    <w:rsid w:val="00E42326"/>
    <w:rsid w:val="00E43544"/>
    <w:rsid w:val="00E44D89"/>
    <w:rsid w:val="00E477EA"/>
    <w:rsid w:val="00E54067"/>
    <w:rsid w:val="00E55807"/>
    <w:rsid w:val="00E63B14"/>
    <w:rsid w:val="00E65CA0"/>
    <w:rsid w:val="00E70D9F"/>
    <w:rsid w:val="00E71EC7"/>
    <w:rsid w:val="00E83810"/>
    <w:rsid w:val="00E86933"/>
    <w:rsid w:val="00E9605B"/>
    <w:rsid w:val="00E97298"/>
    <w:rsid w:val="00E97753"/>
    <w:rsid w:val="00EA0C51"/>
    <w:rsid w:val="00EA7DE7"/>
    <w:rsid w:val="00EB1A4B"/>
    <w:rsid w:val="00EB7A8A"/>
    <w:rsid w:val="00EC6FED"/>
    <w:rsid w:val="00EC7F3B"/>
    <w:rsid w:val="00ED4FDF"/>
    <w:rsid w:val="00ED5299"/>
    <w:rsid w:val="00EE3A64"/>
    <w:rsid w:val="00EE50E5"/>
    <w:rsid w:val="00EE5450"/>
    <w:rsid w:val="00EF01CF"/>
    <w:rsid w:val="00F03590"/>
    <w:rsid w:val="00F03622"/>
    <w:rsid w:val="00F077FD"/>
    <w:rsid w:val="00F07A99"/>
    <w:rsid w:val="00F204F3"/>
    <w:rsid w:val="00F218AB"/>
    <w:rsid w:val="00F21D10"/>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34B2"/>
    <w:rsid w:val="00F736F9"/>
    <w:rsid w:val="00F73833"/>
    <w:rsid w:val="00F9211C"/>
    <w:rsid w:val="00FA095D"/>
    <w:rsid w:val="00FA4444"/>
    <w:rsid w:val="00FA6C8B"/>
    <w:rsid w:val="00FA6CDA"/>
    <w:rsid w:val="00FA7C89"/>
    <w:rsid w:val="00FB3949"/>
    <w:rsid w:val="00FB4139"/>
    <w:rsid w:val="00FB476E"/>
    <w:rsid w:val="00FC0D90"/>
    <w:rsid w:val="00FC7D8C"/>
    <w:rsid w:val="00FD197E"/>
    <w:rsid w:val="00FD3980"/>
    <w:rsid w:val="00FD431E"/>
    <w:rsid w:val="00FD5A2C"/>
    <w:rsid w:val="00FE0D47"/>
    <w:rsid w:val="00FE1D5C"/>
    <w:rsid w:val="00FE2F8B"/>
    <w:rsid w:val="00FE3669"/>
    <w:rsid w:val="00FE5204"/>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B7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NUMBERED PARAGRAPH,List Paragraph 1,List Paragraph (numbered (a)),Use Case List Paragraph,References,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NUMBERED PARAGRAPH Char,List Paragraph 1 Char,lp1 Char"/>
    <w:link w:val="ListParagraph"/>
    <w:uiPriority w:val="34"/>
    <w:qFormat/>
    <w:rsid w:val="005C474D"/>
    <w:rPr>
      <w:rFonts w:asciiTheme="minorHAnsi" w:hAnsiTheme="minorHAnsi"/>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BA54DE"/>
    <w:rPr>
      <w:rFonts w:asciiTheme="minorHAnsi" w:hAnsiTheme="minorHAnsi"/>
      <w:sz w:val="24"/>
      <w:lang w:val="en-GB" w:eastAsia="en-US"/>
    </w:rPr>
  </w:style>
  <w:style w:type="character" w:customStyle="1" w:styleId="enumlev1Char">
    <w:name w:val="enumlev1 Char"/>
    <w:link w:val="enumlev1"/>
    <w:qFormat/>
    <w:rsid w:val="00BA54DE"/>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F07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5-CWGFHR20-C-0002/en" TargetMode="External"/><Relationship Id="rId18" Type="http://schemas.openxmlformats.org/officeDocument/2006/relationships/hyperlink" Target="https://www.itu.int/dms_pub/itu-s/md/23/cwgfhr16/c/S23-CWGFHR16-C-0024!R1!MSW-E.docx" TargetMode="External"/><Relationship Id="rId26" Type="http://schemas.openxmlformats.org/officeDocument/2006/relationships/hyperlink" Target="https://www.itu.int/md/D22-TDAG32-INF-0004/" TargetMode="External"/><Relationship Id="rId39" Type="http://schemas.openxmlformats.org/officeDocument/2006/relationships/hyperlink" Target="https://www.itu.int/md/S25-CWGFHR20-250217-TD-0001/en" TargetMode="External"/><Relationship Id="rId21" Type="http://schemas.openxmlformats.org/officeDocument/2006/relationships/hyperlink" Target="https://www.itu.int/md/D22-TDAG32-C-0003/" TargetMode="External"/><Relationship Id="rId34" Type="http://schemas.openxmlformats.org/officeDocument/2006/relationships/hyperlink" Target="https://www.itu.int/dms_pub/itu-s/md/23/cwgfhr16/c/S23-CWGFHR16-C-0024!R1!MSW-E.docx"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meetingdoc.asp?lang=en&amp;parent=S23-CWGFHR16-C-0010" TargetMode="External"/><Relationship Id="rId29" Type="http://schemas.openxmlformats.org/officeDocument/2006/relationships/hyperlink" Target="https://www.itu.int/md/D22-TDAG32-C-000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wtdc" TargetMode="External"/><Relationship Id="rId32" Type="http://schemas.openxmlformats.org/officeDocument/2006/relationships/hyperlink" Target="https://www.itu.int/md/D22-TDAG32-C-0009/" TargetMode="External"/><Relationship Id="rId37" Type="http://schemas.openxmlformats.org/officeDocument/2006/relationships/hyperlink" Target="https://www.itu.int/dms_pub/itu-s/md/23/cwgfhr16/c/S23-CWGFHR16-C-0024!R1!MSW-E.docx" TargetMode="External"/><Relationship Id="rId40" Type="http://schemas.openxmlformats.org/officeDocument/2006/relationships/hyperlink" Target="https://www.itu.int/en/council/Documents/basic-texts-2023/RES-025-C.pdf"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5-CWGFHR20-250217-TD-0001/en" TargetMode="External"/><Relationship Id="rId23" Type="http://schemas.openxmlformats.org/officeDocument/2006/relationships/hyperlink" Target="https://www.itu.int/md/D22-TDAG32-C-0003/" TargetMode="External"/><Relationship Id="rId28" Type="http://schemas.openxmlformats.org/officeDocument/2006/relationships/hyperlink" Target="https://www.itu.int/itu-d/sites/partnerships/home/partnerships/" TargetMode="External"/><Relationship Id="rId36" Type="http://schemas.openxmlformats.org/officeDocument/2006/relationships/hyperlink" Target="https://www.itu.int/md/meetingdoc.asp?lang=en&amp;parent=S23-CWGFHR16-C-0010" TargetMode="External"/><Relationship Id="rId10" Type="http://schemas.openxmlformats.org/officeDocument/2006/relationships/endnotes" Target="endnotes.xml"/><Relationship Id="rId19" Type="http://schemas.openxmlformats.org/officeDocument/2006/relationships/hyperlink" Target="https://www.itu.int/md/D22-TDAG31-C-0007/en" TargetMode="External"/><Relationship Id="rId31" Type="http://schemas.openxmlformats.org/officeDocument/2006/relationships/hyperlink" Target="https://www.itu.int/md/D22-TDAG32-C-0005/"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WGFHR20-C-0002/en" TargetMode="External"/><Relationship Id="rId22" Type="http://schemas.openxmlformats.org/officeDocument/2006/relationships/hyperlink" Target="https://www.itu.int/md/D22-TDAG32-C-0002/" TargetMode="External"/><Relationship Id="rId27" Type="http://schemas.openxmlformats.org/officeDocument/2006/relationships/hyperlink" Target="https://www.itu.int/wtdc" TargetMode="External"/><Relationship Id="rId30" Type="http://schemas.openxmlformats.org/officeDocument/2006/relationships/hyperlink" Target="https://www.itu.int/en/ITU-D/Projects/Pages/Portfolio.aspx" TargetMode="External"/><Relationship Id="rId35" Type="http://schemas.openxmlformats.org/officeDocument/2006/relationships/hyperlink" Target="https://www.itu.int/md/D22-TDAG32-C-0024/"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meetingdoc.asp?lang=en&amp;parent=S23-CWGFHR16-C-0010" TargetMode="External"/><Relationship Id="rId25" Type="http://schemas.openxmlformats.org/officeDocument/2006/relationships/hyperlink" Target="https://www.itu.int/dms_pub/itu-d/opb/tdc/D-TDC-WTDC-2022-PDF-C.pdf" TargetMode="External"/><Relationship Id="rId33" Type="http://schemas.openxmlformats.org/officeDocument/2006/relationships/hyperlink" Target="https://www.itu.int/md/meetingdoc.asp?lang=en&amp;parent=S23-CWGFHR16-C-0010" TargetMode="External"/><Relationship Id="rId38" Type="http://schemas.openxmlformats.org/officeDocument/2006/relationships/hyperlink" Target="https://www.itu.int/md/S25-CWGFHR20-C-0002/en" TargetMode="External"/><Relationship Id="rId20" Type="http://schemas.openxmlformats.org/officeDocument/2006/relationships/hyperlink" Target="https://www.itu.int/en/council/ties/Pages/regional-presence-dashboard.aspx" TargetMode="External"/><Relationship Id="rId41" Type="http://schemas.openxmlformats.org/officeDocument/2006/relationships/hyperlink" Target="https://www.itu.int/md/D22-TDAG32-C-002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D22-TDAG31-C-001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2.xml><?xml version="1.0" encoding="utf-8"?>
<ds:datastoreItem xmlns:ds="http://schemas.openxmlformats.org/officeDocument/2006/customXml" ds:itemID="{EBCF7319-4DA2-466E-9EAB-02C83397C7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981DB7-1D6E-4B17-BECB-2C8F41E558E7}"/>
</file>

<file path=customXml/itemProps4.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4578</Words>
  <Characters>3538</Characters>
  <Application>Microsoft Office Word</Application>
  <DocSecurity>0</DocSecurity>
  <Lines>29</Lines>
  <Paragraphs>16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Kong, Hongli</cp:lastModifiedBy>
  <cp:revision>8</cp:revision>
  <cp:lastPrinted>2014-11-04T09:22:00Z</cp:lastPrinted>
  <dcterms:created xsi:type="dcterms:W3CDTF">2025-05-07T08:30:00Z</dcterms:created>
  <dcterms:modified xsi:type="dcterms:W3CDTF">2025-05-07T10:06:00Z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