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6F410764" w14:textId="77777777" w:rsidTr="00AD1E92">
        <w:trPr>
          <w:cantSplit/>
          <w:trHeight w:val="1310"/>
          <w:jc w:val="center"/>
        </w:trPr>
        <w:tc>
          <w:tcPr>
            <w:tcW w:w="1699" w:type="dxa"/>
            <w:tcBorders>
              <w:bottom w:val="single" w:sz="12" w:space="0" w:color="auto"/>
            </w:tcBorders>
            <w:vAlign w:val="center"/>
          </w:tcPr>
          <w:p w14:paraId="709FFC42"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08FA2F63" wp14:editId="00F8921B">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449D6278"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64D75E0C"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353FE500"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5B09BE91" wp14:editId="1FE0B9B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3E690079" w14:textId="77777777" w:rsidTr="00AD1E92">
        <w:trPr>
          <w:cantSplit/>
          <w:jc w:val="center"/>
        </w:trPr>
        <w:tc>
          <w:tcPr>
            <w:tcW w:w="6660" w:type="dxa"/>
            <w:gridSpan w:val="2"/>
            <w:tcBorders>
              <w:top w:val="single" w:sz="12" w:space="0" w:color="auto"/>
            </w:tcBorders>
          </w:tcPr>
          <w:p w14:paraId="2CC571BA"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2DA8C3B7" w14:textId="77777777" w:rsidR="00CA08BA" w:rsidRPr="00C85CB5" w:rsidRDefault="00CA08BA" w:rsidP="00B93B7B">
            <w:pPr>
              <w:spacing w:before="20" w:after="20" w:line="300" w:lineRule="exact"/>
              <w:rPr>
                <w:b/>
                <w:bCs/>
                <w:highlight w:val="yellow"/>
                <w:rtl/>
                <w:lang w:bidi="ar-EG"/>
              </w:rPr>
            </w:pPr>
          </w:p>
        </w:tc>
      </w:tr>
      <w:tr w:rsidR="00783A69" w:rsidRPr="00783A69" w14:paraId="39F44023" w14:textId="77777777" w:rsidTr="00AD1E92">
        <w:trPr>
          <w:cantSplit/>
          <w:jc w:val="center"/>
        </w:trPr>
        <w:tc>
          <w:tcPr>
            <w:tcW w:w="6660" w:type="dxa"/>
            <w:gridSpan w:val="2"/>
          </w:tcPr>
          <w:p w14:paraId="5D43F640" w14:textId="77777777" w:rsidR="00783A69" w:rsidRPr="00783A69" w:rsidRDefault="00783A69" w:rsidP="00B93B7B">
            <w:pPr>
              <w:spacing w:before="20" w:after="20" w:line="300" w:lineRule="exact"/>
              <w:rPr>
                <w:b/>
                <w:bCs/>
                <w:rtl/>
                <w:lang w:bidi="ar-EG"/>
              </w:rPr>
            </w:pPr>
          </w:p>
        </w:tc>
        <w:tc>
          <w:tcPr>
            <w:tcW w:w="2979" w:type="dxa"/>
            <w:gridSpan w:val="2"/>
          </w:tcPr>
          <w:p w14:paraId="134ADC5B" w14:textId="55B7816A"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B153BF">
              <w:rPr>
                <w:b/>
                <w:bCs/>
                <w:lang w:bidi="ar-EG"/>
              </w:rPr>
              <w:t>24</w:t>
            </w:r>
            <w:r w:rsidRPr="00153471">
              <w:rPr>
                <w:b/>
                <w:bCs/>
                <w:lang w:bidi="ar-EG"/>
              </w:rPr>
              <w:t>-A</w:t>
            </w:r>
          </w:p>
        </w:tc>
      </w:tr>
      <w:tr w:rsidR="00783A69" w:rsidRPr="00783A69" w14:paraId="254E89CA" w14:textId="77777777" w:rsidTr="00AD1E92">
        <w:trPr>
          <w:cantSplit/>
          <w:jc w:val="center"/>
        </w:trPr>
        <w:tc>
          <w:tcPr>
            <w:tcW w:w="6660" w:type="dxa"/>
            <w:gridSpan w:val="2"/>
          </w:tcPr>
          <w:p w14:paraId="6A4D5794" w14:textId="77777777" w:rsidR="00783A69" w:rsidRPr="00783A69" w:rsidRDefault="00783A69" w:rsidP="00B93B7B">
            <w:pPr>
              <w:spacing w:before="20" w:after="20" w:line="300" w:lineRule="exact"/>
              <w:rPr>
                <w:b/>
                <w:bCs/>
              </w:rPr>
            </w:pPr>
          </w:p>
        </w:tc>
        <w:tc>
          <w:tcPr>
            <w:tcW w:w="2979" w:type="dxa"/>
            <w:gridSpan w:val="2"/>
          </w:tcPr>
          <w:p w14:paraId="3425B2F1" w14:textId="4E548FBE" w:rsidR="00783A69" w:rsidRPr="00C85CB5" w:rsidRDefault="00B153BF" w:rsidP="00B319BC">
            <w:pPr>
              <w:spacing w:before="20" w:after="20" w:line="300" w:lineRule="exact"/>
              <w:rPr>
                <w:b/>
                <w:bCs/>
                <w:highlight w:val="yellow"/>
                <w:rtl/>
              </w:rPr>
            </w:pPr>
            <w:r>
              <w:rPr>
                <w:b/>
                <w:bCs/>
                <w:lang w:bidi="ar-EG"/>
              </w:rPr>
              <w:t>1</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2551D2AF" w14:textId="77777777" w:rsidTr="00AD1E92">
        <w:trPr>
          <w:cantSplit/>
          <w:jc w:val="center"/>
        </w:trPr>
        <w:tc>
          <w:tcPr>
            <w:tcW w:w="6660" w:type="dxa"/>
            <w:gridSpan w:val="2"/>
          </w:tcPr>
          <w:p w14:paraId="5108D3BD" w14:textId="77777777" w:rsidR="00783A69" w:rsidRPr="00783A69" w:rsidRDefault="00783A69" w:rsidP="00B93B7B">
            <w:pPr>
              <w:spacing w:before="20" w:after="20" w:line="300" w:lineRule="exact"/>
              <w:rPr>
                <w:b/>
                <w:bCs/>
                <w:lang w:bidi="ar-EG"/>
              </w:rPr>
            </w:pPr>
          </w:p>
        </w:tc>
        <w:tc>
          <w:tcPr>
            <w:tcW w:w="2979" w:type="dxa"/>
            <w:gridSpan w:val="2"/>
          </w:tcPr>
          <w:p w14:paraId="5AAFCCD4"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25D07B0E" w14:textId="77777777" w:rsidTr="00EE5CF2">
        <w:trPr>
          <w:cantSplit/>
          <w:jc w:val="center"/>
        </w:trPr>
        <w:tc>
          <w:tcPr>
            <w:tcW w:w="9639" w:type="dxa"/>
            <w:gridSpan w:val="4"/>
          </w:tcPr>
          <w:p w14:paraId="4F0C4C1B" w14:textId="5D722E6F" w:rsidR="00783A69" w:rsidRPr="00783A69" w:rsidRDefault="00B153BF" w:rsidP="00B153BF">
            <w:pPr>
              <w:pStyle w:val="Source"/>
            </w:pPr>
            <w:r w:rsidRPr="00B153BF">
              <w:rPr>
                <w:rtl/>
                <w:lang w:bidi="ar-EG"/>
              </w:rPr>
              <w:t>مدير مكتب تنمية الاتصالات</w:t>
            </w:r>
          </w:p>
        </w:tc>
      </w:tr>
      <w:tr w:rsidR="00783A69" w:rsidRPr="00783A69" w14:paraId="06E77FD6" w14:textId="77777777" w:rsidTr="00EE5CF2">
        <w:trPr>
          <w:cantSplit/>
          <w:jc w:val="center"/>
        </w:trPr>
        <w:tc>
          <w:tcPr>
            <w:tcW w:w="9639" w:type="dxa"/>
            <w:gridSpan w:val="4"/>
          </w:tcPr>
          <w:p w14:paraId="4A0D9A5B" w14:textId="6802A7A3" w:rsidR="00783A69" w:rsidRPr="00B153BF" w:rsidRDefault="00B153BF" w:rsidP="00B153BF">
            <w:pPr>
              <w:pStyle w:val="Title1"/>
            </w:pPr>
            <w:r>
              <w:rPr>
                <w:rFonts w:hint="cs"/>
                <w:rtl/>
                <w:lang w:bidi="ar-EG"/>
              </w:rPr>
              <w:t xml:space="preserve">تقوية الحضور الإقليمي - </w:t>
            </w:r>
            <w:r w:rsidR="003C46BC">
              <w:rPr>
                <w:rtl/>
                <w:lang w:bidi="ar-EG"/>
              </w:rPr>
              <w:br/>
            </w:r>
            <w:r>
              <w:rPr>
                <w:rFonts w:hint="cs"/>
                <w:rtl/>
                <w:lang w:bidi="ar-EG"/>
              </w:rPr>
              <w:t>معايير إنشاء مكاتب إقليمية ومكاتب مناطق في المستقبل</w:t>
            </w:r>
          </w:p>
        </w:tc>
      </w:tr>
    </w:tbl>
    <w:p w14:paraId="7A1FE1FF"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3D88B45D"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342DE8C0"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046E3FE" w14:textId="12501563" w:rsidR="00783A69" w:rsidRPr="00B153BF" w:rsidRDefault="00B153BF" w:rsidP="00B153BF">
            <w:pPr>
              <w:rPr>
                <w:rtl/>
              </w:rPr>
            </w:pPr>
            <w:r w:rsidRPr="00B153BF">
              <w:rPr>
                <w:rtl/>
              </w:rPr>
              <w:t>تقدم هذه الوثيقة تقريراً عن التدابير التي نفذتها الأمانة لتقوية الحضور الإقليمي للاتحاد، وفقاً للخطة الاستراتيجية للاتحاد وكذلك لخطة عمل كيغالي. وتوجز الوثيقة المناقشات التي جرت بشأن معايير إنشاء مكاتب إقليمية ومكاتب مناطق في</w:t>
            </w:r>
            <w:r>
              <w:rPr>
                <w:rFonts w:hint="cs"/>
                <w:rtl/>
              </w:rPr>
              <w:t> </w:t>
            </w:r>
            <w:r w:rsidRPr="00B153BF">
              <w:rPr>
                <w:rtl/>
              </w:rPr>
              <w:t>المستقبل، وتستهدف مساعدة الفريق الاستشاري لتنمية الاتصالات (</w:t>
            </w:r>
            <w:r w:rsidRPr="00B153BF">
              <w:t>TDAG</w:t>
            </w:r>
            <w:r w:rsidRPr="00B153BF">
              <w:rPr>
                <w:rtl/>
              </w:rPr>
              <w:t>) في إبداء آرائه بشأن هذا الموضوع.</w:t>
            </w:r>
            <w:r w:rsidRPr="00B153BF">
              <w:rPr>
                <w:cs/>
              </w:rPr>
              <w:t>‎</w:t>
            </w:r>
          </w:p>
          <w:p w14:paraId="1AA563BD"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55FC67C6" w14:textId="5F369019" w:rsidR="00B153BF" w:rsidRDefault="00B153BF" w:rsidP="004F0F62">
            <w:pPr>
              <w:rPr>
                <w:color w:val="000000"/>
                <w:lang w:bidi="ar-EG"/>
              </w:rPr>
            </w:pPr>
            <w:r>
              <w:rPr>
                <w:rFonts w:hint="cs"/>
                <w:rtl/>
                <w:lang w:bidi="ar-EG"/>
              </w:rPr>
              <w:t xml:space="preserve">يُدعى </w:t>
            </w:r>
            <w:r w:rsidRPr="00E5427D">
              <w:rPr>
                <w:rtl/>
                <w:lang w:bidi="ar-SY"/>
              </w:rPr>
              <w:t>الفريق الاستشاري لتنمية الاتصالات</w:t>
            </w:r>
            <w:r>
              <w:rPr>
                <w:rFonts w:hint="cs"/>
                <w:rtl/>
                <w:lang w:bidi="ar-SY"/>
              </w:rPr>
              <w:t xml:space="preserve"> إلى الإحاطة علماً بهذه الوثيقة وتقديم </w:t>
            </w:r>
            <w:r w:rsidRPr="0076392F">
              <w:rPr>
                <w:rFonts w:hint="cs"/>
                <w:rtl/>
                <w:lang w:bidi="ar-SY"/>
              </w:rPr>
              <w:t>التوجيه حسبما يرتئيه مناسباً</w:t>
            </w:r>
            <w:r w:rsidR="003C46BC">
              <w:rPr>
                <w:rFonts w:hint="cs"/>
                <w:rtl/>
                <w:lang w:bidi="ar-EG"/>
              </w:rPr>
              <w:t>.</w:t>
            </w:r>
          </w:p>
          <w:p w14:paraId="73A3AFD0"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104A77C3" w14:textId="49F8F9AC" w:rsidR="00B153BF" w:rsidRDefault="00B153BF" w:rsidP="00B153BF">
            <w:pPr>
              <w:pStyle w:val="enumlev1"/>
              <w:rPr>
                <w:rtl/>
              </w:rPr>
            </w:pPr>
            <w:r>
              <w:rPr>
                <w:rFonts w:hint="cs"/>
                <w:rtl/>
              </w:rPr>
              <w:t>-</w:t>
            </w:r>
            <w:r>
              <w:rPr>
                <w:rtl/>
              </w:rPr>
              <w:tab/>
            </w:r>
            <w:hyperlink r:id="rId10" w:history="1">
              <w:r w:rsidRPr="00B153BF">
                <w:rPr>
                  <w:rStyle w:val="Hyperlink"/>
                  <w:rFonts w:hint="cs"/>
                  <w:rtl/>
                </w:rPr>
                <w:t>القرار 25 (المراجَع في بوخارست، 2022)</w:t>
              </w:r>
            </w:hyperlink>
            <w:r>
              <w:rPr>
                <w:rFonts w:hint="cs"/>
                <w:rtl/>
              </w:rPr>
              <w:t xml:space="preserve"> الصادر عن مؤتمر المندوبين المفوضين</w:t>
            </w:r>
          </w:p>
          <w:p w14:paraId="13E13D59" w14:textId="3B25D208" w:rsidR="00B153BF" w:rsidRDefault="00B153BF" w:rsidP="00B153BF">
            <w:pPr>
              <w:pStyle w:val="enumlev1"/>
              <w:rPr>
                <w:rtl/>
              </w:rPr>
            </w:pPr>
            <w:r>
              <w:rPr>
                <w:rFonts w:hint="cs"/>
                <w:rtl/>
              </w:rPr>
              <w:t>-</w:t>
            </w:r>
            <w:r>
              <w:rPr>
                <w:rtl/>
              </w:rPr>
              <w:tab/>
            </w:r>
            <w:r w:rsidR="003C46BC">
              <w:rPr>
                <w:rFonts w:hint="cs"/>
                <w:rtl/>
              </w:rPr>
              <w:t xml:space="preserve">وثائق </w:t>
            </w:r>
            <w:r>
              <w:rPr>
                <w:rFonts w:hint="cs"/>
                <w:rtl/>
              </w:rPr>
              <w:t xml:space="preserve">المجلس </w:t>
            </w:r>
            <w:hyperlink r:id="rId11" w:history="1">
              <w:r w:rsidRPr="00720496">
                <w:rPr>
                  <w:rStyle w:val="Hyperlink"/>
                  <w:szCs w:val="24"/>
                </w:rPr>
                <w:t>C24/79</w:t>
              </w:r>
            </w:hyperlink>
            <w:r>
              <w:rPr>
                <w:rFonts w:hint="cs"/>
                <w:rtl/>
              </w:rPr>
              <w:t xml:space="preserve"> و</w:t>
            </w:r>
            <w:hyperlink r:id="rId12" w:history="1">
              <w:r w:rsidRPr="00720496">
                <w:rPr>
                  <w:rStyle w:val="Hyperlink"/>
                  <w:szCs w:val="24"/>
                </w:rPr>
                <w:t>C24/98</w:t>
              </w:r>
            </w:hyperlink>
            <w:r>
              <w:rPr>
                <w:rFonts w:hint="cs"/>
                <w:rtl/>
              </w:rPr>
              <w:t xml:space="preserve"> و</w:t>
            </w:r>
            <w:hyperlink r:id="rId13" w:history="1">
              <w:r w:rsidRPr="00720496">
                <w:rPr>
                  <w:rStyle w:val="Hyperlink"/>
                  <w:szCs w:val="24"/>
                </w:rPr>
                <w:t>C24/25</w:t>
              </w:r>
            </w:hyperlink>
          </w:p>
          <w:p w14:paraId="42FB3A13" w14:textId="16E56E3A" w:rsidR="00B153BF" w:rsidRDefault="00B153BF" w:rsidP="00B153BF">
            <w:pPr>
              <w:pStyle w:val="enumlev1"/>
              <w:rPr>
                <w:rtl/>
              </w:rPr>
            </w:pPr>
            <w:r>
              <w:rPr>
                <w:rFonts w:hint="cs"/>
                <w:rtl/>
              </w:rPr>
              <w:t>-</w:t>
            </w:r>
            <w:r>
              <w:rPr>
                <w:rtl/>
              </w:rPr>
              <w:tab/>
            </w:r>
            <w:hyperlink r:id="rId14" w:history="1">
              <w:r w:rsidRPr="00220628">
                <w:rPr>
                  <w:rStyle w:val="Hyperlink"/>
                </w:rPr>
                <w:t>CWG-FHR-20/2</w:t>
              </w:r>
            </w:hyperlink>
            <w:r>
              <w:rPr>
                <w:rFonts w:hint="cs"/>
                <w:rtl/>
              </w:rPr>
              <w:t xml:space="preserve"> و</w:t>
            </w:r>
            <w:hyperlink r:id="rId15" w:history="1">
              <w:r w:rsidRPr="00220628">
                <w:rPr>
                  <w:rStyle w:val="Hyperlink"/>
                </w:rPr>
                <w:t>CWG-FHR-20/DT/1</w:t>
              </w:r>
            </w:hyperlink>
          </w:p>
          <w:p w14:paraId="3AEFD454" w14:textId="57BA9712" w:rsidR="00B153BF" w:rsidRPr="00245187" w:rsidRDefault="00B153BF" w:rsidP="00B153BF">
            <w:pPr>
              <w:pStyle w:val="enumlev1"/>
              <w:rPr>
                <w:rtl/>
              </w:rPr>
            </w:pPr>
            <w:r>
              <w:rPr>
                <w:rFonts w:hint="cs"/>
                <w:rtl/>
              </w:rPr>
              <w:t>-</w:t>
            </w:r>
            <w:r>
              <w:rPr>
                <w:rtl/>
              </w:rPr>
              <w:tab/>
            </w:r>
            <w:hyperlink r:id="rId16" w:history="1">
              <w:r w:rsidRPr="00BC7315">
                <w:rPr>
                  <w:rStyle w:val="Hyperlink"/>
                </w:rPr>
                <w:t>CWG-FHR-16/10</w:t>
              </w:r>
            </w:hyperlink>
            <w:r>
              <w:rPr>
                <w:rFonts w:hint="cs"/>
                <w:rtl/>
              </w:rPr>
              <w:t xml:space="preserve"> و</w:t>
            </w:r>
            <w:hyperlink r:id="rId17" w:history="1">
              <w:r w:rsidRPr="0064605C">
                <w:rPr>
                  <w:rStyle w:val="Hyperlink"/>
                </w:rPr>
                <w:t>CWG-FHR-16/24(Rev.1)</w:t>
              </w:r>
            </w:hyperlink>
          </w:p>
          <w:p w14:paraId="699CC043" w14:textId="004E525E" w:rsidR="00783A69" w:rsidRPr="00153471" w:rsidRDefault="00B153BF" w:rsidP="00B153BF">
            <w:pPr>
              <w:pStyle w:val="enumlev1"/>
              <w:rPr>
                <w:rtl/>
              </w:rPr>
            </w:pPr>
            <w:r>
              <w:rPr>
                <w:rFonts w:hint="cs"/>
                <w:rtl/>
              </w:rPr>
              <w:t>-</w:t>
            </w:r>
            <w:r>
              <w:rPr>
                <w:rtl/>
              </w:rPr>
              <w:tab/>
            </w:r>
            <w:r w:rsidR="003C46BC">
              <w:rPr>
                <w:rFonts w:hint="cs"/>
                <w:rtl/>
              </w:rPr>
              <w:t>الوثيقتان</w:t>
            </w:r>
            <w:r w:rsidR="003C46BC">
              <w:rPr>
                <w:rFonts w:hint="cs"/>
                <w:rtl/>
              </w:rPr>
              <w:t xml:space="preserve"> </w:t>
            </w:r>
            <w:hyperlink r:id="rId18" w:history="1">
              <w:r w:rsidRPr="00720496">
                <w:rPr>
                  <w:rStyle w:val="Hyperlink"/>
                  <w:szCs w:val="24"/>
                </w:rPr>
                <w:t>TDAG-24/7(Rev.1)</w:t>
              </w:r>
            </w:hyperlink>
            <w:r>
              <w:rPr>
                <w:rFonts w:hint="cs"/>
                <w:rtl/>
              </w:rPr>
              <w:t xml:space="preserve"> و</w:t>
            </w:r>
            <w:hyperlink r:id="rId19" w:history="1">
              <w:r w:rsidRPr="00720496">
                <w:rPr>
                  <w:rStyle w:val="Hyperlink"/>
                  <w:szCs w:val="24"/>
                </w:rPr>
                <w:t>TDAG-24/12</w:t>
              </w:r>
            </w:hyperlink>
          </w:p>
        </w:tc>
      </w:tr>
    </w:tbl>
    <w:p w14:paraId="2B5A5C79" w14:textId="77777777" w:rsidR="00B153BF" w:rsidRDefault="00B153BF" w:rsidP="00B153BF">
      <w:pPr>
        <w:rPr>
          <w:rtl/>
          <w:lang w:bidi="ar-EG"/>
        </w:rPr>
      </w:pPr>
    </w:p>
    <w:p w14:paraId="407C2E73" w14:textId="4985C16D" w:rsidR="00882A17" w:rsidRDefault="00882A17" w:rsidP="00B153BF">
      <w:pPr>
        <w:tabs>
          <w:tab w:val="clear" w:pos="794"/>
        </w:tabs>
        <w:bidi w:val="0"/>
        <w:spacing w:before="0" w:after="160" w:line="259" w:lineRule="auto"/>
        <w:jc w:val="left"/>
        <w:rPr>
          <w:lang w:bidi="ar-EG"/>
        </w:rPr>
      </w:pPr>
      <w:r>
        <w:rPr>
          <w:rtl/>
          <w:lang w:bidi="ar-EG"/>
        </w:rPr>
        <w:br w:type="page"/>
      </w:r>
    </w:p>
    <w:p w14:paraId="4A0D2AEF" w14:textId="78D229F4" w:rsidR="00B153BF" w:rsidRDefault="00B153BF" w:rsidP="00B153BF">
      <w:pPr>
        <w:rPr>
          <w:rtl/>
          <w:lang w:bidi="ar-EG"/>
        </w:rPr>
      </w:pPr>
      <w:r>
        <w:rPr>
          <w:rtl/>
          <w:lang w:bidi="ar-EG"/>
        </w:rPr>
        <w:lastRenderedPageBreak/>
        <w:t>‏ما برح الاتحاد الدولي للاتصالات (</w:t>
      </w:r>
      <w:r>
        <w:rPr>
          <w:lang w:bidi="ar-EG"/>
        </w:rPr>
        <w:t>ITU</w:t>
      </w:r>
      <w:r>
        <w:rPr>
          <w:rtl/>
          <w:lang w:bidi="ar-EG"/>
        </w:rPr>
        <w:t xml:space="preserve">) يدأب في تعزيز حضوره الإقليمي هادفاً من ذلك إلى توطيد تقديم الدعم إلى الدول الأعضاء في الوقت المناسب تقديماً فعالاً ومؤثراً بما ينفذه من مشاريع وغيرها من أنشطة الخطة التشغيلية. وفي هذا الصدد، تُحدَّث بانتظام </w:t>
      </w:r>
      <w:hyperlink r:id="rId20" w:history="1">
        <w:r w:rsidRPr="0047488C">
          <w:rPr>
            <w:rStyle w:val="Hyperlink"/>
            <w:rtl/>
            <w:lang w:bidi="ar-EG"/>
          </w:rPr>
          <w:t>لوحة معلومات الحضور الإقليمي</w:t>
        </w:r>
      </w:hyperlink>
      <w:r>
        <w:rPr>
          <w:rtl/>
          <w:lang w:bidi="ar-EG"/>
        </w:rPr>
        <w:t xml:space="preserve"> التي تتتبّع تنفيذ الأولويات المحددة لتقوية هذا الحضور. وتشمل اللوحة تنفيذ توصيات مؤسسة </w:t>
      </w:r>
      <w:r>
        <w:rPr>
          <w:lang w:bidi="ar-EG"/>
        </w:rPr>
        <w:t>PwC</w:t>
      </w:r>
      <w:r>
        <w:rPr>
          <w:rtl/>
          <w:lang w:bidi="ar-EG"/>
        </w:rPr>
        <w:t xml:space="preserve"> والتوصيات المتعلقة بالمراجعة الصادرة عن كل من وحدة المراجعة الداخلية واللجنة الاستشارية المستقلة للإدارة</w:t>
      </w:r>
      <w:r w:rsidR="0047488C">
        <w:rPr>
          <w:rFonts w:hint="cs"/>
          <w:rtl/>
          <w:lang w:bidi="ar-EG"/>
        </w:rPr>
        <w:t> </w:t>
      </w:r>
      <w:r>
        <w:rPr>
          <w:rtl/>
          <w:lang w:bidi="ar-EG"/>
        </w:rPr>
        <w:t>(</w:t>
      </w:r>
      <w:r>
        <w:rPr>
          <w:lang w:bidi="ar-EG"/>
        </w:rPr>
        <w:t>IM</w:t>
      </w:r>
      <w:r w:rsidR="003C46BC">
        <w:rPr>
          <w:lang w:bidi="ar-EG"/>
        </w:rPr>
        <w:t>AC</w:t>
      </w:r>
      <w:r>
        <w:rPr>
          <w:rtl/>
          <w:lang w:bidi="ar-EG"/>
        </w:rPr>
        <w:t>)، فضلاً عن الإجراءات التي تتخذها الأمانة لتقوية الحضور الإقليمي.</w:t>
      </w:r>
      <w:r>
        <w:rPr>
          <w:cs/>
          <w:lang w:bidi="ar-EG"/>
        </w:rPr>
        <w:t>‎</w:t>
      </w:r>
    </w:p>
    <w:p w14:paraId="7634DE20" w14:textId="68ADC7E3" w:rsidR="00B153BF" w:rsidRPr="003C46BC" w:rsidRDefault="00B153BF" w:rsidP="00B153BF">
      <w:pPr>
        <w:rPr>
          <w:spacing w:val="-4"/>
          <w:rtl/>
          <w:lang w:bidi="ar-EG"/>
        </w:rPr>
      </w:pPr>
      <w:r w:rsidRPr="003C46BC">
        <w:rPr>
          <w:spacing w:val="-4"/>
          <w:rtl/>
          <w:lang w:bidi="ar-EG"/>
        </w:rPr>
        <w:t xml:space="preserve">‏وقد اجتذبت التدخلات المنفذة، حسنة التخطيط، التمويل الخارج عن الميزانية من الجهات المانحة لتنفيذ مشاريع، بما في ذلك المبادرات الإقليمية. وتواصل المكاتب الإقليمية الاضطلاع بدور حاسم في هذا السياق بوصفها واجهة الاتحاد في عمله مع أصحاب المصلحة المحليين والحكومات. ويمكن الاطلاع على تقرير مفصل عن تنفيذ المبادرات الإقليمية في </w:t>
      </w:r>
      <w:r w:rsidR="003C46BC" w:rsidRPr="003C46BC">
        <w:rPr>
          <w:rFonts w:hint="cs"/>
          <w:spacing w:val="-4"/>
          <w:rtl/>
          <w:lang w:bidi="ar-EG"/>
        </w:rPr>
        <w:t>الوثيقة</w:t>
      </w:r>
      <w:r w:rsidRPr="003C46BC">
        <w:rPr>
          <w:spacing w:val="-4"/>
          <w:rtl/>
          <w:lang w:bidi="ar-EG"/>
        </w:rPr>
        <w:t xml:space="preserve"> </w:t>
      </w:r>
      <w:r w:rsidRPr="003C46BC">
        <w:rPr>
          <w:spacing w:val="-4"/>
          <w:cs/>
          <w:lang w:bidi="ar-EG"/>
        </w:rPr>
        <w:t>‎</w:t>
      </w:r>
      <w:hyperlink r:id="rId21" w:history="1">
        <w:r w:rsidRPr="003C46BC">
          <w:rPr>
            <w:rStyle w:val="Hyperlink"/>
            <w:spacing w:val="-4"/>
            <w:lang w:bidi="ar-EG"/>
          </w:rPr>
          <w:t>TDAG-25/3</w:t>
        </w:r>
      </w:hyperlink>
      <w:r w:rsidRPr="003C46BC">
        <w:rPr>
          <w:spacing w:val="-4"/>
          <w:rtl/>
          <w:lang w:bidi="ar-EG"/>
        </w:rPr>
        <w:t xml:space="preserve">‏، التي تتضمن ملحقاً يربط بين المشاريع، والمبادرات الإقليمية. وترد أدناه بعض الأمثلة البارزة للأثر الإيجابي للتدابير المحددة التي اتُّخذت لتقوية الحضور الإقليمي فيما بين عامي </w:t>
      </w:r>
      <w:r w:rsidRPr="003C46BC">
        <w:rPr>
          <w:spacing w:val="-4"/>
          <w:cs/>
          <w:lang w:bidi="ar-EG"/>
        </w:rPr>
        <w:t>‎</w:t>
      </w:r>
      <w:r w:rsidRPr="003C46BC">
        <w:rPr>
          <w:spacing w:val="-4"/>
          <w:lang w:bidi="ar-EG"/>
        </w:rPr>
        <w:t>2023</w:t>
      </w:r>
      <w:r w:rsidRPr="003C46BC">
        <w:rPr>
          <w:spacing w:val="-4"/>
          <w:rtl/>
          <w:lang w:bidi="ar-EG"/>
        </w:rPr>
        <w:t xml:space="preserve"> ‏و</w:t>
      </w:r>
      <w:r w:rsidRPr="003C46BC">
        <w:rPr>
          <w:spacing w:val="-4"/>
          <w:cs/>
          <w:lang w:bidi="ar-EG"/>
        </w:rPr>
        <w:t>‎</w:t>
      </w:r>
      <w:r w:rsidRPr="003C46BC">
        <w:rPr>
          <w:spacing w:val="-4"/>
          <w:lang w:bidi="ar-EG"/>
        </w:rPr>
        <w:t>2025</w:t>
      </w:r>
      <w:r w:rsidRPr="003C46BC">
        <w:rPr>
          <w:spacing w:val="-4"/>
          <w:rtl/>
          <w:lang w:bidi="ar-EG"/>
        </w:rPr>
        <w:t xml:space="preserve"> (تقدم الوثيقتان </w:t>
      </w:r>
      <w:hyperlink r:id="rId22" w:history="1">
        <w:r w:rsidRPr="003C46BC">
          <w:rPr>
            <w:rStyle w:val="Hyperlink"/>
            <w:spacing w:val="-4"/>
            <w:lang w:bidi="ar-EG"/>
          </w:rPr>
          <w:t>TDAG-25/2</w:t>
        </w:r>
      </w:hyperlink>
      <w:r w:rsidRPr="003C46BC">
        <w:rPr>
          <w:spacing w:val="-4"/>
          <w:rtl/>
          <w:lang w:bidi="ar-EG"/>
        </w:rPr>
        <w:t>‏</w:t>
      </w:r>
      <w:r w:rsidR="00D02454" w:rsidRPr="003C46BC">
        <w:rPr>
          <w:rFonts w:hint="cs"/>
          <w:spacing w:val="-4"/>
          <w:rtl/>
          <w:lang w:bidi="ar-EG"/>
        </w:rPr>
        <w:t xml:space="preserve"> </w:t>
      </w:r>
      <w:r w:rsidRPr="003C46BC">
        <w:rPr>
          <w:spacing w:val="-4"/>
          <w:rtl/>
          <w:lang w:bidi="ar-EG"/>
        </w:rPr>
        <w:t>و</w:t>
      </w:r>
      <w:r w:rsidRPr="003C46BC">
        <w:rPr>
          <w:spacing w:val="-4"/>
          <w:cs/>
          <w:lang w:bidi="ar-EG"/>
        </w:rPr>
        <w:t>‎</w:t>
      </w:r>
      <w:hyperlink r:id="rId23" w:history="1">
        <w:r w:rsidRPr="003C46BC">
          <w:rPr>
            <w:rStyle w:val="Hyperlink"/>
            <w:spacing w:val="-4"/>
            <w:lang w:bidi="ar-EG"/>
          </w:rPr>
          <w:t>TDAG-25/3</w:t>
        </w:r>
      </w:hyperlink>
      <w:r w:rsidRPr="003C46BC">
        <w:rPr>
          <w:spacing w:val="-4"/>
          <w:rtl/>
          <w:lang w:bidi="ar-EG"/>
        </w:rPr>
        <w:t>‏ معلومات تفصيلية):</w:t>
      </w:r>
      <w:r w:rsidRPr="003C46BC">
        <w:rPr>
          <w:spacing w:val="-4"/>
          <w:cs/>
          <w:lang w:bidi="ar-EG"/>
        </w:rPr>
        <w:t>‎</w:t>
      </w:r>
    </w:p>
    <w:p w14:paraId="653A6084" w14:textId="791F3552" w:rsidR="00B153BF" w:rsidRDefault="00B153BF" w:rsidP="00B153BF">
      <w:pPr>
        <w:pStyle w:val="Heading1"/>
        <w:rPr>
          <w:rtl/>
          <w:lang w:bidi="ar-EG"/>
        </w:rPr>
      </w:pPr>
      <w:r>
        <w:rPr>
          <w:rFonts w:hint="cs"/>
          <w:rtl/>
          <w:lang w:bidi="ar-EG"/>
        </w:rPr>
        <w:t>1</w:t>
      </w:r>
      <w:r>
        <w:rPr>
          <w:rtl/>
          <w:lang w:bidi="ar-EG"/>
        </w:rPr>
        <w:tab/>
        <w:t>مشاركة الأعضاء وتنفيذ المشاريع والخطط التشغيلية</w:t>
      </w:r>
      <w:r>
        <w:rPr>
          <w:cs/>
          <w:lang w:bidi="ar-EG"/>
        </w:rPr>
        <w:t>‎</w:t>
      </w:r>
    </w:p>
    <w:p w14:paraId="0B95A191" w14:textId="77777777" w:rsidR="00B153BF" w:rsidRDefault="00B153BF" w:rsidP="00B153BF">
      <w:pPr>
        <w:rPr>
          <w:rtl/>
          <w:lang w:bidi="ar-EG"/>
        </w:rPr>
      </w:pPr>
      <w:r>
        <w:rPr>
          <w:rtl/>
          <w:lang w:bidi="ar-EG"/>
        </w:rPr>
        <w:t>‏إن فعالية الأنشطة الإقليمية التي يضطلع بها الاتحاد تسهم إسهاماً بالغاً في تحقيق رسالته العالمية توصيل العالم وتعزيز التحول الرقمي المستدام. والهدف الاستراتيجي من هذه الجهود ضمان إدامة وفاء الاتحاد بالاحتياجات سريعة التطور للاقتصادات والمجتمعات الرقمية في جميع أنحاء العالم.</w:t>
      </w:r>
      <w:r>
        <w:rPr>
          <w:cs/>
          <w:lang w:bidi="ar-EG"/>
        </w:rPr>
        <w:t>‎</w:t>
      </w:r>
    </w:p>
    <w:p w14:paraId="0663E396" w14:textId="67764BA7" w:rsidR="00B153BF" w:rsidRDefault="00587C70" w:rsidP="00C7273D">
      <w:pPr>
        <w:rPr>
          <w:rtl/>
        </w:rPr>
      </w:pPr>
      <w:r>
        <w:t>1.1</w:t>
      </w:r>
      <w:r w:rsidR="00B153BF">
        <w:rPr>
          <w:rtl/>
        </w:rPr>
        <w:tab/>
        <w:t xml:space="preserve">وتتفق </w:t>
      </w:r>
      <w:r w:rsidR="00B153BF" w:rsidRPr="00D02454">
        <w:rPr>
          <w:b/>
          <w:bCs/>
          <w:rtl/>
        </w:rPr>
        <w:t>الخطة التشغيلية لقطاع تنمية الاتصالات (</w:t>
      </w:r>
      <w:r w:rsidR="00B153BF" w:rsidRPr="00D02454">
        <w:rPr>
          <w:b/>
          <w:bCs/>
        </w:rPr>
        <w:t>ITU-D</w:t>
      </w:r>
      <w:r w:rsidR="00B153BF" w:rsidRPr="00D02454">
        <w:rPr>
          <w:b/>
          <w:bCs/>
          <w:rtl/>
        </w:rPr>
        <w:t>)</w:t>
      </w:r>
      <w:r w:rsidR="00D02454">
        <w:rPr>
          <w:rStyle w:val="FootnoteReference"/>
          <w:rtl/>
        </w:rPr>
        <w:footnoteReference w:id="1"/>
      </w:r>
      <w:r w:rsidR="00B153BF">
        <w:rPr>
          <w:rtl/>
        </w:rPr>
        <w:t xml:space="preserve"> مع هيكل الخطة الاستراتيجية للاتحاد للفترة</w:t>
      </w:r>
      <w:r w:rsidR="00CE521B">
        <w:rPr>
          <w:rFonts w:hint="cs"/>
          <w:rtl/>
        </w:rPr>
        <w:t> </w:t>
      </w:r>
      <w:r w:rsidR="00B153BF">
        <w:rPr>
          <w:cs/>
        </w:rPr>
        <w:t>‎</w:t>
      </w:r>
      <w:r w:rsidR="00B153BF">
        <w:t>2027</w:t>
      </w:r>
      <w:r w:rsidR="00D02454">
        <w:noBreakHyphen/>
      </w:r>
      <w:r w:rsidR="00B153BF">
        <w:t>2024</w:t>
      </w:r>
      <w:r w:rsidR="00B153BF">
        <w:rPr>
          <w:rtl/>
        </w:rPr>
        <w:t>‏. ويتَّبع هذا الهيكل خطة عمل كيغالي (</w:t>
      </w:r>
      <w:r w:rsidR="00B153BF">
        <w:rPr>
          <w:cs/>
        </w:rPr>
        <w:t>‎</w:t>
      </w:r>
      <w:r w:rsidR="00B153BF">
        <w:t>KAP</w:t>
      </w:r>
      <w:r w:rsidR="00B153BF">
        <w:rPr>
          <w:rtl/>
        </w:rPr>
        <w:t xml:space="preserve">)، حيث يحدد أولويات قطاع تنمية الاتصالات والعوامل التمكينية له، وما يتعلق بهما من نتائج ومنتجات وخدمات فضلاً عن مؤشرات الأداء اللازمة لقياس مستوى تحقيقها الناتج عن أنشطة القطاع. وينفَّذ حالياً ما مجموعه </w:t>
      </w:r>
      <w:proofErr w:type="gramStart"/>
      <w:r w:rsidR="00B153BF">
        <w:rPr>
          <w:rtl/>
        </w:rPr>
        <w:t>مائة</w:t>
      </w:r>
      <w:proofErr w:type="gramEnd"/>
      <w:r w:rsidR="00B153BF">
        <w:rPr>
          <w:rtl/>
        </w:rPr>
        <w:t xml:space="preserve"> </w:t>
      </w:r>
      <w:r w:rsidR="00CE521B">
        <w:rPr>
          <w:rFonts w:hint="cs"/>
          <w:rtl/>
        </w:rPr>
        <w:t>واثنان</w:t>
      </w:r>
      <w:r w:rsidR="00B153BF">
        <w:rPr>
          <w:rtl/>
        </w:rPr>
        <w:t xml:space="preserve"> و</w:t>
      </w:r>
      <w:r w:rsidR="00CE521B">
        <w:rPr>
          <w:rFonts w:hint="cs"/>
          <w:rtl/>
        </w:rPr>
        <w:t xml:space="preserve">عشرون </w:t>
      </w:r>
      <w:r w:rsidR="00B153BF">
        <w:rPr>
          <w:rtl/>
        </w:rPr>
        <w:t>(</w:t>
      </w:r>
      <w:r w:rsidR="00B153BF">
        <w:rPr>
          <w:cs/>
        </w:rPr>
        <w:t>‎</w:t>
      </w:r>
      <w:r w:rsidR="00CE521B">
        <w:rPr>
          <w:rFonts w:hint="cs"/>
          <w:rtl/>
        </w:rPr>
        <w:t>122</w:t>
      </w:r>
      <w:r w:rsidR="00B153BF">
        <w:rPr>
          <w:rtl/>
        </w:rPr>
        <w:t>) ‏نشاطاً على الصعيد العالمي وفي شتى المناطق. ولتعزيز عملية التنفيذ، يُسعى إلى تحقيق التآزر فيما بين النواتج الإقليمية، وكذلك بين المبادرات الإقليمية والمبادرات العالمية، بالتعاون مع مكتبي الاتحاد الآخرين والأمانة العامة.</w:t>
      </w:r>
      <w:r w:rsidR="00B153BF">
        <w:rPr>
          <w:cs/>
        </w:rPr>
        <w:t>‎</w:t>
      </w:r>
    </w:p>
    <w:p w14:paraId="411EB5E7" w14:textId="1F9BED4F" w:rsidR="00B153BF" w:rsidRDefault="00587C70" w:rsidP="00C7273D">
      <w:pPr>
        <w:rPr>
          <w:rtl/>
        </w:rPr>
      </w:pPr>
      <w:r>
        <w:t>2.1</w:t>
      </w:r>
      <w:r w:rsidR="00B153BF">
        <w:rPr>
          <w:rtl/>
        </w:rPr>
        <w:tab/>
      </w:r>
      <w:r w:rsidR="00B153BF" w:rsidRPr="00D02454">
        <w:rPr>
          <w:b/>
          <w:bCs/>
          <w:rtl/>
        </w:rPr>
        <w:t>تنسيق التخطيط بشأن الخطط التشغيلية والمشاريع</w:t>
      </w:r>
      <w:r w:rsidR="00B153BF">
        <w:rPr>
          <w:rtl/>
        </w:rPr>
        <w:t xml:space="preserve">: لا تزال المكاتب الإقليمية ومكاتب المناطق التابعتان للاتحاد تعمل عن كثب مع المقر الرئيسي في تحديد الخطط التشغيلية وتنفيذها ورصد تنفيذها، وكذلك في تصميم مشاريع المساعدة التقنية داخل مناطق كل منها وتنفيذ هذه المشاريع ورصده. ويشمل ذلك تقديم منتجات وخدمات قطاع تنمية الاتصالات إلى الدول الأعضاء، فضلاً عن تلبية الاحتياجات الخاصة بكل من البلدان، وفقاً </w:t>
      </w:r>
      <w:hyperlink r:id="rId24" w:history="1">
        <w:r w:rsidR="00B153BF" w:rsidRPr="00D02454">
          <w:rPr>
            <w:rStyle w:val="Hyperlink"/>
            <w:rtl/>
          </w:rPr>
          <w:t>لأولوي</w:t>
        </w:r>
        <w:r w:rsidR="00B153BF" w:rsidRPr="00D02454">
          <w:rPr>
            <w:rStyle w:val="Hyperlink"/>
            <w:rtl/>
          </w:rPr>
          <w:t>ا</w:t>
        </w:r>
        <w:r w:rsidR="00B153BF" w:rsidRPr="00D02454">
          <w:rPr>
            <w:rStyle w:val="Hyperlink"/>
            <w:rtl/>
          </w:rPr>
          <w:t>ت قطاع تنمية الاتصالات والعوامل التمكينية له ومبادراته الإقليمية</w:t>
        </w:r>
      </w:hyperlink>
      <w:r w:rsidR="00B153BF">
        <w:rPr>
          <w:rtl/>
        </w:rPr>
        <w:t>، المعتمدة في المؤتمر العالمي لتنمية الاتصالات لعام</w:t>
      </w:r>
      <w:r w:rsidR="00C7273D">
        <w:rPr>
          <w:rFonts w:hint="cs"/>
          <w:rtl/>
        </w:rPr>
        <w:t> </w:t>
      </w:r>
      <w:r w:rsidR="00B153BF">
        <w:rPr>
          <w:cs/>
        </w:rPr>
        <w:t>‎</w:t>
      </w:r>
      <w:r w:rsidR="00B153BF">
        <w:t>2022</w:t>
      </w:r>
      <w:r w:rsidR="00B153BF">
        <w:rPr>
          <w:rtl/>
        </w:rPr>
        <w:t>‏</w:t>
      </w:r>
      <w:r w:rsidR="00C7273D">
        <w:rPr>
          <w:rFonts w:hint="cs"/>
          <w:rtl/>
        </w:rPr>
        <w:t> </w:t>
      </w:r>
      <w:r w:rsidR="00B153BF">
        <w:rPr>
          <w:rtl/>
        </w:rPr>
        <w:t>(</w:t>
      </w:r>
      <w:hyperlink r:id="rId25" w:history="1">
        <w:r w:rsidR="00B153BF" w:rsidRPr="00D02454">
          <w:rPr>
            <w:rStyle w:val="Hyperlink"/>
          </w:rPr>
          <w:t>WTD</w:t>
        </w:r>
        <w:r w:rsidR="00B153BF" w:rsidRPr="00D02454">
          <w:rPr>
            <w:rStyle w:val="Hyperlink"/>
          </w:rPr>
          <w:t>C</w:t>
        </w:r>
        <w:r w:rsidR="00B153BF" w:rsidRPr="00D02454">
          <w:rPr>
            <w:rStyle w:val="Hyperlink"/>
          </w:rPr>
          <w:t>-22</w:t>
        </w:r>
      </w:hyperlink>
      <w:r w:rsidR="00B153BF">
        <w:rPr>
          <w:rtl/>
        </w:rPr>
        <w:t>). ويتيح هذا النهج المتكامل الذي ينتهجه مكتب تنمية الاتصالات (</w:t>
      </w:r>
      <w:r w:rsidR="00B153BF">
        <w:t>BDT</w:t>
      </w:r>
      <w:r w:rsidR="00B153BF">
        <w:rPr>
          <w:rtl/>
        </w:rPr>
        <w:t>) تقديم خدمات أفضل إلى الدول الأعضاء في الاتحاد، والاستفادة من أوجه التآزر بين الأنشطة الاعتيادية والأنشطة الخارجة عن الميزانية التي يضطلع بها المكتب. ويؤدي مجلس مشاريع مكتب تنمية الاتصالات دوراً مهماً في ضمان تواؤم صياغة المشاريع مع خطة عمل كيغالي، وكذلك في ضمان سلامة إدارة حافظة مشاريع المكتب.</w:t>
      </w:r>
    </w:p>
    <w:p w14:paraId="5235328A" w14:textId="3668D4B5" w:rsidR="00B153BF" w:rsidRDefault="00B153BF" w:rsidP="00C7273D">
      <w:pPr>
        <w:rPr>
          <w:rtl/>
        </w:rPr>
      </w:pPr>
      <w:r>
        <w:rPr>
          <w:rtl/>
        </w:rPr>
        <w:t>‏</w:t>
      </w:r>
      <w:r w:rsidR="00587C70">
        <w:t>3.1</w:t>
      </w:r>
      <w:r>
        <w:rPr>
          <w:rtl/>
        </w:rPr>
        <w:tab/>
      </w:r>
      <w:r w:rsidRPr="00D02454">
        <w:rPr>
          <w:b/>
          <w:bCs/>
          <w:rtl/>
        </w:rPr>
        <w:t>تصميم المشاريع وتنفيذها</w:t>
      </w:r>
      <w:r>
        <w:rPr>
          <w:rtl/>
        </w:rPr>
        <w:t xml:space="preserve">: في أعقاب المؤتمر العالمي لتنمية الاتصالات لعام </w:t>
      </w:r>
      <w:r>
        <w:rPr>
          <w:cs/>
        </w:rPr>
        <w:t>‎</w:t>
      </w:r>
      <w:r w:rsidR="00D02454">
        <w:rPr>
          <w:lang w:bidi="ar-EG"/>
        </w:rPr>
        <w:t>2022</w:t>
      </w:r>
      <w:r w:rsidR="00D02454">
        <w:rPr>
          <w:rFonts w:hint="cs"/>
          <w:rtl/>
          <w:lang w:bidi="ar-EG"/>
        </w:rPr>
        <w:t xml:space="preserve"> </w:t>
      </w:r>
      <w:r w:rsidR="00D02454">
        <w:rPr>
          <w:lang w:bidi="ar-EG"/>
        </w:rPr>
        <w:t>(WTDC-2022)</w:t>
      </w:r>
      <w:r>
        <w:rPr>
          <w:rtl/>
        </w:rPr>
        <w:t>، عمد مكتب تنمية الاتصالات</w:t>
      </w:r>
      <w:r w:rsidR="00C7273D">
        <w:rPr>
          <w:rFonts w:hint="cs"/>
          <w:rtl/>
        </w:rPr>
        <w:t> </w:t>
      </w:r>
      <w:r w:rsidR="00C7273D">
        <w:t>(BDT)</w:t>
      </w:r>
      <w:r>
        <w:rPr>
          <w:rtl/>
        </w:rPr>
        <w:t xml:space="preserve">، بالتعاون مع الشركاء المعنيين، إلى تحديد وصياغة وتنفيذ طائفة واسعة من المشاريع التي أسهمت في تنفيذ الأولويات المحددة للمؤتمر </w:t>
      </w:r>
      <w:r>
        <w:t>WTDC-22</w:t>
      </w:r>
      <w:r>
        <w:rPr>
          <w:rtl/>
        </w:rPr>
        <w:t>‏. وت</w:t>
      </w:r>
      <w:r w:rsidR="00D02454">
        <w:rPr>
          <w:rFonts w:hint="cs"/>
          <w:rtl/>
        </w:rPr>
        <w:t>ُ</w:t>
      </w:r>
      <w:r>
        <w:rPr>
          <w:rtl/>
        </w:rPr>
        <w:t>سهم هذه المشاريع أيضاً في تنفيذ المبادرات الإقليمية تلبيةً للاحتياجات الخاصة للمناطق. وت</w:t>
      </w:r>
      <w:r w:rsidR="00D02454">
        <w:rPr>
          <w:rFonts w:hint="cs"/>
          <w:rtl/>
        </w:rPr>
        <w:t>ُ</w:t>
      </w:r>
      <w:r>
        <w:rPr>
          <w:rtl/>
        </w:rPr>
        <w:t>سهم مشاريع مكتب تنمية الاتصالات في تطوير مجموعة متنوعة من المنتجات والخدمات وفقاً لأولويات قطاع تنمية الاتصالات والعوامل التمكينية له المحددتين في خطة عمل كيغالي، وكذلك في</w:t>
      </w:r>
      <w:r w:rsidR="00C7273D">
        <w:rPr>
          <w:rFonts w:hint="cs"/>
          <w:rtl/>
        </w:rPr>
        <w:t> </w:t>
      </w:r>
      <w:r>
        <w:rPr>
          <w:rtl/>
        </w:rPr>
        <w:t xml:space="preserve">الخطة الاستراتيجية للاتحاد في كل من مناطق عمله الست. وتعرض وثيقة الإحاطة </w:t>
      </w:r>
      <w:r>
        <w:rPr>
          <w:cs/>
        </w:rPr>
        <w:t>‎</w:t>
      </w:r>
      <w:hyperlink r:id="rId26" w:history="1">
        <w:r w:rsidRPr="00D02454">
          <w:rPr>
            <w:rStyle w:val="Hyperlink"/>
          </w:rPr>
          <w:t>TDAG-25/INF/4</w:t>
        </w:r>
      </w:hyperlink>
      <w:r w:rsidR="00D02454">
        <w:rPr>
          <w:rFonts w:hint="cs"/>
          <w:rtl/>
        </w:rPr>
        <w:t xml:space="preserve"> </w:t>
      </w:r>
      <w:r>
        <w:rPr>
          <w:rtl/>
        </w:rPr>
        <w:t>مخططات للمشاريع المنفذة و/أو الجاري تنفيذها في إطار كل من المبادرات الإقليمية التي اعتمدها المؤتمر</w:t>
      </w:r>
      <w:r w:rsidR="00C7273D">
        <w:rPr>
          <w:rFonts w:hint="cs"/>
          <w:rtl/>
        </w:rPr>
        <w:t> </w:t>
      </w:r>
      <w:r>
        <w:t>WTDC</w:t>
      </w:r>
      <w:r w:rsidR="00EE5E76">
        <w:noBreakHyphen/>
      </w:r>
      <w:r>
        <w:t>22</w:t>
      </w:r>
      <w:r>
        <w:rPr>
          <w:rtl/>
        </w:rPr>
        <w:t>‏ ‏للفترة</w:t>
      </w:r>
      <w:r w:rsidR="00C7273D">
        <w:rPr>
          <w:rFonts w:hint="cs"/>
          <w:rtl/>
        </w:rPr>
        <w:t> </w:t>
      </w:r>
      <w:r>
        <w:rPr>
          <w:cs/>
        </w:rPr>
        <w:t>‎</w:t>
      </w:r>
      <w:r>
        <w:t>2025-2023</w:t>
      </w:r>
      <w:r>
        <w:rPr>
          <w:rtl/>
        </w:rPr>
        <w:t>.</w:t>
      </w:r>
    </w:p>
    <w:p w14:paraId="2AB7DF75" w14:textId="1D94ED2A" w:rsidR="00B153BF" w:rsidRDefault="00B153BF" w:rsidP="00C7273D">
      <w:pPr>
        <w:rPr>
          <w:rtl/>
        </w:rPr>
      </w:pPr>
      <w:r>
        <w:rPr>
          <w:rtl/>
        </w:rPr>
        <w:t>‏</w:t>
      </w:r>
      <w:r w:rsidR="00587C70">
        <w:t>4.1</w:t>
      </w:r>
      <w:r>
        <w:rPr>
          <w:rtl/>
        </w:rPr>
        <w:tab/>
      </w:r>
      <w:r w:rsidRPr="00EE5E76">
        <w:rPr>
          <w:b/>
          <w:bCs/>
          <w:rtl/>
        </w:rPr>
        <w:t>المنتديات الإقليمية للتنمية (</w:t>
      </w:r>
      <w:r w:rsidRPr="00EE5E76">
        <w:rPr>
          <w:b/>
          <w:bCs/>
          <w:cs/>
        </w:rPr>
        <w:t>‎</w:t>
      </w:r>
      <w:r w:rsidRPr="00EE5E76">
        <w:rPr>
          <w:b/>
          <w:bCs/>
        </w:rPr>
        <w:t>RDF</w:t>
      </w:r>
      <w:r w:rsidRPr="00EE5E76">
        <w:rPr>
          <w:b/>
          <w:bCs/>
          <w:rtl/>
        </w:rPr>
        <w:t>)</w:t>
      </w:r>
      <w:r>
        <w:rPr>
          <w:rtl/>
        </w:rPr>
        <w:t xml:space="preserve">: ‏ نظَّم مكتب تنمية الاتصالات في عام </w:t>
      </w:r>
      <w:r>
        <w:rPr>
          <w:cs/>
        </w:rPr>
        <w:t>‎</w:t>
      </w:r>
      <w:r>
        <w:t>2025</w:t>
      </w:r>
      <w:r>
        <w:rPr>
          <w:rtl/>
        </w:rPr>
        <w:t xml:space="preserve">‏، في الفترة ما بين فبراير وأبريل، سلسلة من </w:t>
      </w:r>
      <w:proofErr w:type="gramStart"/>
      <w:r>
        <w:rPr>
          <w:rtl/>
        </w:rPr>
        <w:t>ستة</w:t>
      </w:r>
      <w:proofErr w:type="gramEnd"/>
      <w:r>
        <w:rPr>
          <w:rtl/>
        </w:rPr>
        <w:t xml:space="preserve"> منتديات إقليمية للتنمية ‏بالتعاقب مع اجتماعات الاتحاد التحضيرية الإقليمية للمؤتمر العالمي لتنمية الاتصالات لعام</w:t>
      </w:r>
      <w:r w:rsidR="00EE5E76">
        <w:rPr>
          <w:rFonts w:hint="cs"/>
          <w:rtl/>
          <w:lang w:bidi="ar-EG"/>
        </w:rPr>
        <w:t xml:space="preserve"> </w:t>
      </w:r>
      <w:r w:rsidR="00EE5E76">
        <w:rPr>
          <w:lang w:bidi="ar-EG"/>
        </w:rPr>
        <w:t>2025</w:t>
      </w:r>
      <w:r w:rsidR="00EE5E76">
        <w:rPr>
          <w:rFonts w:hint="cs"/>
          <w:rtl/>
          <w:lang w:bidi="ar-EG"/>
        </w:rPr>
        <w:t xml:space="preserve"> </w:t>
      </w:r>
      <w:r w:rsidR="00EE5E76">
        <w:rPr>
          <w:lang w:bidi="ar-EG"/>
        </w:rPr>
        <w:t>(WTDC</w:t>
      </w:r>
      <w:r w:rsidR="00EE5E76">
        <w:rPr>
          <w:lang w:bidi="ar-EG"/>
        </w:rPr>
        <w:noBreakHyphen/>
        <w:t>25)</w:t>
      </w:r>
      <w:r>
        <w:rPr>
          <w:rtl/>
        </w:rPr>
        <w:t>. ‏وتروِّج المنتديات الإقليمية للتنمية لإقامة شراكات فيما بين أصحاب مصلحة متعددين من الدول الأعضاء ودوائر الصناعة و</w:t>
      </w:r>
      <w:r w:rsidR="00C7273D">
        <w:rPr>
          <w:rFonts w:hint="cs"/>
          <w:rtl/>
        </w:rPr>
        <w:t xml:space="preserve">الهيئات </w:t>
      </w:r>
      <w:r>
        <w:rPr>
          <w:rtl/>
        </w:rPr>
        <w:t xml:space="preserve">الأكاديمية والمجتمع المدني ومنظومة الأمم المتحدة، فضلاً عن الوكالات والمنظمات الإنمائية الإقليمية والدولية، تتعلق بمسائل إقليمية محددة في مجال الاتصالات وتكنولوجيا المعلومات والاتصالات. وتتيح هذه المنتديات الفرصة لإجراء حوارات رفيعة المستوى فيما بين مكتب تنمية الاتصالات والدول الأعضاء وأعضاء قطاع تنمية </w:t>
      </w:r>
      <w:r>
        <w:rPr>
          <w:rtl/>
        </w:rPr>
        <w:lastRenderedPageBreak/>
        <w:t xml:space="preserve">الاتصالات، تتعلق بصفة رئيسية بتنفيذ المبادرات الإقليمية، وخطة عمل كيغالي التي اعتمدها </w:t>
      </w:r>
      <w:hyperlink r:id="rId27" w:history="1">
        <w:r w:rsidRPr="00EE5E76">
          <w:rPr>
            <w:rStyle w:val="Hyperlink"/>
            <w:rtl/>
          </w:rPr>
          <w:t xml:space="preserve">المؤتمر العالمي لتنمية الاتصالات لعام </w:t>
        </w:r>
        <w:r w:rsidRPr="00EE5E76">
          <w:rPr>
            <w:rStyle w:val="Hyperlink"/>
            <w:cs/>
          </w:rPr>
          <w:t>‎</w:t>
        </w:r>
        <w:r w:rsidRPr="00EE5E76">
          <w:rPr>
            <w:rStyle w:val="Hyperlink"/>
          </w:rPr>
          <w:t>2022</w:t>
        </w:r>
      </w:hyperlink>
      <w:r>
        <w:rPr>
          <w:rtl/>
        </w:rPr>
        <w:t>.</w:t>
      </w:r>
    </w:p>
    <w:p w14:paraId="6B04475F" w14:textId="023332A3" w:rsidR="00B153BF" w:rsidRDefault="00587C70" w:rsidP="00C7273D">
      <w:pPr>
        <w:rPr>
          <w:rtl/>
        </w:rPr>
      </w:pPr>
      <w:r>
        <w:t>5.1</w:t>
      </w:r>
      <w:r w:rsidR="00B153BF">
        <w:rPr>
          <w:rtl/>
        </w:rPr>
        <w:tab/>
      </w:r>
      <w:r w:rsidR="00B153BF" w:rsidRPr="00EE5E76">
        <w:rPr>
          <w:b/>
          <w:bCs/>
          <w:rtl/>
        </w:rPr>
        <w:t xml:space="preserve">الأنشطة التوفيقية المتعلقة بمبادرة </w:t>
      </w:r>
      <w:r w:rsidR="00EE5E76" w:rsidRPr="00EE5E76">
        <w:rPr>
          <w:rFonts w:hint="cs"/>
          <w:b/>
          <w:bCs/>
          <w:rtl/>
        </w:rPr>
        <w:t>"</w:t>
      </w:r>
      <w:r w:rsidR="00B153BF" w:rsidRPr="00EE5E76">
        <w:rPr>
          <w:b/>
          <w:bCs/>
          <w:rtl/>
        </w:rPr>
        <w:t>الشراكة من أجل التوصيل</w:t>
      </w:r>
      <w:r w:rsidR="00EE5E76" w:rsidRPr="00EE5E76">
        <w:rPr>
          <w:rFonts w:hint="cs"/>
          <w:b/>
          <w:bCs/>
          <w:rtl/>
        </w:rPr>
        <w:t>"</w:t>
      </w:r>
      <w:r w:rsidR="00B153BF" w:rsidRPr="00EE5E76">
        <w:rPr>
          <w:b/>
          <w:bCs/>
          <w:rtl/>
        </w:rPr>
        <w:t xml:space="preserve"> (</w:t>
      </w:r>
      <w:r w:rsidR="00B153BF" w:rsidRPr="00EE5E76">
        <w:rPr>
          <w:b/>
          <w:bCs/>
        </w:rPr>
        <w:t>P2C</w:t>
      </w:r>
      <w:r w:rsidR="00B153BF" w:rsidRPr="00EE5E76">
        <w:rPr>
          <w:b/>
          <w:bCs/>
          <w:rtl/>
        </w:rPr>
        <w:t>)</w:t>
      </w:r>
      <w:r w:rsidR="00B153BF">
        <w:rPr>
          <w:rtl/>
        </w:rPr>
        <w:t>: يتضمن كل من المنتديات الإقليمية للتنمية (</w:t>
      </w:r>
      <w:r w:rsidR="00B153BF">
        <w:t>RDF</w:t>
      </w:r>
      <w:r w:rsidR="00B153BF">
        <w:rPr>
          <w:rtl/>
        </w:rPr>
        <w:t xml:space="preserve">) اجتماعَ مائدة مستديرة توفيقي لمبادرة </w:t>
      </w:r>
      <w:r w:rsidR="00EE5E76">
        <w:rPr>
          <w:rFonts w:hint="cs"/>
          <w:rtl/>
        </w:rPr>
        <w:t>"</w:t>
      </w:r>
      <w:r w:rsidR="00B153BF">
        <w:rPr>
          <w:rtl/>
        </w:rPr>
        <w:t>الشراكة من أجل التوصيل</w:t>
      </w:r>
      <w:r w:rsidR="00EE5E76">
        <w:rPr>
          <w:rFonts w:hint="cs"/>
          <w:rtl/>
        </w:rPr>
        <w:t>"</w:t>
      </w:r>
      <w:r w:rsidR="00B153BF">
        <w:rPr>
          <w:rtl/>
        </w:rPr>
        <w:t>، على النحو التالي:</w:t>
      </w:r>
    </w:p>
    <w:p w14:paraId="1E32E660" w14:textId="7C717A74" w:rsidR="00B153BF" w:rsidRDefault="0047488C" w:rsidP="00EF72E6">
      <w:pPr>
        <w:pStyle w:val="enumlev1"/>
        <w:rPr>
          <w:rtl/>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بالمنتدى </w:t>
      </w:r>
      <w:r w:rsidR="00B153BF">
        <w:t>RDF</w:t>
      </w:r>
      <w:r w:rsidR="00B153BF">
        <w:rPr>
          <w:rtl/>
        </w:rPr>
        <w:t xml:space="preserve">) لمنطقة الدول العربية في </w:t>
      </w:r>
      <w:r w:rsidR="00B153BF">
        <w:rPr>
          <w:cs/>
        </w:rPr>
        <w:t>‎</w:t>
      </w:r>
      <w:r w:rsidR="00B153BF">
        <w:t>3</w:t>
      </w:r>
      <w:r w:rsidR="00B153BF">
        <w:rPr>
          <w:rtl/>
        </w:rPr>
        <w:t xml:space="preserve"> ‏فبراير </w:t>
      </w:r>
      <w:r w:rsidR="00B153BF">
        <w:rPr>
          <w:cs/>
        </w:rPr>
        <w:t>‎</w:t>
      </w:r>
      <w:r w:rsidR="00B153BF">
        <w:t>2025</w:t>
      </w:r>
      <w:r w:rsidR="00B153BF">
        <w:rPr>
          <w:rtl/>
        </w:rPr>
        <w:t xml:space="preserve"> ‏في</w:t>
      </w:r>
      <w:r w:rsidR="00EF72E6">
        <w:rPr>
          <w:rFonts w:hint="cs"/>
          <w:rtl/>
        </w:rPr>
        <w:t> </w:t>
      </w:r>
      <w:r w:rsidR="00B153BF">
        <w:rPr>
          <w:rtl/>
        </w:rPr>
        <w:t>عمَّان بالأردن.</w:t>
      </w:r>
      <w:r w:rsidR="00B153BF">
        <w:rPr>
          <w:cs/>
        </w:rPr>
        <w:t>‎</w:t>
      </w:r>
    </w:p>
    <w:p w14:paraId="21BCA2DB" w14:textId="3E9346BE" w:rsidR="00B153BF" w:rsidRDefault="0047488C" w:rsidP="00EF72E6">
      <w:pPr>
        <w:pStyle w:val="enumlev1"/>
        <w:rPr>
          <w:rtl/>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بشأن تشجيع الشراكات لخدمة التنمية، بالمنتدى </w:t>
      </w:r>
      <w:r w:rsidR="00B153BF">
        <w:t>RDF</w:t>
      </w:r>
      <w:r w:rsidR="00B153BF">
        <w:rPr>
          <w:rtl/>
        </w:rPr>
        <w:t xml:space="preserve">) لأوروبا في </w:t>
      </w:r>
      <w:r w:rsidR="00B153BF">
        <w:rPr>
          <w:cs/>
        </w:rPr>
        <w:t>‎</w:t>
      </w:r>
      <w:r w:rsidR="00B153BF">
        <w:t>24</w:t>
      </w:r>
      <w:r w:rsidR="00B153BF">
        <w:rPr>
          <w:rtl/>
        </w:rPr>
        <w:t xml:space="preserve"> ‏فبراير </w:t>
      </w:r>
      <w:r w:rsidR="00B153BF">
        <w:rPr>
          <w:cs/>
        </w:rPr>
        <w:t>‎</w:t>
      </w:r>
      <w:r w:rsidR="00B153BF">
        <w:t>2025</w:t>
      </w:r>
      <w:r w:rsidR="00B153BF">
        <w:rPr>
          <w:rtl/>
        </w:rPr>
        <w:t xml:space="preserve"> ‏في بودابست بهنغاريا.</w:t>
      </w:r>
      <w:r w:rsidR="00B153BF">
        <w:rPr>
          <w:cs/>
        </w:rPr>
        <w:t>‎</w:t>
      </w:r>
    </w:p>
    <w:p w14:paraId="5CC064F4" w14:textId="7CB869C9" w:rsidR="00B153BF" w:rsidRDefault="0047488C" w:rsidP="00EF72E6">
      <w:pPr>
        <w:pStyle w:val="enumlev1"/>
        <w:rPr>
          <w:rtl/>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بالمنتدى </w:t>
      </w:r>
      <w:r w:rsidR="00B153BF">
        <w:t>RDF</w:t>
      </w:r>
      <w:r w:rsidR="00B153BF">
        <w:rPr>
          <w:rtl/>
        </w:rPr>
        <w:t>) لمنطقة آسيا والمحيط الهادئ ‏في</w:t>
      </w:r>
      <w:r w:rsidR="00EE5E76">
        <w:rPr>
          <w:rFonts w:hint="cs"/>
          <w:rtl/>
        </w:rPr>
        <w:t> </w:t>
      </w:r>
      <w:r w:rsidR="00B153BF">
        <w:rPr>
          <w:cs/>
        </w:rPr>
        <w:t>‎</w:t>
      </w:r>
      <w:r w:rsidR="00B153BF">
        <w:t>19</w:t>
      </w:r>
      <w:r w:rsidR="00EF72E6">
        <w:rPr>
          <w:rFonts w:hint="cs"/>
          <w:rtl/>
        </w:rPr>
        <w:t> </w:t>
      </w:r>
      <w:r w:rsidR="00B153BF">
        <w:rPr>
          <w:rtl/>
        </w:rPr>
        <w:t>‏مارس</w:t>
      </w:r>
      <w:r w:rsidR="00EF72E6">
        <w:rPr>
          <w:rFonts w:hint="cs"/>
          <w:rtl/>
        </w:rPr>
        <w:t> </w:t>
      </w:r>
      <w:r w:rsidR="00B153BF">
        <w:rPr>
          <w:cs/>
        </w:rPr>
        <w:t>‎</w:t>
      </w:r>
      <w:r w:rsidR="00B153BF">
        <w:t>2025</w:t>
      </w:r>
      <w:r w:rsidR="00B153BF">
        <w:rPr>
          <w:rtl/>
        </w:rPr>
        <w:t xml:space="preserve"> ‏في بانكوك بتايلاند.</w:t>
      </w:r>
      <w:r w:rsidR="00B153BF">
        <w:rPr>
          <w:cs/>
        </w:rPr>
        <w:t>‎</w:t>
      </w:r>
    </w:p>
    <w:p w14:paraId="5BEDC3B9" w14:textId="476FEA0F" w:rsidR="00B153BF" w:rsidRDefault="0047488C" w:rsidP="00EF72E6">
      <w:pPr>
        <w:pStyle w:val="enumlev1"/>
        <w:rPr>
          <w:rtl/>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بالمنتدى </w:t>
      </w:r>
      <w:r w:rsidR="00B153BF">
        <w:t>RDF</w:t>
      </w:r>
      <w:r w:rsidR="00B153BF">
        <w:rPr>
          <w:rtl/>
        </w:rPr>
        <w:t xml:space="preserve">) لمنطقة </w:t>
      </w:r>
      <w:proofErr w:type="spellStart"/>
      <w:r w:rsidR="00B153BF">
        <w:rPr>
          <w:rtl/>
        </w:rPr>
        <w:t>الأمريكتين</w:t>
      </w:r>
      <w:proofErr w:type="spellEnd"/>
      <w:r w:rsidR="00B153BF">
        <w:rPr>
          <w:rtl/>
        </w:rPr>
        <w:t xml:space="preserve"> ‏في </w:t>
      </w:r>
      <w:r w:rsidR="00B153BF">
        <w:rPr>
          <w:cs/>
        </w:rPr>
        <w:t>‎</w:t>
      </w:r>
      <w:r w:rsidR="00B153BF">
        <w:t>31</w:t>
      </w:r>
      <w:r w:rsidR="00B153BF">
        <w:rPr>
          <w:rtl/>
        </w:rPr>
        <w:t xml:space="preserve"> ‏مارس </w:t>
      </w:r>
      <w:r w:rsidR="00B153BF">
        <w:rPr>
          <w:cs/>
        </w:rPr>
        <w:t>‎</w:t>
      </w:r>
      <w:r w:rsidR="00B153BF">
        <w:t>2025</w:t>
      </w:r>
      <w:r w:rsidR="00B153BF">
        <w:rPr>
          <w:rtl/>
        </w:rPr>
        <w:t xml:space="preserve"> ‏في</w:t>
      </w:r>
      <w:r w:rsidR="00EF72E6">
        <w:rPr>
          <w:rFonts w:hint="cs"/>
          <w:rtl/>
        </w:rPr>
        <w:t> </w:t>
      </w:r>
      <w:proofErr w:type="spellStart"/>
      <w:r w:rsidR="00B153BF">
        <w:rPr>
          <w:rtl/>
        </w:rPr>
        <w:t>أسونثيون</w:t>
      </w:r>
      <w:proofErr w:type="spellEnd"/>
      <w:r w:rsidR="00B153BF">
        <w:rPr>
          <w:rtl/>
        </w:rPr>
        <w:t xml:space="preserve"> بباراغواي.</w:t>
      </w:r>
      <w:r w:rsidR="00B153BF">
        <w:rPr>
          <w:cs/>
        </w:rPr>
        <w:t>‎</w:t>
      </w:r>
    </w:p>
    <w:p w14:paraId="4B7A7D4D" w14:textId="54403C6F" w:rsidR="00B153BF" w:rsidRDefault="0047488C" w:rsidP="00EF72E6">
      <w:pPr>
        <w:pStyle w:val="enumlev1"/>
        <w:rPr>
          <w:rtl/>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بالمنتدى </w:t>
      </w:r>
      <w:r w:rsidR="00B153BF">
        <w:t>RDF</w:t>
      </w:r>
      <w:r w:rsidR="00B153BF">
        <w:rPr>
          <w:rtl/>
        </w:rPr>
        <w:t xml:space="preserve">) لإفريقيا في </w:t>
      </w:r>
      <w:r w:rsidR="00B153BF">
        <w:rPr>
          <w:cs/>
        </w:rPr>
        <w:t>‎</w:t>
      </w:r>
      <w:r w:rsidR="00B153BF">
        <w:t>7</w:t>
      </w:r>
      <w:r w:rsidR="00B153BF">
        <w:rPr>
          <w:rtl/>
        </w:rPr>
        <w:t xml:space="preserve"> ‏أبريل </w:t>
      </w:r>
      <w:r w:rsidR="00B153BF">
        <w:rPr>
          <w:cs/>
        </w:rPr>
        <w:t>‎</w:t>
      </w:r>
      <w:r w:rsidR="00B153BF">
        <w:t>2025</w:t>
      </w:r>
      <w:r w:rsidR="00B153BF">
        <w:rPr>
          <w:rtl/>
        </w:rPr>
        <w:t xml:space="preserve"> ‏في</w:t>
      </w:r>
      <w:r w:rsidR="00EE5E76">
        <w:rPr>
          <w:rFonts w:hint="cs"/>
          <w:rtl/>
        </w:rPr>
        <w:t> </w:t>
      </w:r>
      <w:r w:rsidR="00B153BF">
        <w:rPr>
          <w:rtl/>
        </w:rPr>
        <w:t>نيروبي بكينيا</w:t>
      </w:r>
      <w:r w:rsidR="00B153BF">
        <w:rPr>
          <w:cs/>
        </w:rPr>
        <w:t>‎</w:t>
      </w:r>
      <w:r w:rsidR="00EF72E6">
        <w:rPr>
          <w:rFonts w:hint="cs"/>
          <w:rtl/>
          <w:cs/>
        </w:rPr>
        <w:t>.</w:t>
      </w:r>
    </w:p>
    <w:p w14:paraId="08E0FA33" w14:textId="2D5674A3" w:rsidR="00B153BF" w:rsidRDefault="0047488C" w:rsidP="00EF72E6">
      <w:pPr>
        <w:pStyle w:val="enumlev1"/>
        <w:rPr>
          <w:cs/>
        </w:rPr>
      </w:pPr>
      <w:r>
        <w:sym w:font="Symbol" w:char="F0B7"/>
      </w:r>
      <w:r>
        <w:tab/>
      </w:r>
      <w:r w:rsidR="00B153BF">
        <w:rPr>
          <w:rtl/>
        </w:rPr>
        <w:t xml:space="preserve">عُقد (اجتماع المائدة المستديرة التوفيقي لمبادرة </w:t>
      </w:r>
      <w:r w:rsidR="00B153BF">
        <w:t>P2C</w:t>
      </w:r>
      <w:r w:rsidR="00B153BF">
        <w:rPr>
          <w:rtl/>
        </w:rPr>
        <w:t xml:space="preserve"> بالمنتدى </w:t>
      </w:r>
      <w:r w:rsidR="00B153BF">
        <w:t>RDF</w:t>
      </w:r>
      <w:r w:rsidR="00B153BF">
        <w:rPr>
          <w:rtl/>
        </w:rPr>
        <w:t>) لكومنولث الدول المستقلة</w:t>
      </w:r>
      <w:r w:rsidR="00EF72E6">
        <w:rPr>
          <w:rFonts w:hint="cs"/>
          <w:rtl/>
        </w:rPr>
        <w:t xml:space="preserve"> </w:t>
      </w:r>
      <w:r w:rsidR="00EE5E76">
        <w:rPr>
          <w:rtl/>
        </w:rPr>
        <w:noBreakHyphen/>
      </w:r>
      <w:r w:rsidR="00EF72E6">
        <w:rPr>
          <w:rFonts w:hint="cs"/>
          <w:rtl/>
        </w:rPr>
        <w:t xml:space="preserve"> </w:t>
      </w:r>
      <w:r w:rsidR="00B153BF">
        <w:t>CIS</w:t>
      </w:r>
      <w:r w:rsidR="00B153BF">
        <w:rPr>
          <w:rtl/>
        </w:rPr>
        <w:t xml:space="preserve"> في</w:t>
      </w:r>
      <w:r w:rsidR="00EF72E6">
        <w:rPr>
          <w:rFonts w:hint="cs"/>
          <w:rtl/>
        </w:rPr>
        <w:t> </w:t>
      </w:r>
      <w:r w:rsidR="00B153BF">
        <w:rPr>
          <w:cs/>
        </w:rPr>
        <w:t>‎</w:t>
      </w:r>
      <w:r w:rsidR="00B153BF">
        <w:t>23</w:t>
      </w:r>
      <w:r w:rsidR="00EF72E6">
        <w:rPr>
          <w:rFonts w:hint="cs"/>
          <w:rtl/>
        </w:rPr>
        <w:t> </w:t>
      </w:r>
      <w:r w:rsidR="00B153BF">
        <w:rPr>
          <w:rtl/>
        </w:rPr>
        <w:t>‏أبريل</w:t>
      </w:r>
      <w:r w:rsidR="00EF72E6">
        <w:rPr>
          <w:rFonts w:hint="cs"/>
          <w:rtl/>
        </w:rPr>
        <w:t> </w:t>
      </w:r>
      <w:r w:rsidR="00B153BF">
        <w:rPr>
          <w:cs/>
        </w:rPr>
        <w:t>‎</w:t>
      </w:r>
      <w:r w:rsidR="00B153BF">
        <w:t>2025</w:t>
      </w:r>
      <w:r w:rsidR="00B153BF">
        <w:rPr>
          <w:rtl/>
        </w:rPr>
        <w:t xml:space="preserve"> ‏في بيشكيك بقيرغيزستان.</w:t>
      </w:r>
      <w:r w:rsidR="00B153BF">
        <w:rPr>
          <w:cs/>
        </w:rPr>
        <w:t>‎</w:t>
      </w:r>
    </w:p>
    <w:p w14:paraId="517073D2" w14:textId="418C3066" w:rsidR="00587C70" w:rsidRPr="00927EEB" w:rsidRDefault="00587C70" w:rsidP="00EF72E6">
      <w:r w:rsidRPr="00927EEB">
        <w:t>6.1</w:t>
      </w:r>
      <w:r w:rsidRPr="00927EEB">
        <w:tab/>
      </w:r>
      <w:r w:rsidRPr="00927EEB">
        <w:rPr>
          <w:b/>
          <w:bCs/>
          <w:rtl/>
        </w:rPr>
        <w:t>مشاركة أصحاب المصلحة</w:t>
      </w:r>
      <w:r w:rsidRPr="00927EEB">
        <w:rPr>
          <w:rtl/>
        </w:rPr>
        <w:t xml:space="preserve">: في الفترة ما بين مايو </w:t>
      </w:r>
      <w:r w:rsidRPr="00927EEB">
        <w:rPr>
          <w:cs/>
        </w:rPr>
        <w:t>‎</w:t>
      </w:r>
      <w:r w:rsidRPr="00927EEB">
        <w:t>2024</w:t>
      </w:r>
      <w:r w:rsidRPr="00927EEB">
        <w:rPr>
          <w:rtl/>
        </w:rPr>
        <w:t xml:space="preserve"> ومارس </w:t>
      </w:r>
      <w:r w:rsidRPr="00927EEB">
        <w:rPr>
          <w:cs/>
        </w:rPr>
        <w:t>‎</w:t>
      </w:r>
      <w:r w:rsidRPr="00927EEB">
        <w:t>2025</w:t>
      </w:r>
      <w:r w:rsidRPr="00927EEB">
        <w:rPr>
          <w:rtl/>
        </w:rPr>
        <w:t xml:space="preserve">‏، أبرم الاتحاد 73 ‏اتفاقاً مع طائفة عريضة من الشركاء. وينشر </w:t>
      </w:r>
      <w:hyperlink r:id="rId28" w:anchor="/ar" w:history="1">
        <w:r w:rsidRPr="00EF72E6">
          <w:rPr>
            <w:rStyle w:val="Hyperlink"/>
            <w:rtl/>
          </w:rPr>
          <w:t>الموقع الإلكتروني لشراكات</w:t>
        </w:r>
      </w:hyperlink>
      <w:r w:rsidRPr="00EF72E6">
        <w:rPr>
          <w:rtl/>
        </w:rPr>
        <w:t xml:space="preserve"> قطاع تنمية الاتصالات</w:t>
      </w:r>
      <w:r w:rsidRPr="00927EEB">
        <w:rPr>
          <w:rtl/>
        </w:rPr>
        <w:t xml:space="preserve"> مزيداً من التفاصيل.</w:t>
      </w:r>
      <w:r w:rsidRPr="00927EEB">
        <w:rPr>
          <w:cs/>
        </w:rPr>
        <w:t>‎</w:t>
      </w:r>
    </w:p>
    <w:p w14:paraId="62182411" w14:textId="20B86F7A" w:rsidR="00587C70" w:rsidRPr="00927EEB" w:rsidRDefault="00587C70" w:rsidP="00EF72E6">
      <w:pPr>
        <w:rPr>
          <w:rtl/>
          <w:cs/>
        </w:rPr>
      </w:pPr>
      <w:r w:rsidRPr="00927EEB">
        <w:t>7.1</w:t>
      </w:r>
      <w:r w:rsidRPr="00927EEB">
        <w:tab/>
      </w:r>
      <w:r w:rsidRPr="00927EEB">
        <w:rPr>
          <w:b/>
          <w:bCs/>
          <w:rtl/>
        </w:rPr>
        <w:t>المشاريع الجديدة الموقَّع على تنفيذها</w:t>
      </w:r>
      <w:r w:rsidRPr="00927EEB">
        <w:rPr>
          <w:rtl/>
        </w:rPr>
        <w:t xml:space="preserve">: وقَّع الاتحاد في الفترة ما بين مايو </w:t>
      </w:r>
      <w:r w:rsidRPr="00927EEB">
        <w:rPr>
          <w:cs/>
        </w:rPr>
        <w:t>‎</w:t>
      </w:r>
      <w:r w:rsidRPr="00927EEB">
        <w:t>2024</w:t>
      </w:r>
      <w:r w:rsidRPr="00927EEB">
        <w:rPr>
          <w:rtl/>
        </w:rPr>
        <w:t xml:space="preserve"> ‏ومارس </w:t>
      </w:r>
      <w:r w:rsidRPr="00927EEB">
        <w:rPr>
          <w:cs/>
        </w:rPr>
        <w:t>‎</w:t>
      </w:r>
      <w:r w:rsidRPr="00927EEB">
        <w:t>2025</w:t>
      </w:r>
      <w:r w:rsidRPr="00927EEB">
        <w:rPr>
          <w:rtl/>
        </w:rPr>
        <w:t>‏ على تنفيذ</w:t>
      </w:r>
      <w:r w:rsidRPr="00927EEB">
        <w:rPr>
          <w:rFonts w:hint="cs"/>
          <w:rtl/>
        </w:rPr>
        <w:t xml:space="preserve"> </w:t>
      </w:r>
      <w:r w:rsidRPr="00927EEB">
        <w:rPr>
          <w:cs/>
        </w:rPr>
        <w:t>‎</w:t>
      </w:r>
      <w:r w:rsidRPr="00927EEB">
        <w:t>35</w:t>
      </w:r>
      <w:r w:rsidRPr="00927EEB">
        <w:rPr>
          <w:rFonts w:hint="cs"/>
          <w:rtl/>
        </w:rPr>
        <w:t> </w:t>
      </w:r>
      <w:r w:rsidRPr="00927EEB">
        <w:rPr>
          <w:rtl/>
        </w:rPr>
        <w:t>‏مشروعاً جديداً إجمالاً وعلى إضافات بقيمة</w:t>
      </w:r>
      <w:r w:rsidRPr="00927EEB">
        <w:rPr>
          <w:rFonts w:hint="cs"/>
          <w:rtl/>
        </w:rPr>
        <w:t xml:space="preserve"> </w:t>
      </w:r>
      <w:r w:rsidRPr="00927EEB">
        <w:rPr>
          <w:cs/>
        </w:rPr>
        <w:t>‎</w:t>
      </w:r>
      <w:r w:rsidRPr="00927EEB">
        <w:t>26,7</w:t>
      </w:r>
      <w:r w:rsidRPr="00927EEB">
        <w:rPr>
          <w:rtl/>
        </w:rPr>
        <w:t xml:space="preserve"> مليون فرنك سويسري. ‏وتؤكد هذه الأرقام الاتجاه الإيجابي </w:t>
      </w:r>
      <w:r w:rsidRPr="00927EEB">
        <w:rPr>
          <w:rFonts w:hint="cs"/>
          <w:rtl/>
        </w:rPr>
        <w:t>المشهود في</w:t>
      </w:r>
      <w:r w:rsidR="00EF72E6">
        <w:rPr>
          <w:rFonts w:hint="eastAsia"/>
          <w:rtl/>
        </w:rPr>
        <w:t> </w:t>
      </w:r>
      <w:r w:rsidRPr="00927EEB">
        <w:rPr>
          <w:rtl/>
        </w:rPr>
        <w:t xml:space="preserve">السنوات الماضية في زيادة الأموال </w:t>
      </w:r>
      <w:r w:rsidRPr="00927EEB">
        <w:rPr>
          <w:rFonts w:hint="cs"/>
          <w:rtl/>
        </w:rPr>
        <w:t>التي تولى</w:t>
      </w:r>
      <w:r w:rsidRPr="00927EEB">
        <w:rPr>
          <w:rtl/>
        </w:rPr>
        <w:t xml:space="preserve"> مكتب تنمية الاتصالات </w:t>
      </w:r>
      <w:r w:rsidRPr="00927EEB">
        <w:rPr>
          <w:rFonts w:hint="cs"/>
          <w:rtl/>
        </w:rPr>
        <w:t>تعبئتها</w:t>
      </w:r>
      <w:r w:rsidRPr="00927EEB">
        <w:rPr>
          <w:rtl/>
        </w:rPr>
        <w:t xml:space="preserve"> لدعم</w:t>
      </w:r>
      <w:r w:rsidRPr="00927EEB">
        <w:rPr>
          <w:rFonts w:hint="cs"/>
          <w:rtl/>
        </w:rPr>
        <w:t xml:space="preserve"> تنفيذ</w:t>
      </w:r>
      <w:r w:rsidRPr="00927EEB">
        <w:rPr>
          <w:rtl/>
        </w:rPr>
        <w:t xml:space="preserve"> المشاريع، وت</w:t>
      </w:r>
      <w:r w:rsidRPr="00927EEB">
        <w:rPr>
          <w:rFonts w:hint="cs"/>
          <w:rtl/>
        </w:rPr>
        <w:t>برز</w:t>
      </w:r>
      <w:r w:rsidRPr="00927EEB">
        <w:rPr>
          <w:rtl/>
        </w:rPr>
        <w:t xml:space="preserve"> </w:t>
      </w:r>
      <w:r w:rsidRPr="00927EEB">
        <w:rPr>
          <w:rFonts w:hint="cs"/>
          <w:rtl/>
        </w:rPr>
        <w:t>زيادة الثقة المودعة</w:t>
      </w:r>
      <w:r w:rsidRPr="00927EEB">
        <w:rPr>
          <w:rtl/>
        </w:rPr>
        <w:t xml:space="preserve"> </w:t>
      </w:r>
      <w:r w:rsidRPr="00927EEB">
        <w:rPr>
          <w:rFonts w:hint="cs"/>
          <w:rtl/>
        </w:rPr>
        <w:t>في</w:t>
      </w:r>
      <w:r w:rsidR="00EF72E6">
        <w:rPr>
          <w:rFonts w:hint="eastAsia"/>
          <w:rtl/>
        </w:rPr>
        <w:t> </w:t>
      </w:r>
      <w:r w:rsidRPr="00927EEB">
        <w:rPr>
          <w:rFonts w:hint="cs"/>
          <w:rtl/>
        </w:rPr>
        <w:t>الاتحاد بوصفه شريكاً قيادياً</w:t>
      </w:r>
      <w:r w:rsidRPr="00927EEB">
        <w:rPr>
          <w:rtl/>
        </w:rPr>
        <w:t xml:space="preserve"> في تنفيذ مبادرات تكنولوجيا المعلومات والاتصالات، </w:t>
      </w:r>
      <w:r w:rsidRPr="00927EEB">
        <w:rPr>
          <w:rFonts w:hint="cs"/>
          <w:rtl/>
        </w:rPr>
        <w:t xml:space="preserve">في </w:t>
      </w:r>
      <w:r w:rsidRPr="00927EEB">
        <w:rPr>
          <w:rtl/>
        </w:rPr>
        <w:t>المشاريع الرامية إلى تقديم المساعدة التقنية إلى الدول الأعضاء في الاتحاد</w:t>
      </w:r>
      <w:r w:rsidRPr="00927EEB">
        <w:rPr>
          <w:rFonts w:hint="cs"/>
          <w:rtl/>
        </w:rPr>
        <w:t xml:space="preserve"> وفي تلك</w:t>
      </w:r>
      <w:r w:rsidRPr="00927EEB">
        <w:rPr>
          <w:rtl/>
        </w:rPr>
        <w:t xml:space="preserve"> الممولة من </w:t>
      </w:r>
      <w:r w:rsidRPr="00927EEB">
        <w:rPr>
          <w:rFonts w:hint="cs"/>
          <w:rtl/>
        </w:rPr>
        <w:t>أطراف ثالثة من الجهات المانحة</w:t>
      </w:r>
      <w:r w:rsidRPr="00927EEB">
        <w:rPr>
          <w:rtl/>
        </w:rPr>
        <w:t>،</w:t>
      </w:r>
      <w:r w:rsidRPr="00927EEB">
        <w:rPr>
          <w:rFonts w:hint="cs"/>
          <w:rtl/>
        </w:rPr>
        <w:t xml:space="preserve"> على حد سواء. </w:t>
      </w:r>
      <w:r w:rsidRPr="00927EEB">
        <w:rPr>
          <w:rtl/>
        </w:rPr>
        <w:t xml:space="preserve"> وترد </w:t>
      </w:r>
      <w:r w:rsidRPr="00927EEB">
        <w:rPr>
          <w:rFonts w:hint="cs"/>
          <w:rtl/>
        </w:rPr>
        <w:t>مزيد من التفاصيل</w:t>
      </w:r>
      <w:r w:rsidRPr="00927EEB">
        <w:rPr>
          <w:rtl/>
        </w:rPr>
        <w:t xml:space="preserve"> عن تنفيذ مكتب تنمية الاتصالات </w:t>
      </w:r>
      <w:r w:rsidRPr="00927EEB">
        <w:rPr>
          <w:rFonts w:hint="cs"/>
          <w:rtl/>
        </w:rPr>
        <w:t>ا</w:t>
      </w:r>
      <w:r w:rsidRPr="00927EEB">
        <w:rPr>
          <w:rtl/>
        </w:rPr>
        <w:t xml:space="preserve">لمشاريع في الوثيقة </w:t>
      </w:r>
      <w:r w:rsidRPr="00927EEB">
        <w:rPr>
          <w:cs/>
        </w:rPr>
        <w:t>‎</w:t>
      </w:r>
      <w:hyperlink r:id="rId29" w:history="1">
        <w:r w:rsidRPr="00927EEB">
          <w:rPr>
            <w:rStyle w:val="Hyperlink"/>
          </w:rPr>
          <w:t>TDAG-25/5</w:t>
        </w:r>
      </w:hyperlink>
      <w:r w:rsidRPr="00927EEB">
        <w:rPr>
          <w:rtl/>
        </w:rPr>
        <w:t xml:space="preserve">‏، </w:t>
      </w:r>
      <w:r w:rsidRPr="00927EEB">
        <w:rPr>
          <w:rFonts w:hint="cs"/>
          <w:rtl/>
        </w:rPr>
        <w:t>وكذلك في</w:t>
      </w:r>
      <w:r w:rsidRPr="00927EEB">
        <w:rPr>
          <w:rtl/>
        </w:rPr>
        <w:t xml:space="preserve"> </w:t>
      </w:r>
      <w:hyperlink r:id="rId30" w:history="1">
        <w:r w:rsidRPr="00927EEB">
          <w:rPr>
            <w:rStyle w:val="Hyperlink"/>
            <w:rtl/>
          </w:rPr>
          <w:t>بوابة مشاريع قطاع تنمية الاتصالات</w:t>
        </w:r>
      </w:hyperlink>
      <w:r w:rsidRPr="00927EEB">
        <w:rPr>
          <w:rtl/>
        </w:rPr>
        <w:t xml:space="preserve">، التي تتضمن لوحة </w:t>
      </w:r>
      <w:r w:rsidRPr="00927EEB">
        <w:rPr>
          <w:rFonts w:hint="cs"/>
          <w:rtl/>
        </w:rPr>
        <w:t>معلومات</w:t>
      </w:r>
      <w:r w:rsidRPr="00927EEB">
        <w:rPr>
          <w:rtl/>
        </w:rPr>
        <w:t xml:space="preserve"> تفاعلية لأعضاء الفريق الاستشاري</w:t>
      </w:r>
      <w:r w:rsidRPr="00927EEB">
        <w:rPr>
          <w:rFonts w:hint="cs"/>
          <w:rtl/>
        </w:rPr>
        <w:t xml:space="preserve"> لتنمية الاتصالات</w:t>
      </w:r>
      <w:r w:rsidRPr="00927EEB">
        <w:rPr>
          <w:rtl/>
        </w:rPr>
        <w:t xml:space="preserve"> </w:t>
      </w:r>
      <w:r w:rsidRPr="00927EEB">
        <w:rPr>
          <w:rFonts w:hint="cs"/>
          <w:rtl/>
        </w:rPr>
        <w:t>تتضمن المزيد من ال</w:t>
      </w:r>
      <w:r w:rsidRPr="00927EEB">
        <w:rPr>
          <w:rtl/>
        </w:rPr>
        <w:t xml:space="preserve">معلومات عن حافظة مشاريع </w:t>
      </w:r>
      <w:r w:rsidRPr="00927EEB">
        <w:rPr>
          <w:rFonts w:hint="cs"/>
          <w:rtl/>
        </w:rPr>
        <w:t>ال</w:t>
      </w:r>
      <w:r w:rsidRPr="00927EEB">
        <w:rPr>
          <w:rtl/>
        </w:rPr>
        <w:t>مكتب.</w:t>
      </w:r>
      <w:r w:rsidRPr="00927EEB">
        <w:rPr>
          <w:cs/>
        </w:rPr>
        <w:t>‎</w:t>
      </w:r>
    </w:p>
    <w:p w14:paraId="6E1508D1" w14:textId="4AFB6349" w:rsidR="00587C70" w:rsidRPr="00927EEB" w:rsidRDefault="00587C70" w:rsidP="00EF72E6">
      <w:pPr>
        <w:rPr>
          <w:rtl/>
        </w:rPr>
      </w:pPr>
      <w:r w:rsidRPr="00927EEB">
        <w:t>8.1</w:t>
      </w:r>
      <w:r w:rsidRPr="00927EEB">
        <w:tab/>
      </w:r>
      <w:r w:rsidRPr="00927EEB">
        <w:rPr>
          <w:rtl/>
        </w:rPr>
        <w:t>‏</w:t>
      </w:r>
      <w:r w:rsidRPr="00927EEB">
        <w:rPr>
          <w:b/>
          <w:bCs/>
          <w:rtl/>
        </w:rPr>
        <w:t>المشاريع والشراكات وأنشطة التعاون القائمة</w:t>
      </w:r>
      <w:r w:rsidRPr="00927EEB">
        <w:rPr>
          <w:rtl/>
        </w:rPr>
        <w:t>:</w:t>
      </w:r>
      <w:r w:rsidRPr="00927EEB">
        <w:rPr>
          <w:cs/>
        </w:rPr>
        <w:t>‎</w:t>
      </w:r>
      <w:r w:rsidRPr="00927EEB">
        <w:rPr>
          <w:rFonts w:hint="cs"/>
          <w:rtl/>
        </w:rPr>
        <w:t xml:space="preserve"> </w:t>
      </w:r>
      <w:r w:rsidRPr="00927EEB">
        <w:rPr>
          <w:rtl/>
        </w:rPr>
        <w:t>نفذ مكتب تنمية الاتصالات</w:t>
      </w:r>
      <w:r w:rsidRPr="00927EEB">
        <w:rPr>
          <w:rFonts w:hint="cs"/>
          <w:rtl/>
        </w:rPr>
        <w:t xml:space="preserve"> في عام 2024</w:t>
      </w:r>
      <w:r w:rsidRPr="00927EEB">
        <w:rPr>
          <w:rtl/>
        </w:rPr>
        <w:t xml:space="preserve"> ما مجموعه </w:t>
      </w:r>
      <w:r w:rsidRPr="00927EEB">
        <w:rPr>
          <w:cs/>
        </w:rPr>
        <w:t>‎</w:t>
      </w:r>
      <w:r w:rsidRPr="00927EEB">
        <w:t>105</w:t>
      </w:r>
      <w:r w:rsidRPr="00927EEB">
        <w:rPr>
          <w:rtl/>
        </w:rPr>
        <w:t xml:space="preserve"> ‏مشاريع، بقيمة </w:t>
      </w:r>
      <w:r w:rsidRPr="00927EEB">
        <w:rPr>
          <w:cs/>
        </w:rPr>
        <w:t>‎</w:t>
      </w:r>
      <w:r w:rsidRPr="00927EEB">
        <w:t>91,8</w:t>
      </w:r>
      <w:r w:rsidRPr="00927EEB">
        <w:rPr>
          <w:rtl/>
        </w:rPr>
        <w:t xml:space="preserve"> ‏مل</w:t>
      </w:r>
      <w:r w:rsidRPr="00927EEB">
        <w:rPr>
          <w:rFonts w:hint="cs"/>
          <w:rtl/>
        </w:rPr>
        <w:t>يون</w:t>
      </w:r>
      <w:r w:rsidRPr="00927EEB">
        <w:rPr>
          <w:rtl/>
        </w:rPr>
        <w:t xml:space="preserve"> فرنك سويسري. ويعرض الشكل </w:t>
      </w:r>
      <w:r w:rsidRPr="00927EEB">
        <w:rPr>
          <w:cs/>
        </w:rPr>
        <w:t>‎</w:t>
      </w:r>
      <w:r w:rsidRPr="00927EEB">
        <w:t>1</w:t>
      </w:r>
      <w:r w:rsidRPr="00927EEB">
        <w:rPr>
          <w:rtl/>
        </w:rPr>
        <w:t xml:space="preserve"> ‏التوزيع </w:t>
      </w:r>
      <w:r w:rsidRPr="00927EEB">
        <w:rPr>
          <w:rFonts w:hint="cs"/>
          <w:rtl/>
        </w:rPr>
        <w:t>العام</w:t>
      </w:r>
      <w:r w:rsidRPr="00927EEB">
        <w:rPr>
          <w:rtl/>
        </w:rPr>
        <w:t xml:space="preserve"> لهذه الحافظة بحسب المنطقة </w:t>
      </w:r>
      <w:r w:rsidRPr="00927EEB">
        <w:rPr>
          <w:rFonts w:hint="cs"/>
          <w:rtl/>
        </w:rPr>
        <w:t xml:space="preserve">ويقدم استعراضاً </w:t>
      </w:r>
      <w:r w:rsidRPr="00927EEB">
        <w:rPr>
          <w:rtl/>
        </w:rPr>
        <w:t>(</w:t>
      </w:r>
      <w:r w:rsidRPr="00927EEB">
        <w:rPr>
          <w:cs/>
        </w:rPr>
        <w:t>‎</w:t>
      </w:r>
      <w:r w:rsidRPr="00927EEB">
        <w:t>1</w:t>
      </w:r>
      <w:r w:rsidRPr="00927EEB">
        <w:rPr>
          <w:rtl/>
        </w:rPr>
        <w:t>)</w:t>
      </w:r>
      <w:r w:rsidR="00A27856">
        <w:rPr>
          <w:rFonts w:hint="cs"/>
          <w:rtl/>
        </w:rPr>
        <w:t> </w:t>
      </w:r>
      <w:r w:rsidRPr="00927EEB">
        <w:rPr>
          <w:rtl/>
        </w:rPr>
        <w:t>‏</w:t>
      </w:r>
      <w:r w:rsidRPr="00927EEB">
        <w:rPr>
          <w:rFonts w:hint="cs"/>
          <w:rtl/>
        </w:rPr>
        <w:t>ل</w:t>
      </w:r>
      <w:r w:rsidRPr="00927EEB">
        <w:rPr>
          <w:rtl/>
        </w:rPr>
        <w:t xml:space="preserve">لأموال </w:t>
      </w:r>
      <w:r w:rsidRPr="00927EEB">
        <w:rPr>
          <w:rFonts w:hint="cs"/>
          <w:rtl/>
        </w:rPr>
        <w:t>المعبأة</w:t>
      </w:r>
      <w:r w:rsidRPr="00927EEB">
        <w:rPr>
          <w:rtl/>
        </w:rPr>
        <w:t xml:space="preserve"> لدعم تنفيذ هذه المشاريع، </w:t>
      </w:r>
      <w:r w:rsidRPr="00927EEB">
        <w:rPr>
          <w:rFonts w:hint="cs"/>
          <w:rtl/>
        </w:rPr>
        <w:t>و</w:t>
      </w:r>
      <w:r w:rsidRPr="00927EEB">
        <w:rPr>
          <w:rtl/>
        </w:rPr>
        <w:t>(</w:t>
      </w:r>
      <w:r w:rsidRPr="00927EEB">
        <w:rPr>
          <w:cs/>
        </w:rPr>
        <w:t>‎</w:t>
      </w:r>
      <w:r w:rsidRPr="00927EEB">
        <w:t>2</w:t>
      </w:r>
      <w:r w:rsidRPr="00927EEB">
        <w:rPr>
          <w:rtl/>
        </w:rPr>
        <w:t>) ‏</w:t>
      </w:r>
      <w:r w:rsidRPr="00927EEB">
        <w:rPr>
          <w:rFonts w:hint="cs"/>
          <w:rtl/>
        </w:rPr>
        <w:t>ل</w:t>
      </w:r>
      <w:r w:rsidRPr="00927EEB">
        <w:rPr>
          <w:rtl/>
        </w:rPr>
        <w:t>لتمويل الأولي الذي خصصه الاتحاد من صندوق تنمية تكنولوجيا المعلومات والاتصالات (</w:t>
      </w:r>
      <w:r w:rsidRPr="00927EEB">
        <w:rPr>
          <w:cs/>
        </w:rPr>
        <w:t>‎</w:t>
      </w:r>
      <w:r w:rsidRPr="00927EEB">
        <w:t>ICT-DF</w:t>
      </w:r>
      <w:r w:rsidRPr="00927EEB">
        <w:rPr>
          <w:rtl/>
        </w:rPr>
        <w:t>). ‏</w:t>
      </w:r>
      <w:r w:rsidRPr="00927EEB">
        <w:rPr>
          <w:rFonts w:hint="cs"/>
          <w:rtl/>
        </w:rPr>
        <w:t>ويُتاح في</w:t>
      </w:r>
      <w:r w:rsidRPr="00927EEB">
        <w:rPr>
          <w:rtl/>
        </w:rPr>
        <w:t xml:space="preserve"> الوثيقة </w:t>
      </w:r>
      <w:r w:rsidRPr="00927EEB">
        <w:rPr>
          <w:cs/>
        </w:rPr>
        <w:t>‎</w:t>
      </w:r>
      <w:hyperlink r:id="rId31" w:history="1">
        <w:r w:rsidRPr="00927EEB">
          <w:rPr>
            <w:rStyle w:val="Hyperlink"/>
          </w:rPr>
          <w:t>TDAG-25/5</w:t>
        </w:r>
      </w:hyperlink>
      <w:r w:rsidRPr="00927EEB">
        <w:rPr>
          <w:rtl/>
        </w:rPr>
        <w:t xml:space="preserve"> ‏مزيد من المعلومات عن مشاريع مكتب تنمية الاتصالات</w:t>
      </w:r>
      <w:r w:rsidRPr="00927EEB">
        <w:rPr>
          <w:rFonts w:hint="cs"/>
          <w:rtl/>
        </w:rPr>
        <w:t xml:space="preserve"> ويُتاح </w:t>
      </w:r>
      <w:r w:rsidRPr="00927EEB">
        <w:rPr>
          <w:rtl/>
        </w:rPr>
        <w:t xml:space="preserve">في الوثيقة </w:t>
      </w:r>
      <w:r w:rsidRPr="00927EEB">
        <w:rPr>
          <w:cs/>
        </w:rPr>
        <w:t>‎</w:t>
      </w:r>
      <w:hyperlink r:id="rId32" w:history="1">
        <w:r w:rsidRPr="00927EEB">
          <w:rPr>
            <w:rStyle w:val="Hyperlink"/>
          </w:rPr>
          <w:t>TDAG-25/9</w:t>
        </w:r>
      </w:hyperlink>
      <w:r w:rsidRPr="00927EEB">
        <w:rPr>
          <w:rFonts w:hint="cs"/>
          <w:rtl/>
        </w:rPr>
        <w:t xml:space="preserve"> </w:t>
      </w:r>
      <w:r w:rsidRPr="00927EEB">
        <w:rPr>
          <w:rtl/>
        </w:rPr>
        <w:t>‏مزيد من المعلومات عن جهود تعبئة الموارد و</w:t>
      </w:r>
      <w:r w:rsidRPr="00927EEB">
        <w:rPr>
          <w:rFonts w:hint="cs"/>
          <w:rtl/>
        </w:rPr>
        <w:t xml:space="preserve">عن </w:t>
      </w:r>
      <w:r w:rsidRPr="00927EEB">
        <w:rPr>
          <w:rtl/>
        </w:rPr>
        <w:t>الشراكات</w:t>
      </w:r>
      <w:r w:rsidRPr="00927EEB">
        <w:rPr>
          <w:rFonts w:hint="cs"/>
          <w:rtl/>
        </w:rPr>
        <w:t>.</w:t>
      </w:r>
    </w:p>
    <w:p w14:paraId="7C77EDA9" w14:textId="02E3CFBB" w:rsidR="00587C70" w:rsidRPr="00927EEB" w:rsidRDefault="00587C70" w:rsidP="00927EEB">
      <w:pPr>
        <w:pStyle w:val="Tabletitle"/>
        <w:rPr>
          <w:rtl/>
        </w:rPr>
      </w:pPr>
      <w:r w:rsidRPr="00927EEB">
        <w:rPr>
          <w:rFonts w:hint="cs"/>
          <w:rtl/>
        </w:rPr>
        <w:lastRenderedPageBreak/>
        <w:t xml:space="preserve">الجدول 1: استعراض مشاريع الاتحاد بحسب المنطقة والأنشطة </w:t>
      </w:r>
      <w:proofErr w:type="spellStart"/>
      <w:r w:rsidRPr="00927EEB">
        <w:rPr>
          <w:rFonts w:hint="cs"/>
          <w:rtl/>
        </w:rPr>
        <w:t>المضطلع</w:t>
      </w:r>
      <w:proofErr w:type="spellEnd"/>
      <w:r w:rsidRPr="00927EEB">
        <w:rPr>
          <w:rFonts w:hint="cs"/>
          <w:rtl/>
        </w:rPr>
        <w:t xml:space="preserve"> بها في عام 2024 </w:t>
      </w:r>
      <w:r w:rsidR="00927EEB" w:rsidRPr="00927EEB">
        <w:br/>
      </w:r>
      <w:r w:rsidRPr="00927EEB">
        <w:rPr>
          <w:rFonts w:hint="cs"/>
          <w:rtl/>
        </w:rPr>
        <w:t>(ترد الأرقام بآلاف الفرنكات السويسرية)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41"/>
        <w:gridCol w:w="1734"/>
        <w:gridCol w:w="2285"/>
        <w:gridCol w:w="1733"/>
        <w:gridCol w:w="2436"/>
      </w:tblGrid>
      <w:tr w:rsidR="00587C70" w:rsidRPr="00927EEB" w14:paraId="59ABDE50" w14:textId="77777777" w:rsidTr="00A27856">
        <w:trPr>
          <w:trHeight w:val="852"/>
          <w:jc w:val="center"/>
        </w:trPr>
        <w:tc>
          <w:tcPr>
            <w:tcW w:w="805" w:type="pct"/>
            <w:shd w:val="clear" w:color="auto" w:fill="8DB3E2"/>
            <w:noWrap/>
            <w:vAlign w:val="center"/>
            <w:hideMark/>
          </w:tcPr>
          <w:p w14:paraId="1FE55CA4" w14:textId="77777777" w:rsidR="00587C70" w:rsidRPr="00927EEB" w:rsidRDefault="00587C70" w:rsidP="00927EEB">
            <w:pPr>
              <w:pStyle w:val="TableHead"/>
            </w:pPr>
            <w:r w:rsidRPr="00927EEB">
              <w:rPr>
                <w:rFonts w:hint="cs"/>
                <w:rtl/>
              </w:rPr>
              <w:t>المنطقة</w:t>
            </w:r>
          </w:p>
        </w:tc>
        <w:tc>
          <w:tcPr>
            <w:tcW w:w="957" w:type="pct"/>
            <w:shd w:val="clear" w:color="auto" w:fill="8DB3E2"/>
            <w:noWrap/>
            <w:vAlign w:val="center"/>
            <w:hideMark/>
          </w:tcPr>
          <w:p w14:paraId="3D1FB6F3" w14:textId="77777777" w:rsidR="00587C70" w:rsidRPr="00927EEB" w:rsidRDefault="00587C70" w:rsidP="00927EEB">
            <w:pPr>
              <w:pStyle w:val="TableHead"/>
            </w:pPr>
            <w:r w:rsidRPr="00927EEB">
              <w:rPr>
                <w:rFonts w:hint="cs"/>
                <w:rtl/>
              </w:rPr>
              <w:t>عدد المشاريع</w:t>
            </w:r>
          </w:p>
        </w:tc>
        <w:tc>
          <w:tcPr>
            <w:tcW w:w="1185" w:type="pct"/>
            <w:shd w:val="clear" w:color="auto" w:fill="8DB3E2"/>
            <w:noWrap/>
            <w:vAlign w:val="center"/>
            <w:hideMark/>
          </w:tcPr>
          <w:p w14:paraId="04BA6B09" w14:textId="77777777" w:rsidR="00587C70" w:rsidRPr="00927EEB" w:rsidRDefault="00587C70" w:rsidP="00927EEB">
            <w:pPr>
              <w:pStyle w:val="TableHead"/>
            </w:pPr>
            <w:r w:rsidRPr="00927EEB">
              <w:rPr>
                <w:rFonts w:hint="cs"/>
                <w:rtl/>
              </w:rPr>
              <w:t>التمويل المقدم من الشركاء</w:t>
            </w:r>
            <w:r w:rsidRPr="00927EEB">
              <w:t xml:space="preserve"> </w:t>
            </w:r>
          </w:p>
        </w:tc>
        <w:tc>
          <w:tcPr>
            <w:tcW w:w="956" w:type="pct"/>
            <w:shd w:val="clear" w:color="auto" w:fill="8DB3E2"/>
            <w:noWrap/>
            <w:vAlign w:val="center"/>
          </w:tcPr>
          <w:p w14:paraId="7EA8FB2D" w14:textId="77777777" w:rsidR="00587C70" w:rsidRPr="00927EEB" w:rsidRDefault="00587C70" w:rsidP="00927EEB">
            <w:pPr>
              <w:pStyle w:val="TableHead"/>
            </w:pPr>
            <w:r w:rsidRPr="00927EEB">
              <w:rPr>
                <w:rFonts w:hint="cs"/>
                <w:rtl/>
              </w:rPr>
              <w:t>أموال الاتحاد</w:t>
            </w:r>
          </w:p>
        </w:tc>
        <w:tc>
          <w:tcPr>
            <w:tcW w:w="1097" w:type="pct"/>
            <w:shd w:val="clear" w:color="auto" w:fill="8DB3E2"/>
            <w:noWrap/>
            <w:vAlign w:val="center"/>
            <w:hideMark/>
          </w:tcPr>
          <w:p w14:paraId="33B8F56B" w14:textId="77777777" w:rsidR="00587C70" w:rsidRPr="00927EEB" w:rsidRDefault="00587C70" w:rsidP="00927EEB">
            <w:pPr>
              <w:pStyle w:val="TableHead"/>
            </w:pPr>
            <w:r w:rsidRPr="00927EEB">
              <w:rPr>
                <w:rFonts w:hint="cs"/>
                <w:rtl/>
              </w:rPr>
              <w:t>مجموع مبالغ تمويل المشاريع</w:t>
            </w:r>
          </w:p>
        </w:tc>
      </w:tr>
      <w:tr w:rsidR="00587C70" w:rsidRPr="00927EEB" w14:paraId="4E5819E6" w14:textId="77777777" w:rsidTr="00A27856">
        <w:trPr>
          <w:trHeight w:val="54"/>
          <w:jc w:val="center"/>
        </w:trPr>
        <w:tc>
          <w:tcPr>
            <w:tcW w:w="805" w:type="pct"/>
            <w:hideMark/>
          </w:tcPr>
          <w:p w14:paraId="317C981A" w14:textId="77777777" w:rsidR="00587C70" w:rsidRPr="00927EEB" w:rsidRDefault="00587C70" w:rsidP="00927EEB">
            <w:pPr>
              <w:pStyle w:val="Tabletexte"/>
              <w:keepNext/>
            </w:pPr>
            <w:r w:rsidRPr="00927EEB">
              <w:rPr>
                <w:rFonts w:hint="cs"/>
                <w:rtl/>
              </w:rPr>
              <w:t>إفريقيا</w:t>
            </w:r>
          </w:p>
        </w:tc>
        <w:tc>
          <w:tcPr>
            <w:tcW w:w="957" w:type="pct"/>
            <w:noWrap/>
            <w:vAlign w:val="bottom"/>
            <w:hideMark/>
          </w:tcPr>
          <w:p w14:paraId="13E3ECA6" w14:textId="77777777" w:rsidR="00587C70" w:rsidRPr="00927EEB" w:rsidRDefault="00587C70" w:rsidP="00927EEB">
            <w:pPr>
              <w:pStyle w:val="Tabletexte"/>
              <w:keepNext/>
              <w:jc w:val="center"/>
            </w:pPr>
            <w:r w:rsidRPr="00927EEB">
              <w:t>17</w:t>
            </w:r>
          </w:p>
        </w:tc>
        <w:tc>
          <w:tcPr>
            <w:tcW w:w="1185" w:type="pct"/>
            <w:vAlign w:val="bottom"/>
            <w:hideMark/>
          </w:tcPr>
          <w:p w14:paraId="29FA4F8F" w14:textId="6E5202DF" w:rsidR="00587C70" w:rsidRPr="00927EEB" w:rsidRDefault="00587C70" w:rsidP="00927EEB">
            <w:pPr>
              <w:pStyle w:val="Tabletexte"/>
              <w:keepNext/>
            </w:pPr>
            <w:r w:rsidRPr="001911B1">
              <w:t>26</w:t>
            </w:r>
            <w:r w:rsidR="00927EEB" w:rsidRPr="001911B1">
              <w:t> </w:t>
            </w:r>
            <w:r w:rsidRPr="001911B1">
              <w:t>548</w:t>
            </w:r>
            <w:r w:rsidR="00927EEB" w:rsidRPr="001911B1">
              <w:t>,</w:t>
            </w:r>
            <w:r w:rsidRPr="001911B1">
              <w:t>5</w:t>
            </w:r>
          </w:p>
        </w:tc>
        <w:tc>
          <w:tcPr>
            <w:tcW w:w="956" w:type="pct"/>
            <w:vAlign w:val="bottom"/>
            <w:hideMark/>
          </w:tcPr>
          <w:p w14:paraId="02CADDB8" w14:textId="07BC3CAA" w:rsidR="00587C70" w:rsidRPr="00927EEB" w:rsidRDefault="00587C70" w:rsidP="00927EEB">
            <w:pPr>
              <w:pStyle w:val="Tabletexte"/>
              <w:keepNext/>
            </w:pPr>
            <w:r w:rsidRPr="00927EEB">
              <w:t>1</w:t>
            </w:r>
            <w:r w:rsidR="001911B1">
              <w:t> </w:t>
            </w:r>
            <w:r w:rsidRPr="00927EEB">
              <w:t>516</w:t>
            </w:r>
            <w:r w:rsidR="001911B1">
              <w:t>,</w:t>
            </w:r>
            <w:r w:rsidRPr="00927EEB">
              <w:t>8</w:t>
            </w:r>
          </w:p>
        </w:tc>
        <w:tc>
          <w:tcPr>
            <w:tcW w:w="1097" w:type="pct"/>
            <w:shd w:val="clear" w:color="auto" w:fill="DBE5F1"/>
            <w:vAlign w:val="bottom"/>
            <w:hideMark/>
          </w:tcPr>
          <w:p w14:paraId="3BA89B3C" w14:textId="3CAAAA33" w:rsidR="00587C70" w:rsidRPr="00927EEB" w:rsidRDefault="00587C70" w:rsidP="00927EEB">
            <w:pPr>
              <w:pStyle w:val="Tabletexte"/>
              <w:keepNext/>
            </w:pPr>
            <w:r w:rsidRPr="00927EEB">
              <w:t>28</w:t>
            </w:r>
            <w:r w:rsidR="001911B1">
              <w:t> </w:t>
            </w:r>
            <w:r w:rsidRPr="00927EEB">
              <w:t>197</w:t>
            </w:r>
            <w:r w:rsidR="001911B1">
              <w:t>,</w:t>
            </w:r>
            <w:r w:rsidRPr="00927EEB">
              <w:t>8</w:t>
            </w:r>
          </w:p>
        </w:tc>
      </w:tr>
      <w:tr w:rsidR="00587C70" w:rsidRPr="00927EEB" w14:paraId="7F5CE02E" w14:textId="77777777" w:rsidTr="00A27856">
        <w:trPr>
          <w:trHeight w:val="54"/>
          <w:jc w:val="center"/>
        </w:trPr>
        <w:tc>
          <w:tcPr>
            <w:tcW w:w="805" w:type="pct"/>
            <w:hideMark/>
          </w:tcPr>
          <w:p w14:paraId="24E679E1" w14:textId="77777777" w:rsidR="00587C70" w:rsidRPr="00927EEB" w:rsidRDefault="00587C70" w:rsidP="00927EEB">
            <w:pPr>
              <w:pStyle w:val="Tabletexte"/>
              <w:keepNext/>
            </w:pPr>
            <w:proofErr w:type="spellStart"/>
            <w:r w:rsidRPr="00927EEB">
              <w:rPr>
                <w:rFonts w:hint="cs"/>
                <w:rtl/>
              </w:rPr>
              <w:t>الأمريكتان</w:t>
            </w:r>
            <w:proofErr w:type="spellEnd"/>
          </w:p>
        </w:tc>
        <w:tc>
          <w:tcPr>
            <w:tcW w:w="957" w:type="pct"/>
            <w:noWrap/>
            <w:vAlign w:val="bottom"/>
            <w:hideMark/>
          </w:tcPr>
          <w:p w14:paraId="38DE60BD" w14:textId="77777777" w:rsidR="00587C70" w:rsidRPr="00927EEB" w:rsidRDefault="00587C70" w:rsidP="00927EEB">
            <w:pPr>
              <w:pStyle w:val="Tabletexte"/>
              <w:keepNext/>
              <w:jc w:val="center"/>
            </w:pPr>
            <w:r w:rsidRPr="00927EEB">
              <w:t>19</w:t>
            </w:r>
          </w:p>
        </w:tc>
        <w:tc>
          <w:tcPr>
            <w:tcW w:w="1185" w:type="pct"/>
            <w:vAlign w:val="bottom"/>
            <w:hideMark/>
          </w:tcPr>
          <w:p w14:paraId="46320EBF" w14:textId="24E23EE8" w:rsidR="00587C70" w:rsidRPr="00927EEB" w:rsidRDefault="00587C70" w:rsidP="00927EEB">
            <w:pPr>
              <w:pStyle w:val="Tabletexte"/>
              <w:keepNext/>
            </w:pPr>
            <w:r w:rsidRPr="00927EEB">
              <w:t>12</w:t>
            </w:r>
            <w:r w:rsidR="001911B1">
              <w:t> </w:t>
            </w:r>
            <w:r w:rsidRPr="00927EEB">
              <w:t>600</w:t>
            </w:r>
            <w:r w:rsidR="001911B1">
              <w:t>,</w:t>
            </w:r>
            <w:r w:rsidRPr="00927EEB">
              <w:t>3</w:t>
            </w:r>
          </w:p>
        </w:tc>
        <w:tc>
          <w:tcPr>
            <w:tcW w:w="956" w:type="pct"/>
            <w:vAlign w:val="bottom"/>
            <w:hideMark/>
          </w:tcPr>
          <w:p w14:paraId="096C984C" w14:textId="6CA5BA3E" w:rsidR="00587C70" w:rsidRPr="00927EEB" w:rsidRDefault="00587C70" w:rsidP="00927EEB">
            <w:pPr>
              <w:pStyle w:val="Tabletexte"/>
              <w:keepNext/>
            </w:pPr>
            <w:r w:rsidRPr="00927EEB">
              <w:t>335</w:t>
            </w:r>
            <w:r w:rsidR="0076392F">
              <w:t>,</w:t>
            </w:r>
            <w:r w:rsidRPr="00927EEB">
              <w:t>5</w:t>
            </w:r>
          </w:p>
        </w:tc>
        <w:tc>
          <w:tcPr>
            <w:tcW w:w="1097" w:type="pct"/>
            <w:shd w:val="clear" w:color="auto" w:fill="DBE5F1"/>
            <w:vAlign w:val="bottom"/>
            <w:hideMark/>
          </w:tcPr>
          <w:p w14:paraId="261B4618" w14:textId="087857E9" w:rsidR="00587C70" w:rsidRPr="00927EEB" w:rsidRDefault="00587C70" w:rsidP="00927EEB">
            <w:pPr>
              <w:pStyle w:val="Tabletexte"/>
              <w:keepNext/>
            </w:pPr>
            <w:r w:rsidRPr="00927EEB">
              <w:t>13</w:t>
            </w:r>
            <w:r w:rsidR="001911B1">
              <w:t> </w:t>
            </w:r>
            <w:r w:rsidRPr="00927EEB">
              <w:t>211</w:t>
            </w:r>
            <w:r w:rsidR="001911B1">
              <w:t>,</w:t>
            </w:r>
            <w:r w:rsidRPr="00927EEB">
              <w:t>4</w:t>
            </w:r>
          </w:p>
        </w:tc>
      </w:tr>
      <w:tr w:rsidR="00587C70" w:rsidRPr="00927EEB" w14:paraId="4FDD3CCE" w14:textId="77777777" w:rsidTr="00A27856">
        <w:trPr>
          <w:trHeight w:val="300"/>
          <w:jc w:val="center"/>
        </w:trPr>
        <w:tc>
          <w:tcPr>
            <w:tcW w:w="805" w:type="pct"/>
            <w:hideMark/>
          </w:tcPr>
          <w:p w14:paraId="29114045" w14:textId="77777777" w:rsidR="00587C70" w:rsidRPr="00927EEB" w:rsidRDefault="00587C70" w:rsidP="00927EEB">
            <w:pPr>
              <w:pStyle w:val="Tabletexte"/>
              <w:keepNext/>
              <w:rPr>
                <w:lang w:val="en-GB"/>
              </w:rPr>
            </w:pPr>
            <w:r w:rsidRPr="00927EEB">
              <w:rPr>
                <w:rFonts w:hint="cs"/>
                <w:rtl/>
              </w:rPr>
              <w:t>الدول العربية</w:t>
            </w:r>
          </w:p>
        </w:tc>
        <w:tc>
          <w:tcPr>
            <w:tcW w:w="957" w:type="pct"/>
            <w:vAlign w:val="bottom"/>
            <w:hideMark/>
          </w:tcPr>
          <w:p w14:paraId="15DB5EC7" w14:textId="77777777" w:rsidR="00587C70" w:rsidRPr="00927EEB" w:rsidRDefault="00587C70" w:rsidP="00927EEB">
            <w:pPr>
              <w:pStyle w:val="Tabletexte"/>
              <w:keepNext/>
              <w:jc w:val="center"/>
            </w:pPr>
            <w:r w:rsidRPr="00927EEB">
              <w:t>5</w:t>
            </w:r>
          </w:p>
        </w:tc>
        <w:tc>
          <w:tcPr>
            <w:tcW w:w="1185" w:type="pct"/>
            <w:vAlign w:val="bottom"/>
            <w:hideMark/>
          </w:tcPr>
          <w:p w14:paraId="1BCFA541" w14:textId="5E9DBACE" w:rsidR="00587C70" w:rsidRPr="00927EEB" w:rsidRDefault="00587C70" w:rsidP="00927EEB">
            <w:pPr>
              <w:pStyle w:val="Tabletexte"/>
              <w:keepNext/>
            </w:pPr>
            <w:r w:rsidRPr="00927EEB">
              <w:t>2</w:t>
            </w:r>
            <w:r w:rsidR="001911B1">
              <w:t> </w:t>
            </w:r>
            <w:r w:rsidRPr="00927EEB">
              <w:t>989</w:t>
            </w:r>
            <w:r w:rsidR="001911B1">
              <w:t>,</w:t>
            </w:r>
            <w:r w:rsidRPr="00927EEB">
              <w:t>6</w:t>
            </w:r>
          </w:p>
        </w:tc>
        <w:tc>
          <w:tcPr>
            <w:tcW w:w="956" w:type="pct"/>
            <w:vAlign w:val="bottom"/>
            <w:hideMark/>
          </w:tcPr>
          <w:p w14:paraId="0803617E" w14:textId="551F9C01" w:rsidR="00587C70" w:rsidRPr="00927EEB" w:rsidRDefault="00587C70" w:rsidP="00927EEB">
            <w:pPr>
              <w:pStyle w:val="Tabletexte"/>
              <w:keepNext/>
            </w:pPr>
            <w:r w:rsidRPr="00927EEB">
              <w:t>664</w:t>
            </w:r>
            <w:r w:rsidR="0076392F">
              <w:t>,</w:t>
            </w:r>
            <w:r w:rsidRPr="00927EEB">
              <w:t>5</w:t>
            </w:r>
          </w:p>
        </w:tc>
        <w:tc>
          <w:tcPr>
            <w:tcW w:w="1097" w:type="pct"/>
            <w:shd w:val="clear" w:color="auto" w:fill="DBE5F1"/>
            <w:vAlign w:val="bottom"/>
            <w:hideMark/>
          </w:tcPr>
          <w:p w14:paraId="04BFDF11" w14:textId="47C25478" w:rsidR="00587C70" w:rsidRPr="00927EEB" w:rsidRDefault="00587C70" w:rsidP="00927EEB">
            <w:pPr>
              <w:pStyle w:val="Tabletexte"/>
              <w:keepNext/>
            </w:pPr>
            <w:r w:rsidRPr="00927EEB">
              <w:t>3</w:t>
            </w:r>
            <w:r w:rsidR="001911B1">
              <w:t> </w:t>
            </w:r>
            <w:r w:rsidRPr="00927EEB">
              <w:t>654</w:t>
            </w:r>
            <w:r w:rsidR="001911B1">
              <w:t>,</w:t>
            </w:r>
            <w:r w:rsidRPr="00927EEB">
              <w:t>1</w:t>
            </w:r>
          </w:p>
        </w:tc>
      </w:tr>
      <w:tr w:rsidR="00587C70" w:rsidRPr="00927EEB" w14:paraId="7652FEB5" w14:textId="77777777" w:rsidTr="00A27856">
        <w:trPr>
          <w:trHeight w:val="54"/>
          <w:jc w:val="center"/>
        </w:trPr>
        <w:tc>
          <w:tcPr>
            <w:tcW w:w="805" w:type="pct"/>
            <w:vAlign w:val="center"/>
            <w:hideMark/>
          </w:tcPr>
          <w:p w14:paraId="75729C6D" w14:textId="61355F04" w:rsidR="00587C70" w:rsidRPr="00927EEB" w:rsidRDefault="00587C70" w:rsidP="00927EEB">
            <w:pPr>
              <w:pStyle w:val="Tabletexte"/>
              <w:keepNext/>
              <w:jc w:val="left"/>
            </w:pPr>
            <w:r w:rsidRPr="00927EEB">
              <w:rPr>
                <w:rFonts w:hint="cs"/>
                <w:rtl/>
              </w:rPr>
              <w:t xml:space="preserve">آسيا والمحيط </w:t>
            </w:r>
            <w:r w:rsidR="00927EEB">
              <w:br/>
            </w:r>
            <w:r w:rsidRPr="00927EEB">
              <w:rPr>
                <w:rFonts w:hint="cs"/>
                <w:rtl/>
              </w:rPr>
              <w:t>الهادئ</w:t>
            </w:r>
          </w:p>
        </w:tc>
        <w:tc>
          <w:tcPr>
            <w:tcW w:w="957" w:type="pct"/>
            <w:noWrap/>
            <w:vAlign w:val="bottom"/>
            <w:hideMark/>
          </w:tcPr>
          <w:p w14:paraId="48E7E986" w14:textId="77777777" w:rsidR="00587C70" w:rsidRPr="00927EEB" w:rsidRDefault="00587C70" w:rsidP="00927EEB">
            <w:pPr>
              <w:pStyle w:val="Tabletexte"/>
              <w:keepNext/>
              <w:jc w:val="center"/>
            </w:pPr>
            <w:r w:rsidRPr="00927EEB">
              <w:t>15</w:t>
            </w:r>
          </w:p>
        </w:tc>
        <w:tc>
          <w:tcPr>
            <w:tcW w:w="1185" w:type="pct"/>
            <w:vAlign w:val="bottom"/>
            <w:hideMark/>
          </w:tcPr>
          <w:p w14:paraId="03F69120" w14:textId="6DDBC319" w:rsidR="00587C70" w:rsidRPr="00927EEB" w:rsidRDefault="00587C70" w:rsidP="00927EEB">
            <w:pPr>
              <w:pStyle w:val="Tabletexte"/>
              <w:keepNext/>
            </w:pPr>
            <w:r w:rsidRPr="00927EEB">
              <w:t>6</w:t>
            </w:r>
            <w:r w:rsidR="001911B1">
              <w:t> </w:t>
            </w:r>
            <w:r w:rsidRPr="00927EEB">
              <w:t>667</w:t>
            </w:r>
            <w:r w:rsidR="001911B1">
              <w:t>,</w:t>
            </w:r>
            <w:r w:rsidRPr="00927EEB">
              <w:t>2</w:t>
            </w:r>
          </w:p>
        </w:tc>
        <w:tc>
          <w:tcPr>
            <w:tcW w:w="956" w:type="pct"/>
            <w:vAlign w:val="bottom"/>
          </w:tcPr>
          <w:p w14:paraId="252A2B21" w14:textId="13FF0A2F" w:rsidR="00587C70" w:rsidRPr="00927EEB" w:rsidRDefault="00587C70" w:rsidP="00927EEB">
            <w:pPr>
              <w:pStyle w:val="Tabletexte"/>
              <w:keepNext/>
            </w:pPr>
            <w:r w:rsidRPr="00927EEB">
              <w:t>655</w:t>
            </w:r>
            <w:r w:rsidR="0076392F">
              <w:t>,</w:t>
            </w:r>
            <w:r w:rsidRPr="00927EEB">
              <w:t>6</w:t>
            </w:r>
          </w:p>
        </w:tc>
        <w:tc>
          <w:tcPr>
            <w:tcW w:w="1097" w:type="pct"/>
            <w:shd w:val="clear" w:color="auto" w:fill="DBE5F1"/>
            <w:vAlign w:val="bottom"/>
            <w:hideMark/>
          </w:tcPr>
          <w:p w14:paraId="5DC554CC" w14:textId="440B99A5" w:rsidR="00587C70" w:rsidRPr="00927EEB" w:rsidRDefault="00587C70" w:rsidP="00927EEB">
            <w:pPr>
              <w:pStyle w:val="Tabletexte"/>
              <w:keepNext/>
            </w:pPr>
            <w:r w:rsidRPr="00927EEB">
              <w:t>7</w:t>
            </w:r>
            <w:r w:rsidR="001911B1">
              <w:t> </w:t>
            </w:r>
            <w:r w:rsidRPr="00927EEB">
              <w:t>804</w:t>
            </w:r>
            <w:r w:rsidR="001911B1">
              <w:t>,</w:t>
            </w:r>
            <w:r w:rsidRPr="00927EEB">
              <w:t>7</w:t>
            </w:r>
          </w:p>
        </w:tc>
      </w:tr>
      <w:tr w:rsidR="00587C70" w:rsidRPr="00927EEB" w14:paraId="27B99CC6" w14:textId="77777777" w:rsidTr="00A27856">
        <w:trPr>
          <w:trHeight w:val="54"/>
          <w:jc w:val="center"/>
        </w:trPr>
        <w:tc>
          <w:tcPr>
            <w:tcW w:w="805" w:type="pct"/>
            <w:hideMark/>
          </w:tcPr>
          <w:p w14:paraId="69025578" w14:textId="0810D96B" w:rsidR="00587C70" w:rsidRPr="00927EEB" w:rsidRDefault="00587C70" w:rsidP="00927EEB">
            <w:pPr>
              <w:pStyle w:val="Tabletexte"/>
              <w:keepNext/>
              <w:jc w:val="left"/>
            </w:pPr>
            <w:r w:rsidRPr="00927EEB">
              <w:rPr>
                <w:rFonts w:hint="cs"/>
                <w:rtl/>
              </w:rPr>
              <w:t xml:space="preserve">كومنولث الدول </w:t>
            </w:r>
            <w:r w:rsidR="00927EEB">
              <w:br/>
            </w:r>
            <w:r w:rsidRPr="00927EEB">
              <w:rPr>
                <w:rFonts w:hint="cs"/>
                <w:rtl/>
              </w:rPr>
              <w:t>المستقلة</w:t>
            </w:r>
          </w:p>
        </w:tc>
        <w:tc>
          <w:tcPr>
            <w:tcW w:w="957" w:type="pct"/>
            <w:vAlign w:val="bottom"/>
            <w:hideMark/>
          </w:tcPr>
          <w:p w14:paraId="1995D634" w14:textId="77777777" w:rsidR="00587C70" w:rsidRPr="00927EEB" w:rsidRDefault="00587C70" w:rsidP="00927EEB">
            <w:pPr>
              <w:pStyle w:val="Tabletexte"/>
              <w:keepNext/>
              <w:jc w:val="center"/>
            </w:pPr>
            <w:r w:rsidRPr="00927EEB">
              <w:t>4</w:t>
            </w:r>
          </w:p>
        </w:tc>
        <w:tc>
          <w:tcPr>
            <w:tcW w:w="1185" w:type="pct"/>
            <w:vAlign w:val="bottom"/>
            <w:hideMark/>
          </w:tcPr>
          <w:p w14:paraId="24475B2A" w14:textId="16CF7567" w:rsidR="00587C70" w:rsidRPr="00927EEB" w:rsidRDefault="00587C70" w:rsidP="00927EEB">
            <w:pPr>
              <w:pStyle w:val="Tabletexte"/>
              <w:keepNext/>
            </w:pPr>
            <w:r w:rsidRPr="00927EEB">
              <w:t>342</w:t>
            </w:r>
            <w:r w:rsidR="0076392F">
              <w:t>,</w:t>
            </w:r>
            <w:r w:rsidRPr="00927EEB">
              <w:t>0</w:t>
            </w:r>
          </w:p>
        </w:tc>
        <w:tc>
          <w:tcPr>
            <w:tcW w:w="956" w:type="pct"/>
            <w:vAlign w:val="bottom"/>
          </w:tcPr>
          <w:p w14:paraId="60811EAA" w14:textId="0AA09735" w:rsidR="00587C70" w:rsidRPr="00927EEB" w:rsidRDefault="00587C70" w:rsidP="00927EEB">
            <w:pPr>
              <w:pStyle w:val="Tabletexte"/>
              <w:keepNext/>
            </w:pPr>
            <w:r w:rsidRPr="00927EEB">
              <w:t>532</w:t>
            </w:r>
            <w:r w:rsidR="0076392F">
              <w:t>,</w:t>
            </w:r>
            <w:r w:rsidRPr="00927EEB">
              <w:t>2</w:t>
            </w:r>
          </w:p>
        </w:tc>
        <w:tc>
          <w:tcPr>
            <w:tcW w:w="1097" w:type="pct"/>
            <w:shd w:val="clear" w:color="auto" w:fill="DBE5F1"/>
            <w:vAlign w:val="bottom"/>
            <w:hideMark/>
          </w:tcPr>
          <w:p w14:paraId="548259BD" w14:textId="2C2525FB" w:rsidR="00587C70" w:rsidRPr="00927EEB" w:rsidRDefault="00587C70" w:rsidP="00927EEB">
            <w:pPr>
              <w:pStyle w:val="Tabletexte"/>
              <w:keepNext/>
            </w:pPr>
            <w:r w:rsidRPr="00927EEB">
              <w:t>874</w:t>
            </w:r>
            <w:r w:rsidR="0076392F">
              <w:t>,</w:t>
            </w:r>
            <w:r w:rsidRPr="00927EEB">
              <w:t>1</w:t>
            </w:r>
          </w:p>
        </w:tc>
      </w:tr>
      <w:tr w:rsidR="00587C70" w:rsidRPr="00927EEB" w14:paraId="0F2CC5D8" w14:textId="77777777" w:rsidTr="00A27856">
        <w:trPr>
          <w:trHeight w:val="54"/>
          <w:jc w:val="center"/>
        </w:trPr>
        <w:tc>
          <w:tcPr>
            <w:tcW w:w="805" w:type="pct"/>
            <w:vAlign w:val="bottom"/>
            <w:hideMark/>
          </w:tcPr>
          <w:p w14:paraId="16C02E1A" w14:textId="77777777" w:rsidR="00587C70" w:rsidRPr="00927EEB" w:rsidRDefault="00587C70" w:rsidP="00927EEB">
            <w:pPr>
              <w:pStyle w:val="Tabletexte"/>
              <w:keepNext/>
            </w:pPr>
            <w:r w:rsidRPr="00927EEB">
              <w:rPr>
                <w:rFonts w:hint="cs"/>
                <w:rtl/>
              </w:rPr>
              <w:t>أوروبا</w:t>
            </w:r>
          </w:p>
        </w:tc>
        <w:tc>
          <w:tcPr>
            <w:tcW w:w="957" w:type="pct"/>
            <w:vAlign w:val="bottom"/>
            <w:hideMark/>
          </w:tcPr>
          <w:p w14:paraId="65B54A93" w14:textId="77777777" w:rsidR="00587C70" w:rsidRPr="00927EEB" w:rsidRDefault="00587C70" w:rsidP="00927EEB">
            <w:pPr>
              <w:pStyle w:val="Tabletexte"/>
              <w:keepNext/>
              <w:jc w:val="center"/>
            </w:pPr>
            <w:r w:rsidRPr="00927EEB">
              <w:t>4</w:t>
            </w:r>
          </w:p>
        </w:tc>
        <w:tc>
          <w:tcPr>
            <w:tcW w:w="1185" w:type="pct"/>
            <w:vAlign w:val="bottom"/>
            <w:hideMark/>
          </w:tcPr>
          <w:p w14:paraId="76FACCE7" w14:textId="13AD73A4" w:rsidR="00587C70" w:rsidRPr="00927EEB" w:rsidRDefault="00587C70" w:rsidP="00927EEB">
            <w:pPr>
              <w:pStyle w:val="Tabletexte"/>
              <w:keepNext/>
            </w:pPr>
            <w:r w:rsidRPr="00927EEB">
              <w:t>4</w:t>
            </w:r>
            <w:r w:rsidR="001911B1">
              <w:t> </w:t>
            </w:r>
            <w:r w:rsidRPr="00927EEB">
              <w:t>034</w:t>
            </w:r>
            <w:r w:rsidR="001911B1">
              <w:t>,</w:t>
            </w:r>
            <w:r w:rsidRPr="00927EEB">
              <w:t>6</w:t>
            </w:r>
          </w:p>
        </w:tc>
        <w:tc>
          <w:tcPr>
            <w:tcW w:w="956" w:type="pct"/>
            <w:vAlign w:val="bottom"/>
          </w:tcPr>
          <w:p w14:paraId="0E93C284" w14:textId="7DD44414" w:rsidR="00587C70" w:rsidRPr="00927EEB" w:rsidRDefault="00587C70" w:rsidP="00927EEB">
            <w:pPr>
              <w:pStyle w:val="Tabletexte"/>
              <w:keepNext/>
            </w:pPr>
            <w:r w:rsidRPr="00927EEB">
              <w:t>44</w:t>
            </w:r>
            <w:r w:rsidR="0076392F">
              <w:t>,</w:t>
            </w:r>
            <w:r w:rsidRPr="00927EEB">
              <w:t>2</w:t>
            </w:r>
          </w:p>
        </w:tc>
        <w:tc>
          <w:tcPr>
            <w:tcW w:w="1097" w:type="pct"/>
            <w:shd w:val="clear" w:color="auto" w:fill="DBE5F1"/>
            <w:vAlign w:val="bottom"/>
            <w:hideMark/>
          </w:tcPr>
          <w:p w14:paraId="5599FA86" w14:textId="27BBD65B" w:rsidR="00587C70" w:rsidRPr="00927EEB" w:rsidRDefault="00587C70" w:rsidP="00927EEB">
            <w:pPr>
              <w:pStyle w:val="Tabletexte"/>
              <w:keepNext/>
            </w:pPr>
            <w:r w:rsidRPr="00927EEB">
              <w:t>4</w:t>
            </w:r>
            <w:r w:rsidR="001911B1">
              <w:t> </w:t>
            </w:r>
            <w:r w:rsidRPr="00927EEB">
              <w:t>078</w:t>
            </w:r>
            <w:r w:rsidR="001911B1">
              <w:t>,</w:t>
            </w:r>
            <w:r w:rsidRPr="00927EEB">
              <w:t>8</w:t>
            </w:r>
          </w:p>
        </w:tc>
      </w:tr>
      <w:tr w:rsidR="00587C70" w:rsidRPr="00927EEB" w14:paraId="277DEFF2" w14:textId="77777777" w:rsidTr="00A27856">
        <w:trPr>
          <w:trHeight w:val="54"/>
          <w:jc w:val="center"/>
        </w:trPr>
        <w:tc>
          <w:tcPr>
            <w:tcW w:w="805" w:type="pct"/>
            <w:hideMark/>
          </w:tcPr>
          <w:p w14:paraId="43AE96CE" w14:textId="097194F2" w:rsidR="00587C70" w:rsidRPr="00927EEB" w:rsidRDefault="00587C70" w:rsidP="00927EEB">
            <w:pPr>
              <w:pStyle w:val="Tabletexte"/>
              <w:keepNext/>
            </w:pPr>
            <w:r w:rsidRPr="00927EEB">
              <w:rPr>
                <w:rFonts w:hint="cs"/>
                <w:rtl/>
              </w:rPr>
              <w:t>مناطق متعددة</w:t>
            </w:r>
            <w:r w:rsidR="00927EEB">
              <w:br/>
            </w:r>
            <w:r w:rsidRPr="00927EEB">
              <w:t xml:space="preserve"> (*)</w:t>
            </w:r>
          </w:p>
        </w:tc>
        <w:tc>
          <w:tcPr>
            <w:tcW w:w="957" w:type="pct"/>
            <w:noWrap/>
            <w:vAlign w:val="bottom"/>
            <w:hideMark/>
          </w:tcPr>
          <w:p w14:paraId="1BDC448A" w14:textId="77777777" w:rsidR="00587C70" w:rsidRPr="00927EEB" w:rsidRDefault="00587C70" w:rsidP="00927EEB">
            <w:pPr>
              <w:pStyle w:val="Tabletexte"/>
              <w:keepNext/>
              <w:jc w:val="center"/>
            </w:pPr>
            <w:r w:rsidRPr="00927EEB">
              <w:t>41</w:t>
            </w:r>
          </w:p>
        </w:tc>
        <w:tc>
          <w:tcPr>
            <w:tcW w:w="1185" w:type="pct"/>
            <w:vAlign w:val="bottom"/>
            <w:hideMark/>
          </w:tcPr>
          <w:p w14:paraId="6C3E2498" w14:textId="6343775B" w:rsidR="00587C70" w:rsidRPr="00927EEB" w:rsidRDefault="00587C70" w:rsidP="00927EEB">
            <w:pPr>
              <w:pStyle w:val="Tabletexte"/>
              <w:keepNext/>
            </w:pPr>
            <w:r w:rsidRPr="00927EEB">
              <w:t>26</w:t>
            </w:r>
            <w:r w:rsidR="001911B1">
              <w:t> </w:t>
            </w:r>
            <w:r w:rsidRPr="00927EEB">
              <w:t>852</w:t>
            </w:r>
            <w:r w:rsidR="001911B1">
              <w:t>,</w:t>
            </w:r>
            <w:r w:rsidRPr="00927EEB">
              <w:t>4</w:t>
            </w:r>
          </w:p>
        </w:tc>
        <w:tc>
          <w:tcPr>
            <w:tcW w:w="956" w:type="pct"/>
            <w:vAlign w:val="bottom"/>
            <w:hideMark/>
          </w:tcPr>
          <w:p w14:paraId="270EB97B" w14:textId="494B098E" w:rsidR="00587C70" w:rsidRPr="00927EEB" w:rsidRDefault="00587C70" w:rsidP="00927EEB">
            <w:pPr>
              <w:pStyle w:val="Tabletexte"/>
              <w:keepNext/>
            </w:pPr>
            <w:r w:rsidRPr="00927EEB">
              <w:t>6</w:t>
            </w:r>
            <w:r w:rsidR="001911B1">
              <w:t> </w:t>
            </w:r>
            <w:r w:rsidRPr="00927EEB">
              <w:t>676</w:t>
            </w:r>
            <w:r w:rsidR="001911B1">
              <w:t>,</w:t>
            </w:r>
            <w:r w:rsidRPr="00927EEB">
              <w:t>5</w:t>
            </w:r>
          </w:p>
        </w:tc>
        <w:tc>
          <w:tcPr>
            <w:tcW w:w="1097" w:type="pct"/>
            <w:shd w:val="clear" w:color="auto" w:fill="DBE5F1"/>
            <w:vAlign w:val="bottom"/>
            <w:hideMark/>
          </w:tcPr>
          <w:p w14:paraId="7AEE6AA3" w14:textId="0F4D9BB8" w:rsidR="00587C70" w:rsidRPr="00927EEB" w:rsidRDefault="00587C70" w:rsidP="00927EEB">
            <w:pPr>
              <w:pStyle w:val="Tabletexte"/>
              <w:keepNext/>
            </w:pPr>
            <w:r w:rsidRPr="00927EEB">
              <w:t>33</w:t>
            </w:r>
            <w:r w:rsidR="001911B1">
              <w:t> </w:t>
            </w:r>
            <w:r w:rsidRPr="00927EEB">
              <w:t>979</w:t>
            </w:r>
            <w:r w:rsidR="001911B1">
              <w:t>,</w:t>
            </w:r>
            <w:r w:rsidRPr="00927EEB">
              <w:t>1</w:t>
            </w:r>
          </w:p>
        </w:tc>
      </w:tr>
      <w:tr w:rsidR="00587C70" w:rsidRPr="00927EEB" w14:paraId="6E9B2096" w14:textId="77777777" w:rsidTr="00A27856">
        <w:trPr>
          <w:trHeight w:val="54"/>
          <w:jc w:val="center"/>
        </w:trPr>
        <w:tc>
          <w:tcPr>
            <w:tcW w:w="805" w:type="pct"/>
            <w:shd w:val="clear" w:color="auto" w:fill="DBE5F1"/>
            <w:noWrap/>
            <w:vAlign w:val="center"/>
            <w:hideMark/>
          </w:tcPr>
          <w:p w14:paraId="256ACCCA" w14:textId="77777777" w:rsidR="00587C70" w:rsidRPr="00927EEB" w:rsidRDefault="00587C70" w:rsidP="00927EEB">
            <w:pPr>
              <w:pStyle w:val="Tabletexte"/>
              <w:keepNext/>
              <w:rPr>
                <w:b/>
                <w:bCs/>
              </w:rPr>
            </w:pPr>
            <w:r w:rsidRPr="00927EEB">
              <w:rPr>
                <w:rFonts w:hint="cs"/>
                <w:b/>
                <w:bCs/>
                <w:rtl/>
              </w:rPr>
              <w:t>المجموع</w:t>
            </w:r>
          </w:p>
        </w:tc>
        <w:tc>
          <w:tcPr>
            <w:tcW w:w="957" w:type="pct"/>
            <w:shd w:val="clear" w:color="auto" w:fill="DBE5F1"/>
            <w:noWrap/>
            <w:vAlign w:val="bottom"/>
            <w:hideMark/>
          </w:tcPr>
          <w:p w14:paraId="0D3F2BDD" w14:textId="77777777" w:rsidR="00587C70" w:rsidRPr="00927EEB" w:rsidRDefault="00587C70" w:rsidP="00927EEB">
            <w:pPr>
              <w:pStyle w:val="Tabletexte"/>
              <w:keepNext/>
              <w:jc w:val="center"/>
              <w:rPr>
                <w:b/>
                <w:bCs/>
              </w:rPr>
            </w:pPr>
            <w:r w:rsidRPr="00927EEB">
              <w:rPr>
                <w:b/>
                <w:bCs/>
              </w:rPr>
              <w:t>105</w:t>
            </w:r>
          </w:p>
        </w:tc>
        <w:tc>
          <w:tcPr>
            <w:tcW w:w="1185" w:type="pct"/>
            <w:shd w:val="clear" w:color="auto" w:fill="DBE5F1"/>
            <w:noWrap/>
            <w:vAlign w:val="bottom"/>
            <w:hideMark/>
          </w:tcPr>
          <w:p w14:paraId="4B8285E4" w14:textId="49CFD1B6" w:rsidR="00587C70" w:rsidRPr="00927EEB" w:rsidRDefault="00587C70" w:rsidP="00927EEB">
            <w:pPr>
              <w:pStyle w:val="Tabletexte"/>
              <w:keepNext/>
              <w:rPr>
                <w:b/>
                <w:bCs/>
              </w:rPr>
            </w:pPr>
            <w:r w:rsidRPr="00927EEB">
              <w:rPr>
                <w:b/>
                <w:bCs/>
              </w:rPr>
              <w:t>80</w:t>
            </w:r>
            <w:r w:rsidR="001911B1">
              <w:rPr>
                <w:b/>
                <w:bCs/>
              </w:rPr>
              <w:t> </w:t>
            </w:r>
            <w:r w:rsidRPr="00927EEB">
              <w:rPr>
                <w:b/>
                <w:bCs/>
              </w:rPr>
              <w:t>034</w:t>
            </w:r>
            <w:r w:rsidR="001911B1">
              <w:rPr>
                <w:b/>
                <w:bCs/>
              </w:rPr>
              <w:t>,</w:t>
            </w:r>
            <w:r w:rsidRPr="00927EEB">
              <w:rPr>
                <w:b/>
                <w:bCs/>
              </w:rPr>
              <w:t>7</w:t>
            </w:r>
          </w:p>
        </w:tc>
        <w:tc>
          <w:tcPr>
            <w:tcW w:w="956" w:type="pct"/>
            <w:shd w:val="clear" w:color="auto" w:fill="DBE5F1"/>
            <w:noWrap/>
            <w:vAlign w:val="bottom"/>
            <w:hideMark/>
          </w:tcPr>
          <w:p w14:paraId="6957560A" w14:textId="0913BF04" w:rsidR="00587C70" w:rsidRPr="00927EEB" w:rsidRDefault="00587C70" w:rsidP="00927EEB">
            <w:pPr>
              <w:pStyle w:val="Tabletexte"/>
              <w:keepNext/>
              <w:rPr>
                <w:b/>
                <w:bCs/>
              </w:rPr>
            </w:pPr>
            <w:r w:rsidRPr="00927EEB">
              <w:rPr>
                <w:b/>
                <w:bCs/>
              </w:rPr>
              <w:t>10</w:t>
            </w:r>
            <w:r w:rsidR="001911B1">
              <w:rPr>
                <w:b/>
                <w:bCs/>
              </w:rPr>
              <w:t> </w:t>
            </w:r>
            <w:r w:rsidRPr="00927EEB">
              <w:rPr>
                <w:b/>
                <w:bCs/>
              </w:rPr>
              <w:t>425</w:t>
            </w:r>
            <w:r w:rsidR="001911B1">
              <w:rPr>
                <w:b/>
                <w:bCs/>
              </w:rPr>
              <w:t>,</w:t>
            </w:r>
            <w:r w:rsidRPr="00927EEB">
              <w:rPr>
                <w:b/>
                <w:bCs/>
              </w:rPr>
              <w:t>3</w:t>
            </w:r>
          </w:p>
        </w:tc>
        <w:tc>
          <w:tcPr>
            <w:tcW w:w="1097" w:type="pct"/>
            <w:shd w:val="clear" w:color="auto" w:fill="DBE5F1"/>
            <w:noWrap/>
            <w:vAlign w:val="bottom"/>
            <w:hideMark/>
          </w:tcPr>
          <w:p w14:paraId="568CB225" w14:textId="00433B09" w:rsidR="00587C70" w:rsidRPr="00927EEB" w:rsidRDefault="00587C70" w:rsidP="00927EEB">
            <w:pPr>
              <w:pStyle w:val="Tabletexte"/>
              <w:keepNext/>
              <w:rPr>
                <w:b/>
                <w:bCs/>
              </w:rPr>
            </w:pPr>
            <w:r w:rsidRPr="00927EEB">
              <w:rPr>
                <w:b/>
                <w:bCs/>
              </w:rPr>
              <w:t>91</w:t>
            </w:r>
            <w:r w:rsidR="001911B1">
              <w:rPr>
                <w:b/>
                <w:bCs/>
              </w:rPr>
              <w:t> </w:t>
            </w:r>
            <w:r w:rsidRPr="00927EEB">
              <w:rPr>
                <w:b/>
                <w:bCs/>
              </w:rPr>
              <w:t>800</w:t>
            </w:r>
            <w:r w:rsidR="001911B1">
              <w:rPr>
                <w:b/>
                <w:bCs/>
              </w:rPr>
              <w:t>,</w:t>
            </w:r>
            <w:r w:rsidRPr="00927EEB">
              <w:rPr>
                <w:b/>
                <w:bCs/>
              </w:rPr>
              <w:t>0</w:t>
            </w:r>
          </w:p>
        </w:tc>
      </w:tr>
    </w:tbl>
    <w:p w14:paraId="503E10F4" w14:textId="77777777" w:rsidR="00587C70" w:rsidRPr="00A27856" w:rsidRDefault="00587C70" w:rsidP="00927EEB">
      <w:pPr>
        <w:keepNext/>
        <w:rPr>
          <w:sz w:val="20"/>
          <w:szCs w:val="20"/>
        </w:rPr>
      </w:pPr>
      <w:r w:rsidRPr="00A27856">
        <w:rPr>
          <w:rFonts w:hint="cs"/>
          <w:sz w:val="20"/>
          <w:szCs w:val="20"/>
          <w:rtl/>
        </w:rPr>
        <w:t>(*) مشاريع متعددة المناطق تُفيد جميع المناطق.</w:t>
      </w:r>
    </w:p>
    <w:p w14:paraId="39EB31F2" w14:textId="6F709928" w:rsidR="00B153BF" w:rsidRDefault="00B153BF" w:rsidP="0047488C">
      <w:pPr>
        <w:pStyle w:val="Heading1"/>
        <w:rPr>
          <w:rtl/>
          <w:lang w:bidi="ar-EG"/>
        </w:rPr>
      </w:pPr>
      <w:r>
        <w:rPr>
          <w:rtl/>
          <w:lang w:bidi="ar-EG"/>
        </w:rPr>
        <w:t>2</w:t>
      </w:r>
      <w:r>
        <w:rPr>
          <w:rtl/>
          <w:lang w:bidi="ar-EG"/>
        </w:rPr>
        <w:tab/>
        <w:t>‏مناقشات المجلس بشأن تقوية الحضور الإقليمي</w:t>
      </w:r>
      <w:r>
        <w:rPr>
          <w:cs/>
          <w:lang w:bidi="ar-EG"/>
        </w:rPr>
        <w:t>‎</w:t>
      </w:r>
    </w:p>
    <w:p w14:paraId="72621D11" w14:textId="5DBA1C44" w:rsidR="00B153BF" w:rsidRDefault="0047488C" w:rsidP="00B153BF">
      <w:pPr>
        <w:rPr>
          <w:rtl/>
          <w:lang w:bidi="ar-EG"/>
        </w:rPr>
      </w:pPr>
      <w:r>
        <w:rPr>
          <w:rFonts w:hint="cs"/>
          <w:rtl/>
          <w:lang w:bidi="ar-EG"/>
        </w:rPr>
        <w:t>1.2</w:t>
      </w:r>
      <w:r w:rsidR="00B153BF">
        <w:rPr>
          <w:rtl/>
          <w:lang w:bidi="ar-EG"/>
        </w:rPr>
        <w:tab/>
        <w:t xml:space="preserve">عمد فريق العمل </w:t>
      </w:r>
      <w:r w:rsidR="00DC075C">
        <w:rPr>
          <w:rtl/>
          <w:lang w:bidi="ar-EG"/>
        </w:rPr>
        <w:t xml:space="preserve">التابع للمجلس </w:t>
      </w:r>
      <w:r w:rsidR="00DC075C">
        <w:rPr>
          <w:rFonts w:hint="cs"/>
          <w:rtl/>
          <w:lang w:bidi="ar-EG"/>
        </w:rPr>
        <w:t>و</w:t>
      </w:r>
      <w:r w:rsidR="00B153BF">
        <w:rPr>
          <w:rtl/>
          <w:lang w:bidi="ar-EG"/>
        </w:rPr>
        <w:t>المعني بالموارد المالية والبشرية (</w:t>
      </w:r>
      <w:r w:rsidR="00B153BF">
        <w:rPr>
          <w:lang w:bidi="ar-EG"/>
        </w:rPr>
        <w:t>CWG-FHR</w:t>
      </w:r>
      <w:r w:rsidR="00B153BF">
        <w:rPr>
          <w:rtl/>
          <w:lang w:bidi="ar-EG"/>
        </w:rPr>
        <w:t xml:space="preserve">)، في اجتماعه الذي عُقد في الفترة </w:t>
      </w:r>
      <w:r w:rsidR="00B153BF">
        <w:rPr>
          <w:cs/>
          <w:lang w:bidi="ar-EG"/>
        </w:rPr>
        <w:t>‎</w:t>
      </w:r>
      <w:r w:rsidR="00B153BF">
        <w:rPr>
          <w:lang w:bidi="ar-EG"/>
        </w:rPr>
        <w:t>13-11</w:t>
      </w:r>
      <w:r w:rsidR="00B153BF">
        <w:rPr>
          <w:rtl/>
          <w:lang w:bidi="ar-EG"/>
        </w:rPr>
        <w:t xml:space="preserve"> ‏أكتوبر </w:t>
      </w:r>
      <w:r w:rsidR="00B153BF">
        <w:rPr>
          <w:cs/>
          <w:lang w:bidi="ar-EG"/>
        </w:rPr>
        <w:t>‎</w:t>
      </w:r>
      <w:r w:rsidR="00B153BF">
        <w:rPr>
          <w:lang w:bidi="ar-EG"/>
        </w:rPr>
        <w:t>2023</w:t>
      </w:r>
      <w:r w:rsidR="00B153BF">
        <w:rPr>
          <w:rtl/>
          <w:lang w:bidi="ar-EG"/>
        </w:rPr>
        <w:t xml:space="preserve">‏، إلى بحث الوثيقتين التاليتين ومناقشتهما بإيجاز، وتتعلق كلتاهما بموضوع وضع معايير إنشاء مكاتب مناطق في المستقبل: الوثيقة </w:t>
      </w:r>
      <w:r w:rsidR="00B153BF">
        <w:rPr>
          <w:cs/>
          <w:lang w:bidi="ar-EG"/>
        </w:rPr>
        <w:t>‎</w:t>
      </w:r>
      <w:hyperlink r:id="rId33" w:history="1">
        <w:r w:rsidR="00B153BF" w:rsidRPr="00321502">
          <w:rPr>
            <w:rStyle w:val="Hyperlink"/>
            <w:lang w:bidi="ar-EG"/>
          </w:rPr>
          <w:t>CWG-FHR-16/10</w:t>
        </w:r>
      </w:hyperlink>
      <w:r w:rsidR="00B153BF">
        <w:rPr>
          <w:rtl/>
          <w:lang w:bidi="ar-EG"/>
        </w:rPr>
        <w:t xml:space="preserve">، ‏تقوية الحضور الإقليمي - معايير إنشاء مكاتب مناطق في المستقبل، التي قدمها الأمين العام، والوثيقة </w:t>
      </w:r>
      <w:r w:rsidR="00B153BF">
        <w:rPr>
          <w:cs/>
          <w:lang w:bidi="ar-EG"/>
        </w:rPr>
        <w:t>‎</w:t>
      </w:r>
      <w:hyperlink r:id="rId34" w:history="1">
        <w:r w:rsidR="00B153BF" w:rsidRPr="00321502">
          <w:rPr>
            <w:rStyle w:val="Hyperlink"/>
            <w:lang w:bidi="ar-EG"/>
          </w:rPr>
          <w:t>CWG-FHR-16/24(Rev.1)</w:t>
        </w:r>
      </w:hyperlink>
      <w:r w:rsidR="00B153BF">
        <w:rPr>
          <w:rtl/>
          <w:lang w:bidi="ar-EG"/>
        </w:rPr>
        <w:t>، ‏مساهمة متعددة الأقطار - مقترح إنشاء مكاتب مناطق في</w:t>
      </w:r>
      <w:r w:rsidR="00321502">
        <w:rPr>
          <w:rFonts w:hint="cs"/>
          <w:rtl/>
          <w:lang w:bidi="ar-EG"/>
        </w:rPr>
        <w:t> </w:t>
      </w:r>
      <w:r w:rsidR="00B153BF">
        <w:rPr>
          <w:rtl/>
          <w:lang w:bidi="ar-EG"/>
        </w:rPr>
        <w:t>المستقبل، المقدمة من الجزائر والصين وكوبا والاتحاد الروسي وجنوب إفريقيا.</w:t>
      </w:r>
      <w:r w:rsidR="00B153BF">
        <w:rPr>
          <w:cs/>
          <w:lang w:bidi="ar-EG"/>
        </w:rPr>
        <w:t>‎</w:t>
      </w:r>
    </w:p>
    <w:p w14:paraId="39020B1D" w14:textId="076E3114" w:rsidR="00B153BF" w:rsidRDefault="0047488C" w:rsidP="00B153BF">
      <w:pPr>
        <w:rPr>
          <w:rtl/>
          <w:lang w:bidi="ar-EG"/>
        </w:rPr>
      </w:pPr>
      <w:r>
        <w:rPr>
          <w:rFonts w:hint="cs"/>
          <w:rtl/>
          <w:lang w:bidi="ar-EG"/>
        </w:rPr>
        <w:t>1.1.2</w:t>
      </w:r>
      <w:r w:rsidR="00B153BF">
        <w:rPr>
          <w:rtl/>
          <w:lang w:bidi="ar-EG"/>
        </w:rPr>
        <w:tab/>
      </w:r>
      <w:r w:rsidR="00DC075C">
        <w:rPr>
          <w:rFonts w:hint="cs"/>
          <w:rtl/>
          <w:lang w:bidi="ar-EG"/>
        </w:rPr>
        <w:t>و</w:t>
      </w:r>
      <w:r w:rsidR="00B153BF">
        <w:rPr>
          <w:rtl/>
          <w:lang w:bidi="ar-EG"/>
        </w:rPr>
        <w:t xml:space="preserve">أُرسلت الوثيقتان إلى اجتماع فريق العمل </w:t>
      </w:r>
      <w:r w:rsidR="00B153BF">
        <w:rPr>
          <w:lang w:bidi="ar-EG"/>
        </w:rPr>
        <w:t>CWG-FHR</w:t>
      </w:r>
      <w:r w:rsidR="00B153BF">
        <w:rPr>
          <w:rtl/>
          <w:lang w:bidi="ar-EG"/>
        </w:rPr>
        <w:t xml:space="preserve"> الذي عُقد في يناير </w:t>
      </w:r>
      <w:r w:rsidR="00B153BF">
        <w:rPr>
          <w:cs/>
          <w:lang w:bidi="ar-EG"/>
        </w:rPr>
        <w:t>‎</w:t>
      </w:r>
      <w:r w:rsidR="00B153BF">
        <w:rPr>
          <w:lang w:bidi="ar-EG"/>
        </w:rPr>
        <w:t>2024</w:t>
      </w:r>
      <w:r w:rsidR="00B153BF">
        <w:rPr>
          <w:rtl/>
          <w:lang w:bidi="ar-EG"/>
        </w:rPr>
        <w:t>‏، لمواصلة المناقشات وربما التداول على مقترح يرسَل لاحقاً إلى المجلس.</w:t>
      </w:r>
      <w:r w:rsidR="00B153BF">
        <w:rPr>
          <w:cs/>
          <w:lang w:bidi="ar-EG"/>
        </w:rPr>
        <w:t>‎</w:t>
      </w:r>
    </w:p>
    <w:p w14:paraId="1E712DC8" w14:textId="2BBA3887" w:rsidR="00B153BF" w:rsidRDefault="0047488C" w:rsidP="00B153BF">
      <w:pPr>
        <w:rPr>
          <w:rtl/>
          <w:lang w:bidi="ar-EG"/>
        </w:rPr>
      </w:pPr>
      <w:r>
        <w:rPr>
          <w:rFonts w:hint="cs"/>
          <w:rtl/>
          <w:lang w:bidi="ar-EG"/>
        </w:rPr>
        <w:t>2.1.2</w:t>
      </w:r>
      <w:r w:rsidR="00B153BF">
        <w:rPr>
          <w:rtl/>
          <w:lang w:bidi="ar-EG"/>
        </w:rPr>
        <w:tab/>
        <w:t xml:space="preserve">وقرر فريق العمل </w:t>
      </w:r>
      <w:r w:rsidR="00B153BF">
        <w:rPr>
          <w:lang w:bidi="ar-EG"/>
        </w:rPr>
        <w:t>CWG-FHR</w:t>
      </w:r>
      <w:r w:rsidR="00B153BF">
        <w:rPr>
          <w:rtl/>
          <w:lang w:bidi="ar-EG"/>
        </w:rPr>
        <w:t xml:space="preserve"> في اجتماعه الذي عُقد في الفترة </w:t>
      </w:r>
      <w:r w:rsidR="00321502">
        <w:rPr>
          <w:rFonts w:hint="cs"/>
          <w:rtl/>
          <w:lang w:bidi="ar-EG"/>
        </w:rPr>
        <w:t>24</w:t>
      </w:r>
      <w:r w:rsidR="00B153BF">
        <w:rPr>
          <w:rtl/>
          <w:lang w:bidi="ar-EG"/>
        </w:rPr>
        <w:t>-</w:t>
      </w:r>
      <w:r w:rsidR="00321502">
        <w:rPr>
          <w:rFonts w:hint="cs"/>
          <w:rtl/>
          <w:lang w:bidi="ar-EG"/>
        </w:rPr>
        <w:t>26</w:t>
      </w:r>
      <w:r w:rsidR="00B153BF">
        <w:rPr>
          <w:rtl/>
          <w:lang w:bidi="ar-EG"/>
        </w:rPr>
        <w:t xml:space="preserve"> يناير </w:t>
      </w:r>
      <w:r w:rsidR="00B153BF">
        <w:rPr>
          <w:cs/>
          <w:lang w:bidi="ar-EG"/>
        </w:rPr>
        <w:t>‎</w:t>
      </w:r>
      <w:r w:rsidR="00B153BF">
        <w:rPr>
          <w:lang w:bidi="ar-EG"/>
        </w:rPr>
        <w:t>2024</w:t>
      </w:r>
      <w:r w:rsidR="00B153BF">
        <w:rPr>
          <w:rtl/>
          <w:lang w:bidi="ar-EG"/>
        </w:rPr>
        <w:t xml:space="preserve"> ما يلي:</w:t>
      </w:r>
    </w:p>
    <w:p w14:paraId="76F607C0" w14:textId="13AFC082" w:rsidR="00B153BF" w:rsidRPr="00E57A3A" w:rsidRDefault="0047488C" w:rsidP="00B153BF">
      <w:pPr>
        <w:rPr>
          <w:spacing w:val="-4"/>
          <w:rtl/>
          <w:lang w:bidi="ar-EG"/>
        </w:rPr>
      </w:pPr>
      <w:r w:rsidRPr="00E57A3A">
        <w:rPr>
          <w:rFonts w:hint="cs"/>
          <w:spacing w:val="-4"/>
          <w:rtl/>
          <w:lang w:bidi="ar-EG"/>
        </w:rPr>
        <w:t>3.1.2</w:t>
      </w:r>
      <w:r w:rsidR="00B153BF" w:rsidRPr="00E57A3A">
        <w:rPr>
          <w:spacing w:val="-4"/>
          <w:rtl/>
          <w:lang w:bidi="ar-EG"/>
        </w:rPr>
        <w:tab/>
        <w:t xml:space="preserve">‏اقترحت بعض الدول الأعضاء إحالة التقرير إلى المجلس ليوافق عليه، بينما أعربت أخرى عن توقعها الحصول على معلومات إضافية من اللجنة الاستشارية، والتنسيق مع قطاعي الاتحاد الآخرين، وتحسين مستوى الدقة العامة في الوثيقة. وأشير إلى ضرورة أن تكون المعايير المقترحة قابلة للقياس وأن تشمل دور المنظمات الإقليمية. وبعد مزيد من المناقشات العامة بشأن الموضوع، تقرَّر أن يرسل فريق العمل </w:t>
      </w:r>
      <w:r w:rsidR="00B153BF" w:rsidRPr="00E57A3A">
        <w:rPr>
          <w:spacing w:val="-4"/>
          <w:lang w:bidi="ar-EG"/>
        </w:rPr>
        <w:t>CWG-FHR</w:t>
      </w:r>
      <w:r w:rsidR="00B153BF" w:rsidRPr="00E57A3A">
        <w:rPr>
          <w:spacing w:val="-4"/>
          <w:rtl/>
          <w:lang w:bidi="ar-EG"/>
        </w:rPr>
        <w:t xml:space="preserve"> إلى كل من الفريق الاستشاري لتنمية الاتصالات وفريق التنسيق المشترك بين القطاعات (</w:t>
      </w:r>
      <w:r w:rsidR="00B153BF" w:rsidRPr="00E57A3A">
        <w:rPr>
          <w:spacing w:val="-4"/>
          <w:cs/>
          <w:lang w:bidi="ar-EG"/>
        </w:rPr>
        <w:t>‎</w:t>
      </w:r>
      <w:r w:rsidR="00B153BF" w:rsidRPr="00E57A3A">
        <w:rPr>
          <w:spacing w:val="-4"/>
          <w:lang w:bidi="ar-EG"/>
        </w:rPr>
        <w:t>ISCG</w:t>
      </w:r>
      <w:r w:rsidR="00B153BF" w:rsidRPr="00E57A3A">
        <w:rPr>
          <w:spacing w:val="-4"/>
          <w:rtl/>
          <w:lang w:bidi="ar-EG"/>
        </w:rPr>
        <w:t>) بيان اتصال يطلب فيه إليهما استعراض التقرير وتقديم كل التعقيبات إلى الاجتماع المقبل للمجلس.</w:t>
      </w:r>
      <w:r w:rsidR="00B153BF" w:rsidRPr="00E57A3A">
        <w:rPr>
          <w:spacing w:val="-4"/>
          <w:cs/>
          <w:lang w:bidi="ar-EG"/>
        </w:rPr>
        <w:t>‎</w:t>
      </w:r>
    </w:p>
    <w:p w14:paraId="5794567F" w14:textId="2F1E1A48" w:rsidR="00B153BF" w:rsidRDefault="0047488C" w:rsidP="00B153BF">
      <w:pPr>
        <w:rPr>
          <w:rtl/>
          <w:lang w:bidi="ar-EG"/>
        </w:rPr>
      </w:pPr>
      <w:r>
        <w:rPr>
          <w:rFonts w:hint="cs"/>
          <w:rtl/>
          <w:lang w:bidi="ar-EG"/>
        </w:rPr>
        <w:t>2.2</w:t>
      </w:r>
      <w:r w:rsidR="00B153BF">
        <w:rPr>
          <w:rtl/>
          <w:lang w:bidi="ar-EG"/>
        </w:rPr>
        <w:tab/>
      </w:r>
      <w:r w:rsidR="00DC075C">
        <w:rPr>
          <w:rFonts w:hint="cs"/>
          <w:rtl/>
          <w:lang w:bidi="ar-EG"/>
        </w:rPr>
        <w:t>واستعرض</w:t>
      </w:r>
      <w:r w:rsidR="00B153BF">
        <w:rPr>
          <w:rtl/>
          <w:lang w:bidi="ar-EG"/>
        </w:rPr>
        <w:t xml:space="preserve"> فريق العمل </w:t>
      </w:r>
      <w:r w:rsidR="00DC075C">
        <w:rPr>
          <w:rtl/>
          <w:lang w:bidi="ar-EG"/>
        </w:rPr>
        <w:t xml:space="preserve">التابع للمجلس </w:t>
      </w:r>
      <w:r w:rsidR="00DC075C">
        <w:rPr>
          <w:rFonts w:hint="cs"/>
          <w:rtl/>
          <w:lang w:bidi="ar-EG"/>
        </w:rPr>
        <w:t>و</w:t>
      </w:r>
      <w:r w:rsidR="00B153BF">
        <w:rPr>
          <w:rtl/>
          <w:lang w:bidi="ar-EG"/>
        </w:rPr>
        <w:t>المعني بالموارد المالية والبشرية (</w:t>
      </w:r>
      <w:r w:rsidR="00B153BF">
        <w:rPr>
          <w:lang w:bidi="ar-EG"/>
        </w:rPr>
        <w:t>CWG-FHR</w:t>
      </w:r>
      <w:r w:rsidR="00B153BF">
        <w:rPr>
          <w:rtl/>
          <w:lang w:bidi="ar-EG"/>
        </w:rPr>
        <w:t>) في اجتماعه الذي عُقد في</w:t>
      </w:r>
      <w:r w:rsidR="00321502">
        <w:rPr>
          <w:rFonts w:hint="cs"/>
          <w:rtl/>
          <w:lang w:bidi="ar-EG"/>
        </w:rPr>
        <w:t> </w:t>
      </w:r>
      <w:r w:rsidR="00B153BF">
        <w:rPr>
          <w:rtl/>
          <w:lang w:bidi="ar-EG"/>
        </w:rPr>
        <w:t xml:space="preserve">مارس </w:t>
      </w:r>
      <w:r w:rsidR="00B153BF">
        <w:rPr>
          <w:cs/>
          <w:lang w:bidi="ar-EG"/>
        </w:rPr>
        <w:t>‎</w:t>
      </w:r>
      <w:r w:rsidR="00B153BF">
        <w:rPr>
          <w:lang w:bidi="ar-EG"/>
        </w:rPr>
        <w:t>2025</w:t>
      </w:r>
      <w:r w:rsidR="00B153BF">
        <w:rPr>
          <w:rtl/>
          <w:lang w:bidi="ar-EG"/>
        </w:rPr>
        <w:t xml:space="preserve"> ‏التقرير الذي قدمه </w:t>
      </w:r>
      <w:r w:rsidR="00321502">
        <w:rPr>
          <w:rFonts w:hint="cs"/>
          <w:rtl/>
          <w:lang w:bidi="ar-EG"/>
        </w:rPr>
        <w:t>"</w:t>
      </w:r>
      <w:r w:rsidR="00B153BF">
        <w:rPr>
          <w:rtl/>
          <w:lang w:bidi="ar-EG"/>
        </w:rPr>
        <w:t>فريق العمل بالمراسلة عبر الإنترنت</w:t>
      </w:r>
      <w:r w:rsidR="00321502">
        <w:rPr>
          <w:rFonts w:hint="cs"/>
          <w:rtl/>
          <w:lang w:bidi="ar-EG"/>
        </w:rPr>
        <w:t>"</w:t>
      </w:r>
      <w:r w:rsidR="00B153BF">
        <w:rPr>
          <w:rtl/>
          <w:lang w:bidi="ar-EG"/>
        </w:rPr>
        <w:t xml:space="preserve"> (</w:t>
      </w:r>
      <w:r w:rsidR="00B153BF">
        <w:rPr>
          <w:cs/>
          <w:lang w:bidi="ar-EG"/>
        </w:rPr>
        <w:t>‎</w:t>
      </w:r>
      <w:r w:rsidR="00B153BF">
        <w:rPr>
          <w:lang w:bidi="ar-EG"/>
        </w:rPr>
        <w:t>OCG</w:t>
      </w:r>
      <w:r w:rsidR="00B153BF">
        <w:rPr>
          <w:rtl/>
          <w:lang w:bidi="ar-EG"/>
        </w:rPr>
        <w:t>)، ويتضمن الاختصاصات المنقحة (</w:t>
      </w:r>
      <w:r w:rsidR="00B153BF">
        <w:rPr>
          <w:cs/>
          <w:lang w:bidi="ar-EG"/>
        </w:rPr>
        <w:t>‎</w:t>
      </w:r>
      <w:proofErr w:type="spellStart"/>
      <w:r w:rsidR="00B153BF">
        <w:rPr>
          <w:lang w:bidi="ar-EG"/>
        </w:rPr>
        <w:t>ToR</w:t>
      </w:r>
      <w:proofErr w:type="spellEnd"/>
      <w:r w:rsidR="00B153BF">
        <w:rPr>
          <w:rtl/>
          <w:lang w:bidi="ar-EG"/>
        </w:rPr>
        <w:t>).</w:t>
      </w:r>
    </w:p>
    <w:p w14:paraId="70C728D1" w14:textId="6BE25177" w:rsidR="00B153BF" w:rsidRDefault="0047488C" w:rsidP="00B153BF">
      <w:pPr>
        <w:rPr>
          <w:rtl/>
          <w:lang w:bidi="ar-EG"/>
        </w:rPr>
      </w:pPr>
      <w:r>
        <w:rPr>
          <w:rFonts w:hint="cs"/>
          <w:rtl/>
          <w:lang w:bidi="ar-EG"/>
        </w:rPr>
        <w:t>1.2.2</w:t>
      </w:r>
      <w:r w:rsidR="00B153BF">
        <w:rPr>
          <w:rtl/>
          <w:lang w:bidi="ar-EG"/>
        </w:rPr>
        <w:tab/>
        <w:t>وأثناء النقاش، طلب عدة مندوبين تقديم توضيحات وأبدَوا تعليقات بشأن جوانب رئيسية من الاختصاصات المنقحة، منها ما يلي:</w:t>
      </w:r>
      <w:r w:rsidR="00B153BF">
        <w:rPr>
          <w:cs/>
          <w:lang w:bidi="ar-EG"/>
        </w:rPr>
        <w:t>‎</w:t>
      </w:r>
    </w:p>
    <w:p w14:paraId="2375BC3C" w14:textId="7514B9B0" w:rsidR="00B153BF" w:rsidRDefault="00B153BF" w:rsidP="0047488C">
      <w:pPr>
        <w:pStyle w:val="enumlev1"/>
        <w:rPr>
          <w:rtl/>
        </w:rPr>
      </w:pPr>
      <w:r>
        <w:rPr>
          <w:rtl/>
        </w:rPr>
        <w:t>‏-</w:t>
      </w:r>
      <w:r>
        <w:rPr>
          <w:rtl/>
        </w:rPr>
        <w:tab/>
        <w:t>نطاق المشاورات مع أصحاب المصلحة</w:t>
      </w:r>
      <w:r w:rsidR="00E57A3A">
        <w:rPr>
          <w:rFonts w:hint="cs"/>
          <w:rtl/>
          <w:cs/>
        </w:rPr>
        <w:t>؛</w:t>
      </w:r>
    </w:p>
    <w:p w14:paraId="76C30942" w14:textId="5866A8A8" w:rsidR="00B153BF" w:rsidRDefault="00B153BF" w:rsidP="0047488C">
      <w:pPr>
        <w:pStyle w:val="enumlev1"/>
        <w:rPr>
          <w:rtl/>
        </w:rPr>
      </w:pPr>
      <w:r>
        <w:rPr>
          <w:rtl/>
        </w:rPr>
        <w:t>‏-</w:t>
      </w:r>
      <w:r>
        <w:rPr>
          <w:rtl/>
        </w:rPr>
        <w:tab/>
        <w:t>وتنسيق مؤشرات الأداء الرئيسية (</w:t>
      </w:r>
      <w:r>
        <w:rPr>
          <w:cs/>
        </w:rPr>
        <w:t>‎</w:t>
      </w:r>
      <w:r>
        <w:t>KPI</w:t>
      </w:r>
      <w:r>
        <w:rPr>
          <w:rtl/>
        </w:rPr>
        <w:t>)‏</w:t>
      </w:r>
      <w:r w:rsidR="00E57A3A">
        <w:rPr>
          <w:rFonts w:hint="cs"/>
          <w:rtl/>
        </w:rPr>
        <w:t>؛</w:t>
      </w:r>
    </w:p>
    <w:p w14:paraId="33472369" w14:textId="77777777" w:rsidR="00B153BF" w:rsidRDefault="00B153BF" w:rsidP="0047488C">
      <w:pPr>
        <w:pStyle w:val="enumlev1"/>
        <w:rPr>
          <w:rtl/>
        </w:rPr>
      </w:pPr>
      <w:r>
        <w:rPr>
          <w:rtl/>
        </w:rPr>
        <w:t>‏-</w:t>
      </w:r>
      <w:r>
        <w:rPr>
          <w:rtl/>
        </w:rPr>
        <w:tab/>
        <w:t>وعمليتا الاستعراض والتقييم</w:t>
      </w:r>
      <w:r>
        <w:rPr>
          <w:cs/>
        </w:rPr>
        <w:t>‎</w:t>
      </w:r>
      <w:r>
        <w:rPr>
          <w:rtl/>
        </w:rPr>
        <w:t>.</w:t>
      </w:r>
    </w:p>
    <w:p w14:paraId="4B26457E" w14:textId="7CE65BD7" w:rsidR="00B153BF" w:rsidRDefault="0047488C" w:rsidP="00B153BF">
      <w:pPr>
        <w:rPr>
          <w:rtl/>
          <w:lang w:bidi="ar-EG"/>
        </w:rPr>
      </w:pPr>
      <w:r w:rsidRPr="00587C70">
        <w:rPr>
          <w:lang w:bidi="ar-EG"/>
        </w:rPr>
        <w:lastRenderedPageBreak/>
        <w:t>2.2.2</w:t>
      </w:r>
      <w:r w:rsidR="00B153BF" w:rsidRPr="00587C70">
        <w:rPr>
          <w:rtl/>
          <w:lang w:bidi="ar-EG"/>
        </w:rPr>
        <w:tab/>
        <w:t>‏وعقب هذه المناقشات، اتُّف</w:t>
      </w:r>
      <w:r w:rsidR="00E57A3A">
        <w:rPr>
          <w:rFonts w:hint="cs"/>
          <w:rtl/>
          <w:lang w:bidi="ar-EG"/>
        </w:rPr>
        <w:t>ِ</w:t>
      </w:r>
      <w:r w:rsidR="00B153BF" w:rsidRPr="00587C70">
        <w:rPr>
          <w:rtl/>
          <w:lang w:bidi="ar-EG"/>
        </w:rPr>
        <w:t>ق على أن يعمل رئيس فريق العمل بالمراسلة عبر الإنترنت مع الأعضاء الذين قدموا تعليقات وملاحظات في مشاورات غير رسمية. ثم سيُسترشد بنتائج هذه المشاورات في إعداد تقرير منقح ليواصل فريق العمل التابع للمجلس النظر فيه.</w:t>
      </w:r>
      <w:r w:rsidR="00B153BF" w:rsidRPr="00587C70">
        <w:rPr>
          <w:cs/>
          <w:lang w:bidi="ar-EG"/>
        </w:rPr>
        <w:t>‎</w:t>
      </w:r>
    </w:p>
    <w:p w14:paraId="1644BE27" w14:textId="355C4FC2" w:rsidR="00B153BF" w:rsidRDefault="0047488C" w:rsidP="00B153BF">
      <w:pPr>
        <w:rPr>
          <w:rtl/>
          <w:lang w:bidi="ar-EG"/>
        </w:rPr>
      </w:pPr>
      <w:r w:rsidRPr="005C5DCA">
        <w:rPr>
          <w:lang w:bidi="ar-EG"/>
        </w:rPr>
        <w:t>3.2.2</w:t>
      </w:r>
      <w:r w:rsidR="00B153BF" w:rsidRPr="005C5DCA">
        <w:rPr>
          <w:rtl/>
          <w:lang w:bidi="ar-EG"/>
        </w:rPr>
        <w:tab/>
        <w:t xml:space="preserve">وعقب انتهاء المشاورات غير الرسمية، أُدخلت تعديلات على الاختصاصات، ثم قُدمت الوثيقة المنقحة إلى الاجتماع العشرين لفريق العمل </w:t>
      </w:r>
      <w:r w:rsidR="00B153BF" w:rsidRPr="005C5DCA">
        <w:rPr>
          <w:lang w:bidi="ar-EG"/>
        </w:rPr>
        <w:t>CWG-FHR</w:t>
      </w:r>
      <w:r w:rsidR="00B153BF" w:rsidRPr="005C5DCA">
        <w:rPr>
          <w:rtl/>
          <w:lang w:bidi="ar-EG"/>
        </w:rPr>
        <w:t xml:space="preserve"> كي ينظر فيها. واعت</w:t>
      </w:r>
      <w:r w:rsidR="005C5DCA">
        <w:rPr>
          <w:rFonts w:hint="cs"/>
          <w:rtl/>
          <w:lang w:bidi="ar-EG"/>
        </w:rPr>
        <w:t>ُ</w:t>
      </w:r>
      <w:r w:rsidR="00B153BF" w:rsidRPr="005C5DCA">
        <w:rPr>
          <w:rtl/>
          <w:lang w:bidi="ar-EG"/>
        </w:rPr>
        <w:t>مد</w:t>
      </w:r>
      <w:r w:rsidR="00587C70" w:rsidRPr="005C5DCA">
        <w:rPr>
          <w:rFonts w:hint="cs"/>
          <w:rtl/>
          <w:lang w:bidi="ar-EG"/>
        </w:rPr>
        <w:t>ت</w:t>
      </w:r>
      <w:r w:rsidR="00B153BF" w:rsidRPr="005C5DCA">
        <w:rPr>
          <w:rtl/>
          <w:lang w:bidi="ar-EG"/>
        </w:rPr>
        <w:t xml:space="preserve"> ‏الاختصاصات المنقحة، بعد إخضاعها لتعديلات مطبعية طفيفة، وترد في الملحق </w:t>
      </w:r>
      <w:r w:rsidR="00B153BF" w:rsidRPr="005C5DCA">
        <w:rPr>
          <w:lang w:bidi="ar-EG"/>
        </w:rPr>
        <w:t>A</w:t>
      </w:r>
      <w:r w:rsidR="00B153BF" w:rsidRPr="005C5DCA">
        <w:rPr>
          <w:rtl/>
          <w:lang w:bidi="ar-EG"/>
        </w:rPr>
        <w:t xml:space="preserve"> </w:t>
      </w:r>
      <w:r w:rsidR="005C5DCA">
        <w:rPr>
          <w:lang w:bidi="ar-EG"/>
        </w:rPr>
        <w:t>(</w:t>
      </w:r>
      <w:hyperlink r:id="rId35" w:history="1">
        <w:r w:rsidR="005C5DCA" w:rsidRPr="005C5DCA">
          <w:rPr>
            <w:rStyle w:val="Hyperlink"/>
            <w:lang w:bidi="ar-EG"/>
          </w:rPr>
          <w:t>TDAG25/24(Ann.1)</w:t>
        </w:r>
      </w:hyperlink>
      <w:r w:rsidR="005C5DCA">
        <w:rPr>
          <w:lang w:bidi="ar-EG"/>
        </w:rPr>
        <w:t>)</w:t>
      </w:r>
      <w:r w:rsidR="005C5DCA">
        <w:rPr>
          <w:rFonts w:hint="cs"/>
          <w:rtl/>
          <w:lang w:bidi="ar-EG"/>
        </w:rPr>
        <w:t xml:space="preserve"> </w:t>
      </w:r>
      <w:r w:rsidR="00B153BF" w:rsidRPr="005C5DCA">
        <w:rPr>
          <w:rtl/>
          <w:lang w:bidi="ar-EG"/>
        </w:rPr>
        <w:t>لهذه الوثيقة.</w:t>
      </w:r>
      <w:r w:rsidR="00B153BF" w:rsidRPr="005C5DCA">
        <w:rPr>
          <w:cs/>
          <w:lang w:bidi="ar-EG"/>
        </w:rPr>
        <w:t>‎</w:t>
      </w:r>
    </w:p>
    <w:p w14:paraId="663FADAA" w14:textId="0AB14CFF" w:rsidR="00B153BF" w:rsidRDefault="005C5DCA" w:rsidP="005C5DCA">
      <w:pPr>
        <w:pStyle w:val="Heading1"/>
        <w:rPr>
          <w:rtl/>
          <w:lang w:bidi="ar-EG"/>
        </w:rPr>
      </w:pPr>
      <w:r>
        <w:rPr>
          <w:rFonts w:hint="cs"/>
          <w:rtl/>
          <w:lang w:bidi="ar-EG"/>
        </w:rPr>
        <w:t>3</w:t>
      </w:r>
      <w:r w:rsidR="00B153BF">
        <w:rPr>
          <w:rtl/>
          <w:lang w:bidi="ar-EG"/>
        </w:rPr>
        <w:tab/>
        <w:t>موجز الوثائق المحال إليها</w:t>
      </w:r>
    </w:p>
    <w:p w14:paraId="33F6483F" w14:textId="013E6961" w:rsidR="00B153BF" w:rsidRDefault="0047488C" w:rsidP="00E57A3A">
      <w:pPr>
        <w:rPr>
          <w:rtl/>
          <w:lang w:bidi="ar-EG"/>
        </w:rPr>
      </w:pPr>
      <w:r>
        <w:rPr>
          <w:lang w:bidi="ar-EG"/>
        </w:rPr>
        <w:t>1.3</w:t>
      </w:r>
      <w:r w:rsidR="00B153BF">
        <w:rPr>
          <w:rtl/>
          <w:lang w:bidi="ar-EG"/>
        </w:rPr>
        <w:tab/>
        <w:t xml:space="preserve">الوثيقة </w:t>
      </w:r>
      <w:hyperlink r:id="rId36" w:history="1">
        <w:r w:rsidR="00B153BF" w:rsidRPr="00D02454">
          <w:rPr>
            <w:rStyle w:val="Hyperlink"/>
            <w:lang w:bidi="ar-EG"/>
          </w:rPr>
          <w:t>CWG-FHR-16/10</w:t>
        </w:r>
      </w:hyperlink>
    </w:p>
    <w:p w14:paraId="0A3E6B89" w14:textId="0533A4E0" w:rsidR="00B153BF" w:rsidRDefault="0047488C" w:rsidP="00B153BF">
      <w:pPr>
        <w:rPr>
          <w:rtl/>
          <w:lang w:bidi="ar-EG"/>
        </w:rPr>
      </w:pPr>
      <w:r>
        <w:rPr>
          <w:lang w:bidi="ar-EG"/>
        </w:rPr>
        <w:t>1.1.3</w:t>
      </w:r>
      <w:r w:rsidR="00B153BF">
        <w:rPr>
          <w:rtl/>
          <w:lang w:bidi="ar-EG"/>
        </w:rPr>
        <w:tab/>
        <w:t>‏تُقر هذه الوثيقة بضرورة النظر في توسيع نطاق الحضور الإقليمي للاتحاد في حال التحقق من وجود ثغرات في التغطية بحضوره تشمل عدداً كافياً من البلدان لتبرير هذا التوسع. فينبغي إجراء تقييم لتحديد مدى احتمال وجود أي ثغرات في التغطية الحالية بالحضور الإقليمي للاتحاد. وإن كشف التقييم عن وجود ثغرة جغرافية تنعدم فيها تغطيته فعلياً في بلدان متعددة، فينبغي أن تحدَّد تلك البقعة بأنها "منطقة" يمكن تغطيتها بحضور الاتحاد، الأمر الذي قد يكون مناسباً لإنشاء مكتب جديد له.</w:t>
      </w:r>
    </w:p>
    <w:p w14:paraId="17B027A9" w14:textId="5CAE2EF3" w:rsidR="00B153BF" w:rsidRDefault="0047488C" w:rsidP="00B153BF">
      <w:pPr>
        <w:rPr>
          <w:rtl/>
          <w:lang w:bidi="ar-EG"/>
        </w:rPr>
      </w:pPr>
      <w:r>
        <w:rPr>
          <w:lang w:bidi="ar-EG"/>
        </w:rPr>
        <w:t>2.1.3</w:t>
      </w:r>
      <w:r w:rsidR="00B153BF">
        <w:rPr>
          <w:rtl/>
          <w:lang w:bidi="ar-EG"/>
        </w:rPr>
        <w:tab/>
        <w:t>وحالما يتحدد وجود منطقة جغرافية تضم بلداناً متعددة لا يمكن لمكتب قائم أن يلبي احتياجاتها فعلياً، تتجلى الخطوة التالية في تحديد مدى ملاءمة توسيع نطاق الحضور الإقليمي للاتحاد من أجل معالجة تلك الثغرة، والموقع الذي ينبغي فيه إنشاء مكتب الاتحاد في المنطقة المعنية.</w:t>
      </w:r>
      <w:r w:rsidR="00B153BF">
        <w:rPr>
          <w:cs/>
          <w:lang w:bidi="ar-EG"/>
        </w:rPr>
        <w:t>‎</w:t>
      </w:r>
    </w:p>
    <w:p w14:paraId="5BEE3D68" w14:textId="480F650C" w:rsidR="00B153BF" w:rsidRDefault="0047488C" w:rsidP="00B153BF">
      <w:pPr>
        <w:rPr>
          <w:rtl/>
          <w:lang w:bidi="ar-EG"/>
        </w:rPr>
      </w:pPr>
      <w:r>
        <w:rPr>
          <w:lang w:bidi="ar-EG"/>
        </w:rPr>
        <w:t>3.1.3</w:t>
      </w:r>
      <w:r w:rsidR="00B153BF">
        <w:rPr>
          <w:rtl/>
          <w:lang w:bidi="ar-EG"/>
        </w:rPr>
        <w:tab/>
        <w:t>‏وتعرض الوثيقة المحال إليها المعايير التالية فيما يتعلق بفتح مكتب جديد في منطقة يتبين فيها وجود ثغرة:</w:t>
      </w:r>
      <w:r w:rsidR="00B153BF">
        <w:rPr>
          <w:cs/>
          <w:lang w:bidi="ar-EG"/>
        </w:rPr>
        <w:t>‎</w:t>
      </w:r>
    </w:p>
    <w:p w14:paraId="5DB6B5C4" w14:textId="6633EDE8" w:rsidR="00B153BF" w:rsidRDefault="00B153BF" w:rsidP="0047488C">
      <w:pPr>
        <w:pStyle w:val="enumlev1"/>
        <w:rPr>
          <w:rtl/>
        </w:rPr>
      </w:pPr>
      <w:r>
        <w:rPr>
          <w:rtl/>
        </w:rPr>
        <w:t>‏</w:t>
      </w:r>
      <w:r w:rsidR="0047488C">
        <w:t>-</w:t>
      </w:r>
      <w:r w:rsidR="0047488C">
        <w:tab/>
      </w:r>
      <w:r>
        <w:rPr>
          <w:rtl/>
        </w:rPr>
        <w:t>الأهمية - ينبغي أن يحسِّن الموقع الجديد المقترح قدرة الاتحاد على إحداث أثر في عدة بلدان.</w:t>
      </w:r>
      <w:r>
        <w:rPr>
          <w:cs/>
        </w:rPr>
        <w:t>‎</w:t>
      </w:r>
    </w:p>
    <w:p w14:paraId="45680B20" w14:textId="29235153" w:rsidR="00B153BF" w:rsidRDefault="00B153BF" w:rsidP="0047488C">
      <w:pPr>
        <w:pStyle w:val="enumlev1"/>
        <w:rPr>
          <w:rtl/>
        </w:rPr>
      </w:pPr>
      <w:r>
        <w:rPr>
          <w:rtl/>
        </w:rPr>
        <w:t>‏</w:t>
      </w:r>
      <w:r w:rsidR="0047488C">
        <w:t>-</w:t>
      </w:r>
      <w:r w:rsidR="0047488C">
        <w:tab/>
      </w:r>
      <w:r>
        <w:rPr>
          <w:rtl/>
        </w:rPr>
        <w:t xml:space="preserve">الحصرية </w:t>
      </w:r>
      <w:r w:rsidR="006700E6">
        <w:rPr>
          <w:rFonts w:hint="cs"/>
          <w:rtl/>
        </w:rPr>
        <w:t>-</w:t>
      </w:r>
      <w:r>
        <w:rPr>
          <w:rtl/>
        </w:rPr>
        <w:t xml:space="preserve"> ألا يشكل الموقع المقترح تكراراً لأي مكتب قائم على المستوى دون الإقليمي</w:t>
      </w:r>
      <w:r>
        <w:rPr>
          <w:cs/>
        </w:rPr>
        <w:t>‎</w:t>
      </w:r>
      <w:r>
        <w:rPr>
          <w:rtl/>
        </w:rPr>
        <w:t>.</w:t>
      </w:r>
    </w:p>
    <w:p w14:paraId="437FAC2F" w14:textId="030C2C86" w:rsidR="00B153BF" w:rsidRPr="0076392F" w:rsidRDefault="00B153BF" w:rsidP="0047488C">
      <w:pPr>
        <w:pStyle w:val="enumlev1"/>
        <w:rPr>
          <w:rtl/>
        </w:rPr>
      </w:pPr>
      <w:r w:rsidRPr="0076392F">
        <w:rPr>
          <w:rtl/>
        </w:rPr>
        <w:t>‏</w:t>
      </w:r>
      <w:r w:rsidR="0047488C" w:rsidRPr="0076392F">
        <w:t>-</w:t>
      </w:r>
      <w:r w:rsidR="0047488C" w:rsidRPr="0076392F">
        <w:tab/>
      </w:r>
      <w:r w:rsidRPr="0076392F">
        <w:rPr>
          <w:rtl/>
        </w:rPr>
        <w:t xml:space="preserve">الجدوى المالية </w:t>
      </w:r>
      <w:r w:rsidR="006700E6" w:rsidRPr="0076392F">
        <w:rPr>
          <w:rFonts w:hint="cs"/>
          <w:rtl/>
        </w:rPr>
        <w:t>-</w:t>
      </w:r>
      <w:r w:rsidRPr="0076392F">
        <w:rPr>
          <w:rtl/>
        </w:rPr>
        <w:t xml:space="preserve"> أن يكون من الممكن توفير موارد كافية لإنشاء المكتب ولدعم كتلة حرجة دنيا من المهارات التقنية لفترة مطولة، وأن يمتلك البلد المضيف الموارد والالتزام اللازمين لاستضافة مكتب للاتحاد.</w:t>
      </w:r>
      <w:r w:rsidRPr="0076392F">
        <w:rPr>
          <w:cs/>
        </w:rPr>
        <w:t>‎</w:t>
      </w:r>
    </w:p>
    <w:p w14:paraId="13FD4D96" w14:textId="251B26F5" w:rsidR="00B153BF" w:rsidRPr="0076392F" w:rsidRDefault="00B153BF" w:rsidP="0047488C">
      <w:pPr>
        <w:pStyle w:val="enumlev1"/>
        <w:rPr>
          <w:rtl/>
        </w:rPr>
      </w:pPr>
      <w:r w:rsidRPr="0076392F">
        <w:rPr>
          <w:rtl/>
        </w:rPr>
        <w:t>‏</w:t>
      </w:r>
      <w:r w:rsidR="0047488C" w:rsidRPr="0076392F">
        <w:t>-</w:t>
      </w:r>
      <w:r w:rsidR="0047488C" w:rsidRPr="0076392F">
        <w:tab/>
      </w:r>
      <w:r w:rsidRPr="0076392F">
        <w:rPr>
          <w:rtl/>
        </w:rPr>
        <w:t>الأمن - ينبغي أن تقيِّم إدارة شؤون السلامة والأمن التابعة للأمم المتحدة (</w:t>
      </w:r>
      <w:r w:rsidRPr="0076392F">
        <w:t>UNDSS</w:t>
      </w:r>
      <w:r w:rsidRPr="0076392F">
        <w:rPr>
          <w:rtl/>
        </w:rPr>
        <w:t>) الموقع بأنه منخفض المستوى من حيث التهديدات الأمنية، أي ينبغي ألا يشكل الموقع أي تهديد محدد لسلامة الموظفين واستمرارية الأعمال.</w:t>
      </w:r>
      <w:r w:rsidRPr="0076392F">
        <w:rPr>
          <w:cs/>
        </w:rPr>
        <w:t>‎</w:t>
      </w:r>
    </w:p>
    <w:p w14:paraId="7796240B" w14:textId="0B148386" w:rsidR="00B153BF" w:rsidRDefault="00B153BF" w:rsidP="0047488C">
      <w:pPr>
        <w:pStyle w:val="enumlev1"/>
        <w:rPr>
          <w:rtl/>
        </w:rPr>
      </w:pPr>
      <w:r w:rsidRPr="0076392F">
        <w:rPr>
          <w:rtl/>
        </w:rPr>
        <w:t>‏</w:t>
      </w:r>
      <w:r w:rsidR="0047488C" w:rsidRPr="0076392F">
        <w:t>-</w:t>
      </w:r>
      <w:r w:rsidR="0047488C" w:rsidRPr="0076392F">
        <w:tab/>
      </w:r>
      <w:r w:rsidRPr="0076392F">
        <w:rPr>
          <w:rtl/>
        </w:rPr>
        <w:t xml:space="preserve">القرب الجغرافي </w:t>
      </w:r>
      <w:r w:rsidR="006700E6" w:rsidRPr="0076392F">
        <w:rPr>
          <w:rFonts w:hint="cs"/>
          <w:rtl/>
        </w:rPr>
        <w:t>-</w:t>
      </w:r>
      <w:r w:rsidRPr="0076392F">
        <w:rPr>
          <w:rtl/>
        </w:rPr>
        <w:t xml:space="preserve"> فعالية القرب الجغرافي للموقع المقترح من البلدان التي يلزمها المكتب، لا</w:t>
      </w:r>
      <w:r w:rsidR="006700E6" w:rsidRPr="0076392F">
        <w:rPr>
          <w:rFonts w:hint="cs"/>
          <w:rtl/>
        </w:rPr>
        <w:t> </w:t>
      </w:r>
      <w:r w:rsidRPr="0076392F">
        <w:rPr>
          <w:rtl/>
        </w:rPr>
        <w:t>سيما أقل البلدان نمواً</w:t>
      </w:r>
      <w:r w:rsidR="00E57A3A">
        <w:rPr>
          <w:rFonts w:hint="cs"/>
          <w:rtl/>
        </w:rPr>
        <w:t> </w:t>
      </w:r>
      <w:r w:rsidRPr="0076392F">
        <w:rPr>
          <w:rtl/>
        </w:rPr>
        <w:t>(</w:t>
      </w:r>
      <w:r w:rsidRPr="0076392F">
        <w:t>LDC</w:t>
      </w:r>
      <w:r w:rsidRPr="0076392F">
        <w:rPr>
          <w:rtl/>
        </w:rPr>
        <w:t>) والبلدان النامية غير الساحلية (</w:t>
      </w:r>
      <w:r w:rsidRPr="0076392F">
        <w:t>LLDC</w:t>
      </w:r>
      <w:r w:rsidRPr="0076392F">
        <w:rPr>
          <w:rtl/>
        </w:rPr>
        <w:t>) والدول الجزرية الصغيرة النامية (</w:t>
      </w:r>
      <w:r w:rsidRPr="0076392F">
        <w:t>SIDS</w:t>
      </w:r>
      <w:r w:rsidRPr="0076392F">
        <w:rPr>
          <w:rtl/>
        </w:rPr>
        <w:t>)، وجودة النفاذ إلى المراكز الإقليمية أو دون الإقليمية لوكالات أخرى تابعة للأمم المتحدة و/أو لإحدى المنظمات الإقليمية للاتصالات.</w:t>
      </w:r>
      <w:r w:rsidRPr="0076392F">
        <w:rPr>
          <w:cs/>
        </w:rPr>
        <w:t>‎</w:t>
      </w:r>
    </w:p>
    <w:p w14:paraId="55F1AECF" w14:textId="5DB11796" w:rsidR="00B153BF" w:rsidRDefault="00B153BF" w:rsidP="0047488C">
      <w:pPr>
        <w:pStyle w:val="enumlev1"/>
        <w:rPr>
          <w:rtl/>
        </w:rPr>
      </w:pPr>
      <w:r>
        <w:rPr>
          <w:rtl/>
        </w:rPr>
        <w:t>‏</w:t>
      </w:r>
      <w:r w:rsidR="0047488C">
        <w:t>-</w:t>
      </w:r>
      <w:r w:rsidR="0047488C">
        <w:tab/>
      </w:r>
      <w:r>
        <w:rPr>
          <w:rtl/>
        </w:rPr>
        <w:t xml:space="preserve">إمكانية النفاذ </w:t>
      </w:r>
      <w:r w:rsidR="006700E6">
        <w:rPr>
          <w:rFonts w:hint="cs"/>
          <w:rtl/>
        </w:rPr>
        <w:t>-</w:t>
      </w:r>
      <w:r>
        <w:rPr>
          <w:rtl/>
        </w:rPr>
        <w:t xml:space="preserve"> أن يتيح الموقع المقترح النفاذ إلى محور لخطوط جوية يوفر رحلات دولية واسعة (تيسر النفاذ الخارجي إليه) ورحلات مباشرة من سائر بلدان المنطقة دون الإقليمية وإليها.</w:t>
      </w:r>
    </w:p>
    <w:p w14:paraId="38586668" w14:textId="3F66F6DA" w:rsidR="00B153BF" w:rsidRDefault="0047488C" w:rsidP="006700E6">
      <w:pPr>
        <w:rPr>
          <w:rtl/>
          <w:lang w:bidi="ar-EG"/>
        </w:rPr>
      </w:pPr>
      <w:r>
        <w:rPr>
          <w:lang w:bidi="ar-EG"/>
        </w:rPr>
        <w:t>4.1.3</w:t>
      </w:r>
      <w:r w:rsidR="00B153BF">
        <w:rPr>
          <w:rtl/>
          <w:lang w:bidi="ar-EG"/>
        </w:rPr>
        <w:tab/>
        <w:t xml:space="preserve">وبعدما يتقرر أن من </w:t>
      </w:r>
      <w:proofErr w:type="spellStart"/>
      <w:r w:rsidR="00B153BF">
        <w:rPr>
          <w:rtl/>
          <w:lang w:bidi="ar-EG"/>
        </w:rPr>
        <w:t>المستصوب</w:t>
      </w:r>
      <w:proofErr w:type="spellEnd"/>
      <w:r w:rsidR="00B153BF">
        <w:rPr>
          <w:rtl/>
          <w:lang w:bidi="ar-EG"/>
        </w:rPr>
        <w:t xml:space="preserve"> إنشاء مكتب إضافي للاتحاد، وتحدَّد المواقع التي يمكن إنشاؤه فيها، ينبغي تحديد الشكل الذي يمكن أن يتخذه. وقد ينطوي ذلك على فتح مكتب إقليمي جديد أو مكتب منطقة جديد أو عقد شراكة مع وكالات أو كيانات دولية أخرى لزيادة أنشطة الاتحاد في المنطقة المعنية.</w:t>
      </w:r>
      <w:r w:rsidR="00B153BF">
        <w:rPr>
          <w:cs/>
          <w:lang w:bidi="ar-EG"/>
        </w:rPr>
        <w:t>‎</w:t>
      </w:r>
    </w:p>
    <w:p w14:paraId="325D81AB" w14:textId="35900079" w:rsidR="00B153BF" w:rsidRDefault="0047488C" w:rsidP="00E57A3A">
      <w:pPr>
        <w:rPr>
          <w:rtl/>
          <w:lang w:bidi="ar-EG"/>
        </w:rPr>
      </w:pPr>
      <w:r>
        <w:rPr>
          <w:lang w:bidi="ar-EG"/>
        </w:rPr>
        <w:t>2.3</w:t>
      </w:r>
      <w:r w:rsidR="00B153BF">
        <w:rPr>
          <w:rtl/>
          <w:lang w:bidi="ar-EG"/>
        </w:rPr>
        <w:tab/>
        <w:t xml:space="preserve">الوثيقة </w:t>
      </w:r>
      <w:hyperlink r:id="rId37" w:history="1">
        <w:r w:rsidR="00B153BF" w:rsidRPr="00D02454">
          <w:rPr>
            <w:rStyle w:val="Hyperlink"/>
            <w:lang w:bidi="ar-EG"/>
          </w:rPr>
          <w:t>CWG-FHR-16/24 (Rev.1)</w:t>
        </w:r>
      </w:hyperlink>
    </w:p>
    <w:p w14:paraId="48444773" w14:textId="6C18EB6D" w:rsidR="00B153BF" w:rsidRDefault="0047488C" w:rsidP="00B153BF">
      <w:pPr>
        <w:rPr>
          <w:rtl/>
          <w:lang w:bidi="ar-EG"/>
        </w:rPr>
      </w:pPr>
      <w:r>
        <w:rPr>
          <w:lang w:bidi="ar-EG"/>
        </w:rPr>
        <w:t>1.2.3</w:t>
      </w:r>
      <w:r w:rsidR="00B153BF">
        <w:rPr>
          <w:rtl/>
          <w:lang w:bidi="ar-EG"/>
        </w:rPr>
        <w:tab/>
        <w:t>تُقر هذه الوثيقة بالدور الحيوي الذي يؤديه الحضور الإقليمي للاتحاد في تحقيق رسالة الاتحاد، بتحسين فهمه للسياقات المحلية وبتلبية احتياجات البلدان بفعالية. وعلى وجه الخصوص، يتمثل دور المكاتب الإقليمية ومكاتب المناطق التابعتين للاتحاد في مساعدة البلدان في مناطق عمله في مجالات عديدة من قبيل تنفيذ المشاريع ومتابعتها، بما فيها تلك المتعلقة بالمبادرات الإقليمية، وسد الفجوة التقييسية، وبناء القدرات فيما يتصل بإدارة الترددات، وموافاة المناطق بمعلومات محدَّثة عن أنشطة الاتحاد، وتعزيز التعاون مع المنظمات الإقليمية للاتصالات.</w:t>
      </w:r>
      <w:r w:rsidR="00B153BF">
        <w:rPr>
          <w:cs/>
          <w:lang w:bidi="ar-EG"/>
        </w:rPr>
        <w:t>‎</w:t>
      </w:r>
    </w:p>
    <w:p w14:paraId="7E75E7CE" w14:textId="22AF3459" w:rsidR="00B153BF" w:rsidRDefault="0047488C" w:rsidP="00B153BF">
      <w:pPr>
        <w:rPr>
          <w:rtl/>
          <w:lang w:bidi="ar-EG"/>
        </w:rPr>
      </w:pPr>
      <w:r>
        <w:rPr>
          <w:lang w:bidi="ar-EG"/>
        </w:rPr>
        <w:t>2.2.3</w:t>
      </w:r>
      <w:r w:rsidR="00B153BF">
        <w:rPr>
          <w:rtl/>
          <w:lang w:bidi="ar-EG"/>
        </w:rPr>
        <w:tab/>
        <w:t>و‏تقدم الوثيقة المحال إليها آراء بشأن الدعم الذي يقدمه قطاع تنمية الاتصالات بالاتحاد (</w:t>
      </w:r>
      <w:r w:rsidR="00B153BF">
        <w:rPr>
          <w:cs/>
          <w:lang w:bidi="ar-EG"/>
        </w:rPr>
        <w:t>‎</w:t>
      </w:r>
      <w:r w:rsidR="00B153BF">
        <w:rPr>
          <w:lang w:bidi="ar-EG"/>
        </w:rPr>
        <w:t>ITU-D</w:t>
      </w:r>
      <w:r w:rsidR="00B153BF">
        <w:rPr>
          <w:rtl/>
          <w:lang w:bidi="ar-EG"/>
        </w:rPr>
        <w:t xml:space="preserve">) ‏عن طريق الحضور الإقليمي. وتشير الوثيقة إلى أن معظم التوصيات المقدمة لتقوية الحضور الإقليمي قد نفذت، أو يجري تنفيذها، وأن النتائج قد شهدت تحسناً مطرداً منذ عام </w:t>
      </w:r>
      <w:r w:rsidR="00B153BF">
        <w:rPr>
          <w:cs/>
          <w:lang w:bidi="ar-EG"/>
        </w:rPr>
        <w:t>‎</w:t>
      </w:r>
      <w:r w:rsidR="00B153BF">
        <w:rPr>
          <w:lang w:bidi="ar-EG"/>
        </w:rPr>
        <w:t>2019</w:t>
      </w:r>
      <w:r w:rsidR="00B153BF">
        <w:rPr>
          <w:rtl/>
          <w:lang w:bidi="ar-EG"/>
        </w:rPr>
        <w:t>.</w:t>
      </w:r>
    </w:p>
    <w:p w14:paraId="0C4AD2A9" w14:textId="12492A30" w:rsidR="00B153BF" w:rsidRDefault="0047488C" w:rsidP="00E57A3A">
      <w:pPr>
        <w:keepNext/>
        <w:rPr>
          <w:rtl/>
          <w:lang w:bidi="ar-EG"/>
        </w:rPr>
      </w:pPr>
      <w:r>
        <w:rPr>
          <w:lang w:bidi="ar-EG"/>
        </w:rPr>
        <w:lastRenderedPageBreak/>
        <w:t>3.2.3</w:t>
      </w:r>
      <w:r w:rsidR="00B153BF">
        <w:rPr>
          <w:rtl/>
          <w:lang w:bidi="ar-EG"/>
        </w:rPr>
        <w:tab/>
        <w:t>وتقدم الوثيقة المقترحات التالية:</w:t>
      </w:r>
      <w:r w:rsidR="00B153BF">
        <w:rPr>
          <w:cs/>
          <w:lang w:bidi="ar-EG"/>
        </w:rPr>
        <w:t>‎</w:t>
      </w:r>
    </w:p>
    <w:p w14:paraId="2D804495" w14:textId="57FA7C7D" w:rsidR="00B153BF" w:rsidRDefault="0047488C" w:rsidP="005C5DCA">
      <w:pPr>
        <w:pStyle w:val="enumlev1"/>
        <w:rPr>
          <w:rtl/>
        </w:rPr>
      </w:pPr>
      <w:r w:rsidRPr="003150E5">
        <w:t>(1</w:t>
      </w:r>
      <w:r w:rsidRPr="003150E5">
        <w:tab/>
      </w:r>
      <w:r w:rsidR="00B153BF" w:rsidRPr="003150E5">
        <w:rPr>
          <w:rtl/>
        </w:rPr>
        <w:t>ينبغي أن تراعَى مراعاةً شاملة في إنشاء مكاتب المناطق عوامل شتى، منها مدى استعداد البلد المضيف لاستضافة مكتب جديد، واحتياجات المناطق المعنية، ومدى توفر الموارد المالية، ومستوى التمثيل الجغرافي، وغيرها من العوامل، وينبغي أن تراعَى أيضاً التجارب السابقة.</w:t>
      </w:r>
    </w:p>
    <w:p w14:paraId="2CD3E1E5" w14:textId="03CDC433" w:rsidR="00B153BF" w:rsidRDefault="0047488C" w:rsidP="005C5DCA">
      <w:pPr>
        <w:pStyle w:val="enumlev1"/>
        <w:rPr>
          <w:rtl/>
        </w:rPr>
      </w:pPr>
      <w:r>
        <w:t>(2</w:t>
      </w:r>
      <w:r>
        <w:tab/>
      </w:r>
      <w:r w:rsidR="00B153BF">
        <w:rPr>
          <w:rtl/>
        </w:rPr>
        <w:t>نظراً إلى أن مكتب تنمية الاتصالات مسؤول عن المكاتب الإقليمية ومكاتب المناطق، فينبغي أن تُستعرض المعايير المحددة لإنشاء مكاتب المناطق وتناقَش، كلياً، في إطار الفريق الاستشاري لتنمية الاتصالات وفي دورات المجلس المقبلة. وينبغي أن يتمكن كلاهما من التحري عن جميع المعلومات اللازمة فيما يتعلق باحتمال وجود ثغرة في خدمة الدول الأعضاء ومن الحصول على هذه المعلومات، وأن يقترح العملية والمعايير والمؤشرات اللازمة لكل من المناطق لتقدم تقارير إلى دورات المجلس المقبلة لينظر فيها.</w:t>
      </w:r>
    </w:p>
    <w:p w14:paraId="578DD8E5" w14:textId="07EC8351" w:rsidR="00B153BF" w:rsidRDefault="0047488C" w:rsidP="005C5DCA">
      <w:pPr>
        <w:pStyle w:val="enumlev1"/>
        <w:rPr>
          <w:rtl/>
        </w:rPr>
      </w:pPr>
      <w:r>
        <w:t>(3</w:t>
      </w:r>
      <w:r>
        <w:tab/>
      </w:r>
      <w:r w:rsidR="00B153BF">
        <w:rPr>
          <w:rtl/>
        </w:rPr>
        <w:t>إن ‏الغرض الرئيسي من إنشاء مكاتب المناطق تقديم خدمات أفضل إلى الدول الأعضاء التي تلزمها المساعدة. فينبغي أن يُستوفى هذا الهدف في كل المعايير الواجب استحداثها لإنشاء مكاتب مناطق جديدة.</w:t>
      </w:r>
      <w:r w:rsidR="00B153BF">
        <w:rPr>
          <w:cs/>
        </w:rPr>
        <w:t>‎</w:t>
      </w:r>
    </w:p>
    <w:p w14:paraId="77C6A6B3" w14:textId="00A0FA40" w:rsidR="00B153BF" w:rsidRDefault="00494FC5" w:rsidP="005C5DCA">
      <w:pPr>
        <w:pStyle w:val="enumlev1"/>
        <w:rPr>
          <w:rtl/>
        </w:rPr>
      </w:pPr>
      <w:r>
        <w:rPr>
          <w:rFonts w:hint="cs"/>
          <w:rtl/>
        </w:rPr>
        <w:t>4)</w:t>
      </w:r>
      <w:r>
        <w:rPr>
          <w:rtl/>
        </w:rPr>
        <w:tab/>
      </w:r>
      <w:r w:rsidR="00B153BF">
        <w:rPr>
          <w:rtl/>
        </w:rPr>
        <w:t>ينبغي أن يراعَى في إنشاء مكاتب المناطق مستوى التنمية الاجتماعية والاقتصادية للبلدان المراد خدمتها، مع إيلاء مكاتب المناطق التي تخدم أقل البلدان نمواً</w:t>
      </w:r>
      <w:r w:rsidR="00E57A3A">
        <w:rPr>
          <w:rFonts w:hint="eastAsia"/>
          <w:rtl/>
          <w:lang w:bidi="ar-EG"/>
        </w:rPr>
        <w:t> </w:t>
      </w:r>
      <w:r w:rsidR="00E57A3A">
        <w:rPr>
          <w:lang w:bidi="ar-EG"/>
        </w:rPr>
        <w:t>(LDC)</w:t>
      </w:r>
      <w:r w:rsidR="00B153BF">
        <w:rPr>
          <w:rtl/>
        </w:rPr>
        <w:t xml:space="preserve"> أولويةً خاصة.</w:t>
      </w:r>
    </w:p>
    <w:p w14:paraId="6D99BADF" w14:textId="0581FCCA" w:rsidR="00B153BF" w:rsidRDefault="0047488C" w:rsidP="00E57A3A">
      <w:pPr>
        <w:rPr>
          <w:rtl/>
          <w:lang w:bidi="ar-EG"/>
        </w:rPr>
      </w:pPr>
      <w:r>
        <w:rPr>
          <w:lang w:bidi="ar-EG"/>
        </w:rPr>
        <w:t>3.3</w:t>
      </w:r>
      <w:r w:rsidR="00B153BF">
        <w:rPr>
          <w:rtl/>
          <w:lang w:bidi="ar-EG"/>
        </w:rPr>
        <w:tab/>
        <w:t xml:space="preserve">الوثيقتان </w:t>
      </w:r>
      <w:hyperlink r:id="rId38" w:history="1">
        <w:r w:rsidR="00B153BF" w:rsidRPr="00D02454">
          <w:rPr>
            <w:rStyle w:val="Hyperlink"/>
            <w:lang w:bidi="ar-EG"/>
          </w:rPr>
          <w:t>CWG-FHR-20/2</w:t>
        </w:r>
        <w:r w:rsidR="00B153BF" w:rsidRPr="00E57A3A">
          <w:rPr>
            <w:rtl/>
          </w:rPr>
          <w:t xml:space="preserve"> </w:t>
        </w:r>
      </w:hyperlink>
      <w:r w:rsidR="00B153BF">
        <w:rPr>
          <w:rtl/>
          <w:lang w:bidi="ar-EG"/>
        </w:rPr>
        <w:t>و</w:t>
      </w:r>
      <w:hyperlink r:id="rId39" w:history="1">
        <w:r w:rsidR="00B153BF" w:rsidRPr="00D02454">
          <w:rPr>
            <w:rStyle w:val="Hyperlink"/>
            <w:lang w:bidi="ar-EG"/>
          </w:rPr>
          <w:t>CWG-FHR-20/DT/1</w:t>
        </w:r>
      </w:hyperlink>
    </w:p>
    <w:p w14:paraId="3DA2E490" w14:textId="3EF5B624" w:rsidR="00B153BF" w:rsidRDefault="0047488C" w:rsidP="00B153BF">
      <w:pPr>
        <w:rPr>
          <w:rtl/>
          <w:lang w:bidi="ar-EG"/>
        </w:rPr>
      </w:pPr>
      <w:r>
        <w:rPr>
          <w:lang w:bidi="ar-EG"/>
        </w:rPr>
        <w:t>1.3.3</w:t>
      </w:r>
      <w:r w:rsidR="00B153BF">
        <w:rPr>
          <w:rtl/>
          <w:lang w:bidi="ar-EG"/>
        </w:rPr>
        <w:tab/>
        <w:t xml:space="preserve">قرر فريق العمل </w:t>
      </w:r>
      <w:r w:rsidR="00DC075C">
        <w:rPr>
          <w:rtl/>
          <w:lang w:bidi="ar-EG"/>
        </w:rPr>
        <w:t xml:space="preserve">التابع للمجلس </w:t>
      </w:r>
      <w:r w:rsidR="00DC075C">
        <w:rPr>
          <w:rFonts w:hint="cs"/>
          <w:rtl/>
          <w:lang w:bidi="ar-EG"/>
        </w:rPr>
        <w:t>و</w:t>
      </w:r>
      <w:r w:rsidR="00B153BF">
        <w:rPr>
          <w:rtl/>
          <w:lang w:bidi="ar-EG"/>
        </w:rPr>
        <w:t>المعني بالموارد المالية والبشرية (</w:t>
      </w:r>
      <w:r w:rsidR="00B153BF">
        <w:rPr>
          <w:cs/>
          <w:lang w:bidi="ar-EG"/>
        </w:rPr>
        <w:t>‎</w:t>
      </w:r>
      <w:r w:rsidR="00B153BF">
        <w:rPr>
          <w:lang w:bidi="ar-EG"/>
        </w:rPr>
        <w:t>CWG-FHR</w:t>
      </w:r>
      <w:r w:rsidR="00B153BF">
        <w:rPr>
          <w:rtl/>
          <w:lang w:bidi="ar-EG"/>
        </w:rPr>
        <w:t xml:space="preserve">) في اجتماعه التاسع عشر ‏إنشاء فريق عمل بالمراسلة عبر الإنترنت يُعنى بإعداد اختصاصات أمانة الاتحاد، المتعلقة بإتمام عملية استعراض للحضور الإقليمي </w:t>
      </w:r>
      <w:r w:rsidR="00B153BF" w:rsidRPr="00F70ABA">
        <w:rPr>
          <w:rtl/>
          <w:lang w:bidi="ar-EG"/>
        </w:rPr>
        <w:t xml:space="preserve">بموجب </w:t>
      </w:r>
      <w:hyperlink r:id="rId40" w:history="1">
        <w:r w:rsidR="00B153BF" w:rsidRPr="00F70ABA">
          <w:rPr>
            <w:rStyle w:val="Hyperlink"/>
            <w:rtl/>
            <w:lang w:bidi="ar-EG"/>
          </w:rPr>
          <w:t xml:space="preserve">القرار </w:t>
        </w:r>
        <w:r w:rsidR="00B153BF" w:rsidRPr="00F70ABA">
          <w:rPr>
            <w:rStyle w:val="Hyperlink"/>
            <w:cs/>
            <w:lang w:bidi="ar-EG"/>
          </w:rPr>
          <w:t>‎</w:t>
        </w:r>
        <w:r w:rsidR="00B153BF" w:rsidRPr="00F70ABA">
          <w:rPr>
            <w:rStyle w:val="Hyperlink"/>
            <w:lang w:bidi="ar-EG"/>
          </w:rPr>
          <w:t>25</w:t>
        </w:r>
      </w:hyperlink>
      <w:r w:rsidR="00B153BF">
        <w:rPr>
          <w:rtl/>
          <w:lang w:bidi="ar-EG"/>
        </w:rPr>
        <w:t xml:space="preserve"> </w:t>
      </w:r>
      <w:r w:rsidR="00B153BF" w:rsidRPr="00F70ABA">
        <w:rPr>
          <w:i/>
          <w:iCs/>
          <w:rtl/>
          <w:lang w:bidi="ar-EG"/>
        </w:rPr>
        <w:t xml:space="preserve">(‏المراجَع في بوخارست، </w:t>
      </w:r>
      <w:r w:rsidR="00B153BF" w:rsidRPr="00F70ABA">
        <w:rPr>
          <w:i/>
          <w:iCs/>
          <w:cs/>
          <w:lang w:bidi="ar-EG"/>
        </w:rPr>
        <w:t>‎</w:t>
      </w:r>
      <w:r w:rsidR="00B153BF" w:rsidRPr="00F70ABA">
        <w:rPr>
          <w:i/>
          <w:iCs/>
          <w:lang w:bidi="ar-EG"/>
        </w:rPr>
        <w:t>2022</w:t>
      </w:r>
      <w:r w:rsidR="00B153BF" w:rsidRPr="00F70ABA">
        <w:rPr>
          <w:i/>
          <w:iCs/>
          <w:rtl/>
          <w:lang w:bidi="ar-EG"/>
        </w:rPr>
        <w:t>)</w:t>
      </w:r>
      <w:r w:rsidR="00B153BF">
        <w:rPr>
          <w:rtl/>
          <w:lang w:bidi="ar-EG"/>
        </w:rPr>
        <w:t xml:space="preserve">. ‏وكُلف فريق العمل بالمراسلة بمهمتي إعادة النظر في الاختصاصات التي قُدمت إلى الاجتماع التاسع عشر لفريق العمل </w:t>
      </w:r>
      <w:r w:rsidR="00B153BF">
        <w:rPr>
          <w:lang w:bidi="ar-EG"/>
        </w:rPr>
        <w:t>CWG-FHR</w:t>
      </w:r>
      <w:r w:rsidR="00B153BF">
        <w:rPr>
          <w:rtl/>
          <w:lang w:bidi="ar-EG"/>
        </w:rPr>
        <w:t xml:space="preserve"> وتقديم تقريره إلى الاجتماع العشرين.</w:t>
      </w:r>
      <w:r w:rsidR="00B153BF">
        <w:rPr>
          <w:cs/>
          <w:lang w:bidi="ar-EG"/>
        </w:rPr>
        <w:t>‎</w:t>
      </w:r>
    </w:p>
    <w:p w14:paraId="2D27435A" w14:textId="35503C43" w:rsidR="00B153BF" w:rsidRDefault="0047488C" w:rsidP="00B153BF">
      <w:pPr>
        <w:rPr>
          <w:rtl/>
          <w:lang w:bidi="ar-EG"/>
        </w:rPr>
      </w:pPr>
      <w:r>
        <w:rPr>
          <w:lang w:bidi="ar-EG"/>
        </w:rPr>
        <w:t>2.3.3</w:t>
      </w:r>
      <w:r w:rsidR="00B153BF">
        <w:rPr>
          <w:rtl/>
          <w:lang w:bidi="ar-EG"/>
        </w:rPr>
        <w:tab/>
        <w:t xml:space="preserve">‏واضطلع فريق العمل بالمراسلة بأعماله في الفترة ما بين </w:t>
      </w:r>
      <w:r w:rsidR="00B153BF">
        <w:rPr>
          <w:cs/>
          <w:lang w:bidi="ar-EG"/>
        </w:rPr>
        <w:t>‎</w:t>
      </w:r>
      <w:r w:rsidR="00B153BF">
        <w:rPr>
          <w:lang w:bidi="ar-EG"/>
        </w:rPr>
        <w:t>22</w:t>
      </w:r>
      <w:r w:rsidR="00B153BF">
        <w:rPr>
          <w:rtl/>
          <w:lang w:bidi="ar-EG"/>
        </w:rPr>
        <w:t xml:space="preserve"> ‏نوفمبر </w:t>
      </w:r>
      <w:r w:rsidR="00B153BF">
        <w:rPr>
          <w:cs/>
          <w:lang w:bidi="ar-EG"/>
        </w:rPr>
        <w:t>‎</w:t>
      </w:r>
      <w:r w:rsidR="00B153BF">
        <w:rPr>
          <w:lang w:bidi="ar-EG"/>
        </w:rPr>
        <w:t>2024</w:t>
      </w:r>
      <w:r w:rsidR="00B153BF">
        <w:rPr>
          <w:rtl/>
          <w:lang w:bidi="ar-EG"/>
        </w:rPr>
        <w:t xml:space="preserve"> و</w:t>
      </w:r>
      <w:r w:rsidR="00B153BF">
        <w:rPr>
          <w:cs/>
          <w:lang w:bidi="ar-EG"/>
        </w:rPr>
        <w:t>‎</w:t>
      </w:r>
      <w:r w:rsidR="00B153BF">
        <w:rPr>
          <w:lang w:bidi="ar-EG"/>
        </w:rPr>
        <w:t>15</w:t>
      </w:r>
      <w:r w:rsidR="00B153BF">
        <w:rPr>
          <w:rtl/>
          <w:lang w:bidi="ar-EG"/>
        </w:rPr>
        <w:t xml:space="preserve"> ‏يناير </w:t>
      </w:r>
      <w:r w:rsidR="00B153BF">
        <w:rPr>
          <w:cs/>
          <w:lang w:bidi="ar-EG"/>
        </w:rPr>
        <w:t>‎</w:t>
      </w:r>
      <w:r w:rsidR="00B153BF">
        <w:rPr>
          <w:lang w:bidi="ar-EG"/>
        </w:rPr>
        <w:t>2025</w:t>
      </w:r>
      <w:r w:rsidR="00B153BF">
        <w:rPr>
          <w:rtl/>
          <w:lang w:bidi="ar-EG"/>
        </w:rPr>
        <w:t>‏ مستفيداً من الأدوات المتاحة على الإنترنت لتيسير التعاون فيما بين أعضائه. وعقد ثلاثة اجتماعات افتراضية أتاحت إجراء مناقشات متعمقة وتبادل مختلف وجهات النظر.</w:t>
      </w:r>
      <w:r w:rsidR="00B153BF">
        <w:rPr>
          <w:cs/>
          <w:lang w:bidi="ar-EG"/>
        </w:rPr>
        <w:t>‎</w:t>
      </w:r>
    </w:p>
    <w:p w14:paraId="564FA1C5" w14:textId="3A34F915" w:rsidR="00B153BF" w:rsidRDefault="0047488C" w:rsidP="00B153BF">
      <w:pPr>
        <w:rPr>
          <w:rtl/>
          <w:lang w:bidi="ar-EG"/>
        </w:rPr>
      </w:pPr>
      <w:r>
        <w:rPr>
          <w:lang w:bidi="ar-EG"/>
        </w:rPr>
        <w:t>3.3.3</w:t>
      </w:r>
      <w:r w:rsidR="00B153BF">
        <w:rPr>
          <w:rtl/>
          <w:lang w:bidi="ar-EG"/>
        </w:rPr>
        <w:tab/>
        <w:t xml:space="preserve">وأعدَّ فريق العمل بالمراسلة، عن طريق تحليل بالغ الدقة للقرار </w:t>
      </w:r>
      <w:r w:rsidR="00B153BF">
        <w:rPr>
          <w:cs/>
          <w:lang w:bidi="ar-EG"/>
        </w:rPr>
        <w:t>‎</w:t>
      </w:r>
      <w:r w:rsidR="00B153BF">
        <w:rPr>
          <w:lang w:bidi="ar-EG"/>
        </w:rPr>
        <w:t>25</w:t>
      </w:r>
      <w:r w:rsidR="00B153BF">
        <w:rPr>
          <w:rtl/>
          <w:lang w:bidi="ar-EG"/>
        </w:rPr>
        <w:t>‏، مجموعة منقحة من الاختصاصات. وتستهدف التنقيحات تعزيز استعراض الاتحاد حضوره الإقليمي وزيادة دقة هذا الاستعراض، على حد سواء، بغية تعزيز الكفاءة التشغيلية وتشجيع زيادة الانخراط مع المكاتب الإقليمية ومكاتب المناطق.</w:t>
      </w:r>
      <w:r w:rsidR="00B153BF">
        <w:rPr>
          <w:cs/>
          <w:lang w:bidi="ar-EG"/>
        </w:rPr>
        <w:t>‎</w:t>
      </w:r>
    </w:p>
    <w:p w14:paraId="728A019A" w14:textId="662D9D86" w:rsidR="00B153BF" w:rsidRDefault="0047488C" w:rsidP="0047488C">
      <w:pPr>
        <w:rPr>
          <w:rtl/>
          <w:lang w:bidi="ar-EG"/>
        </w:rPr>
      </w:pPr>
      <w:r>
        <w:rPr>
          <w:lang w:bidi="ar-EG"/>
        </w:rPr>
        <w:t>4.3.3</w:t>
      </w:r>
      <w:r w:rsidR="00B153BF">
        <w:rPr>
          <w:rtl/>
          <w:lang w:bidi="ar-EG"/>
        </w:rPr>
        <w:tab/>
        <w:t xml:space="preserve">و‏تعرض الوثائق المقدمة إلى الاجتماع العشرين لفريق العمل </w:t>
      </w:r>
      <w:r w:rsidR="00B153BF">
        <w:rPr>
          <w:lang w:bidi="ar-EG"/>
        </w:rPr>
        <w:t>CWG-FHR</w:t>
      </w:r>
      <w:r w:rsidR="00B153BF">
        <w:rPr>
          <w:rtl/>
          <w:lang w:bidi="ar-EG"/>
        </w:rPr>
        <w:t xml:space="preserve"> الأعمال التي اضطلع بها فريق العمل بالمراسلة عبر الإنترنت وتتضمن الاختصاصات (انظر الملحق </w:t>
      </w:r>
      <w:r w:rsidR="00B153BF">
        <w:rPr>
          <w:lang w:bidi="ar-EG"/>
        </w:rPr>
        <w:t>A</w:t>
      </w:r>
      <w:r w:rsidR="00B153BF">
        <w:rPr>
          <w:rtl/>
          <w:lang w:bidi="ar-EG"/>
        </w:rPr>
        <w:t xml:space="preserve"> للوثيقة </w:t>
      </w:r>
      <w:r w:rsidR="00B153BF">
        <w:rPr>
          <w:cs/>
          <w:lang w:bidi="ar-EG"/>
        </w:rPr>
        <w:t>‎</w:t>
      </w:r>
      <w:hyperlink r:id="rId41" w:history="1">
        <w:r w:rsidR="00B153BF" w:rsidRPr="00494FC5">
          <w:rPr>
            <w:rStyle w:val="Hyperlink"/>
            <w:lang w:bidi="ar-EG"/>
          </w:rPr>
          <w:t>TDAG25/24(Ann.1)</w:t>
        </w:r>
      </w:hyperlink>
      <w:r w:rsidR="00B153BF">
        <w:rPr>
          <w:rtl/>
          <w:lang w:bidi="ar-EG"/>
        </w:rPr>
        <w:t>) ‏التي تقدم إطاراً استراتيجياً يوجه عملية الاستعراض بما يضمن وَفْيها وتأثيرها واتفاقها مع غايات المنظمة الطويلة الأجل.</w:t>
      </w:r>
    </w:p>
    <w:p w14:paraId="336C7771" w14:textId="77777777" w:rsidR="00B153BF" w:rsidRDefault="00B153BF" w:rsidP="0047488C">
      <w:pPr>
        <w:pStyle w:val="Heading1"/>
        <w:rPr>
          <w:rtl/>
          <w:lang w:bidi="ar-EG"/>
        </w:rPr>
      </w:pPr>
      <w:r>
        <w:rPr>
          <w:rtl/>
          <w:lang w:bidi="ar-EG"/>
        </w:rPr>
        <w:t>4</w:t>
      </w:r>
      <w:r>
        <w:rPr>
          <w:rtl/>
          <w:lang w:bidi="ar-EG"/>
        </w:rPr>
        <w:tab/>
        <w:t>الخلاصة</w:t>
      </w:r>
    </w:p>
    <w:p w14:paraId="0C6A0C4D" w14:textId="7F010587" w:rsidR="0019128D" w:rsidRDefault="00B153BF" w:rsidP="00B153BF">
      <w:pPr>
        <w:rPr>
          <w:rtl/>
          <w:lang w:bidi="ar-EG"/>
        </w:rPr>
      </w:pPr>
      <w:r>
        <w:rPr>
          <w:rtl/>
          <w:lang w:bidi="ar-EG"/>
        </w:rPr>
        <w:t xml:space="preserve">يُدعى الفريق الاستشاري لتنمية الاتصالات إلى الإحاطة علماً بهذه الوثيقة وتقديم </w:t>
      </w:r>
      <w:r w:rsidRPr="0076392F">
        <w:rPr>
          <w:rtl/>
          <w:lang w:bidi="ar-EG"/>
        </w:rPr>
        <w:t>التوجيه حسبما يرتئيه مناسباً</w:t>
      </w:r>
      <w:r>
        <w:rPr>
          <w:rtl/>
          <w:lang w:bidi="ar-EG"/>
        </w:rPr>
        <w:t xml:space="preserve"> كمساهمة في</w:t>
      </w:r>
      <w:r w:rsidR="00494FC5">
        <w:rPr>
          <w:rFonts w:hint="cs"/>
          <w:rtl/>
          <w:lang w:bidi="ar-EG"/>
        </w:rPr>
        <w:t> </w:t>
      </w:r>
      <w:r>
        <w:rPr>
          <w:rtl/>
          <w:lang w:bidi="ar-EG"/>
        </w:rPr>
        <w:t>الاجتماع المقبل للمجلس.</w:t>
      </w:r>
    </w:p>
    <w:p w14:paraId="5B6691F4"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42"/>
      <w:footerReference w:type="first" r:id="rId4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61BE" w14:textId="77777777" w:rsidR="0081635A" w:rsidRDefault="0081635A" w:rsidP="006C3242">
      <w:pPr>
        <w:spacing w:before="0" w:line="240" w:lineRule="auto"/>
      </w:pPr>
      <w:r>
        <w:separator/>
      </w:r>
    </w:p>
  </w:endnote>
  <w:endnote w:type="continuationSeparator" w:id="0">
    <w:p w14:paraId="35EB6E07" w14:textId="77777777" w:rsidR="0081635A" w:rsidRDefault="0081635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4B5BCF5B" w14:textId="77777777" w:rsidTr="00031158">
      <w:tc>
        <w:tcPr>
          <w:tcW w:w="991" w:type="dxa"/>
          <w:tcBorders>
            <w:top w:val="single" w:sz="4" w:space="0" w:color="auto"/>
            <w:left w:val="nil"/>
            <w:bottom w:val="nil"/>
            <w:right w:val="nil"/>
          </w:tcBorders>
          <w:shd w:val="clear" w:color="auto" w:fill="FFFFFF" w:themeFill="background1"/>
          <w:hideMark/>
        </w:tcPr>
        <w:p w14:paraId="19271BBA"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C5F5FF4"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F0BBA7" w14:textId="2EB1E479" w:rsidR="00AD1E92" w:rsidRPr="00AD1E92" w:rsidRDefault="00B153BF" w:rsidP="00AD1E92">
          <w:pPr>
            <w:spacing w:before="60" w:after="40" w:line="260" w:lineRule="exact"/>
            <w:rPr>
              <w:position w:val="2"/>
              <w:sz w:val="18"/>
              <w:szCs w:val="18"/>
              <w:lang w:val="en-GB"/>
            </w:rPr>
          </w:pPr>
          <w:r>
            <w:rPr>
              <w:rFonts w:hint="cs"/>
              <w:position w:val="2"/>
              <w:sz w:val="18"/>
              <w:szCs w:val="18"/>
              <w:rtl/>
              <w:lang w:val="en-GB" w:bidi="ar-EG"/>
            </w:rPr>
            <w:t xml:space="preserve">السيدة </w:t>
          </w:r>
          <w:r>
            <w:rPr>
              <w:position w:val="2"/>
              <w:sz w:val="18"/>
              <w:szCs w:val="18"/>
              <w:lang w:val="en-GB" w:bidi="ar-EG"/>
            </w:rPr>
            <w:t>Archana Gulati</w:t>
          </w:r>
          <w:r>
            <w:rPr>
              <w:rFonts w:hint="cs"/>
              <w:position w:val="2"/>
              <w:sz w:val="18"/>
              <w:szCs w:val="18"/>
              <w:rtl/>
              <w:lang w:val="en-GB" w:bidi="ar-EG"/>
            </w:rPr>
            <w:t>، نائبة مدير مكتب تنمية الاتصالات</w:t>
          </w:r>
        </w:p>
      </w:tc>
    </w:tr>
    <w:tr w:rsidR="00AD1E92" w:rsidRPr="00AD1E92" w14:paraId="6AC45717" w14:textId="77777777" w:rsidTr="00031158">
      <w:tc>
        <w:tcPr>
          <w:tcW w:w="991" w:type="dxa"/>
        </w:tcPr>
        <w:p w14:paraId="1C2EC029"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488EA02A"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22A338BC" w14:textId="7C9C056F" w:rsidR="00AD1E92" w:rsidRPr="00AD1E92" w:rsidRDefault="00B153BF" w:rsidP="00AD1E92">
          <w:pPr>
            <w:spacing w:before="60" w:after="40" w:line="260" w:lineRule="exact"/>
            <w:rPr>
              <w:position w:val="2"/>
              <w:sz w:val="18"/>
              <w:szCs w:val="18"/>
              <w:lang w:val="en-GB"/>
            </w:rPr>
          </w:pPr>
          <w:r>
            <w:rPr>
              <w:rFonts w:hint="cs"/>
              <w:position w:val="2"/>
              <w:sz w:val="18"/>
              <w:szCs w:val="18"/>
              <w:rtl/>
              <w:lang w:val="en-GB"/>
            </w:rPr>
            <w:t>غير متاح</w:t>
          </w:r>
        </w:p>
      </w:tc>
    </w:tr>
    <w:tr w:rsidR="00AD1E92" w:rsidRPr="00AD1E92" w14:paraId="7B562995" w14:textId="77777777" w:rsidTr="00031158">
      <w:tc>
        <w:tcPr>
          <w:tcW w:w="991" w:type="dxa"/>
        </w:tcPr>
        <w:p w14:paraId="094E028C"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0C46BA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5A61F739" w14:textId="54AEC4FB" w:rsidR="00AD1E92" w:rsidRPr="00AD1E92" w:rsidRDefault="00F70ABA" w:rsidP="00AD1E92">
          <w:pPr>
            <w:spacing w:before="60" w:after="40" w:line="260" w:lineRule="exact"/>
            <w:rPr>
              <w:position w:val="2"/>
              <w:sz w:val="18"/>
              <w:szCs w:val="18"/>
              <w:rtl/>
              <w:lang w:val="fr-FR" w:bidi="ar-EG"/>
            </w:rPr>
          </w:pPr>
          <w:hyperlink r:id="rId1" w:history="1">
            <w:r w:rsidR="00B153BF" w:rsidRPr="00941B59">
              <w:rPr>
                <w:rStyle w:val="Hyperlink"/>
                <w:sz w:val="18"/>
                <w:szCs w:val="18"/>
              </w:rPr>
              <w:t>archana.gulati@itu.int</w:t>
            </w:r>
          </w:hyperlink>
          <w:hyperlink r:id="rId2" w:history="1"/>
        </w:p>
      </w:tc>
    </w:tr>
  </w:tbl>
  <w:p w14:paraId="33863E34"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614B" w14:textId="77777777" w:rsidR="0081635A" w:rsidRDefault="0081635A" w:rsidP="006C3242">
      <w:pPr>
        <w:spacing w:before="0" w:line="240" w:lineRule="auto"/>
      </w:pPr>
      <w:r>
        <w:separator/>
      </w:r>
    </w:p>
  </w:footnote>
  <w:footnote w:type="continuationSeparator" w:id="0">
    <w:p w14:paraId="3D2AFDCD" w14:textId="77777777" w:rsidR="0081635A" w:rsidRDefault="0081635A" w:rsidP="006C3242">
      <w:pPr>
        <w:spacing w:before="0" w:line="240" w:lineRule="auto"/>
      </w:pPr>
      <w:r>
        <w:continuationSeparator/>
      </w:r>
    </w:p>
  </w:footnote>
  <w:footnote w:id="1">
    <w:p w14:paraId="4F268048" w14:textId="058649C4" w:rsidR="00D02454" w:rsidRDefault="00D02454">
      <w:pPr>
        <w:pStyle w:val="FootnoteText"/>
      </w:pPr>
      <w:r>
        <w:rPr>
          <w:rStyle w:val="FootnoteReference"/>
        </w:rPr>
        <w:footnoteRef/>
      </w:r>
      <w:r>
        <w:rPr>
          <w:rtl/>
        </w:rPr>
        <w:t xml:space="preserve"> </w:t>
      </w:r>
      <w:r>
        <w:rPr>
          <w:rFonts w:hint="cs"/>
          <w:rtl/>
          <w:lang w:val="en-GB" w:bidi="ar-EG"/>
        </w:rPr>
        <w:t xml:space="preserve">الوثيقة </w:t>
      </w:r>
      <w:hyperlink r:id="rId1" w:history="1">
        <w:r w:rsidRPr="00292323">
          <w:rPr>
            <w:rStyle w:val="Hyperlink"/>
            <w:sz w:val="20"/>
            <w:lang w:val="fr-FR"/>
          </w:rPr>
          <w:t>TDAG-24/12</w:t>
        </w:r>
      </w:hyperlink>
      <w:r>
        <w:rPr>
          <w:rFonts w:hint="cs"/>
          <w:rtl/>
          <w:lang w:val="en-GB" w:bidi="ar-EG"/>
        </w:rPr>
        <w:t xml:space="preserve"> بشأن الخطة التشغيلية لقطاع تنمية الاتصالات لعام </w:t>
      </w:r>
      <w:r>
        <w:rPr>
          <w:lang w:val="en-GB" w:bidi="ar-EG"/>
        </w:rPr>
        <w:t>2024</w:t>
      </w:r>
      <w:r>
        <w:rPr>
          <w:rFonts w:hint="cs"/>
          <w:rtl/>
          <w:lang w:val="en-GB"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786B918" w14:textId="65D5C399"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B153BF">
          <w:rPr>
            <w:sz w:val="20"/>
            <w:szCs w:val="20"/>
            <w:lang w:val="es-ES_tradnl"/>
          </w:rPr>
          <w:t>24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5A"/>
    <w:rsid w:val="00026D7C"/>
    <w:rsid w:val="0006468A"/>
    <w:rsid w:val="00090574"/>
    <w:rsid w:val="000C1C0E"/>
    <w:rsid w:val="000C548A"/>
    <w:rsid w:val="00153471"/>
    <w:rsid w:val="001911B1"/>
    <w:rsid w:val="0019128D"/>
    <w:rsid w:val="00194F2A"/>
    <w:rsid w:val="001C0169"/>
    <w:rsid w:val="001D1D50"/>
    <w:rsid w:val="001D6745"/>
    <w:rsid w:val="001E446E"/>
    <w:rsid w:val="0020084A"/>
    <w:rsid w:val="0021016E"/>
    <w:rsid w:val="002154EE"/>
    <w:rsid w:val="002276D2"/>
    <w:rsid w:val="0023283D"/>
    <w:rsid w:val="0026373E"/>
    <w:rsid w:val="002663A4"/>
    <w:rsid w:val="00271C43"/>
    <w:rsid w:val="00290728"/>
    <w:rsid w:val="002978F4"/>
    <w:rsid w:val="002B028D"/>
    <w:rsid w:val="002D695E"/>
    <w:rsid w:val="002E6541"/>
    <w:rsid w:val="003150E5"/>
    <w:rsid w:val="00317741"/>
    <w:rsid w:val="00321502"/>
    <w:rsid w:val="00334924"/>
    <w:rsid w:val="003409BC"/>
    <w:rsid w:val="00352462"/>
    <w:rsid w:val="00357185"/>
    <w:rsid w:val="00383829"/>
    <w:rsid w:val="003971E3"/>
    <w:rsid w:val="003C420D"/>
    <w:rsid w:val="003C4402"/>
    <w:rsid w:val="003C46BC"/>
    <w:rsid w:val="003F4B29"/>
    <w:rsid w:val="004200BD"/>
    <w:rsid w:val="0042686F"/>
    <w:rsid w:val="004317D8"/>
    <w:rsid w:val="00434183"/>
    <w:rsid w:val="00443869"/>
    <w:rsid w:val="00447F32"/>
    <w:rsid w:val="00457D22"/>
    <w:rsid w:val="0047488C"/>
    <w:rsid w:val="00494FC5"/>
    <w:rsid w:val="004A0B7B"/>
    <w:rsid w:val="004A4C37"/>
    <w:rsid w:val="004E11DC"/>
    <w:rsid w:val="004F0F62"/>
    <w:rsid w:val="004F3C48"/>
    <w:rsid w:val="00506E94"/>
    <w:rsid w:val="00525DDD"/>
    <w:rsid w:val="005409AC"/>
    <w:rsid w:val="0055516A"/>
    <w:rsid w:val="0058491B"/>
    <w:rsid w:val="005874F2"/>
    <w:rsid w:val="00587C70"/>
    <w:rsid w:val="00592EA5"/>
    <w:rsid w:val="005A3170"/>
    <w:rsid w:val="005B2C89"/>
    <w:rsid w:val="005C0C76"/>
    <w:rsid w:val="005C5DCA"/>
    <w:rsid w:val="005D610E"/>
    <w:rsid w:val="005D63D6"/>
    <w:rsid w:val="005E1E6D"/>
    <w:rsid w:val="006128FC"/>
    <w:rsid w:val="006700E6"/>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6392F"/>
    <w:rsid w:val="00783A69"/>
    <w:rsid w:val="00783E26"/>
    <w:rsid w:val="007A1D77"/>
    <w:rsid w:val="007B4FA0"/>
    <w:rsid w:val="007C3BC7"/>
    <w:rsid w:val="007C3BCD"/>
    <w:rsid w:val="007D345C"/>
    <w:rsid w:val="007D4ACF"/>
    <w:rsid w:val="007F0787"/>
    <w:rsid w:val="00810B7B"/>
    <w:rsid w:val="0081635A"/>
    <w:rsid w:val="0082358A"/>
    <w:rsid w:val="008235CD"/>
    <w:rsid w:val="008247DE"/>
    <w:rsid w:val="00840B10"/>
    <w:rsid w:val="008513CB"/>
    <w:rsid w:val="00855F97"/>
    <w:rsid w:val="008562F3"/>
    <w:rsid w:val="00874F08"/>
    <w:rsid w:val="00882A17"/>
    <w:rsid w:val="008A7F84"/>
    <w:rsid w:val="0091702E"/>
    <w:rsid w:val="00923B0C"/>
    <w:rsid w:val="00927EEB"/>
    <w:rsid w:val="0094021C"/>
    <w:rsid w:val="0094065A"/>
    <w:rsid w:val="00952F86"/>
    <w:rsid w:val="00957084"/>
    <w:rsid w:val="00982B28"/>
    <w:rsid w:val="00983DA5"/>
    <w:rsid w:val="009D313F"/>
    <w:rsid w:val="00A15396"/>
    <w:rsid w:val="00A24359"/>
    <w:rsid w:val="00A27856"/>
    <w:rsid w:val="00A47A5A"/>
    <w:rsid w:val="00A6683B"/>
    <w:rsid w:val="00A97F94"/>
    <w:rsid w:val="00AA7EA2"/>
    <w:rsid w:val="00AD1E92"/>
    <w:rsid w:val="00B03099"/>
    <w:rsid w:val="00B05BC8"/>
    <w:rsid w:val="00B153BF"/>
    <w:rsid w:val="00B319BC"/>
    <w:rsid w:val="00B64B47"/>
    <w:rsid w:val="00B93B7B"/>
    <w:rsid w:val="00BC4B48"/>
    <w:rsid w:val="00BC6A97"/>
    <w:rsid w:val="00C002DE"/>
    <w:rsid w:val="00C53BF8"/>
    <w:rsid w:val="00C56B5F"/>
    <w:rsid w:val="00C66157"/>
    <w:rsid w:val="00C674FE"/>
    <w:rsid w:val="00C67501"/>
    <w:rsid w:val="00C7273D"/>
    <w:rsid w:val="00C75633"/>
    <w:rsid w:val="00C85CB5"/>
    <w:rsid w:val="00CA08BA"/>
    <w:rsid w:val="00CE2EE1"/>
    <w:rsid w:val="00CE3349"/>
    <w:rsid w:val="00CE36E5"/>
    <w:rsid w:val="00CE521B"/>
    <w:rsid w:val="00CF27F5"/>
    <w:rsid w:val="00CF3FFD"/>
    <w:rsid w:val="00CF4342"/>
    <w:rsid w:val="00D02454"/>
    <w:rsid w:val="00D10CCF"/>
    <w:rsid w:val="00D77D0F"/>
    <w:rsid w:val="00D8311F"/>
    <w:rsid w:val="00D84440"/>
    <w:rsid w:val="00DA1CF0"/>
    <w:rsid w:val="00DC075C"/>
    <w:rsid w:val="00DC1E02"/>
    <w:rsid w:val="00DC24B4"/>
    <w:rsid w:val="00DC5FB0"/>
    <w:rsid w:val="00DF16DC"/>
    <w:rsid w:val="00E43176"/>
    <w:rsid w:val="00E45211"/>
    <w:rsid w:val="00E473C5"/>
    <w:rsid w:val="00E57A3A"/>
    <w:rsid w:val="00E92863"/>
    <w:rsid w:val="00EA4C5D"/>
    <w:rsid w:val="00EB796D"/>
    <w:rsid w:val="00EC016F"/>
    <w:rsid w:val="00EE5CF2"/>
    <w:rsid w:val="00EE5E76"/>
    <w:rsid w:val="00EF72E6"/>
    <w:rsid w:val="00F058DC"/>
    <w:rsid w:val="00F24FC4"/>
    <w:rsid w:val="00F2676C"/>
    <w:rsid w:val="00F43D01"/>
    <w:rsid w:val="00F70ABA"/>
    <w:rsid w:val="00F77022"/>
    <w:rsid w:val="00F84366"/>
    <w:rsid w:val="00F85089"/>
    <w:rsid w:val="00F974C5"/>
    <w:rsid w:val="00FA3092"/>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FF14"/>
  <w15:chartTrackingRefBased/>
  <w15:docId w15:val="{84643009-F1F4-4FAD-A3B1-91673886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A27856"/>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B153BF"/>
    <w:rPr>
      <w:color w:val="605E5C"/>
      <w:shd w:val="clear" w:color="auto" w:fill="E1DFDD"/>
    </w:rPr>
  </w:style>
  <w:style w:type="character" w:styleId="FollowedHyperlink">
    <w:name w:val="FollowedHyperlink"/>
    <w:basedOn w:val="DefaultParagraphFont"/>
    <w:uiPriority w:val="99"/>
    <w:semiHidden/>
    <w:unhideWhenUsed/>
    <w:rsid w:val="00D02454"/>
    <w:rPr>
      <w:color w:val="954F72" w:themeColor="followedHyperlink"/>
      <w:u w:val="single"/>
    </w:rPr>
  </w:style>
  <w:style w:type="paragraph" w:styleId="Revision">
    <w:name w:val="Revision"/>
    <w:hidden/>
    <w:uiPriority w:val="99"/>
    <w:semiHidden/>
    <w:rsid w:val="00587C7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25/en" TargetMode="External"/><Relationship Id="rId18" Type="http://schemas.openxmlformats.org/officeDocument/2006/relationships/hyperlink" Target="https://www.itu.int/md/D22-TDAG31-C-0007/en" TargetMode="External"/><Relationship Id="rId26" Type="http://schemas.openxmlformats.org/officeDocument/2006/relationships/hyperlink" Target="https://www.itu.int/md/D22-TDAG32-INF-0004/" TargetMode="External"/><Relationship Id="rId39" Type="http://schemas.openxmlformats.org/officeDocument/2006/relationships/hyperlink" Target="https://www.itu.int/md/S25-CWGFHR20-250217-TD-0001/en" TargetMode="External"/><Relationship Id="rId21" Type="http://schemas.openxmlformats.org/officeDocument/2006/relationships/hyperlink" Target="https://www.itu.int/md/D22-TDAG32-C-0003/" TargetMode="External"/><Relationship Id="rId34" Type="http://schemas.openxmlformats.org/officeDocument/2006/relationships/hyperlink" Target="https://www.itu.int/dms_pub/itu-s/md/23/cwgfhr16/c/S23-CWGFHR16-C-0024!R1!MSW-E.docx" TargetMode="External"/><Relationship Id="rId42" Type="http://schemas.openxmlformats.org/officeDocument/2006/relationships/header" Target="header1.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S23-CWGFHR16-C-0010" TargetMode="External"/><Relationship Id="rId29" Type="http://schemas.openxmlformats.org/officeDocument/2006/relationships/hyperlink" Target="https://www.itu.int/md/D22-TDAG32-C-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79/en" TargetMode="External"/><Relationship Id="rId24" Type="http://schemas.openxmlformats.org/officeDocument/2006/relationships/hyperlink" Target="https://www.itu.int/dms_pub/itu-d/opb/tdc/D-TDC-WTDC-2022-PDF-a.pdf" TargetMode="External"/><Relationship Id="rId32" Type="http://schemas.openxmlformats.org/officeDocument/2006/relationships/hyperlink" Target="https://www.itu.int/md/D22-TDAG32-C-0009/" TargetMode="External"/><Relationship Id="rId37" Type="http://schemas.openxmlformats.org/officeDocument/2006/relationships/hyperlink" Target="https://www.itu.int/dms_pub/itu-s/md/23/cwgfhr16/c/S23-CWGFHR16-C-0024!R1!MSW-E.docx" TargetMode="External"/><Relationship Id="rId40" Type="http://schemas.openxmlformats.org/officeDocument/2006/relationships/hyperlink" Target="https://www.itu.int/en/council/Documents/basic-texts-2023/RES-025-a.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5-CWGFHR20-250217-TD-0001/en" TargetMode="External"/><Relationship Id="rId23" Type="http://schemas.openxmlformats.org/officeDocument/2006/relationships/hyperlink" Target="https://www.itu.int/md/D22-TDAG32-C-0003/" TargetMode="External"/><Relationship Id="rId28" Type="http://schemas.openxmlformats.org/officeDocument/2006/relationships/hyperlink" Target="https://www.itu.int/itu-d/sites/partnerships/home/partnerships/" TargetMode="External"/><Relationship Id="rId36" Type="http://schemas.openxmlformats.org/officeDocument/2006/relationships/hyperlink" Target="https://www.itu.int/md/meetingdoc.asp?lang=en&amp;parent=S23-CWGFHR16-C-0010" TargetMode="External"/><Relationship Id="rId10" Type="http://schemas.openxmlformats.org/officeDocument/2006/relationships/hyperlink" Target="https://www.itu.int/en/council/Documents/basic-texts-2023/RES-025-a.pdf" TargetMode="External"/><Relationship Id="rId19" Type="http://schemas.openxmlformats.org/officeDocument/2006/relationships/hyperlink" Target="https://www.itu.int/md/D22-TDAG31-C-0012/en" TargetMode="External"/><Relationship Id="rId31" Type="http://schemas.openxmlformats.org/officeDocument/2006/relationships/hyperlink" Target="https://www.itu.int/md/D22-TDAG32-C-000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S25-CWGFHR20-C-0002/en" TargetMode="External"/><Relationship Id="rId22" Type="http://schemas.openxmlformats.org/officeDocument/2006/relationships/hyperlink" Target="https://www.itu.int/md/D22-TDAG32-C-0002/" TargetMode="External"/><Relationship Id="rId27" Type="http://schemas.openxmlformats.org/officeDocument/2006/relationships/hyperlink" Target="https://www.itu.int/ar/ITU-D/conferences/WTDC/WTDC21/Pages/default.aspx" TargetMode="External"/><Relationship Id="rId30" Type="http://schemas.openxmlformats.org/officeDocument/2006/relationships/hyperlink" Target="https://www.itu.int/en/ITU-D/Projects/Pages/Portfolio.aspx" TargetMode="External"/><Relationship Id="rId35" Type="http://schemas.openxmlformats.org/officeDocument/2006/relationships/hyperlink" Target="https://www.itu.int/md/D22-TDAG32-C-0024/"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md/S24-CL-C-0098/en" TargetMode="External"/><Relationship Id="rId17" Type="http://schemas.openxmlformats.org/officeDocument/2006/relationships/hyperlink" Target="https://www.itu.int/dms_pub/itu-s/md/23/cwgfhr16/c/S23-CWGFHR16-C-0024!R1!MSW-E.docx" TargetMode="External"/><Relationship Id="rId25" Type="http://schemas.openxmlformats.org/officeDocument/2006/relationships/hyperlink" Target="https://www.itu.int/ar/ITU-D/conferences/WTDC/WTDC21/Pages/default.aspx" TargetMode="External"/><Relationship Id="rId33" Type="http://schemas.openxmlformats.org/officeDocument/2006/relationships/hyperlink" Target="https://www.itu.int/md/meetingdoc.asp?lang=en&amp;parent=S23-CWGFHR16-C-0010" TargetMode="External"/><Relationship Id="rId38" Type="http://schemas.openxmlformats.org/officeDocument/2006/relationships/hyperlink" Target="https://www.itu.int/md/S25-CWGFHR20-C-0002/en" TargetMode="External"/><Relationship Id="rId46" Type="http://schemas.openxmlformats.org/officeDocument/2006/relationships/customXml" Target="../customXml/item2.xml"/><Relationship Id="rId20" Type="http://schemas.openxmlformats.org/officeDocument/2006/relationships/hyperlink" Target="https://www.itu.int/en/council/ties/Pages/regional-presence-dashboard.aspx" TargetMode="External"/><Relationship Id="rId41" Type="http://schemas.openxmlformats.org/officeDocument/2006/relationships/hyperlink" Target="https://www.itu.int/md/D22-TDAG32-C-00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D22-TDAG31-C-001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3DC2334C-4D30-4510-AD7B-731D8D41E550}"/>
</file>

<file path=customXml/itemProps3.xml><?xml version="1.0" encoding="utf-8"?>
<ds:datastoreItem xmlns:ds="http://schemas.openxmlformats.org/officeDocument/2006/customXml" ds:itemID="{7A860F44-46FE-4D3D-A019-E4AEE0E4DE36}"/>
</file>

<file path=customXml/itemProps4.xml><?xml version="1.0" encoding="utf-8"?>
<ds:datastoreItem xmlns:ds="http://schemas.openxmlformats.org/officeDocument/2006/customXml" ds:itemID="{392D2D0B-0443-4A2A-8EF4-2258A967C918}"/>
</file>

<file path=docProps/app.xml><?xml version="1.0" encoding="utf-8"?>
<Properties xmlns="http://schemas.openxmlformats.org/officeDocument/2006/extended-properties" xmlns:vt="http://schemas.openxmlformats.org/officeDocument/2006/docPropsVTypes">
  <Template>PA_TDAG-25.dotx</Template>
  <TotalTime>150</TotalTime>
  <Pages>6</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GE</cp:lastModifiedBy>
  <cp:revision>4</cp:revision>
  <dcterms:created xsi:type="dcterms:W3CDTF">2025-05-07T09:56:00Z</dcterms:created>
  <dcterms:modified xsi:type="dcterms:W3CDTF">2025-05-07T15:46:00Z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