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394"/>
        <w:gridCol w:w="1843"/>
        <w:gridCol w:w="1666"/>
      </w:tblGrid>
      <w:tr w:rsidR="00921A30" w:rsidRPr="00CC3D29" w14:paraId="3F0E9EC4" w14:textId="77777777" w:rsidTr="00E24DE9">
        <w:trPr>
          <w:cantSplit/>
          <w:trHeight w:val="1134"/>
        </w:trPr>
        <w:tc>
          <w:tcPr>
            <w:tcW w:w="1985" w:type="dxa"/>
          </w:tcPr>
          <w:p w14:paraId="1C6881CD" w14:textId="419D18F9" w:rsidR="00921A30" w:rsidRPr="00CC3D29" w:rsidRDefault="00AC2BF7" w:rsidP="001E5219">
            <w:pPr>
              <w:tabs>
                <w:tab w:val="clear" w:pos="1191"/>
                <w:tab w:val="clear" w:pos="1588"/>
                <w:tab w:val="clear" w:pos="1985"/>
              </w:tabs>
              <w:spacing w:after="40"/>
              <w:rPr>
                <w:b/>
                <w:bCs/>
                <w:sz w:val="32"/>
                <w:szCs w:val="32"/>
                <w:lang w:val="fr-FR"/>
              </w:rPr>
            </w:pPr>
            <w:r w:rsidRPr="00CC3D29">
              <w:rPr>
                <w:b/>
                <w:bCs/>
                <w:noProof/>
                <w:sz w:val="32"/>
                <w:szCs w:val="32"/>
                <w:lang w:val="fr-FR"/>
              </w:rPr>
              <w:drawing>
                <wp:inline distT="0" distB="0" distL="0" distR="0" wp14:anchorId="7DECAEFB" wp14:editId="23C62700">
                  <wp:extent cx="1080000" cy="1008000"/>
                  <wp:effectExtent l="0" t="0" r="6350" b="0"/>
                  <wp:docPr id="12842285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8109" t="8474" r="25062" b="15570"/>
                          <a:stretch/>
                        </pic:blipFill>
                        <pic:spPr bwMode="auto">
                          <a:xfrm>
                            <a:off x="0" y="0"/>
                            <a:ext cx="1080000" cy="1008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237" w:type="dxa"/>
            <w:gridSpan w:val="2"/>
          </w:tcPr>
          <w:p w14:paraId="3C20C75B" w14:textId="77777777" w:rsidR="00921A30" w:rsidRPr="00CC3D29" w:rsidRDefault="00921A30" w:rsidP="004037AF">
            <w:pPr>
              <w:tabs>
                <w:tab w:val="clear" w:pos="1191"/>
                <w:tab w:val="clear" w:pos="1588"/>
                <w:tab w:val="clear" w:pos="1985"/>
              </w:tabs>
              <w:spacing w:before="240" w:after="240"/>
              <w:ind w:left="34"/>
              <w:rPr>
                <w:b/>
                <w:bCs/>
                <w:sz w:val="32"/>
                <w:szCs w:val="32"/>
                <w:lang w:val="fr-FR"/>
              </w:rPr>
            </w:pPr>
            <w:r w:rsidRPr="00CC3D29">
              <w:rPr>
                <w:b/>
                <w:bCs/>
                <w:sz w:val="32"/>
                <w:szCs w:val="32"/>
                <w:lang w:val="fr-FR"/>
              </w:rPr>
              <w:t xml:space="preserve">Groupe consultatif pour le développement </w:t>
            </w:r>
            <w:r w:rsidRPr="00CC3D29">
              <w:rPr>
                <w:b/>
                <w:bCs/>
                <w:sz w:val="32"/>
                <w:szCs w:val="32"/>
                <w:lang w:val="fr-FR"/>
              </w:rPr>
              <w:br/>
              <w:t>des télécommunications (GCDT)</w:t>
            </w:r>
          </w:p>
          <w:p w14:paraId="5F5F590A" w14:textId="7427F64C" w:rsidR="00921A30" w:rsidRPr="00CC3D29" w:rsidRDefault="00921A30" w:rsidP="001011EB">
            <w:pPr>
              <w:tabs>
                <w:tab w:val="clear" w:pos="1191"/>
                <w:tab w:val="clear" w:pos="1588"/>
                <w:tab w:val="clear" w:pos="1985"/>
              </w:tabs>
              <w:spacing w:after="120"/>
              <w:ind w:left="34"/>
              <w:rPr>
                <w:rFonts w:ascii="Verdana" w:hAnsi="Verdana"/>
                <w:sz w:val="28"/>
                <w:szCs w:val="28"/>
                <w:lang w:val="fr-FR"/>
              </w:rPr>
            </w:pPr>
            <w:r w:rsidRPr="00CC3D29">
              <w:rPr>
                <w:b/>
                <w:bCs/>
                <w:sz w:val="26"/>
                <w:szCs w:val="26"/>
                <w:lang w:val="fr-FR"/>
              </w:rPr>
              <w:t>32ème réunion, Genève, Suisse, 12-16 mai 2025</w:t>
            </w:r>
          </w:p>
        </w:tc>
        <w:tc>
          <w:tcPr>
            <w:tcW w:w="1666" w:type="dxa"/>
          </w:tcPr>
          <w:p w14:paraId="67E7B4C4" w14:textId="0F52E4CC" w:rsidR="00921A30" w:rsidRPr="00CC3D29" w:rsidRDefault="00921A30" w:rsidP="00946023">
            <w:pPr>
              <w:spacing w:before="240" w:after="120"/>
              <w:ind w:right="142"/>
              <w:jc w:val="right"/>
              <w:rPr>
                <w:lang w:val="fr-FR"/>
              </w:rPr>
            </w:pPr>
            <w:r w:rsidRPr="00CC3D29">
              <w:rPr>
                <w:noProof/>
                <w:lang w:val="fr-FR" w:eastAsia="en-GB"/>
              </w:rPr>
              <w:drawing>
                <wp:inline distT="0" distB="0" distL="0" distR="0" wp14:anchorId="7A20172F" wp14:editId="75B43B9A">
                  <wp:extent cx="712470" cy="785496"/>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4296" cy="787509"/>
                          </a:xfrm>
                          <a:prstGeom prst="rect">
                            <a:avLst/>
                          </a:prstGeom>
                        </pic:spPr>
                      </pic:pic>
                    </a:graphicData>
                  </a:graphic>
                </wp:inline>
              </w:drawing>
            </w:r>
          </w:p>
        </w:tc>
      </w:tr>
      <w:tr w:rsidR="00683C32" w:rsidRPr="00CC3D29" w14:paraId="3C13197B" w14:textId="77777777" w:rsidTr="0009076F">
        <w:trPr>
          <w:cantSplit/>
        </w:trPr>
        <w:tc>
          <w:tcPr>
            <w:tcW w:w="6379" w:type="dxa"/>
            <w:gridSpan w:val="2"/>
            <w:tcBorders>
              <w:top w:val="single" w:sz="12" w:space="0" w:color="auto"/>
            </w:tcBorders>
          </w:tcPr>
          <w:p w14:paraId="2EED9DB2" w14:textId="77777777" w:rsidR="00683C32" w:rsidRPr="00CC3D29" w:rsidRDefault="00683C32" w:rsidP="00107E85">
            <w:pPr>
              <w:spacing w:before="0"/>
              <w:rPr>
                <w:rFonts w:cs="Arial"/>
                <w:b/>
                <w:bCs/>
                <w:sz w:val="20"/>
                <w:lang w:val="fr-FR"/>
              </w:rPr>
            </w:pPr>
          </w:p>
        </w:tc>
        <w:tc>
          <w:tcPr>
            <w:tcW w:w="3509" w:type="dxa"/>
            <w:gridSpan w:val="2"/>
            <w:tcBorders>
              <w:top w:val="single" w:sz="12" w:space="0" w:color="auto"/>
            </w:tcBorders>
          </w:tcPr>
          <w:p w14:paraId="6CC77CFE" w14:textId="77777777" w:rsidR="00683C32" w:rsidRPr="00CC3D29" w:rsidRDefault="00683C32" w:rsidP="00107E85">
            <w:pPr>
              <w:spacing w:before="0"/>
              <w:rPr>
                <w:b/>
                <w:bCs/>
                <w:sz w:val="20"/>
                <w:lang w:val="fr-FR"/>
              </w:rPr>
            </w:pPr>
          </w:p>
        </w:tc>
      </w:tr>
      <w:tr w:rsidR="00683C32" w:rsidRPr="00CC3D29" w14:paraId="0BB3FBC4" w14:textId="77777777" w:rsidTr="0009076F">
        <w:trPr>
          <w:cantSplit/>
        </w:trPr>
        <w:tc>
          <w:tcPr>
            <w:tcW w:w="6379" w:type="dxa"/>
            <w:gridSpan w:val="2"/>
          </w:tcPr>
          <w:p w14:paraId="43C54B3D" w14:textId="77777777" w:rsidR="00683C32" w:rsidRPr="00CC3D29" w:rsidRDefault="00683C32" w:rsidP="00400CCF">
            <w:pPr>
              <w:pStyle w:val="Committee"/>
              <w:spacing w:before="0"/>
              <w:rPr>
                <w:b w:val="0"/>
                <w:szCs w:val="24"/>
                <w:lang w:val="fr-FR"/>
              </w:rPr>
            </w:pPr>
          </w:p>
        </w:tc>
        <w:tc>
          <w:tcPr>
            <w:tcW w:w="3509" w:type="dxa"/>
            <w:gridSpan w:val="2"/>
          </w:tcPr>
          <w:p w14:paraId="02E44EE9" w14:textId="54563378" w:rsidR="00683C32" w:rsidRPr="00CC3D29" w:rsidRDefault="0096201B" w:rsidP="00E25345">
            <w:pPr>
              <w:spacing w:before="0"/>
              <w:jc w:val="both"/>
              <w:rPr>
                <w:bCs/>
                <w:szCs w:val="24"/>
                <w:lang w:val="fr-FR"/>
              </w:rPr>
            </w:pPr>
            <w:r w:rsidRPr="00CC3D29">
              <w:rPr>
                <w:b/>
                <w:bCs/>
                <w:lang w:val="fr-FR"/>
              </w:rPr>
              <w:t xml:space="preserve">Document </w:t>
            </w:r>
            <w:bookmarkStart w:id="0" w:name="DocRef1"/>
            <w:bookmarkEnd w:id="0"/>
            <w:r w:rsidRPr="00CC3D29">
              <w:rPr>
                <w:b/>
                <w:bCs/>
                <w:lang w:val="fr-FR"/>
              </w:rPr>
              <w:t>TDAG</w:t>
            </w:r>
            <w:r w:rsidR="003242AB" w:rsidRPr="00CC3D29">
              <w:rPr>
                <w:b/>
                <w:bCs/>
                <w:lang w:val="fr-FR"/>
              </w:rPr>
              <w:t>-</w:t>
            </w:r>
            <w:r w:rsidR="00B648C7" w:rsidRPr="00CC3D29">
              <w:rPr>
                <w:b/>
                <w:bCs/>
                <w:lang w:val="fr-FR"/>
              </w:rPr>
              <w:t>2</w:t>
            </w:r>
            <w:bookmarkStart w:id="1" w:name="DocNo1"/>
            <w:bookmarkEnd w:id="1"/>
            <w:r w:rsidR="001C48D3" w:rsidRPr="00CC3D29">
              <w:rPr>
                <w:b/>
                <w:bCs/>
                <w:lang w:val="fr-FR"/>
              </w:rPr>
              <w:t>5</w:t>
            </w:r>
            <w:r w:rsidR="0009076F" w:rsidRPr="00CC3D29">
              <w:rPr>
                <w:b/>
                <w:bCs/>
                <w:lang w:val="fr-FR"/>
              </w:rPr>
              <w:t>/</w:t>
            </w:r>
            <w:r w:rsidR="00C81790" w:rsidRPr="00CC3D29">
              <w:rPr>
                <w:b/>
                <w:bCs/>
                <w:lang w:val="fr-FR"/>
              </w:rPr>
              <w:t>23</w:t>
            </w:r>
            <w:r w:rsidRPr="00CC3D29">
              <w:rPr>
                <w:b/>
                <w:bCs/>
                <w:lang w:val="fr-FR"/>
              </w:rPr>
              <w:t>-</w:t>
            </w:r>
            <w:r w:rsidR="00E25345" w:rsidRPr="00CC3D29">
              <w:rPr>
                <w:b/>
                <w:bCs/>
                <w:lang w:val="fr-FR"/>
              </w:rPr>
              <w:t>F</w:t>
            </w:r>
          </w:p>
        </w:tc>
      </w:tr>
      <w:tr w:rsidR="00683C32" w:rsidRPr="00CC3D29" w14:paraId="24D04936" w14:textId="77777777" w:rsidTr="0009076F">
        <w:trPr>
          <w:cantSplit/>
        </w:trPr>
        <w:tc>
          <w:tcPr>
            <w:tcW w:w="6379" w:type="dxa"/>
            <w:gridSpan w:val="2"/>
          </w:tcPr>
          <w:p w14:paraId="12CE4DBF" w14:textId="77777777" w:rsidR="00683C32" w:rsidRPr="00CC3D29" w:rsidRDefault="00683C32" w:rsidP="00400CCF">
            <w:pPr>
              <w:spacing w:before="0"/>
              <w:rPr>
                <w:b/>
                <w:bCs/>
                <w:smallCaps/>
                <w:szCs w:val="24"/>
                <w:lang w:val="fr-FR"/>
              </w:rPr>
            </w:pPr>
          </w:p>
        </w:tc>
        <w:tc>
          <w:tcPr>
            <w:tcW w:w="3509" w:type="dxa"/>
            <w:gridSpan w:val="2"/>
          </w:tcPr>
          <w:p w14:paraId="0F89640F" w14:textId="0F1380D1" w:rsidR="00683C32" w:rsidRPr="00CC3D29" w:rsidRDefault="00C81790" w:rsidP="00B648C7">
            <w:pPr>
              <w:spacing w:before="0"/>
              <w:rPr>
                <w:b/>
                <w:szCs w:val="24"/>
                <w:lang w:val="fr-FR"/>
              </w:rPr>
            </w:pPr>
            <w:bookmarkStart w:id="2" w:name="CreationDate"/>
            <w:bookmarkEnd w:id="2"/>
            <w:r w:rsidRPr="00CC3D29">
              <w:rPr>
                <w:b/>
                <w:bCs/>
                <w:szCs w:val="28"/>
                <w:lang w:val="fr-FR"/>
              </w:rPr>
              <w:t>28 mars</w:t>
            </w:r>
            <w:r w:rsidR="001C48D3" w:rsidRPr="00CC3D29">
              <w:rPr>
                <w:b/>
                <w:bCs/>
                <w:szCs w:val="28"/>
                <w:lang w:val="fr-FR"/>
              </w:rPr>
              <w:t xml:space="preserve"> 2025</w:t>
            </w:r>
          </w:p>
        </w:tc>
      </w:tr>
      <w:tr w:rsidR="00683C32" w:rsidRPr="00CC3D29" w14:paraId="7B96545F" w14:textId="77777777" w:rsidTr="0009076F">
        <w:trPr>
          <w:cantSplit/>
        </w:trPr>
        <w:tc>
          <w:tcPr>
            <w:tcW w:w="6379" w:type="dxa"/>
            <w:gridSpan w:val="2"/>
          </w:tcPr>
          <w:p w14:paraId="65956FD3" w14:textId="77777777" w:rsidR="00683C32" w:rsidRPr="00CC3D29" w:rsidRDefault="00683C32" w:rsidP="00400CCF">
            <w:pPr>
              <w:spacing w:before="0"/>
              <w:rPr>
                <w:b/>
                <w:bCs/>
                <w:smallCaps/>
                <w:szCs w:val="24"/>
                <w:lang w:val="fr-FR"/>
              </w:rPr>
            </w:pPr>
          </w:p>
        </w:tc>
        <w:tc>
          <w:tcPr>
            <w:tcW w:w="3509" w:type="dxa"/>
            <w:gridSpan w:val="2"/>
          </w:tcPr>
          <w:p w14:paraId="30EFD39F" w14:textId="33ACFB79" w:rsidR="00514D2F" w:rsidRPr="00CC3D29" w:rsidRDefault="0096201B" w:rsidP="001011EB">
            <w:pPr>
              <w:spacing w:before="0"/>
              <w:rPr>
                <w:szCs w:val="24"/>
                <w:lang w:val="fr-FR"/>
              </w:rPr>
            </w:pPr>
            <w:r w:rsidRPr="00CC3D29">
              <w:rPr>
                <w:b/>
                <w:lang w:val="fr-FR"/>
              </w:rPr>
              <w:t>Original:</w:t>
            </w:r>
            <w:bookmarkStart w:id="3" w:name="Original"/>
            <w:bookmarkEnd w:id="3"/>
            <w:r w:rsidR="00CE0422" w:rsidRPr="00CC3D29">
              <w:rPr>
                <w:b/>
                <w:lang w:val="fr-FR"/>
              </w:rPr>
              <w:t xml:space="preserve"> </w:t>
            </w:r>
            <w:r w:rsidR="001011EB" w:rsidRPr="00CC3D29">
              <w:rPr>
                <w:b/>
                <w:lang w:val="fr-FR"/>
              </w:rPr>
              <w:t>anglais</w:t>
            </w:r>
          </w:p>
        </w:tc>
      </w:tr>
      <w:tr w:rsidR="00A13162" w:rsidRPr="00CC3D29" w14:paraId="31656E31" w14:textId="77777777" w:rsidTr="00107E85">
        <w:trPr>
          <w:cantSplit/>
          <w:trHeight w:val="852"/>
        </w:trPr>
        <w:tc>
          <w:tcPr>
            <w:tcW w:w="9888" w:type="dxa"/>
            <w:gridSpan w:val="4"/>
          </w:tcPr>
          <w:p w14:paraId="512FCA01" w14:textId="77890B60" w:rsidR="00A13162" w:rsidRPr="00CC3D29" w:rsidRDefault="00C81790" w:rsidP="0030353C">
            <w:pPr>
              <w:pStyle w:val="Source"/>
              <w:rPr>
                <w:lang w:val="fr-FR"/>
              </w:rPr>
            </w:pPr>
            <w:bookmarkStart w:id="4" w:name="Source"/>
            <w:bookmarkEnd w:id="4"/>
            <w:r w:rsidRPr="00CC3D29">
              <w:rPr>
                <w:lang w:val="fr-FR"/>
              </w:rPr>
              <w:t>Président du Groupe de coordination intersectorielle (ISCG)</w:t>
            </w:r>
          </w:p>
        </w:tc>
      </w:tr>
      <w:tr w:rsidR="00AC6F14" w:rsidRPr="00CC3D29" w14:paraId="2CBD3A36" w14:textId="77777777" w:rsidTr="00107E85">
        <w:trPr>
          <w:cantSplit/>
        </w:trPr>
        <w:tc>
          <w:tcPr>
            <w:tcW w:w="9888" w:type="dxa"/>
            <w:gridSpan w:val="4"/>
          </w:tcPr>
          <w:p w14:paraId="1B4121DF" w14:textId="63BFB372" w:rsidR="00AC6F14" w:rsidRPr="00CC3D29" w:rsidRDefault="00C81790" w:rsidP="001011EB">
            <w:pPr>
              <w:pStyle w:val="Title1"/>
              <w:rPr>
                <w:lang w:val="fr-FR"/>
              </w:rPr>
            </w:pPr>
            <w:bookmarkStart w:id="5" w:name="Title"/>
            <w:bookmarkEnd w:id="5"/>
            <w:r w:rsidRPr="00CC3D29">
              <w:rPr>
                <w:lang w:val="fr-FR"/>
              </w:rPr>
              <w:t>Rapport d'activité</w:t>
            </w:r>
          </w:p>
        </w:tc>
      </w:tr>
      <w:tr w:rsidR="00A721F4" w:rsidRPr="00CC3D29" w14:paraId="23A30231" w14:textId="77777777" w:rsidTr="00A721F4">
        <w:trPr>
          <w:cantSplit/>
        </w:trPr>
        <w:tc>
          <w:tcPr>
            <w:tcW w:w="9888" w:type="dxa"/>
            <w:gridSpan w:val="4"/>
            <w:tcBorders>
              <w:bottom w:val="single" w:sz="4" w:space="0" w:color="auto"/>
            </w:tcBorders>
          </w:tcPr>
          <w:p w14:paraId="726EE70E" w14:textId="77777777" w:rsidR="00A721F4" w:rsidRPr="00CC3D29" w:rsidRDefault="00A721F4" w:rsidP="0030353C">
            <w:pPr>
              <w:rPr>
                <w:lang w:val="fr-FR"/>
              </w:rPr>
            </w:pPr>
          </w:p>
        </w:tc>
      </w:tr>
      <w:tr w:rsidR="00A721F4" w:rsidRPr="00CC3D29" w14:paraId="590033C8"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3F97E040" w14:textId="31B66266" w:rsidR="00A721F4" w:rsidRPr="00CC3D29" w:rsidRDefault="001011EB" w:rsidP="00EA0C51">
            <w:pPr>
              <w:spacing w:after="120"/>
              <w:rPr>
                <w:b/>
                <w:bCs/>
                <w:szCs w:val="24"/>
                <w:lang w:val="fr-FR"/>
              </w:rPr>
            </w:pPr>
            <w:r w:rsidRPr="00CC3D29">
              <w:rPr>
                <w:b/>
                <w:bCs/>
                <w:szCs w:val="24"/>
                <w:lang w:val="fr-FR"/>
              </w:rPr>
              <w:t>Résumé</w:t>
            </w:r>
            <w:r w:rsidR="00A721F4" w:rsidRPr="00CC3D29">
              <w:rPr>
                <w:b/>
                <w:bCs/>
                <w:szCs w:val="24"/>
                <w:lang w:val="fr-FR"/>
              </w:rPr>
              <w:t>:</w:t>
            </w:r>
          </w:p>
          <w:p w14:paraId="4082D7E8" w14:textId="2F85D5F4" w:rsidR="00A721F4" w:rsidRPr="00CC3D29" w:rsidRDefault="00C81790" w:rsidP="00EA0C51">
            <w:pPr>
              <w:spacing w:after="120"/>
              <w:rPr>
                <w:szCs w:val="24"/>
                <w:lang w:val="fr-FR"/>
              </w:rPr>
            </w:pPr>
            <w:r w:rsidRPr="00CC3D29">
              <w:rPr>
                <w:lang w:val="fr-FR"/>
              </w:rPr>
              <w:t>Le présent document rend compte de l</w:t>
            </w:r>
            <w:r w:rsidR="00101B95" w:rsidRPr="00CC3D29">
              <w:rPr>
                <w:lang w:val="fr-FR"/>
              </w:rPr>
              <w:t>'</w:t>
            </w:r>
            <w:r w:rsidRPr="00CC3D29">
              <w:rPr>
                <w:lang w:val="fr-FR"/>
              </w:rPr>
              <w:t>état d</w:t>
            </w:r>
            <w:r w:rsidR="00101B95" w:rsidRPr="00CC3D29">
              <w:rPr>
                <w:lang w:val="fr-FR"/>
              </w:rPr>
              <w:t>'</w:t>
            </w:r>
            <w:r w:rsidRPr="00CC3D29">
              <w:rPr>
                <w:lang w:val="fr-FR"/>
              </w:rPr>
              <w:t>avancement des travaux du Groupe de coordination intersectorielle (ISCG) depuis la soumission du dernier rapport au Groupe consultatif pour le développement des télécommunications (GCDT) en 2024.</w:t>
            </w:r>
          </w:p>
          <w:p w14:paraId="76A1C541" w14:textId="23209CDB" w:rsidR="00A721F4" w:rsidRPr="00CC3D29" w:rsidRDefault="001011EB" w:rsidP="00EA0C51">
            <w:pPr>
              <w:spacing w:after="120"/>
              <w:rPr>
                <w:b/>
                <w:bCs/>
                <w:szCs w:val="24"/>
                <w:lang w:val="fr-FR"/>
              </w:rPr>
            </w:pPr>
            <w:r w:rsidRPr="00CC3D29">
              <w:rPr>
                <w:b/>
                <w:bCs/>
                <w:lang w:val="fr-FR"/>
              </w:rPr>
              <w:t>Suite à donner</w:t>
            </w:r>
            <w:r w:rsidR="00A721F4" w:rsidRPr="00CC3D29">
              <w:rPr>
                <w:b/>
                <w:bCs/>
                <w:lang w:val="fr-FR"/>
              </w:rPr>
              <w:t>:</w:t>
            </w:r>
          </w:p>
          <w:p w14:paraId="1ECDD20E" w14:textId="3EDBDB05" w:rsidR="00A721F4" w:rsidRPr="00CC3D29" w:rsidRDefault="001C48D3" w:rsidP="001C48D3">
            <w:pPr>
              <w:spacing w:after="120"/>
              <w:rPr>
                <w:szCs w:val="24"/>
                <w:lang w:val="fr-FR"/>
              </w:rPr>
            </w:pPr>
            <w:r w:rsidRPr="00CC3D29">
              <w:rPr>
                <w:lang w:val="fr-FR"/>
              </w:rPr>
              <w:t>Le GCDT est invité à prendre note du présent document et à fournir les indications qu'il jugera utiles.</w:t>
            </w:r>
          </w:p>
        </w:tc>
      </w:tr>
    </w:tbl>
    <w:p w14:paraId="5B29B2A3" w14:textId="15AC6918" w:rsidR="00923CF1" w:rsidRPr="00CC3D29" w:rsidRDefault="00923CF1">
      <w:pPr>
        <w:tabs>
          <w:tab w:val="clear" w:pos="794"/>
          <w:tab w:val="clear" w:pos="1191"/>
          <w:tab w:val="clear" w:pos="1588"/>
          <w:tab w:val="clear" w:pos="1985"/>
        </w:tabs>
        <w:overflowPunct/>
        <w:autoSpaceDE/>
        <w:autoSpaceDN/>
        <w:adjustRightInd/>
        <w:spacing w:before="0"/>
        <w:textAlignment w:val="auto"/>
        <w:rPr>
          <w:lang w:val="fr-FR"/>
        </w:rPr>
      </w:pPr>
      <w:r w:rsidRPr="00CC3D29">
        <w:rPr>
          <w:lang w:val="fr-FR"/>
        </w:rPr>
        <w:br w:type="page"/>
      </w:r>
    </w:p>
    <w:p w14:paraId="7CF97CD8" w14:textId="77777777" w:rsidR="00C81790" w:rsidRPr="00CC3D29" w:rsidRDefault="00C81790" w:rsidP="00C81790">
      <w:pPr>
        <w:pStyle w:val="Headingb"/>
        <w:rPr>
          <w:lang w:val="fr-FR"/>
        </w:rPr>
      </w:pPr>
      <w:r w:rsidRPr="00CC3D29">
        <w:rPr>
          <w:lang w:val="fr-FR"/>
        </w:rPr>
        <w:lastRenderedPageBreak/>
        <w:t>Introduction</w:t>
      </w:r>
    </w:p>
    <w:p w14:paraId="0A3772D8" w14:textId="77777777" w:rsidR="00C81790" w:rsidRPr="00CC3D29" w:rsidRDefault="00C81790" w:rsidP="00C81790">
      <w:pPr>
        <w:rPr>
          <w:lang w:val="fr-FR"/>
        </w:rPr>
      </w:pPr>
      <w:r w:rsidRPr="00CC3D29">
        <w:rPr>
          <w:lang w:val="fr-FR"/>
        </w:rPr>
        <w:t>Le Président du Groupe de coordination intersectorielle (ISCG) sur les questions d'intérêt mutuel, M. Fabio Bigi, tient à présenter l'état d'avancement des travaux du Groupe ISCG au Groupe consultatif des télécommunications (GCDT) depuis sa réunion la plus récente, tenue en mai 2024.</w:t>
      </w:r>
    </w:p>
    <w:p w14:paraId="0C3D6C10" w14:textId="76977CB5" w:rsidR="00C81790" w:rsidRPr="00CC3D29" w:rsidRDefault="00C81790" w:rsidP="00C81790">
      <w:pPr>
        <w:rPr>
          <w:lang w:val="fr-FR"/>
        </w:rPr>
      </w:pPr>
      <w:r w:rsidRPr="00CC3D29">
        <w:rPr>
          <w:lang w:val="fr-FR"/>
        </w:rPr>
        <w:t xml:space="preserve">Le </w:t>
      </w:r>
      <w:r w:rsidR="00B55ED2" w:rsidRPr="00CC3D29">
        <w:rPr>
          <w:lang w:val="fr-FR"/>
        </w:rPr>
        <w:t>p</w:t>
      </w:r>
      <w:r w:rsidRPr="00CC3D29">
        <w:rPr>
          <w:lang w:val="fr-FR"/>
        </w:rPr>
        <w:t xml:space="preserve">résident du Groupe ISCG a également fait savoir que le mandat du </w:t>
      </w:r>
      <w:r w:rsidR="00DD754B" w:rsidRPr="00CC3D29">
        <w:rPr>
          <w:lang w:val="fr-FR"/>
        </w:rPr>
        <w:t>g</w:t>
      </w:r>
      <w:r w:rsidRPr="00CC3D29">
        <w:rPr>
          <w:lang w:val="fr-FR"/>
        </w:rPr>
        <w:t xml:space="preserve">roupe avait été mis à jour et approuvé lors de sa dernière réunion, tenue le 12 février 2025. Une note de liaison a été envoyée pour information aux groupes consultatifs des Secteurs (voir le </w:t>
      </w:r>
      <w:hyperlink r:id="rId13" w:history="1">
        <w:r w:rsidRPr="00CC3D29">
          <w:rPr>
            <w:rStyle w:val="Hyperlink"/>
            <w:lang w:val="fr-FR"/>
          </w:rPr>
          <w:t>Documen</w:t>
        </w:r>
        <w:r w:rsidRPr="00CC3D29">
          <w:rPr>
            <w:rStyle w:val="Hyperlink"/>
            <w:lang w:val="fr-FR"/>
          </w:rPr>
          <w:t>t</w:t>
        </w:r>
        <w:r w:rsidRPr="00CC3D29">
          <w:rPr>
            <w:rStyle w:val="Hyperlink"/>
            <w:lang w:val="fr-FR"/>
          </w:rPr>
          <w:t xml:space="preserve"> TDAG-25/35</w:t>
        </w:r>
      </w:hyperlink>
      <w:r w:rsidRPr="00CC3D29">
        <w:rPr>
          <w:lang w:val="fr-FR"/>
        </w:rPr>
        <w:t>).</w:t>
      </w:r>
    </w:p>
    <w:p w14:paraId="2B676001" w14:textId="2F3F2048" w:rsidR="00C81790" w:rsidRPr="00CC3D29" w:rsidRDefault="00C81790" w:rsidP="00C81790">
      <w:pPr>
        <w:rPr>
          <w:lang w:val="fr-FR"/>
        </w:rPr>
      </w:pPr>
      <w:r w:rsidRPr="00CC3D29">
        <w:rPr>
          <w:lang w:val="fr-FR"/>
        </w:rPr>
        <w:t xml:space="preserve">Tous les documents présentés et examinés pendant les réunions du Groupe ISCG peuvent être consultés sur la </w:t>
      </w:r>
      <w:hyperlink r:id="rId14" w:anchor="/fr" w:history="1">
        <w:r w:rsidRPr="00CC3D29">
          <w:rPr>
            <w:rStyle w:val="Hyperlink"/>
            <w:lang w:val="fr-FR"/>
          </w:rPr>
          <w:t xml:space="preserve">page web du </w:t>
        </w:r>
        <w:r w:rsidRPr="00CC3D29">
          <w:rPr>
            <w:rStyle w:val="Hyperlink"/>
            <w:lang w:val="fr-FR"/>
          </w:rPr>
          <w:t>G</w:t>
        </w:r>
        <w:r w:rsidRPr="00CC3D29">
          <w:rPr>
            <w:rStyle w:val="Hyperlink"/>
            <w:lang w:val="fr-FR"/>
          </w:rPr>
          <w:t>roupe ISCG</w:t>
        </w:r>
      </w:hyperlink>
      <w:r w:rsidRPr="00CC3D29">
        <w:rPr>
          <w:lang w:val="fr-FR"/>
        </w:rPr>
        <w:t>, ainsi que le mandat et les coordonnées du Groupe</w:t>
      </w:r>
      <w:r w:rsidR="00780BCD" w:rsidRPr="00CC3D29">
        <w:rPr>
          <w:lang w:val="fr-FR"/>
        </w:rPr>
        <w:t> </w:t>
      </w:r>
      <w:r w:rsidRPr="00CC3D29">
        <w:rPr>
          <w:lang w:val="fr-FR"/>
        </w:rPr>
        <w:t>ISCG.</w:t>
      </w:r>
    </w:p>
    <w:p w14:paraId="37DAD710" w14:textId="77777777" w:rsidR="00C81790" w:rsidRPr="00CC3D29" w:rsidRDefault="00C81790" w:rsidP="00C81790">
      <w:pPr>
        <w:pStyle w:val="Headingb"/>
        <w:rPr>
          <w:lang w:val="fr-FR"/>
        </w:rPr>
      </w:pPr>
      <w:r w:rsidRPr="00CC3D29">
        <w:rPr>
          <w:lang w:val="fr-FR"/>
        </w:rPr>
        <w:t>Principaux débats</w:t>
      </w:r>
    </w:p>
    <w:p w14:paraId="61794C57" w14:textId="77777777" w:rsidR="00C81790" w:rsidRPr="00CC3D29" w:rsidRDefault="00C81790" w:rsidP="00C81790">
      <w:pPr>
        <w:rPr>
          <w:lang w:val="fr-FR"/>
        </w:rPr>
      </w:pPr>
      <w:r w:rsidRPr="00CC3D29">
        <w:rPr>
          <w:lang w:val="fr-FR"/>
        </w:rPr>
        <w:t>Le Groupe ISCG continue ses travaux sur les thèmes suivants:</w:t>
      </w:r>
    </w:p>
    <w:p w14:paraId="0572830C" w14:textId="311C77F2" w:rsidR="00C81790" w:rsidRPr="00CC3D29" w:rsidRDefault="00C81790" w:rsidP="00C81790">
      <w:pPr>
        <w:pStyle w:val="enumlev1"/>
        <w:rPr>
          <w:lang w:val="fr-FR"/>
        </w:rPr>
      </w:pPr>
      <w:r w:rsidRPr="00CC3D29">
        <w:rPr>
          <w:lang w:val="fr-FR"/>
        </w:rPr>
        <w:t>–</w:t>
      </w:r>
      <w:r w:rsidRPr="00CC3D29">
        <w:rPr>
          <w:lang w:val="fr-FR"/>
        </w:rPr>
        <w:tab/>
      </w:r>
      <w:r w:rsidRPr="00CC3D29">
        <w:rPr>
          <w:i/>
          <w:iCs/>
          <w:lang w:val="fr-FR"/>
        </w:rPr>
        <w:t>Accessibilité</w:t>
      </w:r>
      <w:r w:rsidRPr="00CC3D29">
        <w:rPr>
          <w:lang w:val="fr-FR"/>
        </w:rPr>
        <w:t>: le Groupe ISCG a suivi activement les discussions relatives à l'amélioration des réunions de l'UIT, en particulier pour ce qui est de la participation à distance et des services de sous-titrage.</w:t>
      </w:r>
    </w:p>
    <w:p w14:paraId="151A03E2" w14:textId="2488573C" w:rsidR="00C81790" w:rsidRPr="00CC3D29" w:rsidRDefault="00C81790" w:rsidP="00C81790">
      <w:pPr>
        <w:pStyle w:val="enumlev1"/>
        <w:rPr>
          <w:lang w:val="fr-FR"/>
        </w:rPr>
      </w:pPr>
      <w:r w:rsidRPr="00CC3D29">
        <w:rPr>
          <w:lang w:val="fr-FR"/>
        </w:rPr>
        <w:tab/>
        <w:t>Pour l'année 2024, le Secrétariat de l'UIT a indiqué que le sous-titrage avait été utilisé dans 14 réunions de l'UIT-R, 12 réunions de l'UIT-T, 35 réunions de l'UIT-D, ainsi que lors des sessions du Conseil et du SMSI. Le sous-titrage peut être assuré pour n'importe quelle réunion, mais sa mise à disposition dépend du budget disponible. Il n'existe pas de politique systématique concernant le sous-titrage à l'UIT; il revient à chaque organisateur de réunion de décider de l'utilisation d'un sous-titrage humain ou automatique basé sur l'intelligence artificielle (IA). Actuellement, les préférences vont au sous-titrage humain pour sa qualité, même si le sous-titrage automatique s'améliore et devrait à terme devenir une solution moins coûteuse. Le coût du sous-titrage humain varie, allant d'environ 750</w:t>
      </w:r>
      <w:r w:rsidR="00780BCD" w:rsidRPr="00CC3D29">
        <w:rPr>
          <w:lang w:val="fr-FR"/>
        </w:rPr>
        <w:t> </w:t>
      </w:r>
      <w:r w:rsidRPr="00CC3D29">
        <w:rPr>
          <w:lang w:val="fr-FR"/>
        </w:rPr>
        <w:t>USD pour trois heures de sous-titrage à distance à plus de 2 000 USD pour des services sur place. Le sous-titrage basé sur l</w:t>
      </w:r>
      <w:r w:rsidR="00101B95" w:rsidRPr="00CC3D29">
        <w:rPr>
          <w:lang w:val="fr-FR"/>
        </w:rPr>
        <w:t>'</w:t>
      </w:r>
      <w:r w:rsidRPr="00CC3D29">
        <w:rPr>
          <w:lang w:val="fr-FR"/>
        </w:rPr>
        <w:t>IA a été testé avec plusieurs fournisseurs mais n</w:t>
      </w:r>
      <w:r w:rsidR="00101B95" w:rsidRPr="00CC3D29">
        <w:rPr>
          <w:lang w:val="fr-FR"/>
        </w:rPr>
        <w:t>'</w:t>
      </w:r>
      <w:r w:rsidRPr="00CC3D29">
        <w:rPr>
          <w:lang w:val="fr-FR"/>
        </w:rPr>
        <w:t>est pas encore approuvé pour les réunions officielles, même si la poursuite des essais suscite de l</w:t>
      </w:r>
      <w:r w:rsidR="00101B95" w:rsidRPr="00CC3D29">
        <w:rPr>
          <w:lang w:val="fr-FR"/>
        </w:rPr>
        <w:t>'</w:t>
      </w:r>
      <w:r w:rsidRPr="00CC3D29">
        <w:rPr>
          <w:lang w:val="fr-FR"/>
        </w:rPr>
        <w:t>intérêt. L</w:t>
      </w:r>
      <w:r w:rsidR="00101B95" w:rsidRPr="00CC3D29">
        <w:rPr>
          <w:lang w:val="fr-FR"/>
        </w:rPr>
        <w:t>'</w:t>
      </w:r>
      <w:r w:rsidRPr="00CC3D29">
        <w:rPr>
          <w:lang w:val="fr-FR"/>
        </w:rPr>
        <w:t>UIT continuera de tester des outils basés sur l</w:t>
      </w:r>
      <w:r w:rsidR="00101B95" w:rsidRPr="00CC3D29">
        <w:rPr>
          <w:lang w:val="fr-FR"/>
        </w:rPr>
        <w:t>'</w:t>
      </w:r>
      <w:r w:rsidRPr="00CC3D29">
        <w:rPr>
          <w:lang w:val="fr-FR"/>
        </w:rPr>
        <w:t>IA pour le sous-titrage et de solliciter l</w:t>
      </w:r>
      <w:r w:rsidR="00101B95" w:rsidRPr="00CC3D29">
        <w:rPr>
          <w:lang w:val="fr-FR"/>
        </w:rPr>
        <w:t>'</w:t>
      </w:r>
      <w:r w:rsidRPr="00CC3D29">
        <w:rPr>
          <w:lang w:val="fr-FR"/>
        </w:rPr>
        <w:t>avis des membres.</w:t>
      </w:r>
    </w:p>
    <w:p w14:paraId="2213A223" w14:textId="68DC16F6" w:rsidR="00C81790" w:rsidRPr="00CC3D29" w:rsidRDefault="00C81790" w:rsidP="00C81790">
      <w:pPr>
        <w:pStyle w:val="enumlev1"/>
        <w:rPr>
          <w:lang w:val="fr-FR"/>
        </w:rPr>
      </w:pPr>
      <w:r w:rsidRPr="00CC3D29">
        <w:rPr>
          <w:lang w:val="fr-FR"/>
        </w:rPr>
        <w:tab/>
        <w:t xml:space="preserve">Le Groupe ISCG a proposé au Groupe de travail du Conseil sur les ressources financières et les ressources humaines (GTC-FHR) d'inclure, dans toutes les lettres circulaires invitant les participants à des réunions de l'UIT, un paragraphe qui mette en avant la possibilité de demander des services de sous-titrage (voir le </w:t>
      </w:r>
      <w:hyperlink r:id="rId15" w:history="1">
        <w:r w:rsidRPr="00CC3D29">
          <w:rPr>
            <w:rStyle w:val="Hyperlink"/>
            <w:lang w:val="fr-FR"/>
          </w:rPr>
          <w:t>Document CWG</w:t>
        </w:r>
        <w:r w:rsidRPr="00CC3D29">
          <w:rPr>
            <w:rStyle w:val="Hyperlink"/>
            <w:lang w:val="fr-FR"/>
          </w:rPr>
          <w:t>-</w:t>
        </w:r>
        <w:r w:rsidRPr="00CC3D29">
          <w:rPr>
            <w:rStyle w:val="Hyperlink"/>
            <w:lang w:val="fr-FR"/>
          </w:rPr>
          <w:t>FHR-20/2</w:t>
        </w:r>
      </w:hyperlink>
      <w:r w:rsidR="00B33780" w:rsidRPr="00CC3D29">
        <w:rPr>
          <w:rStyle w:val="Hyperlink"/>
          <w:lang w:val="fr-FR"/>
        </w:rPr>
        <w:t>4</w:t>
      </w:r>
      <w:r w:rsidRPr="00CC3D29">
        <w:rPr>
          <w:lang w:val="fr-FR"/>
        </w:rPr>
        <w:t>).</w:t>
      </w:r>
    </w:p>
    <w:p w14:paraId="663FD28F" w14:textId="737FEC3C" w:rsidR="00C81790" w:rsidRPr="00CC3D29" w:rsidRDefault="00C81790" w:rsidP="00C81790">
      <w:pPr>
        <w:pStyle w:val="enumlev1"/>
        <w:rPr>
          <w:lang w:val="fr-FR"/>
        </w:rPr>
      </w:pPr>
      <w:r w:rsidRPr="00CC3D29">
        <w:rPr>
          <w:lang w:val="fr-FR"/>
        </w:rPr>
        <w:tab/>
        <w:t>La Coordonnatrice de l'accessibilité au sein du Groupe ISCG, Mme Andrea Sa</w:t>
      </w:r>
      <w:r w:rsidR="00B33780" w:rsidRPr="00CC3D29">
        <w:rPr>
          <w:lang w:val="fr-FR"/>
        </w:rPr>
        <w:t>c</w:t>
      </w:r>
      <w:r w:rsidRPr="00CC3D29">
        <w:rPr>
          <w:lang w:val="fr-FR"/>
        </w:rPr>
        <w:t>ks, ayant récemment pris sa retraite, les groupes consultatifs des Secteurs devraient décider d'une nouvelle nomination.</w:t>
      </w:r>
    </w:p>
    <w:p w14:paraId="397D9A7B" w14:textId="2155E35E" w:rsidR="00C81790" w:rsidRPr="00CC3D29" w:rsidRDefault="00C81790" w:rsidP="00C81790">
      <w:pPr>
        <w:pStyle w:val="enumlev1"/>
        <w:rPr>
          <w:lang w:val="fr-FR"/>
        </w:rPr>
      </w:pPr>
      <w:r w:rsidRPr="00CC3D29">
        <w:rPr>
          <w:lang w:val="fr-FR"/>
        </w:rPr>
        <w:t>–</w:t>
      </w:r>
      <w:r w:rsidRPr="00CC3D29">
        <w:rPr>
          <w:lang w:val="fr-FR"/>
        </w:rPr>
        <w:tab/>
      </w:r>
      <w:r w:rsidRPr="00CC3D29">
        <w:rPr>
          <w:i/>
          <w:iCs/>
          <w:lang w:val="fr-FR"/>
        </w:rPr>
        <w:t>Changements climatiques</w:t>
      </w:r>
      <w:r w:rsidRPr="00CC3D29">
        <w:rPr>
          <w:lang w:val="fr-FR"/>
        </w:rPr>
        <w:t>: des travaux sur les changements climatiques et l'intelligence artificielle sont en cours, notamment l'élaboration de recommandations relatives à la transition vers la neutralité carbone et la création d'une base de données de l'UIT sur les émissions mondiales de gaz à effets de serre. En outre, des lignes directrices sont en cours d'élaboration pour évaluer les incidences de l'intelligence artificielle sur l'environnement, y compris ses effets directs et indirects.</w:t>
      </w:r>
    </w:p>
    <w:p w14:paraId="229C350E" w14:textId="696D6F20" w:rsidR="00C81790" w:rsidRPr="00CC3D29" w:rsidRDefault="00C81790" w:rsidP="00C81790">
      <w:pPr>
        <w:pStyle w:val="enumlev1"/>
        <w:rPr>
          <w:lang w:val="fr-FR"/>
        </w:rPr>
      </w:pPr>
      <w:r w:rsidRPr="00CC3D29">
        <w:rPr>
          <w:lang w:val="fr-FR"/>
        </w:rPr>
        <w:lastRenderedPageBreak/>
        <w:tab/>
        <w:t xml:space="preserve">Au cours de la dernière réunion, le </w:t>
      </w:r>
      <w:r w:rsidR="00B33780" w:rsidRPr="00CC3D29">
        <w:rPr>
          <w:lang w:val="fr-FR"/>
        </w:rPr>
        <w:t>c</w:t>
      </w:r>
      <w:r w:rsidRPr="00CC3D29">
        <w:rPr>
          <w:lang w:val="fr-FR"/>
        </w:rPr>
        <w:t>oordonnateur pour les changements climatiques a souligné la collaboration entre l'UIT-T et l'UIT-D sur ces sujets ainsi que les avantages que pourraient offrir des solutions d'intelligence artificielle dans des domaines tels que l'agriculture et l'optimisation énergétique, en particulier pour les pays en développement.</w:t>
      </w:r>
    </w:p>
    <w:p w14:paraId="5DAC21CA" w14:textId="7579B5A5" w:rsidR="00C81790" w:rsidRPr="00CC3D29" w:rsidRDefault="00C81790" w:rsidP="00C81790">
      <w:pPr>
        <w:pStyle w:val="enumlev1"/>
        <w:rPr>
          <w:lang w:val="fr-FR"/>
        </w:rPr>
      </w:pPr>
      <w:r w:rsidRPr="00CC3D29">
        <w:rPr>
          <w:lang w:val="fr-FR"/>
        </w:rPr>
        <w:tab/>
        <w:t xml:space="preserve">Le représentant du GCR a proposé d'organiser une réunion informelle pour examiner plus avant ce sujet et d'inviter le </w:t>
      </w:r>
      <w:r w:rsidR="00B33780" w:rsidRPr="00CC3D29">
        <w:rPr>
          <w:lang w:val="fr-FR"/>
        </w:rPr>
        <w:t>c</w:t>
      </w:r>
      <w:r w:rsidRPr="00CC3D29">
        <w:rPr>
          <w:lang w:val="fr-FR"/>
        </w:rPr>
        <w:t>oordonnateur pour les changements climatiques à participer au Groupe du Rapporteur sur une radiodiffusion efficace sur le plan énergétique.</w:t>
      </w:r>
    </w:p>
    <w:p w14:paraId="2F993C11" w14:textId="31F7FE9C" w:rsidR="00C81790" w:rsidRPr="00CC3D29" w:rsidRDefault="00C81790" w:rsidP="00C81790">
      <w:pPr>
        <w:pStyle w:val="enumlev1"/>
        <w:rPr>
          <w:lang w:val="fr-FR"/>
        </w:rPr>
      </w:pPr>
      <w:r w:rsidRPr="00CC3D29">
        <w:rPr>
          <w:lang w:val="fr-FR"/>
        </w:rPr>
        <w:t>–</w:t>
      </w:r>
      <w:r w:rsidRPr="00CC3D29">
        <w:rPr>
          <w:lang w:val="fr-FR"/>
        </w:rPr>
        <w:tab/>
      </w:r>
      <w:r w:rsidRPr="00CC3D29">
        <w:rPr>
          <w:i/>
          <w:iCs/>
          <w:lang w:val="fr-FR"/>
        </w:rPr>
        <w:t>Réunions virtuelles/participation à distance</w:t>
      </w:r>
      <w:r w:rsidRPr="00CC3D29">
        <w:rPr>
          <w:lang w:val="fr-FR"/>
        </w:rPr>
        <w:t xml:space="preserve">: le </w:t>
      </w:r>
      <w:r w:rsidR="00B33780" w:rsidRPr="00CC3D29">
        <w:rPr>
          <w:lang w:val="fr-FR"/>
        </w:rPr>
        <w:t>c</w:t>
      </w:r>
      <w:r w:rsidRPr="00CC3D29">
        <w:rPr>
          <w:lang w:val="fr-FR"/>
        </w:rPr>
        <w:t>oordonnateur pour ce thème continue de suivre les travaux menés par le Groupe de travail du Conseil sur les ressources financières et les ressources humaines et au niveau du Conseil.</w:t>
      </w:r>
    </w:p>
    <w:p w14:paraId="24A2316B" w14:textId="2FE0E9EE" w:rsidR="00C81790" w:rsidRPr="00CC3D29" w:rsidRDefault="00C81790" w:rsidP="00C81790">
      <w:pPr>
        <w:pStyle w:val="enumlev1"/>
        <w:rPr>
          <w:lang w:val="fr-FR"/>
        </w:rPr>
      </w:pPr>
      <w:r w:rsidRPr="00CC3D29">
        <w:rPr>
          <w:lang w:val="fr-FR"/>
        </w:rPr>
        <w:tab/>
        <w:t xml:space="preserve">Les informations les plus récentes portent sur l'approbation du </w:t>
      </w:r>
      <w:hyperlink r:id="rId16" w:history="1">
        <w:r w:rsidRPr="00CC3D29">
          <w:rPr>
            <w:rStyle w:val="Hyperlink"/>
            <w:lang w:val="fr-FR"/>
          </w:rPr>
          <w:t xml:space="preserve">Projet de lignes </w:t>
        </w:r>
        <w:r w:rsidRPr="00CC3D29">
          <w:rPr>
            <w:rStyle w:val="Hyperlink"/>
            <w:lang w:val="fr-FR"/>
          </w:rPr>
          <w:t>d</w:t>
        </w:r>
        <w:r w:rsidRPr="00CC3D29">
          <w:rPr>
            <w:rStyle w:val="Hyperlink"/>
            <w:lang w:val="fr-FR"/>
          </w:rPr>
          <w:t>irectrices sur la gestion des réunions entièrement virtuelles et des réunions physiques avec participation à distance à l'UIT, conformément à la mise en œuvre de la Résolution 167 (Rév. Bucarest, 2022)</w:t>
        </w:r>
      </w:hyperlink>
      <w:r w:rsidRPr="00CC3D29">
        <w:rPr>
          <w:lang w:val="fr-FR"/>
        </w:rPr>
        <w:t xml:space="preserve">. Ces lignes directrices seront soumises au Conseil pour approbation, à sa session de 2025. Une note de liaison à ce sujet a été envoyée par le Groupe ISCG aux groupes consultatifs des Secteurs (voir le </w:t>
      </w:r>
      <w:hyperlink r:id="rId17" w:history="1">
        <w:r w:rsidRPr="00CC3D29">
          <w:rPr>
            <w:rStyle w:val="Hyperlink"/>
            <w:lang w:val="fr-FR"/>
          </w:rPr>
          <w:t>Document TDA</w:t>
        </w:r>
        <w:r w:rsidRPr="00CC3D29">
          <w:rPr>
            <w:rStyle w:val="Hyperlink"/>
            <w:lang w:val="fr-FR"/>
          </w:rPr>
          <w:t>G</w:t>
        </w:r>
        <w:r w:rsidRPr="00CC3D29">
          <w:rPr>
            <w:rStyle w:val="Hyperlink"/>
            <w:lang w:val="fr-FR"/>
          </w:rPr>
          <w:t>-25/34</w:t>
        </w:r>
      </w:hyperlink>
      <w:r w:rsidRPr="00CC3D29">
        <w:rPr>
          <w:lang w:val="fr-FR"/>
        </w:rPr>
        <w:t>).</w:t>
      </w:r>
    </w:p>
    <w:p w14:paraId="7D4E9628" w14:textId="72077189" w:rsidR="00C81790" w:rsidRPr="00CC3D29" w:rsidRDefault="00C81790" w:rsidP="00C81790">
      <w:pPr>
        <w:pStyle w:val="enumlev1"/>
        <w:rPr>
          <w:lang w:val="fr-FR"/>
        </w:rPr>
      </w:pPr>
      <w:r w:rsidRPr="00CC3D29">
        <w:rPr>
          <w:lang w:val="fr-FR"/>
        </w:rPr>
        <w:tab/>
        <w:t>En outre, il a été demandé au Secrétariat de l'UIT d'examiner les conditions relatives à la modification des droits des participants à distance dans les textes fondamentaux de l'Union.</w:t>
      </w:r>
    </w:p>
    <w:p w14:paraId="4AE376E4" w14:textId="1C476AAE" w:rsidR="00C81790" w:rsidRPr="00CC3D29" w:rsidRDefault="00C81790" w:rsidP="00C81790">
      <w:pPr>
        <w:pStyle w:val="enumlev1"/>
        <w:rPr>
          <w:lang w:val="fr-FR"/>
        </w:rPr>
      </w:pPr>
      <w:r w:rsidRPr="00CC3D29">
        <w:rPr>
          <w:lang w:val="fr-FR"/>
        </w:rPr>
        <w:t>–</w:t>
      </w:r>
      <w:r w:rsidRPr="00CC3D29">
        <w:rPr>
          <w:lang w:val="fr-FR"/>
        </w:rPr>
        <w:tab/>
      </w:r>
      <w:r w:rsidRPr="00CC3D29">
        <w:rPr>
          <w:i/>
          <w:iCs/>
          <w:lang w:val="fr-FR"/>
        </w:rPr>
        <w:t>Site web de l'UIT</w:t>
      </w:r>
      <w:r w:rsidRPr="00CC3D29">
        <w:rPr>
          <w:lang w:val="fr-FR"/>
        </w:rPr>
        <w:t>: le Groupe ISCG suit activement cette question et demande en particulier au Secrétariat de l'UIT de fournir des informations sur l'harmonisation des sites web et du système de recherche dans toutes les langues officielles de l'Union, traitées sur un pied d'égalité, et de faire rapport à ce sujet à toutes les réunions du Groupe de travail du</w:t>
      </w:r>
      <w:r w:rsidR="00571694" w:rsidRPr="00CC3D29">
        <w:rPr>
          <w:lang w:val="fr-FR"/>
        </w:rPr>
        <w:t> </w:t>
      </w:r>
      <w:r w:rsidRPr="00CC3D29">
        <w:rPr>
          <w:lang w:val="fr-FR"/>
        </w:rPr>
        <w:t>Conseil sur l'utilisation des langues et du Groupe ISCG.</w:t>
      </w:r>
    </w:p>
    <w:p w14:paraId="1354D422" w14:textId="12B2119B" w:rsidR="00C81790" w:rsidRPr="00CC3D29" w:rsidRDefault="00C81790" w:rsidP="00C81790">
      <w:pPr>
        <w:pStyle w:val="enumlev1"/>
        <w:rPr>
          <w:lang w:val="fr-FR"/>
        </w:rPr>
      </w:pPr>
      <w:r w:rsidRPr="00CC3D29">
        <w:rPr>
          <w:lang w:val="fr-FR"/>
        </w:rPr>
        <w:t>–</w:t>
      </w:r>
      <w:r w:rsidRPr="00CC3D29">
        <w:rPr>
          <w:lang w:val="fr-FR"/>
        </w:rPr>
        <w:tab/>
      </w:r>
      <w:r w:rsidRPr="00CC3D29">
        <w:rPr>
          <w:i/>
          <w:iCs/>
          <w:lang w:val="fr-FR"/>
        </w:rPr>
        <w:t>Transformation numérique durable</w:t>
      </w:r>
      <w:r w:rsidRPr="00CC3D29">
        <w:rPr>
          <w:lang w:val="fr-FR"/>
        </w:rPr>
        <w:t xml:space="preserve">: le </w:t>
      </w:r>
      <w:r w:rsidR="00F51C38" w:rsidRPr="00CC3D29">
        <w:rPr>
          <w:lang w:val="fr-FR"/>
        </w:rPr>
        <w:t>c</w:t>
      </w:r>
      <w:r w:rsidRPr="00CC3D29">
        <w:rPr>
          <w:lang w:val="fr-FR"/>
        </w:rPr>
        <w:t xml:space="preserve">oordonnateur pour cette question a reconnu que le </w:t>
      </w:r>
      <w:r w:rsidR="00251EBF" w:rsidRPr="00CC3D29">
        <w:rPr>
          <w:lang w:val="fr-FR"/>
        </w:rPr>
        <w:t>"</w:t>
      </w:r>
      <w:r w:rsidRPr="00CC3D29">
        <w:rPr>
          <w:lang w:val="fr-FR"/>
        </w:rPr>
        <w:t>Résumé de l'actualité sur la transformation numérique et les villes</w:t>
      </w:r>
      <w:r w:rsidR="00251EBF" w:rsidRPr="00CC3D29">
        <w:rPr>
          <w:lang w:val="fr-FR"/>
        </w:rPr>
        <w:t>"</w:t>
      </w:r>
      <w:r w:rsidRPr="00CC3D29">
        <w:rPr>
          <w:lang w:val="fr-FR"/>
        </w:rPr>
        <w:t xml:space="preserve"> constituait une ressource précieuse et complète sur la transformation numérique, et a encouragé l'UIT-D, l'UIT-R et le Secrétariat général à envisager de présenter leurs activités dans cette publication. Ces contributions permettraient d'accroître la visibilité de chaque Secteur, de favoriser la collaboration intersectorielle et de donner une vue d'ensemble des travaux de l'UIT dans ce domaine crucial.</w:t>
      </w:r>
    </w:p>
    <w:p w14:paraId="385AE4E2" w14:textId="23CD3423" w:rsidR="00C81790" w:rsidRPr="00CC3D29" w:rsidRDefault="00C81790" w:rsidP="00C81790">
      <w:pPr>
        <w:rPr>
          <w:lang w:val="fr-FR"/>
        </w:rPr>
      </w:pPr>
      <w:r w:rsidRPr="00CC3D29">
        <w:rPr>
          <w:lang w:val="fr-FR"/>
        </w:rPr>
        <w:t xml:space="preserve">Il a été convenu que la </w:t>
      </w:r>
      <w:r w:rsidR="00251EBF" w:rsidRPr="00CC3D29">
        <w:rPr>
          <w:lang w:val="fr-FR"/>
        </w:rPr>
        <w:t>"</w:t>
      </w:r>
      <w:r w:rsidRPr="00CC3D29">
        <w:rPr>
          <w:lang w:val="fr-FR"/>
        </w:rPr>
        <w:t>participation du secteur privé</w:t>
      </w:r>
      <w:r w:rsidR="00251EBF" w:rsidRPr="00CC3D29">
        <w:rPr>
          <w:lang w:val="fr-FR"/>
        </w:rPr>
        <w:t>"</w:t>
      </w:r>
      <w:r w:rsidRPr="00CC3D29">
        <w:rPr>
          <w:lang w:val="fr-FR"/>
        </w:rPr>
        <w:t xml:space="preserve"> était un nouveau sujet d'intérêt et la nomination d'un </w:t>
      </w:r>
      <w:r w:rsidR="00F51C38" w:rsidRPr="00CC3D29">
        <w:rPr>
          <w:lang w:val="fr-FR"/>
        </w:rPr>
        <w:t>c</w:t>
      </w:r>
      <w:r w:rsidRPr="00CC3D29">
        <w:rPr>
          <w:lang w:val="fr-FR"/>
        </w:rPr>
        <w:t xml:space="preserve">oordonnateur est en attente. Il a été noté que pour le Secrétariat, ce thème est compris dans le thème </w:t>
      </w:r>
      <w:r w:rsidR="00251EBF" w:rsidRPr="00CC3D29">
        <w:rPr>
          <w:lang w:val="fr-FR"/>
        </w:rPr>
        <w:t>"</w:t>
      </w:r>
      <w:r w:rsidRPr="00CC3D29">
        <w:rPr>
          <w:lang w:val="fr-FR"/>
        </w:rPr>
        <w:t>Membres de Secteur, établissement de partenariats et mobilisation de ressources</w:t>
      </w:r>
      <w:r w:rsidR="00251EBF" w:rsidRPr="00CC3D29">
        <w:rPr>
          <w:lang w:val="fr-FR"/>
        </w:rPr>
        <w:t>"</w:t>
      </w:r>
      <w:r w:rsidRPr="00CC3D29">
        <w:rPr>
          <w:lang w:val="fr-FR"/>
        </w:rPr>
        <w:t>.</w:t>
      </w:r>
    </w:p>
    <w:p w14:paraId="120B855A" w14:textId="03D89287" w:rsidR="00C81790" w:rsidRPr="00CC3D29" w:rsidRDefault="00C81790" w:rsidP="00C81790">
      <w:pPr>
        <w:rPr>
          <w:lang w:val="fr-FR"/>
        </w:rPr>
      </w:pPr>
      <w:r w:rsidRPr="00CC3D29">
        <w:rPr>
          <w:lang w:val="fr-FR"/>
        </w:rPr>
        <w:t xml:space="preserve">En ce qui concerne le Plan stratégique et le Plan financier de l'Union, le </w:t>
      </w:r>
      <w:r w:rsidR="00F51C38" w:rsidRPr="00CC3D29">
        <w:rPr>
          <w:lang w:val="fr-FR"/>
        </w:rPr>
        <w:t>P</w:t>
      </w:r>
      <w:r w:rsidRPr="00CC3D29">
        <w:rPr>
          <w:lang w:val="fr-FR"/>
        </w:rPr>
        <w:t xml:space="preserve">résident du Groupe ISCG s'est félicité des contributions du Groupe consultatif de la normalisation des télécommunications (GCNT) également soumises au Groupe de travail du Conseil chargé d'élaborer le Plan stratégique et le Plan financier pour la période 2028-2031 (GTC-SFP) et a proposé d'approuver les propositions visant à améliorer les Plans stratégiques et financiers de l'Union. Le </w:t>
      </w:r>
      <w:r w:rsidR="00571694" w:rsidRPr="00CC3D29">
        <w:rPr>
          <w:lang w:val="fr-FR"/>
        </w:rPr>
        <w:t>p</w:t>
      </w:r>
      <w:r w:rsidRPr="00CC3D29">
        <w:rPr>
          <w:lang w:val="fr-FR"/>
        </w:rPr>
        <w:t>résident a également encouragé le GCR et le GCDT à prendre des mesures analogues, en participant activement aux discussions sur les Plans stratégiques et financiers.</w:t>
      </w:r>
    </w:p>
    <w:p w14:paraId="5F07799A" w14:textId="7CA2BE2E" w:rsidR="00C81790" w:rsidRPr="00CC3D29" w:rsidRDefault="00C81790" w:rsidP="00251EBF">
      <w:pPr>
        <w:keepNext/>
        <w:keepLines/>
        <w:rPr>
          <w:lang w:val="fr-FR"/>
        </w:rPr>
      </w:pPr>
      <w:r w:rsidRPr="00CC3D29">
        <w:rPr>
          <w:lang w:val="fr-FR"/>
        </w:rPr>
        <w:lastRenderedPageBreak/>
        <w:t xml:space="preserve">Le Groupe ISCG continue d'actualiser les </w:t>
      </w:r>
      <w:hyperlink r:id="rId18" w:history="1">
        <w:r w:rsidRPr="00CC3D29">
          <w:rPr>
            <w:rStyle w:val="Hyperlink"/>
            <w:lang w:val="fr-FR"/>
          </w:rPr>
          <w:t>tableaux de mise en correspon</w:t>
        </w:r>
        <w:r w:rsidRPr="00CC3D29">
          <w:rPr>
            <w:rStyle w:val="Hyperlink"/>
            <w:lang w:val="fr-FR"/>
          </w:rPr>
          <w:t>d</w:t>
        </w:r>
        <w:r w:rsidRPr="00CC3D29">
          <w:rPr>
            <w:rStyle w:val="Hyperlink"/>
            <w:lang w:val="fr-FR"/>
          </w:rPr>
          <w:t>ance des Résolutions</w:t>
        </w:r>
      </w:hyperlink>
      <w:r w:rsidRPr="00CC3D29">
        <w:rPr>
          <w:lang w:val="fr-FR"/>
        </w:rPr>
        <w:t xml:space="preserve"> et les </w:t>
      </w:r>
      <w:hyperlink r:id="rId19" w:anchor="/fr" w:history="1">
        <w:r w:rsidRPr="00CC3D29">
          <w:rPr>
            <w:rStyle w:val="Hyperlink"/>
            <w:lang w:val="fr-FR"/>
          </w:rPr>
          <w:t xml:space="preserve">autres tableaux de mise </w:t>
        </w:r>
        <w:r w:rsidRPr="00CC3D29">
          <w:rPr>
            <w:rStyle w:val="Hyperlink"/>
            <w:lang w:val="fr-FR"/>
          </w:rPr>
          <w:t>e</w:t>
        </w:r>
        <w:r w:rsidRPr="00CC3D29">
          <w:rPr>
            <w:rStyle w:val="Hyperlink"/>
            <w:lang w:val="fr-FR"/>
          </w:rPr>
          <w:t>n correspondance</w:t>
        </w:r>
      </w:hyperlink>
      <w:r w:rsidRPr="00CC3D29">
        <w:rPr>
          <w:lang w:val="fr-FR"/>
        </w:rPr>
        <w:t xml:space="preserve">. La dernière mise à jour a été effectuée après la clôture de l'Assemblée mondiale de normalisation des télécommunications, en octobre 2024. Les </w:t>
      </w:r>
      <w:r w:rsidR="00571694" w:rsidRPr="00CC3D29">
        <w:rPr>
          <w:lang w:val="fr-FR"/>
        </w:rPr>
        <w:t>T</w:t>
      </w:r>
      <w:r w:rsidRPr="00CC3D29">
        <w:rPr>
          <w:lang w:val="fr-FR"/>
        </w:rPr>
        <w:t>ableaux 2 et 3 seront mis à jour quand l'UIT-T aura entamé son nouveau cycle, après la réunion du GCNT (26-30 mai 2025).</w:t>
      </w:r>
    </w:p>
    <w:p w14:paraId="3CD0F3B8" w14:textId="77777777" w:rsidR="00C81790" w:rsidRPr="00CC3D29" w:rsidRDefault="00C81790" w:rsidP="00251EBF">
      <w:pPr>
        <w:pStyle w:val="Headingb"/>
        <w:rPr>
          <w:lang w:val="fr-FR"/>
        </w:rPr>
      </w:pPr>
      <w:r w:rsidRPr="00CC3D29">
        <w:rPr>
          <w:lang w:val="fr-FR"/>
        </w:rPr>
        <w:t>Conclusion</w:t>
      </w:r>
    </w:p>
    <w:p w14:paraId="3722AD77" w14:textId="77777777" w:rsidR="00C81790" w:rsidRPr="00CC3D29" w:rsidRDefault="00C81790" w:rsidP="00C81790">
      <w:pPr>
        <w:rPr>
          <w:lang w:val="fr-FR"/>
        </w:rPr>
      </w:pPr>
      <w:r w:rsidRPr="00CC3D29">
        <w:rPr>
          <w:lang w:val="fr-FR"/>
        </w:rPr>
        <w:t>Le GCDT est invité à examiner le présent document et à soumettre des observations et des propositions au Groupe ISCG sur les thèmes présentés et sur toute autre activité conjointe éventuelle ou sur tout autre mécanisme propre à renforcer la coopération.</w:t>
      </w:r>
    </w:p>
    <w:p w14:paraId="48657CFB" w14:textId="6F42F486" w:rsidR="00C81790" w:rsidRPr="00CC3D29" w:rsidRDefault="00C81790" w:rsidP="00C81790">
      <w:pPr>
        <w:rPr>
          <w:lang w:val="fr-FR"/>
        </w:rPr>
      </w:pPr>
      <w:r w:rsidRPr="00CC3D29">
        <w:rPr>
          <w:lang w:val="fr-FR"/>
        </w:rPr>
        <w:t>Le GCDT est invité à envisager, en particulier, la nomination de représentants aux fonctions vacantes de coordonnateurs (par exemple, pour ce qui est de l</w:t>
      </w:r>
      <w:r w:rsidR="00101B95" w:rsidRPr="00CC3D29">
        <w:rPr>
          <w:lang w:val="fr-FR"/>
        </w:rPr>
        <w:t>'</w:t>
      </w:r>
      <w:r w:rsidRPr="00CC3D29">
        <w:rPr>
          <w:lang w:val="fr-FR"/>
        </w:rPr>
        <w:t>accessibilité et de la participation du secteur privé).</w:t>
      </w:r>
    </w:p>
    <w:p w14:paraId="78787F59" w14:textId="77777777" w:rsidR="00C81790" w:rsidRPr="00CC3D29" w:rsidRDefault="00C81790" w:rsidP="00C81790">
      <w:pPr>
        <w:rPr>
          <w:lang w:val="fr-FR"/>
        </w:rPr>
      </w:pPr>
      <w:r w:rsidRPr="00CC3D29">
        <w:rPr>
          <w:lang w:val="fr-FR"/>
        </w:rPr>
        <w:t>Il est proposé que la prochaine réunion du Groupe ISCG se tienne pendant la réunion du GCNT; les informations correspondantes seront communiquées sur le site web du Groupe ISCG.</w:t>
      </w:r>
    </w:p>
    <w:p w14:paraId="69B70EE0" w14:textId="2DDE7368" w:rsidR="00EC6FED" w:rsidRPr="00CC3D29" w:rsidRDefault="00C81790" w:rsidP="00C81790">
      <w:pPr>
        <w:rPr>
          <w:lang w:val="fr-FR"/>
        </w:rPr>
      </w:pPr>
      <w:r w:rsidRPr="00CC3D29">
        <w:rPr>
          <w:lang w:val="fr-FR"/>
        </w:rPr>
        <w:t xml:space="preserve">Le </w:t>
      </w:r>
      <w:r w:rsidR="00F51C38" w:rsidRPr="00CC3D29">
        <w:rPr>
          <w:lang w:val="fr-FR"/>
        </w:rPr>
        <w:t>P</w:t>
      </w:r>
      <w:r w:rsidRPr="00CC3D29">
        <w:rPr>
          <w:lang w:val="fr-FR"/>
        </w:rPr>
        <w:t>résident du Groupe ISCG a remercié les membres du GCDT de lui avoir donné l'occasion de présenter ce rapport et les a invités à contribuer aux activités du Groupe ISCG.</w:t>
      </w:r>
    </w:p>
    <w:p w14:paraId="2EC2844A" w14:textId="77777777" w:rsidR="00821996" w:rsidRPr="00CC3D29" w:rsidRDefault="003C58BF" w:rsidP="00A50CA0">
      <w:pPr>
        <w:tabs>
          <w:tab w:val="clear" w:pos="794"/>
          <w:tab w:val="clear" w:pos="1191"/>
          <w:tab w:val="clear" w:pos="1588"/>
          <w:tab w:val="clear" w:pos="1985"/>
        </w:tabs>
        <w:spacing w:after="120"/>
        <w:jc w:val="center"/>
        <w:rPr>
          <w:lang w:val="fr-FR"/>
        </w:rPr>
      </w:pPr>
      <w:r w:rsidRPr="00CC3D29">
        <w:rPr>
          <w:lang w:val="fr-FR"/>
        </w:rPr>
        <w:t>_____________</w:t>
      </w:r>
      <w:r w:rsidR="004122C5" w:rsidRPr="00CC3D29">
        <w:rPr>
          <w:lang w:val="fr-FR"/>
        </w:rPr>
        <w:t>_</w:t>
      </w:r>
      <w:r w:rsidR="00922EC1" w:rsidRPr="00CC3D29">
        <w:rPr>
          <w:lang w:val="fr-FR"/>
        </w:rPr>
        <w:t>_</w:t>
      </w:r>
    </w:p>
    <w:sectPr w:rsidR="00821996" w:rsidRPr="00CC3D29" w:rsidSect="00473791">
      <w:headerReference w:type="default" r:id="rId20"/>
      <w:footerReference w:type="first" r:id="rId21"/>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35159" w14:textId="77777777" w:rsidR="005125E5" w:rsidRDefault="005125E5">
      <w:r>
        <w:separator/>
      </w:r>
    </w:p>
  </w:endnote>
  <w:endnote w:type="continuationSeparator" w:id="0">
    <w:p w14:paraId="5729DB95" w14:textId="77777777" w:rsidR="005125E5" w:rsidRDefault="00512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1B030A" w:rsidRPr="00DD754B" w14:paraId="5C2B0E2D" w14:textId="77777777" w:rsidTr="005539C3">
      <w:tc>
        <w:tcPr>
          <w:tcW w:w="1526" w:type="dxa"/>
          <w:tcBorders>
            <w:top w:val="single" w:sz="4" w:space="0" w:color="000000" w:themeColor="text1"/>
          </w:tcBorders>
        </w:tcPr>
        <w:p w14:paraId="176205BE" w14:textId="77777777" w:rsidR="001B030A" w:rsidRPr="00BA0009" w:rsidRDefault="001B030A" w:rsidP="001B030A">
          <w:pPr>
            <w:pStyle w:val="FirstFooter"/>
            <w:tabs>
              <w:tab w:val="left" w:pos="1559"/>
              <w:tab w:val="left" w:pos="3828"/>
            </w:tabs>
            <w:rPr>
              <w:sz w:val="18"/>
              <w:szCs w:val="18"/>
            </w:rPr>
          </w:pPr>
          <w:bookmarkStart w:id="6" w:name="Email"/>
          <w:bookmarkEnd w:id="6"/>
          <w:r w:rsidRPr="00E62753">
            <w:rPr>
              <w:sz w:val="18"/>
              <w:szCs w:val="18"/>
            </w:rPr>
            <w:t>Contact:</w:t>
          </w:r>
        </w:p>
      </w:tc>
      <w:tc>
        <w:tcPr>
          <w:tcW w:w="2410" w:type="dxa"/>
          <w:tcBorders>
            <w:top w:val="single" w:sz="4" w:space="0" w:color="000000" w:themeColor="text1"/>
          </w:tcBorders>
        </w:tcPr>
        <w:p w14:paraId="26830CB6" w14:textId="77777777" w:rsidR="001B030A" w:rsidRPr="00CB110F" w:rsidRDefault="001B030A" w:rsidP="001B030A">
          <w:pPr>
            <w:pStyle w:val="FirstFooter"/>
            <w:tabs>
              <w:tab w:val="left" w:pos="2302"/>
            </w:tabs>
            <w:ind w:left="2302" w:hanging="2302"/>
            <w:rPr>
              <w:sz w:val="18"/>
              <w:szCs w:val="18"/>
              <w:lang w:val="en-US"/>
            </w:rPr>
          </w:pPr>
          <w:r w:rsidRPr="00E62753">
            <w:rPr>
              <w:sz w:val="18"/>
              <w:szCs w:val="18"/>
              <w:lang w:val="fr-CH"/>
            </w:rPr>
            <w:t>Nom/Organisation/Entité:</w:t>
          </w:r>
        </w:p>
      </w:tc>
      <w:tc>
        <w:tcPr>
          <w:tcW w:w="5919" w:type="dxa"/>
          <w:tcBorders>
            <w:top w:val="single" w:sz="4" w:space="0" w:color="000000" w:themeColor="text1"/>
          </w:tcBorders>
        </w:tcPr>
        <w:p w14:paraId="0C8B6EEC" w14:textId="623FA811" w:rsidR="001B030A" w:rsidRPr="009C2903" w:rsidRDefault="00C81790" w:rsidP="001B030A">
          <w:pPr>
            <w:pStyle w:val="FirstFooter"/>
            <w:rPr>
              <w:sz w:val="18"/>
              <w:szCs w:val="18"/>
              <w:highlight w:val="yellow"/>
            </w:rPr>
          </w:pPr>
          <w:r w:rsidRPr="00DD754B">
            <w:rPr>
              <w:sz w:val="18"/>
              <w:szCs w:val="18"/>
            </w:rPr>
            <w:t>M. Fabio Bigi, Président du Groupe de coordination intersectorielle (ISCG)</w:t>
          </w:r>
        </w:p>
      </w:tc>
    </w:tr>
    <w:tr w:rsidR="001B030A" w:rsidRPr="00CB110F" w14:paraId="298FE8EB" w14:textId="77777777" w:rsidTr="005539C3">
      <w:tc>
        <w:tcPr>
          <w:tcW w:w="1526" w:type="dxa"/>
        </w:tcPr>
        <w:p w14:paraId="7ACBC842" w14:textId="77777777" w:rsidR="001B030A" w:rsidRPr="009C2903" w:rsidRDefault="001B030A" w:rsidP="001B030A">
          <w:pPr>
            <w:pStyle w:val="FirstFooter"/>
            <w:tabs>
              <w:tab w:val="left" w:pos="1559"/>
              <w:tab w:val="left" w:pos="3828"/>
            </w:tabs>
            <w:rPr>
              <w:sz w:val="20"/>
            </w:rPr>
          </w:pPr>
        </w:p>
      </w:tc>
      <w:tc>
        <w:tcPr>
          <w:tcW w:w="2410" w:type="dxa"/>
        </w:tcPr>
        <w:p w14:paraId="76CE8C1A" w14:textId="77777777" w:rsidR="001B030A" w:rsidRPr="00CB110F" w:rsidRDefault="001B030A" w:rsidP="001B030A">
          <w:pPr>
            <w:pStyle w:val="FirstFooter"/>
            <w:tabs>
              <w:tab w:val="left" w:pos="2302"/>
            </w:tabs>
            <w:rPr>
              <w:sz w:val="18"/>
              <w:szCs w:val="18"/>
              <w:lang w:val="en-US"/>
            </w:rPr>
          </w:pPr>
          <w:r w:rsidRPr="00E62753">
            <w:rPr>
              <w:sz w:val="18"/>
              <w:szCs w:val="18"/>
              <w:lang w:val="fr-CH"/>
            </w:rPr>
            <w:t>Numéro de téléphone:</w:t>
          </w:r>
        </w:p>
      </w:tc>
      <w:tc>
        <w:tcPr>
          <w:tcW w:w="5919" w:type="dxa"/>
        </w:tcPr>
        <w:p w14:paraId="6CE1B2A9" w14:textId="4E2FB8B6" w:rsidR="001B030A" w:rsidRPr="009359B8" w:rsidRDefault="00C81790" w:rsidP="001B030A">
          <w:pPr>
            <w:pStyle w:val="FirstFooter"/>
            <w:tabs>
              <w:tab w:val="left" w:pos="2302"/>
            </w:tabs>
            <w:rPr>
              <w:sz w:val="18"/>
              <w:szCs w:val="18"/>
              <w:highlight w:val="yellow"/>
              <w:lang w:val="en-US"/>
            </w:rPr>
          </w:pPr>
          <w:r>
            <w:rPr>
              <w:sz w:val="18"/>
              <w:szCs w:val="18"/>
              <w:lang w:val="en-US"/>
            </w:rPr>
            <w:t>Sans objet</w:t>
          </w:r>
        </w:p>
      </w:tc>
    </w:tr>
    <w:tr w:rsidR="001B030A" w:rsidRPr="00CB110F" w14:paraId="336F05F8" w14:textId="77777777" w:rsidTr="005539C3">
      <w:tc>
        <w:tcPr>
          <w:tcW w:w="1526" w:type="dxa"/>
        </w:tcPr>
        <w:p w14:paraId="10E74C07" w14:textId="77777777" w:rsidR="001B030A" w:rsidRPr="00CB110F" w:rsidRDefault="001B030A" w:rsidP="001B030A">
          <w:pPr>
            <w:pStyle w:val="FirstFooter"/>
            <w:tabs>
              <w:tab w:val="left" w:pos="1559"/>
              <w:tab w:val="left" w:pos="3828"/>
            </w:tabs>
            <w:rPr>
              <w:sz w:val="20"/>
              <w:lang w:val="en-US"/>
            </w:rPr>
          </w:pPr>
        </w:p>
      </w:tc>
      <w:tc>
        <w:tcPr>
          <w:tcW w:w="2410" w:type="dxa"/>
        </w:tcPr>
        <w:p w14:paraId="145C550E" w14:textId="77777777" w:rsidR="001B030A" w:rsidRPr="00CB110F" w:rsidRDefault="001B030A" w:rsidP="001B030A">
          <w:pPr>
            <w:pStyle w:val="FirstFooter"/>
            <w:tabs>
              <w:tab w:val="left" w:pos="2302"/>
            </w:tabs>
            <w:rPr>
              <w:sz w:val="18"/>
              <w:szCs w:val="18"/>
              <w:lang w:val="en-US"/>
            </w:rPr>
          </w:pPr>
          <w:r w:rsidRPr="00E62753">
            <w:rPr>
              <w:sz w:val="18"/>
              <w:szCs w:val="18"/>
              <w:lang w:val="fr-CH"/>
            </w:rPr>
            <w:t>Courriel</w:t>
          </w:r>
          <w:r w:rsidRPr="00E62753">
            <w:rPr>
              <w:sz w:val="18"/>
              <w:szCs w:val="18"/>
              <w:lang w:val="en-US"/>
            </w:rPr>
            <w:t>:</w:t>
          </w:r>
        </w:p>
      </w:tc>
      <w:tc>
        <w:tcPr>
          <w:tcW w:w="5919" w:type="dxa"/>
        </w:tcPr>
        <w:p w14:paraId="3537A984" w14:textId="2E55F54C" w:rsidR="001B030A" w:rsidRPr="00B80715" w:rsidRDefault="00C81790" w:rsidP="001B030A">
          <w:pPr>
            <w:pStyle w:val="FirstFooter"/>
            <w:tabs>
              <w:tab w:val="left" w:pos="2302"/>
            </w:tabs>
            <w:rPr>
              <w:sz w:val="18"/>
              <w:szCs w:val="18"/>
              <w:lang w:val="en-US"/>
            </w:rPr>
          </w:pPr>
          <w:hyperlink r:id="rId1" w:history="1">
            <w:r w:rsidRPr="007B3583">
              <w:rPr>
                <w:rStyle w:val="Hyperlink"/>
                <w:sz w:val="18"/>
                <w:szCs w:val="18"/>
                <w:lang w:val="en-US"/>
              </w:rPr>
              <w:t>fabio.bigi@</w:t>
            </w:r>
            <w:r w:rsidRPr="007B3583">
              <w:rPr>
                <w:rStyle w:val="Hyperlink"/>
                <w:sz w:val="18"/>
                <w:szCs w:val="18"/>
                <w:lang w:val="en-US"/>
              </w:rPr>
              <w:t>v</w:t>
            </w:r>
            <w:r w:rsidRPr="007B3583">
              <w:rPr>
                <w:rStyle w:val="Hyperlink"/>
                <w:sz w:val="18"/>
                <w:szCs w:val="18"/>
                <w:lang w:val="en-US"/>
              </w:rPr>
              <w:t>irgilio.it</w:t>
            </w:r>
          </w:hyperlink>
          <w:r w:rsidRPr="00C81790">
            <w:rPr>
              <w:sz w:val="18"/>
              <w:szCs w:val="18"/>
              <w:lang w:val="en-US"/>
            </w:rPr>
            <w:t xml:space="preserve">; </w:t>
          </w:r>
          <w:hyperlink r:id="rId2" w:history="1">
            <w:r w:rsidRPr="007B3583">
              <w:rPr>
                <w:rStyle w:val="Hyperlink"/>
                <w:sz w:val="18"/>
                <w:szCs w:val="18"/>
                <w:lang w:val="en-US"/>
              </w:rPr>
              <w:t>iscg@</w:t>
            </w:r>
            <w:r w:rsidRPr="007B3583">
              <w:rPr>
                <w:rStyle w:val="Hyperlink"/>
                <w:sz w:val="18"/>
                <w:szCs w:val="18"/>
                <w:lang w:val="en-US"/>
              </w:rPr>
              <w:t>i</w:t>
            </w:r>
            <w:r w:rsidRPr="007B3583">
              <w:rPr>
                <w:rStyle w:val="Hyperlink"/>
                <w:sz w:val="18"/>
                <w:szCs w:val="18"/>
                <w:lang w:val="en-US"/>
              </w:rPr>
              <w:t>tu.int</w:t>
            </w:r>
          </w:hyperlink>
        </w:p>
      </w:tc>
    </w:tr>
  </w:tbl>
  <w:p w14:paraId="4830D301" w14:textId="77777777" w:rsidR="00C80022" w:rsidRPr="00DD754B" w:rsidRDefault="00C80022" w:rsidP="001B030A">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1BD0D" w14:textId="77777777" w:rsidR="005125E5" w:rsidRDefault="005125E5">
      <w:r>
        <w:t>____________________</w:t>
      </w:r>
    </w:p>
  </w:footnote>
  <w:footnote w:type="continuationSeparator" w:id="0">
    <w:p w14:paraId="6FC42220" w14:textId="77777777" w:rsidR="005125E5" w:rsidRDefault="00512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3E05355C"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1C48D3">
      <w:rPr>
        <w:sz w:val="22"/>
        <w:szCs w:val="22"/>
        <w:lang w:val="de-CH"/>
      </w:rPr>
      <w:t>5</w:t>
    </w:r>
    <w:r w:rsidRPr="00A54E72">
      <w:rPr>
        <w:sz w:val="22"/>
        <w:szCs w:val="22"/>
        <w:lang w:val="de-CH"/>
      </w:rPr>
      <w:t>/</w:t>
    </w:r>
    <w:r w:rsidR="00C81790">
      <w:rPr>
        <w:sz w:val="22"/>
        <w:szCs w:val="22"/>
        <w:lang w:val="de-CH"/>
      </w:rPr>
      <w:t>23</w:t>
    </w:r>
    <w:r w:rsidRPr="006D271A">
      <w:rPr>
        <w:sz w:val="22"/>
        <w:szCs w:val="22"/>
        <w:lang w:val="de-CH"/>
      </w:rPr>
      <w:t>-</w:t>
    </w:r>
    <w:r w:rsidR="00700F2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E25345">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16cid:durableId="1950357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2716"/>
    <w:rsid w:val="00003C43"/>
    <w:rsid w:val="00005791"/>
    <w:rsid w:val="00010827"/>
    <w:rsid w:val="00015089"/>
    <w:rsid w:val="0002520B"/>
    <w:rsid w:val="000325DF"/>
    <w:rsid w:val="00037A9E"/>
    <w:rsid w:val="00037F91"/>
    <w:rsid w:val="000539F1"/>
    <w:rsid w:val="00054747"/>
    <w:rsid w:val="00055A2A"/>
    <w:rsid w:val="000615C1"/>
    <w:rsid w:val="00061675"/>
    <w:rsid w:val="000743AA"/>
    <w:rsid w:val="0007632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11EB"/>
    <w:rsid w:val="00101B95"/>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3CA1"/>
    <w:rsid w:val="00175ADF"/>
    <w:rsid w:val="00175CAE"/>
    <w:rsid w:val="001828DB"/>
    <w:rsid w:val="001850FE"/>
    <w:rsid w:val="00185135"/>
    <w:rsid w:val="0019037C"/>
    <w:rsid w:val="001905A9"/>
    <w:rsid w:val="00191273"/>
    <w:rsid w:val="001942A7"/>
    <w:rsid w:val="0019587B"/>
    <w:rsid w:val="001A163D"/>
    <w:rsid w:val="001A441E"/>
    <w:rsid w:val="001A6733"/>
    <w:rsid w:val="001B030A"/>
    <w:rsid w:val="001B357F"/>
    <w:rsid w:val="001C3444"/>
    <w:rsid w:val="001C3702"/>
    <w:rsid w:val="001C4656"/>
    <w:rsid w:val="001C46BC"/>
    <w:rsid w:val="001C48D3"/>
    <w:rsid w:val="001D1E06"/>
    <w:rsid w:val="001D5E71"/>
    <w:rsid w:val="001E5219"/>
    <w:rsid w:val="001F23E6"/>
    <w:rsid w:val="001F4238"/>
    <w:rsid w:val="00200A38"/>
    <w:rsid w:val="00200A46"/>
    <w:rsid w:val="00211B6F"/>
    <w:rsid w:val="00217CC3"/>
    <w:rsid w:val="00220AB6"/>
    <w:rsid w:val="0022120F"/>
    <w:rsid w:val="0022754A"/>
    <w:rsid w:val="00236560"/>
    <w:rsid w:val="0023662E"/>
    <w:rsid w:val="00245D0F"/>
    <w:rsid w:val="00251EB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147"/>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365A"/>
    <w:rsid w:val="00386A89"/>
    <w:rsid w:val="003945AA"/>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37AF"/>
    <w:rsid w:val="00404424"/>
    <w:rsid w:val="0041156B"/>
    <w:rsid w:val="004122C5"/>
    <w:rsid w:val="00413B78"/>
    <w:rsid w:val="00416DDE"/>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E785D"/>
    <w:rsid w:val="004F46AA"/>
    <w:rsid w:val="004F6A70"/>
    <w:rsid w:val="00500AD7"/>
    <w:rsid w:val="00502ABF"/>
    <w:rsid w:val="00504DB0"/>
    <w:rsid w:val="00507C35"/>
    <w:rsid w:val="00510514"/>
    <w:rsid w:val="00510735"/>
    <w:rsid w:val="005125E5"/>
    <w:rsid w:val="00514D2F"/>
    <w:rsid w:val="00541E8A"/>
    <w:rsid w:val="0054420E"/>
    <w:rsid w:val="00544D1B"/>
    <w:rsid w:val="00545DC0"/>
    <w:rsid w:val="00545F6C"/>
    <w:rsid w:val="005477D9"/>
    <w:rsid w:val="0055720C"/>
    <w:rsid w:val="00561796"/>
    <w:rsid w:val="005632DD"/>
    <w:rsid w:val="0056423B"/>
    <w:rsid w:val="00571694"/>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D7EED"/>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6288F"/>
    <w:rsid w:val="00671EF6"/>
    <w:rsid w:val="0067205B"/>
    <w:rsid w:val="006748F8"/>
    <w:rsid w:val="00680489"/>
    <w:rsid w:val="00683C32"/>
    <w:rsid w:val="00690BB2"/>
    <w:rsid w:val="00693D09"/>
    <w:rsid w:val="006A6549"/>
    <w:rsid w:val="006A7710"/>
    <w:rsid w:val="006A7A61"/>
    <w:rsid w:val="006B1E59"/>
    <w:rsid w:val="006B2FFB"/>
    <w:rsid w:val="006B5AA9"/>
    <w:rsid w:val="006C10A2"/>
    <w:rsid w:val="006C1F18"/>
    <w:rsid w:val="006D40D5"/>
    <w:rsid w:val="006F009A"/>
    <w:rsid w:val="006F3D93"/>
    <w:rsid w:val="00700F2B"/>
    <w:rsid w:val="007019B1"/>
    <w:rsid w:val="00721657"/>
    <w:rsid w:val="007279A8"/>
    <w:rsid w:val="00727B1A"/>
    <w:rsid w:val="00741337"/>
    <w:rsid w:val="00752258"/>
    <w:rsid w:val="007529E1"/>
    <w:rsid w:val="00762880"/>
    <w:rsid w:val="00762AD6"/>
    <w:rsid w:val="00762E02"/>
    <w:rsid w:val="00772290"/>
    <w:rsid w:val="00777265"/>
    <w:rsid w:val="007805E7"/>
    <w:rsid w:val="00780BCD"/>
    <w:rsid w:val="0078222A"/>
    <w:rsid w:val="00787D48"/>
    <w:rsid w:val="00793C6C"/>
    <w:rsid w:val="00795294"/>
    <w:rsid w:val="007A4E50"/>
    <w:rsid w:val="007A7D3C"/>
    <w:rsid w:val="007B18A7"/>
    <w:rsid w:val="007B250E"/>
    <w:rsid w:val="007C27FC"/>
    <w:rsid w:val="007C51FF"/>
    <w:rsid w:val="007C7EF5"/>
    <w:rsid w:val="007D50E4"/>
    <w:rsid w:val="007E2DC5"/>
    <w:rsid w:val="007E3391"/>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0AD9"/>
    <w:rsid w:val="008C4010"/>
    <w:rsid w:val="008C4FDF"/>
    <w:rsid w:val="008C6B1F"/>
    <w:rsid w:val="008D5E4F"/>
    <w:rsid w:val="008E34F0"/>
    <w:rsid w:val="008F14F5"/>
    <w:rsid w:val="008F71C1"/>
    <w:rsid w:val="00902D41"/>
    <w:rsid w:val="00902F49"/>
    <w:rsid w:val="00904230"/>
    <w:rsid w:val="00914004"/>
    <w:rsid w:val="00921A30"/>
    <w:rsid w:val="00922EC1"/>
    <w:rsid w:val="00923CF1"/>
    <w:rsid w:val="009301F1"/>
    <w:rsid w:val="009307DF"/>
    <w:rsid w:val="009359B8"/>
    <w:rsid w:val="00935FF0"/>
    <w:rsid w:val="009431F8"/>
    <w:rsid w:val="00946023"/>
    <w:rsid w:val="00947A35"/>
    <w:rsid w:val="00952667"/>
    <w:rsid w:val="0096201B"/>
    <w:rsid w:val="00962081"/>
    <w:rsid w:val="0096447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D6733"/>
    <w:rsid w:val="009E2750"/>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66C4C"/>
    <w:rsid w:val="00A67E68"/>
    <w:rsid w:val="00A705E8"/>
    <w:rsid w:val="00A721F4"/>
    <w:rsid w:val="00A9392C"/>
    <w:rsid w:val="00A9462B"/>
    <w:rsid w:val="00A97D59"/>
    <w:rsid w:val="00AA3E09"/>
    <w:rsid w:val="00AA4BEF"/>
    <w:rsid w:val="00AB1659"/>
    <w:rsid w:val="00AB4962"/>
    <w:rsid w:val="00AB734E"/>
    <w:rsid w:val="00AB740F"/>
    <w:rsid w:val="00AC2BF7"/>
    <w:rsid w:val="00AC4C31"/>
    <w:rsid w:val="00AC6F14"/>
    <w:rsid w:val="00AC7221"/>
    <w:rsid w:val="00AD4677"/>
    <w:rsid w:val="00AD6CBD"/>
    <w:rsid w:val="00AE5961"/>
    <w:rsid w:val="00AF0745"/>
    <w:rsid w:val="00AF4971"/>
    <w:rsid w:val="00AF5276"/>
    <w:rsid w:val="00AF7C86"/>
    <w:rsid w:val="00B01046"/>
    <w:rsid w:val="00B310F9"/>
    <w:rsid w:val="00B33780"/>
    <w:rsid w:val="00B37866"/>
    <w:rsid w:val="00B412FB"/>
    <w:rsid w:val="00B4576B"/>
    <w:rsid w:val="00B46350"/>
    <w:rsid w:val="00B46DF3"/>
    <w:rsid w:val="00B53A29"/>
    <w:rsid w:val="00B55ED2"/>
    <w:rsid w:val="00B648C7"/>
    <w:rsid w:val="00B66E8F"/>
    <w:rsid w:val="00B80157"/>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79F0"/>
    <w:rsid w:val="00BE2B4D"/>
    <w:rsid w:val="00BF798B"/>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0022"/>
    <w:rsid w:val="00C81790"/>
    <w:rsid w:val="00C83230"/>
    <w:rsid w:val="00C848EF"/>
    <w:rsid w:val="00C86600"/>
    <w:rsid w:val="00C87BCA"/>
    <w:rsid w:val="00C87EED"/>
    <w:rsid w:val="00C94506"/>
    <w:rsid w:val="00C954BC"/>
    <w:rsid w:val="00CA1F0B"/>
    <w:rsid w:val="00CA3BF2"/>
    <w:rsid w:val="00CB110F"/>
    <w:rsid w:val="00CB2A2E"/>
    <w:rsid w:val="00CB338A"/>
    <w:rsid w:val="00CB79C5"/>
    <w:rsid w:val="00CC3D29"/>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25ABA"/>
    <w:rsid w:val="00D35BDD"/>
    <w:rsid w:val="00D63006"/>
    <w:rsid w:val="00D72301"/>
    <w:rsid w:val="00D911DE"/>
    <w:rsid w:val="00D91B97"/>
    <w:rsid w:val="00D93ACC"/>
    <w:rsid w:val="00D93C08"/>
    <w:rsid w:val="00D95DAC"/>
    <w:rsid w:val="00DA0B53"/>
    <w:rsid w:val="00DB1171"/>
    <w:rsid w:val="00DB1519"/>
    <w:rsid w:val="00DB2840"/>
    <w:rsid w:val="00DB5A08"/>
    <w:rsid w:val="00DC1BD3"/>
    <w:rsid w:val="00DC2C1A"/>
    <w:rsid w:val="00DD66B4"/>
    <w:rsid w:val="00DD754B"/>
    <w:rsid w:val="00DE1972"/>
    <w:rsid w:val="00DE27AB"/>
    <w:rsid w:val="00DF2AB3"/>
    <w:rsid w:val="00DF7250"/>
    <w:rsid w:val="00E00CAA"/>
    <w:rsid w:val="00E03EBF"/>
    <w:rsid w:val="00E05209"/>
    <w:rsid w:val="00E05AC1"/>
    <w:rsid w:val="00E11BCF"/>
    <w:rsid w:val="00E133A7"/>
    <w:rsid w:val="00E2258E"/>
    <w:rsid w:val="00E24DE9"/>
    <w:rsid w:val="00E25345"/>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57A8"/>
    <w:rsid w:val="00E86933"/>
    <w:rsid w:val="00E950F8"/>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14147"/>
    <w:rsid w:val="00F204F3"/>
    <w:rsid w:val="00F218AB"/>
    <w:rsid w:val="00F21D10"/>
    <w:rsid w:val="00F238B3"/>
    <w:rsid w:val="00F24FED"/>
    <w:rsid w:val="00F25586"/>
    <w:rsid w:val="00F2651D"/>
    <w:rsid w:val="00F27362"/>
    <w:rsid w:val="00F31498"/>
    <w:rsid w:val="00F32FEF"/>
    <w:rsid w:val="00F3719C"/>
    <w:rsid w:val="00F41B1C"/>
    <w:rsid w:val="00F42E13"/>
    <w:rsid w:val="00F42F1C"/>
    <w:rsid w:val="00F43B44"/>
    <w:rsid w:val="00F440E5"/>
    <w:rsid w:val="00F448F6"/>
    <w:rsid w:val="00F51C38"/>
    <w:rsid w:val="00F52741"/>
    <w:rsid w:val="00F53D8A"/>
    <w:rsid w:val="00F61294"/>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C817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D22-TDAG32-C-0035/fr" TargetMode="External"/><Relationship Id="rId18" Type="http://schemas.openxmlformats.org/officeDocument/2006/relationships/hyperlink" Target="https://www.itu.int/en/general-secretariat/ties/ISCGDocumentLibrary/Liaisons%20Statements%20on%20Inter-Sectoral%20Coordination%20Activities/Mapping-of-Resolutions-Updated%20Dec2024.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tu.int/md/D22-TDAG32-C-0034/fr" TargetMode="External"/><Relationship Id="rId2" Type="http://schemas.openxmlformats.org/officeDocument/2006/relationships/customXml" Target="../customXml/item2.xml"/><Relationship Id="rId16" Type="http://schemas.openxmlformats.org/officeDocument/2006/relationships/hyperlink" Target="https://www.itu.int/md/S25-CWGFHR20-C-0003/f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tu.int/md/S25-CWGFHR20-C-0024/f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tu.int/en/general-secretariat/Pages/ISCG/default.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general-secretariat/Pages/ISCG/default.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scg@itu.int" TargetMode="External"/><Relationship Id="rId1" Type="http://schemas.openxmlformats.org/officeDocument/2006/relationships/hyperlink" Target="mailto:fabio.bigi@virgilio.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2" ma:contentTypeDescription="Create a new document." ma:contentTypeScope="" ma:versionID="c49fd03f119fe2623b7823d101cc7060">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27ae6710a8408fec3d5e7ff7ec192687"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000670-633D-4F9E-9C1D-E70D7D1C056E}">
  <ds:schemaRefs>
    <ds:schemaRef ds:uri="http://schemas.microsoft.com/sharepoint/v3/contenttype/forms"/>
  </ds:schemaRefs>
</ds:datastoreItem>
</file>

<file path=customXml/itemProps2.xml><?xml version="1.0" encoding="utf-8"?>
<ds:datastoreItem xmlns:ds="http://schemas.openxmlformats.org/officeDocument/2006/customXml" ds:itemID="{18DC8827-3E97-4249-BE7D-514951B616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2BB1AA-1BE5-470E-9C9E-C1004C2937AF}">
  <ds:schemaRefs>
    <ds:schemaRef ds:uri="http://schemas.openxmlformats.org/officeDocument/2006/bibliography"/>
  </ds:schemaRefs>
</ds:datastoreItem>
</file>

<file path=customXml/itemProps4.xml><?xml version="1.0" encoding="utf-8"?>
<ds:datastoreItem xmlns:ds="http://schemas.openxmlformats.org/officeDocument/2006/customXml" ds:itemID="{04AFF22B-E34E-4D13-BF0E-743F259223B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Pages>
  <Words>1315</Words>
  <Characters>7967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French</cp:lastModifiedBy>
  <cp:revision>12</cp:revision>
  <cp:lastPrinted>2014-11-04T09:22:00Z</cp:lastPrinted>
  <dcterms:created xsi:type="dcterms:W3CDTF">2025-04-30T12:25:00Z</dcterms:created>
  <dcterms:modified xsi:type="dcterms:W3CDTF">2025-05-01T07:35:00Z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