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F112F12">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57ABE91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F112F12">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F112F12">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08B3B090" w:rsidR="005B718F" w:rsidRPr="003E38FE" w:rsidRDefault="005B718F" w:rsidP="0F112F12">
            <w:pPr>
              <w:tabs>
                <w:tab w:val="left" w:pos="851"/>
              </w:tabs>
              <w:spacing w:before="0" w:line="240" w:lineRule="atLeast"/>
              <w:rPr>
                <w:rFonts w:cstheme="minorBidi"/>
              </w:rPr>
            </w:pPr>
            <w:r w:rsidRPr="0F112F12">
              <w:rPr>
                <w:b/>
                <w:bCs/>
                <w:lang w:val="en-US"/>
              </w:rPr>
              <w:t xml:space="preserve">Document </w:t>
            </w:r>
            <w:bookmarkStart w:id="4" w:name="DocRef1"/>
            <w:bookmarkEnd w:id="4"/>
            <w:r w:rsidRPr="0F112F12">
              <w:rPr>
                <w:b/>
                <w:bCs/>
                <w:lang w:val="en-US"/>
              </w:rPr>
              <w:t>TDAG-25/</w:t>
            </w:r>
            <w:bookmarkStart w:id="5" w:name="DocNo1"/>
            <w:bookmarkEnd w:id="5"/>
            <w:r w:rsidR="00EA1053" w:rsidRPr="0F112F12">
              <w:rPr>
                <w:b/>
                <w:bCs/>
                <w:lang w:val="en-US"/>
              </w:rPr>
              <w:t>2</w:t>
            </w:r>
            <w:r w:rsidR="383C9FA2" w:rsidRPr="0F112F12">
              <w:rPr>
                <w:b/>
                <w:bCs/>
                <w:lang w:val="en-US"/>
              </w:rPr>
              <w:t>3</w:t>
            </w:r>
            <w:r w:rsidRPr="0F112F12">
              <w:rPr>
                <w:b/>
                <w:bCs/>
                <w:lang w:val="en-US"/>
              </w:rPr>
              <w:t>-E</w:t>
            </w:r>
          </w:p>
        </w:tc>
      </w:tr>
      <w:tr w:rsidR="005B718F" w:rsidRPr="00403C69" w14:paraId="55AD5FBA" w14:textId="77777777" w:rsidTr="0F112F12">
        <w:trPr>
          <w:cantSplit/>
          <w:trHeight w:val="23"/>
        </w:trPr>
        <w:tc>
          <w:tcPr>
            <w:tcW w:w="6663" w:type="dxa"/>
            <w:gridSpan w:val="2"/>
            <w:shd w:val="clear" w:color="auto" w:fill="auto"/>
          </w:tcPr>
          <w:p w14:paraId="0E170520" w14:textId="77777777" w:rsidR="005B718F" w:rsidRPr="004141F3"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EA7C2CB" w:rsidR="005B718F" w:rsidRPr="004141F3" w:rsidRDefault="00BC1F61" w:rsidP="005B718F">
            <w:pPr>
              <w:spacing w:before="0" w:line="240" w:lineRule="atLeast"/>
              <w:rPr>
                <w:rFonts w:cstheme="minorHAnsi"/>
                <w:szCs w:val="24"/>
              </w:rPr>
            </w:pPr>
            <w:r w:rsidRPr="004141F3">
              <w:rPr>
                <w:b/>
                <w:bCs/>
                <w:szCs w:val="28"/>
              </w:rPr>
              <w:t>28</w:t>
            </w:r>
            <w:r w:rsidR="00500A23" w:rsidRPr="004141F3">
              <w:rPr>
                <w:b/>
                <w:bCs/>
                <w:szCs w:val="28"/>
              </w:rPr>
              <w:t xml:space="preserve"> </w:t>
            </w:r>
            <w:r w:rsidR="006B18DC" w:rsidRPr="004141F3">
              <w:rPr>
                <w:b/>
                <w:bCs/>
                <w:szCs w:val="28"/>
              </w:rPr>
              <w:t>March</w:t>
            </w:r>
            <w:r w:rsidR="00500A23" w:rsidRPr="004141F3">
              <w:rPr>
                <w:b/>
                <w:bCs/>
                <w:szCs w:val="28"/>
              </w:rPr>
              <w:t xml:space="preserve"> 2025</w:t>
            </w:r>
          </w:p>
        </w:tc>
      </w:tr>
      <w:bookmarkEnd w:id="6"/>
      <w:bookmarkEnd w:id="7"/>
      <w:tr w:rsidR="005B718F" w:rsidRPr="00403C69" w14:paraId="07260C0B" w14:textId="77777777" w:rsidTr="0F112F12">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103DDE2C" w:rsidR="005B718F" w:rsidRPr="00403C69" w:rsidRDefault="004141F3" w:rsidP="005B718F">
            <w:pPr>
              <w:tabs>
                <w:tab w:val="left" w:pos="993"/>
              </w:tabs>
              <w:spacing w:before="0"/>
              <w:rPr>
                <w:rFonts w:cstheme="minorHAnsi"/>
                <w:b/>
                <w:szCs w:val="24"/>
              </w:rPr>
            </w:pPr>
            <w:r>
              <w:rPr>
                <w:b/>
                <w:bCs/>
                <w:szCs w:val="24"/>
              </w:rPr>
              <w:t xml:space="preserve">Original: </w:t>
            </w:r>
            <w:r w:rsidR="005B718F" w:rsidRPr="00403C69">
              <w:rPr>
                <w:b/>
                <w:bCs/>
                <w:szCs w:val="24"/>
              </w:rPr>
              <w:t>English</w:t>
            </w:r>
          </w:p>
        </w:tc>
      </w:tr>
      <w:tr w:rsidR="00423F10" w:rsidRPr="00403C69" w14:paraId="35F96F24" w14:textId="77777777" w:rsidTr="0F112F12">
        <w:trPr>
          <w:cantSplit/>
          <w:trHeight w:val="23"/>
        </w:trPr>
        <w:tc>
          <w:tcPr>
            <w:tcW w:w="10031" w:type="dxa"/>
            <w:gridSpan w:val="4"/>
            <w:shd w:val="clear" w:color="auto" w:fill="auto"/>
          </w:tcPr>
          <w:p w14:paraId="59A8A61C" w14:textId="1B0F0182" w:rsidR="00423F10" w:rsidRPr="00403C69" w:rsidRDefault="0063431D" w:rsidP="00423F10">
            <w:pPr>
              <w:pStyle w:val="Source"/>
              <w:spacing w:before="240" w:after="240"/>
            </w:pPr>
            <w:bookmarkStart w:id="8" w:name="dbluepink" w:colFirst="0" w:colLast="0"/>
            <w:bookmarkStart w:id="9" w:name="dorlang" w:colFirst="1" w:colLast="1"/>
            <w:r w:rsidRPr="0063431D">
              <w:t xml:space="preserve">Chair, </w:t>
            </w:r>
            <w:r w:rsidR="00BC1F61">
              <w:t>Inter-Sector Coordination Group (</w:t>
            </w:r>
            <w:r w:rsidR="00BE2BC1">
              <w:t>ISCG)</w:t>
            </w:r>
          </w:p>
        </w:tc>
      </w:tr>
      <w:tr w:rsidR="00423F10" w:rsidRPr="00403C69" w14:paraId="7EDE1565" w14:textId="77777777" w:rsidTr="0F112F12">
        <w:trPr>
          <w:cantSplit/>
          <w:trHeight w:val="23"/>
        </w:trPr>
        <w:tc>
          <w:tcPr>
            <w:tcW w:w="10031" w:type="dxa"/>
            <w:gridSpan w:val="4"/>
            <w:shd w:val="clear" w:color="auto" w:fill="auto"/>
          </w:tcPr>
          <w:p w14:paraId="3D29924B" w14:textId="2F77E3B1" w:rsidR="00423F10" w:rsidRPr="00423F10" w:rsidRDefault="00BE2BC1" w:rsidP="00FA03C9">
            <w:pPr>
              <w:pStyle w:val="Title1"/>
              <w:spacing w:before="120" w:after="120"/>
              <w:rPr>
                <w:caps w:val="0"/>
              </w:rPr>
            </w:pPr>
            <w:r>
              <w:rPr>
                <w:caps w:val="0"/>
              </w:rPr>
              <w:t>Progress Report</w:t>
            </w:r>
          </w:p>
        </w:tc>
      </w:tr>
      <w:tr w:rsidR="008A75AD" w:rsidRPr="00403C69" w14:paraId="4FBA7816" w14:textId="77777777" w:rsidTr="0F112F12">
        <w:trPr>
          <w:cantSplit/>
          <w:trHeight w:val="23"/>
        </w:trPr>
        <w:tc>
          <w:tcPr>
            <w:tcW w:w="10031" w:type="dxa"/>
            <w:gridSpan w:val="4"/>
            <w:shd w:val="clear" w:color="auto" w:fill="auto"/>
            <w:vAlign w:val="center"/>
          </w:tcPr>
          <w:p w14:paraId="0E683B60" w14:textId="77777777" w:rsidR="008A75AD" w:rsidRPr="00D038D5" w:rsidRDefault="008A75AD" w:rsidP="00FA1D7B">
            <w:pPr>
              <w:pStyle w:val="Title1"/>
              <w:spacing w:before="120" w:after="120"/>
              <w:jc w:val="left"/>
              <w:rPr>
                <w:caps w:val="0"/>
                <w:szCs w:val="28"/>
              </w:rPr>
            </w:pPr>
          </w:p>
        </w:tc>
      </w:tr>
      <w:tr w:rsidR="00C77589" w:rsidRPr="00403C69" w14:paraId="557B967D" w14:textId="77777777" w:rsidTr="0F112F12">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1C24A2F4" w:rsidR="00847DA9" w:rsidRDefault="007669C0" w:rsidP="00847DA9">
            <w:pPr>
              <w:spacing w:after="120"/>
            </w:pPr>
            <w:r w:rsidRPr="007669C0">
              <w:t>Th</w:t>
            </w:r>
            <w:r>
              <w:t xml:space="preserve">is document presents the </w:t>
            </w:r>
            <w:r w:rsidR="003161F5">
              <w:t>progress of the work of the Inter-Sector Coordination Group (ISCG)</w:t>
            </w:r>
            <w:r w:rsidR="005A153C">
              <w:t xml:space="preserve"> since </w:t>
            </w:r>
            <w:r w:rsidR="004B0974">
              <w:t xml:space="preserve">the </w:t>
            </w:r>
            <w:r w:rsidR="005A153C">
              <w:t xml:space="preserve">last report </w:t>
            </w:r>
            <w:r w:rsidR="004B0974">
              <w:t xml:space="preserve">presented </w:t>
            </w:r>
            <w:r w:rsidR="00BD38EC">
              <w:t xml:space="preserve">to Telecommunication Development </w:t>
            </w:r>
            <w:r w:rsidRPr="007669C0">
              <w:t>Advisory Group (</w:t>
            </w:r>
            <w:r w:rsidR="00BD38EC">
              <w:t>TD</w:t>
            </w:r>
            <w:r w:rsidRPr="007669C0">
              <w:t xml:space="preserve">AG) </w:t>
            </w:r>
            <w:r w:rsidR="00BD38EC">
              <w:t xml:space="preserve">in </w:t>
            </w:r>
            <w:r w:rsidRPr="007669C0">
              <w:t>2024</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7F37C9E3" w:rsidR="00FF220A" w:rsidRDefault="00FF220A">
      <w:pPr>
        <w:tabs>
          <w:tab w:val="clear" w:pos="1134"/>
          <w:tab w:val="clear" w:pos="1871"/>
          <w:tab w:val="clear" w:pos="2268"/>
        </w:tabs>
        <w:overflowPunct/>
        <w:autoSpaceDE/>
        <w:autoSpaceDN/>
        <w:adjustRightInd/>
        <w:spacing w:before="0"/>
        <w:textAlignment w:val="auto"/>
        <w:rPr>
          <w:szCs w:val="24"/>
        </w:rPr>
      </w:pPr>
    </w:p>
    <w:p w14:paraId="76541729" w14:textId="77777777" w:rsidR="00802548" w:rsidRDefault="00802548">
      <w:pPr>
        <w:tabs>
          <w:tab w:val="clear" w:pos="1134"/>
          <w:tab w:val="clear" w:pos="1871"/>
          <w:tab w:val="clear" w:pos="2268"/>
        </w:tabs>
        <w:overflowPunct/>
        <w:autoSpaceDE/>
        <w:autoSpaceDN/>
        <w:adjustRightInd/>
        <w:spacing w:before="0"/>
        <w:textAlignment w:val="auto"/>
        <w:rPr>
          <w:b/>
          <w:bCs/>
        </w:rPr>
      </w:pPr>
      <w:r>
        <w:rPr>
          <w:b/>
          <w:bCs/>
        </w:rPr>
        <w:br w:type="page"/>
      </w:r>
    </w:p>
    <w:p w14:paraId="03DB40FB" w14:textId="74BC4947" w:rsidR="00E86FB1" w:rsidRPr="00080FCE" w:rsidRDefault="00E86FB1" w:rsidP="00802548">
      <w:pPr>
        <w:spacing w:after="120"/>
        <w:rPr>
          <w:b/>
          <w:bCs/>
        </w:rPr>
      </w:pPr>
      <w:r w:rsidRPr="00080FCE">
        <w:rPr>
          <w:b/>
          <w:bCs/>
        </w:rPr>
        <w:lastRenderedPageBreak/>
        <w:t>Introduction</w:t>
      </w:r>
    </w:p>
    <w:p w14:paraId="0D5897B5" w14:textId="74AB0E82" w:rsidR="00E86FB1" w:rsidRDefault="00E86FB1" w:rsidP="00802548">
      <w:pPr>
        <w:spacing w:after="120"/>
      </w:pPr>
      <w:r>
        <w:t xml:space="preserve">The Chair of the Inter-Sector Coordination Group (ISCG) </w:t>
      </w:r>
      <w:r w:rsidRPr="001334C0">
        <w:t>on issues of mutual interest</w:t>
      </w:r>
      <w:r>
        <w:t xml:space="preserve">, Mr. Fabio Bigi, </w:t>
      </w:r>
      <w:r w:rsidRPr="0076263E">
        <w:t xml:space="preserve">would like to present an update on the ISCG's work progress to the </w:t>
      </w:r>
      <w:r w:rsidR="00612B34">
        <w:t xml:space="preserve">Telecommunication </w:t>
      </w:r>
      <w:r w:rsidR="00F236B9">
        <w:t xml:space="preserve">Development </w:t>
      </w:r>
      <w:r w:rsidRPr="0076263E">
        <w:t>Advisory Group (</w:t>
      </w:r>
      <w:r w:rsidR="00F236B9">
        <w:t>TD</w:t>
      </w:r>
      <w:r w:rsidRPr="0076263E">
        <w:t xml:space="preserve">AG) since </w:t>
      </w:r>
      <w:r>
        <w:t>its</w:t>
      </w:r>
      <w:r w:rsidRPr="0076263E">
        <w:t xml:space="preserve"> last meeting in May 2024.</w:t>
      </w:r>
    </w:p>
    <w:p w14:paraId="1AC0A8EA" w14:textId="528468EE" w:rsidR="00E86FB1" w:rsidRDefault="00E86FB1" w:rsidP="00802548">
      <w:pPr>
        <w:spacing w:after="120"/>
      </w:pPr>
      <w:r>
        <w:t xml:space="preserve">The ISCG Chair would also like to inform that the group’s Terms of Reference were updated and approved during its last meeting held on 12 February 2025. A Liaison Statement was sent to the Sectors’ advisory groups for information (see document </w:t>
      </w:r>
      <w:hyperlink r:id="rId13" w:history="1">
        <w:r w:rsidR="00413AB2" w:rsidRPr="002B0BF8">
          <w:rPr>
            <w:rStyle w:val="Hyperlink"/>
          </w:rPr>
          <w:t>TDAG-25/35</w:t>
        </w:r>
      </w:hyperlink>
      <w:r>
        <w:t>).</w:t>
      </w:r>
    </w:p>
    <w:p w14:paraId="6C1CC849" w14:textId="77777777" w:rsidR="00E86FB1" w:rsidRDefault="00E86FB1" w:rsidP="00802548">
      <w:pPr>
        <w:spacing w:after="120"/>
      </w:pPr>
      <w:r>
        <w:t>A</w:t>
      </w:r>
      <w:r w:rsidRPr="001334C0">
        <w:t xml:space="preserve">ll documents presented and discussed during the </w:t>
      </w:r>
      <w:r>
        <w:t xml:space="preserve">ISCG </w:t>
      </w:r>
      <w:r w:rsidRPr="001334C0">
        <w:t>meeting</w:t>
      </w:r>
      <w:r>
        <w:t xml:space="preserve">s </w:t>
      </w:r>
      <w:r w:rsidRPr="001334C0">
        <w:t xml:space="preserve">can be </w:t>
      </w:r>
      <w:r>
        <w:t xml:space="preserve">access through </w:t>
      </w:r>
      <w:r w:rsidRPr="001334C0">
        <w:t xml:space="preserve">the </w:t>
      </w:r>
      <w:hyperlink r:id="rId14" w:history="1">
        <w:r w:rsidRPr="001334C0">
          <w:rPr>
            <w:color w:val="0000FF"/>
            <w:u w:val="single"/>
          </w:rPr>
          <w:t>ISCG webpage</w:t>
        </w:r>
      </w:hyperlink>
      <w:r>
        <w:t>, including the Terms of Reference and the ISCG contact details</w:t>
      </w:r>
      <w:r w:rsidRPr="008F1ACA">
        <w:t>.</w:t>
      </w:r>
    </w:p>
    <w:p w14:paraId="58857C81" w14:textId="77777777" w:rsidR="00E86FB1" w:rsidRPr="0076263E" w:rsidRDefault="00E86FB1" w:rsidP="00802548">
      <w:pPr>
        <w:spacing w:after="120"/>
        <w:rPr>
          <w:b/>
          <w:bCs/>
        </w:rPr>
      </w:pPr>
      <w:r w:rsidRPr="0076263E">
        <w:rPr>
          <w:b/>
          <w:bCs/>
        </w:rPr>
        <w:t>Main discussions</w:t>
      </w:r>
    </w:p>
    <w:p w14:paraId="14064E69" w14:textId="77777777" w:rsidR="00E86FB1" w:rsidRDefault="00E86FB1" w:rsidP="00802548">
      <w:pPr>
        <w:spacing w:after="120"/>
      </w:pPr>
      <w:r>
        <w:t>The ISCG continues to address the following topics:</w:t>
      </w:r>
    </w:p>
    <w:p w14:paraId="50FADB0D" w14:textId="77777777" w:rsidR="00E86FB1" w:rsidRDefault="00E86FB1" w:rsidP="004412F4">
      <w:pPr>
        <w:pStyle w:val="ListParagraph"/>
        <w:numPr>
          <w:ilvl w:val="0"/>
          <w:numId w:val="1"/>
        </w:numPr>
        <w:tabs>
          <w:tab w:val="clear" w:pos="1134"/>
          <w:tab w:val="clear" w:pos="1871"/>
          <w:tab w:val="clear" w:pos="2268"/>
          <w:tab w:val="left" w:pos="794"/>
          <w:tab w:val="left" w:pos="1191"/>
          <w:tab w:val="left" w:pos="1588"/>
          <w:tab w:val="left" w:pos="1985"/>
        </w:tabs>
        <w:spacing w:after="120"/>
        <w:contextualSpacing w:val="0"/>
      </w:pPr>
      <w:r w:rsidRPr="00E92541">
        <w:rPr>
          <w:i/>
          <w:iCs/>
        </w:rPr>
        <w:t>Accessibility</w:t>
      </w:r>
      <w:r>
        <w:t xml:space="preserve">: </w:t>
      </w:r>
      <w:r w:rsidRPr="00646A9E">
        <w:t>The ISCG has been actively monitoring discussions on enhancing ITU meetings, particularly focusing on remote participation and captioning services.</w:t>
      </w:r>
    </w:p>
    <w:p w14:paraId="42B25172" w14:textId="77777777" w:rsidR="00E86FB1" w:rsidRDefault="00E86FB1" w:rsidP="00802548">
      <w:pPr>
        <w:pStyle w:val="ListParagraph"/>
        <w:spacing w:after="120"/>
        <w:ind w:left="360"/>
        <w:contextualSpacing w:val="0"/>
      </w:pPr>
      <w:r>
        <w:t>For</w:t>
      </w:r>
      <w:r w:rsidRPr="00646A9E">
        <w:t xml:space="preserve"> 2024, the ITU secretariat reported that captioning was u</w:t>
      </w:r>
      <w:r>
        <w:t>sed</w:t>
      </w:r>
      <w:r w:rsidRPr="00646A9E">
        <w:t xml:space="preserve"> in 14 ITU-R meetings, 12 ITU-T meetings, 35 ITU-D meetings, as well as in Council and WSIS sessions. While captioning can be provided for any meeting session, its availability is contingent on the allocated budget. There is no centralized policy for captioning across ITU; each meeting organizer decides whether to use human or AI captioning. Currently, human captioning is preferred for its quality, though AI captioning is improving and is expected to become more cost-effective. The cost of human captioning varies, ranging from approximately $750 for three hours of remote captioning to over $2,000 for on-site services. AI captioning has been tested with several suppliers but is not yet approved for official meetings, although there is interest in continuing trials. ITU will continue to test AI tools for captioning and seek feedback from members.</w:t>
      </w:r>
    </w:p>
    <w:p w14:paraId="4DEB6671" w14:textId="77777777" w:rsidR="00E86FB1" w:rsidRPr="009A3B69" w:rsidRDefault="00E86FB1" w:rsidP="00802548">
      <w:pPr>
        <w:pStyle w:val="ListParagraph"/>
        <w:spacing w:after="120"/>
        <w:ind w:left="360"/>
        <w:contextualSpacing w:val="0"/>
      </w:pPr>
      <w:r w:rsidRPr="00646A9E">
        <w:t>The ISCG has proposed to the Council Working Group for Financial and Human Resources (CGW-FHR) to include a paragraph in all circular letters inviting participants to ITU meetings, highlighting the option to request captioning services (see document</w:t>
      </w:r>
      <w:r>
        <w:t xml:space="preserve"> </w:t>
      </w:r>
      <w:hyperlink r:id="rId15" w:history="1">
        <w:r w:rsidRPr="009A3B69">
          <w:rPr>
            <w:color w:val="0563C1"/>
            <w:u w:val="single"/>
          </w:rPr>
          <w:t>CWG-FHR-20/2</w:t>
        </w:r>
      </w:hyperlink>
      <w:r>
        <w:t>).</w:t>
      </w:r>
    </w:p>
    <w:p w14:paraId="5AC5E9B2" w14:textId="404A4BCA" w:rsidR="00E86FB1" w:rsidRDefault="00E86FB1" w:rsidP="00802548">
      <w:pPr>
        <w:pStyle w:val="ListParagraph"/>
        <w:overflowPunct/>
        <w:autoSpaceDE/>
        <w:autoSpaceDN/>
        <w:adjustRightInd/>
        <w:spacing w:after="120"/>
        <w:ind w:left="360"/>
        <w:contextualSpacing w:val="0"/>
        <w:textAlignment w:val="auto"/>
      </w:pPr>
      <w:r w:rsidRPr="00646A9E">
        <w:t xml:space="preserve">With the recent retirement of the </w:t>
      </w:r>
      <w:r w:rsidR="00BC0496">
        <w:t xml:space="preserve">ISCG’s </w:t>
      </w:r>
      <w:r w:rsidRPr="00646A9E">
        <w:t>Accessibility Coordinator, Ms. Andrea Sacks, a new appointment should be agreed upon by the Sectors’ advisory groups.</w:t>
      </w:r>
    </w:p>
    <w:p w14:paraId="11F66C73" w14:textId="77777777" w:rsidR="00E86FB1" w:rsidRDefault="00E86FB1" w:rsidP="004412F4">
      <w:pPr>
        <w:pStyle w:val="ListParagraph"/>
        <w:numPr>
          <w:ilvl w:val="0"/>
          <w:numId w:val="1"/>
        </w:numPr>
        <w:tabs>
          <w:tab w:val="clear" w:pos="1134"/>
          <w:tab w:val="clear" w:pos="1871"/>
          <w:tab w:val="clear" w:pos="2268"/>
        </w:tabs>
        <w:overflowPunct/>
        <w:autoSpaceDE/>
        <w:autoSpaceDN/>
        <w:adjustRightInd/>
        <w:spacing w:after="120"/>
        <w:contextualSpacing w:val="0"/>
        <w:textAlignment w:val="auto"/>
        <w:rPr>
          <w:lang w:val="en-US"/>
        </w:rPr>
      </w:pPr>
      <w:r w:rsidRPr="00646A9E">
        <w:rPr>
          <w:i/>
          <w:iCs/>
          <w:lang w:val="en-US"/>
        </w:rPr>
        <w:t>Climate Change</w:t>
      </w:r>
      <w:r w:rsidRPr="00646A9E">
        <w:rPr>
          <w:lang w:val="en-US"/>
        </w:rPr>
        <w:t>: There is ongoing work related to climate change and artificial intelligence, including the development of recommendations for net-zero transition and the creation of an ITU database on global GHG emissions. Additionally, guidelines are being developed to assess the environmental impact of AI, considering both direct and indirect effects.</w:t>
      </w:r>
    </w:p>
    <w:p w14:paraId="35AB30F3" w14:textId="77777777" w:rsidR="00E86FB1" w:rsidRDefault="00E86FB1" w:rsidP="00802548">
      <w:pPr>
        <w:pStyle w:val="ListParagraph"/>
        <w:overflowPunct/>
        <w:autoSpaceDE/>
        <w:autoSpaceDN/>
        <w:adjustRightInd/>
        <w:spacing w:after="120"/>
        <w:ind w:left="360"/>
        <w:contextualSpacing w:val="0"/>
        <w:textAlignment w:val="auto"/>
        <w:rPr>
          <w:lang w:val="en-US"/>
        </w:rPr>
      </w:pPr>
      <w:r w:rsidRPr="00646A9E">
        <w:rPr>
          <w:lang w:val="en-US"/>
        </w:rPr>
        <w:t>During the last meeting, the Climate Change coordinator highlighted the collaboration between ITU-T and ITU-D on these topics and emphasized the potential benefits of AI solutions in areas such as agriculture and energy optimization, particularly for developing countries</w:t>
      </w:r>
      <w:r>
        <w:rPr>
          <w:lang w:val="en-US"/>
        </w:rPr>
        <w:t>.</w:t>
      </w:r>
    </w:p>
    <w:p w14:paraId="0381A476" w14:textId="77777777" w:rsidR="00E86FB1" w:rsidRDefault="00E86FB1" w:rsidP="00802548">
      <w:pPr>
        <w:pStyle w:val="ListParagraph"/>
        <w:overflowPunct/>
        <w:autoSpaceDE/>
        <w:autoSpaceDN/>
        <w:adjustRightInd/>
        <w:spacing w:after="120"/>
        <w:ind w:left="360"/>
        <w:contextualSpacing w:val="0"/>
        <w:textAlignment w:val="auto"/>
        <w:rPr>
          <w:lang w:val="en-US"/>
        </w:rPr>
      </w:pPr>
      <w:r w:rsidRPr="00646A9E">
        <w:rPr>
          <w:lang w:val="en-US"/>
        </w:rPr>
        <w:t xml:space="preserve">The RAG representative suggested organizing an informal meeting to further discuss this topic, and the </w:t>
      </w:r>
      <w:r>
        <w:rPr>
          <w:lang w:val="en-US"/>
        </w:rPr>
        <w:t xml:space="preserve">to invite the </w:t>
      </w:r>
      <w:r w:rsidRPr="00646A9E">
        <w:rPr>
          <w:lang w:val="en-US"/>
        </w:rPr>
        <w:t>Climate Change coordinator to join the rapporteur group on energy-efficient broadcasting.</w:t>
      </w:r>
    </w:p>
    <w:p w14:paraId="498AAB48" w14:textId="77777777" w:rsidR="00E86FB1" w:rsidRDefault="00E86FB1" w:rsidP="004412F4">
      <w:pPr>
        <w:pStyle w:val="ListParagraph"/>
        <w:numPr>
          <w:ilvl w:val="0"/>
          <w:numId w:val="1"/>
        </w:numPr>
        <w:tabs>
          <w:tab w:val="clear" w:pos="1134"/>
          <w:tab w:val="clear" w:pos="1871"/>
          <w:tab w:val="clear" w:pos="2268"/>
        </w:tabs>
        <w:overflowPunct/>
        <w:autoSpaceDE/>
        <w:autoSpaceDN/>
        <w:adjustRightInd/>
        <w:spacing w:after="120"/>
        <w:contextualSpacing w:val="0"/>
        <w:textAlignment w:val="auto"/>
        <w:rPr>
          <w:lang w:val="en-US"/>
        </w:rPr>
      </w:pPr>
      <w:r w:rsidRPr="00646A9E">
        <w:rPr>
          <w:i/>
          <w:iCs/>
          <w:lang w:val="en-US"/>
        </w:rPr>
        <w:t xml:space="preserve">Virtual meetings / Remote participation: </w:t>
      </w:r>
      <w:r w:rsidRPr="00646A9E">
        <w:rPr>
          <w:lang w:val="en-US"/>
        </w:rPr>
        <w:t>The Coordinator for this theme continues to monitor the work carried out by the Council Working Group for Financial and Human Resources and at the Council level.</w:t>
      </w:r>
    </w:p>
    <w:p w14:paraId="67D9B5CE" w14:textId="6D970717" w:rsidR="00E86FB1" w:rsidRPr="00646A9E" w:rsidRDefault="00E86FB1" w:rsidP="00802548">
      <w:pPr>
        <w:pStyle w:val="ListParagraph"/>
        <w:overflowPunct/>
        <w:autoSpaceDE/>
        <w:autoSpaceDN/>
        <w:adjustRightInd/>
        <w:spacing w:after="120"/>
        <w:ind w:left="360"/>
        <w:contextualSpacing w:val="0"/>
        <w:textAlignment w:val="auto"/>
        <w:rPr>
          <w:lang w:val="en-US"/>
        </w:rPr>
      </w:pPr>
      <w:r w:rsidRPr="00646A9E">
        <w:rPr>
          <w:lang w:val="en-US"/>
        </w:rPr>
        <w:lastRenderedPageBreak/>
        <w:t xml:space="preserve">The latest update includes the agreed </w:t>
      </w:r>
      <w:hyperlink r:id="rId16" w:history="1">
        <w:r w:rsidRPr="00646A9E">
          <w:rPr>
            <w:rStyle w:val="Hyperlink"/>
            <w:lang w:val="en-US"/>
          </w:rPr>
          <w:t>Draft guidelines on the management of fully virtual and physical meetings with remote participation at ITU in line with the implementation of Resolution 167 (Rev. Bucharest, 2022)</w:t>
        </w:r>
      </w:hyperlink>
      <w:r>
        <w:rPr>
          <w:lang w:val="en-US"/>
        </w:rPr>
        <w:t xml:space="preserve">. </w:t>
      </w:r>
      <w:r w:rsidRPr="00646A9E">
        <w:rPr>
          <w:lang w:val="en-US"/>
        </w:rPr>
        <w:t>These guidelines will be presented to Council 25 for approval. A Liaison Statement was sent from the ISCG to the Sectors’ advisory groups on this subject</w:t>
      </w:r>
      <w:r w:rsidR="00F17504">
        <w:rPr>
          <w:lang w:val="en-US"/>
        </w:rPr>
        <w:t xml:space="preserve"> (see document</w:t>
      </w:r>
      <w:r w:rsidR="006103D8">
        <w:rPr>
          <w:lang w:val="en-US"/>
        </w:rPr>
        <w:t xml:space="preserve"> </w:t>
      </w:r>
      <w:hyperlink r:id="rId17" w:history="1">
        <w:r w:rsidR="006103D8" w:rsidRPr="002F5FE9">
          <w:rPr>
            <w:rStyle w:val="Hyperlink"/>
            <w:lang w:val="en-US"/>
          </w:rPr>
          <w:t>TDAG-25/34</w:t>
        </w:r>
      </w:hyperlink>
      <w:r w:rsidRPr="00646A9E">
        <w:rPr>
          <w:lang w:val="en-US"/>
        </w:rPr>
        <w:t>).</w:t>
      </w:r>
    </w:p>
    <w:p w14:paraId="26209912" w14:textId="7474231E" w:rsidR="00E86FB1" w:rsidRDefault="00E86FB1" w:rsidP="00802548">
      <w:pPr>
        <w:overflowPunct/>
        <w:autoSpaceDE/>
        <w:autoSpaceDN/>
        <w:adjustRightInd/>
        <w:spacing w:after="120"/>
        <w:ind w:left="360"/>
        <w:textAlignment w:val="auto"/>
        <w:rPr>
          <w:lang w:val="en-US"/>
        </w:rPr>
      </w:pPr>
      <w:r w:rsidRPr="00646A9E">
        <w:rPr>
          <w:lang w:val="en-US"/>
        </w:rPr>
        <w:t xml:space="preserve">Additionally, the ITU secretariat has been asked to </w:t>
      </w:r>
      <w:proofErr w:type="gramStart"/>
      <w:r>
        <w:rPr>
          <w:lang w:val="en-US"/>
        </w:rPr>
        <w:t>look into</w:t>
      </w:r>
      <w:proofErr w:type="gramEnd"/>
      <w:r w:rsidRPr="00646A9E">
        <w:rPr>
          <w:lang w:val="en-US"/>
        </w:rPr>
        <w:t xml:space="preserve"> the requirements for changing remote participant</w:t>
      </w:r>
      <w:r w:rsidR="00761EEC">
        <w:rPr>
          <w:lang w:val="en-US"/>
        </w:rPr>
        <w:t>s’</w:t>
      </w:r>
      <w:r w:rsidRPr="00646A9E">
        <w:rPr>
          <w:lang w:val="en-US"/>
        </w:rPr>
        <w:t xml:space="preserve"> rights in the Union’s basic texts.</w:t>
      </w:r>
    </w:p>
    <w:p w14:paraId="657B1EE4" w14:textId="0206E57E" w:rsidR="00E86FB1" w:rsidRDefault="00E86FB1" w:rsidP="004412F4">
      <w:pPr>
        <w:pStyle w:val="ListParagraph"/>
        <w:numPr>
          <w:ilvl w:val="0"/>
          <w:numId w:val="2"/>
        </w:numPr>
        <w:tabs>
          <w:tab w:val="clear" w:pos="1134"/>
          <w:tab w:val="clear" w:pos="1871"/>
          <w:tab w:val="clear" w:pos="2268"/>
        </w:tabs>
        <w:overflowPunct/>
        <w:autoSpaceDE/>
        <w:autoSpaceDN/>
        <w:adjustRightInd/>
        <w:spacing w:after="120"/>
        <w:contextualSpacing w:val="0"/>
        <w:textAlignment w:val="auto"/>
        <w:rPr>
          <w:lang w:val="en-US"/>
        </w:rPr>
      </w:pPr>
      <w:r w:rsidRPr="00646A9E">
        <w:rPr>
          <w:i/>
          <w:iCs/>
          <w:lang w:val="en-US"/>
        </w:rPr>
        <w:t>ITU website</w:t>
      </w:r>
      <w:r w:rsidRPr="00646A9E">
        <w:rPr>
          <w:lang w:val="en-US"/>
        </w:rPr>
        <w:t xml:space="preserve">: The ISCG has been actively monitoring this theme, specifically requesting the ITU secretariat to provide information on the harmonization of websites and the search system in all official languages of the Union on an equal footing. </w:t>
      </w:r>
      <w:r>
        <w:rPr>
          <w:lang w:val="en-US"/>
        </w:rPr>
        <w:t xml:space="preserve">And to report </w:t>
      </w:r>
      <w:r w:rsidR="00043AA7">
        <w:rPr>
          <w:lang w:val="en-US"/>
        </w:rPr>
        <w:t xml:space="preserve">on updates </w:t>
      </w:r>
      <w:r>
        <w:rPr>
          <w:lang w:val="en-US"/>
        </w:rPr>
        <w:t xml:space="preserve">to </w:t>
      </w:r>
      <w:r w:rsidRPr="00646A9E">
        <w:rPr>
          <w:lang w:val="en-US"/>
        </w:rPr>
        <w:t>all CWG-Lang</w:t>
      </w:r>
      <w:r>
        <w:rPr>
          <w:lang w:val="en-US"/>
        </w:rPr>
        <w:t>uages</w:t>
      </w:r>
      <w:r w:rsidRPr="00646A9E">
        <w:rPr>
          <w:lang w:val="en-US"/>
        </w:rPr>
        <w:t xml:space="preserve"> and ISCG meetings.</w:t>
      </w:r>
    </w:p>
    <w:p w14:paraId="6F2CBF8B" w14:textId="77777777" w:rsidR="00E86FB1" w:rsidRDefault="00E86FB1" w:rsidP="004412F4">
      <w:pPr>
        <w:pStyle w:val="ListParagraph"/>
        <w:numPr>
          <w:ilvl w:val="0"/>
          <w:numId w:val="2"/>
        </w:numPr>
        <w:tabs>
          <w:tab w:val="clear" w:pos="1134"/>
          <w:tab w:val="clear" w:pos="1871"/>
          <w:tab w:val="clear" w:pos="2268"/>
          <w:tab w:val="left" w:pos="794"/>
          <w:tab w:val="left" w:pos="1191"/>
          <w:tab w:val="left" w:pos="1588"/>
          <w:tab w:val="left" w:pos="1985"/>
        </w:tabs>
        <w:spacing w:after="120"/>
        <w:contextualSpacing w:val="0"/>
        <w:rPr>
          <w:lang w:val="en-US"/>
        </w:rPr>
      </w:pPr>
      <w:r w:rsidRPr="00A721FC">
        <w:rPr>
          <w:i/>
          <w:iCs/>
          <w:lang w:val="en-US"/>
        </w:rPr>
        <w:t>Sustainable Digital Transformation</w:t>
      </w:r>
      <w:r>
        <w:rPr>
          <w:lang w:val="en-US"/>
        </w:rPr>
        <w:t xml:space="preserve">: The </w:t>
      </w:r>
      <w:proofErr w:type="gramStart"/>
      <w:r>
        <w:rPr>
          <w:lang w:val="en-US"/>
        </w:rPr>
        <w:t>Coordinator</w:t>
      </w:r>
      <w:proofErr w:type="gramEnd"/>
      <w:r>
        <w:rPr>
          <w:lang w:val="en-US"/>
        </w:rPr>
        <w:t xml:space="preserve"> for these theme has r</w:t>
      </w:r>
      <w:r w:rsidRPr="00A721FC">
        <w:rPr>
          <w:lang w:val="en-US"/>
        </w:rPr>
        <w:t>ecogniz</w:t>
      </w:r>
      <w:r>
        <w:rPr>
          <w:lang w:val="en-US"/>
        </w:rPr>
        <w:t>ed</w:t>
      </w:r>
      <w:r w:rsidRPr="00A721FC">
        <w:rPr>
          <w:lang w:val="en-US"/>
        </w:rPr>
        <w:t xml:space="preserve"> the </w:t>
      </w:r>
      <w:r>
        <w:rPr>
          <w:lang w:val="en-US"/>
        </w:rPr>
        <w:t>‘</w:t>
      </w:r>
      <w:r w:rsidRPr="00AF506A">
        <w:rPr>
          <w:lang w:val="en-US"/>
        </w:rPr>
        <w:t>ITU Digital Transformation and Cities Digest</w:t>
      </w:r>
      <w:r>
        <w:rPr>
          <w:lang w:val="en-US"/>
        </w:rPr>
        <w:t xml:space="preserve">’ </w:t>
      </w:r>
      <w:r w:rsidRPr="00A721FC">
        <w:rPr>
          <w:lang w:val="en-US"/>
        </w:rPr>
        <w:t xml:space="preserve">as a valuable and comprehensive resource on digital transformation, </w:t>
      </w:r>
      <w:r>
        <w:rPr>
          <w:lang w:val="en-US"/>
        </w:rPr>
        <w:t xml:space="preserve">and </w:t>
      </w:r>
      <w:r w:rsidRPr="00A721FC">
        <w:rPr>
          <w:lang w:val="en-US"/>
        </w:rPr>
        <w:t>encouraged ITU-D, ITU-R and the General Secretariat to consider showcasing their activities in the publication. By contributing to the Digest, each Sector can enhance visibility, foster cross-sector collaboration, and provide a more holistic view of ITU’s work in this crucial area.</w:t>
      </w:r>
    </w:p>
    <w:p w14:paraId="22BD27F7" w14:textId="77777777" w:rsidR="00E86FB1" w:rsidRPr="00AF506A" w:rsidRDefault="00E86FB1" w:rsidP="3707D9A1">
      <w:pPr>
        <w:spacing w:after="120"/>
      </w:pPr>
      <w:r w:rsidRPr="3707D9A1">
        <w:t>‘Industry Engagement’ has been agreed upon as a new theme of interest, and the appointment of a Coordinator is pending. It has been noted that, at the Secretariat level, this theme is covered under ‘Membership, Partnerships, and Resource Mobilization’.</w:t>
      </w:r>
    </w:p>
    <w:p w14:paraId="4DB2FAEF" w14:textId="065CF42E" w:rsidR="00E86FB1" w:rsidRDefault="00E86FB1" w:rsidP="00802548">
      <w:pPr>
        <w:spacing w:after="120"/>
        <w:rPr>
          <w:lang w:val="en-US"/>
        </w:rPr>
      </w:pPr>
      <w:r w:rsidRPr="00AF506A">
        <w:rPr>
          <w:lang w:val="en-US"/>
        </w:rPr>
        <w:t>Related to the Union’s Strategic and Financial Plans</w:t>
      </w:r>
      <w:r>
        <w:rPr>
          <w:lang w:val="en-US"/>
        </w:rPr>
        <w:t>, t</w:t>
      </w:r>
      <w:r w:rsidRPr="001B02BD">
        <w:rPr>
          <w:lang w:val="en-US"/>
        </w:rPr>
        <w:t xml:space="preserve">he ISCG Chair welcomed </w:t>
      </w:r>
      <w:r>
        <w:rPr>
          <w:lang w:val="en-US"/>
        </w:rPr>
        <w:t>the Telecommunication Standardization Advisory Group (</w:t>
      </w:r>
      <w:r w:rsidRPr="001B02BD">
        <w:rPr>
          <w:lang w:val="en-US"/>
        </w:rPr>
        <w:t>TSAG</w:t>
      </w:r>
      <w:r>
        <w:rPr>
          <w:lang w:val="en-US"/>
        </w:rPr>
        <w:t>)</w:t>
      </w:r>
      <w:r w:rsidRPr="001B02BD">
        <w:rPr>
          <w:lang w:val="en-US"/>
        </w:rPr>
        <w:t xml:space="preserve"> contributions </w:t>
      </w:r>
      <w:r>
        <w:rPr>
          <w:lang w:val="en-US"/>
        </w:rPr>
        <w:t xml:space="preserve">also </w:t>
      </w:r>
      <w:r w:rsidRPr="00AF506A">
        <w:rPr>
          <w:lang w:val="en-US"/>
        </w:rPr>
        <w:t>presented to the Council Working Group for strategic and financial plans 2028-2031</w:t>
      </w:r>
      <w:r w:rsidR="004C72F9">
        <w:rPr>
          <w:lang w:val="en-US"/>
        </w:rPr>
        <w:t xml:space="preserve"> </w:t>
      </w:r>
      <w:r>
        <w:rPr>
          <w:lang w:val="en-US"/>
        </w:rPr>
        <w:t>(CWG-SFP) and</w:t>
      </w:r>
      <w:r w:rsidRPr="001B02BD">
        <w:rPr>
          <w:lang w:val="en-US"/>
        </w:rPr>
        <w:t xml:space="preserve"> proposed to endorse the proposal</w:t>
      </w:r>
      <w:r>
        <w:rPr>
          <w:lang w:val="en-US"/>
        </w:rPr>
        <w:t>s</w:t>
      </w:r>
      <w:r w:rsidRPr="001B02BD">
        <w:rPr>
          <w:lang w:val="en-US"/>
        </w:rPr>
        <w:t xml:space="preserve"> to improve the strategic and financial plans of the Union. The Chair also encouraged </w:t>
      </w:r>
      <w:r w:rsidRPr="009A3B69">
        <w:rPr>
          <w:lang w:val="en-US"/>
        </w:rPr>
        <w:t xml:space="preserve">RAG and TDAG to take similar action, by </w:t>
      </w:r>
      <w:r>
        <w:rPr>
          <w:lang w:val="en-US"/>
        </w:rPr>
        <w:t>participating actively in the s</w:t>
      </w:r>
      <w:r w:rsidRPr="009A3B69">
        <w:rPr>
          <w:lang w:val="en-US"/>
        </w:rPr>
        <w:t xml:space="preserve">trategic and </w:t>
      </w:r>
      <w:r>
        <w:rPr>
          <w:lang w:val="en-US"/>
        </w:rPr>
        <w:t>f</w:t>
      </w:r>
      <w:r w:rsidRPr="009A3B69">
        <w:rPr>
          <w:lang w:val="en-US"/>
        </w:rPr>
        <w:t xml:space="preserve">inancial </w:t>
      </w:r>
      <w:r>
        <w:rPr>
          <w:lang w:val="en-US"/>
        </w:rPr>
        <w:t>p</w:t>
      </w:r>
      <w:r w:rsidRPr="009A3B69">
        <w:rPr>
          <w:lang w:val="en-US"/>
        </w:rPr>
        <w:t>lans</w:t>
      </w:r>
      <w:r>
        <w:rPr>
          <w:lang w:val="en-US"/>
        </w:rPr>
        <w:t>’ discussions.</w:t>
      </w:r>
    </w:p>
    <w:p w14:paraId="6651723F" w14:textId="5A180662" w:rsidR="00E86FB1" w:rsidRDefault="00E86FB1" w:rsidP="00802548">
      <w:pPr>
        <w:spacing w:after="120"/>
        <w:rPr>
          <w:lang w:val="en-US"/>
        </w:rPr>
      </w:pPr>
      <w:r>
        <w:rPr>
          <w:lang w:val="en-US"/>
        </w:rPr>
        <w:t xml:space="preserve">The ISCG continues to update the </w:t>
      </w:r>
      <w:hyperlink r:id="rId18" w:history="1">
        <w:r w:rsidRPr="00CD30FC">
          <w:rPr>
            <w:rStyle w:val="Hyperlink"/>
            <w:lang w:val="en-US"/>
          </w:rPr>
          <w:t>Mapping of Resolutions</w:t>
        </w:r>
      </w:hyperlink>
      <w:r>
        <w:rPr>
          <w:lang w:val="en-US"/>
        </w:rPr>
        <w:t xml:space="preserve"> and the </w:t>
      </w:r>
      <w:hyperlink r:id="rId19" w:history="1">
        <w:r w:rsidRPr="00CD30FC">
          <w:rPr>
            <w:rStyle w:val="Hyperlink"/>
            <w:lang w:val="en-US"/>
          </w:rPr>
          <w:t>Mapping Tables</w:t>
        </w:r>
      </w:hyperlink>
      <w:r>
        <w:rPr>
          <w:lang w:val="en-US"/>
        </w:rPr>
        <w:t xml:space="preserve">. </w:t>
      </w:r>
      <w:r w:rsidRPr="00AF506A">
        <w:rPr>
          <w:lang w:val="en-US"/>
        </w:rPr>
        <w:t xml:space="preserve">The latest update was completed following the conclusion of the World Telecommunication Standardization Assembly in October 2024. Updates to Tables 2 and 3 will be made once ITU-T begins its new cycle after the TSAG meeting </w:t>
      </w:r>
      <w:r w:rsidR="004C7994">
        <w:rPr>
          <w:lang w:val="en-US"/>
        </w:rPr>
        <w:t>(26-30</w:t>
      </w:r>
      <w:r w:rsidRPr="00AF506A">
        <w:rPr>
          <w:lang w:val="en-US"/>
        </w:rPr>
        <w:t xml:space="preserve"> May 2025</w:t>
      </w:r>
      <w:r w:rsidR="004C7994">
        <w:rPr>
          <w:lang w:val="en-US"/>
        </w:rPr>
        <w:t>)</w:t>
      </w:r>
      <w:r w:rsidRPr="00AF506A">
        <w:rPr>
          <w:lang w:val="en-US"/>
        </w:rPr>
        <w:t>.</w:t>
      </w:r>
    </w:p>
    <w:p w14:paraId="5D98C968" w14:textId="41BBF7B9" w:rsidR="00E86FB1" w:rsidRPr="00323194" w:rsidRDefault="00E86FB1" w:rsidP="00802548">
      <w:pPr>
        <w:spacing w:after="120"/>
        <w:rPr>
          <w:b/>
          <w:bCs/>
        </w:rPr>
      </w:pPr>
      <w:r w:rsidRPr="00323194">
        <w:rPr>
          <w:b/>
          <w:bCs/>
        </w:rPr>
        <w:t>Conclusion</w:t>
      </w:r>
    </w:p>
    <w:p w14:paraId="4973718C" w14:textId="17E038E1" w:rsidR="00E86FB1" w:rsidRDefault="003A1630" w:rsidP="00802548">
      <w:pPr>
        <w:spacing w:after="120"/>
        <w:rPr>
          <w:lang w:val="en-US"/>
        </w:rPr>
      </w:pPr>
      <w:r>
        <w:rPr>
          <w:lang w:val="en-US"/>
        </w:rPr>
        <w:t>TDAG</w:t>
      </w:r>
      <w:r w:rsidR="00E86FB1" w:rsidRPr="009D0A67">
        <w:rPr>
          <w:lang w:val="en-US"/>
        </w:rPr>
        <w:t xml:space="preserve"> is invited to discuss this document and present comments and proposals to the ISCG on the themes presented, as well as any other potential joint activities or mechanisms to strengthen cooperation.</w:t>
      </w:r>
    </w:p>
    <w:p w14:paraId="3E91A323" w14:textId="30F509E2" w:rsidR="00FE5396" w:rsidRPr="009D0A67" w:rsidRDefault="00FE5396" w:rsidP="00802548">
      <w:pPr>
        <w:spacing w:after="120"/>
        <w:rPr>
          <w:lang w:val="en-US"/>
        </w:rPr>
      </w:pPr>
      <w:r>
        <w:rPr>
          <w:lang w:val="en-US"/>
        </w:rPr>
        <w:t>TDAG is invited to consider</w:t>
      </w:r>
      <w:proofErr w:type="gramStart"/>
      <w:r>
        <w:rPr>
          <w:lang w:val="en-US"/>
        </w:rPr>
        <w:t>, in particular, the</w:t>
      </w:r>
      <w:proofErr w:type="gramEnd"/>
      <w:r>
        <w:rPr>
          <w:lang w:val="en-US"/>
        </w:rPr>
        <w:t xml:space="preserve"> appointment of representatives to the vacant </w:t>
      </w:r>
      <w:proofErr w:type="spellStart"/>
      <w:r>
        <w:rPr>
          <w:lang w:val="en-US"/>
        </w:rPr>
        <w:t>coordinations</w:t>
      </w:r>
      <w:proofErr w:type="spellEnd"/>
      <w:r>
        <w:rPr>
          <w:lang w:val="en-US"/>
        </w:rPr>
        <w:t xml:space="preserve"> (e. g. Accessibility and Industry engagement).</w:t>
      </w:r>
    </w:p>
    <w:p w14:paraId="6CD7EEBC" w14:textId="77777777" w:rsidR="00E86FB1" w:rsidRPr="009D0A67" w:rsidRDefault="00E86FB1" w:rsidP="00802548">
      <w:pPr>
        <w:spacing w:after="120"/>
        <w:rPr>
          <w:lang w:val="en-US"/>
        </w:rPr>
      </w:pPr>
      <w:r w:rsidRPr="009D0A67">
        <w:rPr>
          <w:lang w:val="en-US"/>
        </w:rPr>
        <w:t>The next ISCG meeting is proposed to take place during TSAG, with information to be shared through the ISCG website.</w:t>
      </w:r>
    </w:p>
    <w:p w14:paraId="3F1B528C" w14:textId="0127CAE2" w:rsidR="00DA344E" w:rsidRDefault="00E86FB1" w:rsidP="00C2000C">
      <w:pPr>
        <w:spacing w:after="120"/>
        <w:rPr>
          <w:lang w:val="en-US"/>
        </w:rPr>
      </w:pPr>
      <w:r w:rsidRPr="009D0A67">
        <w:rPr>
          <w:lang w:val="en-US"/>
        </w:rPr>
        <w:t xml:space="preserve">The ISCG Chair would like to thank </w:t>
      </w:r>
      <w:r w:rsidR="00D01EFE">
        <w:rPr>
          <w:lang w:val="en-US"/>
        </w:rPr>
        <w:t>TDAG</w:t>
      </w:r>
      <w:r w:rsidRPr="009D0A67">
        <w:rPr>
          <w:lang w:val="en-US"/>
        </w:rPr>
        <w:t xml:space="preserve"> members for the opportunity to present this report and invites them to contribute to ISCG activities.</w:t>
      </w:r>
      <w:bookmarkStart w:id="10" w:name="_Hlk133421856"/>
      <w:bookmarkStart w:id="11" w:name="_Hlk133422370"/>
      <w:bookmarkStart w:id="12" w:name="_Hlk133586559"/>
      <w:bookmarkStart w:id="13" w:name="_Hlk133421428"/>
      <w:bookmarkEnd w:id="10"/>
      <w:bookmarkEnd w:id="11"/>
      <w:bookmarkEnd w:id="12"/>
      <w:bookmarkEnd w:id="13"/>
    </w:p>
    <w:p w14:paraId="27F80AC8" w14:textId="4E8B169C" w:rsidR="00C2000C" w:rsidRPr="00BE5CE0" w:rsidRDefault="00C2000C" w:rsidP="00C2000C">
      <w:pPr>
        <w:spacing w:after="120"/>
        <w:jc w:val="center"/>
        <w:rPr>
          <w:rFonts w:eastAsia="SimSun"/>
        </w:rPr>
      </w:pPr>
      <w:r>
        <w:rPr>
          <w:lang w:val="en-US"/>
        </w:rPr>
        <w:t>________________</w:t>
      </w:r>
    </w:p>
    <w:sectPr w:rsidR="00C2000C" w:rsidRPr="00BE5CE0" w:rsidSect="0081159E">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138E" w14:textId="77777777" w:rsidR="0097407D" w:rsidRDefault="0097407D">
      <w:r>
        <w:separator/>
      </w:r>
    </w:p>
    <w:p w14:paraId="60A6184F" w14:textId="77777777" w:rsidR="0097407D" w:rsidRDefault="0097407D"/>
  </w:endnote>
  <w:endnote w:type="continuationSeparator" w:id="0">
    <w:p w14:paraId="090F3427" w14:textId="77777777" w:rsidR="0097407D" w:rsidRDefault="0097407D">
      <w:r>
        <w:continuationSeparator/>
      </w:r>
    </w:p>
    <w:p w14:paraId="2750629C" w14:textId="77777777" w:rsidR="0097407D" w:rsidRDefault="0097407D"/>
  </w:endnote>
  <w:endnote w:type="continuationNotice" w:id="1">
    <w:p w14:paraId="27A80D73" w14:textId="77777777" w:rsidR="0097407D" w:rsidRDefault="0097407D">
      <w:pPr>
        <w:spacing w:before="0"/>
      </w:pPr>
    </w:p>
    <w:p w14:paraId="7518CE8A" w14:textId="77777777" w:rsidR="0097407D" w:rsidRDefault="00974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B2A19" w14:textId="77777777" w:rsidR="007B0841" w:rsidRDefault="007B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9130" w14:textId="77777777" w:rsidR="007B0841" w:rsidRDefault="007B0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57F34" w:rsidRPr="009E1DBD" w14:paraId="50BC5BF9" w14:textId="77777777" w:rsidTr="00857F34">
      <w:tc>
        <w:tcPr>
          <w:tcW w:w="1526" w:type="dxa"/>
          <w:tcBorders>
            <w:top w:val="single" w:sz="4" w:space="0" w:color="auto"/>
          </w:tcBorders>
          <w:shd w:val="clear" w:color="auto" w:fill="auto"/>
        </w:tcPr>
        <w:p w14:paraId="6B82E77C" w14:textId="77777777" w:rsidR="00857F34" w:rsidRPr="009E1DBD" w:rsidRDefault="00857F34" w:rsidP="00857F34">
          <w:pPr>
            <w:pStyle w:val="FirstFooter"/>
            <w:tabs>
              <w:tab w:val="left" w:pos="1559"/>
              <w:tab w:val="left" w:pos="3828"/>
            </w:tabs>
            <w:rPr>
              <w:sz w:val="18"/>
              <w:szCs w:val="18"/>
              <w:lang w:val="en-US"/>
            </w:rPr>
          </w:pPr>
          <w:r w:rsidRPr="009E1DBD">
            <w:rPr>
              <w:sz w:val="18"/>
              <w:szCs w:val="18"/>
              <w:lang w:val="en-US"/>
            </w:rPr>
            <w:t>Contact:</w:t>
          </w:r>
        </w:p>
      </w:tc>
      <w:tc>
        <w:tcPr>
          <w:tcW w:w="2410" w:type="dxa"/>
          <w:tcBorders>
            <w:top w:val="single" w:sz="4" w:space="0" w:color="auto"/>
          </w:tcBorders>
          <w:shd w:val="clear" w:color="auto" w:fill="auto"/>
        </w:tcPr>
        <w:p w14:paraId="17F77B62" w14:textId="77777777" w:rsidR="00857F34" w:rsidRPr="009E1DBD" w:rsidRDefault="00857F34" w:rsidP="00857F34">
          <w:pPr>
            <w:pStyle w:val="FirstFooter"/>
            <w:tabs>
              <w:tab w:val="left" w:pos="2302"/>
            </w:tabs>
            <w:rPr>
              <w:sz w:val="18"/>
              <w:szCs w:val="18"/>
              <w:lang w:val="en-US"/>
            </w:rPr>
          </w:pPr>
          <w:r w:rsidRPr="009E1DBD">
            <w:rPr>
              <w:sz w:val="18"/>
              <w:szCs w:val="18"/>
              <w:lang w:val="en-US"/>
            </w:rPr>
            <w:t>Name/Organization/Entity:</w:t>
          </w:r>
        </w:p>
      </w:tc>
      <w:tc>
        <w:tcPr>
          <w:tcW w:w="5987" w:type="dxa"/>
          <w:tcBorders>
            <w:top w:val="single" w:sz="4" w:space="0" w:color="auto"/>
          </w:tcBorders>
        </w:tcPr>
        <w:p w14:paraId="0C45117B" w14:textId="3C705EB0" w:rsidR="00857F34" w:rsidRPr="009E1DBD" w:rsidRDefault="00A14BC0" w:rsidP="00A14BC0">
          <w:pPr>
            <w:pStyle w:val="FirstFooter"/>
            <w:tabs>
              <w:tab w:val="left" w:pos="2302"/>
            </w:tabs>
            <w:rPr>
              <w:sz w:val="18"/>
              <w:szCs w:val="18"/>
            </w:rPr>
          </w:pPr>
          <w:r w:rsidRPr="00A14BC0">
            <w:rPr>
              <w:sz w:val="18"/>
              <w:szCs w:val="18"/>
            </w:rPr>
            <w:t>M</w:t>
          </w:r>
          <w:r w:rsidR="004B0974">
            <w:rPr>
              <w:sz w:val="18"/>
              <w:szCs w:val="18"/>
            </w:rPr>
            <w:t>r Fabio Bigi</w:t>
          </w:r>
          <w:r w:rsidR="007B0841">
            <w:rPr>
              <w:sz w:val="18"/>
              <w:szCs w:val="18"/>
            </w:rPr>
            <w:t xml:space="preserve">, </w:t>
          </w:r>
          <w:r w:rsidR="007B0841" w:rsidRPr="007B0841">
            <w:rPr>
              <w:sz w:val="18"/>
              <w:szCs w:val="18"/>
            </w:rPr>
            <w:t>Chair, Inter-Sector Coordination Group (ISCG)</w:t>
          </w:r>
        </w:p>
      </w:tc>
    </w:tr>
    <w:tr w:rsidR="00857F34" w:rsidRPr="009E1DBD" w14:paraId="0CFA4A46" w14:textId="77777777" w:rsidTr="00857F34">
      <w:tc>
        <w:tcPr>
          <w:tcW w:w="1526" w:type="dxa"/>
          <w:shd w:val="clear" w:color="auto" w:fill="auto"/>
        </w:tcPr>
        <w:p w14:paraId="65213373"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45BFB45E" w14:textId="77777777" w:rsidR="00857F34" w:rsidRPr="009E1DBD" w:rsidRDefault="00857F34" w:rsidP="00857F34">
          <w:pPr>
            <w:pStyle w:val="FirstFooter"/>
            <w:tabs>
              <w:tab w:val="left" w:pos="2302"/>
            </w:tabs>
            <w:rPr>
              <w:sz w:val="18"/>
              <w:szCs w:val="18"/>
              <w:lang w:val="en-US"/>
            </w:rPr>
          </w:pPr>
          <w:r w:rsidRPr="009E1DBD">
            <w:rPr>
              <w:sz w:val="18"/>
              <w:szCs w:val="18"/>
              <w:lang w:val="en-US"/>
            </w:rPr>
            <w:t>Phone number:</w:t>
          </w:r>
        </w:p>
      </w:tc>
      <w:tc>
        <w:tcPr>
          <w:tcW w:w="5987" w:type="dxa"/>
        </w:tcPr>
        <w:p w14:paraId="66776212" w14:textId="188AB11E" w:rsidR="00857F34" w:rsidRPr="009E1DBD" w:rsidRDefault="00A14BC0" w:rsidP="00857F34">
          <w:pPr>
            <w:pStyle w:val="FirstFooter"/>
            <w:tabs>
              <w:tab w:val="left" w:pos="2302"/>
            </w:tabs>
            <w:rPr>
              <w:sz w:val="18"/>
              <w:szCs w:val="18"/>
            </w:rPr>
          </w:pPr>
          <w:r>
            <w:rPr>
              <w:sz w:val="18"/>
              <w:szCs w:val="18"/>
            </w:rPr>
            <w:t>n/a</w:t>
          </w:r>
        </w:p>
      </w:tc>
    </w:tr>
    <w:tr w:rsidR="00857F34" w:rsidRPr="00A5401B" w14:paraId="5991A4A3" w14:textId="77777777" w:rsidTr="00857F34">
      <w:tc>
        <w:tcPr>
          <w:tcW w:w="1526" w:type="dxa"/>
          <w:shd w:val="clear" w:color="auto" w:fill="auto"/>
        </w:tcPr>
        <w:p w14:paraId="79000AF6"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11B16DAA" w14:textId="77777777" w:rsidR="00857F34" w:rsidRPr="009E1DBD" w:rsidRDefault="00857F34" w:rsidP="00857F34">
          <w:pPr>
            <w:pStyle w:val="FirstFooter"/>
            <w:tabs>
              <w:tab w:val="left" w:pos="2302"/>
            </w:tabs>
            <w:rPr>
              <w:sz w:val="18"/>
              <w:szCs w:val="18"/>
              <w:lang w:val="en-US"/>
            </w:rPr>
          </w:pPr>
          <w:r w:rsidRPr="009E1DBD">
            <w:rPr>
              <w:sz w:val="18"/>
              <w:szCs w:val="18"/>
              <w:lang w:val="en-US"/>
            </w:rPr>
            <w:t>E-mail:</w:t>
          </w:r>
        </w:p>
      </w:tc>
      <w:tc>
        <w:tcPr>
          <w:tcW w:w="5987" w:type="dxa"/>
        </w:tcPr>
        <w:p w14:paraId="5EC8D49E" w14:textId="66BC1172" w:rsidR="00857F34" w:rsidRPr="00A5401B" w:rsidRDefault="00CC5A60" w:rsidP="00857F34">
          <w:pPr>
            <w:pStyle w:val="FirstFooter"/>
            <w:tabs>
              <w:tab w:val="left" w:pos="2302"/>
            </w:tabs>
            <w:rPr>
              <w:sz w:val="18"/>
              <w:szCs w:val="18"/>
              <w:lang w:val="en-US"/>
            </w:rPr>
          </w:pPr>
          <w:hyperlink r:id="rId1" w:history="1">
            <w:r w:rsidRPr="00A5401B">
              <w:rPr>
                <w:rStyle w:val="Hyperlink"/>
                <w:sz w:val="18"/>
                <w:szCs w:val="18"/>
                <w:lang w:val="en-US"/>
              </w:rPr>
              <w:t>fabio.bigi@virgilio.it</w:t>
            </w:r>
          </w:hyperlink>
          <w:r w:rsidR="00802548">
            <w:t>;</w:t>
          </w:r>
          <w:r w:rsidR="00A5401B" w:rsidRPr="00A5401B">
            <w:rPr>
              <w:sz w:val="18"/>
              <w:szCs w:val="18"/>
              <w:lang w:val="en-US"/>
            </w:rPr>
            <w:t xml:space="preserve"> </w:t>
          </w:r>
          <w:hyperlink r:id="rId2" w:history="1">
            <w:r w:rsidR="00A5401B" w:rsidRPr="00752D31">
              <w:rPr>
                <w:rStyle w:val="Hyperlink"/>
                <w:sz w:val="18"/>
                <w:szCs w:val="18"/>
                <w:lang w:val="en-US"/>
              </w:rPr>
              <w:t>iscg@itu.int</w:t>
            </w:r>
          </w:hyperlink>
          <w:r w:rsidR="00A5401B">
            <w:rPr>
              <w:sz w:val="18"/>
              <w:szCs w:val="18"/>
              <w:lang w:val="en-US"/>
            </w:rPr>
            <w:t xml:space="preserve"> </w:t>
          </w:r>
        </w:p>
      </w:tc>
    </w:tr>
  </w:tbl>
  <w:p w14:paraId="3FF320CD" w14:textId="77777777" w:rsidR="003447A8" w:rsidRPr="00A5401B" w:rsidRDefault="003447A8">
    <w:pPr>
      <w:pStyle w:val="Foo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CC29" w14:textId="77777777" w:rsidR="0097407D" w:rsidRPr="0054377E" w:rsidRDefault="0097407D" w:rsidP="0054377E">
      <w:pPr>
        <w:spacing w:before="0"/>
      </w:pPr>
      <w:r w:rsidRPr="0054377E">
        <w:rPr>
          <w:b/>
        </w:rPr>
        <w:t>_______________</w:t>
      </w:r>
    </w:p>
  </w:footnote>
  <w:footnote w:type="continuationSeparator" w:id="0">
    <w:p w14:paraId="6528E71E" w14:textId="77777777" w:rsidR="0097407D" w:rsidRDefault="0097407D" w:rsidP="0054377E">
      <w:pPr>
        <w:spacing w:before="0"/>
      </w:pPr>
      <w:r>
        <w:continuationSeparator/>
      </w:r>
    </w:p>
    <w:p w14:paraId="6D374C0D" w14:textId="77777777" w:rsidR="0097407D" w:rsidRDefault="0097407D"/>
  </w:footnote>
  <w:footnote w:type="continuationNotice" w:id="1">
    <w:p w14:paraId="6EC62F34" w14:textId="77777777" w:rsidR="0097407D" w:rsidRDefault="0097407D">
      <w:pPr>
        <w:spacing w:before="0"/>
      </w:pPr>
    </w:p>
    <w:p w14:paraId="440DDCBF" w14:textId="77777777" w:rsidR="0097407D" w:rsidRDefault="00974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9543" w14:textId="77777777" w:rsidR="007B0841" w:rsidRDefault="007B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050C42F"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3E38FE">
      <w:rPr>
        <w:sz w:val="22"/>
        <w:szCs w:val="22"/>
        <w:lang w:val="es-ES_tradnl"/>
      </w:rPr>
      <w:t>TDAG-25/</w:t>
    </w:r>
    <w:r w:rsidR="00802548">
      <w:rPr>
        <w:sz w:val="22"/>
        <w:szCs w:val="22"/>
        <w:lang w:val="es-ES_tradnl"/>
      </w:rPr>
      <w:t>2</w:t>
    </w:r>
    <w:r w:rsidR="007D2DB7">
      <w:rPr>
        <w:sz w:val="22"/>
        <w:szCs w:val="22"/>
        <w:lang w:val="es-ES_tradnl"/>
      </w:rPr>
      <w:t>3</w:t>
    </w:r>
    <w:r w:rsidRPr="003E38FE">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C5A6" w14:textId="77777777" w:rsidR="007B0841" w:rsidRDefault="007B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2795"/>
    <w:multiLevelType w:val="hybridMultilevel"/>
    <w:tmpl w:val="AA54D05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7ED1DC4"/>
    <w:multiLevelType w:val="hybridMultilevel"/>
    <w:tmpl w:val="E8021BA2"/>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7214479">
    <w:abstractNumId w:val="1"/>
  </w:num>
  <w:num w:numId="2" w16cid:durableId="12532002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0BF6"/>
    <w:rsid w:val="00011ECB"/>
    <w:rsid w:val="000150B0"/>
    <w:rsid w:val="00015E52"/>
    <w:rsid w:val="00022A29"/>
    <w:rsid w:val="00025926"/>
    <w:rsid w:val="00025965"/>
    <w:rsid w:val="00033946"/>
    <w:rsid w:val="000355FD"/>
    <w:rsid w:val="0003589F"/>
    <w:rsid w:val="0003740E"/>
    <w:rsid w:val="00043AA7"/>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2CCD"/>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325D"/>
    <w:rsid w:val="000C42BA"/>
    <w:rsid w:val="000C4FD1"/>
    <w:rsid w:val="000D1759"/>
    <w:rsid w:val="000D38EB"/>
    <w:rsid w:val="000D4875"/>
    <w:rsid w:val="000D6891"/>
    <w:rsid w:val="000D6E8D"/>
    <w:rsid w:val="000E71F8"/>
    <w:rsid w:val="000F24D1"/>
    <w:rsid w:val="000F29EC"/>
    <w:rsid w:val="000F38EA"/>
    <w:rsid w:val="000F542E"/>
    <w:rsid w:val="000F641B"/>
    <w:rsid w:val="000F6F7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2056"/>
    <w:rsid w:val="00162560"/>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3498"/>
    <w:rsid w:val="00194CFB"/>
    <w:rsid w:val="001A1FFD"/>
    <w:rsid w:val="001A3858"/>
    <w:rsid w:val="001A4BD2"/>
    <w:rsid w:val="001A6396"/>
    <w:rsid w:val="001B2ED3"/>
    <w:rsid w:val="001B643A"/>
    <w:rsid w:val="001B6675"/>
    <w:rsid w:val="001B7EA3"/>
    <w:rsid w:val="001C240F"/>
    <w:rsid w:val="001C3B5F"/>
    <w:rsid w:val="001C61EA"/>
    <w:rsid w:val="001C772A"/>
    <w:rsid w:val="001D058F"/>
    <w:rsid w:val="001D2025"/>
    <w:rsid w:val="001D520B"/>
    <w:rsid w:val="001D78D5"/>
    <w:rsid w:val="001E0384"/>
    <w:rsid w:val="001E24AF"/>
    <w:rsid w:val="001E252D"/>
    <w:rsid w:val="001E43DC"/>
    <w:rsid w:val="001F0D93"/>
    <w:rsid w:val="001F2DAA"/>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010"/>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128C"/>
    <w:rsid w:val="002A24CF"/>
    <w:rsid w:val="002A27F8"/>
    <w:rsid w:val="002A51DF"/>
    <w:rsid w:val="002A684E"/>
    <w:rsid w:val="002B074A"/>
    <w:rsid w:val="002B0BF8"/>
    <w:rsid w:val="002B10D5"/>
    <w:rsid w:val="002B3296"/>
    <w:rsid w:val="002B3C84"/>
    <w:rsid w:val="002B5490"/>
    <w:rsid w:val="002B7654"/>
    <w:rsid w:val="002C12ED"/>
    <w:rsid w:val="002C49BA"/>
    <w:rsid w:val="002C4B75"/>
    <w:rsid w:val="002C6B70"/>
    <w:rsid w:val="002C73F6"/>
    <w:rsid w:val="002C7D5E"/>
    <w:rsid w:val="002D58BE"/>
    <w:rsid w:val="002D5CE8"/>
    <w:rsid w:val="002E0B19"/>
    <w:rsid w:val="002E4D1D"/>
    <w:rsid w:val="002E51E0"/>
    <w:rsid w:val="002E5411"/>
    <w:rsid w:val="002E7A84"/>
    <w:rsid w:val="002F1BD0"/>
    <w:rsid w:val="002F5FE9"/>
    <w:rsid w:val="003013EE"/>
    <w:rsid w:val="003024DE"/>
    <w:rsid w:val="00304031"/>
    <w:rsid w:val="00311808"/>
    <w:rsid w:val="00311851"/>
    <w:rsid w:val="00311CD5"/>
    <w:rsid w:val="003161F5"/>
    <w:rsid w:val="00316725"/>
    <w:rsid w:val="00316A69"/>
    <w:rsid w:val="003205E9"/>
    <w:rsid w:val="003231C6"/>
    <w:rsid w:val="00323E49"/>
    <w:rsid w:val="00324309"/>
    <w:rsid w:val="003247A5"/>
    <w:rsid w:val="00325939"/>
    <w:rsid w:val="003273BC"/>
    <w:rsid w:val="00331F05"/>
    <w:rsid w:val="00335759"/>
    <w:rsid w:val="00337750"/>
    <w:rsid w:val="0034384D"/>
    <w:rsid w:val="003447A8"/>
    <w:rsid w:val="003447F5"/>
    <w:rsid w:val="00345D42"/>
    <w:rsid w:val="00346224"/>
    <w:rsid w:val="0034636C"/>
    <w:rsid w:val="00347F39"/>
    <w:rsid w:val="0035089A"/>
    <w:rsid w:val="003511BC"/>
    <w:rsid w:val="00356083"/>
    <w:rsid w:val="003572D4"/>
    <w:rsid w:val="00361609"/>
    <w:rsid w:val="003626F0"/>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1630"/>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C6602"/>
    <w:rsid w:val="003D0F8B"/>
    <w:rsid w:val="003D1814"/>
    <w:rsid w:val="003D39F2"/>
    <w:rsid w:val="003D5A63"/>
    <w:rsid w:val="003D6425"/>
    <w:rsid w:val="003D66A7"/>
    <w:rsid w:val="003D7EE8"/>
    <w:rsid w:val="003E38FE"/>
    <w:rsid w:val="003F0A6C"/>
    <w:rsid w:val="003F0F49"/>
    <w:rsid w:val="003F1363"/>
    <w:rsid w:val="00403C69"/>
    <w:rsid w:val="00405EC2"/>
    <w:rsid w:val="00406278"/>
    <w:rsid w:val="00406297"/>
    <w:rsid w:val="00411845"/>
    <w:rsid w:val="00412C81"/>
    <w:rsid w:val="004131D4"/>
    <w:rsid w:val="0041348E"/>
    <w:rsid w:val="00413AB2"/>
    <w:rsid w:val="004141F3"/>
    <w:rsid w:val="00414895"/>
    <w:rsid w:val="004208C6"/>
    <w:rsid w:val="00421605"/>
    <w:rsid w:val="00423F10"/>
    <w:rsid w:val="004269E6"/>
    <w:rsid w:val="00433357"/>
    <w:rsid w:val="00435762"/>
    <w:rsid w:val="00435E45"/>
    <w:rsid w:val="004364D9"/>
    <w:rsid w:val="00437819"/>
    <w:rsid w:val="00437A8D"/>
    <w:rsid w:val="00440C4F"/>
    <w:rsid w:val="004412F4"/>
    <w:rsid w:val="00441E8B"/>
    <w:rsid w:val="00442B73"/>
    <w:rsid w:val="004445FD"/>
    <w:rsid w:val="00446FBA"/>
    <w:rsid w:val="00447308"/>
    <w:rsid w:val="00447990"/>
    <w:rsid w:val="004500BC"/>
    <w:rsid w:val="00451B1B"/>
    <w:rsid w:val="00453B17"/>
    <w:rsid w:val="004552B4"/>
    <w:rsid w:val="00460CF8"/>
    <w:rsid w:val="00462253"/>
    <w:rsid w:val="00462CB2"/>
    <w:rsid w:val="004631CC"/>
    <w:rsid w:val="00464E0B"/>
    <w:rsid w:val="00466845"/>
    <w:rsid w:val="00467DB2"/>
    <w:rsid w:val="00472FC1"/>
    <w:rsid w:val="004755BA"/>
    <w:rsid w:val="004765FF"/>
    <w:rsid w:val="004777E4"/>
    <w:rsid w:val="00481E58"/>
    <w:rsid w:val="00483F59"/>
    <w:rsid w:val="0048520E"/>
    <w:rsid w:val="00486163"/>
    <w:rsid w:val="00492075"/>
    <w:rsid w:val="0049304E"/>
    <w:rsid w:val="00495290"/>
    <w:rsid w:val="004969AD"/>
    <w:rsid w:val="00496E2A"/>
    <w:rsid w:val="004A0244"/>
    <w:rsid w:val="004A3FF4"/>
    <w:rsid w:val="004A7674"/>
    <w:rsid w:val="004A783D"/>
    <w:rsid w:val="004B0974"/>
    <w:rsid w:val="004B13CB"/>
    <w:rsid w:val="004B2466"/>
    <w:rsid w:val="004B3C6F"/>
    <w:rsid w:val="004B4FDF"/>
    <w:rsid w:val="004B4FF2"/>
    <w:rsid w:val="004B716F"/>
    <w:rsid w:val="004B7C16"/>
    <w:rsid w:val="004B7E77"/>
    <w:rsid w:val="004C3355"/>
    <w:rsid w:val="004C4A8B"/>
    <w:rsid w:val="004C72F9"/>
    <w:rsid w:val="004C7994"/>
    <w:rsid w:val="004D04E2"/>
    <w:rsid w:val="004D4243"/>
    <w:rsid w:val="004D5D5C"/>
    <w:rsid w:val="004D752D"/>
    <w:rsid w:val="004D7763"/>
    <w:rsid w:val="004E0767"/>
    <w:rsid w:val="004E27DE"/>
    <w:rsid w:val="004E2F10"/>
    <w:rsid w:val="004E3276"/>
    <w:rsid w:val="004E4F74"/>
    <w:rsid w:val="004E5959"/>
    <w:rsid w:val="004E61FD"/>
    <w:rsid w:val="004E704A"/>
    <w:rsid w:val="004F051F"/>
    <w:rsid w:val="004F3D95"/>
    <w:rsid w:val="004F660E"/>
    <w:rsid w:val="004F7270"/>
    <w:rsid w:val="005004A4"/>
    <w:rsid w:val="00500A23"/>
    <w:rsid w:val="0050139F"/>
    <w:rsid w:val="00503663"/>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2A0F"/>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555B"/>
    <w:rsid w:val="005964AB"/>
    <w:rsid w:val="005A153C"/>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5F6F6E"/>
    <w:rsid w:val="00600B9C"/>
    <w:rsid w:val="006023DF"/>
    <w:rsid w:val="0060693B"/>
    <w:rsid w:val="0060767D"/>
    <w:rsid w:val="006103D8"/>
    <w:rsid w:val="006117C6"/>
    <w:rsid w:val="00611CD2"/>
    <w:rsid w:val="00612B34"/>
    <w:rsid w:val="00615AB9"/>
    <w:rsid w:val="00617602"/>
    <w:rsid w:val="00620ECD"/>
    <w:rsid w:val="00621FDD"/>
    <w:rsid w:val="00622B63"/>
    <w:rsid w:val="00624A81"/>
    <w:rsid w:val="0062697F"/>
    <w:rsid w:val="00627881"/>
    <w:rsid w:val="0063431D"/>
    <w:rsid w:val="00636181"/>
    <w:rsid w:val="00637E99"/>
    <w:rsid w:val="006422AD"/>
    <w:rsid w:val="006430DA"/>
    <w:rsid w:val="0064322F"/>
    <w:rsid w:val="006449A5"/>
    <w:rsid w:val="00644F99"/>
    <w:rsid w:val="006463EE"/>
    <w:rsid w:val="00657DE0"/>
    <w:rsid w:val="006608C4"/>
    <w:rsid w:val="006612C2"/>
    <w:rsid w:val="00661660"/>
    <w:rsid w:val="00661FB8"/>
    <w:rsid w:val="0066234B"/>
    <w:rsid w:val="006658E1"/>
    <w:rsid w:val="00665B75"/>
    <w:rsid w:val="00667A7F"/>
    <w:rsid w:val="00667F38"/>
    <w:rsid w:val="0067199F"/>
    <w:rsid w:val="00671C49"/>
    <w:rsid w:val="006747D8"/>
    <w:rsid w:val="00674AEF"/>
    <w:rsid w:val="00675DB5"/>
    <w:rsid w:val="00676ED7"/>
    <w:rsid w:val="00677048"/>
    <w:rsid w:val="00680225"/>
    <w:rsid w:val="00685313"/>
    <w:rsid w:val="00690B44"/>
    <w:rsid w:val="006912F3"/>
    <w:rsid w:val="00696E7A"/>
    <w:rsid w:val="00697312"/>
    <w:rsid w:val="006A0D14"/>
    <w:rsid w:val="006A47E5"/>
    <w:rsid w:val="006A6E9B"/>
    <w:rsid w:val="006A747C"/>
    <w:rsid w:val="006B1038"/>
    <w:rsid w:val="006B18DC"/>
    <w:rsid w:val="006B502E"/>
    <w:rsid w:val="006B5AA9"/>
    <w:rsid w:val="006B73C2"/>
    <w:rsid w:val="006B7C2A"/>
    <w:rsid w:val="006B7FD6"/>
    <w:rsid w:val="006C03CD"/>
    <w:rsid w:val="006C23DA"/>
    <w:rsid w:val="006C250D"/>
    <w:rsid w:val="006C3721"/>
    <w:rsid w:val="006C7898"/>
    <w:rsid w:val="006C7CA9"/>
    <w:rsid w:val="006D2DD5"/>
    <w:rsid w:val="006D4843"/>
    <w:rsid w:val="006D6130"/>
    <w:rsid w:val="006D6DDA"/>
    <w:rsid w:val="006E099C"/>
    <w:rsid w:val="006E3D45"/>
    <w:rsid w:val="006E593A"/>
    <w:rsid w:val="006E64F1"/>
    <w:rsid w:val="006E7629"/>
    <w:rsid w:val="006F0C99"/>
    <w:rsid w:val="006F1889"/>
    <w:rsid w:val="006F7874"/>
    <w:rsid w:val="006F7BD3"/>
    <w:rsid w:val="00700267"/>
    <w:rsid w:val="007034D9"/>
    <w:rsid w:val="00705932"/>
    <w:rsid w:val="00712149"/>
    <w:rsid w:val="007149F9"/>
    <w:rsid w:val="0071531C"/>
    <w:rsid w:val="0071541F"/>
    <w:rsid w:val="007167D5"/>
    <w:rsid w:val="00720DD1"/>
    <w:rsid w:val="007265FE"/>
    <w:rsid w:val="00730009"/>
    <w:rsid w:val="00733A30"/>
    <w:rsid w:val="007372E2"/>
    <w:rsid w:val="007379E5"/>
    <w:rsid w:val="007411C0"/>
    <w:rsid w:val="00743072"/>
    <w:rsid w:val="00745AEE"/>
    <w:rsid w:val="00747028"/>
    <w:rsid w:val="007479EA"/>
    <w:rsid w:val="00747A98"/>
    <w:rsid w:val="00750F10"/>
    <w:rsid w:val="0075242F"/>
    <w:rsid w:val="00756ADC"/>
    <w:rsid w:val="00761CEF"/>
    <w:rsid w:val="00761EEC"/>
    <w:rsid w:val="00764FA3"/>
    <w:rsid w:val="007654FE"/>
    <w:rsid w:val="00765BA5"/>
    <w:rsid w:val="007664D4"/>
    <w:rsid w:val="007669C0"/>
    <w:rsid w:val="00770D7E"/>
    <w:rsid w:val="007732AD"/>
    <w:rsid w:val="007742CA"/>
    <w:rsid w:val="0077509B"/>
    <w:rsid w:val="00776DB1"/>
    <w:rsid w:val="0077768B"/>
    <w:rsid w:val="0077794B"/>
    <w:rsid w:val="00792DB8"/>
    <w:rsid w:val="00793BB0"/>
    <w:rsid w:val="00794ABD"/>
    <w:rsid w:val="00794B4C"/>
    <w:rsid w:val="00795C00"/>
    <w:rsid w:val="0079605E"/>
    <w:rsid w:val="007A4C7D"/>
    <w:rsid w:val="007A717E"/>
    <w:rsid w:val="007A7FAF"/>
    <w:rsid w:val="007B0841"/>
    <w:rsid w:val="007B12EB"/>
    <w:rsid w:val="007B2EB6"/>
    <w:rsid w:val="007B3BF6"/>
    <w:rsid w:val="007B4578"/>
    <w:rsid w:val="007C0A4D"/>
    <w:rsid w:val="007C2360"/>
    <w:rsid w:val="007C5A7B"/>
    <w:rsid w:val="007C7F78"/>
    <w:rsid w:val="007D06F0"/>
    <w:rsid w:val="007D2DB7"/>
    <w:rsid w:val="007D35D0"/>
    <w:rsid w:val="007D3C25"/>
    <w:rsid w:val="007D45E3"/>
    <w:rsid w:val="007D5320"/>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2548"/>
    <w:rsid w:val="00804475"/>
    <w:rsid w:val="0081159E"/>
    <w:rsid w:val="00811633"/>
    <w:rsid w:val="00814643"/>
    <w:rsid w:val="00814C00"/>
    <w:rsid w:val="00821ACB"/>
    <w:rsid w:val="00821CEF"/>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19F2"/>
    <w:rsid w:val="008A2753"/>
    <w:rsid w:val="008A29D0"/>
    <w:rsid w:val="008A3933"/>
    <w:rsid w:val="008A7165"/>
    <w:rsid w:val="008A75AD"/>
    <w:rsid w:val="008B1938"/>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B26"/>
    <w:rsid w:val="00911A48"/>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7407D"/>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A372C"/>
    <w:rsid w:val="009B28F2"/>
    <w:rsid w:val="009B5126"/>
    <w:rsid w:val="009B71C3"/>
    <w:rsid w:val="009B75FF"/>
    <w:rsid w:val="009C39A2"/>
    <w:rsid w:val="009C4D44"/>
    <w:rsid w:val="009C56E5"/>
    <w:rsid w:val="009C6F7B"/>
    <w:rsid w:val="009D3343"/>
    <w:rsid w:val="009D3429"/>
    <w:rsid w:val="009E1DBD"/>
    <w:rsid w:val="009E34C0"/>
    <w:rsid w:val="009E3F7C"/>
    <w:rsid w:val="009E5FC8"/>
    <w:rsid w:val="009E687A"/>
    <w:rsid w:val="009E72E7"/>
    <w:rsid w:val="009F1542"/>
    <w:rsid w:val="00A00AC6"/>
    <w:rsid w:val="00A02E5B"/>
    <w:rsid w:val="00A03C5C"/>
    <w:rsid w:val="00A04FB0"/>
    <w:rsid w:val="00A066F1"/>
    <w:rsid w:val="00A1280A"/>
    <w:rsid w:val="00A1347B"/>
    <w:rsid w:val="00A141AF"/>
    <w:rsid w:val="00A14BC0"/>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01B"/>
    <w:rsid w:val="00A54C25"/>
    <w:rsid w:val="00A56C71"/>
    <w:rsid w:val="00A612BB"/>
    <w:rsid w:val="00A62F73"/>
    <w:rsid w:val="00A67FB8"/>
    <w:rsid w:val="00A7027A"/>
    <w:rsid w:val="00A7095B"/>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457D"/>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23AE"/>
    <w:rsid w:val="00B43D73"/>
    <w:rsid w:val="00B44083"/>
    <w:rsid w:val="00B441B1"/>
    <w:rsid w:val="00B45C98"/>
    <w:rsid w:val="00B50520"/>
    <w:rsid w:val="00B52B26"/>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0496"/>
    <w:rsid w:val="00BC1DBF"/>
    <w:rsid w:val="00BC1F61"/>
    <w:rsid w:val="00BC31AC"/>
    <w:rsid w:val="00BC401E"/>
    <w:rsid w:val="00BC6488"/>
    <w:rsid w:val="00BD11D6"/>
    <w:rsid w:val="00BD239D"/>
    <w:rsid w:val="00BD31E7"/>
    <w:rsid w:val="00BD38EC"/>
    <w:rsid w:val="00BD3DA5"/>
    <w:rsid w:val="00BD50BD"/>
    <w:rsid w:val="00BD618D"/>
    <w:rsid w:val="00BD62C6"/>
    <w:rsid w:val="00BE2BC1"/>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00C"/>
    <w:rsid w:val="00C20287"/>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C5A60"/>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9DE"/>
    <w:rsid w:val="00D00E2A"/>
    <w:rsid w:val="00D0135C"/>
    <w:rsid w:val="00D01EFE"/>
    <w:rsid w:val="00D038D5"/>
    <w:rsid w:val="00D0723D"/>
    <w:rsid w:val="00D107E7"/>
    <w:rsid w:val="00D10D23"/>
    <w:rsid w:val="00D12A27"/>
    <w:rsid w:val="00D14CE0"/>
    <w:rsid w:val="00D217E0"/>
    <w:rsid w:val="00D233CB"/>
    <w:rsid w:val="00D27D0F"/>
    <w:rsid w:val="00D30A47"/>
    <w:rsid w:val="00D30ABC"/>
    <w:rsid w:val="00D33DC1"/>
    <w:rsid w:val="00D36333"/>
    <w:rsid w:val="00D42CDE"/>
    <w:rsid w:val="00D42FEE"/>
    <w:rsid w:val="00D44DE2"/>
    <w:rsid w:val="00D45A9C"/>
    <w:rsid w:val="00D50061"/>
    <w:rsid w:val="00D53EAE"/>
    <w:rsid w:val="00D541E4"/>
    <w:rsid w:val="00D5651D"/>
    <w:rsid w:val="00D56836"/>
    <w:rsid w:val="00D61378"/>
    <w:rsid w:val="00D62D8E"/>
    <w:rsid w:val="00D634E2"/>
    <w:rsid w:val="00D63D86"/>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44E"/>
    <w:rsid w:val="00DA3AC1"/>
    <w:rsid w:val="00DA3AC4"/>
    <w:rsid w:val="00DA453A"/>
    <w:rsid w:val="00DA561A"/>
    <w:rsid w:val="00DA5C6F"/>
    <w:rsid w:val="00DA6B46"/>
    <w:rsid w:val="00DA7078"/>
    <w:rsid w:val="00DB1086"/>
    <w:rsid w:val="00DB2FB8"/>
    <w:rsid w:val="00DB43FA"/>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1EAF"/>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66F9E"/>
    <w:rsid w:val="00E71B64"/>
    <w:rsid w:val="00E75A50"/>
    <w:rsid w:val="00E81961"/>
    <w:rsid w:val="00E82877"/>
    <w:rsid w:val="00E83BBB"/>
    <w:rsid w:val="00E84088"/>
    <w:rsid w:val="00E84C4F"/>
    <w:rsid w:val="00E86FB1"/>
    <w:rsid w:val="00E90BE9"/>
    <w:rsid w:val="00E976C1"/>
    <w:rsid w:val="00EA025D"/>
    <w:rsid w:val="00EA07F0"/>
    <w:rsid w:val="00EA1053"/>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72B"/>
    <w:rsid w:val="00F15E05"/>
    <w:rsid w:val="00F16F35"/>
    <w:rsid w:val="00F17504"/>
    <w:rsid w:val="00F20CA2"/>
    <w:rsid w:val="00F21A1D"/>
    <w:rsid w:val="00F21D10"/>
    <w:rsid w:val="00F236B9"/>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03C9"/>
    <w:rsid w:val="00FA1D7B"/>
    <w:rsid w:val="00FA4CD4"/>
    <w:rsid w:val="00FA579C"/>
    <w:rsid w:val="00FA668B"/>
    <w:rsid w:val="00FB20E0"/>
    <w:rsid w:val="00FB34B9"/>
    <w:rsid w:val="00FC0BEF"/>
    <w:rsid w:val="00FC24DA"/>
    <w:rsid w:val="00FC4678"/>
    <w:rsid w:val="00FC6545"/>
    <w:rsid w:val="00FD0183"/>
    <w:rsid w:val="00FD037B"/>
    <w:rsid w:val="00FD1EFA"/>
    <w:rsid w:val="00FD2546"/>
    <w:rsid w:val="00FD3A5B"/>
    <w:rsid w:val="00FD772E"/>
    <w:rsid w:val="00FE3346"/>
    <w:rsid w:val="00FE3926"/>
    <w:rsid w:val="00FE399E"/>
    <w:rsid w:val="00FE43D6"/>
    <w:rsid w:val="00FE48BE"/>
    <w:rsid w:val="00FE5396"/>
    <w:rsid w:val="00FE7205"/>
    <w:rsid w:val="00FE78C7"/>
    <w:rsid w:val="00FF21ED"/>
    <w:rsid w:val="00FF220A"/>
    <w:rsid w:val="00FF2A26"/>
    <w:rsid w:val="00FF3D55"/>
    <w:rsid w:val="00FF43AC"/>
    <w:rsid w:val="00FF7C84"/>
    <w:rsid w:val="0F112F12"/>
    <w:rsid w:val="3707D9A1"/>
    <w:rsid w:val="383C9F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B85F14FC-D790-4C67-9495-E82B2940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Subtitle">
    <w:name w:val="Sub_title"/>
    <w:basedOn w:val="Title1"/>
    <w:qFormat/>
    <w:rsid w:val="00DA344E"/>
    <w:pPr>
      <w:framePr w:hSpace="180" w:wrap="around" w:hAnchor="text" w:x="1821" w:y="2317"/>
      <w:tabs>
        <w:tab w:val="clear" w:pos="1871"/>
        <w:tab w:val="left" w:pos="567"/>
        <w:tab w:val="left" w:pos="1701"/>
        <w:tab w:val="left" w:pos="2835"/>
      </w:tabs>
      <w:spacing w:before="120" w:after="160"/>
      <w:jc w:val="left"/>
    </w:pPr>
    <w:rPr>
      <w:rFonts w:ascii="Calibri" w:eastAsia="SimSun" w:hAnsi="Calibri"/>
      <w:cap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C-0035/" TargetMode="External"/><Relationship Id="rId18" Type="http://schemas.openxmlformats.org/officeDocument/2006/relationships/hyperlink" Target="https://www.itu.int/en/general-secretariat/ties/ISCGDocumentLibrary/Liaisons%20Statements%20on%20Inter-Sectoral%20Coordination%20Activities/Mapping-of-Resolutions-Updated%20Dec20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2-C-0034/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5-CWGFHR20-C-000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S25-CWGFHR20-C-0024/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general-secretariat/Pages/ISCG/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1119</Words>
  <Characters>6382</Characters>
  <Application>Microsoft Office Word</Application>
  <DocSecurity>0</DocSecurity>
  <Lines>53</Lines>
  <Paragraphs>14</Paragraphs>
  <ScaleCrop>false</ScaleCrop>
  <Manager>General Secretariat - Pool</Manager>
  <Company/>
  <LinksUpToDate>false</LinksUpToDate>
  <CharactersWithSpaces>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42</cp:revision>
  <cp:lastPrinted>2019-01-16T07:57:00Z</cp:lastPrinted>
  <dcterms:created xsi:type="dcterms:W3CDTF">2025-03-28T18:40:00Z</dcterms:created>
  <dcterms:modified xsi:type="dcterms:W3CDTF">2025-04-07T17:14:00Z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