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036BE623">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0E0C74C1"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00076750">
              <w:rPr>
                <w:b/>
                <w:bCs/>
                <w:sz w:val="26"/>
                <w:szCs w:val="26"/>
                <w:lang w:val="es-ES_tradnl"/>
              </w:rPr>
              <w:t>.</w:t>
            </w:r>
            <w:r w:rsidRPr="00D8041C">
              <w:rPr>
                <w:b/>
                <w:bCs/>
                <w:sz w:val="26"/>
                <w:szCs w:val="26"/>
                <w:lang w:val="es-ES_tradnl"/>
              </w:rPr>
              <w:t xml:space="preserve">ª reunión, Ginebra </w:t>
            </w:r>
            <w:r w:rsidR="00DE60A2">
              <w:rPr>
                <w:b/>
                <w:bCs/>
                <w:sz w:val="26"/>
                <w:szCs w:val="26"/>
                <w:lang w:val="es-ES_tradnl"/>
              </w:rPr>
              <w:t>(</w:t>
            </w:r>
            <w:r w:rsidRPr="00D8041C">
              <w:rPr>
                <w:b/>
                <w:bCs/>
                <w:sz w:val="26"/>
                <w:szCs w:val="26"/>
                <w:lang w:val="es-ES_tradnl"/>
              </w:rPr>
              <w:t>Suiza</w:t>
            </w:r>
            <w:r w:rsidR="00DE60A2">
              <w:rPr>
                <w:b/>
                <w:bCs/>
                <w:sz w:val="26"/>
                <w:szCs w:val="26"/>
                <w:lang w:val="es-ES_tradnl"/>
              </w:rPr>
              <w:t>)</w:t>
            </w:r>
            <w:r w:rsidRPr="00D8041C">
              <w:rPr>
                <w:b/>
                <w:bCs/>
                <w:sz w:val="26"/>
                <w:szCs w:val="26"/>
                <w:lang w:val="es-ES_tradnl"/>
              </w:rPr>
              <w:t xml:space="preserve">,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0D0547" w:rsidRPr="00D8041C" w14:paraId="1A41C910" w14:textId="77777777" w:rsidTr="00F92361">
        <w:trPr>
          <w:cantSplit/>
        </w:trPr>
        <w:tc>
          <w:tcPr>
            <w:tcW w:w="6404" w:type="dxa"/>
            <w:gridSpan w:val="2"/>
          </w:tcPr>
          <w:p w14:paraId="7F0CCFE3" w14:textId="77777777" w:rsidR="000D0547" w:rsidRPr="002707B1" w:rsidRDefault="000D0547" w:rsidP="000D0547">
            <w:pPr>
              <w:pStyle w:val="Committee"/>
              <w:spacing w:before="0"/>
              <w:rPr>
                <w:bCs/>
                <w:szCs w:val="24"/>
                <w:lang w:val="es-ES_tradnl"/>
              </w:rPr>
            </w:pPr>
          </w:p>
        </w:tc>
        <w:tc>
          <w:tcPr>
            <w:tcW w:w="3484" w:type="dxa"/>
            <w:gridSpan w:val="2"/>
          </w:tcPr>
          <w:p w14:paraId="29902756" w14:textId="5E00C42A" w:rsidR="000D0547" w:rsidRPr="00D8041C" w:rsidRDefault="000D0547" w:rsidP="000D0547">
            <w:pPr>
              <w:spacing w:before="0"/>
              <w:jc w:val="both"/>
              <w:rPr>
                <w:bCs/>
                <w:szCs w:val="24"/>
                <w:lang w:val="es-ES_tradnl"/>
              </w:rPr>
            </w:pPr>
            <w:r w:rsidRPr="00E83271">
              <w:rPr>
                <w:b/>
                <w:bCs/>
                <w:lang w:val="es-ES_tradnl"/>
              </w:rPr>
              <w:t xml:space="preserve">Documento </w:t>
            </w:r>
            <w:bookmarkStart w:id="0" w:name="DocRef1"/>
            <w:bookmarkEnd w:id="0"/>
            <w:r w:rsidRPr="00E83271">
              <w:rPr>
                <w:b/>
                <w:bCs/>
                <w:lang w:val="es-ES_tradnl"/>
              </w:rPr>
              <w:t>TDAG-25/21-S</w:t>
            </w:r>
          </w:p>
        </w:tc>
      </w:tr>
      <w:tr w:rsidR="000D0547" w:rsidRPr="00D8041C" w14:paraId="46AC7811" w14:textId="77777777" w:rsidTr="00F92361">
        <w:trPr>
          <w:cantSplit/>
        </w:trPr>
        <w:tc>
          <w:tcPr>
            <w:tcW w:w="6404" w:type="dxa"/>
            <w:gridSpan w:val="2"/>
          </w:tcPr>
          <w:p w14:paraId="68CB34D7" w14:textId="77777777" w:rsidR="000D0547" w:rsidRPr="00D8041C" w:rsidRDefault="000D0547" w:rsidP="000D0547">
            <w:pPr>
              <w:spacing w:before="0"/>
              <w:rPr>
                <w:b/>
                <w:bCs/>
                <w:smallCaps/>
                <w:szCs w:val="24"/>
                <w:lang w:val="es-ES_tradnl"/>
              </w:rPr>
            </w:pPr>
          </w:p>
        </w:tc>
        <w:tc>
          <w:tcPr>
            <w:tcW w:w="3484" w:type="dxa"/>
            <w:gridSpan w:val="2"/>
          </w:tcPr>
          <w:p w14:paraId="56B707A0" w14:textId="688B0F4E" w:rsidR="000D0547" w:rsidRPr="00DE60A2" w:rsidRDefault="000D0547" w:rsidP="000D0547">
            <w:pPr>
              <w:spacing w:before="0"/>
              <w:jc w:val="both"/>
              <w:rPr>
                <w:b/>
                <w:bCs/>
                <w:lang w:val="es-ES_tradnl"/>
              </w:rPr>
            </w:pPr>
            <w:bookmarkStart w:id="1" w:name="CreationDate"/>
            <w:bookmarkEnd w:id="1"/>
            <w:r w:rsidRPr="00E83271">
              <w:rPr>
                <w:b/>
                <w:bCs/>
                <w:szCs w:val="28"/>
                <w:lang w:val="es-ES_tradnl"/>
              </w:rPr>
              <w:t>31 de marzo de 2024</w:t>
            </w:r>
          </w:p>
        </w:tc>
      </w:tr>
      <w:tr w:rsidR="000D0547" w:rsidRPr="00D8041C" w14:paraId="0C2E025B" w14:textId="77777777" w:rsidTr="00F92361">
        <w:trPr>
          <w:cantSplit/>
        </w:trPr>
        <w:tc>
          <w:tcPr>
            <w:tcW w:w="6404" w:type="dxa"/>
            <w:gridSpan w:val="2"/>
          </w:tcPr>
          <w:p w14:paraId="6186F014" w14:textId="77777777" w:rsidR="000D0547" w:rsidRPr="002707B1" w:rsidRDefault="000D0547" w:rsidP="000D0547">
            <w:pPr>
              <w:spacing w:before="0"/>
              <w:rPr>
                <w:smallCaps/>
                <w:szCs w:val="24"/>
                <w:lang w:val="es-ES_tradnl"/>
              </w:rPr>
            </w:pPr>
          </w:p>
        </w:tc>
        <w:tc>
          <w:tcPr>
            <w:tcW w:w="3484" w:type="dxa"/>
            <w:gridSpan w:val="2"/>
          </w:tcPr>
          <w:p w14:paraId="10B5092F" w14:textId="0C1F6675" w:rsidR="000D0547" w:rsidRPr="00DE60A2" w:rsidRDefault="000D0547" w:rsidP="000D0547">
            <w:pPr>
              <w:spacing w:before="0"/>
              <w:jc w:val="both"/>
              <w:rPr>
                <w:b/>
                <w:bCs/>
                <w:lang w:val="es-ES_tradnl"/>
              </w:rPr>
            </w:pPr>
            <w:r w:rsidRPr="00E83271">
              <w:rPr>
                <w:b/>
                <w:lang w:val="es-ES_tradnl"/>
              </w:rPr>
              <w:t>Original: inglés</w:t>
            </w:r>
          </w:p>
        </w:tc>
      </w:tr>
      <w:tr w:rsidR="003137FF" w:rsidRPr="000D0547" w14:paraId="6160D154" w14:textId="77777777" w:rsidTr="00107E85">
        <w:trPr>
          <w:cantSplit/>
          <w:trHeight w:val="852"/>
        </w:trPr>
        <w:tc>
          <w:tcPr>
            <w:tcW w:w="9888" w:type="dxa"/>
            <w:gridSpan w:val="4"/>
          </w:tcPr>
          <w:p w14:paraId="5C1D0BF6" w14:textId="15DE19A2" w:rsidR="003137FF" w:rsidRPr="00D8041C" w:rsidRDefault="000D0547" w:rsidP="003137FF">
            <w:pPr>
              <w:pStyle w:val="Source"/>
              <w:rPr>
                <w:lang w:val="es-ES_tradnl"/>
              </w:rPr>
            </w:pPr>
            <w:bookmarkStart w:id="2" w:name="Source"/>
            <w:bookmarkEnd w:id="2"/>
            <w:r w:rsidRPr="00E83271">
              <w:rPr>
                <w:szCs w:val="28"/>
                <w:lang w:val="es-ES_tradnl"/>
              </w:rPr>
              <w:t>Presidenta del GT-GADT-PUITD</w:t>
            </w:r>
          </w:p>
        </w:tc>
      </w:tr>
      <w:tr w:rsidR="003137FF" w:rsidRPr="000D0547" w14:paraId="1B6579E9" w14:textId="77777777" w:rsidTr="00107E85">
        <w:trPr>
          <w:cantSplit/>
        </w:trPr>
        <w:tc>
          <w:tcPr>
            <w:tcW w:w="9888" w:type="dxa"/>
            <w:gridSpan w:val="4"/>
          </w:tcPr>
          <w:p w14:paraId="5A4B721C" w14:textId="0A2D0239" w:rsidR="003137FF" w:rsidRPr="00D8041C" w:rsidRDefault="000D0547" w:rsidP="003137FF">
            <w:pPr>
              <w:pStyle w:val="Title1"/>
              <w:rPr>
                <w:lang w:val="es-ES_tradnl"/>
              </w:rPr>
            </w:pPr>
            <w:bookmarkStart w:id="3" w:name="Title"/>
            <w:bookmarkEnd w:id="3"/>
            <w:r w:rsidRPr="00E83271">
              <w:rPr>
                <w:rFonts w:cs="Times New Roman"/>
                <w:bCs/>
                <w:szCs w:val="28"/>
                <w:lang w:val="es-ES_tradnl"/>
              </w:rPr>
              <w:t>Informe sobre la marcha de los trabajos del Grupo de Trabajo del GADT sobre las Prioridades del UIT-D</w:t>
            </w:r>
          </w:p>
        </w:tc>
      </w:tr>
      <w:tr w:rsidR="003137FF" w:rsidRPr="000D0547" w14:paraId="4228EE8B" w14:textId="77777777" w:rsidTr="00A721F4">
        <w:trPr>
          <w:cantSplit/>
        </w:trPr>
        <w:tc>
          <w:tcPr>
            <w:tcW w:w="9888" w:type="dxa"/>
            <w:gridSpan w:val="4"/>
            <w:tcBorders>
              <w:bottom w:val="single" w:sz="4" w:space="0" w:color="auto"/>
            </w:tcBorders>
          </w:tcPr>
          <w:p w14:paraId="1F029C0A" w14:textId="77777777" w:rsidR="003137FF" w:rsidRPr="00D8041C" w:rsidRDefault="003137FF" w:rsidP="003137FF">
            <w:pPr>
              <w:spacing w:after="120"/>
              <w:rPr>
                <w:lang w:val="es-ES_tradnl"/>
              </w:rPr>
            </w:pPr>
          </w:p>
        </w:tc>
      </w:tr>
      <w:tr w:rsidR="003137FF" w:rsidRPr="000D0547"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083E74D2" w14:textId="77777777" w:rsidR="000D0547" w:rsidRPr="00E83271" w:rsidRDefault="000D0547" w:rsidP="000D0547">
            <w:pPr>
              <w:spacing w:after="120"/>
              <w:rPr>
                <w:b/>
                <w:bCs/>
                <w:szCs w:val="24"/>
                <w:lang w:val="es-ES_tradnl"/>
              </w:rPr>
            </w:pPr>
            <w:r w:rsidRPr="00E83271">
              <w:rPr>
                <w:b/>
                <w:bCs/>
                <w:szCs w:val="24"/>
                <w:lang w:val="es-ES_tradnl"/>
              </w:rPr>
              <w:t>Resumen:</w:t>
            </w:r>
          </w:p>
          <w:p w14:paraId="5F144E6A" w14:textId="77777777" w:rsidR="000D0547" w:rsidRPr="00E83271" w:rsidRDefault="000D0547" w:rsidP="000D0547">
            <w:pPr>
              <w:spacing w:after="120"/>
              <w:rPr>
                <w:szCs w:val="24"/>
                <w:lang w:val="es-ES_tradnl"/>
              </w:rPr>
            </w:pPr>
            <w:r w:rsidRPr="00E83271">
              <w:rPr>
                <w:lang w:val="es-ES_tradnl"/>
              </w:rPr>
              <w:t>El presente documento contiene un resumen de los debates celebrados e información actualizada sobre los avances logrados por el Grupo.</w:t>
            </w:r>
          </w:p>
          <w:p w14:paraId="29112634" w14:textId="77777777" w:rsidR="000D0547" w:rsidRPr="00E83271" w:rsidRDefault="000D0547" w:rsidP="000D0547">
            <w:pPr>
              <w:spacing w:after="120"/>
              <w:rPr>
                <w:b/>
                <w:bCs/>
                <w:szCs w:val="24"/>
                <w:lang w:val="es-ES_tradnl"/>
              </w:rPr>
            </w:pPr>
            <w:r w:rsidRPr="00E83271">
              <w:rPr>
                <w:b/>
                <w:bCs/>
                <w:lang w:val="es-ES_tradnl"/>
              </w:rPr>
              <w:t>Acción solicitada:</w:t>
            </w:r>
          </w:p>
          <w:p w14:paraId="11F36FBC" w14:textId="77777777" w:rsidR="000D0547" w:rsidRPr="00E83271" w:rsidRDefault="000D0547" w:rsidP="000D0547">
            <w:pPr>
              <w:spacing w:after="120"/>
              <w:rPr>
                <w:szCs w:val="24"/>
                <w:lang w:val="es-ES_tradnl"/>
              </w:rPr>
            </w:pPr>
            <w:r w:rsidRPr="00E83271">
              <w:rPr>
                <w:lang w:val="es-ES_tradnl"/>
              </w:rPr>
              <w:t>Documento presentado a título informativo.</w:t>
            </w:r>
          </w:p>
          <w:p w14:paraId="431246C7" w14:textId="77777777" w:rsidR="000D0547" w:rsidRPr="00E83271" w:rsidRDefault="000D0547" w:rsidP="000D0547">
            <w:pPr>
              <w:spacing w:after="120"/>
              <w:rPr>
                <w:b/>
                <w:bCs/>
                <w:szCs w:val="24"/>
                <w:lang w:val="es-ES_tradnl"/>
              </w:rPr>
            </w:pPr>
            <w:r w:rsidRPr="00E83271">
              <w:rPr>
                <w:b/>
                <w:bCs/>
                <w:szCs w:val="24"/>
                <w:lang w:val="es-ES_tradnl"/>
              </w:rPr>
              <w:t>Referencias:</w:t>
            </w:r>
          </w:p>
          <w:p w14:paraId="2F322513" w14:textId="1CF1ECC4" w:rsidR="000D0547" w:rsidRPr="00E83271" w:rsidRDefault="000D0547" w:rsidP="000D0547">
            <w:pPr>
              <w:pStyle w:val="ListParagraph"/>
              <w:numPr>
                <w:ilvl w:val="0"/>
                <w:numId w:val="3"/>
              </w:numPr>
              <w:spacing w:before="60" w:after="60"/>
              <w:ind w:left="357" w:hanging="357"/>
              <w:contextualSpacing w:val="0"/>
              <w:rPr>
                <w:lang w:val="es-ES_tradnl"/>
              </w:rPr>
            </w:pPr>
            <w:r w:rsidRPr="00E83271">
              <w:rPr>
                <w:lang w:val="es-ES_tradnl"/>
              </w:rPr>
              <w:t>Mandato del GT-GADT-PUITD (</w:t>
            </w:r>
            <w:hyperlink r:id="rId13" w:history="1">
              <w:r w:rsidRPr="00E83271">
                <w:rPr>
                  <w:rStyle w:val="Hyperlink"/>
                  <w:lang w:val="es-ES_tradnl"/>
                </w:rPr>
                <w:t>TDAG-24/DT/5</w:t>
              </w:r>
            </w:hyperlink>
            <w:r w:rsidRPr="00E83271">
              <w:rPr>
                <w:lang w:val="es-ES_tradnl"/>
              </w:rPr>
              <w:t>)</w:t>
            </w:r>
          </w:p>
          <w:p w14:paraId="31C50925" w14:textId="1D9485BB" w:rsidR="000D0547" w:rsidRPr="00E83271" w:rsidRDefault="000D0547" w:rsidP="000D0547">
            <w:pPr>
              <w:pStyle w:val="ListParagraph"/>
              <w:numPr>
                <w:ilvl w:val="0"/>
                <w:numId w:val="3"/>
              </w:numPr>
              <w:spacing w:before="60" w:after="60"/>
              <w:ind w:left="357" w:hanging="357"/>
              <w:contextualSpacing w:val="0"/>
              <w:rPr>
                <w:lang w:val="es-ES_tradnl"/>
              </w:rPr>
            </w:pPr>
            <w:r w:rsidRPr="00E83271">
              <w:rPr>
                <w:lang w:val="es-ES_tradnl"/>
              </w:rPr>
              <w:t>Informe de la primera reunión del Grupo de Trabajo del GADT sobre las Prioridades del UIT-D (</w:t>
            </w:r>
            <w:hyperlink r:id="rId14" w:history="1">
              <w:r w:rsidRPr="00E83271">
                <w:rPr>
                  <w:rStyle w:val="Hyperlink"/>
                  <w:lang w:val="es-ES_tradnl"/>
                </w:rPr>
                <w:t>TD</w:t>
              </w:r>
              <w:r w:rsidRPr="00E83271">
                <w:rPr>
                  <w:rStyle w:val="Hyperlink"/>
                  <w:lang w:val="es-ES_tradnl"/>
                </w:rPr>
                <w:t>A</w:t>
              </w:r>
              <w:r w:rsidRPr="00E83271">
                <w:rPr>
                  <w:rStyle w:val="Hyperlink"/>
                  <w:lang w:val="es-ES_tradnl"/>
                </w:rPr>
                <w:t>G-WG-ITUDP/3</w:t>
              </w:r>
            </w:hyperlink>
            <w:r w:rsidRPr="00E83271">
              <w:rPr>
                <w:lang w:val="es-ES_tradnl"/>
              </w:rPr>
              <w:t>)</w:t>
            </w:r>
          </w:p>
          <w:p w14:paraId="6EFC8F9A" w14:textId="3691146A" w:rsidR="000D0547" w:rsidRPr="00E83271" w:rsidRDefault="000D0547" w:rsidP="000D0547">
            <w:pPr>
              <w:pStyle w:val="ListParagraph"/>
              <w:numPr>
                <w:ilvl w:val="0"/>
                <w:numId w:val="3"/>
              </w:numPr>
              <w:spacing w:before="60" w:after="60"/>
              <w:ind w:left="357" w:hanging="357"/>
              <w:contextualSpacing w:val="0"/>
              <w:rPr>
                <w:lang w:val="es-ES_tradnl"/>
              </w:rPr>
            </w:pPr>
            <w:r w:rsidRPr="00E83271">
              <w:rPr>
                <w:lang w:val="es-ES_tradnl"/>
              </w:rPr>
              <w:t>Informe de la segunda reunión del Grupo de Trabajo del GADT sobre las Prioridades del UIT-D (</w:t>
            </w:r>
            <w:hyperlink r:id="rId15" w:history="1">
              <w:r w:rsidRPr="00E83271">
                <w:rPr>
                  <w:rStyle w:val="Hyperlink"/>
                  <w:lang w:val="es-ES_tradnl"/>
                </w:rPr>
                <w:t>TDAG-</w:t>
              </w:r>
              <w:r w:rsidRPr="00E83271">
                <w:rPr>
                  <w:rStyle w:val="Hyperlink"/>
                  <w:lang w:val="es-ES_tradnl"/>
                </w:rPr>
                <w:t>W</w:t>
              </w:r>
              <w:r w:rsidRPr="00E83271">
                <w:rPr>
                  <w:rStyle w:val="Hyperlink"/>
                  <w:lang w:val="es-ES_tradnl"/>
                </w:rPr>
                <w:t>G-ITUDP/6</w:t>
              </w:r>
            </w:hyperlink>
            <w:r w:rsidRPr="00E83271">
              <w:rPr>
                <w:lang w:val="es-ES_tradnl"/>
              </w:rPr>
              <w:t>)</w:t>
            </w:r>
          </w:p>
          <w:p w14:paraId="1B5631CD" w14:textId="1386614B" w:rsidR="003137FF" w:rsidRPr="00D8041C" w:rsidRDefault="000D0547" w:rsidP="0024077F">
            <w:pPr>
              <w:pStyle w:val="ListParagraph"/>
              <w:numPr>
                <w:ilvl w:val="0"/>
                <w:numId w:val="3"/>
              </w:numPr>
              <w:spacing w:before="60" w:after="60"/>
              <w:ind w:left="357" w:hanging="357"/>
              <w:contextualSpacing w:val="0"/>
              <w:rPr>
                <w:lang w:val="es-ES_tradnl"/>
              </w:rPr>
            </w:pPr>
            <w:r w:rsidRPr="00E83271">
              <w:rPr>
                <w:lang w:val="es-ES_tradnl"/>
              </w:rPr>
              <w:t>Informe de la tercera reunión del Grupo de Trabajo del GADT sobre las Prioridades del UIT-D (</w:t>
            </w:r>
            <w:hyperlink r:id="rId16" w:history="1">
              <w:r w:rsidRPr="00E83271">
                <w:rPr>
                  <w:rStyle w:val="Hyperlink"/>
                  <w:lang w:val="es-ES_tradnl"/>
                </w:rPr>
                <w:t>TDAG-WG</w:t>
              </w:r>
              <w:r w:rsidRPr="00E83271">
                <w:rPr>
                  <w:rStyle w:val="Hyperlink"/>
                  <w:lang w:val="es-ES_tradnl"/>
                </w:rPr>
                <w:t>-</w:t>
              </w:r>
              <w:r w:rsidRPr="00E83271">
                <w:rPr>
                  <w:rStyle w:val="Hyperlink"/>
                  <w:lang w:val="es-ES_tradnl"/>
                </w:rPr>
                <w:t>ITUDP/8</w:t>
              </w:r>
            </w:hyperlink>
            <w:r w:rsidRPr="00E83271">
              <w:rPr>
                <w:lang w:val="es-ES_tradnl"/>
              </w:rPr>
              <w:t>)</w:t>
            </w:r>
          </w:p>
        </w:tc>
      </w:tr>
    </w:tbl>
    <w:p w14:paraId="6DB314AC" w14:textId="77777777" w:rsidR="00D96DCB" w:rsidRDefault="00D96DCB" w:rsidP="009B68B5">
      <w:pPr>
        <w:rPr>
          <w:lang w:val="es-ES"/>
        </w:rPr>
      </w:pPr>
    </w:p>
    <w:p w14:paraId="1D19608A" w14:textId="254F4913" w:rsidR="00923CF1" w:rsidRPr="00D8041C" w:rsidRDefault="00923CF1" w:rsidP="009B68B5">
      <w:pPr>
        <w:rPr>
          <w:lang w:val="es-ES_tradnl"/>
        </w:rPr>
      </w:pPr>
      <w:r w:rsidRPr="00D8041C">
        <w:rPr>
          <w:lang w:val="es-ES_tradnl"/>
        </w:rPr>
        <w:br w:type="page"/>
      </w:r>
    </w:p>
    <w:p w14:paraId="27EC2247" w14:textId="7CE381D9" w:rsidR="000D0547" w:rsidRPr="0024077F" w:rsidRDefault="0024077F" w:rsidP="0024077F">
      <w:pPr>
        <w:pStyle w:val="Heading1"/>
        <w:rPr>
          <w:sz w:val="24"/>
          <w:szCs w:val="24"/>
          <w:lang w:val="es-ES_tradnl"/>
        </w:rPr>
      </w:pPr>
      <w:r w:rsidRPr="0024077F">
        <w:rPr>
          <w:sz w:val="24"/>
          <w:szCs w:val="24"/>
          <w:lang w:val="es-ES_tradnl"/>
        </w:rPr>
        <w:lastRenderedPageBreak/>
        <w:t>1</w:t>
      </w:r>
      <w:r w:rsidRPr="0024077F">
        <w:rPr>
          <w:sz w:val="24"/>
          <w:szCs w:val="24"/>
          <w:lang w:val="es-ES_tradnl"/>
        </w:rPr>
        <w:tab/>
      </w:r>
      <w:r w:rsidR="000D0547" w:rsidRPr="0024077F">
        <w:rPr>
          <w:sz w:val="24"/>
          <w:szCs w:val="24"/>
          <w:lang w:val="es-ES_tradnl"/>
        </w:rPr>
        <w:t>Introducción</w:t>
      </w:r>
    </w:p>
    <w:p w14:paraId="28EBD563" w14:textId="77777777" w:rsidR="000D0547" w:rsidRPr="00E83271" w:rsidRDefault="000D0547" w:rsidP="005C011C">
      <w:pPr>
        <w:rPr>
          <w:lang w:val="es-ES_tradnl"/>
        </w:rPr>
      </w:pPr>
      <w:r w:rsidRPr="00E83271">
        <w:rPr>
          <w:lang w:val="es-ES_tradnl"/>
        </w:rPr>
        <w:t xml:space="preserve">El GADT creó su Grupo de Trabajo sobre las Prioridades del UIT-D (GT-GADT-PUITD) con el siguiente mandato: </w:t>
      </w:r>
    </w:p>
    <w:p w14:paraId="7A65F766" w14:textId="7306854C" w:rsidR="000D0547" w:rsidRPr="00E83271" w:rsidRDefault="0024077F" w:rsidP="0024077F">
      <w:pPr>
        <w:pStyle w:val="enumlev1"/>
        <w:rPr>
          <w:rFonts w:cstheme="minorHAnsi"/>
          <w:lang w:val="es-ES_tradnl"/>
        </w:rPr>
      </w:pPr>
      <w:r w:rsidRPr="0024077F">
        <w:rPr>
          <w:lang w:val="es-ES_tradnl"/>
        </w:rPr>
        <w:t>–</w:t>
      </w:r>
      <w:r>
        <w:rPr>
          <w:lang w:val="es-ES_tradnl"/>
        </w:rPr>
        <w:tab/>
      </w:r>
      <w:r w:rsidR="000D0547" w:rsidRPr="00E83271">
        <w:rPr>
          <w:lang w:val="es-ES_tradnl"/>
        </w:rPr>
        <w:t xml:space="preserve">examinar las prioridades actuales del UIT-D y los factores habilitadores conexos </w:t>
      </w:r>
      <w:r w:rsidR="000D0547">
        <w:rPr>
          <w:lang w:val="es-ES_tradnl"/>
        </w:rPr>
        <w:t>que se establecieron</w:t>
      </w:r>
      <w:r w:rsidR="000D0547" w:rsidRPr="00E83271">
        <w:rPr>
          <w:lang w:val="es-ES_tradnl"/>
        </w:rPr>
        <w:t xml:space="preserve"> en la CMDT</w:t>
      </w:r>
      <w:r w:rsidR="000D0547" w:rsidRPr="00E83271">
        <w:rPr>
          <w:lang w:val="es-ES_tradnl"/>
        </w:rPr>
        <w:noBreakHyphen/>
        <w:t>22, las propuestas a la CMDT-25, incluidas las iniciativas regionales, y las Cuestiones de estudio del UIT-D, así como los resultados de las Reuniones Preparatorias Regionales para la CMDT</w:t>
      </w:r>
      <w:r w:rsidR="000D0547" w:rsidRPr="00E83271">
        <w:rPr>
          <w:lang w:val="es-ES_tradnl"/>
        </w:rPr>
        <w:noBreakHyphen/>
        <w:t>25, los Objetivos de Desarrollo Sostenible para 2030 y las Líneas de Acción de la CMSI pertinentes de las que la UIT es responsable principal</w:t>
      </w:r>
      <w:r w:rsidR="000D0547">
        <w:rPr>
          <w:lang w:val="es-ES_tradnl"/>
        </w:rPr>
        <w:t>,</w:t>
      </w:r>
      <w:r w:rsidR="000D0547" w:rsidRPr="00E83271">
        <w:rPr>
          <w:lang w:val="es-ES_tradnl"/>
        </w:rPr>
        <w:t xml:space="preserve"> y, posteriormente, elaborar propuestas para las nuevas prioridades del UIT-D;</w:t>
      </w:r>
    </w:p>
    <w:p w14:paraId="34D10C5A" w14:textId="739BF60D" w:rsidR="000D0547" w:rsidRPr="00E83271" w:rsidRDefault="0024077F" w:rsidP="0024077F">
      <w:pPr>
        <w:pStyle w:val="enumlev1"/>
        <w:rPr>
          <w:rFonts w:cstheme="minorHAnsi"/>
          <w:lang w:val="es-ES_tradnl"/>
        </w:rPr>
      </w:pPr>
      <w:r w:rsidRPr="0024077F">
        <w:rPr>
          <w:lang w:val="es-ES_tradnl"/>
        </w:rPr>
        <w:t>–</w:t>
      </w:r>
      <w:r>
        <w:rPr>
          <w:lang w:val="es-ES_tradnl"/>
        </w:rPr>
        <w:tab/>
      </w:r>
      <w:r w:rsidR="000D0547" w:rsidRPr="00E83271">
        <w:rPr>
          <w:lang w:val="es-ES_tradnl"/>
        </w:rPr>
        <w:t>examinar el estado de aplicación y las repercusiones del Plan Estratégico de la UIT para 2024</w:t>
      </w:r>
      <w:r w:rsidR="000D0547" w:rsidRPr="00E83271">
        <w:rPr>
          <w:lang w:val="es-ES_tradnl"/>
        </w:rPr>
        <w:noBreakHyphen/>
        <w:t>2027 en relación con el UIT-D y preparar propuestas para el proyecto de nueva contribución del UIT-D al Plan Estratégico de la UIT para el próximo periodo (2028</w:t>
      </w:r>
      <w:r w:rsidR="000D0547" w:rsidRPr="00E83271">
        <w:rPr>
          <w:lang w:val="es-ES_tradnl"/>
        </w:rPr>
        <w:noBreakHyphen/>
        <w:t>2031);</w:t>
      </w:r>
    </w:p>
    <w:p w14:paraId="52D39BC1" w14:textId="413B362D" w:rsidR="000D0547" w:rsidRPr="00E83271" w:rsidRDefault="0024077F" w:rsidP="0024077F">
      <w:pPr>
        <w:pStyle w:val="enumlev1"/>
        <w:rPr>
          <w:rFonts w:cstheme="minorHAnsi"/>
          <w:lang w:val="es-ES_tradnl"/>
        </w:rPr>
      </w:pPr>
      <w:r w:rsidRPr="0024077F">
        <w:rPr>
          <w:lang w:val="es-ES_tradnl"/>
        </w:rPr>
        <w:t>–</w:t>
      </w:r>
      <w:r>
        <w:rPr>
          <w:lang w:val="es-ES_tradnl"/>
        </w:rPr>
        <w:tab/>
      </w:r>
      <w:r w:rsidR="000D0547" w:rsidRPr="00E83271">
        <w:rPr>
          <w:lang w:val="es-ES_tradnl"/>
        </w:rPr>
        <w:t>examinar el estado de aplicación y las repercusiones del Plan de Acción de Kigali (PAK), incluidos sus vínculos con el Plan Operacional, y elaborar propuestas para el próximo Plan de Acción de la CMDT;</w:t>
      </w:r>
    </w:p>
    <w:p w14:paraId="1B0B2AC2" w14:textId="179A3417" w:rsidR="000D0547" w:rsidRPr="00E83271" w:rsidRDefault="0024077F" w:rsidP="0024077F">
      <w:pPr>
        <w:pStyle w:val="enumlev1"/>
        <w:rPr>
          <w:rFonts w:cstheme="minorHAnsi"/>
          <w:lang w:val="es-ES_tradnl"/>
        </w:rPr>
      </w:pPr>
      <w:r w:rsidRPr="0024077F">
        <w:rPr>
          <w:lang w:val="es-ES_tradnl"/>
        </w:rPr>
        <w:t>–</w:t>
      </w:r>
      <w:r>
        <w:rPr>
          <w:lang w:val="es-ES_tradnl"/>
        </w:rPr>
        <w:tab/>
      </w:r>
      <w:r w:rsidR="000D0547" w:rsidRPr="00E83271">
        <w:rPr>
          <w:lang w:val="es-ES_tradnl"/>
        </w:rPr>
        <w:t>examinar el estado de aplicación y los efectos del Plan Operacional cuadrienal renovable, identificar ámbitos de mejora y elaborar recomendaciones para el proyecto de Plan Operacional; y</w:t>
      </w:r>
    </w:p>
    <w:p w14:paraId="167420AE" w14:textId="0DE35679" w:rsidR="000D0547" w:rsidRPr="00E83271" w:rsidRDefault="0024077F" w:rsidP="0024077F">
      <w:pPr>
        <w:pStyle w:val="enumlev1"/>
        <w:rPr>
          <w:rFonts w:cstheme="minorHAnsi"/>
          <w:lang w:val="es-ES_tradnl"/>
        </w:rPr>
      </w:pPr>
      <w:r w:rsidRPr="0024077F">
        <w:rPr>
          <w:lang w:val="es-ES_tradnl"/>
        </w:rPr>
        <w:t>–</w:t>
      </w:r>
      <w:r>
        <w:rPr>
          <w:lang w:val="es-ES_tradnl"/>
        </w:rPr>
        <w:tab/>
      </w:r>
      <w:r w:rsidR="000D0547" w:rsidRPr="00E83271">
        <w:rPr>
          <w:lang w:val="es-ES_tradnl"/>
        </w:rPr>
        <w:t>presentar el informe correspondiente al GADT</w:t>
      </w:r>
      <w:r w:rsidR="000D0547" w:rsidRPr="00E83271">
        <w:rPr>
          <w:rFonts w:cstheme="minorHAnsi"/>
          <w:lang w:val="es-ES_tradnl"/>
        </w:rPr>
        <w:t>.</w:t>
      </w:r>
    </w:p>
    <w:p w14:paraId="001682A4" w14:textId="153CB7D4" w:rsidR="000D0547" w:rsidRPr="00E83271" w:rsidRDefault="000D0547" w:rsidP="0024077F">
      <w:pPr>
        <w:rPr>
          <w:lang w:val="es-ES_tradnl"/>
        </w:rPr>
      </w:pPr>
      <w:r w:rsidRPr="00E83271">
        <w:rPr>
          <w:lang w:val="es-ES_tradnl"/>
        </w:rPr>
        <w:t>El Sr.</w:t>
      </w:r>
      <w:r w:rsidR="0024077F">
        <w:rPr>
          <w:lang w:val="es-ES_tradnl"/>
        </w:rPr>
        <w:t> </w:t>
      </w:r>
      <w:r w:rsidRPr="00E83271">
        <w:rPr>
          <w:lang w:val="es-ES_tradnl"/>
        </w:rPr>
        <w:t>Christopher Kemei (Kenya) fue nombrado Presidente y el Sr.</w:t>
      </w:r>
      <w:r w:rsidR="0024077F">
        <w:rPr>
          <w:lang w:val="es-ES_tradnl"/>
        </w:rPr>
        <w:t> </w:t>
      </w:r>
      <w:r w:rsidRPr="00E83271">
        <w:rPr>
          <w:lang w:val="es-ES_tradnl"/>
        </w:rPr>
        <w:t>Ahmad Sharafat (Irán) y la Sra.</w:t>
      </w:r>
      <w:r w:rsidR="0024077F">
        <w:rPr>
          <w:lang w:val="es-ES_tradnl"/>
        </w:rPr>
        <w:t> </w:t>
      </w:r>
      <w:r w:rsidRPr="00E83271">
        <w:rPr>
          <w:lang w:val="es-ES_tradnl"/>
        </w:rPr>
        <w:t>Blanca González (España) fueron nombrados Vicepresidentes.</w:t>
      </w:r>
    </w:p>
    <w:p w14:paraId="7A9E6F5E" w14:textId="3503B931" w:rsidR="000D0547" w:rsidRPr="00E83271" w:rsidRDefault="000D0547" w:rsidP="005C011C">
      <w:pPr>
        <w:rPr>
          <w:lang w:val="es-ES_tradnl"/>
        </w:rPr>
      </w:pPr>
      <w:r w:rsidRPr="00E83271">
        <w:rPr>
          <w:lang w:val="es-ES_tradnl"/>
        </w:rPr>
        <w:t>En la reunión extraordinaria del GADT, que se celebró el 23 de enero de 2025, el Sr.</w:t>
      </w:r>
      <w:r w:rsidR="0024077F">
        <w:rPr>
          <w:lang w:val="es-ES_tradnl"/>
        </w:rPr>
        <w:t> </w:t>
      </w:r>
      <w:r w:rsidRPr="00E83271">
        <w:rPr>
          <w:lang w:val="es-ES_tradnl"/>
        </w:rPr>
        <w:t>Kemei renunció al cargo de Presidente del Grupo y la Sra.</w:t>
      </w:r>
      <w:r w:rsidR="0024077F">
        <w:rPr>
          <w:lang w:val="es-ES_tradnl"/>
        </w:rPr>
        <w:t> </w:t>
      </w:r>
      <w:r w:rsidRPr="00E83271">
        <w:rPr>
          <w:lang w:val="es-ES_tradnl"/>
        </w:rPr>
        <w:t>Inga Rimkevičienė (Lituania) fue nombrada Presidenta.</w:t>
      </w:r>
    </w:p>
    <w:p w14:paraId="2B236648" w14:textId="7AB6DD77" w:rsidR="000D0547" w:rsidRPr="00E83271" w:rsidRDefault="000D0547" w:rsidP="005C011C">
      <w:pPr>
        <w:rPr>
          <w:lang w:val="es-ES_tradnl"/>
        </w:rPr>
      </w:pPr>
      <w:r w:rsidRPr="00E83271">
        <w:rPr>
          <w:lang w:val="es-ES_tradnl"/>
        </w:rPr>
        <w:t xml:space="preserve">El GT-GADT-PUITD celebró su primera reunión el 4 de septiembre de 2024, su segunda reunión el 4 de diciembre de 2024 y su tercera reunión el 26 de marzo de 2025. Los informes de las reuniones están disponibles en la </w:t>
      </w:r>
      <w:hyperlink r:id="rId17" w:history="1">
        <w:r w:rsidRPr="00E83271">
          <w:rPr>
            <w:rStyle w:val="Hyperlink"/>
            <w:rFonts w:cstheme="minorHAnsi"/>
            <w:lang w:val="es-ES_tradnl"/>
          </w:rPr>
          <w:t>página web de</w:t>
        </w:r>
        <w:r w:rsidRPr="00E83271">
          <w:rPr>
            <w:rStyle w:val="Hyperlink"/>
            <w:rFonts w:cstheme="minorHAnsi"/>
            <w:lang w:val="es-ES_tradnl"/>
          </w:rPr>
          <w:t>l</w:t>
        </w:r>
        <w:r w:rsidRPr="00E83271">
          <w:rPr>
            <w:rStyle w:val="Hyperlink"/>
            <w:rFonts w:cstheme="minorHAnsi"/>
            <w:lang w:val="es-ES_tradnl"/>
          </w:rPr>
          <w:t xml:space="preserve"> GT-GADT-PUIT</w:t>
        </w:r>
      </w:hyperlink>
      <w:r w:rsidRPr="00E83271">
        <w:rPr>
          <w:lang w:val="es-ES_tradnl"/>
        </w:rPr>
        <w:t>.</w:t>
      </w:r>
    </w:p>
    <w:p w14:paraId="0817A676" w14:textId="58F5052D" w:rsidR="000D0547" w:rsidRPr="0024077F" w:rsidRDefault="0024077F" w:rsidP="0024077F">
      <w:pPr>
        <w:pStyle w:val="Heading1"/>
        <w:rPr>
          <w:sz w:val="24"/>
          <w:szCs w:val="24"/>
          <w:lang w:val="es-ES_tradnl"/>
        </w:rPr>
      </w:pPr>
      <w:r>
        <w:rPr>
          <w:sz w:val="24"/>
          <w:szCs w:val="24"/>
          <w:lang w:val="es-ES_tradnl"/>
        </w:rPr>
        <w:t>2</w:t>
      </w:r>
      <w:r>
        <w:rPr>
          <w:sz w:val="24"/>
          <w:szCs w:val="24"/>
          <w:lang w:val="es-ES_tradnl"/>
        </w:rPr>
        <w:tab/>
      </w:r>
      <w:r w:rsidR="000D0547" w:rsidRPr="0024077F">
        <w:rPr>
          <w:sz w:val="24"/>
          <w:szCs w:val="24"/>
          <w:lang w:val="es-ES_tradnl"/>
        </w:rPr>
        <w:t>Enfoque adoptado y avances logrados</w:t>
      </w:r>
    </w:p>
    <w:p w14:paraId="0E59A93A" w14:textId="77777777" w:rsidR="000D0547" w:rsidRPr="00E83271" w:rsidRDefault="000D0547" w:rsidP="004E26E0">
      <w:pPr>
        <w:rPr>
          <w:lang w:val="es-ES_tradnl"/>
        </w:rPr>
      </w:pPr>
      <w:r w:rsidRPr="00E83271">
        <w:rPr>
          <w:lang w:val="es-ES_tradnl"/>
        </w:rPr>
        <w:t>En el momento en que se celebró la primera reunión, no se habían recibido contribuciones escritas y, por tanto, los debates fueron mínimos. En vista de lo anterior y con el fin de estimular la presentación de contribuciones y la celebración de debates en reuniones posteriores, el Grupo acordó que el Presidente, en consulta con la Secretaría, elabora</w:t>
      </w:r>
      <w:r>
        <w:rPr>
          <w:lang w:val="es-ES_tradnl"/>
        </w:rPr>
        <w:t>se</w:t>
      </w:r>
      <w:r w:rsidRPr="00E83271">
        <w:rPr>
          <w:lang w:val="es-ES_tradnl"/>
        </w:rPr>
        <w:t xml:space="preserve"> una contribución a tal efecto. </w:t>
      </w:r>
    </w:p>
    <w:p w14:paraId="20BDDDEE" w14:textId="77777777" w:rsidR="000D0547" w:rsidRPr="00E83271" w:rsidRDefault="000D0547" w:rsidP="005C011C">
      <w:pPr>
        <w:rPr>
          <w:lang w:val="es-ES_tradnl"/>
        </w:rPr>
      </w:pPr>
      <w:r w:rsidRPr="00E83271">
        <w:rPr>
          <w:lang w:val="es-ES_tradnl"/>
        </w:rPr>
        <w:t>Durante la segunda reunión, el Presidente presentó una propuesta al Grupo.</w:t>
      </w:r>
    </w:p>
    <w:p w14:paraId="2EF7AE5B" w14:textId="77777777" w:rsidR="000D0547" w:rsidRPr="00E83271" w:rsidRDefault="000D0547" w:rsidP="005C011C">
      <w:pPr>
        <w:rPr>
          <w:lang w:val="es-ES_tradnl"/>
        </w:rPr>
      </w:pPr>
      <w:r w:rsidRPr="00E83271">
        <w:rPr>
          <w:lang w:val="es-ES_tradnl"/>
        </w:rPr>
        <w:t>Durante la tercera reunión, la Presidenta propuso seguir trabajando en la revisión de las prioridades actuales, de acuerdo con una nota que presentó antes de la reunión del 26 de marzo.</w:t>
      </w:r>
    </w:p>
    <w:p w14:paraId="6EE8AA0E" w14:textId="77777777" w:rsidR="000D0547" w:rsidRPr="00D3449D" w:rsidRDefault="000D0547" w:rsidP="005C011C">
      <w:pPr>
        <w:rPr>
          <w:lang w:val="es-ES_tradnl"/>
        </w:rPr>
      </w:pPr>
      <w:r w:rsidRPr="00D3449D">
        <w:rPr>
          <w:lang w:val="es-ES_tradnl"/>
        </w:rPr>
        <w:t>La reunión acordó</w:t>
      </w:r>
      <w:r w:rsidRPr="00E83271">
        <w:rPr>
          <w:lang w:val="es-ES_tradnl"/>
        </w:rPr>
        <w:t>:</w:t>
      </w:r>
    </w:p>
    <w:p w14:paraId="6ED0C27C" w14:textId="0B03C928" w:rsidR="000D0547" w:rsidRPr="00E83271" w:rsidRDefault="004E26E0" w:rsidP="004E26E0">
      <w:pPr>
        <w:pStyle w:val="enumlev1"/>
        <w:rPr>
          <w:rFonts w:cstheme="minorHAnsi"/>
          <w:lang w:val="es-ES_tradnl"/>
        </w:rPr>
      </w:pPr>
      <w:r w:rsidRPr="0024077F">
        <w:rPr>
          <w:lang w:val="es-ES_tradnl"/>
        </w:rPr>
        <w:t>–</w:t>
      </w:r>
      <w:r>
        <w:rPr>
          <w:lang w:val="es-ES_tradnl"/>
        </w:rPr>
        <w:tab/>
      </w:r>
      <w:r w:rsidR="000D0547" w:rsidRPr="00E83271">
        <w:rPr>
          <w:rFonts w:cstheme="minorHAnsi"/>
          <w:lang w:val="es-ES_tradnl"/>
        </w:rPr>
        <w:t>basar</w:t>
      </w:r>
      <w:r w:rsidR="000D0547">
        <w:rPr>
          <w:rFonts w:cstheme="minorHAnsi"/>
          <w:lang w:val="es-ES_tradnl"/>
        </w:rPr>
        <w:t xml:space="preserve"> el debate sobre las prioridades nuevas </w:t>
      </w:r>
      <w:r w:rsidR="000D0547" w:rsidRPr="00E83271">
        <w:rPr>
          <w:rFonts w:cstheme="minorHAnsi"/>
          <w:lang w:val="es-ES_tradnl"/>
        </w:rPr>
        <w:t>en las prioridades descritas en el Plan de Acción de Kigali</w:t>
      </w:r>
      <w:r w:rsidR="000D0547">
        <w:rPr>
          <w:rFonts w:cstheme="minorHAnsi"/>
          <w:lang w:val="es-ES_tradnl"/>
        </w:rPr>
        <w:t>, a saber:</w:t>
      </w:r>
    </w:p>
    <w:p w14:paraId="59C2025C" w14:textId="39592377" w:rsidR="000D0547" w:rsidRPr="00D3449D" w:rsidRDefault="004E26E0" w:rsidP="004E26E0">
      <w:pPr>
        <w:pStyle w:val="enumlev2"/>
        <w:rPr>
          <w:lang w:val="es-ES_tradnl"/>
        </w:rPr>
      </w:pPr>
      <w:r w:rsidRPr="004E26E0">
        <w:rPr>
          <w:lang w:val="es-ES_tradnl"/>
        </w:rPr>
        <w:t>•</w:t>
      </w:r>
      <w:r>
        <w:rPr>
          <w:lang w:val="es-ES_tradnl"/>
        </w:rPr>
        <w:tab/>
      </w:r>
      <w:r w:rsidR="000D0547" w:rsidRPr="00E83271">
        <w:rPr>
          <w:lang w:val="es-ES_tradnl"/>
        </w:rPr>
        <w:t>conectividad asequible;</w:t>
      </w:r>
    </w:p>
    <w:p w14:paraId="02E1723F" w14:textId="572D1719" w:rsidR="000D0547" w:rsidRPr="00D3449D" w:rsidRDefault="004E26E0" w:rsidP="004E26E0">
      <w:pPr>
        <w:pStyle w:val="enumlev2"/>
        <w:rPr>
          <w:rFonts w:cstheme="minorHAnsi"/>
          <w:szCs w:val="24"/>
          <w:lang w:val="es-ES_tradnl"/>
        </w:rPr>
      </w:pPr>
      <w:r w:rsidRPr="004E26E0">
        <w:rPr>
          <w:lang w:val="es-ES_tradnl"/>
        </w:rPr>
        <w:t>•</w:t>
      </w:r>
      <w:r>
        <w:rPr>
          <w:lang w:val="es-ES_tradnl"/>
        </w:rPr>
        <w:tab/>
      </w:r>
      <w:r w:rsidR="000D0547" w:rsidRPr="00E83271">
        <w:rPr>
          <w:rFonts w:cstheme="minorHAnsi"/>
          <w:szCs w:val="24"/>
          <w:lang w:val="es-ES_tradnl"/>
        </w:rPr>
        <w:t>transformación digital</w:t>
      </w:r>
      <w:r w:rsidR="000D0547" w:rsidRPr="00D3449D">
        <w:rPr>
          <w:rFonts w:cstheme="minorHAnsi"/>
          <w:szCs w:val="24"/>
          <w:lang w:val="es-ES_tradnl"/>
        </w:rPr>
        <w:t>;</w:t>
      </w:r>
    </w:p>
    <w:p w14:paraId="1DE880CE" w14:textId="77DC0F57" w:rsidR="000D0547" w:rsidRPr="00D3449D" w:rsidRDefault="004E26E0" w:rsidP="004E26E0">
      <w:pPr>
        <w:pStyle w:val="enumlev2"/>
        <w:rPr>
          <w:rFonts w:cstheme="minorHAnsi"/>
          <w:szCs w:val="24"/>
          <w:lang w:val="es-ES_tradnl"/>
        </w:rPr>
      </w:pPr>
      <w:r w:rsidRPr="004E26E0">
        <w:rPr>
          <w:lang w:val="es-ES_tradnl"/>
        </w:rPr>
        <w:t>•</w:t>
      </w:r>
      <w:r>
        <w:rPr>
          <w:lang w:val="es-ES_tradnl"/>
        </w:rPr>
        <w:tab/>
      </w:r>
      <w:r w:rsidR="000D0547" w:rsidRPr="00E83271">
        <w:rPr>
          <w:rFonts w:cstheme="minorHAnsi"/>
          <w:szCs w:val="24"/>
          <w:lang w:val="es-ES_tradnl"/>
        </w:rPr>
        <w:t>política habilitadora y entorno reglamentario;</w:t>
      </w:r>
    </w:p>
    <w:p w14:paraId="7BA20EDD" w14:textId="50458713" w:rsidR="000D0547" w:rsidRPr="00D3449D" w:rsidRDefault="004E26E0" w:rsidP="004E26E0">
      <w:pPr>
        <w:pStyle w:val="enumlev2"/>
        <w:rPr>
          <w:rFonts w:cstheme="minorHAnsi"/>
          <w:szCs w:val="24"/>
          <w:lang w:val="es-ES_tradnl"/>
        </w:rPr>
      </w:pPr>
      <w:r w:rsidRPr="004E26E0">
        <w:rPr>
          <w:lang w:val="es-ES_tradnl"/>
        </w:rPr>
        <w:lastRenderedPageBreak/>
        <w:t>•</w:t>
      </w:r>
      <w:r>
        <w:rPr>
          <w:lang w:val="es-ES_tradnl"/>
        </w:rPr>
        <w:tab/>
      </w:r>
      <w:r w:rsidR="000D0547" w:rsidRPr="00E83271">
        <w:rPr>
          <w:rFonts w:cstheme="minorHAnsi"/>
          <w:szCs w:val="24"/>
          <w:lang w:val="es-ES_tradnl"/>
        </w:rPr>
        <w:t>m</w:t>
      </w:r>
      <w:r w:rsidR="000D0547" w:rsidRPr="00D3449D">
        <w:rPr>
          <w:rFonts w:cstheme="minorHAnsi"/>
          <w:szCs w:val="24"/>
          <w:lang w:val="es-ES_tradnl"/>
        </w:rPr>
        <w:t>ovilización de recursos y cooperación internacional;</w:t>
      </w:r>
    </w:p>
    <w:p w14:paraId="132135B0" w14:textId="165BB128" w:rsidR="000D0547" w:rsidRPr="00D3449D" w:rsidRDefault="004E26E0" w:rsidP="004E26E0">
      <w:pPr>
        <w:pStyle w:val="enumlev2"/>
        <w:rPr>
          <w:rFonts w:cstheme="minorHAnsi"/>
          <w:lang w:val="es-ES_tradnl"/>
        </w:rPr>
      </w:pPr>
      <w:r w:rsidRPr="004E26E0">
        <w:rPr>
          <w:lang w:val="es-ES_tradnl"/>
        </w:rPr>
        <w:t>•</w:t>
      </w:r>
      <w:r>
        <w:rPr>
          <w:lang w:val="es-ES_tradnl"/>
        </w:rPr>
        <w:tab/>
      </w:r>
      <w:r w:rsidR="000D0547" w:rsidRPr="00E83271">
        <w:rPr>
          <w:rFonts w:cstheme="minorHAnsi"/>
          <w:szCs w:val="24"/>
          <w:lang w:val="es-ES_tradnl"/>
        </w:rPr>
        <w:t>t</w:t>
      </w:r>
      <w:r w:rsidR="000D0547" w:rsidRPr="00D3449D">
        <w:rPr>
          <w:rFonts w:cstheme="minorHAnsi"/>
          <w:szCs w:val="24"/>
          <w:lang w:val="es-ES_tradnl"/>
        </w:rPr>
        <w:t>elecomunicaciones</w:t>
      </w:r>
      <w:r w:rsidR="000D0547" w:rsidRPr="00D3449D">
        <w:rPr>
          <w:rFonts w:cstheme="minorHAnsi"/>
          <w:lang w:val="es-ES_tradnl"/>
        </w:rPr>
        <w:t>/TIC inclusivas y seguras para el desarrollo sostenible</w:t>
      </w:r>
      <w:r w:rsidR="000D0547" w:rsidRPr="00E83271">
        <w:rPr>
          <w:rFonts w:cstheme="minorHAnsi"/>
          <w:lang w:val="es-ES_tradnl"/>
        </w:rPr>
        <w:t>;</w:t>
      </w:r>
    </w:p>
    <w:p w14:paraId="7C156F16" w14:textId="0D6A54FA" w:rsidR="000D0547" w:rsidRPr="00E83271" w:rsidRDefault="004E26E0" w:rsidP="004E26E0">
      <w:pPr>
        <w:pStyle w:val="enumlev1"/>
        <w:rPr>
          <w:rFonts w:cstheme="minorHAnsi"/>
          <w:szCs w:val="24"/>
          <w:lang w:val="es-ES_tradnl"/>
        </w:rPr>
      </w:pPr>
      <w:r w:rsidRPr="0024077F">
        <w:rPr>
          <w:lang w:val="es-ES_tradnl"/>
        </w:rPr>
        <w:t>–</w:t>
      </w:r>
      <w:r>
        <w:rPr>
          <w:lang w:val="es-ES_tradnl"/>
        </w:rPr>
        <w:tab/>
      </w:r>
      <w:r w:rsidR="000D0547" w:rsidRPr="00E83271">
        <w:rPr>
          <w:rFonts w:cstheme="minorHAnsi"/>
          <w:lang w:val="es-ES_tradnl"/>
        </w:rPr>
        <w:t>a</w:t>
      </w:r>
      <w:r w:rsidR="000D0547" w:rsidRPr="00D3449D">
        <w:rPr>
          <w:rFonts w:cstheme="minorHAnsi"/>
          <w:lang w:val="es-ES_tradnl"/>
        </w:rPr>
        <w:t xml:space="preserve">doptar la estructura </w:t>
      </w:r>
      <w:r w:rsidR="000D0547" w:rsidRPr="00E83271">
        <w:rPr>
          <w:rFonts w:cstheme="minorHAnsi"/>
          <w:lang w:val="es-ES_tradnl"/>
        </w:rPr>
        <w:t xml:space="preserve">propuesta por la Presidenta para el </w:t>
      </w:r>
      <w:r w:rsidR="000D0547" w:rsidRPr="00D3449D">
        <w:rPr>
          <w:rFonts w:cstheme="minorHAnsi"/>
          <w:lang w:val="es-ES_tradnl"/>
        </w:rPr>
        <w:t>Plan de Acción de Bakú</w:t>
      </w:r>
      <w:r w:rsidR="000D0547" w:rsidRPr="00E83271">
        <w:rPr>
          <w:rFonts w:cstheme="minorHAnsi"/>
          <w:lang w:val="es-ES_tradnl"/>
        </w:rPr>
        <w:t>, a fin de</w:t>
      </w:r>
      <w:r w:rsidR="000D0547" w:rsidRPr="00D3449D">
        <w:rPr>
          <w:rFonts w:cstheme="minorHAnsi"/>
          <w:lang w:val="es-ES_tradnl"/>
        </w:rPr>
        <w:t xml:space="preserve"> orientar el proceso de redacción</w:t>
      </w:r>
      <w:r w:rsidR="000D0547" w:rsidRPr="00E83271">
        <w:rPr>
          <w:rFonts w:cstheme="minorHAnsi"/>
          <w:lang w:val="es-ES_tradnl"/>
        </w:rPr>
        <w:t>.</w:t>
      </w:r>
    </w:p>
    <w:p w14:paraId="5D538A23" w14:textId="181C9134" w:rsidR="000D0547" w:rsidRPr="004E26E0" w:rsidRDefault="004E26E0" w:rsidP="004E26E0">
      <w:pPr>
        <w:pStyle w:val="Heading1"/>
        <w:rPr>
          <w:sz w:val="24"/>
          <w:szCs w:val="24"/>
          <w:lang w:val="es-ES_tradnl"/>
        </w:rPr>
      </w:pPr>
      <w:r>
        <w:rPr>
          <w:sz w:val="24"/>
          <w:szCs w:val="24"/>
          <w:lang w:val="es-ES_tradnl"/>
        </w:rPr>
        <w:t>3</w:t>
      </w:r>
      <w:r>
        <w:rPr>
          <w:sz w:val="24"/>
          <w:szCs w:val="24"/>
          <w:lang w:val="es-ES_tradnl"/>
        </w:rPr>
        <w:tab/>
      </w:r>
      <w:r w:rsidR="000D0547" w:rsidRPr="004E26E0">
        <w:rPr>
          <w:sz w:val="24"/>
          <w:szCs w:val="24"/>
          <w:lang w:val="es-ES_tradnl"/>
        </w:rPr>
        <w:t>Fechas clave y próximos pasos</w:t>
      </w:r>
    </w:p>
    <w:p w14:paraId="68E75753" w14:textId="77777777" w:rsidR="000D0547" w:rsidRPr="00E83271" w:rsidRDefault="000D0547" w:rsidP="004E26E0">
      <w:pPr>
        <w:rPr>
          <w:lang w:val="es-ES_tradnl"/>
        </w:rPr>
      </w:pPr>
      <w:r w:rsidRPr="00E83271">
        <w:rPr>
          <w:lang w:val="es-ES_tradnl"/>
        </w:rPr>
        <w:t>La cuarta reunión del GT-GADT-PUITD se celebrará el 1 de mayo de 2025. Existe asimismo la posibilidad de celebrar una reunión presencial durante el GADT-25, para concluir los debates del Grupo.</w:t>
      </w:r>
    </w:p>
    <w:p w14:paraId="0E0DF99A" w14:textId="77777777" w:rsidR="000D0547" w:rsidRPr="00E83271" w:rsidRDefault="000D0547" w:rsidP="005C011C">
      <w:pPr>
        <w:rPr>
          <w:lang w:val="es-ES_tradnl"/>
        </w:rPr>
      </w:pPr>
      <w:r w:rsidRPr="00E83271">
        <w:rPr>
          <w:lang w:val="es-ES_tradnl"/>
        </w:rPr>
        <w:t xml:space="preserve">Además, la Presidenta del GT-GADT-PUITD presentará informes sobre la marcha de los trabajos del Grupo en las próximas Reuniones Preparatorias Regionales (RPR) previas a la CMDT-25. </w:t>
      </w:r>
    </w:p>
    <w:p w14:paraId="492D3261" w14:textId="77777777" w:rsidR="000D0547" w:rsidRPr="00E83271" w:rsidRDefault="000D0547" w:rsidP="005C011C">
      <w:pPr>
        <w:rPr>
          <w:lang w:val="es-ES_tradnl"/>
        </w:rPr>
      </w:pPr>
      <w:r w:rsidRPr="00E83271">
        <w:rPr>
          <w:lang w:val="es-ES_tradnl"/>
        </w:rPr>
        <w:t xml:space="preserve">El </w:t>
      </w:r>
      <w:r>
        <w:rPr>
          <w:lang w:val="es-ES_tradnl"/>
        </w:rPr>
        <w:t>producto</w:t>
      </w:r>
      <w:r w:rsidRPr="00E83271">
        <w:rPr>
          <w:lang w:val="es-ES_tradnl"/>
        </w:rPr>
        <w:t xml:space="preserve"> final del GT-GADT-PUITD se someterá a la consideración del GADT en su reunión de 2025 y, posiblemente, se presentará en calidad de contribución a la CMDT-25, donde se finalizará y se adoptará la versión definitiva del Plan de Acción de Bakú.</w:t>
      </w:r>
    </w:p>
    <w:p w14:paraId="65F29E3C" w14:textId="77777777" w:rsidR="000D0547" w:rsidRPr="00E83271" w:rsidRDefault="000D0547" w:rsidP="004E26E0">
      <w:pPr>
        <w:pStyle w:val="Headingb"/>
        <w:rPr>
          <w:lang w:val="es-ES_tradnl"/>
        </w:rPr>
      </w:pPr>
      <w:r w:rsidRPr="00E83271">
        <w:rPr>
          <w:lang w:val="es-ES_tradnl"/>
        </w:rPr>
        <w:t>Referencias</w:t>
      </w:r>
      <w:r w:rsidRPr="00E83271">
        <w:rPr>
          <w:bCs/>
          <w:lang w:val="es-ES_tradnl"/>
        </w:rPr>
        <w:t>:</w:t>
      </w:r>
    </w:p>
    <w:p w14:paraId="27AD4C53" w14:textId="19A5BC6E" w:rsidR="000D0547" w:rsidRPr="00E83271" w:rsidRDefault="000D0547" w:rsidP="000D0547">
      <w:pPr>
        <w:tabs>
          <w:tab w:val="clear" w:pos="794"/>
          <w:tab w:val="clear" w:pos="1191"/>
          <w:tab w:val="clear" w:pos="1588"/>
          <w:tab w:val="clear" w:pos="1985"/>
        </w:tabs>
        <w:spacing w:after="120"/>
        <w:rPr>
          <w:lang w:val="es-ES_tradnl"/>
        </w:rPr>
      </w:pPr>
      <w:hyperlink r:id="rId18" w:history="1">
        <w:r w:rsidRPr="00E83271">
          <w:rPr>
            <w:rStyle w:val="Hyperlink"/>
            <w:lang w:val="es-ES_tradnl"/>
          </w:rPr>
          <w:t>TDAG-WG-ITUDP/</w:t>
        </w:r>
        <w:r w:rsidRPr="00E83271">
          <w:rPr>
            <w:rStyle w:val="Hyperlink"/>
            <w:lang w:val="es-ES_tradnl"/>
          </w:rPr>
          <w:t>D</w:t>
        </w:r>
        <w:r w:rsidRPr="00E83271">
          <w:rPr>
            <w:rStyle w:val="Hyperlink"/>
            <w:lang w:val="es-ES_tradnl"/>
          </w:rPr>
          <w:t>T/3</w:t>
        </w:r>
      </w:hyperlink>
    </w:p>
    <w:p w14:paraId="1681F067" w14:textId="77777777" w:rsidR="000D0547" w:rsidRDefault="000D0547" w:rsidP="00411C49">
      <w:pPr>
        <w:pStyle w:val="Reasons"/>
      </w:pPr>
    </w:p>
    <w:p w14:paraId="11F06BC6" w14:textId="6AFD4BF9" w:rsidR="000D0547" w:rsidRDefault="000D0547">
      <w:pPr>
        <w:jc w:val="center"/>
      </w:pPr>
      <w:r>
        <w:t>______________</w:t>
      </w:r>
    </w:p>
    <w:sectPr w:rsidR="000D0547"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3137FF" w:rsidRPr="000D0547" w14:paraId="656716D9" w14:textId="77777777" w:rsidTr="003137FF">
      <w:tc>
        <w:tcPr>
          <w:tcW w:w="993" w:type="dxa"/>
          <w:tcBorders>
            <w:top w:val="single" w:sz="4" w:space="0" w:color="000000" w:themeColor="text1"/>
          </w:tcBorders>
        </w:tcPr>
        <w:p w14:paraId="0F4C4A5A" w14:textId="77777777" w:rsidR="003137FF" w:rsidRPr="00DE60A2" w:rsidRDefault="003137FF" w:rsidP="003137FF">
          <w:pPr>
            <w:pStyle w:val="FirstFooter"/>
            <w:tabs>
              <w:tab w:val="left" w:pos="1559"/>
              <w:tab w:val="left" w:pos="3828"/>
            </w:tabs>
            <w:rPr>
              <w:sz w:val="18"/>
              <w:szCs w:val="18"/>
              <w:lang w:val="es-ES"/>
            </w:rPr>
          </w:pPr>
          <w:r w:rsidRPr="00DE60A2">
            <w:rPr>
              <w:sz w:val="18"/>
              <w:szCs w:val="18"/>
              <w:lang w:val="es-ES"/>
            </w:rPr>
            <w:t>Contacto:</w:t>
          </w:r>
        </w:p>
      </w:tc>
      <w:tc>
        <w:tcPr>
          <w:tcW w:w="2693" w:type="dxa"/>
          <w:tcBorders>
            <w:top w:val="single" w:sz="4" w:space="0" w:color="000000" w:themeColor="text1"/>
          </w:tcBorders>
        </w:tcPr>
        <w:p w14:paraId="7CCD04E8" w14:textId="77777777" w:rsidR="003137FF" w:rsidRPr="00DE60A2" w:rsidRDefault="003137FF" w:rsidP="003137FF">
          <w:pPr>
            <w:pStyle w:val="FirstFooter"/>
            <w:tabs>
              <w:tab w:val="left" w:pos="2302"/>
            </w:tabs>
            <w:ind w:left="2302" w:hanging="2302"/>
            <w:rPr>
              <w:sz w:val="18"/>
              <w:szCs w:val="18"/>
              <w:lang w:val="es-ES"/>
            </w:rPr>
          </w:pPr>
          <w:r w:rsidRPr="00DE60A2">
            <w:rPr>
              <w:sz w:val="18"/>
              <w:szCs w:val="18"/>
              <w:lang w:val="es-ES"/>
            </w:rPr>
            <w:t>Nombre/Organización/Entidad:</w:t>
          </w:r>
        </w:p>
      </w:tc>
      <w:tc>
        <w:tcPr>
          <w:tcW w:w="5919" w:type="dxa"/>
          <w:tcBorders>
            <w:top w:val="single" w:sz="4" w:space="0" w:color="000000" w:themeColor="text1"/>
          </w:tcBorders>
        </w:tcPr>
        <w:p w14:paraId="76DFAB31" w14:textId="14544FE1" w:rsidR="003137FF" w:rsidRPr="00D14694" w:rsidRDefault="000D0547" w:rsidP="003137FF">
          <w:pPr>
            <w:pStyle w:val="FirstFooter"/>
            <w:rPr>
              <w:sz w:val="18"/>
              <w:szCs w:val="18"/>
              <w:lang w:val="es-ES"/>
            </w:rPr>
          </w:pPr>
          <w:r w:rsidRPr="00B86CF8">
            <w:rPr>
              <w:sz w:val="18"/>
              <w:szCs w:val="18"/>
              <w:lang w:val="es-ES"/>
            </w:rPr>
            <w:t>Sra.</w:t>
          </w:r>
          <w:r>
            <w:rPr>
              <w:sz w:val="18"/>
              <w:szCs w:val="18"/>
              <w:lang w:val="es-ES"/>
            </w:rPr>
            <w:t> </w:t>
          </w:r>
          <w:r w:rsidRPr="00B86CF8">
            <w:rPr>
              <w:sz w:val="18"/>
              <w:szCs w:val="18"/>
              <w:lang w:val="es-ES"/>
            </w:rPr>
            <w:t xml:space="preserve">Inga Rimkevičienė, Presidenta, Grupo de Trabajo del GADT sobre las Prioridades del UIT-D, </w:t>
          </w:r>
          <w:r>
            <w:rPr>
              <w:sz w:val="18"/>
              <w:szCs w:val="18"/>
              <w:lang w:val="es-ES"/>
            </w:rPr>
            <w:t>Autoridad de Reglamentación de las</w:t>
          </w:r>
          <w:r w:rsidRPr="00B86CF8">
            <w:rPr>
              <w:sz w:val="18"/>
              <w:szCs w:val="18"/>
              <w:lang w:val="es-ES"/>
            </w:rPr>
            <w:t xml:space="preserve"> C</w:t>
          </w:r>
          <w:r>
            <w:rPr>
              <w:sz w:val="18"/>
              <w:szCs w:val="18"/>
              <w:lang w:val="es-ES"/>
            </w:rPr>
            <w:t>o</w:t>
          </w:r>
          <w:r w:rsidRPr="00B86CF8">
            <w:rPr>
              <w:sz w:val="18"/>
              <w:szCs w:val="18"/>
              <w:lang w:val="es-ES"/>
            </w:rPr>
            <w:t>munica</w:t>
          </w:r>
          <w:r>
            <w:rPr>
              <w:sz w:val="18"/>
              <w:szCs w:val="18"/>
              <w:lang w:val="es-ES"/>
            </w:rPr>
            <w:t>ciones</w:t>
          </w:r>
          <w:r w:rsidRPr="00B86CF8">
            <w:rPr>
              <w:sz w:val="18"/>
              <w:szCs w:val="18"/>
              <w:lang w:val="es-ES"/>
            </w:rPr>
            <w:t>, Lituania</w:t>
          </w:r>
        </w:p>
      </w:tc>
    </w:tr>
    <w:tr w:rsidR="000D0547" w:rsidRPr="00DE60A2" w14:paraId="68C18A92" w14:textId="77777777" w:rsidTr="003137FF">
      <w:tc>
        <w:tcPr>
          <w:tcW w:w="993" w:type="dxa"/>
        </w:tcPr>
        <w:p w14:paraId="3EE46271" w14:textId="77777777" w:rsidR="000D0547" w:rsidRPr="002669ED" w:rsidRDefault="000D0547" w:rsidP="000D0547">
          <w:pPr>
            <w:pStyle w:val="FirstFooter"/>
            <w:tabs>
              <w:tab w:val="left" w:pos="1559"/>
              <w:tab w:val="left" w:pos="3828"/>
            </w:tabs>
            <w:rPr>
              <w:sz w:val="18"/>
              <w:szCs w:val="18"/>
              <w:lang w:val="es-ES"/>
            </w:rPr>
          </w:pPr>
        </w:p>
      </w:tc>
      <w:tc>
        <w:tcPr>
          <w:tcW w:w="2693" w:type="dxa"/>
        </w:tcPr>
        <w:p w14:paraId="5AA15A32" w14:textId="77777777" w:rsidR="000D0547" w:rsidRPr="00DE60A2" w:rsidRDefault="000D0547" w:rsidP="000D0547">
          <w:pPr>
            <w:pStyle w:val="FirstFooter"/>
            <w:tabs>
              <w:tab w:val="left" w:pos="2302"/>
            </w:tabs>
            <w:rPr>
              <w:sz w:val="18"/>
              <w:szCs w:val="18"/>
              <w:lang w:val="es-ES"/>
            </w:rPr>
          </w:pPr>
          <w:r w:rsidRPr="00DE60A2">
            <w:rPr>
              <w:sz w:val="18"/>
              <w:szCs w:val="18"/>
              <w:lang w:val="es-ES"/>
            </w:rPr>
            <w:t>Teléfono:</w:t>
          </w:r>
        </w:p>
      </w:tc>
      <w:tc>
        <w:tcPr>
          <w:tcW w:w="5919" w:type="dxa"/>
        </w:tcPr>
        <w:p w14:paraId="00326C26" w14:textId="6BF0E9BA" w:rsidR="000D0547" w:rsidRPr="002533BB" w:rsidRDefault="000D0547" w:rsidP="000D0547">
          <w:pPr>
            <w:pStyle w:val="FirstFooter"/>
            <w:tabs>
              <w:tab w:val="left" w:pos="2302"/>
            </w:tabs>
            <w:rPr>
              <w:sz w:val="18"/>
              <w:szCs w:val="18"/>
              <w:lang w:val="en-US"/>
            </w:rPr>
          </w:pPr>
          <w:r w:rsidRPr="00920BD9">
            <w:rPr>
              <w:sz w:val="18"/>
              <w:szCs w:val="18"/>
              <w:lang w:val="en-GB"/>
            </w:rPr>
            <w:t>n/a</w:t>
          </w:r>
        </w:p>
      </w:tc>
    </w:tr>
    <w:tr w:rsidR="000D0547" w:rsidRPr="000D0547" w14:paraId="74482ECB" w14:textId="77777777" w:rsidTr="003137FF">
      <w:tc>
        <w:tcPr>
          <w:tcW w:w="993" w:type="dxa"/>
        </w:tcPr>
        <w:p w14:paraId="63EDF29B" w14:textId="77777777" w:rsidR="000D0547" w:rsidRPr="00DE60A2" w:rsidRDefault="000D0547" w:rsidP="000D0547">
          <w:pPr>
            <w:pStyle w:val="FirstFooter"/>
            <w:tabs>
              <w:tab w:val="left" w:pos="1559"/>
              <w:tab w:val="left" w:pos="3828"/>
            </w:tabs>
            <w:rPr>
              <w:sz w:val="18"/>
              <w:szCs w:val="18"/>
              <w:lang w:val="es-ES"/>
            </w:rPr>
          </w:pPr>
        </w:p>
      </w:tc>
      <w:tc>
        <w:tcPr>
          <w:tcW w:w="2693" w:type="dxa"/>
        </w:tcPr>
        <w:p w14:paraId="3A810FE8" w14:textId="77777777" w:rsidR="000D0547" w:rsidRPr="00DE60A2" w:rsidRDefault="000D0547" w:rsidP="000D0547">
          <w:pPr>
            <w:pStyle w:val="FirstFooter"/>
            <w:tabs>
              <w:tab w:val="left" w:pos="2302"/>
            </w:tabs>
            <w:rPr>
              <w:sz w:val="18"/>
              <w:szCs w:val="18"/>
              <w:lang w:val="es-ES"/>
            </w:rPr>
          </w:pPr>
          <w:r w:rsidRPr="00DE60A2">
            <w:rPr>
              <w:sz w:val="18"/>
              <w:szCs w:val="18"/>
              <w:lang w:val="es-ES"/>
            </w:rPr>
            <w:t>Correo-e:</w:t>
          </w:r>
        </w:p>
      </w:tc>
      <w:tc>
        <w:tcPr>
          <w:tcW w:w="5919" w:type="dxa"/>
        </w:tcPr>
        <w:p w14:paraId="21959324" w14:textId="7D24136E" w:rsidR="000D0547" w:rsidRDefault="000D0547" w:rsidP="000D0547">
          <w:pPr>
            <w:pStyle w:val="FirstFooter"/>
            <w:tabs>
              <w:tab w:val="left" w:pos="2302"/>
            </w:tabs>
          </w:pPr>
          <w:hyperlink r:id="rId1" w:history="1">
            <w:r w:rsidRPr="0038057A">
              <w:rPr>
                <w:rStyle w:val="Hyperlink"/>
                <w:sz w:val="18"/>
                <w:szCs w:val="18"/>
                <w:lang w:val="en-US"/>
              </w:rPr>
              <w:t>inga.rimkeviciene@rrt.lt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706A73A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960FF3">
      <w:rPr>
        <w:sz w:val="22"/>
        <w:szCs w:val="22"/>
        <w:lang w:val="es-ES_tradnl"/>
      </w:rPr>
      <w:t>TDAG-25</w:t>
    </w:r>
    <w:r w:rsidR="00960FF3" w:rsidRPr="00FF089C">
      <w:rPr>
        <w:sz w:val="22"/>
        <w:szCs w:val="22"/>
        <w:lang w:val="es-ES_tradnl"/>
      </w:rPr>
      <w:t>/</w:t>
    </w:r>
    <w:r w:rsidR="004E26E0">
      <w:rPr>
        <w:sz w:val="22"/>
        <w:szCs w:val="22"/>
        <w:lang w:val="es-ES_tradnl"/>
      </w:rPr>
      <w:t>21</w:t>
    </w:r>
    <w:r w:rsidR="00960FF3" w:rsidRPr="00FF089C">
      <w:rPr>
        <w:sz w:val="22"/>
        <w:szCs w:val="22"/>
        <w:lang w:val="es-ES_tradnl"/>
      </w:rPr>
      <w:t>-</w:t>
    </w:r>
    <w:r w:rsidR="00960FF3">
      <w:rPr>
        <w:sz w:val="22"/>
        <w:szCs w:val="22"/>
        <w:lang w:val="es-ES_tradnl"/>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E4F47"/>
    <w:multiLevelType w:val="hybridMultilevel"/>
    <w:tmpl w:val="B9F0D28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3E05F35"/>
    <w:multiLevelType w:val="hybridMultilevel"/>
    <w:tmpl w:val="6AC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87B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1164E9C"/>
    <w:multiLevelType w:val="hybridMultilevel"/>
    <w:tmpl w:val="75B64134"/>
    <w:lvl w:ilvl="0" w:tplc="93E6492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BB01754"/>
    <w:multiLevelType w:val="hybridMultilevel"/>
    <w:tmpl w:val="4EEC17C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918067">
    <w:abstractNumId w:val="4"/>
  </w:num>
  <w:num w:numId="2" w16cid:durableId="1487671718">
    <w:abstractNumId w:val="2"/>
  </w:num>
  <w:num w:numId="3" w16cid:durableId="560212714">
    <w:abstractNumId w:val="0"/>
  </w:num>
  <w:num w:numId="4" w16cid:durableId="23751237">
    <w:abstractNumId w:val="3"/>
  </w:num>
  <w:num w:numId="5" w16cid:durableId="1544488993">
    <w:abstractNumId w:val="7"/>
  </w:num>
  <w:num w:numId="6" w16cid:durableId="1202136288">
    <w:abstractNumId w:val="5"/>
  </w:num>
  <w:num w:numId="7" w16cid:durableId="952396913">
    <w:abstractNumId w:val="6"/>
  </w:num>
  <w:num w:numId="8" w16cid:durableId="50274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532"/>
    <w:rsid w:val="00054747"/>
    <w:rsid w:val="00055A2A"/>
    <w:rsid w:val="000615C1"/>
    <w:rsid w:val="00061675"/>
    <w:rsid w:val="000743AA"/>
    <w:rsid w:val="00076750"/>
    <w:rsid w:val="0009076F"/>
    <w:rsid w:val="0009225C"/>
    <w:rsid w:val="000A17C4"/>
    <w:rsid w:val="000A36A4"/>
    <w:rsid w:val="000B2352"/>
    <w:rsid w:val="000C7B84"/>
    <w:rsid w:val="000D0547"/>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4CEB"/>
    <w:rsid w:val="001850FE"/>
    <w:rsid w:val="00185135"/>
    <w:rsid w:val="0019037C"/>
    <w:rsid w:val="001905A9"/>
    <w:rsid w:val="00191273"/>
    <w:rsid w:val="001942A7"/>
    <w:rsid w:val="0019587B"/>
    <w:rsid w:val="001A163D"/>
    <w:rsid w:val="001A441E"/>
    <w:rsid w:val="001A6733"/>
    <w:rsid w:val="001B357F"/>
    <w:rsid w:val="001B6DA3"/>
    <w:rsid w:val="001C3444"/>
    <w:rsid w:val="001C3702"/>
    <w:rsid w:val="001C4656"/>
    <w:rsid w:val="001C46BC"/>
    <w:rsid w:val="001D1E06"/>
    <w:rsid w:val="001F23E6"/>
    <w:rsid w:val="001F4238"/>
    <w:rsid w:val="00200A38"/>
    <w:rsid w:val="00200A46"/>
    <w:rsid w:val="00211B6F"/>
    <w:rsid w:val="00212ECC"/>
    <w:rsid w:val="00217CC3"/>
    <w:rsid w:val="00220AB6"/>
    <w:rsid w:val="0022120F"/>
    <w:rsid w:val="0022754A"/>
    <w:rsid w:val="00234BB7"/>
    <w:rsid w:val="00236560"/>
    <w:rsid w:val="0023662E"/>
    <w:rsid w:val="0024077F"/>
    <w:rsid w:val="00245D0F"/>
    <w:rsid w:val="002548C3"/>
    <w:rsid w:val="00257ACD"/>
    <w:rsid w:val="00262908"/>
    <w:rsid w:val="002650F4"/>
    <w:rsid w:val="002669ED"/>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37FF"/>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5D2D"/>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422B"/>
    <w:rsid w:val="004D7DAB"/>
    <w:rsid w:val="004E20E5"/>
    <w:rsid w:val="004E26E0"/>
    <w:rsid w:val="004E64EA"/>
    <w:rsid w:val="004E7828"/>
    <w:rsid w:val="004F46AA"/>
    <w:rsid w:val="004F6A70"/>
    <w:rsid w:val="00500AD7"/>
    <w:rsid w:val="00502ABF"/>
    <w:rsid w:val="00504DB0"/>
    <w:rsid w:val="00507C35"/>
    <w:rsid w:val="00510735"/>
    <w:rsid w:val="00514403"/>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011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41A1E"/>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1AB3"/>
    <w:rsid w:val="00952667"/>
    <w:rsid w:val="00960FF3"/>
    <w:rsid w:val="0096201B"/>
    <w:rsid w:val="00962081"/>
    <w:rsid w:val="00966CB5"/>
    <w:rsid w:val="009716D1"/>
    <w:rsid w:val="00975786"/>
    <w:rsid w:val="00980D77"/>
    <w:rsid w:val="00981CB7"/>
    <w:rsid w:val="00983E1F"/>
    <w:rsid w:val="00993F46"/>
    <w:rsid w:val="00997358"/>
    <w:rsid w:val="009A452B"/>
    <w:rsid w:val="009B050C"/>
    <w:rsid w:val="009B087F"/>
    <w:rsid w:val="009B2192"/>
    <w:rsid w:val="009B2AF4"/>
    <w:rsid w:val="009B68B5"/>
    <w:rsid w:val="009C110B"/>
    <w:rsid w:val="009C5441"/>
    <w:rsid w:val="009D0A27"/>
    <w:rsid w:val="009D119F"/>
    <w:rsid w:val="009D49A2"/>
    <w:rsid w:val="009F3940"/>
    <w:rsid w:val="009F3EB2"/>
    <w:rsid w:val="009F6EB1"/>
    <w:rsid w:val="00A11D05"/>
    <w:rsid w:val="00A13162"/>
    <w:rsid w:val="00A164B5"/>
    <w:rsid w:val="00A20267"/>
    <w:rsid w:val="00A3158C"/>
    <w:rsid w:val="00A32DF3"/>
    <w:rsid w:val="00A33E32"/>
    <w:rsid w:val="00A35E20"/>
    <w:rsid w:val="00A36F6D"/>
    <w:rsid w:val="00A4560B"/>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2046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96DCB"/>
    <w:rsid w:val="00D97FAF"/>
    <w:rsid w:val="00DA0B53"/>
    <w:rsid w:val="00DB1171"/>
    <w:rsid w:val="00DB1519"/>
    <w:rsid w:val="00DB2840"/>
    <w:rsid w:val="00DC1BD3"/>
    <w:rsid w:val="00DC2C1A"/>
    <w:rsid w:val="00DD66B4"/>
    <w:rsid w:val="00DE1972"/>
    <w:rsid w:val="00DE27AB"/>
    <w:rsid w:val="00DE60A2"/>
    <w:rsid w:val="00DF2AB3"/>
    <w:rsid w:val="00DF7250"/>
    <w:rsid w:val="00E00CAA"/>
    <w:rsid w:val="00E03EBF"/>
    <w:rsid w:val="00E05209"/>
    <w:rsid w:val="00E05AC1"/>
    <w:rsid w:val="00E11BCF"/>
    <w:rsid w:val="00E202F4"/>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68A"/>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Revision">
    <w:name w:val="Revision"/>
    <w:hidden/>
    <w:uiPriority w:val="99"/>
    <w:semiHidden/>
    <w:rsid w:val="004D422B"/>
    <w:rPr>
      <w:rFonts w:asciiTheme="minorHAnsi" w:hAnsiTheme="minorHAnsi"/>
      <w:sz w:val="24"/>
      <w:lang w:val="en-GB" w:eastAsia="en-US"/>
    </w:rPr>
  </w:style>
  <w:style w:type="character" w:customStyle="1" w:styleId="normaltextrun">
    <w:name w:val="normaltextrun"/>
    <w:basedOn w:val="DefaultParagraphFont"/>
    <w:rsid w:val="003137FF"/>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137F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5/es" TargetMode="External"/><Relationship Id="rId18" Type="http://schemas.openxmlformats.org/officeDocument/2006/relationships/hyperlink" Target="https://www.itu.int/md/D22-TDAG.WG.ITUDP-ADM-0003/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TDAG/Pages/2024/TDAG_WG_ITUDP.aspxhttps:/www.itu.int/en/ITU-D/Conferences/TDAG/Pages/2024/TDAG_WG_ITUDP/es" TargetMode="External"/><Relationship Id="rId2" Type="http://schemas.openxmlformats.org/officeDocument/2006/relationships/customXml" Target="../customXml/item2.xml"/><Relationship Id="rId16" Type="http://schemas.openxmlformats.org/officeDocument/2006/relationships/hyperlink" Target="https://www.itu.int/md/D22-TDAG.WG.ITUDP-C-0008/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D22-TDAG.WG.ITUDP-C-0006/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3/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87B5A-B259-4B34-A0F1-0FE704129C13}"/>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732</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14</cp:revision>
  <cp:lastPrinted>2014-11-04T09:22:00Z</cp:lastPrinted>
  <dcterms:created xsi:type="dcterms:W3CDTF">2025-04-30T07:29:00Z</dcterms:created>
  <dcterms:modified xsi:type="dcterms:W3CDTF">2025-04-30T09:19:00Z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