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173"/>
        <w:gridCol w:w="2216"/>
        <w:gridCol w:w="1372"/>
      </w:tblGrid>
      <w:tr w:rsidR="00AA7095" w:rsidRPr="00D8041C" w14:paraId="3A3384A5" w14:textId="77777777" w:rsidTr="00B37B73">
        <w:trPr>
          <w:cantSplit/>
          <w:trHeight w:val="1702"/>
        </w:trPr>
        <w:tc>
          <w:tcPr>
            <w:tcW w:w="2127" w:type="dxa"/>
          </w:tcPr>
          <w:p w14:paraId="698CAB0F" w14:textId="62CE28A5" w:rsidR="00AA7095" w:rsidRPr="00D8041C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019787D4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3AE3A135" w14:textId="77777777" w:rsidR="00AA7095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29B5B4BE" w:rsidR="00AA7095" w:rsidRPr="00D8041C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>
              <w:rPr>
                <w:b/>
                <w:bCs/>
                <w:sz w:val="26"/>
                <w:szCs w:val="26"/>
                <w:lang w:val="es-ES_tradnl"/>
              </w:rPr>
              <w:t>12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16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202</w:t>
            </w:r>
            <w:r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1372" w:type="dxa"/>
          </w:tcPr>
          <w:p w14:paraId="242F0084" w14:textId="77777777" w:rsidR="00AA7095" w:rsidRPr="00D8041C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2AF11DB1" w14:textId="77777777" w:rsidTr="00550B8A">
        <w:trPr>
          <w:cantSplit/>
        </w:trPr>
        <w:tc>
          <w:tcPr>
            <w:tcW w:w="6300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88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1A41C910" w14:textId="77777777" w:rsidTr="00550B8A">
        <w:trPr>
          <w:cantSplit/>
        </w:trPr>
        <w:tc>
          <w:tcPr>
            <w:tcW w:w="6300" w:type="dxa"/>
            <w:gridSpan w:val="2"/>
          </w:tcPr>
          <w:p w14:paraId="7F0CCFE3" w14:textId="77777777" w:rsidR="00683C32" w:rsidRPr="00233D61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588" w:type="dxa"/>
            <w:gridSpan w:val="2"/>
          </w:tcPr>
          <w:p w14:paraId="29902756" w14:textId="7F4BE926" w:rsidR="00683C32" w:rsidRPr="00233D61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233D61">
              <w:rPr>
                <w:b/>
                <w:bCs/>
                <w:lang w:val="es-ES_tradnl"/>
              </w:rPr>
              <w:t>Document</w:t>
            </w:r>
            <w:r w:rsidR="00B42366" w:rsidRPr="00233D61">
              <w:rPr>
                <w:b/>
                <w:bCs/>
                <w:lang w:val="es-ES_tradnl"/>
              </w:rPr>
              <w:t>o</w:t>
            </w:r>
            <w:r w:rsidRPr="00233D61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233D61">
              <w:rPr>
                <w:b/>
                <w:bCs/>
                <w:lang w:val="es-ES_tradnl"/>
              </w:rPr>
              <w:t>TDAG</w:t>
            </w:r>
            <w:r w:rsidR="003242AB" w:rsidRPr="00233D61">
              <w:rPr>
                <w:b/>
                <w:bCs/>
                <w:lang w:val="es-ES_tradnl"/>
              </w:rPr>
              <w:t>-</w:t>
            </w:r>
            <w:r w:rsidR="00B648C7" w:rsidRPr="00233D61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 w:rsidRPr="00233D61">
              <w:rPr>
                <w:b/>
                <w:bCs/>
                <w:lang w:val="es-ES_tradnl"/>
              </w:rPr>
              <w:t>5</w:t>
            </w:r>
            <w:r w:rsidR="0009076F" w:rsidRPr="00233D61">
              <w:rPr>
                <w:b/>
                <w:bCs/>
                <w:lang w:val="es-ES_tradnl"/>
              </w:rPr>
              <w:t>/</w:t>
            </w:r>
            <w:r w:rsidR="00C64B43" w:rsidRPr="00233D61">
              <w:rPr>
                <w:b/>
                <w:bCs/>
                <w:lang w:val="en-US"/>
              </w:rPr>
              <w:t>20</w:t>
            </w:r>
            <w:r w:rsidR="00040C37" w:rsidRPr="00233D61">
              <w:rPr>
                <w:b/>
                <w:bCs/>
                <w:lang w:val="en-US"/>
              </w:rPr>
              <w:t>(Rev.1)</w:t>
            </w:r>
            <w:r w:rsidR="004010E2" w:rsidRPr="00233D61">
              <w:rPr>
                <w:b/>
                <w:bCs/>
                <w:lang w:val="en-US"/>
              </w:rPr>
              <w:t>-S</w:t>
            </w:r>
          </w:p>
        </w:tc>
      </w:tr>
      <w:tr w:rsidR="00683C32" w:rsidRPr="00D8041C" w14:paraId="46AC7811" w14:textId="77777777" w:rsidTr="00550B8A">
        <w:trPr>
          <w:cantSplit/>
        </w:trPr>
        <w:tc>
          <w:tcPr>
            <w:tcW w:w="6300" w:type="dxa"/>
            <w:gridSpan w:val="2"/>
          </w:tcPr>
          <w:p w14:paraId="68CB34D7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88" w:type="dxa"/>
            <w:gridSpan w:val="2"/>
          </w:tcPr>
          <w:p w14:paraId="56B707A0" w14:textId="7E976510" w:rsidR="00683C32" w:rsidRPr="00233D61" w:rsidRDefault="00040C37" w:rsidP="00C64B43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233D61">
              <w:rPr>
                <w:b/>
                <w:bCs/>
                <w:szCs w:val="28"/>
                <w:lang w:val="es-ES_tradnl"/>
              </w:rPr>
              <w:t>7 de mayo</w:t>
            </w:r>
            <w:r w:rsidR="00233D61" w:rsidRPr="00233D61">
              <w:rPr>
                <w:b/>
                <w:bCs/>
                <w:szCs w:val="28"/>
                <w:lang w:val="es-ES_tradnl"/>
              </w:rPr>
              <w:t xml:space="preserve"> </w:t>
            </w:r>
            <w:r w:rsidR="00C64B43" w:rsidRPr="00233D61">
              <w:rPr>
                <w:b/>
                <w:bCs/>
                <w:szCs w:val="28"/>
                <w:lang w:val="es-ES_tradnl"/>
              </w:rPr>
              <w:t>de 2025</w:t>
            </w:r>
          </w:p>
        </w:tc>
      </w:tr>
      <w:tr w:rsidR="00683C32" w:rsidRPr="00D8041C" w14:paraId="0C2E025B" w14:textId="77777777" w:rsidTr="00550B8A">
        <w:trPr>
          <w:cantSplit/>
        </w:trPr>
        <w:tc>
          <w:tcPr>
            <w:tcW w:w="6300" w:type="dxa"/>
            <w:gridSpan w:val="2"/>
          </w:tcPr>
          <w:p w14:paraId="6186F014" w14:textId="77777777" w:rsidR="00683C32" w:rsidRPr="002707B1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588" w:type="dxa"/>
            <w:gridSpan w:val="2"/>
          </w:tcPr>
          <w:p w14:paraId="10B5092F" w14:textId="7777777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8004A7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60AC1D24" w:rsidR="00A13162" w:rsidRPr="00D8041C" w:rsidRDefault="00C64B43" w:rsidP="00C64B43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C64B43">
              <w:rPr>
                <w:lang w:val="es-ES_tradnl"/>
              </w:rPr>
              <w:t>President</w:t>
            </w:r>
            <w:r w:rsidR="00EB7860">
              <w:rPr>
                <w:lang w:val="es-ES_tradnl"/>
              </w:rPr>
              <w:t>a</w:t>
            </w:r>
            <w:r w:rsidRPr="00C64B43">
              <w:rPr>
                <w:lang w:val="es-ES_tradnl"/>
              </w:rPr>
              <w:t xml:space="preserve"> del GT-GADT-RR</w:t>
            </w:r>
          </w:p>
        </w:tc>
      </w:tr>
      <w:tr w:rsidR="00AC6F14" w:rsidRPr="008004A7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29743DCA" w:rsidR="00AC6F14" w:rsidRPr="00D8041C" w:rsidRDefault="00C64B43" w:rsidP="00C64B43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C64B43">
              <w:rPr>
                <w:lang w:val="es-ES_tradnl"/>
              </w:rPr>
              <w:t xml:space="preserve">Informe relativo al Grupo de Trabajo del GADT sobre la racionalización </w:t>
            </w:r>
            <w:r w:rsidR="00D77AC0">
              <w:rPr>
                <w:lang w:val="es-ES_tradnl"/>
              </w:rPr>
              <w:br/>
            </w:r>
            <w:r w:rsidRPr="00C64B43">
              <w:rPr>
                <w:lang w:val="es-ES_tradnl"/>
              </w:rPr>
              <w:t>de las Resoluciones (GT-GADT-RR)</w:t>
            </w:r>
          </w:p>
        </w:tc>
      </w:tr>
      <w:tr w:rsidR="00A721F4" w:rsidRPr="008004A7" w14:paraId="4228EE8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F029C0A" w14:textId="77777777" w:rsidR="00A721F4" w:rsidRPr="00D8041C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D8041C" w14:paraId="54C144DC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C34" w14:textId="77777777" w:rsidR="00A721F4" w:rsidRPr="00D8041C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D8041C">
              <w:rPr>
                <w:b/>
                <w:bCs/>
                <w:szCs w:val="24"/>
                <w:lang w:val="es-ES_tradnl"/>
              </w:rPr>
              <w:t>:</w:t>
            </w:r>
          </w:p>
          <w:p w14:paraId="33309B56" w14:textId="110D2448" w:rsidR="00A721F4" w:rsidRPr="00D8041C" w:rsidRDefault="00C64B43" w:rsidP="00C64B43">
            <w:pPr>
              <w:spacing w:after="120"/>
              <w:rPr>
                <w:szCs w:val="24"/>
                <w:lang w:val="es-ES_tradnl"/>
              </w:rPr>
            </w:pPr>
            <w:r w:rsidRPr="00C64B43">
              <w:rPr>
                <w:lang w:val="es-ES_tradnl"/>
              </w:rPr>
              <w:t xml:space="preserve">El presente documento contiene </w:t>
            </w:r>
            <w:r w:rsidR="00040C37" w:rsidRPr="00233D61">
              <w:rPr>
                <w:lang w:val="es-ES_tradnl"/>
              </w:rPr>
              <w:t>el</w:t>
            </w:r>
            <w:r w:rsidRPr="00233D61">
              <w:rPr>
                <w:lang w:val="es-ES_tradnl"/>
              </w:rPr>
              <w:t xml:space="preserve"> informe</w:t>
            </w:r>
            <w:r w:rsidRPr="00C64B43">
              <w:rPr>
                <w:lang w:val="es-ES_tradnl"/>
              </w:rPr>
              <w:t xml:space="preserve"> relativo al Grupo de Trabajo del GADT sobre la racionalización de las Resoluciones (GT-GADT-RR).</w:t>
            </w:r>
          </w:p>
          <w:p w14:paraId="6AC400EA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</w:t>
            </w:r>
            <w:r w:rsidR="00B42366" w:rsidRPr="00D8041C">
              <w:rPr>
                <w:b/>
                <w:bCs/>
                <w:lang w:val="es-ES_tradnl"/>
              </w:rPr>
              <w:t>ción solicitada</w:t>
            </w:r>
            <w:r w:rsidRPr="00D8041C">
              <w:rPr>
                <w:b/>
                <w:bCs/>
                <w:lang w:val="es-ES_tradnl"/>
              </w:rPr>
              <w:t>:</w:t>
            </w:r>
          </w:p>
          <w:p w14:paraId="7C640691" w14:textId="207E8CF8" w:rsidR="00A721F4" w:rsidRPr="00D8041C" w:rsidRDefault="004010E2" w:rsidP="00EA0C51">
            <w:pPr>
              <w:spacing w:after="120"/>
              <w:rPr>
                <w:szCs w:val="24"/>
                <w:lang w:val="es-ES_tradnl"/>
              </w:rPr>
            </w:pPr>
            <w:r w:rsidRPr="00685AD0">
              <w:rPr>
                <w:lang w:val="es-ES"/>
              </w:rPr>
              <w:t>Se invita al GADT a tomar nota de este documento y formular las orientaciones que estime convenientes.</w:t>
            </w:r>
          </w:p>
          <w:p w14:paraId="245CE8A8" w14:textId="210753D3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D8041C">
              <w:rPr>
                <w:b/>
                <w:bCs/>
                <w:szCs w:val="24"/>
                <w:lang w:val="es-ES_tradnl"/>
              </w:rPr>
              <w:t>ia</w:t>
            </w:r>
            <w:r w:rsidRPr="00D8041C">
              <w:rPr>
                <w:b/>
                <w:bCs/>
                <w:szCs w:val="24"/>
                <w:lang w:val="es-ES_tradnl"/>
              </w:rPr>
              <w:t>s:</w:t>
            </w:r>
          </w:p>
          <w:p w14:paraId="67B2BE63" w14:textId="77777777" w:rsidR="00C64B43" w:rsidRPr="00C64B43" w:rsidRDefault="00C64B43" w:rsidP="00C64B43">
            <w:pPr>
              <w:spacing w:after="120"/>
              <w:rPr>
                <w:lang w:val="es-ES_tradnl"/>
              </w:rPr>
            </w:pPr>
            <w:r w:rsidRPr="00C64B43">
              <w:rPr>
                <w:lang w:val="es-ES_tradnl"/>
              </w:rPr>
              <w:t>Informe final de la CMDT-17</w:t>
            </w:r>
          </w:p>
          <w:p w14:paraId="1B5631CD" w14:textId="4F3ED8DF" w:rsidR="00A721F4" w:rsidRPr="00D8041C" w:rsidRDefault="00C64B43" w:rsidP="00C64B43">
            <w:pPr>
              <w:spacing w:after="120"/>
              <w:rPr>
                <w:lang w:val="es-ES_tradnl"/>
              </w:rPr>
            </w:pPr>
            <w:r w:rsidRPr="00C64B43">
              <w:rPr>
                <w:lang w:val="es-ES_tradnl"/>
              </w:rPr>
              <w:t>Informe final de la CMDT-22</w:t>
            </w:r>
          </w:p>
        </w:tc>
      </w:tr>
    </w:tbl>
    <w:p w14:paraId="19BDB019" w14:textId="77777777" w:rsidR="00923CF1" w:rsidRPr="00D8041C" w:rsidRDefault="00923CF1" w:rsidP="00935FF0">
      <w:pPr>
        <w:rPr>
          <w:lang w:val="es-ES_tradnl"/>
        </w:rPr>
      </w:pPr>
    </w:p>
    <w:p w14:paraId="1D19608A" w14:textId="77777777" w:rsidR="00923CF1" w:rsidRPr="00D8041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8041C">
        <w:rPr>
          <w:lang w:val="es-ES_tradnl"/>
        </w:rPr>
        <w:br w:type="page"/>
      </w:r>
    </w:p>
    <w:p w14:paraId="0CF7EA87" w14:textId="40358F3C" w:rsidR="00C64B43" w:rsidRPr="00C64B43" w:rsidRDefault="00C64B43" w:rsidP="00C52C07">
      <w:pPr>
        <w:pStyle w:val="Heading1"/>
        <w:spacing w:after="120"/>
        <w:ind w:left="792" w:hanging="792"/>
        <w:rPr>
          <w:lang w:val="es-ES_tradnl"/>
        </w:rPr>
      </w:pPr>
      <w:r>
        <w:rPr>
          <w:lang w:val="es-ES_tradnl"/>
        </w:rPr>
        <w:lastRenderedPageBreak/>
        <w:t>A</w:t>
      </w:r>
      <w:r>
        <w:rPr>
          <w:lang w:val="es-ES_tradnl"/>
        </w:rPr>
        <w:tab/>
      </w:r>
      <w:r w:rsidRPr="00C64B43">
        <w:rPr>
          <w:lang w:val="es-ES_tradnl"/>
        </w:rPr>
        <w:t xml:space="preserve">El Grupo de Trabajo del GADT sobre la racionalización de las Resoluciones (GT-GADT-RR) celebró </w:t>
      </w:r>
      <w:r w:rsidRPr="00233D61">
        <w:rPr>
          <w:lang w:val="es-ES_tradnl"/>
        </w:rPr>
        <w:t>las</w:t>
      </w:r>
      <w:r w:rsidR="00A15F2D" w:rsidRPr="00233D61">
        <w:rPr>
          <w:lang w:val="es-ES_tradnl"/>
        </w:rPr>
        <w:t xml:space="preserve"> seis (6)</w:t>
      </w:r>
      <w:r w:rsidRPr="00233D61">
        <w:rPr>
          <w:lang w:val="es-ES_tradnl"/>
        </w:rPr>
        <w:t xml:space="preserve"> reuniones</w:t>
      </w:r>
      <w:r w:rsidRPr="00C64B43">
        <w:rPr>
          <w:lang w:val="es-ES_tradnl"/>
        </w:rPr>
        <w:t xml:space="preserve"> que se indican a continuación: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520"/>
        <w:gridCol w:w="3686"/>
      </w:tblGrid>
      <w:tr w:rsidR="00C64B43" w:rsidRPr="00C64B43" w14:paraId="0CA56F4A" w14:textId="77777777" w:rsidTr="00D77AC0">
        <w:trPr>
          <w:trHeight w:val="239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ECE80E" w14:textId="77777777" w:rsidR="00C64B43" w:rsidRPr="00C64B43" w:rsidRDefault="00C64B43" w:rsidP="00C64B43">
            <w:pPr>
              <w:pStyle w:val="Tablehead"/>
              <w:rPr>
                <w:lang w:val="es-ES_tradnl"/>
              </w:rPr>
            </w:pPr>
            <w:r w:rsidRPr="00C64B43">
              <w:rPr>
                <w:lang w:val="es-ES_tradnl"/>
              </w:rPr>
              <w:t>Título de la reunión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1E9B" w14:textId="77777777" w:rsidR="00C64B43" w:rsidRPr="00C64B43" w:rsidRDefault="00C64B43" w:rsidP="00C64B43">
            <w:pPr>
              <w:pStyle w:val="Tablehead"/>
              <w:rPr>
                <w:lang w:val="es-ES_tradnl"/>
              </w:rPr>
            </w:pPr>
            <w:r w:rsidRPr="00C64B43">
              <w:rPr>
                <w:lang w:val="es-ES_tradnl"/>
              </w:rPr>
              <w:t>Fecha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D8A8" w14:textId="77777777" w:rsidR="00C64B43" w:rsidRPr="00C64B43" w:rsidRDefault="00C64B43" w:rsidP="00C64B43">
            <w:pPr>
              <w:pStyle w:val="Tablehead"/>
              <w:rPr>
                <w:lang w:val="es-ES_tradnl"/>
              </w:rPr>
            </w:pPr>
            <w:r w:rsidRPr="00C64B43">
              <w:rPr>
                <w:lang w:val="es-ES_tradnl"/>
              </w:rPr>
              <w:t>Objetivo</w:t>
            </w:r>
          </w:p>
        </w:tc>
      </w:tr>
      <w:tr w:rsidR="00C64B43" w:rsidRPr="008004A7" w14:paraId="5A2D9F01" w14:textId="77777777" w:rsidTr="00D77AC0">
        <w:trPr>
          <w:trHeight w:val="30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D95" w14:textId="122AC9A0" w:rsidR="00C64B43" w:rsidRPr="00C64B43" w:rsidRDefault="00C64B43" w:rsidP="00C64B43">
            <w:pPr>
              <w:pStyle w:val="Tabletext"/>
              <w:ind w:left="86"/>
              <w:rPr>
                <w:lang w:val="es-ES_tradnl"/>
              </w:rPr>
            </w:pPr>
            <w:r w:rsidRPr="00C64B43">
              <w:rPr>
                <w:lang w:val="es-ES_tradnl"/>
              </w:rPr>
              <w:t>1ª reunión del GT-GADT-RR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C3B4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18 de abril de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C3C8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Enriquecer el mandato</w:t>
            </w:r>
            <w:r w:rsidRPr="00C64B43">
              <w:rPr>
                <w:lang w:val="es-ES_tradnl"/>
              </w:rPr>
              <w:br/>
              <w:t>Solicitar contribuciones</w:t>
            </w:r>
          </w:p>
        </w:tc>
      </w:tr>
      <w:tr w:rsidR="00C64B43" w:rsidRPr="008004A7" w14:paraId="563800B9" w14:textId="77777777" w:rsidTr="00D77AC0">
        <w:trPr>
          <w:trHeight w:val="30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0EB" w14:textId="0E85BB25" w:rsidR="00C64B43" w:rsidRPr="00C64B43" w:rsidRDefault="00C64B43" w:rsidP="00C64B43">
            <w:pPr>
              <w:pStyle w:val="Tabletext"/>
              <w:ind w:left="86"/>
              <w:rPr>
                <w:lang w:val="es-ES_tradnl"/>
              </w:rPr>
            </w:pPr>
            <w:r w:rsidRPr="00C64B43">
              <w:rPr>
                <w:lang w:val="es-ES_tradnl"/>
              </w:rPr>
              <w:t>2ª reunión del GT-GADT-RR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7BE4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21 de mayo de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E6B2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Concluir el mandato</w:t>
            </w:r>
            <w:r w:rsidRPr="00C64B43">
              <w:rPr>
                <w:lang w:val="es-ES_tradnl"/>
              </w:rPr>
              <w:br/>
              <w:t>Solicitar contribuciones</w:t>
            </w:r>
          </w:p>
        </w:tc>
      </w:tr>
      <w:tr w:rsidR="00C64B43" w:rsidRPr="008004A7" w14:paraId="271ED99A" w14:textId="77777777" w:rsidTr="00D77AC0">
        <w:trPr>
          <w:trHeight w:val="30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CAD" w14:textId="3B6940E0" w:rsidR="00C64B43" w:rsidRPr="00C64B43" w:rsidRDefault="00C64B43" w:rsidP="00C64B43">
            <w:pPr>
              <w:pStyle w:val="Tabletext"/>
              <w:ind w:left="86"/>
              <w:rPr>
                <w:lang w:val="es-ES_tradnl"/>
              </w:rPr>
            </w:pPr>
            <w:r w:rsidRPr="00C64B43">
              <w:rPr>
                <w:lang w:val="es-ES_tradnl"/>
              </w:rPr>
              <w:t>3ª reunión del GT-GADT-RR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B007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5 de septiembre de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B496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Solicitar contribuciones</w:t>
            </w:r>
            <w:r w:rsidRPr="00C64B43">
              <w:rPr>
                <w:lang w:val="es-ES_tradnl"/>
              </w:rPr>
              <w:br/>
              <w:t>Debatir las contribuciones recibidas</w:t>
            </w:r>
          </w:p>
        </w:tc>
      </w:tr>
      <w:tr w:rsidR="00C64B43" w:rsidRPr="008004A7" w14:paraId="18A886EE" w14:textId="77777777" w:rsidTr="00D77AC0">
        <w:trPr>
          <w:trHeight w:val="30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D21" w14:textId="4FEAA153" w:rsidR="00C64B43" w:rsidRPr="00C64B43" w:rsidRDefault="00C64B43" w:rsidP="00C64B43">
            <w:pPr>
              <w:pStyle w:val="Tabletext"/>
              <w:ind w:left="86"/>
              <w:rPr>
                <w:lang w:val="es-ES_tradnl"/>
              </w:rPr>
            </w:pPr>
            <w:r w:rsidRPr="00C64B43">
              <w:rPr>
                <w:lang w:val="es-ES_tradnl"/>
              </w:rPr>
              <w:t xml:space="preserve">4ª reunión del </w:t>
            </w:r>
            <w:bookmarkStart w:id="6" w:name="_Hlk196975966"/>
            <w:r w:rsidRPr="00C64B43">
              <w:rPr>
                <w:lang w:val="es-ES_tradnl"/>
              </w:rPr>
              <w:t>GT-GADT-RR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B011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5 de diciembre de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574A" w14:textId="77777777" w:rsidR="00C64B43" w:rsidRPr="00C64B43" w:rsidRDefault="00C64B43" w:rsidP="00C64B43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Solicitar contribuciones</w:t>
            </w:r>
            <w:r w:rsidRPr="00C64B43">
              <w:rPr>
                <w:lang w:val="es-ES_tradnl"/>
              </w:rPr>
              <w:br/>
              <w:t>Debatir las contribuciones recibidas</w:t>
            </w:r>
          </w:p>
        </w:tc>
      </w:tr>
      <w:tr w:rsidR="00A15F2D" w:rsidRPr="008004A7" w14:paraId="334989D7" w14:textId="77777777" w:rsidTr="00D77AC0">
        <w:trPr>
          <w:trHeight w:val="30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D93" w14:textId="610A899A" w:rsidR="00A15F2D" w:rsidRPr="00FB7ACC" w:rsidRDefault="004B34DC" w:rsidP="00C64B43">
            <w:pPr>
              <w:pStyle w:val="Tabletext"/>
              <w:ind w:left="86"/>
              <w:rPr>
                <w:lang w:val="es-ES_tradnl"/>
              </w:rPr>
            </w:pPr>
            <w:r w:rsidRPr="00FB7ACC">
              <w:rPr>
                <w:lang w:val="es-ES_tradnl"/>
              </w:rPr>
              <w:t>5ª reunión del GT-GADT-RR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B57D" w14:textId="43221955" w:rsidR="00A15F2D" w:rsidRPr="00FB7ACC" w:rsidRDefault="004B34DC" w:rsidP="00C64B43">
            <w:pPr>
              <w:pStyle w:val="Tabletext"/>
              <w:rPr>
                <w:lang w:val="es-ES_tradnl"/>
              </w:rPr>
            </w:pPr>
            <w:r w:rsidRPr="00FB7ACC">
              <w:rPr>
                <w:lang w:val="es-ES_tradnl"/>
              </w:rPr>
              <w:t>26 de marzo de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4205" w14:textId="20DEE7EC" w:rsidR="00A15F2D" w:rsidRPr="00FB7ACC" w:rsidRDefault="00A65996" w:rsidP="00C64B43">
            <w:pPr>
              <w:pStyle w:val="Tabletext"/>
              <w:rPr>
                <w:lang w:val="es-ES"/>
              </w:rPr>
            </w:pPr>
            <w:r w:rsidRPr="00FB7ACC">
              <w:rPr>
                <w:lang w:val="es-ES"/>
              </w:rPr>
              <w:t>Concluir las contribuciones y reanudar las propuestas del GT-GADT-RR al GADT</w:t>
            </w:r>
          </w:p>
        </w:tc>
      </w:tr>
      <w:tr w:rsidR="00A15F2D" w:rsidRPr="008004A7" w14:paraId="69F4CB0C" w14:textId="77777777" w:rsidTr="00D77AC0">
        <w:trPr>
          <w:trHeight w:val="300"/>
          <w:jc w:val="center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31B" w14:textId="3811294B" w:rsidR="00A15F2D" w:rsidRPr="00FB7ACC" w:rsidRDefault="00A65996" w:rsidP="00C64B43">
            <w:pPr>
              <w:pStyle w:val="Tabletext"/>
              <w:ind w:left="86"/>
              <w:rPr>
                <w:lang w:val="es-ES_tradnl"/>
              </w:rPr>
            </w:pPr>
            <w:r w:rsidRPr="00FB7ACC">
              <w:rPr>
                <w:lang w:val="es-ES_tradnl"/>
              </w:rPr>
              <w:t>6ª reunión del GT-GADT-RR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753" w14:textId="1F4CA594" w:rsidR="00A15F2D" w:rsidRPr="00FB7ACC" w:rsidRDefault="00A65996" w:rsidP="00C64B43">
            <w:pPr>
              <w:pStyle w:val="Tabletext"/>
              <w:rPr>
                <w:lang w:val="es-ES_tradnl"/>
              </w:rPr>
            </w:pPr>
            <w:r w:rsidRPr="00FB7ACC">
              <w:rPr>
                <w:lang w:val="es-ES_tradnl"/>
              </w:rPr>
              <w:t>2 de mayo de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9728" w14:textId="085C45BC" w:rsidR="00A15F2D" w:rsidRPr="00C64B43" w:rsidRDefault="00A65996" w:rsidP="00C64B43">
            <w:pPr>
              <w:pStyle w:val="Tabletext"/>
              <w:rPr>
                <w:lang w:val="es-ES_tradnl"/>
              </w:rPr>
            </w:pPr>
            <w:r w:rsidRPr="00FB7ACC">
              <w:rPr>
                <w:lang w:val="es-ES_tradnl"/>
              </w:rPr>
              <w:t>Concluir las contribuciones y reanudar las propuestas del GT-GADT-RR al GADT</w:t>
            </w:r>
          </w:p>
        </w:tc>
      </w:tr>
    </w:tbl>
    <w:p w14:paraId="144D1229" w14:textId="67970E38" w:rsidR="00C64B43" w:rsidRPr="00C64B43" w:rsidRDefault="00C64B43" w:rsidP="00C64B43">
      <w:pPr>
        <w:pStyle w:val="Heading1"/>
        <w:rPr>
          <w:lang w:val="es-ES_tradnl"/>
        </w:rPr>
      </w:pPr>
      <w:r>
        <w:rPr>
          <w:lang w:val="es-ES_tradnl"/>
        </w:rPr>
        <w:t>1</w:t>
      </w:r>
      <w:r>
        <w:rPr>
          <w:lang w:val="es-ES_tradnl"/>
        </w:rPr>
        <w:tab/>
      </w:r>
      <w:r w:rsidRPr="00C64B43">
        <w:rPr>
          <w:lang w:val="es-ES_tradnl"/>
        </w:rPr>
        <w:t>La primera reunión del GT-GADT-RR se celebró en línea el 18 de abril de</w:t>
      </w:r>
      <w:r w:rsidR="002906B7">
        <w:rPr>
          <w:lang w:val="es-ES_tradnl"/>
        </w:rPr>
        <w:t> </w:t>
      </w:r>
      <w:r w:rsidRPr="00C64B43">
        <w:rPr>
          <w:lang w:val="es-ES_tradnl"/>
        </w:rPr>
        <w:t>2024</w:t>
      </w:r>
    </w:p>
    <w:p w14:paraId="6BBE5D1F" w14:textId="1317172F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1.1</w:t>
      </w:r>
      <w:r>
        <w:rPr>
          <w:lang w:val="es-ES_tradnl"/>
        </w:rPr>
        <w:tab/>
      </w:r>
      <w:r w:rsidRPr="00C64B43">
        <w:rPr>
          <w:lang w:val="es-ES_tradnl"/>
        </w:rPr>
        <w:t xml:space="preserve">En la primera reunión del GT-GADT-RR, </w:t>
      </w:r>
      <w:r w:rsidR="00EB7860">
        <w:rPr>
          <w:lang w:val="es-ES_tradnl"/>
        </w:rPr>
        <w:t>la</w:t>
      </w:r>
      <w:r w:rsidRPr="00C64B43">
        <w:rPr>
          <w:lang w:val="es-ES_tradnl"/>
        </w:rPr>
        <w:t xml:space="preserve"> President</w:t>
      </w:r>
      <w:r w:rsidR="00EB7860">
        <w:rPr>
          <w:lang w:val="es-ES_tradnl"/>
        </w:rPr>
        <w:t>a</w:t>
      </w:r>
      <w:r w:rsidRPr="00C64B43">
        <w:rPr>
          <w:lang w:val="es-ES_tradnl"/>
        </w:rPr>
        <w:t xml:space="preserve"> presentó un </w:t>
      </w:r>
      <w:hyperlink r:id="rId13" w:history="1">
        <w:r w:rsidRPr="00C64B43">
          <w:rPr>
            <w:rStyle w:val="Hyperlink"/>
            <w:lang w:val="es-ES_tradnl"/>
          </w:rPr>
          <w:t>documento de referencia</w:t>
        </w:r>
      </w:hyperlink>
      <w:r w:rsidRPr="00C64B43">
        <w:rPr>
          <w:lang w:val="es-ES_tradnl"/>
        </w:rPr>
        <w:t xml:space="preserve">, las </w:t>
      </w:r>
      <w:hyperlink r:id="rId14" w:history="1">
        <w:r w:rsidRPr="00C64B43">
          <w:rPr>
            <w:rStyle w:val="Hyperlink"/>
            <w:lang w:val="es-ES_tradnl"/>
          </w:rPr>
          <w:t>fechas propuestas para las futuras reuniones</w:t>
        </w:r>
        <w:r w:rsidRPr="002906B7">
          <w:rPr>
            <w:rStyle w:val="Hyperlink"/>
            <w:color w:val="auto"/>
            <w:u w:val="none"/>
            <w:lang w:val="es-ES_tradnl"/>
          </w:rPr>
          <w:t xml:space="preserve"> </w:t>
        </w:r>
      </w:hyperlink>
      <w:r w:rsidRPr="00C64B43">
        <w:rPr>
          <w:lang w:val="es-ES_tradnl"/>
        </w:rPr>
        <w:t xml:space="preserve">y un </w:t>
      </w:r>
      <w:hyperlink r:id="rId15" w:history="1">
        <w:r w:rsidRPr="00C64B43">
          <w:rPr>
            <w:rStyle w:val="Hyperlink"/>
            <w:lang w:val="es-ES_tradnl"/>
          </w:rPr>
          <w:t>proyecto de mandato</w:t>
        </w:r>
      </w:hyperlink>
      <w:r w:rsidRPr="00C64B43">
        <w:rPr>
          <w:lang w:val="es-ES_tradnl"/>
        </w:rPr>
        <w:t>.</w:t>
      </w:r>
    </w:p>
    <w:p w14:paraId="0107713E" w14:textId="711256C1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1.2</w:t>
      </w:r>
      <w:r>
        <w:rPr>
          <w:lang w:val="es-ES_tradnl"/>
        </w:rPr>
        <w:tab/>
      </w:r>
      <w:r w:rsidRPr="00C64B43">
        <w:rPr>
          <w:lang w:val="es-ES_tradnl"/>
        </w:rPr>
        <w:t xml:space="preserve">El </w:t>
      </w:r>
      <w:hyperlink r:id="rId16" w:history="1">
        <w:r w:rsidRPr="00C64B43">
          <w:rPr>
            <w:rStyle w:val="Hyperlink"/>
            <w:lang w:val="es-ES_tradnl"/>
          </w:rPr>
          <w:t>informe sobre la primera reunión del GT-GADT-RR</w:t>
        </w:r>
      </w:hyperlink>
      <w:r w:rsidRPr="00C64B43">
        <w:rPr>
          <w:lang w:val="es-ES_tradnl"/>
        </w:rPr>
        <w:t xml:space="preserve"> contiene un resumen de los debates mantenidos.</w:t>
      </w:r>
    </w:p>
    <w:p w14:paraId="158FF81F" w14:textId="29095EAD" w:rsidR="00C64B43" w:rsidRPr="00C64B43" w:rsidRDefault="00C64B43" w:rsidP="00C64B43">
      <w:pPr>
        <w:pStyle w:val="Heading1"/>
        <w:rPr>
          <w:lang w:val="es-ES_tradnl"/>
        </w:rPr>
      </w:pPr>
      <w:r>
        <w:rPr>
          <w:lang w:val="es-ES_tradnl"/>
        </w:rPr>
        <w:t>2</w:t>
      </w:r>
      <w:r>
        <w:rPr>
          <w:lang w:val="es-ES_tradnl"/>
        </w:rPr>
        <w:tab/>
      </w:r>
      <w:r w:rsidRPr="00C64B43">
        <w:rPr>
          <w:lang w:val="es-ES_tradnl"/>
        </w:rPr>
        <w:t>La segunda reunión del GT-GADT-RR se celebró en formato híbrido (presencial y en línea) el 21 de mayo de 2024, coincidiendo con la reunión de 2024 del GADT</w:t>
      </w:r>
    </w:p>
    <w:p w14:paraId="4F2E7143" w14:textId="645863EB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2.1</w:t>
      </w:r>
      <w:r>
        <w:rPr>
          <w:lang w:val="es-ES_tradnl"/>
        </w:rPr>
        <w:tab/>
      </w:r>
      <w:r w:rsidRPr="00C64B43">
        <w:rPr>
          <w:lang w:val="es-ES_tradnl"/>
        </w:rPr>
        <w:t xml:space="preserve">En la segunda reunión del GT-GADT-RR se debatió el proyecto de mandato. ATDI (Francia) presentó una contribución que contenía una </w:t>
      </w:r>
      <w:hyperlink w:history="1">
        <w:r w:rsidRPr="00C64B43">
          <w:rPr>
            <w:rStyle w:val="Hyperlink"/>
            <w:lang w:val="es-ES_tradnl"/>
          </w:rPr>
          <w:t>revisión del mandato</w:t>
        </w:r>
      </w:hyperlink>
      <w:r w:rsidRPr="00C64B43">
        <w:rPr>
          <w:lang w:val="es-ES_tradnl"/>
        </w:rPr>
        <w:t xml:space="preserve"> y </w:t>
      </w:r>
      <w:r w:rsidR="0022472C">
        <w:rPr>
          <w:lang w:val="es-ES_tradnl"/>
        </w:rPr>
        <w:t>la</w:t>
      </w:r>
      <w:r w:rsidRPr="00C64B43">
        <w:rPr>
          <w:lang w:val="es-ES_tradnl"/>
        </w:rPr>
        <w:t xml:space="preserve"> President</w:t>
      </w:r>
      <w:r w:rsidR="0022472C">
        <w:rPr>
          <w:lang w:val="es-ES_tradnl"/>
        </w:rPr>
        <w:t>a</w:t>
      </w:r>
      <w:r w:rsidRPr="00C64B43">
        <w:rPr>
          <w:lang w:val="es-ES_tradnl"/>
        </w:rPr>
        <w:t xml:space="preserve"> del GT-GADT-RR presentó una contribución relativa al </w:t>
      </w:r>
      <w:hyperlink w:history="1">
        <w:r w:rsidRPr="00C64B43">
          <w:rPr>
            <w:rStyle w:val="Hyperlink"/>
            <w:lang w:val="es-ES_tradnl"/>
          </w:rPr>
          <w:t>proyecto de mandato</w:t>
        </w:r>
      </w:hyperlink>
      <w:r w:rsidRPr="00C64B43">
        <w:rPr>
          <w:lang w:val="es-ES_tradnl"/>
        </w:rPr>
        <w:t>.</w:t>
      </w:r>
    </w:p>
    <w:p w14:paraId="43BBFEEE" w14:textId="34C5BDF4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2.2</w:t>
      </w:r>
      <w:r>
        <w:rPr>
          <w:lang w:val="es-ES_tradnl"/>
        </w:rPr>
        <w:tab/>
      </w:r>
      <w:r w:rsidRPr="00C64B43">
        <w:rPr>
          <w:lang w:val="es-ES_tradnl"/>
        </w:rPr>
        <w:t xml:space="preserve">En la reunión de 2024 del GADT, se presentó un </w:t>
      </w:r>
      <w:hyperlink r:id="rId17" w:history="1">
        <w:r w:rsidRPr="00C64B43">
          <w:rPr>
            <w:rStyle w:val="Hyperlink"/>
            <w:lang w:val="es-ES_tradnl"/>
          </w:rPr>
          <w:t>informe sobre la marcha de los trabajos del GT-GADT-RR</w:t>
        </w:r>
      </w:hyperlink>
      <w:r w:rsidRPr="00C64B43">
        <w:rPr>
          <w:lang w:val="es-ES_tradnl"/>
        </w:rPr>
        <w:t xml:space="preserve">, se aprobó el </w:t>
      </w:r>
      <w:hyperlink r:id="rId18" w:history="1">
        <w:r w:rsidRPr="00C64B43">
          <w:rPr>
            <w:rStyle w:val="Hyperlink"/>
            <w:lang w:val="es-ES_tradnl"/>
          </w:rPr>
          <w:t>mandato de dicho Grupo de Trabajo</w:t>
        </w:r>
        <w:r w:rsidRPr="002906B7">
          <w:rPr>
            <w:rStyle w:val="Hyperlink"/>
            <w:color w:val="auto"/>
            <w:u w:val="none"/>
            <w:lang w:val="es-ES_tradnl"/>
          </w:rPr>
          <w:t xml:space="preserve"> </w:t>
        </w:r>
      </w:hyperlink>
      <w:r w:rsidRPr="00C64B43">
        <w:rPr>
          <w:lang w:val="es-ES_tradnl"/>
        </w:rPr>
        <w:t>y se nombraron dos Vicepresidentas, a saber:</w:t>
      </w:r>
    </w:p>
    <w:p w14:paraId="1E2FBBB1" w14:textId="61D43D0E" w:rsidR="00C64B43" w:rsidRPr="00FB7ACC" w:rsidRDefault="00C64B43" w:rsidP="00C64B43">
      <w:pPr>
        <w:pStyle w:val="enumlev1"/>
        <w:rPr>
          <w:lang w:val="es-ES"/>
        </w:rPr>
      </w:pPr>
      <w:r w:rsidRPr="00FB7ACC">
        <w:rPr>
          <w:lang w:val="es-ES"/>
        </w:rPr>
        <w:t>a)</w:t>
      </w:r>
      <w:r w:rsidRPr="00FB7ACC">
        <w:rPr>
          <w:lang w:val="es-ES"/>
        </w:rPr>
        <w:tab/>
        <w:t>Sra. Blanca González (España)</w:t>
      </w:r>
    </w:p>
    <w:p w14:paraId="284036DD" w14:textId="0F05CEDB" w:rsidR="00C64B43" w:rsidRPr="00550B8A" w:rsidRDefault="00C64B43" w:rsidP="00C64B43">
      <w:pPr>
        <w:pStyle w:val="enumlev1"/>
        <w:rPr>
          <w:lang w:val="es-ES"/>
        </w:rPr>
      </w:pPr>
      <w:r w:rsidRPr="00FB7ACC">
        <w:rPr>
          <w:lang w:val="es-ES"/>
        </w:rPr>
        <w:t>b)</w:t>
      </w:r>
      <w:r w:rsidRPr="00FB7ACC">
        <w:rPr>
          <w:lang w:val="es-ES"/>
        </w:rPr>
        <w:tab/>
        <w:t>Sra. Agustina Brizo (Argentina)</w:t>
      </w:r>
    </w:p>
    <w:p w14:paraId="428593A7" w14:textId="0EA4304B" w:rsidR="00C64B43" w:rsidRPr="00C64B43" w:rsidRDefault="00C64B43" w:rsidP="00C64B43">
      <w:pPr>
        <w:pStyle w:val="Heading1"/>
        <w:rPr>
          <w:lang w:val="es-ES_tradnl"/>
        </w:rPr>
      </w:pPr>
      <w:r>
        <w:rPr>
          <w:lang w:val="es-ES_tradnl"/>
        </w:rPr>
        <w:t>3</w:t>
      </w:r>
      <w:r>
        <w:rPr>
          <w:lang w:val="es-ES_tradnl"/>
        </w:rPr>
        <w:tab/>
      </w:r>
      <w:r w:rsidRPr="00C64B43">
        <w:rPr>
          <w:lang w:val="es-ES_tradnl"/>
        </w:rPr>
        <w:t>La tercera reunión del GT-GADT-RR se celebró en línea el 5 de septiembre de 2024 y continuó por correspondencia hasta el 23 de noviembre de 2024</w:t>
      </w:r>
    </w:p>
    <w:p w14:paraId="197E3F91" w14:textId="17DE9CE2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3.1</w:t>
      </w:r>
      <w:r>
        <w:rPr>
          <w:lang w:val="es-ES_tradnl"/>
        </w:rPr>
        <w:tab/>
      </w:r>
      <w:r w:rsidRPr="00C64B43">
        <w:rPr>
          <w:lang w:val="es-ES_tradnl"/>
        </w:rPr>
        <w:t xml:space="preserve">En la tercera reunión del GT-GADT-RR, el Reino Unido presentó una contribución relativa al </w:t>
      </w:r>
      <w:hyperlink r:id="rId19" w:history="1">
        <w:r w:rsidRPr="00C64B43">
          <w:rPr>
            <w:rStyle w:val="Hyperlink"/>
            <w:bCs/>
            <w:lang w:val="es-ES_tradnl"/>
          </w:rPr>
          <w:t>establecimiento de correspondencias para el informe final</w:t>
        </w:r>
      </w:hyperlink>
      <w:r w:rsidRPr="00C64B43">
        <w:rPr>
          <w:bCs/>
          <w:lang w:val="es-ES_tradnl"/>
        </w:rPr>
        <w:t xml:space="preserve"> </w:t>
      </w:r>
      <w:r w:rsidRPr="00C64B43">
        <w:rPr>
          <w:lang w:val="es-ES_tradnl"/>
        </w:rPr>
        <w:t xml:space="preserve">e hizo referencia a una contribución que la Federación de Rusia había presentado en la reunión de 2023 del GADT (véase el Documento </w:t>
      </w:r>
      <w:hyperlink r:id="rId20" w:history="1">
        <w:r w:rsidRPr="00C64B43">
          <w:rPr>
            <w:rStyle w:val="Hyperlink"/>
            <w:lang w:val="es-ES_tradnl"/>
          </w:rPr>
          <w:t>TDAG-23/31</w:t>
        </w:r>
      </w:hyperlink>
      <w:r w:rsidRPr="00C64B43">
        <w:rPr>
          <w:lang w:val="es-ES_tradnl"/>
        </w:rPr>
        <w:t>). Se valoró positivamente esta contribución, cuyo objetivo era estructurar el mandato del GT-GADT-RR y facilitar su cumplimiento con ayuda de una lista de Resoluciones de la CMDT que podrían considerarse para su racionalización.</w:t>
      </w:r>
    </w:p>
    <w:p w14:paraId="1B59659C" w14:textId="6C0DE946" w:rsidR="00C64B43" w:rsidRPr="00C64B43" w:rsidRDefault="00C64B43" w:rsidP="00C64B43">
      <w:pPr>
        <w:rPr>
          <w:bCs/>
          <w:lang w:val="es-ES_tradnl"/>
        </w:rPr>
      </w:pPr>
      <w:r>
        <w:rPr>
          <w:lang w:val="es-ES_tradnl"/>
        </w:rPr>
        <w:t>3.2</w:t>
      </w:r>
      <w:r>
        <w:rPr>
          <w:lang w:val="es-ES_tradnl"/>
        </w:rPr>
        <w:tab/>
      </w:r>
      <w:r w:rsidRPr="00C64B43">
        <w:rPr>
          <w:lang w:val="es-ES_tradnl"/>
        </w:rPr>
        <w:t>La citada contribución del Reino Unido también se incluyó en una contribución de</w:t>
      </w:r>
      <w:r w:rsidR="0022472C">
        <w:rPr>
          <w:lang w:val="es-ES_tradnl"/>
        </w:rPr>
        <w:t xml:space="preserve"> la</w:t>
      </w:r>
      <w:r w:rsidRPr="00C64B43">
        <w:rPr>
          <w:lang w:val="es-ES_tradnl"/>
        </w:rPr>
        <w:t xml:space="preserve"> President</w:t>
      </w:r>
      <w:r w:rsidR="0022472C">
        <w:rPr>
          <w:lang w:val="es-ES_tradnl"/>
        </w:rPr>
        <w:t>a</w:t>
      </w:r>
      <w:r w:rsidRPr="00C64B43">
        <w:rPr>
          <w:lang w:val="es-ES_tradnl"/>
        </w:rPr>
        <w:t xml:space="preserve">, que contenía una </w:t>
      </w:r>
      <w:hyperlink r:id="rId21" w:history="1">
        <w:r w:rsidRPr="00C64B43">
          <w:rPr>
            <w:rStyle w:val="Hyperlink"/>
            <w:lang w:val="es-ES_tradnl"/>
          </w:rPr>
          <w:t>propuesta de agrupación de Resoluciones</w:t>
        </w:r>
      </w:hyperlink>
      <w:r w:rsidRPr="00C64B43">
        <w:rPr>
          <w:lang w:val="es-ES_tradnl"/>
        </w:rPr>
        <w:t xml:space="preserve"> y que se utilizó como medio para buscar voluntarios interesados en revisar los grupos de Resoluciones de la CMDT.</w:t>
      </w:r>
    </w:p>
    <w:p w14:paraId="4F9BD389" w14:textId="486E00D4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3.3</w:t>
      </w:r>
      <w:r>
        <w:rPr>
          <w:lang w:val="es-ES_tradnl"/>
        </w:rPr>
        <w:tab/>
      </w:r>
      <w:r w:rsidRPr="00C64B43">
        <w:rPr>
          <w:lang w:val="es-ES_tradnl"/>
        </w:rPr>
        <w:t xml:space="preserve">Se compartió con el GT-GADT-RR, por correo electrónico </w:t>
      </w:r>
      <w:hyperlink r:id="rId22" w:history="1">
        <w:r w:rsidRPr="001C17A3">
          <w:rPr>
            <w:rStyle w:val="Hyperlink"/>
            <w:color w:val="auto"/>
            <w:u w:val="none"/>
            <w:lang w:val="es-ES_tradnl"/>
          </w:rPr>
          <w:t>(</w:t>
        </w:r>
        <w:r w:rsidRPr="00C64B43">
          <w:rPr>
            <w:rStyle w:val="Hyperlink"/>
            <w:lang w:val="es-ES_tradnl"/>
          </w:rPr>
          <w:t>tdag-wg-streamres@lists.itu.int</w:t>
        </w:r>
      </w:hyperlink>
      <w:r w:rsidRPr="00C64B43">
        <w:rPr>
          <w:u w:val="single"/>
          <w:lang w:val="es-ES_tradnl"/>
        </w:rPr>
        <w:t>)</w:t>
      </w:r>
      <w:r w:rsidRPr="00C64B43">
        <w:rPr>
          <w:lang w:val="es-ES_tradnl"/>
        </w:rPr>
        <w:t xml:space="preserve"> y a través del </w:t>
      </w:r>
      <w:hyperlink r:id="rId23" w:history="1">
        <w:r w:rsidRPr="00C64B43">
          <w:rPr>
            <w:rStyle w:val="Hyperlink"/>
            <w:lang w:val="es-ES_tradnl"/>
          </w:rPr>
          <w:t>espacio de trabajo colaborativo de los equipos del GT-GADT-RR</w:t>
        </w:r>
      </w:hyperlink>
      <w:r w:rsidRPr="00C64B43">
        <w:rPr>
          <w:lang w:val="es-ES_tradnl"/>
        </w:rPr>
        <w:t xml:space="preserve"> con miras a trabajar por correspondencia, un proyecto de documento que podía adaptarse para profundizar en la preparación de las contribuciones sobre la racionalización de las Resoluciones y referencias a ejemplos. También se facilitó a título de referencia el cuadro de correspondencias entre las Resoluciones del PP y las de otros Sectores del </w:t>
      </w:r>
      <w:hyperlink r:id="rId24" w:history="1">
        <w:r w:rsidRPr="00C64B43">
          <w:rPr>
            <w:rStyle w:val="Hyperlink"/>
            <w:lang w:val="es-ES_tradnl"/>
          </w:rPr>
          <w:t xml:space="preserve">Grupo de Coordinación Intersectorial </w:t>
        </w:r>
      </w:hyperlink>
      <w:r w:rsidRPr="00C64B43">
        <w:rPr>
          <w:lang w:val="es-ES_tradnl"/>
        </w:rPr>
        <w:t>de la UIT.</w:t>
      </w:r>
    </w:p>
    <w:p w14:paraId="280EFBA6" w14:textId="1B7F9125" w:rsidR="00C64B43" w:rsidRPr="00C64B43" w:rsidRDefault="00C64B43" w:rsidP="00C64B43">
      <w:pPr>
        <w:rPr>
          <w:lang w:val="es-ES_tradnl"/>
        </w:rPr>
      </w:pPr>
      <w:r>
        <w:rPr>
          <w:lang w:val="es-ES_tradnl"/>
        </w:rPr>
        <w:t>3.4</w:t>
      </w:r>
      <w:r>
        <w:rPr>
          <w:lang w:val="es-ES_tradnl"/>
        </w:rPr>
        <w:tab/>
      </w:r>
      <w:r w:rsidRPr="00C64B43">
        <w:rPr>
          <w:lang w:val="es-ES_tradnl"/>
        </w:rPr>
        <w:t xml:space="preserve">El </w:t>
      </w:r>
      <w:hyperlink r:id="rId25" w:history="1">
        <w:r w:rsidRPr="00C64B43">
          <w:rPr>
            <w:rStyle w:val="Hyperlink"/>
            <w:lang w:val="es-ES_tradnl"/>
          </w:rPr>
          <w:t>informe de la tercera reunión del GT-GADT-RR</w:t>
        </w:r>
      </w:hyperlink>
      <w:r w:rsidRPr="00C64B43">
        <w:rPr>
          <w:lang w:val="es-ES_tradnl"/>
        </w:rPr>
        <w:t xml:space="preserve"> </w:t>
      </w:r>
      <w:bookmarkStart w:id="7" w:name="_Hlk196978524"/>
      <w:r w:rsidRPr="00C64B43">
        <w:rPr>
          <w:lang w:val="es-ES_tradnl"/>
        </w:rPr>
        <w:t>contiene un resumen de los debates mantenidos.</w:t>
      </w:r>
      <w:bookmarkEnd w:id="7"/>
    </w:p>
    <w:p w14:paraId="61D8D0B7" w14:textId="5F50C063" w:rsidR="00C64B43" w:rsidRPr="00C64B43" w:rsidRDefault="00C64B43" w:rsidP="00C64B43">
      <w:pPr>
        <w:pStyle w:val="Heading1"/>
        <w:rPr>
          <w:lang w:val="es-ES_tradnl"/>
        </w:rPr>
      </w:pPr>
      <w:r>
        <w:rPr>
          <w:lang w:val="es-ES_tradnl"/>
        </w:rPr>
        <w:t>4</w:t>
      </w:r>
      <w:r>
        <w:rPr>
          <w:lang w:val="es-ES_tradnl"/>
        </w:rPr>
        <w:tab/>
      </w:r>
      <w:r w:rsidRPr="00C64B43">
        <w:rPr>
          <w:lang w:val="es-ES_tradnl"/>
        </w:rPr>
        <w:t>La cuarta reunión del GT-GADT-RR se celebró en línea el 5 de diciembre de</w:t>
      </w:r>
      <w:r w:rsidR="001C17A3">
        <w:rPr>
          <w:lang w:val="es-ES_tradnl"/>
        </w:rPr>
        <w:t> </w:t>
      </w:r>
      <w:r w:rsidRPr="00C64B43">
        <w:rPr>
          <w:lang w:val="es-ES_tradnl"/>
        </w:rPr>
        <w:t>2024</w:t>
      </w:r>
    </w:p>
    <w:p w14:paraId="55CBEC46" w14:textId="08ACCCA9" w:rsidR="00C64B43" w:rsidRPr="00C64B43" w:rsidRDefault="00C64B43" w:rsidP="00C64B43">
      <w:pPr>
        <w:rPr>
          <w:bCs/>
          <w:lang w:val="es-ES_tradnl"/>
        </w:rPr>
      </w:pPr>
      <w:r w:rsidRPr="00C64B43">
        <w:rPr>
          <w:lang w:val="es-ES_tradnl"/>
        </w:rPr>
        <w:t>4.1</w:t>
      </w:r>
      <w:r w:rsidRPr="00C64B43">
        <w:rPr>
          <w:lang w:val="es-ES_tradnl"/>
        </w:rPr>
        <w:tab/>
        <w:t xml:space="preserve">En la cuarta reunión del GT-GADT-RR, Australia presentó una contribución relativa a un </w:t>
      </w:r>
      <w:hyperlink r:id="rId26" w:history="1">
        <w:r w:rsidRPr="00C64B43">
          <w:rPr>
            <w:rStyle w:val="Hyperlink"/>
            <w:bCs/>
            <w:lang w:val="es-ES_tradnl"/>
          </w:rPr>
          <w:t xml:space="preserve">proyecto de revisión de la Resolución 17 (Rev. Kigali, 2022) de la CMDT, </w:t>
        </w:r>
        <w:r w:rsidRPr="00C64B43">
          <w:rPr>
            <w:rStyle w:val="Hyperlink"/>
            <w:bCs/>
            <w:i/>
            <w:iCs/>
            <w:lang w:val="es-ES_tradnl"/>
          </w:rPr>
          <w:t>Ejecución en los planos nacional, regional, interregional y mundial de las Iniciativas Regionales aprobadas y colaboración al respecto</w:t>
        </w:r>
      </w:hyperlink>
      <w:r w:rsidRPr="00C64B43">
        <w:rPr>
          <w:bCs/>
          <w:lang w:val="es-ES_tradnl"/>
        </w:rPr>
        <w:t xml:space="preserve"> y Ghana presentó una contribución que incluía una </w:t>
      </w:r>
      <w:hyperlink r:id="rId27" w:history="1">
        <w:r w:rsidRPr="00C64B43">
          <w:rPr>
            <w:rStyle w:val="Hyperlink"/>
            <w:lang w:val="es-ES_tradnl"/>
          </w:rPr>
          <w:t>propuesta de revisión de la Resolución 22 de la CMDT</w:t>
        </w:r>
      </w:hyperlink>
      <w:r w:rsidRPr="00C64B43">
        <w:rPr>
          <w:bCs/>
          <w:lang w:val="es-ES_tradnl"/>
        </w:rPr>
        <w:t>. Se felicitó a Australia y Ghana por sus contribuciones.</w:t>
      </w:r>
    </w:p>
    <w:p w14:paraId="0B341392" w14:textId="5848414B" w:rsidR="00C64B43" w:rsidRDefault="00C64B43" w:rsidP="00C64B43">
      <w:pPr>
        <w:rPr>
          <w:lang w:val="es-ES_tradnl"/>
        </w:rPr>
      </w:pPr>
      <w:r w:rsidRPr="00C64B43">
        <w:rPr>
          <w:lang w:val="es-ES_tradnl"/>
        </w:rPr>
        <w:t>4.2</w:t>
      </w:r>
      <w:r w:rsidRPr="00C64B43">
        <w:rPr>
          <w:lang w:val="es-ES_tradnl"/>
        </w:rPr>
        <w:tab/>
        <w:t xml:space="preserve">El </w:t>
      </w:r>
      <w:hyperlink r:id="rId28" w:history="1">
        <w:r w:rsidRPr="00C64B43">
          <w:rPr>
            <w:rStyle w:val="Hyperlink"/>
            <w:lang w:val="es-ES_tradnl"/>
          </w:rPr>
          <w:t>informe de la cuarta reunión del GT-GADT-RR</w:t>
        </w:r>
      </w:hyperlink>
      <w:r w:rsidRPr="00C64B43">
        <w:rPr>
          <w:lang w:val="es-ES_tradnl"/>
        </w:rPr>
        <w:t xml:space="preserve"> contiene un resumen de los debates mantenidos.</w:t>
      </w:r>
    </w:p>
    <w:p w14:paraId="4711E068" w14:textId="7039D11A" w:rsidR="005A5EAB" w:rsidRPr="00FB7ACC" w:rsidRDefault="005A5EAB" w:rsidP="005A5EAB">
      <w:pPr>
        <w:pStyle w:val="Heading1"/>
        <w:rPr>
          <w:lang w:val="es-ES_tradnl"/>
        </w:rPr>
      </w:pPr>
      <w:r w:rsidRPr="00FB7ACC">
        <w:rPr>
          <w:lang w:val="es-ES_tradnl"/>
        </w:rPr>
        <w:t>5</w:t>
      </w:r>
      <w:r w:rsidRPr="00FB7ACC">
        <w:rPr>
          <w:lang w:val="es-ES_tradnl"/>
        </w:rPr>
        <w:tab/>
        <w:t>La quinta reunión del GT-GADT-RR se celebró en línea el 26 de marzo de 2025</w:t>
      </w:r>
    </w:p>
    <w:p w14:paraId="6F53B1F8" w14:textId="06DA85B7" w:rsidR="00FB7ACC" w:rsidRDefault="005A5EAB" w:rsidP="005A5EAB">
      <w:pPr>
        <w:rPr>
          <w:highlight w:val="yellow"/>
          <w:lang w:val="es-ES_tradnl"/>
        </w:rPr>
      </w:pPr>
      <w:r w:rsidRPr="00FB7ACC">
        <w:rPr>
          <w:lang w:val="es-ES_tradnl"/>
        </w:rPr>
        <w:t>5.1</w:t>
      </w:r>
      <w:r w:rsidRPr="00FB7ACC">
        <w:rPr>
          <w:lang w:val="es-ES_tradnl"/>
        </w:rPr>
        <w:tab/>
      </w:r>
      <w:r w:rsidR="001A32A6" w:rsidRPr="00FB7ACC">
        <w:rPr>
          <w:lang w:val="es-ES_tradnl"/>
        </w:rPr>
        <w:t xml:space="preserve">En la quinta reunión del GT-GADT-RR, Ghana presentó una contribución </w:t>
      </w:r>
      <w:r w:rsidR="007A2CF3" w:rsidRPr="00FB7ACC">
        <w:rPr>
          <w:lang w:val="es-ES_tradnl"/>
        </w:rPr>
        <w:t xml:space="preserve">sobre la </w:t>
      </w:r>
      <w:hyperlink r:id="rId29" w:history="1">
        <w:r w:rsidR="007A2CF3" w:rsidRPr="00FB7ACC">
          <w:rPr>
            <w:rStyle w:val="Hyperlink"/>
            <w:lang w:val="es-ES_tradnl"/>
          </w:rPr>
          <w:t>propuest</w:t>
        </w:r>
        <w:r w:rsidR="005B0797" w:rsidRPr="00FB7ACC">
          <w:rPr>
            <w:rStyle w:val="Hyperlink"/>
            <w:lang w:val="es-ES_tradnl"/>
          </w:rPr>
          <w:t xml:space="preserve">a de enmienda de la Resolución </w:t>
        </w:r>
        <w:r w:rsidR="005B0797" w:rsidRPr="00D71748">
          <w:rPr>
            <w:rStyle w:val="Hyperlink"/>
            <w:lang w:val="es-ES_tradnl"/>
          </w:rPr>
          <w:t>2</w:t>
        </w:r>
        <w:r w:rsidR="00D71748" w:rsidRPr="00D71748">
          <w:rPr>
            <w:rStyle w:val="Hyperlink"/>
            <w:lang w:val="es-ES_tradnl"/>
          </w:rPr>
          <w:t>0</w:t>
        </w:r>
        <w:r w:rsidR="005B0797" w:rsidRPr="00FB7ACC">
          <w:rPr>
            <w:rStyle w:val="Hyperlink"/>
            <w:lang w:val="es-ES_tradnl"/>
          </w:rPr>
          <w:t xml:space="preserve"> de la CMDT</w:t>
        </w:r>
      </w:hyperlink>
      <w:r w:rsidR="005B0797" w:rsidRPr="00FB7ACC">
        <w:rPr>
          <w:lang w:val="es-ES_tradnl"/>
        </w:rPr>
        <w:t>.</w:t>
      </w:r>
    </w:p>
    <w:p w14:paraId="2FF507C2" w14:textId="0136A6A6" w:rsidR="005B0797" w:rsidRPr="00550B8A" w:rsidRDefault="005B0797" w:rsidP="005A5EAB">
      <w:pPr>
        <w:rPr>
          <w:highlight w:val="yellow"/>
          <w:lang w:val="es-ES"/>
        </w:rPr>
      </w:pPr>
      <w:r w:rsidRPr="00FB7ACC">
        <w:rPr>
          <w:lang w:val="es-ES_tradnl"/>
        </w:rPr>
        <w:t>5.2</w:t>
      </w:r>
      <w:r w:rsidRPr="00FB7ACC">
        <w:rPr>
          <w:lang w:val="es-ES_tradnl"/>
        </w:rPr>
        <w:tab/>
      </w:r>
      <w:r w:rsidR="009C7B29" w:rsidRPr="00FB7ACC">
        <w:rPr>
          <w:lang w:val="es-ES_tradnl"/>
        </w:rPr>
        <w:t>La Federación de Rusia presentó siete (7) contribuciones sobre los temas siguientes: a</w:t>
      </w:r>
      <w:r w:rsidR="00A92AFF" w:rsidRPr="00FB7ACC">
        <w:rPr>
          <w:lang w:val="es-ES_tradnl"/>
        </w:rPr>
        <w:t>) </w:t>
      </w:r>
      <w:hyperlink r:id="rId30" w:history="1">
        <w:r w:rsidR="00A92AFF" w:rsidRPr="00FB7ACC">
          <w:rPr>
            <w:rStyle w:val="Hyperlink"/>
            <w:lang w:val="es-ES_tradnl"/>
          </w:rPr>
          <w:t>proyecto de nueva Resolución sobre la promoción del desarrollo y la implementación del metaverso</w:t>
        </w:r>
      </w:hyperlink>
      <w:r w:rsidR="00E61D91" w:rsidRPr="00FB7ACC">
        <w:rPr>
          <w:lang w:val="es-ES_tradnl"/>
        </w:rPr>
        <w:t xml:space="preserve">; b) </w:t>
      </w:r>
      <w:hyperlink r:id="rId31" w:history="1">
        <w:r w:rsidR="00E61D91" w:rsidRPr="00FB7ACC">
          <w:rPr>
            <w:rStyle w:val="Hyperlink"/>
            <w:lang w:val="es-ES_tradnl"/>
          </w:rPr>
          <w:t>proyecto de Resolución 11 (Rev. Kigali (2022)</w:t>
        </w:r>
      </w:hyperlink>
      <w:r w:rsidR="00E61D91" w:rsidRPr="00FB7ACC">
        <w:rPr>
          <w:lang w:val="es-ES_tradnl"/>
        </w:rPr>
        <w:t xml:space="preserve"> – Servicios de telecomunicaciones/tecnolo</w:t>
      </w:r>
      <w:r w:rsidR="00A77AE5" w:rsidRPr="00FB7ACC">
        <w:rPr>
          <w:lang w:val="es-ES_tradnl"/>
        </w:rPr>
        <w:t xml:space="preserve">gías de la información y la comunicación en zonas rurales, aisladas e insuficientemente atendidas; c) </w:t>
      </w:r>
      <w:hyperlink r:id="rId32" w:history="1">
        <w:r w:rsidR="00E057A6" w:rsidRPr="00FB7ACC">
          <w:rPr>
            <w:rStyle w:val="Hyperlink"/>
            <w:lang w:val="es-ES_tradnl"/>
          </w:rPr>
          <w:t>proyecto de Resolución 24 (Rev. Kigali, 2022)</w:t>
        </w:r>
      </w:hyperlink>
      <w:r w:rsidR="00E057A6" w:rsidRPr="00FB7ACC">
        <w:rPr>
          <w:lang w:val="es-ES_tradnl"/>
        </w:rPr>
        <w:t xml:space="preserve"> – Autorización para que el Grupo Asesor de Desarrollo de las Telecomunicaciones</w:t>
      </w:r>
      <w:r w:rsidR="00207EEA" w:rsidRPr="00FB7ACC">
        <w:rPr>
          <w:lang w:val="es-ES_tradnl"/>
        </w:rPr>
        <w:t xml:space="preserve"> actúe en el periodo entre Conferencias Mundiales de Desarrollo de las Telecomunicaciones; d) </w:t>
      </w:r>
      <w:hyperlink r:id="rId33" w:history="1">
        <w:r w:rsidR="00207EEA" w:rsidRPr="00FB7ACC">
          <w:rPr>
            <w:rStyle w:val="Hyperlink"/>
            <w:lang w:val="es-ES_tradnl"/>
          </w:rPr>
          <w:t>proyecto de Resolución 58 (Rev.</w:t>
        </w:r>
        <w:r w:rsidR="00936DD6" w:rsidRPr="00FB7ACC">
          <w:rPr>
            <w:rStyle w:val="Hyperlink"/>
            <w:lang w:val="es-ES"/>
          </w:rPr>
          <w:t> Kigali, 2022)</w:t>
        </w:r>
      </w:hyperlink>
      <w:r w:rsidR="00936DD6" w:rsidRPr="00FB7ACC">
        <w:rPr>
          <w:lang w:val="es-ES"/>
        </w:rPr>
        <w:t xml:space="preserve"> – Accesibilidad de las telecomunicaciones/tecnologías de la información y la comunicación para las personas con discapacidad </w:t>
      </w:r>
      <w:r w:rsidR="00DC108A" w:rsidRPr="00FB7ACC">
        <w:rPr>
          <w:lang w:val="es-ES"/>
        </w:rPr>
        <w:t>y las personas con necesidades especiales; e)</w:t>
      </w:r>
      <w:r w:rsidR="00FB7ACC" w:rsidRPr="00FB7ACC">
        <w:rPr>
          <w:lang w:val="es-ES"/>
        </w:rPr>
        <w:t> </w:t>
      </w:r>
      <w:hyperlink r:id="rId34" w:history="1">
        <w:r w:rsidR="00DC108A" w:rsidRPr="00FB7ACC">
          <w:rPr>
            <w:rStyle w:val="Hyperlink"/>
            <w:lang w:val="es-ES"/>
          </w:rPr>
          <w:t xml:space="preserve">proyecto de </w:t>
        </w:r>
        <w:r w:rsidR="00CA652F" w:rsidRPr="00FB7ACC">
          <w:rPr>
            <w:rStyle w:val="Hyperlink"/>
            <w:lang w:val="es-ES"/>
          </w:rPr>
          <w:t>Resolución 1 (Rev. Kigali, 2022)</w:t>
        </w:r>
      </w:hyperlink>
      <w:r w:rsidR="00CA652F" w:rsidRPr="00FB7ACC">
        <w:rPr>
          <w:lang w:val="es-ES"/>
        </w:rPr>
        <w:t xml:space="preserve"> – Reglamento </w:t>
      </w:r>
      <w:r w:rsidR="0015347D" w:rsidRPr="00FB7ACC">
        <w:rPr>
          <w:lang w:val="es-ES"/>
        </w:rPr>
        <w:t xml:space="preserve">interno del Sector de Desarrollo de las Telecomunicaciones de la UIT; f) </w:t>
      </w:r>
      <w:hyperlink r:id="rId35" w:history="1">
        <w:r w:rsidR="0015347D" w:rsidRPr="00FB7ACC">
          <w:rPr>
            <w:rStyle w:val="Hyperlink"/>
            <w:lang w:val="es-ES"/>
          </w:rPr>
          <w:t>proyecto de Resolución</w:t>
        </w:r>
        <w:r w:rsidR="003B693C" w:rsidRPr="00FB7ACC">
          <w:rPr>
            <w:rStyle w:val="Hyperlink"/>
            <w:lang w:val="es-ES"/>
          </w:rPr>
          <w:t> 31 (Rev. Kigali, 2022)</w:t>
        </w:r>
      </w:hyperlink>
      <w:r w:rsidR="003B693C" w:rsidRPr="00FB7ACC">
        <w:rPr>
          <w:lang w:val="es-ES"/>
        </w:rPr>
        <w:t xml:space="preserve"> </w:t>
      </w:r>
      <w:r w:rsidR="00B27D38" w:rsidRPr="00FB7ACC">
        <w:rPr>
          <w:lang w:val="es-ES"/>
        </w:rPr>
        <w:t>–</w:t>
      </w:r>
      <w:r w:rsidR="003B693C" w:rsidRPr="00FB7ACC">
        <w:rPr>
          <w:lang w:val="es-ES"/>
        </w:rPr>
        <w:t xml:space="preserve"> </w:t>
      </w:r>
      <w:r w:rsidR="00B27D38" w:rsidRPr="00FB7ACC">
        <w:rPr>
          <w:lang w:val="es-ES"/>
        </w:rPr>
        <w:t>Preparación regional de las Conferencias Mundiales de Desarrollo de las Telecomunicaciones</w:t>
      </w:r>
      <w:r w:rsidR="0082494F" w:rsidRPr="00FB7ACC">
        <w:rPr>
          <w:lang w:val="es-ES"/>
        </w:rPr>
        <w:t xml:space="preserve">; </w:t>
      </w:r>
      <w:r w:rsidR="0082494F" w:rsidRPr="0010762E">
        <w:rPr>
          <w:lang w:val="es-ES"/>
        </w:rPr>
        <w:t xml:space="preserve">y g) </w:t>
      </w:r>
      <w:hyperlink r:id="rId36" w:history="1">
        <w:r w:rsidR="0082494F" w:rsidRPr="0010762E">
          <w:rPr>
            <w:rStyle w:val="Hyperlink"/>
            <w:lang w:val="es-ES"/>
          </w:rPr>
          <w:t>proyecto de Resolución 59 (Rev. Kigali, 2022)</w:t>
        </w:r>
      </w:hyperlink>
      <w:r w:rsidR="0082494F" w:rsidRPr="0010762E">
        <w:rPr>
          <w:lang w:val="es-ES"/>
        </w:rPr>
        <w:t xml:space="preserve"> </w:t>
      </w:r>
      <w:r w:rsidR="00445B8C" w:rsidRPr="0010762E">
        <w:rPr>
          <w:lang w:val="es-ES"/>
        </w:rPr>
        <w:t>–</w:t>
      </w:r>
      <w:r w:rsidR="0082494F" w:rsidRPr="0010762E">
        <w:rPr>
          <w:lang w:val="es-ES"/>
        </w:rPr>
        <w:t xml:space="preserve"> </w:t>
      </w:r>
      <w:r w:rsidR="00445B8C" w:rsidRPr="0010762E">
        <w:rPr>
          <w:lang w:val="es-ES"/>
        </w:rPr>
        <w:t>Fortalecimiento de la coordinación y la cooperación entre los tres Sectores en asuntos de interés mutuo.</w:t>
      </w:r>
    </w:p>
    <w:p w14:paraId="49B24446" w14:textId="7BB6CD96" w:rsidR="00AE18E6" w:rsidRPr="00550B8A" w:rsidRDefault="00AE18E6" w:rsidP="005A5EAB">
      <w:pPr>
        <w:rPr>
          <w:highlight w:val="yellow"/>
          <w:lang w:val="es-ES_tradnl"/>
        </w:rPr>
      </w:pPr>
      <w:r w:rsidRPr="0010762E">
        <w:rPr>
          <w:lang w:val="es-ES_tradnl"/>
        </w:rPr>
        <w:lastRenderedPageBreak/>
        <w:t>5.3</w:t>
      </w:r>
      <w:r w:rsidRPr="0010762E">
        <w:rPr>
          <w:lang w:val="es-ES_tradnl"/>
        </w:rPr>
        <w:tab/>
      </w:r>
      <w:r w:rsidR="00167413" w:rsidRPr="0010762E">
        <w:rPr>
          <w:lang w:val="es-ES_tradnl"/>
        </w:rPr>
        <w:t xml:space="preserve">El </w:t>
      </w:r>
      <w:hyperlink r:id="rId37" w:history="1">
        <w:r w:rsidR="00167413" w:rsidRPr="0010762E">
          <w:rPr>
            <w:rStyle w:val="Hyperlink"/>
            <w:lang w:val="es-ES_tradnl"/>
          </w:rPr>
          <w:t>informe de la quinta reunión del GT-GADT-RR</w:t>
        </w:r>
      </w:hyperlink>
      <w:r w:rsidR="00167413" w:rsidRPr="0010762E">
        <w:rPr>
          <w:lang w:val="es-ES_tradnl"/>
        </w:rPr>
        <w:t xml:space="preserve"> contiene un resumen de los debates mantenidos.</w:t>
      </w:r>
    </w:p>
    <w:p w14:paraId="5E54FDAF" w14:textId="39F21B3E" w:rsidR="00710A68" w:rsidRPr="00380AA1" w:rsidRDefault="00710A68" w:rsidP="00710A68">
      <w:pPr>
        <w:pStyle w:val="Heading1"/>
        <w:rPr>
          <w:lang w:val="es-ES_tradnl"/>
        </w:rPr>
      </w:pPr>
      <w:r w:rsidRPr="00380AA1">
        <w:rPr>
          <w:lang w:val="es-ES_tradnl"/>
        </w:rPr>
        <w:t>6</w:t>
      </w:r>
      <w:r w:rsidRPr="00380AA1">
        <w:rPr>
          <w:lang w:val="es-ES_tradnl"/>
        </w:rPr>
        <w:tab/>
        <w:t>La sexta reunión del GT-GADT-RR se celebró en línea el 2 de mayo de 2025</w:t>
      </w:r>
    </w:p>
    <w:p w14:paraId="6FC58457" w14:textId="199EA724" w:rsidR="00710A68" w:rsidRPr="00380AA1" w:rsidRDefault="008335DC" w:rsidP="005A5EAB">
      <w:pPr>
        <w:rPr>
          <w:lang w:val="es-ES_tradnl"/>
        </w:rPr>
      </w:pPr>
      <w:r w:rsidRPr="00380AA1">
        <w:rPr>
          <w:lang w:val="es-ES_tradnl"/>
        </w:rPr>
        <w:t>6.1</w:t>
      </w:r>
      <w:r w:rsidRPr="00380AA1">
        <w:rPr>
          <w:lang w:val="es-ES_tradnl"/>
        </w:rPr>
        <w:tab/>
      </w:r>
      <w:r w:rsidR="001A544F" w:rsidRPr="00380AA1">
        <w:rPr>
          <w:lang w:val="es-ES_tradnl"/>
        </w:rPr>
        <w:t xml:space="preserve">En la sexta reunión del GT-GADT-RR, Brasil presentó una contribución </w:t>
      </w:r>
      <w:r w:rsidR="00A8394A" w:rsidRPr="00380AA1">
        <w:rPr>
          <w:lang w:val="es-ES_tradnl"/>
        </w:rPr>
        <w:t xml:space="preserve">relativa al </w:t>
      </w:r>
      <w:hyperlink r:id="rId38" w:history="1">
        <w:r w:rsidR="00A8394A" w:rsidRPr="00380AA1">
          <w:rPr>
            <w:rStyle w:val="Hyperlink"/>
            <w:lang w:val="es-ES_tradnl"/>
          </w:rPr>
          <w:t>proyecto de Resolución 64 (Rev. Kigali, 2022)</w:t>
        </w:r>
      </w:hyperlink>
      <w:r w:rsidR="00A8394A" w:rsidRPr="00380AA1">
        <w:rPr>
          <w:lang w:val="es-ES_tradnl"/>
        </w:rPr>
        <w:t xml:space="preserve"> </w:t>
      </w:r>
      <w:r w:rsidR="00C85947" w:rsidRPr="00380AA1">
        <w:rPr>
          <w:lang w:val="es-ES_tradnl"/>
        </w:rPr>
        <w:t>–</w:t>
      </w:r>
      <w:r w:rsidR="00A8394A" w:rsidRPr="00380AA1">
        <w:rPr>
          <w:lang w:val="es-ES_tradnl"/>
        </w:rPr>
        <w:t xml:space="preserve"> </w:t>
      </w:r>
      <w:r w:rsidR="00C85947" w:rsidRPr="00380AA1">
        <w:rPr>
          <w:lang w:val="es-ES_tradnl"/>
        </w:rPr>
        <w:t xml:space="preserve">Protección y apoyo </w:t>
      </w:r>
      <w:r w:rsidR="00563424" w:rsidRPr="00380AA1">
        <w:rPr>
          <w:lang w:val="es-ES_tradnl"/>
        </w:rPr>
        <w:t>al usuario, consumidor de servicios de telecomunicaciones/tecnologías de la información y la comunicación.</w:t>
      </w:r>
    </w:p>
    <w:p w14:paraId="71E5BC50" w14:textId="13573A4A" w:rsidR="008335DC" w:rsidRPr="00380AA1" w:rsidRDefault="008335DC" w:rsidP="005A5EAB">
      <w:pPr>
        <w:rPr>
          <w:lang w:val="es-ES_tradnl"/>
        </w:rPr>
      </w:pPr>
      <w:r w:rsidRPr="00380AA1">
        <w:rPr>
          <w:lang w:val="es-ES_tradnl"/>
        </w:rPr>
        <w:t>6.2</w:t>
      </w:r>
      <w:r w:rsidRPr="00380AA1">
        <w:rPr>
          <w:lang w:val="es-ES_tradnl"/>
        </w:rPr>
        <w:tab/>
      </w:r>
      <w:r w:rsidR="007D5399" w:rsidRPr="00380AA1">
        <w:rPr>
          <w:lang w:val="es-ES_tradnl"/>
        </w:rPr>
        <w:t xml:space="preserve">La Presidenta presentó una contribución </w:t>
      </w:r>
      <w:r w:rsidR="005A7777" w:rsidRPr="00380AA1">
        <w:rPr>
          <w:lang w:val="es-ES_tradnl"/>
        </w:rPr>
        <w:t xml:space="preserve">sobre </w:t>
      </w:r>
      <w:hyperlink r:id="rId39" w:history="1">
        <w:r w:rsidR="005A7777" w:rsidRPr="00380AA1">
          <w:rPr>
            <w:lang w:val="es-ES"/>
          </w:rPr>
          <w:t xml:space="preserve">el </w:t>
        </w:r>
        <w:r w:rsidR="005A7777" w:rsidRPr="00380AA1">
          <w:rPr>
            <w:rStyle w:val="Hyperlink"/>
            <w:lang w:val="es-ES_tradnl"/>
          </w:rPr>
          <w:t>informe de la quinta reunión del GT</w:t>
        </w:r>
        <w:r w:rsidR="00380AA1" w:rsidRPr="00380AA1">
          <w:rPr>
            <w:rStyle w:val="Hyperlink"/>
            <w:lang w:val="es-ES_tradnl"/>
          </w:rPr>
          <w:noBreakHyphen/>
        </w:r>
        <w:r w:rsidR="005A7777" w:rsidRPr="00380AA1">
          <w:rPr>
            <w:rStyle w:val="Hyperlink"/>
            <w:lang w:val="es-ES_tradnl"/>
          </w:rPr>
          <w:t>GADT-RR</w:t>
        </w:r>
      </w:hyperlink>
      <w:r w:rsidR="005A7777" w:rsidRPr="00380AA1">
        <w:rPr>
          <w:lang w:val="es-ES_tradnl"/>
        </w:rPr>
        <w:t xml:space="preserve"> y presentó dos documentos informativos </w:t>
      </w:r>
      <w:r w:rsidR="00FA3878" w:rsidRPr="00380AA1">
        <w:rPr>
          <w:lang w:val="es-ES_tradnl"/>
        </w:rPr>
        <w:t>titulados</w:t>
      </w:r>
      <w:r w:rsidR="00861884" w:rsidRPr="00380AA1">
        <w:rPr>
          <w:lang w:val="es-ES_tradnl"/>
        </w:rPr>
        <w:t xml:space="preserve">: </w:t>
      </w:r>
      <w:hyperlink r:id="rId40" w:history="1">
        <w:r w:rsidR="006531B1" w:rsidRPr="00380AA1">
          <w:rPr>
            <w:rStyle w:val="Hyperlink"/>
            <w:lang w:val="es-ES_tradnl"/>
          </w:rPr>
          <w:t>P</w:t>
        </w:r>
        <w:r w:rsidR="00861884" w:rsidRPr="00380AA1">
          <w:rPr>
            <w:rStyle w:val="Hyperlink"/>
            <w:lang w:val="es-ES_tradnl"/>
          </w:rPr>
          <w:t xml:space="preserve">resentación de la Presidenta sobre </w:t>
        </w:r>
        <w:r w:rsidR="00DA2ED1" w:rsidRPr="00380AA1">
          <w:rPr>
            <w:rStyle w:val="Hyperlink"/>
            <w:lang w:val="es-ES_tradnl"/>
          </w:rPr>
          <w:t xml:space="preserve">la marcha de los trabajos </w:t>
        </w:r>
        <w:r w:rsidR="00501264" w:rsidRPr="00380AA1">
          <w:rPr>
            <w:rStyle w:val="Hyperlink"/>
            <w:lang w:val="es-ES_tradnl"/>
          </w:rPr>
          <w:t>del GT-GADT-RR</w:t>
        </w:r>
      </w:hyperlink>
      <w:r w:rsidR="00501264" w:rsidRPr="00380AA1">
        <w:rPr>
          <w:lang w:val="es-ES_tradnl"/>
        </w:rPr>
        <w:t xml:space="preserve"> y </w:t>
      </w:r>
      <w:hyperlink r:id="rId41" w:history="1">
        <w:r w:rsidR="006531B1" w:rsidRPr="00380AA1">
          <w:rPr>
            <w:rStyle w:val="Hyperlink"/>
            <w:lang w:val="es-ES_tradnl"/>
          </w:rPr>
          <w:t>Presentación de la Presidenta sobre las conclusiones del GT-GADT-RR</w:t>
        </w:r>
      </w:hyperlink>
      <w:r w:rsidR="006531B1" w:rsidRPr="00380AA1">
        <w:rPr>
          <w:lang w:val="es-ES_tradnl"/>
        </w:rPr>
        <w:t>.</w:t>
      </w:r>
    </w:p>
    <w:p w14:paraId="3923856F" w14:textId="57C55800" w:rsidR="008335DC" w:rsidRPr="00550B8A" w:rsidRDefault="008335DC" w:rsidP="005A5EAB">
      <w:pPr>
        <w:rPr>
          <w:lang w:val="es-ES"/>
        </w:rPr>
      </w:pPr>
      <w:r w:rsidRPr="00380AA1">
        <w:rPr>
          <w:lang w:val="es-ES_tradnl"/>
        </w:rPr>
        <w:t>6.3</w:t>
      </w:r>
      <w:r w:rsidRPr="00380AA1">
        <w:rPr>
          <w:lang w:val="es-ES_tradnl"/>
        </w:rPr>
        <w:tab/>
      </w:r>
      <w:r w:rsidR="00456F61" w:rsidRPr="00380AA1">
        <w:rPr>
          <w:lang w:val="es-ES_tradnl"/>
        </w:rPr>
        <w:t xml:space="preserve">El </w:t>
      </w:r>
      <w:hyperlink r:id="rId42" w:history="1">
        <w:r w:rsidR="00456F61" w:rsidRPr="00380AA1">
          <w:rPr>
            <w:rStyle w:val="Hyperlink"/>
            <w:lang w:val="es-ES_tradnl"/>
          </w:rPr>
          <w:t>informe de la sexta reunión del GT-GADT-RR</w:t>
        </w:r>
      </w:hyperlink>
      <w:r w:rsidR="00456F61" w:rsidRPr="00380AA1">
        <w:rPr>
          <w:lang w:val="es-ES_tradnl"/>
        </w:rPr>
        <w:t xml:space="preserve"> contiene un resumen de los debates mantenidos.</w:t>
      </w:r>
    </w:p>
    <w:p w14:paraId="67DF8F38" w14:textId="3994EA96" w:rsidR="00C64B43" w:rsidRPr="00C64B43" w:rsidRDefault="00C52C07" w:rsidP="00C64B43">
      <w:pPr>
        <w:pStyle w:val="Heading1"/>
        <w:rPr>
          <w:lang w:val="es-ES_tradnl"/>
        </w:rPr>
      </w:pPr>
      <w:r>
        <w:rPr>
          <w:lang w:val="es-ES_tradnl"/>
        </w:rPr>
        <w:t>B</w:t>
      </w:r>
      <w:r w:rsidR="00C64B43">
        <w:rPr>
          <w:lang w:val="es-ES_tradnl"/>
        </w:rPr>
        <w:tab/>
      </w:r>
      <w:r w:rsidR="00C64B43" w:rsidRPr="00C64B43">
        <w:rPr>
          <w:lang w:val="es-ES_tradnl"/>
        </w:rPr>
        <w:t>Con objeto de facilitar el trabajo de racionalización de las Resoluciones, un subconjunto de Resoluciones de la CMDT se ha clasificado en grupos, según se indica en la contribución de</w:t>
      </w:r>
      <w:r w:rsidR="001D2ECC">
        <w:rPr>
          <w:lang w:val="es-ES_tradnl"/>
        </w:rPr>
        <w:t xml:space="preserve"> la</w:t>
      </w:r>
      <w:r w:rsidR="00C64B43" w:rsidRPr="00C64B43">
        <w:rPr>
          <w:lang w:val="es-ES_tradnl"/>
        </w:rPr>
        <w:t xml:space="preserve"> President</w:t>
      </w:r>
      <w:r w:rsidR="001D2ECC">
        <w:rPr>
          <w:lang w:val="es-ES_tradnl"/>
        </w:rPr>
        <w:t>a</w:t>
      </w:r>
      <w:r w:rsidR="00C64B43" w:rsidRPr="00C64B43">
        <w:rPr>
          <w:lang w:val="es-ES_tradnl"/>
        </w:rPr>
        <w:t xml:space="preserve"> que contiene una </w:t>
      </w:r>
      <w:hyperlink r:id="rId43" w:history="1">
        <w:r w:rsidR="00C64B43" w:rsidRPr="00C64B43">
          <w:rPr>
            <w:rStyle w:val="Hyperlink"/>
            <w:bCs/>
            <w:lang w:val="es-ES_tradnl"/>
          </w:rPr>
          <w:t>propuesta de agrupación de Resoluciones</w:t>
        </w:r>
      </w:hyperlink>
      <w:r w:rsidR="00C64B43" w:rsidRPr="00C64B43">
        <w:rPr>
          <w:lang w:val="es-ES_tradnl"/>
        </w:rPr>
        <w:t>, y se ha invitado a los voluntarios a examinar dichas resoluciones con miras a su racionalización</w:t>
      </w:r>
    </w:p>
    <w:p w14:paraId="0686469E" w14:textId="55277D6C" w:rsidR="00C64B43" w:rsidRPr="00C64B43" w:rsidRDefault="00C52C07" w:rsidP="00C52C07">
      <w:pPr>
        <w:spacing w:after="120"/>
        <w:rPr>
          <w:lang w:val="es-ES_tradnl"/>
        </w:rPr>
      </w:pPr>
      <w:r>
        <w:rPr>
          <w:lang w:val="es-ES_tradnl"/>
        </w:rPr>
        <w:t>1</w:t>
      </w:r>
      <w:r w:rsidR="00D77AC0">
        <w:rPr>
          <w:lang w:val="es-ES_tradnl"/>
        </w:rPr>
        <w:tab/>
      </w:r>
      <w:r w:rsidR="00C64B43" w:rsidRPr="00C64B43">
        <w:rPr>
          <w:lang w:val="es-ES_tradnl"/>
        </w:rPr>
        <w:t xml:space="preserve">El siguiente Cuadro presenta un extracto de la agrupación de Resoluciones propuesta y de </w:t>
      </w:r>
      <w:r w:rsidR="00C64B43" w:rsidRPr="00380AA1">
        <w:rPr>
          <w:lang w:val="es-ES_tradnl"/>
        </w:rPr>
        <w:t>los voluntarios disponibles: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1710"/>
        <w:gridCol w:w="1799"/>
        <w:gridCol w:w="2165"/>
      </w:tblGrid>
      <w:tr w:rsidR="006D4D89" w:rsidRPr="00C64B43" w14:paraId="7EBCFA99" w14:textId="77777777" w:rsidTr="00380AA1">
        <w:trPr>
          <w:trHeight w:val="300"/>
          <w:tblHeader/>
          <w:jc w:val="center"/>
        </w:trPr>
        <w:tc>
          <w:tcPr>
            <w:tcW w:w="2054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C4C2" w14:textId="77777777" w:rsidR="006D4D89" w:rsidRPr="00C64B43" w:rsidRDefault="006D4D89" w:rsidP="00C52C07">
            <w:pPr>
              <w:pStyle w:val="Tablehead"/>
              <w:rPr>
                <w:lang w:val="es-ES_tradnl"/>
              </w:rPr>
            </w:pPr>
            <w:r w:rsidRPr="00C64B43">
              <w:rPr>
                <w:lang w:val="es-ES_tradnl"/>
              </w:rPr>
              <w:t>Grupo</w:t>
            </w:r>
          </w:p>
        </w:tc>
        <w:tc>
          <w:tcPr>
            <w:tcW w:w="888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2A81" w14:textId="77777777" w:rsidR="006D4D89" w:rsidRPr="00C64B43" w:rsidRDefault="006D4D89" w:rsidP="00C52C07">
            <w:pPr>
              <w:pStyle w:val="Tablehead"/>
              <w:rPr>
                <w:lang w:val="es-ES_tradnl"/>
              </w:rPr>
            </w:pPr>
            <w:r w:rsidRPr="00C64B43">
              <w:rPr>
                <w:lang w:val="es-ES_tradnl"/>
              </w:rPr>
              <w:t>Resolución de la CMDT</w:t>
            </w:r>
          </w:p>
        </w:tc>
        <w:tc>
          <w:tcPr>
            <w:tcW w:w="934" w:type="pct"/>
            <w:shd w:val="clear" w:color="auto" w:fill="C6D9F1" w:themeFill="text2" w:themeFillTint="33"/>
          </w:tcPr>
          <w:p w14:paraId="6B3A8F03" w14:textId="01B58ADE" w:rsidR="006D4D89" w:rsidRPr="00380AA1" w:rsidRDefault="00705E99" w:rsidP="00C52C07">
            <w:pPr>
              <w:pStyle w:val="Tablehead"/>
              <w:rPr>
                <w:lang w:val="es-ES_tradnl"/>
              </w:rPr>
            </w:pPr>
            <w:r w:rsidRPr="00380AA1">
              <w:rPr>
                <w:lang w:val="es-ES_tradnl"/>
              </w:rPr>
              <w:t>Resolución de la PP</w:t>
            </w:r>
          </w:p>
        </w:tc>
        <w:tc>
          <w:tcPr>
            <w:tcW w:w="1124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8383" w14:textId="19ABB48F" w:rsidR="006D4D89" w:rsidRPr="00380AA1" w:rsidRDefault="006D4D89" w:rsidP="00C52C07">
            <w:pPr>
              <w:pStyle w:val="Tablehead"/>
              <w:rPr>
                <w:lang w:val="es-ES_tradnl"/>
              </w:rPr>
            </w:pPr>
            <w:r w:rsidRPr="00380AA1">
              <w:rPr>
                <w:lang w:val="es-ES_tradnl"/>
              </w:rPr>
              <w:t xml:space="preserve">Voluntarios </w:t>
            </w:r>
          </w:p>
        </w:tc>
      </w:tr>
      <w:tr w:rsidR="006D4D89" w:rsidRPr="00C64B43" w14:paraId="440F1529" w14:textId="77777777" w:rsidTr="00380AA1">
        <w:trPr>
          <w:trHeight w:val="489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C0C2" w14:textId="0D1D55E3" w:rsidR="006D4D89" w:rsidRPr="00C64B43" w:rsidRDefault="006D4D89" w:rsidP="006672E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1)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Información y estadísticas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202" w14:textId="77777777" w:rsidR="006D4D89" w:rsidRPr="00C64B43" w:rsidRDefault="006D4D89" w:rsidP="00C52C07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8</w:t>
            </w:r>
          </w:p>
        </w:tc>
        <w:tc>
          <w:tcPr>
            <w:tcW w:w="934" w:type="pct"/>
          </w:tcPr>
          <w:p w14:paraId="7E2FE5AD" w14:textId="18D3AFAB" w:rsidR="006D4D89" w:rsidRPr="00380AA1" w:rsidRDefault="00705E99" w:rsidP="00C52C07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Res. 131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E745" w14:textId="4E0057AA" w:rsidR="006D4D89" w:rsidRPr="00380AA1" w:rsidRDefault="006D4D89" w:rsidP="00C52C07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Federación de Rusia</w:t>
            </w:r>
          </w:p>
        </w:tc>
      </w:tr>
      <w:tr w:rsidR="00E41B59" w:rsidRPr="00C64B43" w14:paraId="2158B7E6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B098" w14:textId="30A379A5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2)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Cooperación regional y proyectos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83E0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17</w:t>
            </w:r>
          </w:p>
        </w:tc>
        <w:tc>
          <w:tcPr>
            <w:tcW w:w="934" w:type="pct"/>
          </w:tcPr>
          <w:p w14:paraId="3F97F597" w14:textId="29EF03FF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25, Res. 135, Res. 157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D4E2" w14:textId="0B290455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Australia</w:t>
            </w:r>
          </w:p>
        </w:tc>
      </w:tr>
      <w:tr w:rsidR="00E41B59" w:rsidRPr="00C64B43" w14:paraId="2A9A75C7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BC35" w14:textId="69E3A77D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3)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Infraestructura y redes de acceso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2C4C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20, Res. 22, Res. 23, Res. 63</w:t>
            </w:r>
          </w:p>
        </w:tc>
        <w:tc>
          <w:tcPr>
            <w:tcW w:w="934" w:type="pct"/>
          </w:tcPr>
          <w:p w14:paraId="5D97D8DC" w14:textId="1D734F43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 xml:space="preserve">Res. 64, Res. 21, </w:t>
            </w:r>
            <w:r w:rsidR="001D5A7A" w:rsidRPr="00380AA1">
              <w:rPr>
                <w:rFonts w:hAnsi="Aptos"/>
                <w:color w:val="000000"/>
                <w:kern w:val="24"/>
                <w:szCs w:val="22"/>
              </w:rPr>
              <w:br/>
            </w:r>
            <w:r w:rsidRPr="00380AA1">
              <w:rPr>
                <w:rFonts w:hAnsi="Aptos"/>
                <w:color w:val="000000"/>
                <w:kern w:val="24"/>
                <w:szCs w:val="22"/>
              </w:rPr>
              <w:t>Res. 101, Res. 180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0CB" w14:textId="301CD804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Ghana</w:t>
            </w:r>
          </w:p>
        </w:tc>
      </w:tr>
      <w:tr w:rsidR="00E41B59" w:rsidRPr="00C64B43" w14:paraId="2B694C4E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1875" w14:textId="5D9D45CB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ind w:left="331" w:hanging="331"/>
              <w:rPr>
                <w:lang w:val="es-ES_tradnl"/>
              </w:rPr>
            </w:pPr>
            <w:r>
              <w:rPr>
                <w:lang w:val="es-ES_tradnl"/>
              </w:rPr>
              <w:t>4)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Papel de la UIT en foros estratégicos y coordinación de Sectores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E6B8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30, Res. 48, Res. 59</w:t>
            </w:r>
          </w:p>
        </w:tc>
        <w:tc>
          <w:tcPr>
            <w:tcW w:w="934" w:type="pct"/>
          </w:tcPr>
          <w:p w14:paraId="61579F27" w14:textId="2F372D24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140, Res. 138, Res. 191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ECBF" w14:textId="21735A30" w:rsidR="00E41B59" w:rsidRPr="00380AA1" w:rsidRDefault="00E41B59" w:rsidP="00E41B59">
            <w:pPr>
              <w:pStyle w:val="Tabletext"/>
              <w:rPr>
                <w:lang w:val="es-ES_tradnl"/>
              </w:rPr>
            </w:pPr>
          </w:p>
        </w:tc>
      </w:tr>
      <w:tr w:rsidR="00E41B59" w:rsidRPr="00C64B43" w14:paraId="13664234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1BEA" w14:textId="161AB9B8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5)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Medio ambiente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8FBD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34, Res. 66, Res. 62</w:t>
            </w:r>
          </w:p>
        </w:tc>
        <w:tc>
          <w:tcPr>
            <w:tcW w:w="934" w:type="pct"/>
          </w:tcPr>
          <w:p w14:paraId="71EE1445" w14:textId="72CB8E8C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136, Res. 182, Res. 176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142F" w14:textId="7072748C" w:rsidR="00E41B59" w:rsidRPr="00380AA1" w:rsidRDefault="00E41B59" w:rsidP="00E41B59">
            <w:pPr>
              <w:pStyle w:val="Tabletext"/>
              <w:rPr>
                <w:lang w:val="es-ES_tradnl"/>
              </w:rPr>
            </w:pPr>
          </w:p>
        </w:tc>
      </w:tr>
      <w:tr w:rsidR="00E41B59" w:rsidRPr="00C64B43" w14:paraId="15704328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68F25" w14:textId="1A5387AF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6)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Género y juventud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5881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55, Res. 76</w:t>
            </w:r>
          </w:p>
        </w:tc>
        <w:tc>
          <w:tcPr>
            <w:tcW w:w="934" w:type="pct"/>
          </w:tcPr>
          <w:p w14:paraId="1354AFB9" w14:textId="06289436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70, Res. 198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3370" w14:textId="39EAF3BA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Canadá</w:t>
            </w:r>
            <w:r w:rsidR="00167130" w:rsidRPr="00380AA1">
              <w:rPr>
                <w:lang w:val="es-ES_tradnl"/>
              </w:rPr>
              <w:t>, República Dominicana</w:t>
            </w:r>
          </w:p>
        </w:tc>
      </w:tr>
      <w:tr w:rsidR="00E41B59" w:rsidRPr="00C64B43" w14:paraId="3C278F50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0590" w14:textId="11891520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7)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Conectividad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2958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16, Res. 37, Res. 71</w:t>
            </w:r>
          </w:p>
        </w:tc>
        <w:tc>
          <w:tcPr>
            <w:tcW w:w="934" w:type="pct"/>
          </w:tcPr>
          <w:p w14:paraId="4D74F7AD" w14:textId="5DCA9F20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30, Res. 123, Res. 203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1279" w14:textId="67038900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Sudán</w:t>
            </w:r>
            <w:r w:rsidR="00167130" w:rsidRPr="00380AA1">
              <w:rPr>
                <w:lang w:val="es-ES_tradnl"/>
              </w:rPr>
              <w:t xml:space="preserve">, </w:t>
            </w:r>
            <w:r w:rsidR="00823F80" w:rsidRPr="00380AA1">
              <w:rPr>
                <w:lang w:val="es-ES_tradnl"/>
              </w:rPr>
              <w:t>Malasia</w:t>
            </w:r>
          </w:p>
        </w:tc>
      </w:tr>
      <w:tr w:rsidR="00E41B59" w:rsidRPr="00C64B43" w14:paraId="2CB8761C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C45B" w14:textId="52FC2A37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8)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Seguridad y conformidad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BE29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45, Res. 47, Res. 79, Res. 84</w:t>
            </w:r>
          </w:p>
        </w:tc>
        <w:tc>
          <w:tcPr>
            <w:tcW w:w="934" w:type="pct"/>
          </w:tcPr>
          <w:p w14:paraId="6B15B4AE" w14:textId="414781B7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139, Res. 177, Res. 188, Res. 189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0256" w14:textId="48CFE875" w:rsidR="00E41B59" w:rsidRPr="00380AA1" w:rsidRDefault="00E41B59" w:rsidP="00E41B59">
            <w:pPr>
              <w:pStyle w:val="Tabletext"/>
              <w:rPr>
                <w:lang w:val="es-ES_tradnl"/>
              </w:rPr>
            </w:pPr>
          </w:p>
        </w:tc>
      </w:tr>
      <w:tr w:rsidR="00E41B59" w:rsidRPr="00C64B43" w14:paraId="69CC0A0B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D3FC" w14:textId="454F8128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ind w:left="331" w:hanging="331"/>
              <w:rPr>
                <w:lang w:val="es-ES_tradnl"/>
              </w:rPr>
            </w:pPr>
            <w:r>
              <w:rPr>
                <w:lang w:val="es-ES_tradnl"/>
              </w:rPr>
              <w:t>9)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Accesibilidad, consumidores y protección de la infancia en línea (usuarios vulnerables)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2CC8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58, Res. 64, Res. 67, Res. 82</w:t>
            </w:r>
          </w:p>
        </w:tc>
        <w:tc>
          <w:tcPr>
            <w:tcW w:w="934" w:type="pct"/>
          </w:tcPr>
          <w:p w14:paraId="0E41E177" w14:textId="6F482351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175, Res. 196, Res. 179, Res. 133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E460" w14:textId="28598B4D" w:rsidR="00E41B59" w:rsidRPr="00380AA1" w:rsidRDefault="00E41B59" w:rsidP="00E41B59">
            <w:pPr>
              <w:pStyle w:val="Tabletext"/>
              <w:rPr>
                <w:lang w:val="es-ES_tradnl"/>
              </w:rPr>
            </w:pPr>
            <w:r w:rsidRPr="00380AA1">
              <w:rPr>
                <w:lang w:val="es-ES_tradnl"/>
              </w:rPr>
              <w:t>Brasil</w:t>
            </w:r>
          </w:p>
        </w:tc>
      </w:tr>
      <w:tr w:rsidR="00E41B59" w:rsidRPr="00C64B43" w14:paraId="671CB542" w14:textId="77777777" w:rsidTr="00380AA1">
        <w:trPr>
          <w:trHeight w:val="300"/>
          <w:jc w:val="center"/>
        </w:trPr>
        <w:tc>
          <w:tcPr>
            <w:tcW w:w="20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39A9" w14:textId="2EEC65A9" w:rsidR="00E41B59" w:rsidRPr="00C64B43" w:rsidRDefault="00E41B59" w:rsidP="00E41B59">
            <w:pPr>
              <w:pStyle w:val="Tabletext"/>
              <w:tabs>
                <w:tab w:val="clear" w:pos="284"/>
                <w:tab w:val="left" w:pos="337"/>
              </w:tabs>
              <w:rPr>
                <w:lang w:val="es-ES_tradnl"/>
              </w:rPr>
            </w:pPr>
            <w:r>
              <w:rPr>
                <w:lang w:val="es-ES_tradnl"/>
              </w:rPr>
              <w:t>10)</w:t>
            </w:r>
            <w:r>
              <w:rPr>
                <w:lang w:val="es-ES_tradnl"/>
              </w:rPr>
              <w:tab/>
            </w:r>
            <w:r w:rsidRPr="00C64B43">
              <w:rPr>
                <w:lang w:val="es-ES_tradnl"/>
              </w:rPr>
              <w:t>Innovación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F74A" w14:textId="77777777" w:rsidR="00E41B59" w:rsidRPr="00C64B43" w:rsidRDefault="00E41B59" w:rsidP="00E41B59">
            <w:pPr>
              <w:pStyle w:val="Tabletext"/>
              <w:rPr>
                <w:lang w:val="es-ES_tradnl"/>
              </w:rPr>
            </w:pPr>
            <w:r w:rsidRPr="00C64B43">
              <w:rPr>
                <w:lang w:val="es-ES_tradnl"/>
              </w:rPr>
              <w:t>Res. 85, Res. 90</w:t>
            </w:r>
          </w:p>
        </w:tc>
        <w:tc>
          <w:tcPr>
            <w:tcW w:w="934" w:type="pct"/>
          </w:tcPr>
          <w:p w14:paraId="111105DF" w14:textId="3D7FD276" w:rsidR="00E41B59" w:rsidRPr="00550B8A" w:rsidRDefault="00E41B59" w:rsidP="00E41B59">
            <w:pPr>
              <w:pStyle w:val="Tabletext"/>
              <w:rPr>
                <w:highlight w:val="yellow"/>
                <w:lang w:val="es-ES_tradnl"/>
              </w:rPr>
            </w:pPr>
            <w:r w:rsidRPr="00380AA1">
              <w:rPr>
                <w:rFonts w:hAnsi="Aptos"/>
                <w:color w:val="000000"/>
                <w:kern w:val="24"/>
                <w:szCs w:val="22"/>
              </w:rPr>
              <w:t>Res. 197, Res. 205</w:t>
            </w:r>
          </w:p>
        </w:tc>
        <w:tc>
          <w:tcPr>
            <w:tcW w:w="1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A522" w14:textId="0CBB8604" w:rsidR="00E41B59" w:rsidRPr="00C64B43" w:rsidRDefault="00E41B59" w:rsidP="00E41B59">
            <w:pPr>
              <w:pStyle w:val="Tabletext"/>
              <w:rPr>
                <w:lang w:val="es-ES_tradnl"/>
              </w:rPr>
            </w:pPr>
          </w:p>
        </w:tc>
      </w:tr>
    </w:tbl>
    <w:p w14:paraId="12E2E744" w14:textId="1353B96F" w:rsidR="00C64B43" w:rsidRPr="00C64B43" w:rsidRDefault="0046570F" w:rsidP="00D77AC0">
      <w:pPr>
        <w:rPr>
          <w:lang w:val="es-ES_tradnl"/>
        </w:rPr>
      </w:pPr>
      <w:r>
        <w:rPr>
          <w:lang w:val="es-ES_tradnl"/>
        </w:rPr>
        <w:lastRenderedPageBreak/>
        <w:t>2</w:t>
      </w:r>
      <w:r w:rsidR="00D77AC0">
        <w:rPr>
          <w:lang w:val="es-ES_tradnl"/>
        </w:rPr>
        <w:tab/>
      </w:r>
      <w:r w:rsidR="00C64B43" w:rsidRPr="00C64B43">
        <w:rPr>
          <w:lang w:val="es-ES_tradnl"/>
        </w:rPr>
        <w:t xml:space="preserve">En cada Reunión Preparatoria Regional </w:t>
      </w:r>
      <w:r w:rsidR="00C64B43" w:rsidRPr="00380AA1">
        <w:rPr>
          <w:lang w:val="es-ES_tradnl"/>
        </w:rPr>
        <w:t xml:space="preserve">se </w:t>
      </w:r>
      <w:r w:rsidR="00DA2ED1" w:rsidRPr="00380AA1">
        <w:rPr>
          <w:lang w:val="es-ES_tradnl"/>
        </w:rPr>
        <w:t xml:space="preserve">presentó </w:t>
      </w:r>
      <w:r w:rsidR="00C64B43" w:rsidRPr="00380AA1">
        <w:rPr>
          <w:lang w:val="es-ES_tradnl"/>
        </w:rPr>
        <w:t>un informe</w:t>
      </w:r>
      <w:r w:rsidR="00C64B43" w:rsidRPr="00C64B43">
        <w:rPr>
          <w:lang w:val="es-ES_tradnl"/>
        </w:rPr>
        <w:t xml:space="preserve"> sobre la marcha de los trabajos del GT-GADT-RR.</w:t>
      </w:r>
    </w:p>
    <w:p w14:paraId="25CECB82" w14:textId="0DFD8183" w:rsidR="00C64B43" w:rsidRPr="00C64B43" w:rsidRDefault="0046570F" w:rsidP="00D77AC0">
      <w:pPr>
        <w:rPr>
          <w:lang w:val="es-ES_tradnl"/>
        </w:rPr>
      </w:pPr>
      <w:r>
        <w:rPr>
          <w:lang w:val="es-ES_tradnl"/>
        </w:rPr>
        <w:t>3</w:t>
      </w:r>
      <w:r w:rsidR="00D77AC0">
        <w:rPr>
          <w:lang w:val="es-ES_tradnl"/>
        </w:rPr>
        <w:tab/>
      </w:r>
      <w:r w:rsidR="00C64B43" w:rsidRPr="00C64B43">
        <w:rPr>
          <w:lang w:val="es-ES_tradnl"/>
        </w:rPr>
        <w:t xml:space="preserve">Además, </w:t>
      </w:r>
      <w:r w:rsidR="001D2ECC">
        <w:rPr>
          <w:lang w:val="es-ES_tradnl"/>
        </w:rPr>
        <w:t>la</w:t>
      </w:r>
      <w:r w:rsidR="00C64B43" w:rsidRPr="00C64B43">
        <w:rPr>
          <w:lang w:val="es-ES_tradnl"/>
        </w:rPr>
        <w:t xml:space="preserve"> President</w:t>
      </w:r>
      <w:r w:rsidR="001D2ECC">
        <w:rPr>
          <w:lang w:val="es-ES_tradnl"/>
        </w:rPr>
        <w:t>a</w:t>
      </w:r>
      <w:r w:rsidR="00C64B43" w:rsidRPr="00C64B43">
        <w:rPr>
          <w:lang w:val="es-ES_tradnl"/>
        </w:rPr>
        <w:t xml:space="preserve"> del GT-GADT-RR facilitó información a las organizaciones regionales de telecomunicaciones sobre las próximas reuniones del Grupo de Trabajo, destacando la labor realizada en aras de la coordinación.</w:t>
      </w:r>
    </w:p>
    <w:p w14:paraId="09620FB9" w14:textId="5ADBE621" w:rsidR="00C64B43" w:rsidRPr="00380AA1" w:rsidRDefault="003D0E0E" w:rsidP="00D77AC0">
      <w:pPr>
        <w:spacing w:after="120"/>
        <w:rPr>
          <w:lang w:val="es-ES_tradnl"/>
        </w:rPr>
      </w:pPr>
      <w:r w:rsidRPr="00380AA1">
        <w:rPr>
          <w:lang w:val="es-ES_tradnl"/>
        </w:rPr>
        <w:t>4</w:t>
      </w:r>
      <w:r w:rsidR="00D77AC0" w:rsidRPr="00380AA1">
        <w:rPr>
          <w:lang w:val="es-ES_tradnl"/>
        </w:rPr>
        <w:tab/>
      </w:r>
      <w:r w:rsidR="00C64B43" w:rsidRPr="00380AA1">
        <w:rPr>
          <w:lang w:val="es-ES_tradnl"/>
        </w:rPr>
        <w:t>La</w:t>
      </w:r>
      <w:r w:rsidR="00DA2ED1" w:rsidRPr="00380AA1">
        <w:rPr>
          <w:lang w:val="es-ES_tradnl"/>
        </w:rPr>
        <w:t xml:space="preserve"> sexta reunión</w:t>
      </w:r>
      <w:r w:rsidR="000009E1" w:rsidRPr="00380AA1">
        <w:rPr>
          <w:lang w:val="es-ES_tradnl"/>
        </w:rPr>
        <w:t xml:space="preserve"> </w:t>
      </w:r>
      <w:r w:rsidR="00C64B43" w:rsidRPr="00380AA1">
        <w:rPr>
          <w:lang w:val="es-ES_tradnl"/>
        </w:rPr>
        <w:t>del GT-GADT-RR</w:t>
      </w:r>
      <w:r w:rsidR="00867D30" w:rsidRPr="00380AA1">
        <w:rPr>
          <w:lang w:val="es-ES_tradnl"/>
        </w:rPr>
        <w:t>, celebrada el 2 de mayo de 2025, fue la última reunión de este Grupo de Trabajo</w:t>
      </w:r>
      <w:r w:rsidR="00072563" w:rsidRPr="00380AA1">
        <w:rPr>
          <w:lang w:val="es-ES_tradnl"/>
        </w:rPr>
        <w:t xml:space="preserve">. En nombre del Director de la BDT, se agradeció a la Presidenta, a los Vicepresidentes y a todos los participantes </w:t>
      </w:r>
      <w:r w:rsidR="002202B5" w:rsidRPr="00380AA1">
        <w:rPr>
          <w:lang w:val="es-ES_tradnl"/>
        </w:rPr>
        <w:t>la ardua labor, el compromiso y las contribuciones a la racionalización de las resoluciones durante más de un año a través del GT-GADT-RR</w:t>
      </w:r>
      <w:r w:rsidR="001D5A7A" w:rsidRPr="00380AA1">
        <w:rPr>
          <w:lang w:val="es-ES_tradnl"/>
        </w:rPr>
        <w:t>.</w:t>
      </w:r>
    </w:p>
    <w:p w14:paraId="71993D1C" w14:textId="41186511" w:rsidR="00EC6FED" w:rsidRDefault="003D0E0E" w:rsidP="00C64B43">
      <w:pPr>
        <w:rPr>
          <w:lang w:val="es-ES_tradnl"/>
        </w:rPr>
      </w:pPr>
      <w:r w:rsidRPr="00380AA1">
        <w:rPr>
          <w:lang w:val="es-ES_tradnl"/>
        </w:rPr>
        <w:t>5</w:t>
      </w:r>
      <w:r w:rsidR="00D77AC0" w:rsidRPr="00380AA1">
        <w:rPr>
          <w:lang w:val="es-ES_tradnl"/>
        </w:rPr>
        <w:tab/>
      </w:r>
      <w:r w:rsidR="00DF7A79" w:rsidRPr="00380AA1">
        <w:rPr>
          <w:lang w:val="es-ES_tradnl"/>
        </w:rPr>
        <w:t xml:space="preserve">Se podrán presentar nuevas contribuciones en las próximas </w:t>
      </w:r>
      <w:r w:rsidR="00F43804" w:rsidRPr="00380AA1">
        <w:rPr>
          <w:lang w:val="es-ES_tradnl"/>
        </w:rPr>
        <w:t>reuniones interregionales virtuales que se celebrarán en julio y septiembre de 2025.</w:t>
      </w:r>
    </w:p>
    <w:p w14:paraId="24C15F5D" w14:textId="77777777" w:rsidR="00D77AC0" w:rsidRPr="00D8041C" w:rsidRDefault="00D77AC0" w:rsidP="00C64B43">
      <w:pPr>
        <w:rPr>
          <w:lang w:val="es-ES_tradnl"/>
        </w:rPr>
      </w:pPr>
    </w:p>
    <w:p w14:paraId="1ECA571B" w14:textId="77777777" w:rsidR="00821996" w:rsidRPr="00D8041C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8" w:name="Proposal"/>
      <w:bookmarkEnd w:id="8"/>
      <w:r w:rsidRPr="00D8041C">
        <w:rPr>
          <w:lang w:val="es-ES_tradnl"/>
        </w:rPr>
        <w:t>_____________</w:t>
      </w:r>
      <w:r w:rsidR="004122C5" w:rsidRPr="00D8041C">
        <w:rPr>
          <w:lang w:val="es-ES_tradnl"/>
        </w:rPr>
        <w:t>_</w:t>
      </w:r>
      <w:r w:rsidR="00922EC1" w:rsidRPr="00D8041C">
        <w:rPr>
          <w:lang w:val="es-ES_tradnl"/>
        </w:rPr>
        <w:t>_</w:t>
      </w:r>
    </w:p>
    <w:sectPr w:rsidR="00821996" w:rsidRPr="00D8041C" w:rsidSect="00473791">
      <w:headerReference w:type="default" r:id="rId44"/>
      <w:footerReference w:type="first" r:id="rId4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3882" w14:textId="77777777" w:rsidR="00DC4C44" w:rsidRDefault="00DC4C44">
      <w:r>
        <w:separator/>
      </w:r>
    </w:p>
  </w:endnote>
  <w:endnote w:type="continuationSeparator" w:id="0">
    <w:p w14:paraId="11AEFBE1" w14:textId="77777777" w:rsidR="00DC4C44" w:rsidRDefault="00DC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4B6F0B" w:rsidRPr="008004A7" w14:paraId="656716D9" w14:textId="77777777" w:rsidTr="005539C3">
      <w:tc>
        <w:tcPr>
          <w:tcW w:w="993" w:type="dxa"/>
          <w:tcBorders>
            <w:top w:val="single" w:sz="4" w:space="0" w:color="000000" w:themeColor="text1"/>
          </w:tcBorders>
        </w:tcPr>
        <w:p w14:paraId="0F4C4A5A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7CCD04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422A8C" w14:textId="304C29C6" w:rsidR="004B6F0B" w:rsidRPr="00C64B43" w:rsidRDefault="00C64B43" w:rsidP="00C64B43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r w:rsidRPr="00C64B43">
            <w:rPr>
              <w:sz w:val="18"/>
              <w:szCs w:val="18"/>
              <w:lang w:val="es-ES"/>
            </w:rPr>
            <w:t>Sr. Andrea Grippa, Agência Nacional de Telecomunicações (ANATEL), Brasil, President</w:t>
          </w:r>
          <w:r w:rsidR="001D2ECC">
            <w:rPr>
              <w:sz w:val="18"/>
              <w:szCs w:val="18"/>
              <w:lang w:val="es-ES"/>
            </w:rPr>
            <w:t>a</w:t>
          </w:r>
          <w:r w:rsidRPr="00C64B43">
            <w:rPr>
              <w:sz w:val="18"/>
              <w:szCs w:val="18"/>
              <w:lang w:val="es-ES"/>
            </w:rPr>
            <w:t>, Grupo de Trabajo del GADT sobre la racionalización de las Resoluciones</w:t>
          </w:r>
        </w:p>
      </w:tc>
    </w:tr>
    <w:tr w:rsidR="004B6F0B" w:rsidRPr="00CB110F" w14:paraId="68C18A92" w14:textId="77777777" w:rsidTr="005539C3">
      <w:tc>
        <w:tcPr>
          <w:tcW w:w="993" w:type="dxa"/>
        </w:tcPr>
        <w:p w14:paraId="3EE46271" w14:textId="77777777" w:rsidR="004B6F0B" w:rsidRPr="00C64B43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5AA15A32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7B0E2580" w14:textId="5E446327" w:rsidR="004B6F0B" w:rsidRPr="009359B8" w:rsidRDefault="00C64B43" w:rsidP="00C64B4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C64B43">
            <w:rPr>
              <w:sz w:val="18"/>
              <w:szCs w:val="18"/>
              <w:lang w:val="en-US"/>
            </w:rPr>
            <w:t>+55 61 99244 5456</w:t>
          </w:r>
        </w:p>
      </w:tc>
    </w:tr>
    <w:tr w:rsidR="004B6F0B" w:rsidRPr="00CB110F" w14:paraId="74482ECB" w14:textId="77777777" w:rsidTr="005539C3">
      <w:tc>
        <w:tcPr>
          <w:tcW w:w="993" w:type="dxa"/>
        </w:tcPr>
        <w:p w14:paraId="63EDF29B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3A810F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044C0AD5" w14:textId="0DE29EA2" w:rsidR="004B6F0B" w:rsidRPr="00B80715" w:rsidRDefault="000017AB" w:rsidP="00C64B4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C64B43" w:rsidRPr="00C64B43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</w:tr>
  </w:tbl>
  <w:p w14:paraId="1C0FBBF5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E6C5" w14:textId="77777777" w:rsidR="00DC4C44" w:rsidRDefault="00DC4C44">
      <w:r>
        <w:t>____________________</w:t>
      </w:r>
    </w:p>
  </w:footnote>
  <w:footnote w:type="continuationSeparator" w:id="0">
    <w:p w14:paraId="598C18C4" w14:textId="77777777" w:rsidR="00DC4C44" w:rsidRDefault="00DC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70FD" w14:textId="66BCF92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C52C07">
      <w:rPr>
        <w:sz w:val="22"/>
        <w:szCs w:val="22"/>
        <w:lang w:val="de-CH"/>
      </w:rPr>
      <w:t>20</w:t>
    </w:r>
    <w:r w:rsidR="005A5EAB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9E1"/>
    <w:rsid w:val="000017AB"/>
    <w:rsid w:val="00002716"/>
    <w:rsid w:val="00003C43"/>
    <w:rsid w:val="00005791"/>
    <w:rsid w:val="00010827"/>
    <w:rsid w:val="00015089"/>
    <w:rsid w:val="0002520B"/>
    <w:rsid w:val="00037A9E"/>
    <w:rsid w:val="00037F91"/>
    <w:rsid w:val="00040C37"/>
    <w:rsid w:val="000517F7"/>
    <w:rsid w:val="000539F1"/>
    <w:rsid w:val="00054747"/>
    <w:rsid w:val="00055A2A"/>
    <w:rsid w:val="000615C1"/>
    <w:rsid w:val="00061675"/>
    <w:rsid w:val="00072563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62E"/>
    <w:rsid w:val="00107E85"/>
    <w:rsid w:val="00113EE8"/>
    <w:rsid w:val="0011455A"/>
    <w:rsid w:val="00114A65"/>
    <w:rsid w:val="00126EBF"/>
    <w:rsid w:val="00133061"/>
    <w:rsid w:val="00141699"/>
    <w:rsid w:val="00147000"/>
    <w:rsid w:val="0015347D"/>
    <w:rsid w:val="00162707"/>
    <w:rsid w:val="00163091"/>
    <w:rsid w:val="001645CB"/>
    <w:rsid w:val="00166305"/>
    <w:rsid w:val="00167130"/>
    <w:rsid w:val="00167413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32A6"/>
    <w:rsid w:val="001A441E"/>
    <w:rsid w:val="001A544F"/>
    <w:rsid w:val="001A6733"/>
    <w:rsid w:val="001B357F"/>
    <w:rsid w:val="001C17A3"/>
    <w:rsid w:val="001C3444"/>
    <w:rsid w:val="001C3702"/>
    <w:rsid w:val="001C4656"/>
    <w:rsid w:val="001C46BC"/>
    <w:rsid w:val="001D1E06"/>
    <w:rsid w:val="001D2ECC"/>
    <w:rsid w:val="001D5A7A"/>
    <w:rsid w:val="001F23E6"/>
    <w:rsid w:val="001F4238"/>
    <w:rsid w:val="00200A38"/>
    <w:rsid w:val="00200A46"/>
    <w:rsid w:val="00207EEA"/>
    <w:rsid w:val="00211B6F"/>
    <w:rsid w:val="00217CC3"/>
    <w:rsid w:val="002202B5"/>
    <w:rsid w:val="00220AB6"/>
    <w:rsid w:val="0022120F"/>
    <w:rsid w:val="0022472C"/>
    <w:rsid w:val="0022754A"/>
    <w:rsid w:val="00233D61"/>
    <w:rsid w:val="00234BB7"/>
    <w:rsid w:val="00236560"/>
    <w:rsid w:val="0023662E"/>
    <w:rsid w:val="00245D0F"/>
    <w:rsid w:val="002548C3"/>
    <w:rsid w:val="00257ACD"/>
    <w:rsid w:val="00261345"/>
    <w:rsid w:val="00262908"/>
    <w:rsid w:val="002650F4"/>
    <w:rsid w:val="002707B1"/>
    <w:rsid w:val="002715FD"/>
    <w:rsid w:val="002770B1"/>
    <w:rsid w:val="00285B33"/>
    <w:rsid w:val="00287A3C"/>
    <w:rsid w:val="002906B7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AA1"/>
    <w:rsid w:val="00380B71"/>
    <w:rsid w:val="0038365A"/>
    <w:rsid w:val="00386A89"/>
    <w:rsid w:val="0039648E"/>
    <w:rsid w:val="003A0C31"/>
    <w:rsid w:val="003A5AFE"/>
    <w:rsid w:val="003A5D5F"/>
    <w:rsid w:val="003A7FFE"/>
    <w:rsid w:val="003B0A63"/>
    <w:rsid w:val="003B50E1"/>
    <w:rsid w:val="003B693C"/>
    <w:rsid w:val="003C1746"/>
    <w:rsid w:val="003C2AA9"/>
    <w:rsid w:val="003C58BF"/>
    <w:rsid w:val="003C6C09"/>
    <w:rsid w:val="003D0E0E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45B8C"/>
    <w:rsid w:val="00450B37"/>
    <w:rsid w:val="00453435"/>
    <w:rsid w:val="00456F61"/>
    <w:rsid w:val="00460089"/>
    <w:rsid w:val="0046570F"/>
    <w:rsid w:val="00466398"/>
    <w:rsid w:val="0047306D"/>
    <w:rsid w:val="00473791"/>
    <w:rsid w:val="00476E48"/>
    <w:rsid w:val="004773D1"/>
    <w:rsid w:val="00477817"/>
    <w:rsid w:val="00481DE9"/>
    <w:rsid w:val="0049128B"/>
    <w:rsid w:val="00493B49"/>
    <w:rsid w:val="00495501"/>
    <w:rsid w:val="004A070A"/>
    <w:rsid w:val="004A320E"/>
    <w:rsid w:val="004A4E9C"/>
    <w:rsid w:val="004B1A3C"/>
    <w:rsid w:val="004B34DC"/>
    <w:rsid w:val="004B6F0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1264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0B8A"/>
    <w:rsid w:val="0055720C"/>
    <w:rsid w:val="00561796"/>
    <w:rsid w:val="005632DD"/>
    <w:rsid w:val="00563424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5EAB"/>
    <w:rsid w:val="005A7777"/>
    <w:rsid w:val="005A78D8"/>
    <w:rsid w:val="005B0797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626"/>
    <w:rsid w:val="00611EAF"/>
    <w:rsid w:val="00617560"/>
    <w:rsid w:val="00623F30"/>
    <w:rsid w:val="00625FB8"/>
    <w:rsid w:val="006261BD"/>
    <w:rsid w:val="00635EDB"/>
    <w:rsid w:val="0064734E"/>
    <w:rsid w:val="00650137"/>
    <w:rsid w:val="006509D7"/>
    <w:rsid w:val="00651CE8"/>
    <w:rsid w:val="006531B1"/>
    <w:rsid w:val="0065521B"/>
    <w:rsid w:val="0066406B"/>
    <w:rsid w:val="006672E9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35D9"/>
    <w:rsid w:val="006B5AA9"/>
    <w:rsid w:val="006C10A2"/>
    <w:rsid w:val="006C1F18"/>
    <w:rsid w:val="006D40D5"/>
    <w:rsid w:val="006D4D89"/>
    <w:rsid w:val="006F009A"/>
    <w:rsid w:val="006F3D93"/>
    <w:rsid w:val="007019B1"/>
    <w:rsid w:val="00705E99"/>
    <w:rsid w:val="00710A68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2CF3"/>
    <w:rsid w:val="007A40D1"/>
    <w:rsid w:val="007A4E50"/>
    <w:rsid w:val="007B18A7"/>
    <w:rsid w:val="007B250E"/>
    <w:rsid w:val="007C27FC"/>
    <w:rsid w:val="007C3C2E"/>
    <w:rsid w:val="007C51FF"/>
    <w:rsid w:val="007D50E4"/>
    <w:rsid w:val="007D5399"/>
    <w:rsid w:val="007E2DC5"/>
    <w:rsid w:val="007F1CC7"/>
    <w:rsid w:val="008004A7"/>
    <w:rsid w:val="008027AC"/>
    <w:rsid w:val="008028CE"/>
    <w:rsid w:val="0080332E"/>
    <w:rsid w:val="008141E0"/>
    <w:rsid w:val="00816EE1"/>
    <w:rsid w:val="00816F88"/>
    <w:rsid w:val="00821996"/>
    <w:rsid w:val="00822323"/>
    <w:rsid w:val="00823F80"/>
    <w:rsid w:val="0082494F"/>
    <w:rsid w:val="00827BC6"/>
    <w:rsid w:val="008300AD"/>
    <w:rsid w:val="00833024"/>
    <w:rsid w:val="008335DC"/>
    <w:rsid w:val="008419B1"/>
    <w:rsid w:val="00842E57"/>
    <w:rsid w:val="00844A56"/>
    <w:rsid w:val="00845B11"/>
    <w:rsid w:val="00852081"/>
    <w:rsid w:val="00861884"/>
    <w:rsid w:val="00867D30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36DD6"/>
    <w:rsid w:val="009431F8"/>
    <w:rsid w:val="00947A35"/>
    <w:rsid w:val="00952667"/>
    <w:rsid w:val="0096201B"/>
    <w:rsid w:val="00962081"/>
    <w:rsid w:val="00966CB5"/>
    <w:rsid w:val="009716D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B29"/>
    <w:rsid w:val="009D119F"/>
    <w:rsid w:val="009D49A2"/>
    <w:rsid w:val="009D5654"/>
    <w:rsid w:val="009F3940"/>
    <w:rsid w:val="009F3EB2"/>
    <w:rsid w:val="009F6EB1"/>
    <w:rsid w:val="00A11D05"/>
    <w:rsid w:val="00A13162"/>
    <w:rsid w:val="00A150BA"/>
    <w:rsid w:val="00A15F2D"/>
    <w:rsid w:val="00A20267"/>
    <w:rsid w:val="00A3158C"/>
    <w:rsid w:val="00A32DF3"/>
    <w:rsid w:val="00A33E32"/>
    <w:rsid w:val="00A35E20"/>
    <w:rsid w:val="00A36F6D"/>
    <w:rsid w:val="00A40964"/>
    <w:rsid w:val="00A50CA0"/>
    <w:rsid w:val="00A525CC"/>
    <w:rsid w:val="00A53E7C"/>
    <w:rsid w:val="00A60087"/>
    <w:rsid w:val="00A65996"/>
    <w:rsid w:val="00A705E8"/>
    <w:rsid w:val="00A721F4"/>
    <w:rsid w:val="00A77AE5"/>
    <w:rsid w:val="00A8394A"/>
    <w:rsid w:val="00A87912"/>
    <w:rsid w:val="00A92AFF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18E6"/>
    <w:rsid w:val="00AE5961"/>
    <w:rsid w:val="00AF0745"/>
    <w:rsid w:val="00AF4971"/>
    <w:rsid w:val="00AF51AE"/>
    <w:rsid w:val="00AF5276"/>
    <w:rsid w:val="00AF7C86"/>
    <w:rsid w:val="00B01046"/>
    <w:rsid w:val="00B20F46"/>
    <w:rsid w:val="00B263FA"/>
    <w:rsid w:val="00B27D38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BF77A6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2C07"/>
    <w:rsid w:val="00C60A41"/>
    <w:rsid w:val="00C62DE8"/>
    <w:rsid w:val="00C62DFB"/>
    <w:rsid w:val="00C630E6"/>
    <w:rsid w:val="00C63812"/>
    <w:rsid w:val="00C64AF3"/>
    <w:rsid w:val="00C64B43"/>
    <w:rsid w:val="00C6659C"/>
    <w:rsid w:val="00C66F4D"/>
    <w:rsid w:val="00C67BB5"/>
    <w:rsid w:val="00C72713"/>
    <w:rsid w:val="00C733FB"/>
    <w:rsid w:val="00C848EF"/>
    <w:rsid w:val="00C85947"/>
    <w:rsid w:val="00C86600"/>
    <w:rsid w:val="00C87BCA"/>
    <w:rsid w:val="00C87EED"/>
    <w:rsid w:val="00C94506"/>
    <w:rsid w:val="00C954BC"/>
    <w:rsid w:val="00CA1F0B"/>
    <w:rsid w:val="00CA652F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06732"/>
    <w:rsid w:val="00D10FC7"/>
    <w:rsid w:val="00D1519F"/>
    <w:rsid w:val="00D20E99"/>
    <w:rsid w:val="00D21C83"/>
    <w:rsid w:val="00D35BDD"/>
    <w:rsid w:val="00D63006"/>
    <w:rsid w:val="00D71748"/>
    <w:rsid w:val="00D72301"/>
    <w:rsid w:val="00D77AC0"/>
    <w:rsid w:val="00D8041C"/>
    <w:rsid w:val="00D911DE"/>
    <w:rsid w:val="00D91B97"/>
    <w:rsid w:val="00D93ACC"/>
    <w:rsid w:val="00D93C08"/>
    <w:rsid w:val="00D95DAC"/>
    <w:rsid w:val="00DA0B53"/>
    <w:rsid w:val="00DA2ED1"/>
    <w:rsid w:val="00DB1171"/>
    <w:rsid w:val="00DB1519"/>
    <w:rsid w:val="00DB2840"/>
    <w:rsid w:val="00DC108A"/>
    <w:rsid w:val="00DC1BD3"/>
    <w:rsid w:val="00DC2C1A"/>
    <w:rsid w:val="00DC4C44"/>
    <w:rsid w:val="00DD66B4"/>
    <w:rsid w:val="00DE1972"/>
    <w:rsid w:val="00DE27AB"/>
    <w:rsid w:val="00DF2843"/>
    <w:rsid w:val="00DF2AB3"/>
    <w:rsid w:val="00DF7250"/>
    <w:rsid w:val="00DF7A79"/>
    <w:rsid w:val="00E00CAA"/>
    <w:rsid w:val="00E03EBF"/>
    <w:rsid w:val="00E05209"/>
    <w:rsid w:val="00E057A6"/>
    <w:rsid w:val="00E05AC1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1B59"/>
    <w:rsid w:val="00E42326"/>
    <w:rsid w:val="00E43544"/>
    <w:rsid w:val="00E44D89"/>
    <w:rsid w:val="00E477EA"/>
    <w:rsid w:val="00E55807"/>
    <w:rsid w:val="00E61D91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860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866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804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361"/>
    <w:rsid w:val="00FA095D"/>
    <w:rsid w:val="00FA3878"/>
    <w:rsid w:val="00FA6C8B"/>
    <w:rsid w:val="00FA6CDA"/>
    <w:rsid w:val="00FA7C89"/>
    <w:rsid w:val="00FB4139"/>
    <w:rsid w:val="00FB476E"/>
    <w:rsid w:val="00FB7ACC"/>
    <w:rsid w:val="00FC0D90"/>
    <w:rsid w:val="00FC7D8C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0C3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es" TargetMode="External"/><Relationship Id="rId18" Type="http://schemas.openxmlformats.org/officeDocument/2006/relationships/hyperlink" Target="https://www.itu.int/md/D22-TDAG31-240520-TD-0003/es" TargetMode="External"/><Relationship Id="rId26" Type="http://schemas.openxmlformats.org/officeDocument/2006/relationships/hyperlink" Target="https://www.itu.int/md/D22-TDAG.WG.SR-C-0016/es" TargetMode="External"/><Relationship Id="rId39" Type="http://schemas.openxmlformats.org/officeDocument/2006/relationships/hyperlink" Target="https://www.itu.int/md/D22-TDAG.WG.SR-C-0031/es" TargetMode="External"/><Relationship Id="rId21" Type="http://schemas.openxmlformats.org/officeDocument/2006/relationships/hyperlink" Target="https://www.itu.int/md/D22-TDAG.WG.SR-C-0013/es" TargetMode="External"/><Relationship Id="rId34" Type="http://schemas.openxmlformats.org/officeDocument/2006/relationships/hyperlink" Target="https://www.itu.int/md/D22-TDAG.WG.SR-C-0027/es" TargetMode="External"/><Relationship Id="rId42" Type="http://schemas.openxmlformats.org/officeDocument/2006/relationships/hyperlink" Target="https://www.itu.int/md/D22-TDAG.WG.SR-C-0035/es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es" TargetMode="External"/><Relationship Id="rId29" Type="http://schemas.openxmlformats.org/officeDocument/2006/relationships/hyperlink" Target="https://www.itu.int/md/D22-TDAG.WG.SR-C-0021/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general-secretariat/Pages/ISCG/default.aspx" TargetMode="External"/><Relationship Id="rId32" Type="http://schemas.openxmlformats.org/officeDocument/2006/relationships/hyperlink" Target="https://www.itu.int/md/D22-TDAG.WG.SR-C-0025/es" TargetMode="External"/><Relationship Id="rId37" Type="http://schemas.openxmlformats.org/officeDocument/2006/relationships/hyperlink" Target="https://www.itu.int/md/D22-TDAG.WG.SR-C-0031/es" TargetMode="External"/><Relationship Id="rId40" Type="http://schemas.openxmlformats.org/officeDocument/2006/relationships/hyperlink" Target="https://www.itu.int/md/D22-TDAG.WG.SR-INF-0001/es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es" TargetMode="External"/><Relationship Id="rId23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28" Type="http://schemas.openxmlformats.org/officeDocument/2006/relationships/hyperlink" Target="https://www.itu.int/md/D22-TDAG.WG.SR-C-0019/es" TargetMode="External"/><Relationship Id="rId36" Type="http://schemas.openxmlformats.org/officeDocument/2006/relationships/hyperlink" Target="https://www.itu.int/md/D22-TDAG.WG.SR-C-0029/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R-C-0010/es" TargetMode="External"/><Relationship Id="rId31" Type="http://schemas.openxmlformats.org/officeDocument/2006/relationships/hyperlink" Target="https://www.itu.int/md/D22-TDAG.WG.SR-C-0024/es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es" TargetMode="External"/><Relationship Id="rId22" Type="http://schemas.openxmlformats.org/officeDocument/2006/relationships/hyperlink" Target="mailto:(tdag-wg-streamres@lists.itu.int" TargetMode="External"/><Relationship Id="rId27" Type="http://schemas.openxmlformats.org/officeDocument/2006/relationships/hyperlink" Target="https://www.itu.int/md/D22-TDAG.WG.SR-C-0015/es" TargetMode="External"/><Relationship Id="rId30" Type="http://schemas.openxmlformats.org/officeDocument/2006/relationships/hyperlink" Target="https://www.itu.int/md/D22-TDAG.WG.SR-C-0021/es" TargetMode="External"/><Relationship Id="rId35" Type="http://schemas.openxmlformats.org/officeDocument/2006/relationships/hyperlink" Target="https://www.itu.int/md/D22-TDAG.WG.SR-C-0028/es" TargetMode="External"/><Relationship Id="rId43" Type="http://schemas.openxmlformats.org/officeDocument/2006/relationships/hyperlink" Target="https://www.itu.int/md/D22-TDAG.WG.SR-C-0013/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19/es" TargetMode="External"/><Relationship Id="rId25" Type="http://schemas.openxmlformats.org/officeDocument/2006/relationships/hyperlink" Target="https://www.itu.int/md/D22-TDAG.WG.SR-C-0014/es" TargetMode="External"/><Relationship Id="rId33" Type="http://schemas.openxmlformats.org/officeDocument/2006/relationships/hyperlink" Target="https://www.itu.int/md/D22-TDAG.WG.SR-C-0026/es" TargetMode="External"/><Relationship Id="rId38" Type="http://schemas.openxmlformats.org/officeDocument/2006/relationships/hyperlink" Target="https://www.itu.int/md/D22-TDAG.WG.SR-C-0033/e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D22-TDAG30-C-0031/es" TargetMode="External"/><Relationship Id="rId41" Type="http://schemas.openxmlformats.org/officeDocument/2006/relationships/hyperlink" Target="https://www.itu.int/md/D22-TDAG.WG.SR-INF-0002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7846D6-6303-4065-8A88-08CE87C2D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10509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TSB (RC)</cp:lastModifiedBy>
  <cp:revision>2</cp:revision>
  <cp:lastPrinted>2014-11-04T09:22:00Z</cp:lastPrinted>
  <dcterms:created xsi:type="dcterms:W3CDTF">2025-05-13T08:00:00Z</dcterms:created>
  <dcterms:modified xsi:type="dcterms:W3CDTF">2025-05-13T08:00:00Z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