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3C29DD" w14:paraId="40CB55B0" w14:textId="77777777" w:rsidTr="000D6EAB">
        <w:trPr>
          <w:cantSplit/>
          <w:trHeight w:val="1276"/>
        </w:trPr>
        <w:tc>
          <w:tcPr>
            <w:tcW w:w="1985" w:type="dxa"/>
          </w:tcPr>
          <w:p w14:paraId="32BBF549" w14:textId="77777777" w:rsidR="00AE1244" w:rsidRPr="003C29DD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3C29DD">
              <w:rPr>
                <w:b/>
                <w:bCs/>
                <w:sz w:val="30"/>
                <w:szCs w:val="30"/>
              </w:rPr>
              <w:drawing>
                <wp:inline distT="0" distB="0" distL="0" distR="0" wp14:anchorId="5FC13458" wp14:editId="5F050851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FBDB447" w14:textId="77777777" w:rsidR="008E1A73" w:rsidRPr="003C29DD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3C29DD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3C29DD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5BBA01ED" w14:textId="77777777" w:rsidR="00AE1244" w:rsidRPr="003C29DD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3C29DD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9E8BDF0" w14:textId="77777777" w:rsidR="00AE1244" w:rsidRPr="003C29DD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3C29DD">
              <w:rPr>
                <w:lang w:eastAsia="fr-FR"/>
              </w:rPr>
              <w:drawing>
                <wp:inline distT="0" distB="0" distL="0" distR="0" wp14:anchorId="70D8DB2D" wp14:editId="4A5D45E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3C29DD" w14:paraId="39AD2365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3A30EF0" w14:textId="77777777" w:rsidR="00D83BF5" w:rsidRPr="003C29DD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180EA66" w14:textId="77777777" w:rsidR="00D83BF5" w:rsidRPr="003C29DD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3C29DD" w14:paraId="1E2A9805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233B973" w14:textId="77777777" w:rsidR="00D87035" w:rsidRPr="003C29DD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555E4FDC" w14:textId="3FDB49D9" w:rsidR="00D87035" w:rsidRPr="003C29D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3C29DD">
              <w:rPr>
                <w:b/>
                <w:bCs/>
                <w:szCs w:val="22"/>
              </w:rPr>
              <w:t>Документ</w:t>
            </w:r>
            <w:bookmarkStart w:id="4" w:name="DocRef1"/>
            <w:bookmarkStart w:id="5" w:name="DocNo1"/>
            <w:bookmarkEnd w:id="4"/>
            <w:bookmarkEnd w:id="5"/>
            <w:r w:rsidR="00CA14DE" w:rsidRPr="003C29DD">
              <w:t xml:space="preserve"> </w:t>
            </w:r>
            <w:r w:rsidR="00CA14DE" w:rsidRPr="003C29DD">
              <w:rPr>
                <w:b/>
                <w:bCs/>
                <w:szCs w:val="22"/>
              </w:rPr>
              <w:t>TDAG-25/20-R</w:t>
            </w:r>
          </w:p>
        </w:tc>
      </w:tr>
      <w:tr w:rsidR="00D87035" w:rsidRPr="003C29DD" w14:paraId="050FAF86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316BD46" w14:textId="77777777" w:rsidR="00D87035" w:rsidRPr="003C29DD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7A680EE0" w14:textId="25B328B9" w:rsidR="00D87035" w:rsidRPr="003C29DD" w:rsidRDefault="00CA14DE" w:rsidP="00CE66E4">
            <w:pPr>
              <w:spacing w:before="0"/>
              <w:rPr>
                <w:rFonts w:cstheme="minorHAnsi"/>
                <w:szCs w:val="22"/>
              </w:rPr>
            </w:pPr>
            <w:r w:rsidRPr="003C29DD">
              <w:rPr>
                <w:b/>
                <w:bCs/>
                <w:szCs w:val="22"/>
              </w:rPr>
              <w:t>21 марта 2025 года</w:t>
            </w:r>
          </w:p>
        </w:tc>
      </w:tr>
      <w:bookmarkEnd w:id="6"/>
      <w:bookmarkEnd w:id="7"/>
      <w:tr w:rsidR="00D87035" w:rsidRPr="003C29DD" w14:paraId="0542C0E1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5CD5CCE" w14:textId="77777777" w:rsidR="00D87035" w:rsidRPr="003C29DD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726E1C5B" w14:textId="77777777" w:rsidR="00D87035" w:rsidRPr="003C29D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3C29DD">
              <w:rPr>
                <w:b/>
                <w:bCs/>
                <w:szCs w:val="22"/>
              </w:rPr>
              <w:t>Оригинал</w:t>
            </w:r>
            <w:r w:rsidR="00D87035" w:rsidRPr="003C29DD">
              <w:rPr>
                <w:b/>
                <w:bCs/>
                <w:szCs w:val="22"/>
              </w:rPr>
              <w:t xml:space="preserve">: </w:t>
            </w:r>
            <w:r w:rsidRPr="003C29D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3C29DD" w14:paraId="077E3459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EE27EA" w14:textId="11C4C51A" w:rsidR="00D83BF5" w:rsidRPr="003C29DD" w:rsidRDefault="00CA14DE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3C29DD">
              <w:t>Председатель КГРЭ-РГ-SR</w:t>
            </w:r>
          </w:p>
        </w:tc>
      </w:tr>
      <w:tr w:rsidR="00D83BF5" w:rsidRPr="003C29DD" w14:paraId="29D4027F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FAAE305" w14:textId="1F1D8271" w:rsidR="00D83BF5" w:rsidRPr="003C29DD" w:rsidRDefault="00CA14DE" w:rsidP="006774C6">
            <w:pPr>
              <w:pStyle w:val="Title1"/>
              <w:rPr>
                <w:caps/>
              </w:rPr>
            </w:pPr>
            <w:r w:rsidRPr="003C29DD">
              <w:t xml:space="preserve">Отчет о деятельности Рабочей группы КГРЭ по упорядочению </w:t>
            </w:r>
            <w:r w:rsidR="00BB2E1A" w:rsidRPr="003C29DD">
              <w:t xml:space="preserve">резолюций </w:t>
            </w:r>
            <w:r w:rsidRPr="003C29DD">
              <w:t>(КГРЭ-РГ-SR)</w:t>
            </w:r>
          </w:p>
        </w:tc>
      </w:tr>
      <w:tr w:rsidR="00D83BF5" w:rsidRPr="003C29DD" w14:paraId="08FD7B73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708725" w14:textId="77777777" w:rsidR="00D83BF5" w:rsidRPr="003C29DD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3C29DD" w14:paraId="35C1EF98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988E" w14:textId="77777777" w:rsidR="005E032D" w:rsidRPr="003C29DD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3C29DD">
              <w:rPr>
                <w:szCs w:val="22"/>
                <w:lang w:val="ru-RU"/>
              </w:rPr>
              <w:t>Резюме</w:t>
            </w:r>
          </w:p>
          <w:p w14:paraId="5D6A7F1D" w14:textId="0D8B8CD7" w:rsidR="001E252D" w:rsidRPr="003C29DD" w:rsidRDefault="00CA14DE" w:rsidP="00EB4AE6">
            <w:pPr>
              <w:rPr>
                <w:szCs w:val="22"/>
              </w:rPr>
            </w:pPr>
            <w:r w:rsidRPr="003C29DD">
              <w:rPr>
                <w:szCs w:val="22"/>
              </w:rPr>
              <w:t xml:space="preserve">В настоящем документе представлен отчет о деятельности Рабочей группы КГРЭ по упорядочению </w:t>
            </w:r>
            <w:r w:rsidR="00BB2E1A" w:rsidRPr="003C29DD">
              <w:rPr>
                <w:szCs w:val="22"/>
              </w:rPr>
              <w:t xml:space="preserve">резолюций </w:t>
            </w:r>
            <w:r w:rsidRPr="003C29DD">
              <w:rPr>
                <w:szCs w:val="22"/>
              </w:rPr>
              <w:t>(КГРЭ-РГ-SR).</w:t>
            </w:r>
          </w:p>
          <w:p w14:paraId="599B5B5E" w14:textId="77777777" w:rsidR="005E032D" w:rsidRPr="003C29DD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3C29DD">
              <w:rPr>
                <w:szCs w:val="22"/>
                <w:lang w:val="ru-RU"/>
              </w:rPr>
              <w:t>Необходимые действия</w:t>
            </w:r>
          </w:p>
          <w:p w14:paraId="380D0B34" w14:textId="42DBC9F2" w:rsidR="001E252D" w:rsidRPr="003C29DD" w:rsidRDefault="00CA14DE" w:rsidP="00EB4AE6">
            <w:pPr>
              <w:rPr>
                <w:szCs w:val="22"/>
              </w:rPr>
            </w:pPr>
            <w:r w:rsidRPr="003C29DD">
              <w:rPr>
                <w:szCs w:val="22"/>
              </w:rPr>
              <w:t>КГРЭ предлагается принять к сведению настоящий документ и предоставить руководящие указания, по</w:t>
            </w:r>
            <w:r w:rsidR="00BB2E1A" w:rsidRPr="003C29DD">
              <w:rPr>
                <w:szCs w:val="22"/>
              </w:rPr>
              <w:t> </w:t>
            </w:r>
            <w:r w:rsidRPr="003C29DD">
              <w:rPr>
                <w:szCs w:val="22"/>
              </w:rPr>
              <w:t>мере необходимости.</w:t>
            </w:r>
          </w:p>
          <w:p w14:paraId="67738C80" w14:textId="77777777" w:rsidR="001E252D" w:rsidRPr="003C29DD" w:rsidRDefault="004A3CDF" w:rsidP="00EB4AE6">
            <w:pPr>
              <w:rPr>
                <w:b/>
                <w:bCs/>
                <w:szCs w:val="22"/>
              </w:rPr>
            </w:pPr>
            <w:r w:rsidRPr="003C29DD">
              <w:rPr>
                <w:b/>
                <w:bCs/>
                <w:szCs w:val="22"/>
              </w:rPr>
              <w:t>Справочные материалы</w:t>
            </w:r>
          </w:p>
          <w:p w14:paraId="0C6EE0C4" w14:textId="77777777" w:rsidR="00CA14DE" w:rsidRPr="003C29DD" w:rsidRDefault="00CA14DE" w:rsidP="00CA14DE">
            <w:pPr>
              <w:spacing w:after="120"/>
              <w:rPr>
                <w:szCs w:val="22"/>
              </w:rPr>
            </w:pPr>
            <w:r w:rsidRPr="003C29DD">
              <w:rPr>
                <w:szCs w:val="22"/>
              </w:rPr>
              <w:t>Заключительный отчет ВКРЭ-17</w:t>
            </w:r>
          </w:p>
          <w:p w14:paraId="56E1F6B2" w14:textId="14B16EEF" w:rsidR="001E252D" w:rsidRPr="003C29DD" w:rsidRDefault="00CA14DE" w:rsidP="00CA14DE">
            <w:pPr>
              <w:spacing w:after="120"/>
            </w:pPr>
            <w:r w:rsidRPr="003C29DD">
              <w:rPr>
                <w:szCs w:val="22"/>
              </w:rPr>
              <w:t>Заключительный отчет ВКРЭ-22</w:t>
            </w:r>
          </w:p>
        </w:tc>
      </w:tr>
      <w:bookmarkEnd w:id="8"/>
      <w:bookmarkEnd w:id="9"/>
    </w:tbl>
    <w:p w14:paraId="6C116764" w14:textId="77777777" w:rsidR="001E252D" w:rsidRPr="003C29DD" w:rsidRDefault="001E252D" w:rsidP="00CE66E4"/>
    <w:p w14:paraId="72B86AF9" w14:textId="77777777" w:rsidR="00075C63" w:rsidRPr="003C29DD" w:rsidRDefault="00075C63" w:rsidP="00CE66E4">
      <w:pPr>
        <w:rPr>
          <w:szCs w:val="24"/>
        </w:rPr>
      </w:pPr>
      <w:r w:rsidRPr="003C29DD">
        <w:rPr>
          <w:szCs w:val="24"/>
        </w:rPr>
        <w:br w:type="page"/>
      </w:r>
    </w:p>
    <w:p w14:paraId="3EA331C6" w14:textId="64C5FFFD" w:rsidR="00CA14DE" w:rsidRPr="00B33FFC" w:rsidRDefault="00B26C35" w:rsidP="00B26C35">
      <w:pPr>
        <w:pStyle w:val="Heading1"/>
        <w:spacing w:after="120"/>
        <w:rPr>
          <w:rFonts w:cstheme="minorHAnsi"/>
          <w:b w:val="0"/>
          <w:bCs/>
          <w:szCs w:val="24"/>
        </w:rPr>
      </w:pPr>
      <w:r w:rsidRPr="003C29DD">
        <w:lastRenderedPageBreak/>
        <w:t>A</w:t>
      </w:r>
      <w:r w:rsidRPr="003C29DD">
        <w:tab/>
      </w:r>
      <w:r w:rsidR="00CA14DE" w:rsidRPr="003C29DD">
        <w:t xml:space="preserve">Рабочая группа КГРЭ по упорядочению </w:t>
      </w:r>
      <w:r w:rsidR="00BB2E1A" w:rsidRPr="003C29DD">
        <w:t xml:space="preserve">резолюций </w:t>
      </w:r>
      <w:r w:rsidR="00CA14DE" w:rsidRPr="003C29DD">
        <w:t>(КГРЭ-РГ-SR) провела четыре (4) собрания, которые перечислены ниже</w:t>
      </w:r>
      <w:r w:rsidR="00CA14DE" w:rsidRPr="00B33FFC">
        <w:rPr>
          <w:b w:val="0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193"/>
        <w:gridCol w:w="4672"/>
      </w:tblGrid>
      <w:tr w:rsidR="00CA14DE" w:rsidRPr="003C29DD" w14:paraId="405F5D07" w14:textId="77777777" w:rsidTr="00B26C35">
        <w:trPr>
          <w:trHeight w:val="239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B95CF6" w14:textId="77777777" w:rsidR="00CA14DE" w:rsidRPr="003C29DD" w:rsidRDefault="00CA14DE" w:rsidP="00B26C35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3C29DD">
              <w:t>Название собрания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0FA7" w14:textId="77777777" w:rsidR="00CA14DE" w:rsidRPr="003C29DD" w:rsidRDefault="00CA14DE" w:rsidP="00B26C35">
            <w:pPr>
              <w:pStyle w:val="Tablehead"/>
              <w:rPr>
                <w:sz w:val="22"/>
                <w:szCs w:val="22"/>
                <w14:ligatures w14:val="standardContextual"/>
              </w:rPr>
            </w:pPr>
            <w:r w:rsidRPr="003C29DD">
              <w:t>Даты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3BAE" w14:textId="77777777" w:rsidR="00CA14DE" w:rsidRPr="003C29DD" w:rsidRDefault="00CA14DE" w:rsidP="00B26C35">
            <w:pPr>
              <w:pStyle w:val="Tablehead"/>
              <w:rPr>
                <w:sz w:val="22"/>
                <w:szCs w:val="22"/>
              </w:rPr>
            </w:pPr>
            <w:r w:rsidRPr="003C29DD">
              <w:t>Цель</w:t>
            </w:r>
          </w:p>
        </w:tc>
      </w:tr>
      <w:tr w:rsidR="00CA14DE" w:rsidRPr="003C29DD" w14:paraId="1706CE5C" w14:textId="77777777" w:rsidTr="00B26C35">
        <w:trPr>
          <w:trHeight w:val="30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5B8" w14:textId="4ECDF8F3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1-е собрание КГРЭ-РГ-SR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44F5" w14:textId="2CFE672D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18 апреля 2024 г</w:t>
            </w:r>
            <w:r w:rsidR="00B26C35" w:rsidRPr="003C29DD">
              <w:t>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3EEC" w14:textId="77777777" w:rsidR="00CA14DE" w:rsidRPr="003C29DD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3C29DD">
              <w:t xml:space="preserve">Доработка круга ведения </w:t>
            </w:r>
            <w:r w:rsidRPr="003C29DD">
              <w:br/>
              <w:t>Предложение о представлении вкладов</w:t>
            </w:r>
          </w:p>
        </w:tc>
      </w:tr>
      <w:tr w:rsidR="00CA14DE" w:rsidRPr="003C29DD" w14:paraId="0B63A04B" w14:textId="77777777" w:rsidTr="00B26C35">
        <w:trPr>
          <w:trHeight w:val="30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52D" w14:textId="4ED45C1E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2-е собрание КГРЭ-РГ-SR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73AC" w14:textId="57C0034A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21 мая 2024 г</w:t>
            </w:r>
            <w:r w:rsidR="00B26C35" w:rsidRPr="003C29DD">
              <w:t>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BB4F" w14:textId="20547E5D" w:rsidR="00CA14DE" w:rsidRPr="003C29DD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3C29DD">
              <w:t>Завершение работы над кругом ведения</w:t>
            </w:r>
            <w:r w:rsidR="00B26C35" w:rsidRPr="003C29DD">
              <w:br/>
            </w:r>
            <w:r w:rsidRPr="003C29DD">
              <w:t>Предложение о представлении вкладов</w:t>
            </w:r>
          </w:p>
        </w:tc>
      </w:tr>
      <w:tr w:rsidR="00CA14DE" w:rsidRPr="003C29DD" w14:paraId="5EE6AC4D" w14:textId="77777777" w:rsidTr="00B26C35">
        <w:trPr>
          <w:trHeight w:val="30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885" w14:textId="43DEBC92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3-е собрание КГРЭ-РГ-SR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4D6D" w14:textId="68FD8D24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5 сентября 2024 г</w:t>
            </w:r>
            <w:r w:rsidR="00B26C35" w:rsidRPr="003C29DD">
              <w:t>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47C2" w14:textId="77777777" w:rsidR="00CA14DE" w:rsidRPr="003C29DD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3C29DD">
              <w:t xml:space="preserve">Предложение о представлении вкладов </w:t>
            </w:r>
            <w:r w:rsidRPr="003C29DD">
              <w:br/>
              <w:t>Обсуждение вкладов</w:t>
            </w:r>
          </w:p>
        </w:tc>
      </w:tr>
      <w:tr w:rsidR="00CA14DE" w:rsidRPr="003C29DD" w14:paraId="4AB5E396" w14:textId="77777777" w:rsidTr="00B26C35">
        <w:trPr>
          <w:trHeight w:val="30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E31C" w14:textId="52F5066D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4-е собрание КГРЭ-РГ-SR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7A8B" w14:textId="7A1179F4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5 декабря 2024 г</w:t>
            </w:r>
            <w:r w:rsidR="00B26C35" w:rsidRPr="003C29DD">
              <w:t>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0A5F" w14:textId="77777777" w:rsidR="00CA14DE" w:rsidRPr="003C29DD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3C29DD">
              <w:t xml:space="preserve">Предложение о представлении вкладов </w:t>
            </w:r>
            <w:r w:rsidRPr="003C29DD">
              <w:br/>
              <w:t>Обсуждение вкладов</w:t>
            </w:r>
          </w:p>
        </w:tc>
      </w:tr>
    </w:tbl>
    <w:p w14:paraId="3EE8BBBF" w14:textId="59B23D87" w:rsidR="00CA14DE" w:rsidRPr="003C29DD" w:rsidRDefault="00B26C35" w:rsidP="00BB2E1A">
      <w:pPr>
        <w:rPr>
          <w:rFonts w:cstheme="minorHAnsi"/>
          <w:szCs w:val="24"/>
        </w:rPr>
      </w:pPr>
      <w:r w:rsidRPr="003C29DD">
        <w:rPr>
          <w:b/>
          <w:bCs/>
        </w:rPr>
        <w:t>1</w:t>
      </w:r>
      <w:r w:rsidRPr="003C29DD">
        <w:rPr>
          <w:b/>
          <w:bCs/>
        </w:rPr>
        <w:tab/>
      </w:r>
      <w:r w:rsidR="00CA14DE" w:rsidRPr="003C29DD">
        <w:rPr>
          <w:b/>
          <w:bCs/>
        </w:rPr>
        <w:t>Первое собрание КГРЭ-РГ-SR состоялось 18 апреля 2024 года в онлайновом формате</w:t>
      </w:r>
      <w:r w:rsidR="00CA14DE" w:rsidRPr="003C29DD">
        <w:t>.</w:t>
      </w:r>
    </w:p>
    <w:p w14:paraId="01776874" w14:textId="244A5A54" w:rsidR="00CA14DE" w:rsidRPr="003C29DD" w:rsidRDefault="00B26C35" w:rsidP="00BB2E1A">
      <w:pPr>
        <w:rPr>
          <w:rFonts w:cstheme="minorBidi"/>
        </w:rPr>
      </w:pPr>
      <w:r w:rsidRPr="003C29DD">
        <w:t>1.1</w:t>
      </w:r>
      <w:r w:rsidRPr="003C29DD">
        <w:tab/>
      </w:r>
      <w:r w:rsidR="00CA14DE" w:rsidRPr="003C29DD">
        <w:t xml:space="preserve">К первому собранию КГРЭ-РГ-SR Председатель представила </w:t>
      </w:r>
      <w:hyperlink r:id="rId13" w:history="1">
        <w:r w:rsidR="00CA14DE" w:rsidRPr="003C29DD">
          <w:rPr>
            <w:rStyle w:val="Hyperlink"/>
          </w:rPr>
          <w:t>справочный документ</w:t>
        </w:r>
      </w:hyperlink>
      <w:r w:rsidR="00CA14DE" w:rsidRPr="003C29DD">
        <w:t xml:space="preserve">, </w:t>
      </w:r>
      <w:hyperlink r:id="rId14" w:history="1">
        <w:r w:rsidR="00CA14DE" w:rsidRPr="003C29DD">
          <w:rPr>
            <w:rStyle w:val="Hyperlink"/>
          </w:rPr>
          <w:t>предлагаемые даты будущих собраний</w:t>
        </w:r>
      </w:hyperlink>
      <w:r w:rsidR="00CA14DE" w:rsidRPr="003C29DD">
        <w:t xml:space="preserve"> и </w:t>
      </w:r>
      <w:hyperlink r:id="rId15" w:history="1">
        <w:r w:rsidR="00CA14DE" w:rsidRPr="003C29DD">
          <w:rPr>
            <w:rStyle w:val="Hyperlink"/>
          </w:rPr>
          <w:t>проект круга ведения</w:t>
        </w:r>
      </w:hyperlink>
      <w:r w:rsidR="00CA14DE" w:rsidRPr="003C29DD">
        <w:t>.</w:t>
      </w:r>
    </w:p>
    <w:p w14:paraId="5CEEEA5A" w14:textId="74ACBA18" w:rsidR="00CA14DE" w:rsidRPr="003C29DD" w:rsidRDefault="00B26C35" w:rsidP="00BB2E1A">
      <w:pPr>
        <w:rPr>
          <w:rFonts w:cstheme="minorHAnsi"/>
          <w:szCs w:val="24"/>
        </w:rPr>
      </w:pPr>
      <w:r w:rsidRPr="003C29DD">
        <w:t>1.2</w:t>
      </w:r>
      <w:r w:rsidRPr="003C29DD">
        <w:tab/>
      </w:r>
      <w:hyperlink r:id="rId16" w:history="1">
        <w:r w:rsidR="00CA14DE" w:rsidRPr="003C29DD">
          <w:rPr>
            <w:rStyle w:val="Hyperlink"/>
          </w:rPr>
          <w:t>Отчет о первом собрании КГРЭ-РГ-SR</w:t>
        </w:r>
      </w:hyperlink>
      <w:r w:rsidR="00CA14DE" w:rsidRPr="003C29DD">
        <w:t xml:space="preserve"> содержит краткий обзор состоявшихся обсуждений.</w:t>
      </w:r>
    </w:p>
    <w:p w14:paraId="54A17216" w14:textId="5B7DFDBC" w:rsidR="00CA14DE" w:rsidRPr="003C29DD" w:rsidRDefault="00B26C35" w:rsidP="00BB2E1A">
      <w:pPr>
        <w:rPr>
          <w:rFonts w:cstheme="minorHAnsi"/>
          <w:szCs w:val="24"/>
        </w:rPr>
      </w:pPr>
      <w:r w:rsidRPr="003C29DD">
        <w:rPr>
          <w:b/>
          <w:bCs/>
        </w:rPr>
        <w:t>2</w:t>
      </w:r>
      <w:r w:rsidRPr="003C29DD">
        <w:rPr>
          <w:b/>
          <w:bCs/>
        </w:rPr>
        <w:tab/>
      </w:r>
      <w:r w:rsidR="00CA14DE" w:rsidRPr="003C29DD">
        <w:rPr>
          <w:b/>
          <w:bCs/>
        </w:rPr>
        <w:t>Второе собрание КГРЭ-РГ-SR состоялось 21 мая 2024 года в очном и онлайновом режимах и совпало с собранием КГРЭ-24</w:t>
      </w:r>
      <w:r w:rsidR="00CA14DE" w:rsidRPr="003C29DD">
        <w:t>.</w:t>
      </w:r>
    </w:p>
    <w:p w14:paraId="50A290CE" w14:textId="4C65C1BC" w:rsidR="00CA14DE" w:rsidRPr="003C29DD" w:rsidRDefault="00B26C35" w:rsidP="00BB2E1A">
      <w:pPr>
        <w:rPr>
          <w:rFonts w:cstheme="minorHAnsi"/>
          <w:szCs w:val="24"/>
        </w:rPr>
      </w:pPr>
      <w:r w:rsidRPr="003C29DD">
        <w:t>2.1</w:t>
      </w:r>
      <w:r w:rsidRPr="003C29DD">
        <w:tab/>
      </w:r>
      <w:r w:rsidR="00CA14DE" w:rsidRPr="003C29DD">
        <w:t xml:space="preserve">На втором собрании КГРЭ-РГ-SR обсуждался проект круга ведения: компания ATDI (Франция) представила вклад </w:t>
      </w:r>
      <w:hyperlink r:id="rId17" w:history="1">
        <w:r w:rsidR="00CA14DE" w:rsidRPr="003C29DD">
          <w:rPr>
            <w:rStyle w:val="Hyperlink"/>
          </w:rPr>
          <w:t>"Пересмотр круга ведения"</w:t>
        </w:r>
      </w:hyperlink>
      <w:r w:rsidR="00CA14DE" w:rsidRPr="003C29DD">
        <w:t xml:space="preserve">, а Председатель КГРЭ-РГ-SR представила вклад </w:t>
      </w:r>
      <w:hyperlink r:id="rId18" w:history="1">
        <w:r w:rsidR="00CA14DE" w:rsidRPr="003C29DD">
          <w:rPr>
            <w:rStyle w:val="Hyperlink"/>
          </w:rPr>
          <w:t>"Проект круга ведения"</w:t>
        </w:r>
      </w:hyperlink>
      <w:r w:rsidR="00CA14DE" w:rsidRPr="003C29DD">
        <w:t>.</w:t>
      </w:r>
    </w:p>
    <w:p w14:paraId="079A0E60" w14:textId="0DCDE03C" w:rsidR="00CA14DE" w:rsidRPr="003C29DD" w:rsidRDefault="00B26C35" w:rsidP="00BB2E1A">
      <w:pPr>
        <w:rPr>
          <w:rFonts w:cstheme="minorHAnsi"/>
          <w:szCs w:val="24"/>
        </w:rPr>
      </w:pPr>
      <w:r w:rsidRPr="003C29DD">
        <w:t>2.2</w:t>
      </w:r>
      <w:r w:rsidRPr="003C29DD">
        <w:tab/>
      </w:r>
      <w:r w:rsidR="00CA14DE" w:rsidRPr="003C29DD">
        <w:t xml:space="preserve">На КГРЭ-24 был представлен </w:t>
      </w:r>
      <w:hyperlink r:id="rId19" w:history="1">
        <w:r w:rsidR="00CA14DE" w:rsidRPr="003C29DD">
          <w:rPr>
            <w:rStyle w:val="Hyperlink"/>
          </w:rPr>
          <w:t>отчет о ходе работы КГРЭ-РГ-SR</w:t>
        </w:r>
      </w:hyperlink>
      <w:r w:rsidR="00CA14DE" w:rsidRPr="003C29DD">
        <w:t xml:space="preserve">, был утвержден </w:t>
      </w:r>
      <w:hyperlink r:id="rId20" w:history="1">
        <w:r w:rsidR="00CA14DE" w:rsidRPr="003C29DD">
          <w:rPr>
            <w:rStyle w:val="Hyperlink"/>
          </w:rPr>
          <w:t>круг ведения КГРЭ-РГ-SR</w:t>
        </w:r>
      </w:hyperlink>
      <w:r w:rsidR="00CA14DE" w:rsidRPr="003C29DD">
        <w:t>, а также были назначены два заместителя Председателя, а именно:</w:t>
      </w:r>
    </w:p>
    <w:p w14:paraId="3C261CB1" w14:textId="07158ADF" w:rsidR="00CA14DE" w:rsidRPr="003C29DD" w:rsidRDefault="00B26C35" w:rsidP="00BB2E1A">
      <w:pPr>
        <w:pStyle w:val="enumlev1"/>
      </w:pPr>
      <w:r w:rsidRPr="003C29DD">
        <w:t>a)</w:t>
      </w:r>
      <w:r w:rsidRPr="003C29DD">
        <w:tab/>
      </w:r>
      <w:r w:rsidR="00CA14DE" w:rsidRPr="003C29DD">
        <w:t>г-жа Бланка Гонсалес (Испания);</w:t>
      </w:r>
    </w:p>
    <w:p w14:paraId="1D278566" w14:textId="0539DD3B" w:rsidR="00CA14DE" w:rsidRPr="003C29DD" w:rsidRDefault="00B26C35" w:rsidP="00BB2E1A">
      <w:pPr>
        <w:pStyle w:val="enumlev1"/>
        <w:rPr>
          <w:rFonts w:cstheme="minorHAnsi"/>
          <w:szCs w:val="24"/>
        </w:rPr>
      </w:pPr>
      <w:r w:rsidRPr="003C29DD">
        <w:t>b)</w:t>
      </w:r>
      <w:r w:rsidRPr="003C29DD">
        <w:tab/>
      </w:r>
      <w:r w:rsidR="00CA14DE" w:rsidRPr="003C29DD">
        <w:t>г-жа Агустина Брисо (Аргентина).</w:t>
      </w:r>
    </w:p>
    <w:p w14:paraId="10355E64" w14:textId="4B23179A" w:rsidR="00CA14DE" w:rsidRPr="003C29DD" w:rsidRDefault="00B26C35" w:rsidP="00BB2E1A">
      <w:pPr>
        <w:rPr>
          <w:rFonts w:cstheme="minorHAnsi"/>
          <w:szCs w:val="24"/>
        </w:rPr>
      </w:pPr>
      <w:r w:rsidRPr="003C29DD">
        <w:rPr>
          <w:b/>
          <w:bCs/>
        </w:rPr>
        <w:t>3</w:t>
      </w:r>
      <w:r w:rsidRPr="003C29DD">
        <w:rPr>
          <w:b/>
          <w:bCs/>
        </w:rPr>
        <w:tab/>
      </w:r>
      <w:r w:rsidR="00CA14DE" w:rsidRPr="003C29DD">
        <w:rPr>
          <w:b/>
          <w:bCs/>
        </w:rPr>
        <w:t>Третье собрание КГРЭ-РГ-SR состоялось 5 сентября 2024 года в онлайновом формате и продолжилось по переписке до 23 ноября 2024 года</w:t>
      </w:r>
      <w:r w:rsidR="00CA14DE" w:rsidRPr="003C29DD">
        <w:t>.</w:t>
      </w:r>
    </w:p>
    <w:p w14:paraId="6A72EEFA" w14:textId="7BEBD555" w:rsidR="00CA14DE" w:rsidRPr="003C29DD" w:rsidRDefault="00B26C35" w:rsidP="00BB2E1A">
      <w:pPr>
        <w:rPr>
          <w:rFonts w:cstheme="minorHAnsi"/>
          <w:szCs w:val="24"/>
        </w:rPr>
      </w:pPr>
      <w:r w:rsidRPr="003C29DD">
        <w:t>3.1</w:t>
      </w:r>
      <w:r w:rsidRPr="003C29DD">
        <w:tab/>
      </w:r>
      <w:r w:rsidR="00CA14DE" w:rsidRPr="003C29DD">
        <w:t xml:space="preserve">К третьему собранию КГРЭ-РГ-SR Соединенное Королевство представило вклад </w:t>
      </w:r>
      <w:hyperlink r:id="rId21" w:history="1">
        <w:r w:rsidR="00CA14DE" w:rsidRPr="003C29DD">
          <w:rPr>
            <w:rStyle w:val="Hyperlink"/>
          </w:rPr>
          <w:t>"Таблицы сопоставления для заключительного отчета"</w:t>
        </w:r>
      </w:hyperlink>
      <w:r w:rsidR="00CA14DE" w:rsidRPr="003C29DD">
        <w:t xml:space="preserve"> со ссылкой на вклад от Российской Федерации, поступивший ранее к собранию КГРЭ-23 (</w:t>
      </w:r>
      <w:hyperlink r:id="rId22" w:history="1">
        <w:r w:rsidR="00CA14DE" w:rsidRPr="003C29DD">
          <w:rPr>
            <w:rStyle w:val="Hyperlink"/>
            <w:rFonts w:cstheme="minorHAnsi"/>
            <w:szCs w:val="24"/>
          </w:rPr>
          <w:t>TDAG-23/31</w:t>
        </w:r>
      </w:hyperlink>
      <w:r w:rsidR="00CA14DE" w:rsidRPr="003C29DD">
        <w:t xml:space="preserve">). Этот вклад, направленный на структурирование и содействие обеспечению соответствия мандата КГРЭ-РГ-SR перечню </w:t>
      </w:r>
      <w:r w:rsidR="00BB2E1A" w:rsidRPr="003C29DD">
        <w:t xml:space="preserve">резолюций </w:t>
      </w:r>
      <w:r w:rsidR="00CA14DE" w:rsidRPr="003C29DD">
        <w:t>ВКРЭ, которые могут быть рассмотрены на предмет упорядочения, получил высокую оценку.</w:t>
      </w:r>
    </w:p>
    <w:p w14:paraId="5646E60E" w14:textId="14290C0B" w:rsidR="00CA14DE" w:rsidRPr="003C29DD" w:rsidRDefault="00B26C35" w:rsidP="00BB2E1A">
      <w:r w:rsidRPr="003C29DD">
        <w:t>3.2</w:t>
      </w:r>
      <w:r w:rsidRPr="003C29DD">
        <w:tab/>
      </w:r>
      <w:r w:rsidR="00CA14DE" w:rsidRPr="003C29DD">
        <w:t xml:space="preserve">Указанный вклад от Соединенного Королевства также стал ценным добавлением ко вкладу </w:t>
      </w:r>
      <w:hyperlink r:id="rId23" w:history="1">
        <w:r w:rsidR="00CA14DE" w:rsidRPr="003C29DD">
          <w:rPr>
            <w:rStyle w:val="Hyperlink"/>
          </w:rPr>
          <w:t xml:space="preserve">"Предложение о разделении </w:t>
        </w:r>
        <w:r w:rsidR="003C29DD" w:rsidRPr="003C29DD">
          <w:rPr>
            <w:rStyle w:val="Hyperlink"/>
          </w:rPr>
          <w:t xml:space="preserve">резолюций </w:t>
        </w:r>
        <w:r w:rsidR="00CA14DE" w:rsidRPr="003C29DD">
          <w:rPr>
            <w:rStyle w:val="Hyperlink"/>
          </w:rPr>
          <w:t>на блоки"</w:t>
        </w:r>
      </w:hyperlink>
      <w:r w:rsidR="00CA14DE" w:rsidRPr="003C29DD">
        <w:t xml:space="preserve">, поступившему от Председателя, который был использован для поиска тех, кто готов добровольно помочь в проведении анализа </w:t>
      </w:r>
      <w:r w:rsidR="00BB2E1A" w:rsidRPr="003C29DD">
        <w:t xml:space="preserve">резолюций </w:t>
      </w:r>
      <w:r w:rsidR="00CA14DE" w:rsidRPr="003C29DD">
        <w:t xml:space="preserve">ВКРЭ по блокам. </w:t>
      </w:r>
    </w:p>
    <w:p w14:paraId="78F47CE0" w14:textId="5F142717" w:rsidR="00CA14DE" w:rsidRPr="003C29DD" w:rsidRDefault="00B26C35" w:rsidP="00BB2E1A">
      <w:r w:rsidRPr="003C29DD">
        <w:t>3.3</w:t>
      </w:r>
      <w:r w:rsidRPr="003C29DD">
        <w:tab/>
      </w:r>
      <w:r w:rsidR="00CA14DE" w:rsidRPr="003C29DD">
        <w:t xml:space="preserve">Проект документа для использования в качестве базового при дальнейшей подготовке вкладов по упорядочению </w:t>
      </w:r>
      <w:r w:rsidR="00BB2E1A" w:rsidRPr="003C29DD">
        <w:t xml:space="preserve">резолюций </w:t>
      </w:r>
      <w:r w:rsidR="00CA14DE" w:rsidRPr="003C29DD">
        <w:t>и ссылки на примеры были разосланы КГРЭ-РГ-SR по электронной почте (</w:t>
      </w:r>
      <w:hyperlink r:id="rId24" w:history="1">
        <w:r w:rsidR="00CA14DE" w:rsidRPr="003C29DD">
          <w:rPr>
            <w:rStyle w:val="Hyperlink"/>
            <w:rFonts w:cstheme="minorHAnsi"/>
            <w:szCs w:val="24"/>
          </w:rPr>
          <w:t>tdag-wg-streamres@lists.itu.int</w:t>
        </w:r>
      </w:hyperlink>
      <w:r w:rsidR="00CA14DE" w:rsidRPr="003C29DD">
        <w:t xml:space="preserve">), а также размещены в </w:t>
      </w:r>
      <w:hyperlink r:id="rId25" w:history="1">
        <w:r w:rsidR="00CA14DE" w:rsidRPr="003C29DD">
          <w:rPr>
            <w:rStyle w:val="Hyperlink"/>
          </w:rPr>
          <w:t>пространстве для совместной работы КГРЭ-РГ-SR в Teams</w:t>
        </w:r>
      </w:hyperlink>
      <w:r w:rsidR="00CA14DE" w:rsidRPr="003C29DD">
        <w:t xml:space="preserve"> для работы по переписке. В качестве справочной информации также была представлена таблица сопоставления </w:t>
      </w:r>
      <w:r w:rsidR="00BB2E1A" w:rsidRPr="003C29DD">
        <w:t xml:space="preserve">резолюций </w:t>
      </w:r>
      <w:r w:rsidR="00CA14DE" w:rsidRPr="003C29DD">
        <w:t xml:space="preserve">ПК и </w:t>
      </w:r>
      <w:r w:rsidR="00BB2E1A" w:rsidRPr="003C29DD">
        <w:t xml:space="preserve">резолюций </w:t>
      </w:r>
      <w:r w:rsidR="00CA14DE" w:rsidRPr="003C29DD">
        <w:t xml:space="preserve">Секторов, подготовленная </w:t>
      </w:r>
      <w:hyperlink r:id="rId26" w:history="1">
        <w:r w:rsidR="00CA14DE" w:rsidRPr="003C29DD">
          <w:rPr>
            <w:rStyle w:val="Hyperlink"/>
          </w:rPr>
          <w:t>Межсекторальной координационной группой</w:t>
        </w:r>
      </w:hyperlink>
      <w:r w:rsidR="00CA14DE" w:rsidRPr="003C29DD">
        <w:t xml:space="preserve"> МСЭ.</w:t>
      </w:r>
    </w:p>
    <w:p w14:paraId="56679CC1" w14:textId="3D29DCE0" w:rsidR="00CA14DE" w:rsidRPr="003C29DD" w:rsidRDefault="00CA14DE" w:rsidP="00BB2E1A">
      <w:r w:rsidRPr="003C29DD">
        <w:t>3.4</w:t>
      </w:r>
      <w:r w:rsidR="00B26C35" w:rsidRPr="003C29DD">
        <w:tab/>
      </w:r>
      <w:hyperlink r:id="rId27" w:history="1">
        <w:r w:rsidRPr="003C29DD">
          <w:rPr>
            <w:rStyle w:val="Hyperlink"/>
          </w:rPr>
          <w:t>Отчет о третьем собрании КГРЭ-РГ-SR</w:t>
        </w:r>
      </w:hyperlink>
      <w:r w:rsidRPr="003C29DD">
        <w:t xml:space="preserve"> содержит краткий обзор проходивших обсуждений.</w:t>
      </w:r>
    </w:p>
    <w:p w14:paraId="5FF569DC" w14:textId="7401198F" w:rsidR="00CA14DE" w:rsidRPr="003C29DD" w:rsidRDefault="00B26C35" w:rsidP="00BB2E1A">
      <w:pPr>
        <w:keepNext/>
        <w:rPr>
          <w:rFonts w:cstheme="minorHAnsi"/>
          <w:szCs w:val="24"/>
        </w:rPr>
      </w:pPr>
      <w:r w:rsidRPr="003C29DD">
        <w:rPr>
          <w:b/>
          <w:bCs/>
        </w:rPr>
        <w:lastRenderedPageBreak/>
        <w:t>4</w:t>
      </w:r>
      <w:r w:rsidRPr="003C29DD">
        <w:rPr>
          <w:b/>
          <w:bCs/>
        </w:rPr>
        <w:tab/>
      </w:r>
      <w:r w:rsidR="00CA14DE" w:rsidRPr="003C29DD">
        <w:rPr>
          <w:b/>
          <w:bCs/>
        </w:rPr>
        <w:t>Четвертое собрание КГРЭ-РГ-SR состоялось 5 декабря 2024 года в онлайновом формате</w:t>
      </w:r>
      <w:r w:rsidR="00CA14DE" w:rsidRPr="003C29DD">
        <w:t>.</w:t>
      </w:r>
    </w:p>
    <w:p w14:paraId="64EAFD47" w14:textId="4B4F8918" w:rsidR="00CA14DE" w:rsidRPr="003C29DD" w:rsidRDefault="00B26C35" w:rsidP="00BB2E1A">
      <w:r w:rsidRPr="003C29DD">
        <w:t>4.1</w:t>
      </w:r>
      <w:r w:rsidRPr="003C29DD">
        <w:tab/>
      </w:r>
      <w:r w:rsidR="00CA14DE" w:rsidRPr="003C29DD">
        <w:t xml:space="preserve">К четвертому собранию КГРЭ-РГ-SR Австралия представила вклад на тему </w:t>
      </w:r>
      <w:hyperlink r:id="rId28" w:history="1">
        <w:r w:rsidR="00CA14DE" w:rsidRPr="003C29DD">
          <w:rPr>
            <w:rStyle w:val="Hyperlink"/>
          </w:rPr>
          <w:t>"Проект обзора Резолюции 17 (Пересм. Кигали, 2022 г.) ВКРЭ об осуществлении утвержденных региональных инициатив и сотрудничестве по ним на национальном, региональном, межрегиональном и глобальном уровнях"</w:t>
        </w:r>
      </w:hyperlink>
      <w:r w:rsidR="00CA14DE" w:rsidRPr="003C29DD">
        <w:t xml:space="preserve">, а Гана представила вклад </w:t>
      </w:r>
      <w:hyperlink r:id="rId29" w:history="1">
        <w:r w:rsidR="00CA14DE" w:rsidRPr="003C29DD">
          <w:rPr>
            <w:rStyle w:val="Hyperlink"/>
          </w:rPr>
          <w:t>"Предложение о внесении поправок в Резолюцию 22 ВКРЭ"</w:t>
        </w:r>
      </w:hyperlink>
      <w:r w:rsidR="00CA14DE" w:rsidRPr="003C29DD">
        <w:t>. Вклады Австралии и Ганы получили высокую оценку.</w:t>
      </w:r>
    </w:p>
    <w:p w14:paraId="26037D43" w14:textId="66681315" w:rsidR="00CA14DE" w:rsidRPr="003C29DD" w:rsidRDefault="00CA14DE" w:rsidP="00BB2E1A">
      <w:r w:rsidRPr="003C29DD">
        <w:t>4.2</w:t>
      </w:r>
      <w:r w:rsidRPr="003C29DD">
        <w:tab/>
      </w:r>
      <w:hyperlink r:id="rId30" w:history="1">
        <w:r w:rsidRPr="003C29DD">
          <w:rPr>
            <w:rStyle w:val="Hyperlink"/>
          </w:rPr>
          <w:t>Отчет о четвертом собрании КГРЭ-РГ-SR</w:t>
        </w:r>
      </w:hyperlink>
      <w:r w:rsidRPr="003C29DD">
        <w:t xml:space="preserve"> содержит краткий обзор проходивших обсуждений.</w:t>
      </w:r>
    </w:p>
    <w:p w14:paraId="6EE93F77" w14:textId="0011CFC3" w:rsidR="00CA14DE" w:rsidRPr="003C29DD" w:rsidRDefault="00B26C35" w:rsidP="00B26C35">
      <w:pPr>
        <w:pStyle w:val="Heading1"/>
        <w:rPr>
          <w:rFonts w:cstheme="minorHAnsi"/>
          <w:szCs w:val="24"/>
        </w:rPr>
      </w:pPr>
      <w:r w:rsidRPr="003C29DD">
        <w:t>B</w:t>
      </w:r>
      <w:r w:rsidRPr="003C29DD">
        <w:tab/>
      </w:r>
      <w:r w:rsidR="00CA14DE" w:rsidRPr="003C29DD">
        <w:t xml:space="preserve">Чтобы содействовать ходу работы по упорядочению </w:t>
      </w:r>
      <w:r w:rsidR="00BB2E1A" w:rsidRPr="003C29DD">
        <w:t>резолюций</w:t>
      </w:r>
      <w:r w:rsidR="00CA14DE" w:rsidRPr="003C29DD">
        <w:t xml:space="preserve">, </w:t>
      </w:r>
      <w:r w:rsidR="00BB2E1A" w:rsidRPr="003C29DD">
        <w:t xml:space="preserve">резолюции </w:t>
      </w:r>
      <w:r w:rsidR="00CA14DE" w:rsidRPr="003C29DD">
        <w:t xml:space="preserve">ВКРЭ были сгруппированы (см. вклад Председателя </w:t>
      </w:r>
      <w:hyperlink r:id="rId31" w:history="1">
        <w:r w:rsidR="00CA14DE" w:rsidRPr="003C29DD">
          <w:rPr>
            <w:rStyle w:val="Hyperlink"/>
            <w:bCs/>
          </w:rPr>
          <w:t xml:space="preserve">"Предложение о разделении </w:t>
        </w:r>
        <w:r w:rsidR="00BB2E1A" w:rsidRPr="003C29DD">
          <w:rPr>
            <w:rStyle w:val="Hyperlink"/>
            <w:bCs/>
          </w:rPr>
          <w:t xml:space="preserve">резолюций </w:t>
        </w:r>
        <w:r w:rsidR="00CA14DE" w:rsidRPr="003C29DD">
          <w:rPr>
            <w:rStyle w:val="Hyperlink"/>
            <w:bCs/>
          </w:rPr>
          <w:t>на блоки"</w:t>
        </w:r>
      </w:hyperlink>
      <w:r w:rsidR="00CA14DE" w:rsidRPr="003C29DD">
        <w:t xml:space="preserve">), а затем участникам собрания было предложено добровольно помочь в анализе этих </w:t>
      </w:r>
      <w:r w:rsidR="003C29DD" w:rsidRPr="003C29DD">
        <w:t xml:space="preserve">резолюций </w:t>
      </w:r>
      <w:r w:rsidR="00CA14DE" w:rsidRPr="003C29DD">
        <w:t>с точки зрения возможности упорядочения.</w:t>
      </w:r>
    </w:p>
    <w:p w14:paraId="0534A70E" w14:textId="79C0FDAB" w:rsidR="00CA14DE" w:rsidRPr="003C29DD" w:rsidRDefault="00B26C35" w:rsidP="00B26C35">
      <w:pPr>
        <w:spacing w:after="120"/>
      </w:pPr>
      <w:r w:rsidRPr="003C29DD">
        <w:t>1</w:t>
      </w:r>
      <w:r w:rsidRPr="003C29DD">
        <w:tab/>
      </w:r>
      <w:r w:rsidR="00CA14DE" w:rsidRPr="003C29DD">
        <w:t xml:space="preserve">Ниже приведены предложенная разбивка </w:t>
      </w:r>
      <w:r w:rsidR="00BB2E1A" w:rsidRPr="003C29DD">
        <w:t xml:space="preserve">резолюций </w:t>
      </w:r>
      <w:r w:rsidR="00CA14DE" w:rsidRPr="003C29DD">
        <w:t>на блоки и добровольные помощники по состоянию на дату настоящего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2975"/>
        <w:gridCol w:w="2263"/>
      </w:tblGrid>
      <w:tr w:rsidR="00CA14DE" w:rsidRPr="003C29DD" w14:paraId="457CACEA" w14:textId="77777777" w:rsidTr="00BB2E1A">
        <w:trPr>
          <w:trHeight w:val="300"/>
        </w:trPr>
        <w:tc>
          <w:tcPr>
            <w:tcW w:w="2280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6A13" w14:textId="77777777" w:rsidR="00CA14DE" w:rsidRPr="003C29DD" w:rsidRDefault="00CA14DE" w:rsidP="00B26C35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Блоки</w:t>
            </w:r>
          </w:p>
        </w:tc>
        <w:tc>
          <w:tcPr>
            <w:tcW w:w="1545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3844" w14:textId="77777777" w:rsidR="00CA14DE" w:rsidRPr="003C29DD" w:rsidRDefault="00CA14DE" w:rsidP="00B26C35">
            <w:pPr>
              <w:pStyle w:val="Tablehead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Резолюция ВКРЭ</w:t>
            </w:r>
          </w:p>
        </w:tc>
        <w:tc>
          <w:tcPr>
            <w:tcW w:w="1175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489E" w14:textId="0DEE378A" w:rsidR="00CA14DE" w:rsidRPr="003C29DD" w:rsidRDefault="00CA14DE" w:rsidP="00B26C35">
            <w:pPr>
              <w:pStyle w:val="Tablehead"/>
              <w:rPr>
                <w:color w:val="000000" w:themeColor="text1"/>
                <w:sz w:val="22"/>
                <w:szCs w:val="22"/>
              </w:rPr>
            </w:pPr>
            <w:r w:rsidRPr="003C29DD">
              <w:t>Добровольные помощники</w:t>
            </w:r>
          </w:p>
        </w:tc>
      </w:tr>
      <w:tr w:rsidR="00CA14DE" w:rsidRPr="003C29DD" w14:paraId="7646D60F" w14:textId="77777777" w:rsidTr="00BB2E1A">
        <w:trPr>
          <w:trHeight w:val="263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6CD7" w14:textId="27F7F5F2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1</w:t>
            </w:r>
            <w:r w:rsidRPr="003C29DD">
              <w:tab/>
            </w:r>
            <w:r w:rsidR="00CA14DE" w:rsidRPr="003C29DD">
              <w:t>Информация и статистические данные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5A29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8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9981" w14:textId="77777777" w:rsidR="00CA14DE" w:rsidRPr="003C29DD" w:rsidRDefault="00CA14DE" w:rsidP="00B26C35">
            <w:pPr>
              <w:pStyle w:val="Tabletext"/>
              <w:rPr>
                <w:rFonts w:ascii="Aptos" w:eastAsia="Aptos" w:hAnsi="Aptos" w:cs="Aptos"/>
                <w:sz w:val="22"/>
                <w:szCs w:val="22"/>
              </w:rPr>
            </w:pPr>
            <w:r w:rsidRPr="003C29DD">
              <w:t>Российская Федерация</w:t>
            </w:r>
          </w:p>
        </w:tc>
      </w:tr>
      <w:tr w:rsidR="00CA14DE" w:rsidRPr="003C29DD" w14:paraId="1F8C07F3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E261" w14:textId="00C8FBD8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2</w:t>
            </w:r>
            <w:r w:rsidRPr="003C29DD">
              <w:tab/>
            </w:r>
            <w:r w:rsidR="00CA14DE" w:rsidRPr="003C29DD">
              <w:t>Региональное сотрудничество и проекты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707E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17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4FAA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3C29DD">
              <w:t>Австралия</w:t>
            </w:r>
          </w:p>
        </w:tc>
      </w:tr>
      <w:tr w:rsidR="00CA14DE" w:rsidRPr="003C29DD" w14:paraId="1BC09380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1ED" w14:textId="6F0457A7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3</w:t>
            </w:r>
            <w:r w:rsidRPr="003C29DD">
              <w:tab/>
            </w:r>
            <w:r w:rsidR="00CA14DE" w:rsidRPr="003C29DD">
              <w:t>Инфраструктура и сети доступа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9A55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20, Рез. 22, Рез. 23, Рез. 63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84AB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3C29DD">
              <w:t>Гана</w:t>
            </w:r>
          </w:p>
        </w:tc>
      </w:tr>
      <w:tr w:rsidR="00CA14DE" w:rsidRPr="003C29DD" w14:paraId="77318A66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673F" w14:textId="648E5972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4</w:t>
            </w:r>
            <w:r w:rsidRPr="003C29DD">
              <w:tab/>
            </w:r>
            <w:r w:rsidR="00CA14DE" w:rsidRPr="003C29DD">
              <w:t>Роль МСЭ в стратегических форумах и координации деятельности Секторов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BC3E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30, Рез. 48, Рез. 59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86FD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CA14DE" w:rsidRPr="003C29DD" w14:paraId="5F719EBD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59E0" w14:textId="59146158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5</w:t>
            </w:r>
            <w:r w:rsidRPr="003C29DD">
              <w:tab/>
            </w:r>
            <w:r w:rsidR="00CA14DE" w:rsidRPr="003C29DD">
              <w:t>Окружающая среда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B2BA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34, Рез. 66, Рез. 62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66EE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CA14DE" w:rsidRPr="003C29DD" w14:paraId="325561D1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902E" w14:textId="2EBF0BEA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6</w:t>
            </w:r>
            <w:r w:rsidRPr="003C29DD">
              <w:tab/>
            </w:r>
            <w:r w:rsidR="00CA14DE" w:rsidRPr="003C29DD">
              <w:t>Гендерные вопросы и молодежная политика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EE2E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55, Рез. 76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40C3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3C29DD">
              <w:t>Канада</w:t>
            </w:r>
          </w:p>
        </w:tc>
      </w:tr>
      <w:tr w:rsidR="00CA14DE" w:rsidRPr="003C29DD" w14:paraId="43EAC171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54C3" w14:textId="082BACA7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7</w:t>
            </w:r>
            <w:r w:rsidRPr="003C29DD">
              <w:tab/>
            </w:r>
            <w:r w:rsidR="00CA14DE" w:rsidRPr="003C29DD">
              <w:t>Возможность подключения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7B67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16, Рез. 37, Рез. 71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11F5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3C29DD">
              <w:t>Судан (РПС-АРБ)</w:t>
            </w:r>
          </w:p>
        </w:tc>
      </w:tr>
      <w:tr w:rsidR="00CA14DE" w:rsidRPr="003C29DD" w14:paraId="2A8395C2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D2EF" w14:textId="0C950788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8</w:t>
            </w:r>
            <w:r w:rsidRPr="003C29DD">
              <w:tab/>
            </w:r>
            <w:r w:rsidR="00CA14DE" w:rsidRPr="003C29DD">
              <w:t>Безопасность и соответствие требованиям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EE39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45, Рез. 47, Рез. 79, Рез. 84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BA8D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  <w:tr w:rsidR="00CA14DE" w:rsidRPr="003C29DD" w14:paraId="66F96E96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ECF3" w14:textId="01131EDD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9</w:t>
            </w:r>
            <w:r w:rsidRPr="003C29DD">
              <w:tab/>
            </w:r>
            <w:r w:rsidR="00CA14DE" w:rsidRPr="003C29DD">
              <w:t>Доступность, потребители и защита ребенка в онлайновой среде (уязвимые пользователи)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E5F7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58, Рез. 64, Рез. 67, Рез. 82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1DB4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3C29DD">
              <w:t>Бразилия</w:t>
            </w:r>
          </w:p>
        </w:tc>
      </w:tr>
      <w:tr w:rsidR="00CA14DE" w:rsidRPr="003C29DD" w14:paraId="0AD27546" w14:textId="77777777" w:rsidTr="00BB2E1A">
        <w:trPr>
          <w:trHeight w:val="300"/>
        </w:trPr>
        <w:tc>
          <w:tcPr>
            <w:tcW w:w="22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556D" w14:textId="28DA5E7F" w:rsidR="00CA14DE" w:rsidRPr="003C29DD" w:rsidRDefault="00B26C35" w:rsidP="00BB2E1A">
            <w:pPr>
              <w:pStyle w:val="Tabletext"/>
              <w:tabs>
                <w:tab w:val="clear" w:pos="284"/>
                <w:tab w:val="left" w:pos="315"/>
              </w:tabs>
              <w:ind w:left="315" w:hanging="315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C29DD">
              <w:t>10</w:t>
            </w:r>
            <w:r w:rsidRPr="003C29DD">
              <w:tab/>
            </w:r>
            <w:r w:rsidR="00CA14DE" w:rsidRPr="003C29DD">
              <w:t>Инновации</w:t>
            </w:r>
          </w:p>
        </w:tc>
        <w:tc>
          <w:tcPr>
            <w:tcW w:w="1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DD69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Cs w:val="24"/>
                <w14:ligatures w14:val="standardContextual"/>
              </w:rPr>
            </w:pPr>
            <w:r w:rsidRPr="003C29DD">
              <w:rPr>
                <w:color w:val="000000" w:themeColor="text1"/>
                <w:szCs w:val="24"/>
                <w14:ligatures w14:val="standardContextual"/>
              </w:rPr>
              <w:t>Рез. 85, Рез. 90</w:t>
            </w:r>
          </w:p>
        </w:tc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E26F" w14:textId="77777777" w:rsidR="00CA14DE" w:rsidRPr="003C29DD" w:rsidRDefault="00CA14DE" w:rsidP="00B26C35">
            <w:pPr>
              <w:pStyle w:val="Tabletex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6E9B3B4" w14:textId="25EF4873" w:rsidR="00CA14DE" w:rsidRPr="003C29DD" w:rsidRDefault="00B26C35" w:rsidP="00B26C35">
      <w:pPr>
        <w:rPr>
          <w:rFonts w:cstheme="minorHAnsi"/>
          <w:szCs w:val="24"/>
        </w:rPr>
      </w:pPr>
      <w:r w:rsidRPr="003C29DD">
        <w:t>2</w:t>
      </w:r>
      <w:r w:rsidRPr="003C29DD">
        <w:tab/>
      </w:r>
      <w:r w:rsidR="00CA14DE" w:rsidRPr="003C29DD">
        <w:t xml:space="preserve">КГРЭ-РГ-SR по-прежнему необходима дополнительная добровольная помощь в анализе </w:t>
      </w:r>
      <w:r w:rsidR="003C29DD" w:rsidRPr="003C29DD">
        <w:t xml:space="preserve">резолюций </w:t>
      </w:r>
      <w:r w:rsidR="00CA14DE" w:rsidRPr="003C29DD">
        <w:t>в разбивке по блокам.</w:t>
      </w:r>
    </w:p>
    <w:p w14:paraId="0E9FDFDA" w14:textId="67BB2689" w:rsidR="00CA14DE" w:rsidRPr="003C29DD" w:rsidRDefault="00B26C35" w:rsidP="00B26C35">
      <w:pPr>
        <w:rPr>
          <w:rFonts w:cstheme="minorHAnsi"/>
          <w:szCs w:val="24"/>
        </w:rPr>
      </w:pPr>
      <w:r w:rsidRPr="003C29DD">
        <w:t>3</w:t>
      </w:r>
      <w:r w:rsidRPr="003C29DD">
        <w:tab/>
      </w:r>
      <w:r w:rsidR="00CA14DE" w:rsidRPr="003C29DD">
        <w:t xml:space="preserve">Кроме того, КГРЭ-РГ-SR приветствует новые вклады, направленные на упорядочение </w:t>
      </w:r>
      <w:r w:rsidR="00BB2E1A" w:rsidRPr="003C29DD">
        <w:t>резолюций</w:t>
      </w:r>
      <w:r w:rsidR="00CA14DE" w:rsidRPr="003C29DD">
        <w:t xml:space="preserve">, не входящих в перечисленные выше блоки, в том числе другие </w:t>
      </w:r>
      <w:r w:rsidR="00BB2E1A" w:rsidRPr="003C29DD">
        <w:t xml:space="preserve">резолюции </w:t>
      </w:r>
      <w:r w:rsidR="00CA14DE" w:rsidRPr="003C29DD">
        <w:t>и вклады, которые могут находиться на стадии подготовки.</w:t>
      </w:r>
    </w:p>
    <w:p w14:paraId="265B7168" w14:textId="49F37494" w:rsidR="00CA14DE" w:rsidRPr="003C29DD" w:rsidRDefault="00B26C35" w:rsidP="00B26C35">
      <w:pPr>
        <w:rPr>
          <w:rFonts w:cstheme="minorHAnsi"/>
          <w:szCs w:val="24"/>
        </w:rPr>
      </w:pPr>
      <w:r w:rsidRPr="003C29DD">
        <w:t>4</w:t>
      </w:r>
      <w:r w:rsidRPr="003C29DD">
        <w:tab/>
      </w:r>
      <w:r w:rsidR="00CA14DE" w:rsidRPr="003C29DD">
        <w:t>Отчет о ходе работы КГРЭ-РГ-SR представляется на каждом региональном подготовительном собрании.</w:t>
      </w:r>
    </w:p>
    <w:p w14:paraId="1D1A7A00" w14:textId="171A0FAE" w:rsidR="00CA14DE" w:rsidRPr="003C29DD" w:rsidRDefault="00B26C35" w:rsidP="00B26C35">
      <w:pPr>
        <w:rPr>
          <w:rFonts w:cstheme="minorHAnsi"/>
          <w:szCs w:val="24"/>
        </w:rPr>
      </w:pPr>
      <w:r w:rsidRPr="003C29DD">
        <w:t>5</w:t>
      </w:r>
      <w:r w:rsidRPr="003C29DD">
        <w:tab/>
      </w:r>
      <w:r w:rsidR="00CA14DE" w:rsidRPr="003C29DD">
        <w:t>Кроме того, Председатель КГРЭ-РГ-SR информировала региональные организации электросвязи о предстоящих собраниях КГРЭ-РГ-SR, обратив внимание на ведущуюся работу в целях содействия координации.</w:t>
      </w:r>
    </w:p>
    <w:p w14:paraId="1BC715F6" w14:textId="67244935" w:rsidR="00CA14DE" w:rsidRPr="003C29DD" w:rsidRDefault="00B26C35" w:rsidP="00BB2E1A">
      <w:pPr>
        <w:keepNext/>
        <w:spacing w:after="120"/>
        <w:rPr>
          <w:rFonts w:cstheme="minorHAnsi"/>
          <w:szCs w:val="24"/>
        </w:rPr>
      </w:pPr>
      <w:r w:rsidRPr="003C29DD">
        <w:lastRenderedPageBreak/>
        <w:t>6</w:t>
      </w:r>
      <w:r w:rsidRPr="003C29DD">
        <w:tab/>
      </w:r>
      <w:r w:rsidR="00CA14DE" w:rsidRPr="003C29DD">
        <w:t>Пятое собрание КГРЭ-РГ-SR будет проведено в онлайновом (виртуальном) формате 26</w:t>
      </w:r>
      <w:r w:rsidR="00BB2E1A" w:rsidRPr="003C29DD">
        <w:t> </w:t>
      </w:r>
      <w:r w:rsidR="00CA14DE" w:rsidRPr="003C29DD">
        <w:t>марта 2025 года, а затем, 2 мая 2025 года, будет проведено шестое собрание, как указано ниже: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2587"/>
        <w:gridCol w:w="4279"/>
      </w:tblGrid>
      <w:tr w:rsidR="00CA14DE" w:rsidRPr="003C29DD" w14:paraId="6F7CF27A" w14:textId="77777777" w:rsidTr="00B26C35">
        <w:trPr>
          <w:trHeight w:val="239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A24E8A" w14:textId="77777777" w:rsidR="00CA14DE" w:rsidRPr="003C29DD" w:rsidRDefault="00CA14DE" w:rsidP="00B26C35">
            <w:pPr>
              <w:pStyle w:val="Tablehead"/>
              <w:rPr>
                <w:szCs w:val="22"/>
                <w14:ligatures w14:val="standardContextual"/>
              </w:rPr>
            </w:pPr>
            <w:r w:rsidRPr="003C29DD">
              <w:t>Название собрания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EB9C" w14:textId="77777777" w:rsidR="00CA14DE" w:rsidRPr="003C29DD" w:rsidRDefault="00CA14DE" w:rsidP="00B26C35">
            <w:pPr>
              <w:pStyle w:val="Tablehead"/>
              <w:rPr>
                <w:szCs w:val="22"/>
                <w14:ligatures w14:val="standardContextual"/>
              </w:rPr>
            </w:pPr>
            <w:r w:rsidRPr="003C29DD">
              <w:t>Даты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397" w14:textId="77777777" w:rsidR="00CA14DE" w:rsidRPr="003C29DD" w:rsidRDefault="00CA14DE" w:rsidP="00B26C35">
            <w:pPr>
              <w:pStyle w:val="Tablehead"/>
              <w:rPr>
                <w:szCs w:val="22"/>
              </w:rPr>
            </w:pPr>
            <w:r w:rsidRPr="003C29DD">
              <w:t>Цель</w:t>
            </w:r>
          </w:p>
        </w:tc>
      </w:tr>
      <w:tr w:rsidR="00CA14DE" w:rsidRPr="003C29DD" w14:paraId="61A65BEA" w14:textId="77777777" w:rsidTr="00B26C35">
        <w:trPr>
          <w:trHeight w:val="300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E72" w14:textId="7CD3EC67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5-е собрание КГРЭ-РГ-SR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FB315" w14:textId="30A5DABC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26 марта 2025 г</w:t>
            </w:r>
            <w:r w:rsidR="00B26C35" w:rsidRPr="003C29DD">
              <w:t>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2B42" w14:textId="77777777" w:rsidR="00CA14DE" w:rsidRPr="003C29DD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3C29DD">
              <w:t>Подведение итогов по вкладам и подготовка сводки предложений КГРЭ-РГ-SR для КГРЭ</w:t>
            </w:r>
          </w:p>
        </w:tc>
      </w:tr>
      <w:tr w:rsidR="00CA14DE" w:rsidRPr="003C29DD" w14:paraId="139413E7" w14:textId="77777777" w:rsidTr="00B26C35">
        <w:trPr>
          <w:trHeight w:val="300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126" w14:textId="38C4223C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6-е собрание КГРЭ-РГ-SR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C348" w14:textId="55615DED" w:rsidR="00CA14DE" w:rsidRPr="003C29DD" w:rsidRDefault="00CA14DE" w:rsidP="00B26C35">
            <w:pPr>
              <w:pStyle w:val="Tabletext"/>
              <w:jc w:val="center"/>
              <w:rPr>
                <w:sz w:val="22"/>
                <w:szCs w:val="22"/>
                <w14:ligatures w14:val="standardContextual"/>
              </w:rPr>
            </w:pPr>
            <w:r w:rsidRPr="003C29DD">
              <w:t>2 мая 2025 г</w:t>
            </w:r>
            <w:r w:rsidR="00B26C35" w:rsidRPr="003C29DD">
              <w:t>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913F" w14:textId="77777777" w:rsidR="00CA14DE" w:rsidRPr="003C29DD" w:rsidRDefault="00CA14DE" w:rsidP="00B26C35">
            <w:pPr>
              <w:pStyle w:val="Tabletext"/>
              <w:rPr>
                <w:sz w:val="22"/>
                <w:szCs w:val="22"/>
              </w:rPr>
            </w:pPr>
            <w:r w:rsidRPr="003C29DD">
              <w:t>Подведение итогов по вкладам и подготовка сводки предложений КГРЭ-РГ-SR для КГРЭ</w:t>
            </w:r>
          </w:p>
        </w:tc>
      </w:tr>
    </w:tbl>
    <w:p w14:paraId="32CC3B9E" w14:textId="2D7E0990" w:rsidR="00CA14DE" w:rsidRPr="003C29DD" w:rsidRDefault="00B26C35" w:rsidP="00B26C35">
      <w:pPr>
        <w:rPr>
          <w:szCs w:val="24"/>
        </w:rPr>
      </w:pPr>
      <w:bookmarkStart w:id="10" w:name="Proposal"/>
      <w:bookmarkEnd w:id="10"/>
      <w:r w:rsidRPr="003C29DD">
        <w:t>7</w:t>
      </w:r>
      <w:r w:rsidRPr="003C29DD">
        <w:tab/>
      </w:r>
      <w:r w:rsidR="00CA14DE" w:rsidRPr="003C29DD">
        <w:t>Настоящий документ будет обновлен в целях информирования КГРЭ-25 об итогах вышеупомянутых собраний.</w:t>
      </w:r>
    </w:p>
    <w:p w14:paraId="442F2592" w14:textId="77777777" w:rsidR="00CE66E4" w:rsidRPr="003C29DD" w:rsidRDefault="00CE66E4" w:rsidP="00CA14DE">
      <w:pPr>
        <w:spacing w:before="480"/>
        <w:jc w:val="center"/>
      </w:pPr>
      <w:r w:rsidRPr="003C29DD">
        <w:t>______________</w:t>
      </w:r>
    </w:p>
    <w:sectPr w:rsidR="00CE66E4" w:rsidRPr="003C29DD" w:rsidSect="00CE66E4">
      <w:headerReference w:type="default" r:id="rId32"/>
      <w:footerReference w:type="first" r:id="rId33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6E2A" w14:textId="77777777" w:rsidR="00CA14DE" w:rsidRDefault="00CA14DE">
      <w:r>
        <w:separator/>
      </w:r>
    </w:p>
    <w:p w14:paraId="66DF1C85" w14:textId="77777777" w:rsidR="00CA14DE" w:rsidRDefault="00CA14DE"/>
  </w:endnote>
  <w:endnote w:type="continuationSeparator" w:id="0">
    <w:p w14:paraId="35E3246D" w14:textId="77777777" w:rsidR="00CA14DE" w:rsidRDefault="00CA14DE">
      <w:r>
        <w:continuationSeparator/>
      </w:r>
    </w:p>
    <w:p w14:paraId="65F93EF0" w14:textId="77777777" w:rsidR="00CA14DE" w:rsidRDefault="00CA14DE"/>
  </w:endnote>
  <w:endnote w:type="continuationNotice" w:id="1">
    <w:p w14:paraId="15635E60" w14:textId="77777777" w:rsidR="00CA14DE" w:rsidRDefault="00CA14DE">
      <w:pPr>
        <w:spacing w:before="0"/>
      </w:pPr>
    </w:p>
    <w:p w14:paraId="202840A0" w14:textId="77777777" w:rsidR="00CA14DE" w:rsidRDefault="00CA1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3438AEAE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A1AAED2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2CB18D00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327B0341" w14:textId="4C828A91" w:rsidR="00F723AC" w:rsidRPr="003C29DD" w:rsidRDefault="00CA14DE" w:rsidP="00F723AC">
          <w:pPr>
            <w:pStyle w:val="FirstFooter"/>
            <w:rPr>
              <w:sz w:val="18"/>
              <w:szCs w:val="18"/>
            </w:rPr>
          </w:pPr>
          <w:r w:rsidRPr="00CA14DE">
            <w:rPr>
              <w:sz w:val="18"/>
              <w:szCs w:val="18"/>
            </w:rPr>
            <w:t>г-жа Андреа Гриппа (</w:t>
          </w:r>
          <w:r w:rsidRPr="00CA14DE">
            <w:rPr>
              <w:sz w:val="18"/>
              <w:szCs w:val="18"/>
              <w:lang w:val="en-US"/>
            </w:rPr>
            <w:t>Ms</w:t>
          </w:r>
          <w:r w:rsidRPr="00CA14DE">
            <w:rPr>
              <w:sz w:val="18"/>
              <w:szCs w:val="18"/>
            </w:rPr>
            <w:t xml:space="preserve"> </w:t>
          </w:r>
          <w:r w:rsidRPr="00CA14DE">
            <w:rPr>
              <w:sz w:val="18"/>
              <w:szCs w:val="18"/>
              <w:lang w:val="en-US"/>
            </w:rPr>
            <w:t>Andrea</w:t>
          </w:r>
          <w:r w:rsidRPr="00CA14DE">
            <w:rPr>
              <w:sz w:val="18"/>
              <w:szCs w:val="18"/>
            </w:rPr>
            <w:t xml:space="preserve"> </w:t>
          </w:r>
          <w:r w:rsidRPr="00CA14DE">
            <w:rPr>
              <w:sz w:val="18"/>
              <w:szCs w:val="18"/>
              <w:lang w:val="en-US"/>
            </w:rPr>
            <w:t>Grippa</w:t>
          </w:r>
          <w:r w:rsidRPr="00CA14DE">
            <w:rPr>
              <w:sz w:val="18"/>
              <w:szCs w:val="18"/>
            </w:rPr>
            <w:t>), Национальное управление электросвязи (</w:t>
          </w:r>
          <w:r w:rsidRPr="00CA14DE">
            <w:rPr>
              <w:sz w:val="18"/>
              <w:szCs w:val="18"/>
              <w:lang w:val="en-US"/>
            </w:rPr>
            <w:t>ANATEL</w:t>
          </w:r>
          <w:r w:rsidRPr="00CA14DE">
            <w:rPr>
              <w:sz w:val="18"/>
              <w:szCs w:val="18"/>
            </w:rPr>
            <w:t xml:space="preserve">), Бразилия, Председатель Рабочей группы КГРЭ по упорядочению </w:t>
          </w:r>
          <w:r w:rsidR="003C29DD">
            <w:rPr>
              <w:sz w:val="18"/>
              <w:szCs w:val="18"/>
            </w:rPr>
            <w:t>резолюций</w:t>
          </w:r>
        </w:p>
      </w:tc>
      <w:bookmarkStart w:id="11" w:name="OrgName"/>
      <w:bookmarkEnd w:id="11"/>
    </w:tr>
    <w:tr w:rsidR="00F723AC" w:rsidRPr="00365AB0" w14:paraId="0D2DED83" w14:textId="77777777" w:rsidTr="005539C3">
      <w:trPr>
        <w:trHeight w:val="165"/>
      </w:trPr>
      <w:tc>
        <w:tcPr>
          <w:tcW w:w="1526" w:type="dxa"/>
        </w:tcPr>
        <w:p w14:paraId="7D92096C" w14:textId="77777777" w:rsidR="00F723AC" w:rsidRPr="003C29DD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680679F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67143479" w14:textId="57BBFFC3" w:rsidR="00F723AC" w:rsidRPr="00365AB0" w:rsidRDefault="00CA14DE" w:rsidP="00F723AC">
          <w:pPr>
            <w:pStyle w:val="FirstFooter"/>
            <w:rPr>
              <w:sz w:val="18"/>
              <w:szCs w:val="18"/>
            </w:rPr>
          </w:pPr>
          <w:r w:rsidRPr="00CA14DE">
            <w:rPr>
              <w:sz w:val="18"/>
              <w:szCs w:val="18"/>
              <w:lang w:val="en-US"/>
            </w:rPr>
            <w:t>+55 61 99244 5456</w:t>
          </w:r>
        </w:p>
      </w:tc>
      <w:bookmarkStart w:id="12" w:name="PhoneNo"/>
      <w:bookmarkEnd w:id="12"/>
    </w:tr>
    <w:tr w:rsidR="00F723AC" w:rsidRPr="00365AB0" w14:paraId="144D0CC6" w14:textId="77777777" w:rsidTr="005539C3">
      <w:tc>
        <w:tcPr>
          <w:tcW w:w="1526" w:type="dxa"/>
        </w:tcPr>
        <w:p w14:paraId="35FD6F1E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569C9209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4F9B4FB1" w14:textId="5EF014AA" w:rsidR="00F723AC" w:rsidRPr="00365AB0" w:rsidRDefault="00CA14DE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EF705A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3" w:name="Email"/>
      <w:bookmarkEnd w:id="13"/>
    </w:tr>
  </w:tbl>
  <w:p w14:paraId="6AEFC8BE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389B" w14:textId="77777777" w:rsidR="00CA14DE" w:rsidRPr="0054377E" w:rsidRDefault="00CA14DE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700ADA60" w14:textId="77777777" w:rsidR="00CA14DE" w:rsidRDefault="00CA14DE" w:rsidP="0054377E">
      <w:pPr>
        <w:spacing w:before="0"/>
      </w:pPr>
      <w:r>
        <w:continuationSeparator/>
      </w:r>
    </w:p>
    <w:p w14:paraId="6B687B73" w14:textId="77777777" w:rsidR="00CA14DE" w:rsidRDefault="00CA14DE"/>
  </w:footnote>
  <w:footnote w:type="continuationNotice" w:id="1">
    <w:p w14:paraId="2CDEC6EB" w14:textId="77777777" w:rsidR="00CA14DE" w:rsidRDefault="00CA14DE">
      <w:pPr>
        <w:spacing w:before="0"/>
      </w:pPr>
    </w:p>
    <w:p w14:paraId="7981E967" w14:textId="77777777" w:rsidR="00CA14DE" w:rsidRDefault="00CA1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BE35" w14:textId="5E319B1C" w:rsidR="00636181" w:rsidRPr="00CA14DE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Cs w:val="22"/>
        <w:lang w:val="es-ES_tradnl"/>
      </w:rPr>
    </w:pPr>
    <w:r w:rsidRPr="00CA14DE">
      <w:rPr>
        <w:szCs w:val="22"/>
      </w:rPr>
      <w:tab/>
    </w:r>
    <w:r w:rsidRPr="00CA14DE">
      <w:rPr>
        <w:szCs w:val="22"/>
        <w:lang w:val="es-ES_tradnl"/>
      </w:rPr>
      <w:t>TDAG-2</w:t>
    </w:r>
    <w:r w:rsidR="003273BC" w:rsidRPr="00CA14DE">
      <w:rPr>
        <w:szCs w:val="22"/>
        <w:lang w:val="es-ES_tradnl"/>
      </w:rPr>
      <w:t>5</w:t>
    </w:r>
    <w:r w:rsidRPr="00CA14DE">
      <w:rPr>
        <w:szCs w:val="22"/>
        <w:lang w:val="es-ES_tradnl"/>
      </w:rPr>
      <w:t>/</w:t>
    </w:r>
    <w:r w:rsidR="00CA14DE" w:rsidRPr="00CA14DE">
      <w:rPr>
        <w:szCs w:val="22"/>
        <w:lang w:val="es-ES_tradnl"/>
      </w:rPr>
      <w:t>20</w:t>
    </w:r>
    <w:r w:rsidRPr="00CA14DE">
      <w:rPr>
        <w:szCs w:val="22"/>
        <w:lang w:val="es-ES_tradnl"/>
      </w:rPr>
      <w:t>-</w:t>
    </w:r>
    <w:r w:rsidR="007606A7" w:rsidRPr="00CA14DE">
      <w:rPr>
        <w:szCs w:val="22"/>
        <w:lang w:val="es-ES_tradnl"/>
      </w:rPr>
      <w:t>R</w:t>
    </w:r>
    <w:r w:rsidRPr="00CA14DE">
      <w:rPr>
        <w:szCs w:val="22"/>
        <w:lang w:val="es-ES_tradnl"/>
      </w:rPr>
      <w:tab/>
    </w:r>
    <w:r w:rsidR="007606A7" w:rsidRPr="00CA14DE">
      <w:rPr>
        <w:szCs w:val="22"/>
      </w:rPr>
      <w:t>Страница</w:t>
    </w:r>
    <w:r w:rsidRPr="00CA14DE">
      <w:rPr>
        <w:szCs w:val="22"/>
        <w:lang w:val="es-ES_tradnl"/>
      </w:rPr>
      <w:t xml:space="preserve"> </w:t>
    </w:r>
    <w:r w:rsidRPr="00CA14DE">
      <w:rPr>
        <w:szCs w:val="22"/>
      </w:rPr>
      <w:fldChar w:fldCharType="begin"/>
    </w:r>
    <w:r w:rsidRPr="00CA14DE">
      <w:rPr>
        <w:szCs w:val="22"/>
        <w:lang w:val="es-ES_tradnl"/>
      </w:rPr>
      <w:instrText xml:space="preserve"> PAGE </w:instrText>
    </w:r>
    <w:r w:rsidRPr="00CA14DE">
      <w:rPr>
        <w:szCs w:val="22"/>
      </w:rPr>
      <w:fldChar w:fldCharType="separate"/>
    </w:r>
    <w:r w:rsidR="00893B2C" w:rsidRPr="00CA14DE">
      <w:rPr>
        <w:noProof/>
        <w:szCs w:val="22"/>
        <w:lang w:val="es-ES_tradnl"/>
      </w:rPr>
      <w:t>19</w:t>
    </w:r>
    <w:r w:rsidRPr="00CA14DE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7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546039">
    <w:abstractNumId w:val="1"/>
  </w:num>
  <w:num w:numId="2" w16cid:durableId="1174805091">
    <w:abstractNumId w:val="5"/>
  </w:num>
  <w:num w:numId="3" w16cid:durableId="1407532039">
    <w:abstractNumId w:val="0"/>
  </w:num>
  <w:num w:numId="4" w16cid:durableId="243421621">
    <w:abstractNumId w:val="2"/>
  </w:num>
  <w:num w:numId="5" w16cid:durableId="2004773159">
    <w:abstractNumId w:val="3"/>
  </w:num>
  <w:num w:numId="6" w16cid:durableId="505749133">
    <w:abstractNumId w:val="4"/>
  </w:num>
  <w:num w:numId="7" w16cid:durableId="1885941658">
    <w:abstractNumId w:val="6"/>
  </w:num>
  <w:num w:numId="8" w16cid:durableId="20753548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29DD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5C54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B73FE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6C35"/>
    <w:rsid w:val="00B27180"/>
    <w:rsid w:val="00B27EA8"/>
    <w:rsid w:val="00B30ECC"/>
    <w:rsid w:val="00B33FF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2E1A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4DE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EF59CE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8E649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CA14DE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CA14D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164C6-07AA-4037-BC23-B44357F5651F}"/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861</Words>
  <Characters>7299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8144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NA</cp:lastModifiedBy>
  <cp:revision>5</cp:revision>
  <cp:lastPrinted>2019-01-16T07:57:00Z</cp:lastPrinted>
  <dcterms:created xsi:type="dcterms:W3CDTF">2025-05-02T14:16:00Z</dcterms:created>
  <dcterms:modified xsi:type="dcterms:W3CDTF">2025-05-02T14:33:00Z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