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03C69" w14:paraId="5736F9B6" w14:textId="77777777" w:rsidTr="00857AC8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7D0E486F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61DD562F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00403C69">
              <w:rPr>
                <w:b/>
                <w:bCs/>
                <w:lang w:val="en-US"/>
              </w:rPr>
              <w:t>TDAG-2</w:t>
            </w:r>
            <w:r>
              <w:rPr>
                <w:b/>
                <w:bCs/>
                <w:lang w:val="en-US"/>
              </w:rPr>
              <w:t>5</w:t>
            </w:r>
            <w:r w:rsidRPr="00403C69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194FCE">
              <w:rPr>
                <w:b/>
                <w:bCs/>
                <w:lang w:val="en-US"/>
              </w:rPr>
              <w:t>20</w:t>
            </w:r>
            <w:r w:rsidRPr="00403C69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4DDCDC0F" w:rsidR="005B718F" w:rsidRPr="00403C69" w:rsidRDefault="00194FCE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21 March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01DBF4F8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Original: English</w:t>
            </w:r>
          </w:p>
        </w:tc>
      </w:tr>
      <w:tr w:rsidR="003D1814" w:rsidRPr="00403C69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769654BD" w:rsidR="003D1814" w:rsidRPr="00403C69" w:rsidRDefault="00D538EA" w:rsidP="003D1814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D538EA">
              <w:t>Chair, TDAG-WG-SR</w:t>
            </w:r>
          </w:p>
        </w:tc>
      </w:tr>
      <w:tr w:rsidR="003D1814" w:rsidRPr="00403C69" w14:paraId="7EDE1565" w14:textId="77777777" w:rsidTr="002B452F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59A84702" w:rsidR="003D1814" w:rsidRPr="001655E8" w:rsidRDefault="00A67B8F" w:rsidP="0031508E">
            <w:pPr>
              <w:pStyle w:val="Title1"/>
              <w:spacing w:after="120"/>
              <w:rPr>
                <w:caps w:val="0"/>
              </w:rPr>
            </w:pPr>
            <w:r>
              <w:rPr>
                <w:caps w:val="0"/>
                <w:szCs w:val="28"/>
                <w:lang w:val="en-US"/>
              </w:rPr>
              <w:t>R</w:t>
            </w:r>
            <w:r w:rsidRPr="00A67B8F">
              <w:rPr>
                <w:caps w:val="0"/>
                <w:szCs w:val="28"/>
                <w:lang w:val="en-US"/>
              </w:rPr>
              <w:t>eport on the TDAG Working Group on</w:t>
            </w:r>
            <w:r w:rsidR="0031508E">
              <w:rPr>
                <w:caps w:val="0"/>
                <w:szCs w:val="28"/>
                <w:lang w:val="en-US"/>
              </w:rPr>
              <w:br/>
            </w:r>
            <w:r w:rsidRPr="00A67B8F">
              <w:rPr>
                <w:caps w:val="0"/>
                <w:szCs w:val="28"/>
                <w:lang w:val="en-US"/>
              </w:rPr>
              <w:t xml:space="preserve">Streamlining Resolutions </w:t>
            </w:r>
            <w:r w:rsidR="00527E25">
              <w:rPr>
                <w:caps w:val="0"/>
                <w:szCs w:val="28"/>
                <w:lang w:val="en-US"/>
              </w:rPr>
              <w:t>(</w:t>
            </w:r>
            <w:r w:rsidRPr="00A67B8F">
              <w:rPr>
                <w:caps w:val="0"/>
                <w:szCs w:val="28"/>
                <w:lang w:val="en-US"/>
              </w:rPr>
              <w:t>TDAG-WG-SR</w:t>
            </w:r>
            <w:r w:rsidR="00527E25">
              <w:rPr>
                <w:caps w:val="0"/>
                <w:szCs w:val="28"/>
                <w:lang w:val="en-US"/>
              </w:rPr>
              <w:t>)</w:t>
            </w:r>
          </w:p>
        </w:tc>
      </w:tr>
      <w:tr w:rsidR="008A75AD" w:rsidRPr="00403C69" w14:paraId="4FBA7816" w14:textId="77777777" w:rsidTr="002B452F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00E734CF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Summary:</w:t>
            </w:r>
          </w:p>
          <w:p w14:paraId="650E94B8" w14:textId="515FC831" w:rsidR="00C77589" w:rsidRPr="00403C69" w:rsidRDefault="00A67B8F" w:rsidP="00F15647">
            <w:pPr>
              <w:spacing w:after="120"/>
            </w:pPr>
            <w:r>
              <w:t xml:space="preserve">This document presents a </w:t>
            </w:r>
            <w:r w:rsidR="002D042B">
              <w:t>r</w:t>
            </w:r>
            <w:r>
              <w:t>eport on the TDAG Working Group on</w:t>
            </w:r>
            <w:r w:rsidR="00F15647">
              <w:t xml:space="preserve"> </w:t>
            </w:r>
            <w:r>
              <w:t>Streamlining Resolutions (TDAG-WG-SR).</w:t>
            </w:r>
          </w:p>
          <w:p w14:paraId="7B6C3B3F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</w:rPr>
              <w:t>Action required:</w:t>
            </w:r>
          </w:p>
          <w:p w14:paraId="0229C904" w14:textId="77777777" w:rsidR="00C77589" w:rsidRPr="00403C69" w:rsidRDefault="00C77589" w:rsidP="00C77589">
            <w:pPr>
              <w:spacing w:after="120"/>
              <w:rPr>
                <w:szCs w:val="24"/>
              </w:rPr>
            </w:pPr>
            <w:r w:rsidRPr="00403C69">
              <w:t>TDAG is invited to note this document and provide guidance as deemed appropriate.</w:t>
            </w:r>
          </w:p>
          <w:p w14:paraId="18114BF0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References:</w:t>
            </w:r>
          </w:p>
          <w:p w14:paraId="3EBB93E8" w14:textId="77777777" w:rsidR="00527E25" w:rsidRPr="00527E25" w:rsidRDefault="00527E25" w:rsidP="00527E25">
            <w:pPr>
              <w:spacing w:after="120"/>
            </w:pPr>
            <w:r w:rsidRPr="00527E25">
              <w:t>WTDC-17 Final Report</w:t>
            </w:r>
          </w:p>
          <w:p w14:paraId="6A9AF37B" w14:textId="154D52FD" w:rsidR="00C77589" w:rsidRPr="00403C69" w:rsidRDefault="00527E25" w:rsidP="00C77589">
            <w:pPr>
              <w:spacing w:after="120"/>
            </w:pPr>
            <w:r w:rsidRPr="00527E25">
              <w:t>WTDC-22 Final Report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1E2C62" w14:textId="26998B70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E03D6C0" w14:textId="77777777" w:rsidR="00804114" w:rsidRDefault="00804114" w:rsidP="00261829">
      <w:pPr>
        <w:pStyle w:val="ListParagraph"/>
        <w:keepNext/>
        <w:numPr>
          <w:ilvl w:val="0"/>
          <w:numId w:val="2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Four (4) meetings of the</w:t>
      </w:r>
      <w:r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>
        <w:rPr>
          <w:rFonts w:cstheme="minorHAnsi"/>
          <w:b/>
          <w:bCs/>
          <w:szCs w:val="24"/>
        </w:rPr>
        <w:t>SR</w:t>
      </w:r>
      <w:r w:rsidRPr="009154CD">
        <w:rPr>
          <w:rFonts w:cstheme="minorHAnsi"/>
          <w:b/>
          <w:bCs/>
          <w:szCs w:val="24"/>
        </w:rPr>
        <w:t xml:space="preserve">) </w:t>
      </w:r>
      <w:r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804114" w14:paraId="7DAD9AE6" w14:textId="77777777" w:rsidTr="00AF269B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524144" w14:textId="77777777" w:rsidR="00804114" w:rsidRPr="00DA548D" w:rsidRDefault="00804114" w:rsidP="00AF269B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AC6A" w14:textId="77777777" w:rsidR="00804114" w:rsidRPr="00DA548D" w:rsidRDefault="00804114" w:rsidP="00AF269B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28C3" w14:textId="77777777" w:rsidR="00804114" w:rsidRPr="00DA548D" w:rsidRDefault="00804114" w:rsidP="00AF269B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804114" w14:paraId="133488C1" w14:textId="77777777" w:rsidTr="00AF269B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680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B33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017B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804114" w14:paraId="0F654D68" w14:textId="77777777" w:rsidTr="00AF269B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903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9B11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D95C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804114" w14:paraId="280D3B55" w14:textId="77777777" w:rsidTr="00AF269B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DF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D704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B8E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804114" w14:paraId="370D7A34" w14:textId="77777777" w:rsidTr="00AF269B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08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DE70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57E4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</w:tbl>
    <w:p w14:paraId="1B15F575" w14:textId="77777777" w:rsidR="00804114" w:rsidRPr="00871CEC" w:rsidRDefault="00804114" w:rsidP="00261829">
      <w:pPr>
        <w:pStyle w:val="ListParagraph"/>
        <w:keepNext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347657CE" w14:textId="77777777" w:rsidR="00804114" w:rsidRPr="00AA334C" w:rsidRDefault="00804114" w:rsidP="00261829">
      <w:pPr>
        <w:pStyle w:val="ListParagraph"/>
        <w:numPr>
          <w:ilvl w:val="1"/>
          <w:numId w:val="4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 xml:space="preserve">, the Chair 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3B134C8F" w14:textId="77777777" w:rsidR="00804114" w:rsidRPr="00CE5044" w:rsidRDefault="00804114" w:rsidP="00261829">
      <w:pPr>
        <w:pStyle w:val="ListParagraph"/>
        <w:numPr>
          <w:ilvl w:val="1"/>
          <w:numId w:val="4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report o</w:t>
        </w:r>
        <w:r>
          <w:rPr>
            <w:rStyle w:val="Hyperlink"/>
            <w:rFonts w:cstheme="minorHAnsi"/>
            <w:szCs w:val="24"/>
          </w:rPr>
          <w:t>n</w:t>
        </w:r>
        <w:r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Pr="00CE5044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provides a summary of the discussions held.</w:t>
      </w:r>
    </w:p>
    <w:p w14:paraId="6E6CD1CE" w14:textId="77777777" w:rsidR="00804114" w:rsidRPr="00871CEC" w:rsidRDefault="00804114" w:rsidP="00261829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Pr="009A0475">
        <w:rPr>
          <w:rFonts w:cstheme="minorHAnsi"/>
          <w:b/>
          <w:bCs/>
          <w:szCs w:val="24"/>
        </w:rPr>
        <w:t>coinciding</w:t>
      </w:r>
      <w:r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5FB9AD17" w14:textId="77777777" w:rsidR="00804114" w:rsidRPr="00CC44D7" w:rsidRDefault="00804114" w:rsidP="00261829">
      <w:pPr>
        <w:pStyle w:val="ListParagraph"/>
        <w:numPr>
          <w:ilvl w:val="1"/>
          <w:numId w:val="8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Pr="00CC44D7">
        <w:rPr>
          <w:rFonts w:cstheme="minorHAnsi"/>
          <w:szCs w:val="24"/>
          <w:lang w:val="en-US"/>
        </w:rPr>
        <w:t xml:space="preserve"> the draft Terms of Reference - ATDI, France presented a Contribution on the “</w:t>
      </w:r>
      <w:hyperlink r:id="rId17" w:history="1">
        <w:r w:rsidRPr="00CC44D7">
          <w:rPr>
            <w:rStyle w:val="Hyperlink"/>
            <w:lang w:val="en-US"/>
          </w:rPr>
          <w:t>Revision of Terms of Reference</w:t>
        </w:r>
      </w:hyperlink>
      <w:r w:rsidRPr="00CC44D7">
        <w:rPr>
          <w:lang w:val="en-US"/>
        </w:rPr>
        <w:t>” and the Chair to</w:t>
      </w:r>
      <w:r w:rsidRPr="00CC44D7">
        <w:rPr>
          <w:rFonts w:cstheme="minorHAnsi"/>
          <w:szCs w:val="24"/>
          <w:lang w:val="en-US"/>
        </w:rPr>
        <w:t xml:space="preserve"> TDAG-WG-SR presented a Contribution on the “</w:t>
      </w:r>
      <w:hyperlink r:id="rId18" w:history="1">
        <w:r w:rsidRPr="00E258D2">
          <w:rPr>
            <w:rStyle w:val="Hyperlink"/>
          </w:rPr>
          <w:t>Draft Terms of Reference</w:t>
        </w:r>
      </w:hyperlink>
      <w:r>
        <w:t>”.</w:t>
      </w:r>
    </w:p>
    <w:p w14:paraId="713242DD" w14:textId="77777777" w:rsidR="00804114" w:rsidRPr="00CC44D7" w:rsidRDefault="00804114" w:rsidP="00261829">
      <w:pPr>
        <w:pStyle w:val="ListParagraph"/>
        <w:numPr>
          <w:ilvl w:val="1"/>
          <w:numId w:val="8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Pr="00CC44D7">
          <w:rPr>
            <w:color w:val="0000FF"/>
            <w:u w:val="single"/>
          </w:rPr>
          <w:t>progress report on the work of the TDAG-WG-SR</w:t>
        </w:r>
      </w:hyperlink>
      <w:r>
        <w:t xml:space="preserve"> was presented, t</w:t>
      </w:r>
      <w:r w:rsidRPr="00CC44D7">
        <w:rPr>
          <w:rFonts w:cstheme="minorHAnsi"/>
          <w:szCs w:val="24"/>
          <w:lang w:val="en-US"/>
        </w:rPr>
        <w:t xml:space="preserve">he </w:t>
      </w:r>
      <w:hyperlink r:id="rId20" w:history="1">
        <w:r w:rsidRPr="00CC44D7">
          <w:rPr>
            <w:rStyle w:val="Hyperlink"/>
            <w:rFonts w:cstheme="minorHAnsi"/>
            <w:szCs w:val="24"/>
          </w:rPr>
          <w:t>TDAG-WG-SR</w:t>
        </w:r>
        <w:r w:rsidRPr="00CC44D7">
          <w:rPr>
            <w:rStyle w:val="Hyperlink"/>
            <w:rFonts w:cstheme="minorHAnsi"/>
            <w:szCs w:val="24"/>
            <w:lang w:val="en-US"/>
          </w:rPr>
          <w:t xml:space="preserve"> Terms of Reference</w:t>
        </w:r>
      </w:hyperlink>
      <w:r w:rsidRPr="00CC44D7">
        <w:rPr>
          <w:rFonts w:cstheme="minorHAnsi"/>
          <w:szCs w:val="24"/>
          <w:lang w:val="en-US"/>
        </w:rPr>
        <w:t xml:space="preserve"> was approved and t</w:t>
      </w:r>
      <w:r w:rsidRPr="00CC44D7">
        <w:rPr>
          <w:rFonts w:cstheme="minorHAnsi"/>
          <w:szCs w:val="24"/>
        </w:rPr>
        <w:t>he following two Vice-Chairs were appointed:</w:t>
      </w:r>
    </w:p>
    <w:p w14:paraId="303C0DA0" w14:textId="77777777" w:rsidR="00804114" w:rsidRPr="00CE5044" w:rsidRDefault="00804114" w:rsidP="00261829">
      <w:pPr>
        <w:pStyle w:val="ListParagraph"/>
        <w:numPr>
          <w:ilvl w:val="0"/>
          <w:numId w:val="5"/>
        </w:numPr>
        <w:spacing w:after="120"/>
        <w:ind w:right="-144"/>
        <w:contextualSpacing w:val="0"/>
      </w:pPr>
      <w:r w:rsidRPr="00CE5044">
        <w:t>Ms. Blanca Gonzalez (Spain)</w:t>
      </w:r>
    </w:p>
    <w:p w14:paraId="0AE377FD" w14:textId="77777777" w:rsidR="00804114" w:rsidRPr="00AF3256" w:rsidRDefault="00804114" w:rsidP="00261829">
      <w:pPr>
        <w:pStyle w:val="ListParagraph"/>
        <w:numPr>
          <w:ilvl w:val="0"/>
          <w:numId w:val="5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537ED59D" w14:textId="77777777" w:rsidR="00804114" w:rsidRPr="00AF3256" w:rsidRDefault="00804114" w:rsidP="00261829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 and continued by correspondence until 23 November 2024.</w:t>
      </w:r>
    </w:p>
    <w:p w14:paraId="43D5C46C" w14:textId="77777777" w:rsidR="00804114" w:rsidRPr="007B5A3A" w:rsidRDefault="00804114" w:rsidP="00261829">
      <w:pPr>
        <w:pStyle w:val="ListParagraph"/>
        <w:numPr>
          <w:ilvl w:val="1"/>
          <w:numId w:val="7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 xml:space="preserve">For the third meeting of the TDAG-WG-SR, </w:t>
      </w:r>
      <w:r>
        <w:rPr>
          <w:rFonts w:cstheme="minorHAnsi"/>
          <w:szCs w:val="24"/>
          <w:lang w:val="en-US"/>
        </w:rPr>
        <w:t xml:space="preserve">the </w:t>
      </w:r>
      <w:r w:rsidRPr="007B5A3A">
        <w:rPr>
          <w:rFonts w:cstheme="minorHAnsi"/>
          <w:szCs w:val="24"/>
          <w:lang w:val="en-US"/>
        </w:rPr>
        <w:t xml:space="preserve">United Kingdom presented a Contribution on </w:t>
      </w:r>
      <w:r>
        <w:rPr>
          <w:rFonts w:cstheme="minorHAnsi"/>
          <w:szCs w:val="24"/>
          <w:lang w:val="en-US"/>
        </w:rPr>
        <w:t>“</w:t>
      </w:r>
      <w:hyperlink r:id="rId21" w:history="1">
        <w:r w:rsidRPr="007B5A3A">
          <w:rPr>
            <w:rStyle w:val="Hyperlink"/>
            <w:bCs/>
            <w:lang w:val="en-US"/>
          </w:rPr>
          <w:t>Mapping towards Final Report</w:t>
        </w:r>
      </w:hyperlink>
      <w:r>
        <w:rPr>
          <w:bCs/>
          <w:lang w:val="en-US"/>
        </w:rPr>
        <w:t>”</w:t>
      </w:r>
      <w:r>
        <w:t xml:space="preserve"> </w:t>
      </w:r>
      <w:r w:rsidRPr="007B5A3A">
        <w:rPr>
          <w:rFonts w:cstheme="minorHAnsi"/>
          <w:szCs w:val="24"/>
        </w:rPr>
        <w:t xml:space="preserve">and referred to a previous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Pr="007B5A3A">
          <w:rPr>
            <w:rStyle w:val="Hyperlink"/>
            <w:rFonts w:cstheme="minorHAnsi"/>
            <w:szCs w:val="24"/>
          </w:rPr>
          <w:t>TDAG-23/31</w:t>
        </w:r>
      </w:hyperlink>
      <w:r>
        <w:rPr>
          <w:rFonts w:cstheme="minorHAnsi"/>
          <w:szCs w:val="24"/>
        </w:rPr>
        <w:t>).</w:t>
      </w:r>
      <w:r w:rsidRPr="007B5A3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This Contribution was</w:t>
      </w:r>
      <w:r w:rsidRPr="007B5A3A">
        <w:rPr>
          <w:rFonts w:cstheme="minorHAnsi"/>
          <w:szCs w:val="24"/>
        </w:rPr>
        <w:t xml:space="preserve"> well appreciated </w:t>
      </w:r>
      <w:r>
        <w:rPr>
          <w:rFonts w:cstheme="minorHAnsi"/>
          <w:szCs w:val="24"/>
        </w:rPr>
        <w:t>which ai</w:t>
      </w:r>
      <w:r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7ADD3BA6" w14:textId="77777777" w:rsidR="00804114" w:rsidRPr="007B5A3A" w:rsidRDefault="00804114" w:rsidP="00261829">
      <w:pPr>
        <w:pStyle w:val="ListParagraph"/>
        <w:numPr>
          <w:ilvl w:val="1"/>
          <w:numId w:val="7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14463609" w14:textId="77777777" w:rsidR="00804114" w:rsidRPr="007B5A3A" w:rsidRDefault="00804114" w:rsidP="00261829">
      <w:pPr>
        <w:pStyle w:val="ListParagraph"/>
        <w:numPr>
          <w:ilvl w:val="1"/>
          <w:numId w:val="7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>ontributions on streamlining resolutions and references to examples were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 from the ITU </w:t>
      </w:r>
      <w:hyperlink r:id="rId26" w:history="1">
        <w:r w:rsidRPr="007B5A3A">
          <w:rPr>
            <w:rStyle w:val="Hyperlink"/>
            <w:rFonts w:cstheme="minorHAnsi"/>
            <w:szCs w:val="24"/>
          </w:rPr>
          <w:t>Inter-Sectoral Coordination Group</w:t>
        </w:r>
      </w:hyperlink>
      <w:r w:rsidRPr="007B5A3A">
        <w:rPr>
          <w:rFonts w:cstheme="minorHAnsi"/>
          <w:szCs w:val="24"/>
        </w:rPr>
        <w:t xml:space="preserve"> was also provided as a reference.</w:t>
      </w:r>
    </w:p>
    <w:p w14:paraId="6493ABF1" w14:textId="77777777" w:rsidR="00804114" w:rsidRDefault="00804114" w:rsidP="00804114">
      <w:pPr>
        <w:spacing w:after="120"/>
      </w:pPr>
      <w:r>
        <w:rPr>
          <w:rFonts w:cstheme="minorHAnsi"/>
          <w:szCs w:val="24"/>
          <w:lang w:val="en-US"/>
        </w:rPr>
        <w:t xml:space="preserve">3.4 A </w:t>
      </w:r>
      <w:hyperlink r:id="rId27" w:history="1">
        <w:r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>
        <w:t xml:space="preserve"> provides a summary of the discussions.</w:t>
      </w:r>
    </w:p>
    <w:p w14:paraId="103830FE" w14:textId="77777777" w:rsidR="00804114" w:rsidRDefault="00804114" w:rsidP="0031508E">
      <w:pPr>
        <w:pStyle w:val="ListParagraph"/>
        <w:keepNext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lastRenderedPageBreak/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56BC3E17" w14:textId="77777777" w:rsidR="00804114" w:rsidRPr="002D1D34" w:rsidRDefault="00804114" w:rsidP="00804114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4.1.</w:t>
      </w:r>
      <w:r>
        <w:rPr>
          <w:rFonts w:cstheme="minorHAnsi"/>
          <w:szCs w:val="24"/>
          <w:lang w:val="en-US"/>
        </w:rPr>
        <w:tab/>
        <w:t>For the fourth meeting of the TDAG-WG-SR, Australia submitted a Contribution on a “</w:t>
      </w:r>
      <w:hyperlink r:id="rId28" w:history="1">
        <w:r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>
        <w:rPr>
          <w:bCs/>
        </w:rPr>
        <w:t>”</w:t>
      </w:r>
      <w:r w:rsidRPr="008F2068">
        <w:rPr>
          <w:bCs/>
        </w:rPr>
        <w:t xml:space="preserve"> </w:t>
      </w:r>
      <w:r>
        <w:rPr>
          <w:bCs/>
        </w:rPr>
        <w:t>and Ghana submitted a Contribution on the “</w:t>
      </w:r>
      <w:hyperlink r:id="rId29" w:history="1">
        <w:r w:rsidRPr="00E258D2">
          <w:rPr>
            <w:rStyle w:val="Hyperlink"/>
          </w:rPr>
          <w:t>Proposed Amendment of WTDC Resolution 22</w:t>
        </w:r>
      </w:hyperlink>
      <w:r>
        <w:t>”</w:t>
      </w:r>
      <w:r w:rsidRPr="002D1D34">
        <w:rPr>
          <w:bCs/>
        </w:rPr>
        <w:t>.</w:t>
      </w:r>
      <w:r>
        <w:rPr>
          <w:bCs/>
        </w:rPr>
        <w:t xml:space="preserve"> </w:t>
      </w:r>
      <w:r w:rsidRPr="002D1D34">
        <w:rPr>
          <w:bCs/>
        </w:rPr>
        <w:t xml:space="preserve">Australia and Ghana were commended for their </w:t>
      </w:r>
      <w:r>
        <w:rPr>
          <w:bCs/>
        </w:rPr>
        <w:t>C</w:t>
      </w:r>
      <w:r w:rsidRPr="002D1D34">
        <w:rPr>
          <w:bCs/>
        </w:rPr>
        <w:t>ontributions.</w:t>
      </w:r>
    </w:p>
    <w:p w14:paraId="0EA6CC94" w14:textId="77777777" w:rsidR="00804114" w:rsidRDefault="00804114" w:rsidP="00804114">
      <w:pPr>
        <w:spacing w:after="120"/>
        <w:ind w:left="391" w:hanging="391"/>
        <w:jc w:val="both"/>
      </w:pPr>
      <w:r>
        <w:t>4.2.</w:t>
      </w:r>
      <w:r>
        <w:tab/>
        <w:t xml:space="preserve">A </w:t>
      </w:r>
      <w:hyperlink r:id="rId30" w:history="1">
        <w:r>
          <w:rPr>
            <w:color w:val="0000FF"/>
            <w:u w:val="single"/>
          </w:rPr>
          <w:t>r</w:t>
        </w:r>
        <w:r w:rsidRPr="00101515">
          <w:rPr>
            <w:color w:val="0000FF"/>
            <w:u w:val="single"/>
          </w:rPr>
          <w:t>eport of the fourth meeting of the TDAG-WG-SR</w:t>
        </w:r>
      </w:hyperlink>
      <w:r w:rsidRPr="00101515">
        <w:t xml:space="preserve"> provides a summary.</w:t>
      </w:r>
    </w:p>
    <w:p w14:paraId="30030389" w14:textId="77777777" w:rsidR="00804114" w:rsidRPr="00AA5E84" w:rsidRDefault="00804114" w:rsidP="00261829">
      <w:pPr>
        <w:pStyle w:val="ListParagraph"/>
        <w:keepNext/>
        <w:numPr>
          <w:ilvl w:val="0"/>
          <w:numId w:val="2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>To support the work of streamlining resolutions, a subset of WTDC Resolutions had been grouped together as presented in the Contribution from the Chair on “</w:t>
      </w:r>
      <w:hyperlink r:id="rId31" w:history="1">
        <w:r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Pr="00AA5E84">
        <w:rPr>
          <w:rFonts w:cstheme="minorHAnsi"/>
          <w:b/>
          <w:bCs/>
          <w:szCs w:val="24"/>
        </w:rPr>
        <w:t>” and volunteers were then invited to review these resolutions for streamlining.</w:t>
      </w:r>
    </w:p>
    <w:p w14:paraId="7EAB7A54" w14:textId="77777777" w:rsidR="00804114" w:rsidRDefault="00804114" w:rsidP="00261829">
      <w:pPr>
        <w:pStyle w:val="ListParagraph"/>
        <w:numPr>
          <w:ilvl w:val="0"/>
          <w:numId w:val="6"/>
        </w:numPr>
        <w:spacing w:after="120"/>
        <w:contextualSpacing w:val="0"/>
      </w:pPr>
      <w:r>
        <w:t>The following table is an extract of the proposed clustering of resolutions and the 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804114" w:rsidRPr="00AE3AE3" w14:paraId="10124D70" w14:textId="77777777" w:rsidTr="00AF269B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E75F" w14:textId="77777777" w:rsidR="00804114" w:rsidRPr="003108F7" w:rsidRDefault="00804114" w:rsidP="00AF269B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EEEB" w14:textId="77777777" w:rsidR="00804114" w:rsidRPr="003108F7" w:rsidRDefault="00804114" w:rsidP="00AF269B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8B2E" w14:textId="77777777" w:rsidR="00804114" w:rsidRPr="003108F7" w:rsidRDefault="00804114" w:rsidP="00AF269B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804114" w14:paraId="434EA40A" w14:textId="77777777" w:rsidTr="00AF269B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807B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AA66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0256" w14:textId="77777777" w:rsidR="00804114" w:rsidRPr="003108F7" w:rsidRDefault="00804114" w:rsidP="00AF269B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804114" w14:paraId="16B20F72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E4C8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9BA1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5A90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804114" w14:paraId="4CF4A440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46AE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58E0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7725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804114" w14:paraId="2CD4B80A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14F9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799D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37C1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04114" w14:paraId="3769A4BC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11B3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F777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5863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04114" w14:paraId="0117B1C1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80CF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6E19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9A4F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804114" w14:paraId="50895D6E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F8E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0509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DCF4" w14:textId="493B41D6" w:rsidR="00804114" w:rsidRPr="003108F7" w:rsidRDefault="0059275C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Sudan (RPM-ARB)</w:t>
            </w:r>
          </w:p>
        </w:tc>
      </w:tr>
      <w:tr w:rsidR="00804114" w14:paraId="7EB881A3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1A61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D7C6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AD47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04114" w14:paraId="6323D6DA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4C5E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7941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9AEA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804114" w14:paraId="4BD67D35" w14:textId="77777777" w:rsidTr="00AF269B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4CD9" w14:textId="77777777" w:rsidR="00804114" w:rsidRPr="003108F7" w:rsidRDefault="00804114" w:rsidP="0026182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1100" w14:textId="77777777" w:rsidR="00804114" w:rsidRPr="003108F7" w:rsidRDefault="00804114" w:rsidP="00AF269B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03B0" w14:textId="77777777" w:rsidR="00804114" w:rsidRPr="003108F7" w:rsidRDefault="00804114" w:rsidP="00AF269B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B976344" w14:textId="77777777" w:rsidR="0033179F" w:rsidRDefault="00804114" w:rsidP="00260CC3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 w:rsidRPr="0033179F">
        <w:rPr>
          <w:rFonts w:cstheme="minorHAnsi"/>
          <w:szCs w:val="24"/>
        </w:rPr>
        <w:t>Volunteers continue to be called upon to undertake the work proposed through the TDAG-WG-SR clusters.</w:t>
      </w:r>
      <w:r w:rsidR="0033179F">
        <w:rPr>
          <w:rFonts w:cstheme="minorHAnsi"/>
          <w:szCs w:val="24"/>
        </w:rPr>
        <w:t xml:space="preserve"> </w:t>
      </w:r>
    </w:p>
    <w:p w14:paraId="7B46CA2C" w14:textId="0983D271" w:rsidR="0033179F" w:rsidRDefault="00804114" w:rsidP="00A61352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 w:rsidRPr="0033179F">
        <w:rPr>
          <w:rFonts w:cstheme="minorHAnsi"/>
          <w:szCs w:val="24"/>
        </w:rPr>
        <w:t>In addition, the TDAG-WG-SR welcomes further Contributions on Streamlining Resolutions beyond the above listed clusters, including other resolutions and Contributions that may be under preparation.</w:t>
      </w:r>
      <w:r w:rsidR="0033179F" w:rsidRPr="0033179F">
        <w:rPr>
          <w:rFonts w:cstheme="minorHAnsi"/>
          <w:szCs w:val="24"/>
        </w:rPr>
        <w:t xml:space="preserve"> </w:t>
      </w:r>
    </w:p>
    <w:p w14:paraId="0C9B95B4" w14:textId="7EF49156" w:rsidR="0076033F" w:rsidRDefault="0076033F" w:rsidP="00A61352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33179F">
        <w:rPr>
          <w:rFonts w:cstheme="minorHAnsi"/>
          <w:szCs w:val="24"/>
        </w:rPr>
        <w:t xml:space="preserve"> report on the progress of the TDAG-WG-SR is presented at each Regional Preparatory Meeting</w:t>
      </w:r>
      <w:r>
        <w:rPr>
          <w:rFonts w:cstheme="minorHAnsi"/>
          <w:szCs w:val="24"/>
        </w:rPr>
        <w:t>.</w:t>
      </w:r>
    </w:p>
    <w:p w14:paraId="378F340F" w14:textId="2086A6FB" w:rsidR="0076033F" w:rsidRPr="0033179F" w:rsidRDefault="0076033F" w:rsidP="00A61352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Furthermore, the</w:t>
      </w:r>
      <w:r w:rsidRPr="0076033F">
        <w:rPr>
          <w:rFonts w:cstheme="minorHAnsi"/>
          <w:szCs w:val="24"/>
        </w:rPr>
        <w:t xml:space="preserve"> Chair of the TDAG-WG-SR informed the Regional Telecommunication Organizations about the upcoming meetings of the TDAG-WG-SR, highlighting the work carried out to promote coordination</w:t>
      </w:r>
      <w:r>
        <w:rPr>
          <w:rFonts w:cstheme="minorHAnsi"/>
          <w:szCs w:val="24"/>
        </w:rPr>
        <w:t>.</w:t>
      </w:r>
    </w:p>
    <w:p w14:paraId="4C430FE0" w14:textId="4225E0D8" w:rsidR="00804114" w:rsidRDefault="00804114" w:rsidP="00966630">
      <w:pPr>
        <w:pStyle w:val="ListParagraph"/>
        <w:keepNext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The fifth Meeting of the TDAG-WG-SR </w:t>
      </w:r>
      <w:r w:rsidR="00AE7C23">
        <w:rPr>
          <w:rFonts w:cstheme="minorHAnsi"/>
          <w:szCs w:val="24"/>
        </w:rPr>
        <w:t xml:space="preserve">will be held </w:t>
      </w:r>
      <w:r w:rsidR="00AE0D9D">
        <w:rPr>
          <w:rFonts w:cstheme="minorHAnsi"/>
          <w:szCs w:val="24"/>
        </w:rPr>
        <w:t xml:space="preserve">online (virtual) </w:t>
      </w:r>
      <w:r w:rsidR="00AE7C23">
        <w:rPr>
          <w:rFonts w:cstheme="minorHAnsi"/>
          <w:szCs w:val="24"/>
        </w:rPr>
        <w:t>on</w:t>
      </w:r>
      <w:r>
        <w:rPr>
          <w:rFonts w:cstheme="minorHAnsi"/>
          <w:szCs w:val="24"/>
        </w:rPr>
        <w:t xml:space="preserve"> 26 March 2025 and </w:t>
      </w:r>
      <w:r w:rsidR="00AE0D9D">
        <w:rPr>
          <w:rFonts w:cstheme="minorHAnsi"/>
          <w:szCs w:val="24"/>
        </w:rPr>
        <w:t>followed by a</w:t>
      </w:r>
      <w:r>
        <w:rPr>
          <w:rFonts w:cstheme="minorHAnsi"/>
          <w:szCs w:val="24"/>
        </w:rPr>
        <w:t xml:space="preserve"> sixth Meeting </w:t>
      </w:r>
      <w:r w:rsidR="00AE7C23">
        <w:rPr>
          <w:rFonts w:cstheme="minorHAnsi"/>
          <w:szCs w:val="24"/>
        </w:rPr>
        <w:t>on 2 May 2025</w:t>
      </w:r>
      <w:r>
        <w:rPr>
          <w:rFonts w:cstheme="minorHAnsi"/>
          <w:szCs w:val="24"/>
        </w:rPr>
        <w:t xml:space="preserve">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804114" w14:paraId="648374DE" w14:textId="77777777" w:rsidTr="00AF269B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C4F3B8" w14:textId="77777777" w:rsidR="00804114" w:rsidRPr="003108F7" w:rsidRDefault="00804114" w:rsidP="00966630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B088" w14:textId="77777777" w:rsidR="00804114" w:rsidRPr="003108F7" w:rsidRDefault="00804114" w:rsidP="00966630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57AD" w14:textId="77777777" w:rsidR="00804114" w:rsidRPr="003108F7" w:rsidRDefault="00804114" w:rsidP="00966630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804114" w14:paraId="3ABC3DD9" w14:textId="77777777" w:rsidTr="00AF269B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D81" w14:textId="77777777" w:rsidR="00804114" w:rsidRPr="003108F7" w:rsidRDefault="00804114" w:rsidP="00966630">
            <w:pPr>
              <w:keepNext/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1412" w14:textId="77777777" w:rsidR="00804114" w:rsidRPr="003108F7" w:rsidRDefault="00804114" w:rsidP="00966630">
            <w:pPr>
              <w:keepNext/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26 March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D7F3" w14:textId="77777777" w:rsidR="00804114" w:rsidRPr="003108F7" w:rsidRDefault="00804114" w:rsidP="00966630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  <w:tr w:rsidR="00804114" w14:paraId="0A42C9A2" w14:textId="77777777" w:rsidTr="00AF269B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CFE" w14:textId="77777777" w:rsidR="00804114" w:rsidRPr="003108F7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C570" w14:textId="422F8893" w:rsidR="00804114" w:rsidRPr="003108F7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395F" w14:textId="77777777" w:rsidR="00804114" w:rsidRPr="003108F7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6B870760" w14:textId="39ED4434" w:rsidR="00FF220A" w:rsidRPr="0033179F" w:rsidRDefault="00F01C57" w:rsidP="0033179F">
      <w:pPr>
        <w:pStyle w:val="ListParagraph"/>
        <w:numPr>
          <w:ilvl w:val="0"/>
          <w:numId w:val="6"/>
        </w:numPr>
        <w:rPr>
          <w:szCs w:val="24"/>
        </w:rPr>
      </w:pPr>
      <w:bookmarkStart w:id="10" w:name="Proposal"/>
      <w:bookmarkEnd w:id="10"/>
      <w:r w:rsidRPr="0033179F">
        <w:rPr>
          <w:szCs w:val="24"/>
        </w:rPr>
        <w:t xml:space="preserve">This document will be updated to reflect the </w:t>
      </w:r>
      <w:r w:rsidR="0037785B" w:rsidRPr="0033179F">
        <w:rPr>
          <w:szCs w:val="24"/>
        </w:rPr>
        <w:t>conclusions of the</w:t>
      </w:r>
      <w:r w:rsidR="00AE0D9D" w:rsidRPr="0033179F">
        <w:rPr>
          <w:szCs w:val="24"/>
        </w:rPr>
        <w:t xml:space="preserve"> above-mentioned</w:t>
      </w:r>
      <w:r w:rsidR="0037785B" w:rsidRPr="0033179F">
        <w:rPr>
          <w:szCs w:val="24"/>
        </w:rPr>
        <w:t xml:space="preserve"> meetings </w:t>
      </w:r>
      <w:r w:rsidR="00AE0D9D" w:rsidRPr="0033179F">
        <w:rPr>
          <w:szCs w:val="24"/>
        </w:rPr>
        <w:t>for the</w:t>
      </w:r>
      <w:r w:rsidR="0037785B" w:rsidRPr="0033179F">
        <w:rPr>
          <w:szCs w:val="24"/>
        </w:rPr>
        <w:t xml:space="preserve"> TDAG-25.</w:t>
      </w:r>
    </w:p>
    <w:p w14:paraId="1DC30005" w14:textId="73CDED86" w:rsidR="00D83BF5" w:rsidRPr="0084734D" w:rsidRDefault="00D83BF5" w:rsidP="00A7027A">
      <w:pPr>
        <w:jc w:val="center"/>
        <w:rPr>
          <w:szCs w:val="24"/>
        </w:rPr>
      </w:pPr>
      <w:r w:rsidRPr="00403C69">
        <w:rPr>
          <w:szCs w:val="24"/>
        </w:rPr>
        <w:t>_______________</w:t>
      </w:r>
    </w:p>
    <w:sectPr w:rsidR="00D83BF5" w:rsidRPr="0084734D" w:rsidSect="0081159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B214" w14:textId="77777777" w:rsidR="00856643" w:rsidRDefault="00856643">
      <w:r>
        <w:separator/>
      </w:r>
    </w:p>
    <w:p w14:paraId="6BDA697A" w14:textId="77777777" w:rsidR="00856643" w:rsidRDefault="00856643"/>
  </w:endnote>
  <w:endnote w:type="continuationSeparator" w:id="0">
    <w:p w14:paraId="5D43F577" w14:textId="77777777" w:rsidR="00856643" w:rsidRDefault="00856643">
      <w:r>
        <w:continuationSeparator/>
      </w:r>
    </w:p>
    <w:p w14:paraId="132CBDC9" w14:textId="77777777" w:rsidR="00856643" w:rsidRDefault="00856643"/>
  </w:endnote>
  <w:endnote w:type="continuationNotice" w:id="1">
    <w:p w14:paraId="6DABC6FF" w14:textId="77777777" w:rsidR="00856643" w:rsidRDefault="00856643">
      <w:pPr>
        <w:spacing w:before="0"/>
      </w:pPr>
    </w:p>
    <w:p w14:paraId="71FE110E" w14:textId="77777777" w:rsidR="00856643" w:rsidRDefault="00856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94F2" w14:textId="77777777" w:rsidR="00036AC1" w:rsidRDefault="00036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3FE3" w14:textId="77777777" w:rsidR="00036AC1" w:rsidRDefault="00036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036AC1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36AC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39EE6181" w:rsidR="003447A8" w:rsidRPr="00036AC1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Name/Organization/Entity:</w:t>
          </w:r>
          <w:r w:rsidR="00FD3CC6" w:rsidRPr="00036AC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367CBD35" w:rsidR="003447A8" w:rsidRPr="00036AC1" w:rsidRDefault="00FD3CC6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036AC1">
            <w:rPr>
              <w:sz w:val="18"/>
              <w:szCs w:val="18"/>
              <w:lang w:val="en-US"/>
            </w:rPr>
            <w:t>Ms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Andrea Grippa, </w:t>
          </w:r>
          <w:proofErr w:type="spellStart"/>
          <w:r w:rsidRPr="00036AC1">
            <w:rPr>
              <w:sz w:val="18"/>
              <w:szCs w:val="18"/>
              <w:lang w:val="en-US"/>
            </w:rPr>
            <w:t>Agência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Nacional de </w:t>
          </w:r>
          <w:proofErr w:type="spellStart"/>
          <w:r w:rsidRPr="00036AC1">
            <w:rPr>
              <w:sz w:val="18"/>
              <w:szCs w:val="18"/>
              <w:lang w:val="en-US"/>
            </w:rPr>
            <w:t>Telecomunicações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(ANATEL), Brazil Chair, TDAG Working Group on Streamlining Resolutions</w:t>
          </w:r>
        </w:p>
      </w:tc>
      <w:bookmarkStart w:id="11" w:name="OrgName"/>
      <w:bookmarkEnd w:id="11"/>
    </w:tr>
    <w:tr w:rsidR="003447A8" w:rsidRPr="00036AC1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036AC1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5976DA8A" w:rsidR="003447A8" w:rsidRPr="00036AC1" w:rsidRDefault="00F97FD5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+55 61 99244</w:t>
          </w:r>
          <w:r w:rsidR="00036AC1" w:rsidRPr="00036AC1">
            <w:rPr>
              <w:sz w:val="18"/>
              <w:szCs w:val="18"/>
              <w:lang w:val="en-US"/>
            </w:rPr>
            <w:t xml:space="preserve"> </w:t>
          </w:r>
          <w:r w:rsidRPr="00036AC1">
            <w:rPr>
              <w:sz w:val="18"/>
              <w:szCs w:val="18"/>
              <w:lang w:val="en-US"/>
            </w:rPr>
            <w:t>5456</w:t>
          </w:r>
        </w:p>
      </w:tc>
      <w:bookmarkStart w:id="12" w:name="PhoneNo"/>
      <w:bookmarkEnd w:id="12"/>
    </w:tr>
    <w:tr w:rsidR="003447A8" w:rsidRPr="00036AC1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036AC1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12BA3B00" w:rsidR="003447A8" w:rsidRPr="00036AC1" w:rsidRDefault="00036AC1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036AC1">
              <w:rPr>
                <w:rStyle w:val="Hyperlink"/>
                <w:sz w:val="18"/>
                <w:szCs w:val="18"/>
              </w:rPr>
              <w:t>agrippa@anatel.gov.br</w:t>
            </w:r>
          </w:hyperlink>
          <w:r w:rsidRPr="00036AC1">
            <w:rPr>
              <w:sz w:val="18"/>
              <w:szCs w:val="18"/>
            </w:rPr>
            <w:t xml:space="preserve"> </w:t>
          </w:r>
        </w:p>
      </w:tc>
      <w:bookmarkStart w:id="13" w:name="Email"/>
      <w:bookmarkEnd w:id="13"/>
    </w:tr>
  </w:tbl>
  <w:p w14:paraId="3FF320CD" w14:textId="77777777" w:rsidR="003447A8" w:rsidRPr="00036AC1" w:rsidRDefault="003447A8" w:rsidP="0001181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3130D" w14:textId="77777777" w:rsidR="00856643" w:rsidRPr="0054377E" w:rsidRDefault="00856643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2ECCF6ED" w14:textId="77777777" w:rsidR="00856643" w:rsidRDefault="00856643" w:rsidP="0054377E">
      <w:pPr>
        <w:spacing w:before="0"/>
      </w:pPr>
      <w:r>
        <w:continuationSeparator/>
      </w:r>
    </w:p>
    <w:p w14:paraId="0829BF3D" w14:textId="77777777" w:rsidR="00856643" w:rsidRDefault="00856643"/>
  </w:footnote>
  <w:footnote w:type="continuationNotice" w:id="1">
    <w:p w14:paraId="6A837F80" w14:textId="77777777" w:rsidR="00856643" w:rsidRDefault="00856643">
      <w:pPr>
        <w:spacing w:before="0"/>
      </w:pPr>
    </w:p>
    <w:p w14:paraId="51BF3035" w14:textId="77777777" w:rsidR="00856643" w:rsidRDefault="00856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7C3D" w14:textId="77777777" w:rsidR="00036AC1" w:rsidRDefault="00036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292703DB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TDAG-25</w:t>
    </w:r>
    <w:r w:rsidRPr="00FF089C">
      <w:rPr>
        <w:sz w:val="22"/>
        <w:szCs w:val="22"/>
        <w:lang w:val="es-ES_tradnl"/>
      </w:rPr>
      <w:t>/</w:t>
    </w:r>
    <w:r w:rsidR="00076DB9">
      <w:rPr>
        <w:sz w:val="22"/>
        <w:szCs w:val="22"/>
        <w:lang w:val="es-ES_tradnl"/>
      </w:rPr>
      <w:t>20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B2B8" w14:textId="77777777" w:rsidR="00036AC1" w:rsidRDefault="00036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7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546039">
    <w:abstractNumId w:val="1"/>
  </w:num>
  <w:num w:numId="2" w16cid:durableId="1174805091">
    <w:abstractNumId w:val="5"/>
  </w:num>
  <w:num w:numId="3" w16cid:durableId="1407532039">
    <w:abstractNumId w:val="0"/>
  </w:num>
  <w:num w:numId="4" w16cid:durableId="243421621">
    <w:abstractNumId w:val="2"/>
  </w:num>
  <w:num w:numId="5" w16cid:durableId="2004773159">
    <w:abstractNumId w:val="3"/>
  </w:num>
  <w:num w:numId="6" w16cid:durableId="505749133">
    <w:abstractNumId w:val="4"/>
  </w:num>
  <w:num w:numId="7" w16cid:durableId="1885941658">
    <w:abstractNumId w:val="6"/>
  </w:num>
  <w:num w:numId="8" w16cid:durableId="20753548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81B"/>
    <w:rsid w:val="00011ECB"/>
    <w:rsid w:val="000150B0"/>
    <w:rsid w:val="00015E52"/>
    <w:rsid w:val="00022A29"/>
    <w:rsid w:val="00025926"/>
    <w:rsid w:val="00025965"/>
    <w:rsid w:val="000355FD"/>
    <w:rsid w:val="0003589F"/>
    <w:rsid w:val="00036AC1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6DB9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4875"/>
    <w:rsid w:val="000D6891"/>
    <w:rsid w:val="000D6E8D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5116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94FCE"/>
    <w:rsid w:val="001A1FFD"/>
    <w:rsid w:val="001A3858"/>
    <w:rsid w:val="001A4BD2"/>
    <w:rsid w:val="001B2ED3"/>
    <w:rsid w:val="001B643A"/>
    <w:rsid w:val="001B6675"/>
    <w:rsid w:val="001B7EA3"/>
    <w:rsid w:val="001C2654"/>
    <w:rsid w:val="001C3B5F"/>
    <w:rsid w:val="001C61EA"/>
    <w:rsid w:val="001D058F"/>
    <w:rsid w:val="001D2025"/>
    <w:rsid w:val="001D2047"/>
    <w:rsid w:val="001D520B"/>
    <w:rsid w:val="001D78D5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5DD7"/>
    <w:rsid w:val="00246B32"/>
    <w:rsid w:val="00251A53"/>
    <w:rsid w:val="0025489C"/>
    <w:rsid w:val="00261829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A6C0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042B"/>
    <w:rsid w:val="002D5207"/>
    <w:rsid w:val="002D58BE"/>
    <w:rsid w:val="002D5CE8"/>
    <w:rsid w:val="002E4D1D"/>
    <w:rsid w:val="002E51E0"/>
    <w:rsid w:val="002E5411"/>
    <w:rsid w:val="002E7A84"/>
    <w:rsid w:val="002F1BD0"/>
    <w:rsid w:val="003013EE"/>
    <w:rsid w:val="00304031"/>
    <w:rsid w:val="00311808"/>
    <w:rsid w:val="00311851"/>
    <w:rsid w:val="00311CD5"/>
    <w:rsid w:val="0031508E"/>
    <w:rsid w:val="00316725"/>
    <w:rsid w:val="00316A69"/>
    <w:rsid w:val="003231C6"/>
    <w:rsid w:val="00323E49"/>
    <w:rsid w:val="003247A5"/>
    <w:rsid w:val="00325939"/>
    <w:rsid w:val="003273BC"/>
    <w:rsid w:val="0033179F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61609"/>
    <w:rsid w:val="00364098"/>
    <w:rsid w:val="00366978"/>
    <w:rsid w:val="0037003F"/>
    <w:rsid w:val="00372BCF"/>
    <w:rsid w:val="00373365"/>
    <w:rsid w:val="0037785B"/>
    <w:rsid w:val="00377BD3"/>
    <w:rsid w:val="003807EA"/>
    <w:rsid w:val="003829D8"/>
    <w:rsid w:val="0038304D"/>
    <w:rsid w:val="00384088"/>
    <w:rsid w:val="0038489B"/>
    <w:rsid w:val="00385BE9"/>
    <w:rsid w:val="0039025F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9F2"/>
    <w:rsid w:val="003D5A63"/>
    <w:rsid w:val="003D6425"/>
    <w:rsid w:val="003D66A7"/>
    <w:rsid w:val="003D7EE8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071EB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27E25"/>
    <w:rsid w:val="00531317"/>
    <w:rsid w:val="00533CBA"/>
    <w:rsid w:val="005358BC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212D"/>
    <w:rsid w:val="00585238"/>
    <w:rsid w:val="005855FC"/>
    <w:rsid w:val="00586EB9"/>
    <w:rsid w:val="00592321"/>
    <w:rsid w:val="0059275C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641"/>
    <w:rsid w:val="005E0D2B"/>
    <w:rsid w:val="005E10C9"/>
    <w:rsid w:val="005E61DD"/>
    <w:rsid w:val="005E6321"/>
    <w:rsid w:val="005F5413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47E26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5D5C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2149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33F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848E3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114"/>
    <w:rsid w:val="00804475"/>
    <w:rsid w:val="0081159E"/>
    <w:rsid w:val="00811633"/>
    <w:rsid w:val="00814C00"/>
    <w:rsid w:val="00821CEF"/>
    <w:rsid w:val="00823BDC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4B10"/>
    <w:rsid w:val="0085555B"/>
    <w:rsid w:val="00855FDC"/>
    <w:rsid w:val="00856643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A75AD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322"/>
    <w:rsid w:val="00953C32"/>
    <w:rsid w:val="00964C68"/>
    <w:rsid w:val="00966630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0C1"/>
    <w:rsid w:val="00997678"/>
    <w:rsid w:val="009A04EC"/>
    <w:rsid w:val="009A234F"/>
    <w:rsid w:val="009A291A"/>
    <w:rsid w:val="009A59E4"/>
    <w:rsid w:val="009A7C8C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4C0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B8F"/>
    <w:rsid w:val="00A67FB8"/>
    <w:rsid w:val="00A7027A"/>
    <w:rsid w:val="00A710E7"/>
    <w:rsid w:val="00A7140C"/>
    <w:rsid w:val="00A71D21"/>
    <w:rsid w:val="00A7372E"/>
    <w:rsid w:val="00A74739"/>
    <w:rsid w:val="00A76372"/>
    <w:rsid w:val="00A76BD5"/>
    <w:rsid w:val="00A77844"/>
    <w:rsid w:val="00A80D65"/>
    <w:rsid w:val="00A81102"/>
    <w:rsid w:val="00A81F59"/>
    <w:rsid w:val="00A832EB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4C7B"/>
    <w:rsid w:val="00AE0D9D"/>
    <w:rsid w:val="00AE7C23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1D71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8EA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603D"/>
    <w:rsid w:val="00DE29A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4B6D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466AA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1C57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647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44734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97FD5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3A5B"/>
    <w:rsid w:val="00FD3CC6"/>
    <w:rsid w:val="00FD4F68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29399490-13b9-4c73-b71e-403b715b75a7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d4ea696a-cca3-460b-a983-57ac2621983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7636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8</cp:revision>
  <cp:lastPrinted>2019-01-16T07:57:00Z</cp:lastPrinted>
  <dcterms:created xsi:type="dcterms:W3CDTF">2025-03-21T14:20:00Z</dcterms:created>
  <dcterms:modified xsi:type="dcterms:W3CDTF">2025-04-07T11:36:00Z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