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37920553">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71F42CB6"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2C63BB">
              <w:rPr>
                <w:rFonts w:hint="eastAsia"/>
                <w:b/>
                <w:bCs/>
                <w:lang w:val="en-US" w:eastAsia="zh-CN"/>
              </w:rPr>
              <w:t>19</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7DD8A81C"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2C63BB">
              <w:rPr>
                <w:rFonts w:hint="eastAsia"/>
                <w:b/>
                <w:bCs/>
                <w:szCs w:val="28"/>
                <w:lang w:eastAsia="zh-CN"/>
              </w:rPr>
              <w:t>3</w:t>
            </w:r>
            <w:r w:rsidRPr="00227A1C">
              <w:rPr>
                <w:rFonts w:ascii="SimSun" w:eastAsia="SimSun" w:hAnsi="SimSun" w:hint="eastAsia"/>
                <w:b/>
                <w:bCs/>
                <w:szCs w:val="28"/>
                <w:lang w:eastAsia="zh-CN"/>
              </w:rPr>
              <w:t>月</w:t>
            </w:r>
            <w:r w:rsidR="002C63BB">
              <w:rPr>
                <w:rFonts w:hint="eastAsia"/>
                <w:b/>
                <w:bCs/>
                <w:szCs w:val="28"/>
                <w:lang w:eastAsia="zh-CN"/>
              </w:rPr>
              <w:t>24</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37F34476" w:rsidR="00A13162" w:rsidRPr="0030353C" w:rsidRDefault="002C63BB" w:rsidP="0030353C">
            <w:pPr>
              <w:pStyle w:val="Source"/>
              <w:rPr>
                <w:lang w:eastAsia="zh-CN"/>
              </w:rPr>
            </w:pPr>
            <w:bookmarkStart w:id="3" w:name="Source"/>
            <w:bookmarkEnd w:id="3"/>
            <w:r>
              <w:rPr>
                <w:bCs/>
                <w:color w:val="000000"/>
                <w:lang w:val="zh-CN" w:eastAsia="zh-CN"/>
              </w:rPr>
              <w:t>TDAG-WG-futureSGQ</w:t>
            </w:r>
            <w:r>
              <w:rPr>
                <w:bCs/>
                <w:color w:val="000000"/>
                <w:lang w:val="zh-CN" w:eastAsia="zh-CN"/>
              </w:rPr>
              <w:t>主席</w:t>
            </w:r>
          </w:p>
        </w:tc>
      </w:tr>
      <w:tr w:rsidR="00AC6F14" w:rsidRPr="002E6963" w14:paraId="581FD305" w14:textId="77777777" w:rsidTr="00107E85">
        <w:trPr>
          <w:cantSplit/>
        </w:trPr>
        <w:tc>
          <w:tcPr>
            <w:tcW w:w="9888" w:type="dxa"/>
            <w:gridSpan w:val="4"/>
          </w:tcPr>
          <w:p w14:paraId="43ACD2CD" w14:textId="6D62B534" w:rsidR="00AC6F14" w:rsidRPr="0030353C" w:rsidRDefault="002C63BB" w:rsidP="0030353C">
            <w:pPr>
              <w:pStyle w:val="Title1"/>
            </w:pPr>
            <w:bookmarkStart w:id="4" w:name="Title"/>
            <w:bookmarkEnd w:id="4"/>
            <w:r>
              <w:rPr>
                <w:color w:val="000000"/>
                <w:lang w:val="zh-CN"/>
              </w:rPr>
              <w:t>TDAG</w:t>
            </w:r>
            <w:proofErr w:type="spellStart"/>
            <w:r>
              <w:rPr>
                <w:color w:val="000000"/>
                <w:lang w:val="zh-CN"/>
              </w:rPr>
              <w:t>未来研究组课题工作组</w:t>
            </w:r>
            <w:proofErr w:type="spellEnd"/>
            <w:r>
              <w:rPr>
                <w:color w:val="000000"/>
                <w:lang w:val="zh-CN"/>
              </w:rPr>
              <w:t>（</w:t>
            </w:r>
            <w:r>
              <w:rPr>
                <w:color w:val="000000"/>
                <w:lang w:val="zh-CN"/>
              </w:rPr>
              <w:t>TDAG-WG-futureSQ</w:t>
            </w:r>
            <w:r>
              <w:rPr>
                <w:color w:val="000000"/>
                <w:lang w:val="zh-CN"/>
              </w:rPr>
              <w:t>）</w:t>
            </w:r>
            <w:proofErr w:type="spellStart"/>
            <w:r>
              <w:rPr>
                <w:color w:val="000000"/>
                <w:lang w:val="zh-CN"/>
              </w:rPr>
              <w:t>的报告</w:t>
            </w:r>
            <w:proofErr w:type="spellEnd"/>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1C578FA8" w14:textId="7A633508" w:rsidR="002C63BB" w:rsidRDefault="002C63BB" w:rsidP="002C63BB">
            <w:pPr>
              <w:tabs>
                <w:tab w:val="clear" w:pos="794"/>
                <w:tab w:val="clear" w:pos="1191"/>
                <w:tab w:val="clear" w:pos="1588"/>
                <w:tab w:val="clear" w:pos="1985"/>
              </w:tabs>
              <w:overflowPunct/>
              <w:autoSpaceDE/>
              <w:autoSpaceDN/>
              <w:adjustRightInd/>
              <w:ind w:firstLineChars="200" w:firstLine="480"/>
              <w:textAlignment w:val="auto"/>
              <w:rPr>
                <w:lang w:eastAsia="zh-CN"/>
              </w:rPr>
            </w:pPr>
            <w:r>
              <w:rPr>
                <w:color w:val="000000"/>
                <w:lang w:val="zh-CN" w:eastAsia="zh-CN"/>
              </w:rPr>
              <w:t>本文件</w:t>
            </w:r>
            <w:r w:rsidR="00A343E7">
              <w:rPr>
                <w:rFonts w:hint="eastAsia"/>
                <w:color w:val="000000"/>
                <w:lang w:val="zh-CN" w:eastAsia="zh-CN"/>
              </w:rPr>
              <w:t>载有</w:t>
            </w:r>
            <w:r w:rsidRPr="00A343E7">
              <w:rPr>
                <w:color w:val="000000"/>
                <w:lang w:eastAsia="zh-CN"/>
              </w:rPr>
              <w:t>TDAG</w:t>
            </w:r>
            <w:r w:rsidR="00A343E7">
              <w:rPr>
                <w:rFonts w:hint="eastAsia"/>
                <w:color w:val="000000"/>
                <w:lang w:val="zh-CN" w:eastAsia="zh-CN"/>
              </w:rPr>
              <w:t>未来</w:t>
            </w:r>
            <w:r>
              <w:rPr>
                <w:color w:val="000000"/>
                <w:lang w:val="zh-CN" w:eastAsia="zh-CN"/>
              </w:rPr>
              <w:t>研究组课题工作组</w:t>
            </w:r>
            <w:r w:rsidRPr="00A343E7">
              <w:rPr>
                <w:color w:val="000000"/>
                <w:lang w:eastAsia="zh-CN"/>
              </w:rPr>
              <w:t>（</w:t>
            </w:r>
            <w:r w:rsidRPr="00A343E7">
              <w:rPr>
                <w:color w:val="000000"/>
                <w:lang w:eastAsia="zh-CN"/>
              </w:rPr>
              <w:t>TDAG-WG-future SGQ</w:t>
            </w:r>
            <w:r w:rsidRPr="00A343E7">
              <w:rPr>
                <w:color w:val="000000"/>
                <w:lang w:eastAsia="zh-CN"/>
              </w:rPr>
              <w:t>）</w:t>
            </w:r>
            <w:r>
              <w:rPr>
                <w:color w:val="000000"/>
                <w:lang w:val="zh-CN" w:eastAsia="zh-CN"/>
              </w:rPr>
              <w:t>的报告。</w:t>
            </w:r>
          </w:p>
          <w:p w14:paraId="60130A41" w14:textId="5D45D418" w:rsidR="00A721F4" w:rsidRPr="00D9621A" w:rsidRDefault="00A343E7" w:rsidP="002C63BB">
            <w:pPr>
              <w:spacing w:after="120"/>
              <w:ind w:firstLineChars="200" w:firstLine="480"/>
              <w:rPr>
                <w:szCs w:val="24"/>
                <w:lang w:eastAsia="zh-CN"/>
              </w:rPr>
            </w:pPr>
            <w:r w:rsidRPr="004E5F5D">
              <w:rPr>
                <w:rFonts w:hint="eastAsia"/>
                <w:color w:val="000000"/>
                <w:lang w:eastAsia="zh-CN"/>
              </w:rPr>
              <w:t>2025</w:t>
            </w:r>
            <w:r w:rsidRPr="00A343E7">
              <w:rPr>
                <w:rFonts w:hint="eastAsia"/>
                <w:color w:val="000000"/>
                <w:lang w:val="zh-CN" w:eastAsia="zh-CN"/>
              </w:rPr>
              <w:t>年</w:t>
            </w:r>
            <w:r w:rsidRPr="004E5F5D">
              <w:rPr>
                <w:rFonts w:hint="eastAsia"/>
                <w:color w:val="000000"/>
                <w:lang w:eastAsia="zh-CN"/>
              </w:rPr>
              <w:t>4</w:t>
            </w:r>
            <w:r w:rsidRPr="00A343E7">
              <w:rPr>
                <w:rFonts w:hint="eastAsia"/>
                <w:color w:val="000000"/>
                <w:lang w:val="zh-CN" w:eastAsia="zh-CN"/>
              </w:rPr>
              <w:t>月</w:t>
            </w:r>
            <w:r w:rsidRPr="004E5F5D">
              <w:rPr>
                <w:rFonts w:hint="eastAsia"/>
                <w:color w:val="000000"/>
                <w:lang w:eastAsia="zh-CN"/>
              </w:rPr>
              <w:t>16</w:t>
            </w:r>
            <w:r w:rsidRPr="00A343E7">
              <w:rPr>
                <w:rFonts w:hint="eastAsia"/>
                <w:color w:val="000000"/>
                <w:lang w:val="zh-CN" w:eastAsia="zh-CN"/>
              </w:rPr>
              <w:t>日将举行</w:t>
            </w:r>
            <w:r w:rsidRPr="004E5F5D">
              <w:rPr>
                <w:rFonts w:hint="eastAsia"/>
                <w:color w:val="000000"/>
                <w:lang w:eastAsia="zh-CN"/>
              </w:rPr>
              <w:t>TDAG-WG-</w:t>
            </w:r>
            <w:proofErr w:type="spellStart"/>
            <w:r w:rsidRPr="004E5F5D">
              <w:rPr>
                <w:rFonts w:hint="eastAsia"/>
                <w:color w:val="000000"/>
                <w:lang w:eastAsia="zh-CN"/>
              </w:rPr>
              <w:t>futureSGQ</w:t>
            </w:r>
            <w:proofErr w:type="spellEnd"/>
            <w:r w:rsidRPr="00A343E7">
              <w:rPr>
                <w:rFonts w:hint="eastAsia"/>
                <w:color w:val="000000"/>
                <w:lang w:val="zh-CN" w:eastAsia="zh-CN"/>
              </w:rPr>
              <w:t>会议</w:t>
            </w:r>
            <w:r w:rsidRPr="004E5F5D">
              <w:rPr>
                <w:rFonts w:hint="eastAsia"/>
                <w:color w:val="000000"/>
                <w:lang w:eastAsia="zh-CN"/>
              </w:rPr>
              <w:t>，</w:t>
            </w:r>
            <w:r>
              <w:rPr>
                <w:rFonts w:hint="eastAsia"/>
                <w:color w:val="000000"/>
                <w:lang w:val="zh-CN" w:eastAsia="zh-CN"/>
              </w:rPr>
              <w:t>适时</w:t>
            </w:r>
            <w:r w:rsidRPr="00A343E7">
              <w:rPr>
                <w:rFonts w:hint="eastAsia"/>
                <w:color w:val="000000"/>
                <w:lang w:val="zh-CN" w:eastAsia="zh-CN"/>
              </w:rPr>
              <w:t>将分享</w:t>
            </w:r>
            <w:r>
              <w:rPr>
                <w:rFonts w:hint="eastAsia"/>
                <w:color w:val="000000"/>
                <w:lang w:val="zh-CN" w:eastAsia="zh-CN"/>
              </w:rPr>
              <w:t>经更新的</w:t>
            </w:r>
            <w:r w:rsidRPr="00A343E7">
              <w:rPr>
                <w:rFonts w:hint="eastAsia"/>
                <w:color w:val="000000"/>
                <w:lang w:val="zh-CN" w:eastAsia="zh-CN"/>
              </w:rPr>
              <w:t>修订版</w:t>
            </w:r>
            <w:r w:rsidR="002C63BB">
              <w:rPr>
                <w:color w:val="000000"/>
                <w:lang w:val="zh-CN" w:eastAsia="zh-CN"/>
              </w:rPr>
              <w:t>本。</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597B6824" w:rsidR="00A721F4" w:rsidRPr="00D9621A" w:rsidRDefault="002C63BB" w:rsidP="008069EB">
            <w:pPr>
              <w:spacing w:after="120"/>
              <w:ind w:firstLineChars="200" w:firstLine="480"/>
              <w:rPr>
                <w:szCs w:val="24"/>
                <w:lang w:eastAsia="zh-CN"/>
              </w:rPr>
            </w:pPr>
            <w:r>
              <w:rPr>
                <w:color w:val="000000"/>
                <w:lang w:val="zh-CN" w:eastAsia="zh-CN"/>
              </w:rPr>
              <w:t>请</w:t>
            </w:r>
            <w:r>
              <w:rPr>
                <w:color w:val="000000"/>
                <w:lang w:val="zh-CN" w:eastAsia="zh-CN"/>
              </w:rPr>
              <w:t>TDAG</w:t>
            </w:r>
            <w:r>
              <w:rPr>
                <w:color w:val="000000"/>
                <w:lang w:val="zh-CN" w:eastAsia="zh-CN"/>
              </w:rPr>
              <w:t>审议</w:t>
            </w:r>
            <w:r w:rsidR="00A343E7">
              <w:rPr>
                <w:rFonts w:hint="eastAsia"/>
                <w:color w:val="000000"/>
                <w:lang w:val="zh-CN" w:eastAsia="zh-CN"/>
              </w:rPr>
              <w:t>本</w:t>
            </w:r>
            <w:r>
              <w:rPr>
                <w:color w:val="000000"/>
                <w:lang w:val="zh-CN" w:eastAsia="zh-CN"/>
              </w:rPr>
              <w:t>文件，并酌情提供指导。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36C883CF" w14:textId="56A5F041" w:rsidR="00A721F4" w:rsidRPr="004355FF" w:rsidRDefault="002C63BB" w:rsidP="004355FF">
            <w:pPr>
              <w:spacing w:after="120"/>
              <w:rPr>
                <w:color w:val="0000FF"/>
                <w:lang w:eastAsia="zh-CN"/>
              </w:rPr>
            </w:pPr>
            <w:hyperlink r:id="rId13" w:history="1">
              <w:r w:rsidRPr="004355FF">
                <w:rPr>
                  <w:color w:val="0000FF"/>
                  <w:u w:val="single"/>
                  <w:lang w:eastAsia="zh-CN"/>
                </w:rPr>
                <w:t>WTDC</w:t>
              </w:r>
              <w:r w:rsidRPr="004355FF">
                <w:rPr>
                  <w:color w:val="0000FF"/>
                  <w:u w:val="single"/>
                  <w:lang w:eastAsia="zh-CN"/>
                </w:rPr>
                <w:t>第</w:t>
              </w:r>
              <w:r w:rsidRPr="004355FF">
                <w:rPr>
                  <w:color w:val="0000FF"/>
                  <w:u w:val="single"/>
                  <w:lang w:eastAsia="zh-CN"/>
                </w:rPr>
                <w:t>2</w:t>
              </w:r>
              <w:r w:rsidRPr="004355FF">
                <w:rPr>
                  <w:color w:val="0000FF"/>
                  <w:u w:val="single"/>
                  <w:lang w:eastAsia="zh-CN"/>
                </w:rPr>
                <w:t>号决议（</w:t>
              </w:r>
              <w:r w:rsidRPr="004355FF">
                <w:rPr>
                  <w:color w:val="0000FF"/>
                  <w:u w:val="single"/>
                  <w:lang w:eastAsia="zh-CN"/>
                </w:rPr>
                <w:t>2022</w:t>
              </w:r>
              <w:r w:rsidRPr="004355FF">
                <w:rPr>
                  <w:color w:val="0000FF"/>
                  <w:u w:val="single"/>
                  <w:lang w:eastAsia="zh-CN"/>
                </w:rPr>
                <w:t>年，基加利，修订版）</w:t>
              </w:r>
            </w:hyperlink>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66672D6E" w14:textId="1AA33647" w:rsidR="002C63BB" w:rsidRPr="00E92DF8" w:rsidRDefault="00E92DF8" w:rsidP="00E92DF8">
      <w:pPr>
        <w:pStyle w:val="Heading1"/>
        <w:rPr>
          <w:rFonts w:cstheme="minorHAnsi"/>
          <w:sz w:val="24"/>
          <w:szCs w:val="24"/>
        </w:rPr>
      </w:pPr>
      <w:r w:rsidRPr="00E92DF8">
        <w:rPr>
          <w:sz w:val="24"/>
          <w:szCs w:val="24"/>
          <w:lang w:val="en-US" w:eastAsia="zh-CN"/>
        </w:rPr>
        <w:lastRenderedPageBreak/>
        <w:t>1</w:t>
      </w:r>
      <w:r w:rsidRPr="00E92DF8">
        <w:rPr>
          <w:sz w:val="24"/>
          <w:szCs w:val="24"/>
          <w:lang w:val="en-US" w:eastAsia="zh-CN"/>
        </w:rPr>
        <w:tab/>
      </w:r>
      <w:r w:rsidR="00CB694E" w:rsidRPr="00E92DF8">
        <w:rPr>
          <w:rFonts w:hint="eastAsia"/>
          <w:sz w:val="24"/>
          <w:szCs w:val="24"/>
          <w:lang w:val="zh-CN" w:eastAsia="zh-CN"/>
        </w:rPr>
        <w:t>引言</w:t>
      </w:r>
    </w:p>
    <w:p w14:paraId="1F46B41F" w14:textId="45170CB7" w:rsidR="002C63BB" w:rsidRPr="00CB3A37" w:rsidRDefault="002C63BB" w:rsidP="00E92DF8">
      <w:pPr>
        <w:ind w:firstLineChars="200" w:firstLine="480"/>
        <w:rPr>
          <w:rFonts w:cstheme="minorHAnsi"/>
          <w:szCs w:val="24"/>
          <w:lang w:eastAsia="zh-CN"/>
        </w:rPr>
      </w:pPr>
      <w:r>
        <w:rPr>
          <w:lang w:val="zh-CN" w:eastAsia="zh-CN"/>
        </w:rPr>
        <w:t>2024</w:t>
      </w:r>
      <w:r>
        <w:rPr>
          <w:lang w:val="zh-CN" w:eastAsia="zh-CN"/>
        </w:rPr>
        <w:t>年</w:t>
      </w:r>
      <w:r>
        <w:rPr>
          <w:lang w:val="zh-CN" w:eastAsia="zh-CN"/>
        </w:rPr>
        <w:t>5</w:t>
      </w:r>
      <w:r>
        <w:rPr>
          <w:lang w:val="zh-CN" w:eastAsia="zh-CN"/>
        </w:rPr>
        <w:t>月</w:t>
      </w:r>
      <w:r>
        <w:rPr>
          <w:lang w:val="zh-CN" w:eastAsia="zh-CN"/>
        </w:rPr>
        <w:t>20-23</w:t>
      </w:r>
      <w:r>
        <w:rPr>
          <w:lang w:val="zh-CN" w:eastAsia="zh-CN"/>
        </w:rPr>
        <w:t>日在日内瓦举行的</w:t>
      </w:r>
      <w:r>
        <w:rPr>
          <w:lang w:val="zh-CN" w:eastAsia="zh-CN"/>
        </w:rPr>
        <w:t>TDAG</w:t>
      </w:r>
      <w:r>
        <w:rPr>
          <w:lang w:val="zh-CN" w:eastAsia="zh-CN"/>
        </w:rPr>
        <w:t>第</w:t>
      </w:r>
      <w:r>
        <w:rPr>
          <w:lang w:val="zh-CN" w:eastAsia="zh-CN"/>
        </w:rPr>
        <w:t>31</w:t>
      </w:r>
      <w:r>
        <w:rPr>
          <w:lang w:val="zh-CN" w:eastAsia="zh-CN"/>
        </w:rPr>
        <w:t>次会议介绍了</w:t>
      </w:r>
      <w:r>
        <w:rPr>
          <w:lang w:val="zh-CN" w:eastAsia="zh-CN"/>
        </w:rPr>
        <w:t>TDAG</w:t>
      </w:r>
      <w:r>
        <w:rPr>
          <w:lang w:val="zh-CN" w:eastAsia="zh-CN"/>
        </w:rPr>
        <w:t>未来研究组课题工作组的第一份进展报告（</w:t>
      </w:r>
      <w:hyperlink r:id="rId14" w:history="1">
        <w:r w:rsidR="00CB694E" w:rsidRPr="00CB3A37">
          <w:rPr>
            <w:rStyle w:val="Hyperlink"/>
            <w:rFonts w:cstheme="minorHAnsi"/>
            <w:szCs w:val="24"/>
            <w:lang w:val="en-US" w:eastAsia="zh-CN"/>
          </w:rPr>
          <w:t>TDAG-24/25</w:t>
        </w:r>
      </w:hyperlink>
      <w:r>
        <w:rPr>
          <w:lang w:val="zh-CN" w:eastAsia="zh-CN"/>
        </w:rPr>
        <w:t>号文件）。该文件分享了</w:t>
      </w:r>
      <w:r>
        <w:rPr>
          <w:lang w:val="zh-CN" w:eastAsia="zh-CN"/>
        </w:rPr>
        <w:t>TDAG</w:t>
      </w:r>
      <w:r>
        <w:rPr>
          <w:lang w:val="zh-CN" w:eastAsia="zh-CN"/>
        </w:rPr>
        <w:t>未来研究组课题工作组（</w:t>
      </w:r>
      <w:r>
        <w:rPr>
          <w:lang w:val="zh-CN" w:eastAsia="zh-CN"/>
        </w:rPr>
        <w:t>TDAG-WG-futureSGQ</w:t>
      </w:r>
      <w:r>
        <w:rPr>
          <w:lang w:val="zh-CN" w:eastAsia="zh-CN"/>
        </w:rPr>
        <w:t>）第一次会议的报告，其中包括工作组的拟议构成、背景文件、工作组的拟议职责范围以及</w:t>
      </w:r>
      <w:proofErr w:type="gramStart"/>
      <w:r>
        <w:rPr>
          <w:lang w:val="zh-CN" w:eastAsia="zh-CN"/>
        </w:rPr>
        <w:t>未来纯线上</w:t>
      </w:r>
      <w:proofErr w:type="gramEnd"/>
      <w:r>
        <w:rPr>
          <w:lang w:val="zh-CN" w:eastAsia="zh-CN"/>
        </w:rPr>
        <w:t>会议的拟议会议日历。</w:t>
      </w:r>
    </w:p>
    <w:p w14:paraId="7678D6F6" w14:textId="12AD93D2" w:rsidR="002C63BB" w:rsidRDefault="002C63BB" w:rsidP="00E92DF8">
      <w:pPr>
        <w:ind w:firstLineChars="200" w:firstLine="480"/>
        <w:rPr>
          <w:rFonts w:cstheme="minorHAnsi"/>
          <w:szCs w:val="24"/>
          <w:lang w:eastAsia="zh-CN"/>
        </w:rPr>
      </w:pPr>
      <w:r>
        <w:rPr>
          <w:lang w:val="zh-CN" w:eastAsia="zh-CN"/>
        </w:rPr>
        <w:t>在</w:t>
      </w:r>
      <w:r>
        <w:rPr>
          <w:lang w:val="zh-CN" w:eastAsia="zh-CN"/>
        </w:rPr>
        <w:t>2024</w:t>
      </w:r>
      <w:r>
        <w:rPr>
          <w:lang w:val="zh-CN" w:eastAsia="zh-CN"/>
        </w:rPr>
        <w:t>年</w:t>
      </w:r>
      <w:r>
        <w:rPr>
          <w:lang w:val="zh-CN" w:eastAsia="zh-CN"/>
        </w:rPr>
        <w:t>5</w:t>
      </w:r>
      <w:r>
        <w:rPr>
          <w:lang w:val="zh-CN" w:eastAsia="zh-CN"/>
        </w:rPr>
        <w:t>月的</w:t>
      </w:r>
      <w:r>
        <w:rPr>
          <w:lang w:val="zh-CN" w:eastAsia="zh-CN"/>
        </w:rPr>
        <w:t>TDAG</w:t>
      </w:r>
      <w:r>
        <w:rPr>
          <w:lang w:val="zh-CN" w:eastAsia="zh-CN"/>
        </w:rPr>
        <w:t>会议批准</w:t>
      </w:r>
      <w:r w:rsidR="000A6373">
        <w:rPr>
          <w:rFonts w:hint="eastAsia"/>
          <w:lang w:val="zh-CN" w:eastAsia="zh-CN"/>
        </w:rPr>
        <w:t>其</w:t>
      </w:r>
      <w:r>
        <w:rPr>
          <w:lang w:val="zh-CN" w:eastAsia="zh-CN"/>
        </w:rPr>
        <w:t>职责范围后，</w:t>
      </w:r>
      <w:r>
        <w:rPr>
          <w:lang w:val="zh-CN" w:eastAsia="zh-CN"/>
        </w:rPr>
        <w:t>TDAG-WG-futureSGQ</w:t>
      </w:r>
      <w:r>
        <w:rPr>
          <w:lang w:val="zh-CN" w:eastAsia="zh-CN"/>
        </w:rPr>
        <w:t>分别于</w:t>
      </w:r>
      <w:r>
        <w:rPr>
          <w:lang w:val="zh-CN" w:eastAsia="zh-CN"/>
        </w:rPr>
        <w:t>2024</w:t>
      </w:r>
      <w:r>
        <w:rPr>
          <w:lang w:val="zh-CN" w:eastAsia="zh-CN"/>
        </w:rPr>
        <w:t>年</w:t>
      </w:r>
      <w:r>
        <w:rPr>
          <w:lang w:val="zh-CN" w:eastAsia="zh-CN"/>
        </w:rPr>
        <w:t>9</w:t>
      </w:r>
      <w:r>
        <w:rPr>
          <w:lang w:val="zh-CN" w:eastAsia="zh-CN"/>
        </w:rPr>
        <w:t>月</w:t>
      </w:r>
      <w:r>
        <w:rPr>
          <w:lang w:val="zh-CN" w:eastAsia="zh-CN"/>
        </w:rPr>
        <w:t>3</w:t>
      </w:r>
      <w:r>
        <w:rPr>
          <w:lang w:val="zh-CN" w:eastAsia="zh-CN"/>
        </w:rPr>
        <w:t>日和</w:t>
      </w:r>
      <w:r>
        <w:rPr>
          <w:lang w:val="zh-CN" w:eastAsia="zh-CN"/>
        </w:rPr>
        <w:t>2024</w:t>
      </w:r>
      <w:r>
        <w:rPr>
          <w:lang w:val="zh-CN" w:eastAsia="zh-CN"/>
        </w:rPr>
        <w:t>年</w:t>
      </w:r>
      <w:r>
        <w:rPr>
          <w:lang w:val="zh-CN" w:eastAsia="zh-CN"/>
        </w:rPr>
        <w:t>12</w:t>
      </w:r>
      <w:r>
        <w:rPr>
          <w:lang w:val="zh-CN" w:eastAsia="zh-CN"/>
        </w:rPr>
        <w:t>月</w:t>
      </w:r>
      <w:r>
        <w:rPr>
          <w:lang w:val="zh-CN" w:eastAsia="zh-CN"/>
        </w:rPr>
        <w:t>3</w:t>
      </w:r>
      <w:r>
        <w:rPr>
          <w:lang w:val="zh-CN" w:eastAsia="zh-CN"/>
        </w:rPr>
        <w:t>日举行了第二次和</w:t>
      </w:r>
      <w:proofErr w:type="gramStart"/>
      <w:r>
        <w:rPr>
          <w:lang w:val="zh-CN" w:eastAsia="zh-CN"/>
        </w:rPr>
        <w:t>第三次纯线上</w:t>
      </w:r>
      <w:proofErr w:type="gramEnd"/>
      <w:r>
        <w:rPr>
          <w:lang w:val="zh-CN" w:eastAsia="zh-CN"/>
        </w:rPr>
        <w:t>会议。</w:t>
      </w:r>
      <w:r>
        <w:rPr>
          <w:lang w:val="zh-CN" w:eastAsia="zh-CN"/>
        </w:rPr>
        <w:t>12</w:t>
      </w:r>
      <w:r>
        <w:rPr>
          <w:lang w:val="zh-CN" w:eastAsia="zh-CN"/>
        </w:rPr>
        <w:t>月的会议同意在</w:t>
      </w:r>
      <w:r>
        <w:rPr>
          <w:lang w:val="zh-CN" w:eastAsia="zh-CN"/>
        </w:rPr>
        <w:t>2025</w:t>
      </w:r>
      <w:r>
        <w:rPr>
          <w:lang w:val="zh-CN" w:eastAsia="zh-CN"/>
        </w:rPr>
        <w:t>年</w:t>
      </w:r>
      <w:r>
        <w:rPr>
          <w:lang w:val="zh-CN" w:eastAsia="zh-CN"/>
        </w:rPr>
        <w:t>3</w:t>
      </w:r>
      <w:r>
        <w:rPr>
          <w:lang w:val="zh-CN" w:eastAsia="zh-CN"/>
        </w:rPr>
        <w:t>月</w:t>
      </w:r>
      <w:r>
        <w:rPr>
          <w:lang w:val="zh-CN" w:eastAsia="zh-CN"/>
        </w:rPr>
        <w:t>4</w:t>
      </w:r>
      <w:r>
        <w:rPr>
          <w:lang w:val="zh-CN" w:eastAsia="zh-CN"/>
        </w:rPr>
        <w:t>日最后一次会议之前再举行一次会议。第四次会议于</w:t>
      </w:r>
      <w:r>
        <w:rPr>
          <w:lang w:val="zh-CN" w:eastAsia="zh-CN"/>
        </w:rPr>
        <w:t>2025</w:t>
      </w:r>
      <w:r>
        <w:rPr>
          <w:lang w:val="zh-CN" w:eastAsia="zh-CN"/>
        </w:rPr>
        <w:t>年</w:t>
      </w:r>
      <w:r>
        <w:rPr>
          <w:lang w:val="zh-CN" w:eastAsia="zh-CN"/>
        </w:rPr>
        <w:t>1</w:t>
      </w:r>
      <w:r>
        <w:rPr>
          <w:lang w:val="zh-CN" w:eastAsia="zh-CN"/>
        </w:rPr>
        <w:t>月</w:t>
      </w:r>
      <w:r>
        <w:rPr>
          <w:lang w:val="zh-CN" w:eastAsia="zh-CN"/>
        </w:rPr>
        <w:t>21</w:t>
      </w:r>
      <w:r>
        <w:rPr>
          <w:lang w:val="zh-CN" w:eastAsia="zh-CN"/>
        </w:rPr>
        <w:t>日举行。</w:t>
      </w:r>
    </w:p>
    <w:p w14:paraId="14DB8312" w14:textId="6E598CF1" w:rsidR="002C63BB" w:rsidRPr="008948F8" w:rsidRDefault="002C63BB" w:rsidP="00E92DF8">
      <w:pPr>
        <w:ind w:firstLineChars="200" w:firstLine="480"/>
        <w:rPr>
          <w:rFonts w:cstheme="minorHAnsi"/>
          <w:b/>
          <w:bCs/>
          <w:szCs w:val="24"/>
          <w:lang w:eastAsia="zh-CN"/>
        </w:rPr>
      </w:pPr>
      <w:r>
        <w:rPr>
          <w:lang w:val="zh-CN" w:eastAsia="zh-CN"/>
        </w:rPr>
        <w:t>在</w:t>
      </w:r>
      <w:r w:rsidRPr="000A6373">
        <w:rPr>
          <w:lang w:eastAsia="zh-CN"/>
        </w:rPr>
        <w:t>2025</w:t>
      </w:r>
      <w:r>
        <w:rPr>
          <w:lang w:val="zh-CN" w:eastAsia="zh-CN"/>
        </w:rPr>
        <w:t>年</w:t>
      </w:r>
      <w:r w:rsidRPr="000A6373">
        <w:rPr>
          <w:lang w:eastAsia="zh-CN"/>
        </w:rPr>
        <w:t>1</w:t>
      </w:r>
      <w:r>
        <w:rPr>
          <w:lang w:val="zh-CN" w:eastAsia="zh-CN"/>
        </w:rPr>
        <w:t>月</w:t>
      </w:r>
      <w:r w:rsidRPr="000A6373">
        <w:rPr>
          <w:lang w:eastAsia="zh-CN"/>
        </w:rPr>
        <w:t>25</w:t>
      </w:r>
      <w:r>
        <w:rPr>
          <w:lang w:val="zh-CN" w:eastAsia="zh-CN"/>
        </w:rPr>
        <w:t>日举行的</w:t>
      </w:r>
      <w:r w:rsidRPr="000A6373">
        <w:rPr>
          <w:lang w:eastAsia="zh-CN"/>
        </w:rPr>
        <w:t>TDAG</w:t>
      </w:r>
      <w:r>
        <w:rPr>
          <w:lang w:val="zh-CN" w:eastAsia="zh-CN"/>
        </w:rPr>
        <w:t>特别会议以及所有</w:t>
      </w:r>
      <w:r w:rsidRPr="000A6373">
        <w:rPr>
          <w:lang w:eastAsia="zh-CN"/>
        </w:rPr>
        <w:t>WTDC-25</w:t>
      </w:r>
      <w:r>
        <w:rPr>
          <w:lang w:val="zh-CN" w:eastAsia="zh-CN"/>
        </w:rPr>
        <w:t>区域筹备会议上介绍了</w:t>
      </w:r>
      <w:r w:rsidRPr="000A6373">
        <w:rPr>
          <w:lang w:eastAsia="zh-CN"/>
        </w:rPr>
        <w:t>TDAG-WG-</w:t>
      </w:r>
      <w:proofErr w:type="spellStart"/>
      <w:r w:rsidRPr="000A6373">
        <w:rPr>
          <w:lang w:eastAsia="zh-CN"/>
        </w:rPr>
        <w:t>futureSGQ</w:t>
      </w:r>
      <w:proofErr w:type="spellEnd"/>
      <w:r>
        <w:rPr>
          <w:lang w:val="zh-CN" w:eastAsia="zh-CN"/>
        </w:rPr>
        <w:t>工作的进展报告</w:t>
      </w:r>
      <w:r w:rsidRPr="000A6373">
        <w:rPr>
          <w:lang w:eastAsia="zh-CN"/>
        </w:rPr>
        <w:t>（</w:t>
      </w:r>
      <w:hyperlink r:id="rId15" w:history="1">
        <w:r w:rsidR="000A6373" w:rsidRPr="002341A9">
          <w:rPr>
            <w:rStyle w:val="Hyperlink"/>
            <w:lang w:eastAsia="zh-CN"/>
          </w:rPr>
          <w:t>TDAG-Extra/4</w:t>
        </w:r>
      </w:hyperlink>
      <w:r>
        <w:rPr>
          <w:lang w:val="zh-CN" w:eastAsia="zh-CN"/>
        </w:rPr>
        <w:t>号文件</w:t>
      </w:r>
      <w:r w:rsidRPr="000A6373">
        <w:rPr>
          <w:lang w:eastAsia="zh-CN"/>
        </w:rPr>
        <w:t>）</w:t>
      </w:r>
      <w:r>
        <w:rPr>
          <w:lang w:val="zh-CN" w:eastAsia="zh-CN"/>
        </w:rPr>
        <w:t>。</w:t>
      </w:r>
    </w:p>
    <w:p w14:paraId="44400C00" w14:textId="541178E7" w:rsidR="002C63BB" w:rsidRDefault="002C63BB" w:rsidP="00E92DF8">
      <w:pPr>
        <w:ind w:firstLineChars="200" w:firstLine="480"/>
        <w:rPr>
          <w:rFonts w:cstheme="minorHAnsi"/>
          <w:szCs w:val="24"/>
        </w:rPr>
      </w:pPr>
      <w:proofErr w:type="spellStart"/>
      <w:r>
        <w:rPr>
          <w:lang w:val="zh-CN"/>
        </w:rPr>
        <w:t>本文件分享了</w:t>
      </w:r>
      <w:proofErr w:type="spellEnd"/>
      <w:r w:rsidRPr="000A6373">
        <w:t>TDAG-WG-</w:t>
      </w:r>
      <w:proofErr w:type="spellStart"/>
      <w:r w:rsidRPr="000A6373">
        <w:t>futureSGQ</w:t>
      </w:r>
      <w:proofErr w:type="spellEnd"/>
      <w:r>
        <w:rPr>
          <w:lang w:val="zh-CN"/>
        </w:rPr>
        <w:t>的</w:t>
      </w:r>
      <w:r w:rsidR="000A6373">
        <w:rPr>
          <w:rFonts w:hint="eastAsia"/>
          <w:lang w:val="zh-CN" w:eastAsia="zh-CN"/>
        </w:rPr>
        <w:t>工作</w:t>
      </w:r>
      <w:proofErr w:type="spellStart"/>
      <w:r>
        <w:rPr>
          <w:lang w:val="zh-CN"/>
        </w:rPr>
        <w:t>成果</w:t>
      </w:r>
      <w:proofErr w:type="spellEnd"/>
      <w:r>
        <w:rPr>
          <w:lang w:val="zh-CN"/>
        </w:rPr>
        <w:t>。</w:t>
      </w:r>
    </w:p>
    <w:p w14:paraId="68193A42" w14:textId="1CA1C24A" w:rsidR="002C63BB" w:rsidRPr="00E92DF8" w:rsidRDefault="00E92DF8" w:rsidP="00E92DF8">
      <w:pPr>
        <w:pStyle w:val="Heading1"/>
        <w:rPr>
          <w:sz w:val="24"/>
          <w:szCs w:val="24"/>
          <w:lang w:val="en-US" w:eastAsia="zh-CN"/>
        </w:rPr>
      </w:pPr>
      <w:r>
        <w:rPr>
          <w:sz w:val="24"/>
          <w:szCs w:val="24"/>
          <w:lang w:val="en-US" w:eastAsia="zh-CN"/>
        </w:rPr>
        <w:t>2</w:t>
      </w:r>
      <w:r>
        <w:rPr>
          <w:sz w:val="24"/>
          <w:szCs w:val="24"/>
          <w:lang w:val="en-US" w:eastAsia="zh-CN"/>
        </w:rPr>
        <w:tab/>
      </w:r>
      <w:r w:rsidR="002C63BB" w:rsidRPr="00E92DF8">
        <w:rPr>
          <w:sz w:val="24"/>
          <w:szCs w:val="24"/>
          <w:lang w:val="en-US" w:eastAsia="zh-CN"/>
        </w:rPr>
        <w:t>管理</w:t>
      </w:r>
      <w:r w:rsidR="000A6373" w:rsidRPr="00E92DF8">
        <w:rPr>
          <w:rFonts w:hint="eastAsia"/>
          <w:sz w:val="24"/>
          <w:szCs w:val="24"/>
          <w:lang w:val="en-US" w:eastAsia="zh-CN"/>
        </w:rPr>
        <w:t>班子</w:t>
      </w:r>
    </w:p>
    <w:p w14:paraId="2ADCE326" w14:textId="55421AE2" w:rsidR="002C63BB" w:rsidRDefault="002C63BB" w:rsidP="001D449E">
      <w:pPr>
        <w:ind w:firstLineChars="200" w:firstLine="480"/>
        <w:rPr>
          <w:rFonts w:cstheme="minorHAnsi"/>
          <w:szCs w:val="24"/>
        </w:rPr>
      </w:pPr>
      <w:r w:rsidRPr="0062114B">
        <w:rPr>
          <w:lang w:val="en-US"/>
        </w:rPr>
        <w:t>TDAG-WG-</w:t>
      </w:r>
      <w:proofErr w:type="spellStart"/>
      <w:r w:rsidRPr="0062114B">
        <w:rPr>
          <w:lang w:val="en-US"/>
        </w:rPr>
        <w:t>futureSGQ</w:t>
      </w:r>
      <w:r>
        <w:rPr>
          <w:lang w:val="zh-CN"/>
        </w:rPr>
        <w:t>任命的副主席</w:t>
      </w:r>
      <w:r w:rsidRPr="0062114B">
        <w:rPr>
          <w:lang w:val="en-US"/>
        </w:rPr>
        <w:t>Regina</w:t>
      </w:r>
      <w:proofErr w:type="spellEnd"/>
      <w:r w:rsidRPr="0062114B">
        <w:rPr>
          <w:lang w:val="en-US"/>
        </w:rPr>
        <w:t xml:space="preserve"> Fleur </w:t>
      </w:r>
      <w:proofErr w:type="spellStart"/>
      <w:r w:rsidRPr="0062114B">
        <w:rPr>
          <w:lang w:val="en-US"/>
        </w:rPr>
        <w:t>Assoumou-Bessou</w:t>
      </w:r>
      <w:r>
        <w:rPr>
          <w:lang w:val="zh-CN"/>
        </w:rPr>
        <w:t>女士</w:t>
      </w:r>
      <w:r w:rsidRPr="0062114B">
        <w:rPr>
          <w:lang w:val="en-US"/>
        </w:rPr>
        <w:t>（</w:t>
      </w:r>
      <w:r>
        <w:rPr>
          <w:lang w:val="zh-CN"/>
        </w:rPr>
        <w:t>科特迪瓦</w:t>
      </w:r>
      <w:r w:rsidRPr="0062114B">
        <w:rPr>
          <w:lang w:val="en-US"/>
        </w:rPr>
        <w:t>）</w:t>
      </w:r>
      <w:r>
        <w:rPr>
          <w:lang w:val="zh-CN"/>
        </w:rPr>
        <w:t>和</w:t>
      </w:r>
      <w:r w:rsidRPr="0062114B">
        <w:rPr>
          <w:lang w:val="en-US"/>
        </w:rPr>
        <w:t>Fadel</w:t>
      </w:r>
      <w:proofErr w:type="spellEnd"/>
      <w:r w:rsidRPr="0062114B">
        <w:rPr>
          <w:lang w:val="en-US"/>
        </w:rPr>
        <w:t xml:space="preserve"> </w:t>
      </w:r>
      <w:proofErr w:type="spellStart"/>
      <w:r w:rsidRPr="0062114B">
        <w:rPr>
          <w:lang w:val="en-US"/>
        </w:rPr>
        <w:t>Digham</w:t>
      </w:r>
      <w:r>
        <w:rPr>
          <w:lang w:val="zh-CN"/>
        </w:rPr>
        <w:t>先生</w:t>
      </w:r>
      <w:r w:rsidRPr="0062114B">
        <w:rPr>
          <w:lang w:val="en-US"/>
        </w:rPr>
        <w:t>（</w:t>
      </w:r>
      <w:r>
        <w:rPr>
          <w:lang w:val="zh-CN"/>
        </w:rPr>
        <w:t>埃及</w:t>
      </w:r>
      <w:proofErr w:type="spellEnd"/>
      <w:r w:rsidRPr="0062114B">
        <w:rPr>
          <w:lang w:val="en-US"/>
        </w:rPr>
        <w:t>）</w:t>
      </w:r>
      <w:r w:rsidR="000A6373">
        <w:rPr>
          <w:rFonts w:hint="eastAsia"/>
          <w:lang w:val="en-US" w:eastAsia="zh-CN"/>
        </w:rPr>
        <w:t>、</w:t>
      </w:r>
      <w:proofErr w:type="spellStart"/>
      <w:r>
        <w:rPr>
          <w:lang w:val="zh-CN"/>
        </w:rPr>
        <w:t>以及</w:t>
      </w:r>
      <w:proofErr w:type="spellEnd"/>
      <w:r w:rsidR="004E5F5D">
        <w:rPr>
          <w:rFonts w:hint="eastAsia"/>
          <w:lang w:val="zh-CN" w:eastAsia="zh-CN"/>
        </w:rPr>
        <w:t>指定</w:t>
      </w:r>
      <w:r>
        <w:rPr>
          <w:lang w:val="zh-CN"/>
        </w:rPr>
        <w:t>的</w:t>
      </w:r>
      <w:r w:rsidRPr="0062114B">
        <w:rPr>
          <w:lang w:val="en-US"/>
        </w:rPr>
        <w:t>ITU-D</w:t>
      </w:r>
      <w:r>
        <w:rPr>
          <w:lang w:val="zh-CN"/>
        </w:rPr>
        <w:t>第</w:t>
      </w:r>
      <w:r w:rsidRPr="0062114B">
        <w:rPr>
          <w:lang w:val="en-US"/>
        </w:rPr>
        <w:t>1</w:t>
      </w:r>
      <w:r>
        <w:rPr>
          <w:lang w:val="zh-CN"/>
        </w:rPr>
        <w:t>研究组</w:t>
      </w:r>
      <w:r w:rsidRPr="0062114B">
        <w:rPr>
          <w:lang w:val="en-US"/>
        </w:rPr>
        <w:t>（</w:t>
      </w:r>
      <w:r w:rsidRPr="0062114B">
        <w:rPr>
          <w:lang w:val="en-US"/>
        </w:rPr>
        <w:t>SG1</w:t>
      </w:r>
      <w:r w:rsidRPr="0062114B">
        <w:rPr>
          <w:lang w:val="en-US"/>
        </w:rPr>
        <w:t>）</w:t>
      </w:r>
      <w:r>
        <w:rPr>
          <w:lang w:val="zh-CN"/>
        </w:rPr>
        <w:t>的</w:t>
      </w:r>
      <w:r w:rsidR="000A6373">
        <w:rPr>
          <w:lang w:val="zh-CN"/>
        </w:rPr>
        <w:t>协调</w:t>
      </w:r>
      <w:r w:rsidR="004E5F5D">
        <w:rPr>
          <w:rFonts w:hint="eastAsia"/>
          <w:lang w:val="zh-CN" w:eastAsia="zh-CN"/>
        </w:rPr>
        <w:t>人</w:t>
      </w:r>
      <w:r w:rsidRPr="0062114B">
        <w:rPr>
          <w:lang w:val="en-US"/>
        </w:rPr>
        <w:t>Roberto Hirayama</w:t>
      </w:r>
      <w:r>
        <w:rPr>
          <w:lang w:val="zh-CN"/>
        </w:rPr>
        <w:t>先生</w:t>
      </w:r>
      <w:r w:rsidRPr="0062114B">
        <w:rPr>
          <w:lang w:val="en-US"/>
        </w:rPr>
        <w:t>（</w:t>
      </w:r>
      <w:r>
        <w:rPr>
          <w:lang w:val="zh-CN"/>
        </w:rPr>
        <w:t>巴西</w:t>
      </w:r>
      <w:r w:rsidRPr="0062114B">
        <w:rPr>
          <w:lang w:val="en-US"/>
        </w:rPr>
        <w:t>）</w:t>
      </w:r>
      <w:r>
        <w:rPr>
          <w:lang w:val="zh-CN"/>
        </w:rPr>
        <w:t>和</w:t>
      </w:r>
      <w:r w:rsidRPr="0062114B">
        <w:rPr>
          <w:lang w:val="en-US"/>
        </w:rPr>
        <w:t>ITU-D</w:t>
      </w:r>
      <w:r>
        <w:rPr>
          <w:lang w:val="zh-CN"/>
        </w:rPr>
        <w:t>第</w:t>
      </w:r>
      <w:r w:rsidRPr="0062114B">
        <w:rPr>
          <w:lang w:val="en-US"/>
        </w:rPr>
        <w:t>2</w:t>
      </w:r>
      <w:r>
        <w:rPr>
          <w:lang w:val="zh-CN"/>
        </w:rPr>
        <w:t>研究组</w:t>
      </w:r>
      <w:r w:rsidRPr="0062114B">
        <w:rPr>
          <w:lang w:val="en-US"/>
        </w:rPr>
        <w:t>（</w:t>
      </w:r>
      <w:r w:rsidRPr="0062114B">
        <w:rPr>
          <w:lang w:val="en-US"/>
        </w:rPr>
        <w:t>SG2</w:t>
      </w:r>
      <w:r w:rsidRPr="0062114B">
        <w:rPr>
          <w:lang w:val="en-US"/>
        </w:rPr>
        <w:t>）</w:t>
      </w:r>
      <w:r>
        <w:rPr>
          <w:lang w:val="zh-CN"/>
        </w:rPr>
        <w:t>的</w:t>
      </w:r>
      <w:r w:rsidR="000A6373">
        <w:rPr>
          <w:lang w:val="zh-CN"/>
        </w:rPr>
        <w:t>协调员</w:t>
      </w:r>
      <w:r w:rsidRPr="0062114B">
        <w:rPr>
          <w:lang w:val="en-US"/>
        </w:rPr>
        <w:t xml:space="preserve">Victor </w:t>
      </w:r>
      <w:proofErr w:type="spellStart"/>
      <w:r w:rsidRPr="0062114B">
        <w:rPr>
          <w:lang w:val="en-US"/>
        </w:rPr>
        <w:t>Martinez</w:t>
      </w:r>
      <w:r>
        <w:rPr>
          <w:lang w:val="zh-CN"/>
        </w:rPr>
        <w:t>先生</w:t>
      </w:r>
      <w:r w:rsidRPr="0062114B">
        <w:rPr>
          <w:lang w:val="en-US"/>
        </w:rPr>
        <w:t>（</w:t>
      </w:r>
      <w:r>
        <w:rPr>
          <w:lang w:val="zh-CN"/>
        </w:rPr>
        <w:t>巴拉圭</w:t>
      </w:r>
      <w:proofErr w:type="spellEnd"/>
      <w:r w:rsidRPr="0062114B">
        <w:rPr>
          <w:lang w:val="en-US"/>
        </w:rPr>
        <w:t>）</w:t>
      </w:r>
      <w:r w:rsidR="000A6373">
        <w:rPr>
          <w:rFonts w:hint="eastAsia"/>
          <w:lang w:val="en-US" w:eastAsia="zh-CN"/>
        </w:rPr>
        <w:t>，</w:t>
      </w:r>
      <w:proofErr w:type="spellStart"/>
      <w:r>
        <w:rPr>
          <w:lang w:val="zh-CN"/>
        </w:rPr>
        <w:t>为主席提供了不懈的支持</w:t>
      </w:r>
      <w:proofErr w:type="spellEnd"/>
      <w:r>
        <w:rPr>
          <w:lang w:val="zh-CN"/>
        </w:rPr>
        <w:t>。</w:t>
      </w:r>
    </w:p>
    <w:p w14:paraId="7702F53A" w14:textId="77777777" w:rsidR="002C63BB" w:rsidRDefault="002C63BB" w:rsidP="001D449E">
      <w:pPr>
        <w:ind w:firstLineChars="200" w:firstLine="480"/>
        <w:rPr>
          <w:rFonts w:cstheme="minorHAnsi"/>
          <w:szCs w:val="24"/>
          <w:lang w:eastAsia="zh-CN"/>
        </w:rPr>
      </w:pPr>
      <w:r>
        <w:rPr>
          <w:lang w:val="zh-CN" w:eastAsia="zh-CN"/>
        </w:rPr>
        <w:t>区域联系人已确定，见附件</w:t>
      </w:r>
      <w:r>
        <w:rPr>
          <w:lang w:val="zh-CN" w:eastAsia="zh-CN"/>
        </w:rPr>
        <w:t>1</w:t>
      </w:r>
      <w:r>
        <w:rPr>
          <w:lang w:val="zh-CN" w:eastAsia="zh-CN"/>
        </w:rPr>
        <w:t>。</w:t>
      </w:r>
    </w:p>
    <w:p w14:paraId="4786BCC3" w14:textId="24B078A6" w:rsidR="002C63BB" w:rsidRPr="00E92DF8" w:rsidRDefault="00E92DF8" w:rsidP="00E92DF8">
      <w:pPr>
        <w:pStyle w:val="Heading1"/>
        <w:rPr>
          <w:sz w:val="24"/>
          <w:szCs w:val="24"/>
          <w:lang w:val="en-US" w:eastAsia="zh-CN"/>
        </w:rPr>
      </w:pPr>
      <w:r>
        <w:rPr>
          <w:sz w:val="24"/>
          <w:szCs w:val="24"/>
          <w:lang w:val="en-US" w:eastAsia="zh-CN"/>
        </w:rPr>
        <w:t>3</w:t>
      </w:r>
      <w:r>
        <w:rPr>
          <w:sz w:val="24"/>
          <w:szCs w:val="24"/>
          <w:lang w:val="en-US" w:eastAsia="zh-CN"/>
        </w:rPr>
        <w:tab/>
      </w:r>
      <w:r w:rsidR="000A6373" w:rsidRPr="00E92DF8">
        <w:rPr>
          <w:sz w:val="24"/>
          <w:szCs w:val="24"/>
          <w:lang w:val="en-US" w:eastAsia="zh-CN"/>
        </w:rPr>
        <w:t>经批准的</w:t>
      </w:r>
      <w:r w:rsidR="002C63BB" w:rsidRPr="00E92DF8">
        <w:rPr>
          <w:sz w:val="24"/>
          <w:szCs w:val="24"/>
          <w:lang w:val="en-US" w:eastAsia="zh-CN"/>
        </w:rPr>
        <w:t>TDAG-WG-</w:t>
      </w:r>
      <w:proofErr w:type="spellStart"/>
      <w:r w:rsidR="002C63BB" w:rsidRPr="00E92DF8">
        <w:rPr>
          <w:sz w:val="24"/>
          <w:szCs w:val="24"/>
          <w:lang w:val="en-US" w:eastAsia="zh-CN"/>
        </w:rPr>
        <w:t>futureSGQ</w:t>
      </w:r>
      <w:proofErr w:type="spellEnd"/>
      <w:r w:rsidR="002C63BB" w:rsidRPr="00E92DF8">
        <w:rPr>
          <w:sz w:val="24"/>
          <w:szCs w:val="24"/>
          <w:lang w:val="en-US" w:eastAsia="zh-CN"/>
        </w:rPr>
        <w:t>的职责范围</w:t>
      </w:r>
    </w:p>
    <w:p w14:paraId="17046713" w14:textId="486B8DEB" w:rsidR="002C63BB" w:rsidRPr="003E01BC" w:rsidRDefault="001D449E" w:rsidP="001D449E">
      <w:pPr>
        <w:pStyle w:val="enumlev1"/>
        <w:rPr>
          <w:rFonts w:cstheme="minorHAnsi"/>
          <w:szCs w:val="24"/>
          <w:lang w:eastAsia="zh-CN"/>
        </w:rPr>
      </w:pPr>
      <w:r>
        <w:rPr>
          <w:lang w:val="zh-CN" w:eastAsia="zh-CN"/>
        </w:rPr>
        <w:t>1</w:t>
      </w:r>
      <w:r>
        <w:rPr>
          <w:lang w:val="en-US" w:eastAsia="zh-CN"/>
        </w:rPr>
        <w:t>)</w:t>
      </w:r>
      <w:r>
        <w:rPr>
          <w:lang w:val="en-US"/>
        </w:rPr>
        <w:tab/>
      </w:r>
      <w:r w:rsidR="002C63BB">
        <w:rPr>
          <w:lang w:val="zh-CN" w:eastAsia="zh-CN"/>
        </w:rPr>
        <w:t>作为就</w:t>
      </w:r>
      <w:r w:rsidR="002C63BB">
        <w:rPr>
          <w:lang w:val="zh-CN" w:eastAsia="zh-CN"/>
        </w:rPr>
        <w:t>ITU-D</w:t>
      </w:r>
      <w:r w:rsidR="004E5F5D">
        <w:rPr>
          <w:lang w:val="zh-CN" w:eastAsia="zh-CN"/>
        </w:rPr>
        <w:t>未来</w:t>
      </w:r>
      <w:r w:rsidR="002C63BB">
        <w:rPr>
          <w:lang w:val="zh-CN" w:eastAsia="zh-CN"/>
        </w:rPr>
        <w:t>研究课题进行集中讨论的单一平台，并就</w:t>
      </w:r>
      <w:r w:rsidR="002C63BB">
        <w:rPr>
          <w:lang w:val="zh-CN" w:eastAsia="zh-CN"/>
        </w:rPr>
        <w:t>ITU-D</w:t>
      </w:r>
      <w:r w:rsidR="002C63BB">
        <w:rPr>
          <w:lang w:val="zh-CN" w:eastAsia="zh-CN"/>
        </w:rPr>
        <w:t>研究课题的范围、编号、标题和职责范围对第</w:t>
      </w:r>
      <w:r w:rsidR="002C63BB">
        <w:rPr>
          <w:lang w:val="zh-CN" w:eastAsia="zh-CN"/>
        </w:rPr>
        <w:t>2</w:t>
      </w:r>
      <w:r w:rsidR="002C63BB">
        <w:rPr>
          <w:lang w:val="zh-CN" w:eastAsia="zh-CN"/>
        </w:rPr>
        <w:t>号决议（</w:t>
      </w:r>
      <w:r w:rsidR="002C63BB">
        <w:rPr>
          <w:lang w:val="zh-CN" w:eastAsia="zh-CN"/>
        </w:rPr>
        <w:t>2022</w:t>
      </w:r>
      <w:r w:rsidR="002C63BB">
        <w:rPr>
          <w:lang w:val="zh-CN" w:eastAsia="zh-CN"/>
        </w:rPr>
        <w:t>年，基加利，修订版）提出具体修改建议以协助国际电联成员筹备下届</w:t>
      </w:r>
      <w:r w:rsidR="002C63BB">
        <w:rPr>
          <w:lang w:val="zh-CN" w:eastAsia="zh-CN"/>
        </w:rPr>
        <w:t>WTDC</w:t>
      </w:r>
      <w:r w:rsidR="002C63BB">
        <w:rPr>
          <w:lang w:val="zh-CN" w:eastAsia="zh-CN"/>
        </w:rPr>
        <w:t>，同时考虑到信息通信技术的发展、国际电联成员的工作重点以及</w:t>
      </w:r>
      <w:r w:rsidR="002C63BB">
        <w:rPr>
          <w:lang w:val="zh-CN" w:eastAsia="zh-CN"/>
        </w:rPr>
        <w:t>ITU-D</w:t>
      </w:r>
      <w:r w:rsidR="002C63BB">
        <w:rPr>
          <w:lang w:val="zh-CN" w:eastAsia="zh-CN"/>
        </w:rPr>
        <w:t>研究</w:t>
      </w:r>
      <w:proofErr w:type="gramStart"/>
      <w:r w:rsidR="002C63BB">
        <w:rPr>
          <w:lang w:val="zh-CN" w:eastAsia="zh-CN"/>
        </w:rPr>
        <w:t>组当前</w:t>
      </w:r>
      <w:proofErr w:type="gramEnd"/>
      <w:r w:rsidR="002C63BB">
        <w:rPr>
          <w:lang w:val="zh-CN" w:eastAsia="zh-CN"/>
        </w:rPr>
        <w:t>和过去的活动</w:t>
      </w:r>
      <w:r w:rsidR="002C63BB">
        <w:rPr>
          <w:lang w:val="zh-CN" w:eastAsia="zh-CN"/>
        </w:rPr>
        <w:t>/</w:t>
      </w:r>
      <w:r w:rsidR="002C63BB">
        <w:rPr>
          <w:lang w:val="zh-CN" w:eastAsia="zh-CN"/>
        </w:rPr>
        <w:t>成果。</w:t>
      </w:r>
    </w:p>
    <w:p w14:paraId="1EF2FC67" w14:textId="53E510A9" w:rsidR="002C63BB" w:rsidRPr="003E01BC" w:rsidRDefault="001D449E" w:rsidP="001D449E">
      <w:pPr>
        <w:pStyle w:val="enumlev1"/>
        <w:rPr>
          <w:rFonts w:cstheme="minorHAnsi"/>
          <w:szCs w:val="24"/>
          <w:lang w:eastAsia="zh-CN"/>
        </w:rPr>
      </w:pPr>
      <w:r>
        <w:rPr>
          <w:lang w:val="en-US" w:eastAsia="zh-CN"/>
        </w:rPr>
        <w:t>2</w:t>
      </w:r>
      <w:r>
        <w:rPr>
          <w:lang w:val="en-US" w:eastAsia="zh-CN"/>
        </w:rPr>
        <w:t>)</w:t>
      </w:r>
      <w:r>
        <w:rPr>
          <w:lang w:val="en-US" w:eastAsia="zh-CN"/>
        </w:rPr>
        <w:tab/>
      </w:r>
      <w:r w:rsidR="002C63BB">
        <w:rPr>
          <w:lang w:val="zh-CN" w:eastAsia="zh-CN"/>
        </w:rPr>
        <w:t>尽可能将拟议研究课题与电信发展局工作重点、拟议区域性举措、</w:t>
      </w:r>
      <w:r w:rsidR="004E5F5D">
        <w:rPr>
          <w:lang w:val="zh-CN" w:eastAsia="zh-CN"/>
        </w:rPr>
        <w:t>国际电联牵头负责的</w:t>
      </w:r>
      <w:r w:rsidR="002C63BB">
        <w:rPr>
          <w:lang w:val="zh-CN" w:eastAsia="zh-CN"/>
        </w:rPr>
        <w:t>2030</w:t>
      </w:r>
      <w:r w:rsidR="002C63BB">
        <w:rPr>
          <w:lang w:val="zh-CN" w:eastAsia="zh-CN"/>
        </w:rPr>
        <w:t>年可持续发展目标和</w:t>
      </w:r>
      <w:r w:rsidR="002C63BB">
        <w:rPr>
          <w:lang w:val="zh-CN" w:eastAsia="zh-CN"/>
        </w:rPr>
        <w:t>WSIS</w:t>
      </w:r>
      <w:r w:rsidR="002C63BB">
        <w:rPr>
          <w:lang w:val="zh-CN" w:eastAsia="zh-CN"/>
        </w:rPr>
        <w:t>行动方面（</w:t>
      </w:r>
      <w:r w:rsidR="002C63BB">
        <w:rPr>
          <w:lang w:val="zh-CN" w:eastAsia="zh-CN"/>
        </w:rPr>
        <w:t>C2</w:t>
      </w:r>
      <w:r w:rsidR="002C63BB">
        <w:rPr>
          <w:lang w:val="zh-CN" w:eastAsia="zh-CN"/>
        </w:rPr>
        <w:t>、</w:t>
      </w:r>
      <w:r w:rsidR="002C63BB">
        <w:rPr>
          <w:lang w:val="zh-CN" w:eastAsia="zh-CN"/>
        </w:rPr>
        <w:t>C5</w:t>
      </w:r>
      <w:r w:rsidR="002C63BB">
        <w:rPr>
          <w:lang w:val="zh-CN" w:eastAsia="zh-CN"/>
        </w:rPr>
        <w:t>和</w:t>
      </w:r>
      <w:r w:rsidR="002C63BB">
        <w:rPr>
          <w:lang w:val="zh-CN" w:eastAsia="zh-CN"/>
        </w:rPr>
        <w:t>C6</w:t>
      </w:r>
      <w:r w:rsidR="002C63BB">
        <w:rPr>
          <w:lang w:val="zh-CN" w:eastAsia="zh-CN"/>
        </w:rPr>
        <w:t>）统一起来。</w:t>
      </w:r>
    </w:p>
    <w:p w14:paraId="6AC9AD3E" w14:textId="0D18264F" w:rsidR="002C63BB" w:rsidRPr="003E01BC" w:rsidRDefault="001D449E" w:rsidP="001D449E">
      <w:pPr>
        <w:pStyle w:val="enumlev1"/>
        <w:rPr>
          <w:rFonts w:cstheme="minorHAnsi"/>
          <w:szCs w:val="24"/>
          <w:lang w:eastAsia="zh-CN"/>
        </w:rPr>
      </w:pPr>
      <w:r>
        <w:rPr>
          <w:lang w:val="en-US" w:eastAsia="zh-CN"/>
        </w:rPr>
        <w:t>3</w:t>
      </w:r>
      <w:r>
        <w:rPr>
          <w:lang w:val="en-US" w:eastAsia="zh-CN"/>
        </w:rPr>
        <w:t>)</w:t>
      </w:r>
      <w:r>
        <w:rPr>
          <w:lang w:val="en-US" w:eastAsia="zh-CN"/>
        </w:rPr>
        <w:tab/>
      </w:r>
      <w:r w:rsidR="002C63BB">
        <w:rPr>
          <w:lang w:val="zh-CN" w:eastAsia="zh-CN"/>
        </w:rPr>
        <w:t>通过调查、文稿和会议等相关渠道开展研究并了解国际电联成员的意见。</w:t>
      </w:r>
    </w:p>
    <w:p w14:paraId="56081BB5" w14:textId="10438814" w:rsidR="002C63BB" w:rsidRPr="003E01BC" w:rsidRDefault="001D449E" w:rsidP="001D449E">
      <w:pPr>
        <w:pStyle w:val="enumlev1"/>
        <w:rPr>
          <w:rFonts w:cstheme="minorHAnsi"/>
          <w:szCs w:val="24"/>
        </w:rPr>
      </w:pPr>
      <w:r>
        <w:rPr>
          <w:lang w:val="en-US" w:eastAsia="zh-CN"/>
        </w:rPr>
        <w:t>4</w:t>
      </w:r>
      <w:r>
        <w:rPr>
          <w:lang w:val="en-US" w:eastAsia="zh-CN"/>
        </w:rPr>
        <w:t>)</w:t>
      </w:r>
      <w:r>
        <w:rPr>
          <w:lang w:val="en-US" w:eastAsia="zh-CN"/>
        </w:rPr>
        <w:tab/>
      </w:r>
      <w:r w:rsidR="002C63BB">
        <w:rPr>
          <w:lang w:val="zh-CN" w:eastAsia="zh-CN"/>
        </w:rPr>
        <w:t>通过指定的</w:t>
      </w:r>
      <w:r w:rsidR="002C63BB">
        <w:rPr>
          <w:lang w:val="zh-CN" w:eastAsia="zh-CN"/>
        </w:rPr>
        <w:t>ITU-D</w:t>
      </w:r>
      <w:r w:rsidR="002C63BB">
        <w:rPr>
          <w:lang w:val="zh-CN" w:eastAsia="zh-CN"/>
        </w:rPr>
        <w:t>第</w:t>
      </w:r>
      <w:r w:rsidR="002C63BB">
        <w:rPr>
          <w:lang w:val="zh-CN" w:eastAsia="zh-CN"/>
        </w:rPr>
        <w:t>1</w:t>
      </w:r>
      <w:r w:rsidR="002C63BB">
        <w:rPr>
          <w:lang w:val="zh-CN" w:eastAsia="zh-CN"/>
        </w:rPr>
        <w:t>和第</w:t>
      </w:r>
      <w:r w:rsidR="002C63BB">
        <w:rPr>
          <w:lang w:val="zh-CN" w:eastAsia="zh-CN"/>
        </w:rPr>
        <w:t>2</w:t>
      </w:r>
      <w:r w:rsidR="002C63BB">
        <w:rPr>
          <w:lang w:val="zh-CN" w:eastAsia="zh-CN"/>
        </w:rPr>
        <w:t>研究组协调人就研究课题的</w:t>
      </w:r>
      <w:r w:rsidR="004E5F5D">
        <w:rPr>
          <w:lang w:val="zh-CN" w:eastAsia="zh-CN"/>
        </w:rPr>
        <w:t>未来</w:t>
      </w:r>
      <w:r w:rsidR="002C63BB">
        <w:rPr>
          <w:lang w:val="zh-CN" w:eastAsia="zh-CN"/>
        </w:rPr>
        <w:t>与</w:t>
      </w:r>
      <w:r w:rsidR="002C63BB">
        <w:rPr>
          <w:lang w:val="zh-CN" w:eastAsia="zh-CN"/>
        </w:rPr>
        <w:t>ITU-D</w:t>
      </w:r>
      <w:r w:rsidR="002C63BB">
        <w:rPr>
          <w:lang w:val="zh-CN" w:eastAsia="zh-CN"/>
        </w:rPr>
        <w:t>各研究组进行联络。</w:t>
      </w:r>
      <w:proofErr w:type="spellStart"/>
      <w:r w:rsidR="002C63BB">
        <w:rPr>
          <w:lang w:val="zh-CN"/>
        </w:rPr>
        <w:t>协调人可应国际电联成员的要求，协助</w:t>
      </w:r>
      <w:proofErr w:type="spellEnd"/>
      <w:r w:rsidR="004E5F5D">
        <w:rPr>
          <w:rFonts w:hint="eastAsia"/>
          <w:lang w:val="zh-CN" w:eastAsia="zh-CN"/>
        </w:rPr>
        <w:t>其</w:t>
      </w:r>
      <w:proofErr w:type="spellStart"/>
      <w:r w:rsidR="002C63BB">
        <w:rPr>
          <w:lang w:val="zh-CN"/>
        </w:rPr>
        <w:t>准备有关课题未来的文稿</w:t>
      </w:r>
      <w:proofErr w:type="spellEnd"/>
      <w:r w:rsidR="002C63BB">
        <w:rPr>
          <w:lang w:val="zh-CN"/>
        </w:rPr>
        <w:t>。</w:t>
      </w:r>
    </w:p>
    <w:p w14:paraId="101BD615" w14:textId="5F575E6E" w:rsidR="002C63BB" w:rsidRPr="003E01BC" w:rsidRDefault="001D449E" w:rsidP="001D449E">
      <w:pPr>
        <w:pStyle w:val="enumlev1"/>
        <w:rPr>
          <w:rFonts w:cstheme="minorHAnsi"/>
          <w:szCs w:val="24"/>
          <w:lang w:eastAsia="zh-CN"/>
        </w:rPr>
      </w:pPr>
      <w:r>
        <w:rPr>
          <w:lang w:val="en-US" w:eastAsia="zh-CN"/>
        </w:rPr>
        <w:t>5</w:t>
      </w:r>
      <w:r>
        <w:rPr>
          <w:lang w:val="en-US" w:eastAsia="zh-CN"/>
        </w:rPr>
        <w:t>)</w:t>
      </w:r>
      <w:r>
        <w:rPr>
          <w:lang w:val="en-US" w:eastAsia="zh-CN"/>
        </w:rPr>
        <w:tab/>
      </w:r>
      <w:r w:rsidR="002C63BB">
        <w:rPr>
          <w:lang w:val="zh-CN" w:eastAsia="zh-CN"/>
        </w:rPr>
        <w:t>定期向</w:t>
      </w:r>
      <w:r w:rsidR="002C63BB">
        <w:rPr>
          <w:lang w:val="zh-CN" w:eastAsia="zh-CN"/>
        </w:rPr>
        <w:t>TDAG</w:t>
      </w:r>
      <w:r w:rsidR="002C63BB">
        <w:rPr>
          <w:lang w:val="zh-CN" w:eastAsia="zh-CN"/>
        </w:rPr>
        <w:t>提交最新情况。</w:t>
      </w:r>
    </w:p>
    <w:p w14:paraId="16F0A99D" w14:textId="19D79660" w:rsidR="002C63BB" w:rsidRPr="001D449E" w:rsidRDefault="001D449E" w:rsidP="001D449E">
      <w:pPr>
        <w:pStyle w:val="Heading1"/>
        <w:spacing w:after="120"/>
        <w:rPr>
          <w:sz w:val="24"/>
          <w:szCs w:val="24"/>
          <w:lang w:val="en-US" w:eastAsia="zh-CN"/>
        </w:rPr>
      </w:pPr>
      <w:r>
        <w:rPr>
          <w:sz w:val="24"/>
          <w:szCs w:val="24"/>
          <w:lang w:val="en-US" w:eastAsia="zh-CN"/>
        </w:rPr>
        <w:t>4</w:t>
      </w:r>
      <w:r>
        <w:rPr>
          <w:sz w:val="24"/>
          <w:szCs w:val="24"/>
          <w:lang w:val="en-US" w:eastAsia="zh-CN"/>
        </w:rPr>
        <w:tab/>
      </w:r>
      <w:r w:rsidR="002C63BB" w:rsidRPr="001D449E">
        <w:rPr>
          <w:sz w:val="24"/>
          <w:szCs w:val="24"/>
          <w:lang w:val="en-US" w:eastAsia="zh-CN"/>
        </w:rPr>
        <w:t>会议成果</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6834"/>
      </w:tblGrid>
      <w:tr w:rsidR="002C63BB" w:rsidRPr="00BD41B4" w14:paraId="3CCFA936" w14:textId="77777777" w:rsidTr="00AF7269">
        <w:trPr>
          <w:trHeight w:val="300"/>
          <w:tblHeader/>
        </w:trPr>
        <w:tc>
          <w:tcPr>
            <w:tcW w:w="2795" w:type="dxa"/>
            <w:shd w:val="clear" w:color="auto" w:fill="auto"/>
            <w:hideMark/>
          </w:tcPr>
          <w:p w14:paraId="29A7B88A" w14:textId="77777777" w:rsidR="002C63BB" w:rsidRPr="00CE1116" w:rsidRDefault="002C63BB" w:rsidP="0044630E">
            <w:pPr>
              <w:pStyle w:val="Tablehead"/>
              <w:jc w:val="left"/>
              <w:rPr>
                <w:rFonts w:cstheme="minorHAnsi"/>
                <w:szCs w:val="24"/>
              </w:rPr>
            </w:pPr>
            <w:proofErr w:type="spellStart"/>
            <w:r>
              <w:rPr>
                <w:lang w:val="zh-CN"/>
              </w:rPr>
              <w:t>会议报告</w:t>
            </w:r>
            <w:proofErr w:type="spellEnd"/>
          </w:p>
        </w:tc>
        <w:tc>
          <w:tcPr>
            <w:tcW w:w="6834" w:type="dxa"/>
            <w:shd w:val="clear" w:color="auto" w:fill="auto"/>
            <w:hideMark/>
          </w:tcPr>
          <w:p w14:paraId="225F4B12" w14:textId="77777777" w:rsidR="002C63BB" w:rsidRPr="00CE1116" w:rsidRDefault="002C63BB" w:rsidP="0044630E">
            <w:pPr>
              <w:pStyle w:val="Tablehead"/>
              <w:jc w:val="left"/>
              <w:rPr>
                <w:rFonts w:cstheme="minorHAnsi"/>
                <w:szCs w:val="24"/>
              </w:rPr>
            </w:pPr>
            <w:proofErr w:type="spellStart"/>
            <w:r>
              <w:rPr>
                <w:lang w:val="zh-CN"/>
              </w:rPr>
              <w:t>成果</w:t>
            </w:r>
            <w:proofErr w:type="spellEnd"/>
          </w:p>
        </w:tc>
      </w:tr>
      <w:tr w:rsidR="002C63BB" w:rsidRPr="00BD41B4" w14:paraId="7C52C66D" w14:textId="77777777" w:rsidTr="00AF7269">
        <w:trPr>
          <w:trHeight w:val="300"/>
        </w:trPr>
        <w:tc>
          <w:tcPr>
            <w:tcW w:w="2795" w:type="dxa"/>
            <w:shd w:val="clear" w:color="auto" w:fill="auto"/>
            <w:hideMark/>
          </w:tcPr>
          <w:p w14:paraId="059B54E3" w14:textId="581039EF" w:rsidR="002C63BB" w:rsidRPr="00C03280" w:rsidRDefault="002C63BB" w:rsidP="0044630E">
            <w:pPr>
              <w:pStyle w:val="Tabletext"/>
              <w:rPr>
                <w:rFonts w:cstheme="minorHAnsi"/>
                <w:szCs w:val="24"/>
                <w:lang w:eastAsia="zh-CN"/>
              </w:rPr>
            </w:pPr>
            <w:r>
              <w:rPr>
                <w:lang w:val="zh-CN" w:eastAsia="zh-CN"/>
              </w:rPr>
              <w:t>2024</w:t>
            </w:r>
            <w:r>
              <w:rPr>
                <w:lang w:val="zh-CN" w:eastAsia="zh-CN"/>
              </w:rPr>
              <w:t>年</w:t>
            </w:r>
            <w:r>
              <w:rPr>
                <w:lang w:val="zh-CN" w:eastAsia="zh-CN"/>
              </w:rPr>
              <w:t>3</w:t>
            </w:r>
            <w:r>
              <w:rPr>
                <w:lang w:val="zh-CN" w:eastAsia="zh-CN"/>
              </w:rPr>
              <w:t>月</w:t>
            </w:r>
            <w:r>
              <w:rPr>
                <w:lang w:val="zh-CN" w:eastAsia="zh-CN"/>
              </w:rPr>
              <w:t>4</w:t>
            </w:r>
            <w:r>
              <w:rPr>
                <w:lang w:val="zh-CN" w:eastAsia="zh-CN"/>
              </w:rPr>
              <w:t>日举行</w:t>
            </w:r>
            <w:r w:rsidR="000276A4">
              <w:rPr>
                <w:rFonts w:hint="eastAsia"/>
                <w:lang w:val="zh-CN" w:eastAsia="zh-CN"/>
              </w:rPr>
              <w:t>的</w:t>
            </w:r>
            <w:r w:rsidR="000276A4">
              <w:rPr>
                <w:lang w:val="zh-CN" w:eastAsia="zh-CN"/>
              </w:rPr>
              <w:t>第</w:t>
            </w:r>
            <w:r w:rsidR="000276A4">
              <w:rPr>
                <w:rFonts w:hint="eastAsia"/>
                <w:lang w:val="zh-CN" w:eastAsia="zh-CN"/>
              </w:rPr>
              <w:t>1</w:t>
            </w:r>
            <w:r w:rsidR="000276A4">
              <w:rPr>
                <w:lang w:val="zh-CN" w:eastAsia="zh-CN"/>
              </w:rPr>
              <w:t>次会议</w:t>
            </w:r>
          </w:p>
        </w:tc>
        <w:tc>
          <w:tcPr>
            <w:tcW w:w="6834" w:type="dxa"/>
            <w:shd w:val="clear" w:color="auto" w:fill="auto"/>
            <w:hideMark/>
          </w:tcPr>
          <w:p w14:paraId="33143AE5" w14:textId="12C98AD4" w:rsidR="002C63BB" w:rsidRPr="0058511C" w:rsidRDefault="003753B7" w:rsidP="003753B7">
            <w:pPr>
              <w:pStyle w:val="Tabletext"/>
              <w:tabs>
                <w:tab w:val="clear" w:pos="284"/>
              </w:tabs>
              <w:rPr>
                <w:rFonts w:cstheme="minorHAnsi"/>
                <w:szCs w:val="24"/>
                <w:lang w:eastAsia="zh-CN"/>
              </w:rPr>
            </w:pPr>
            <w:r w:rsidRPr="003753B7">
              <w:rPr>
                <w:lang w:val="zh-CN" w:eastAsia="zh-CN"/>
              </w:rPr>
              <w:t>–</w:t>
            </w:r>
            <w:r>
              <w:rPr>
                <w:lang w:val="en-US" w:eastAsia="zh-CN"/>
              </w:rPr>
              <w:tab/>
            </w:r>
            <w:r w:rsidR="002C63BB">
              <w:rPr>
                <w:lang w:val="zh-CN" w:eastAsia="zh-CN"/>
              </w:rPr>
              <w:t>就管理</w:t>
            </w:r>
            <w:r w:rsidR="004E5F5D">
              <w:rPr>
                <w:rFonts w:hint="eastAsia"/>
                <w:lang w:val="zh-CN" w:eastAsia="zh-CN"/>
              </w:rPr>
              <w:t>班子</w:t>
            </w:r>
            <w:r w:rsidR="002C63BB">
              <w:rPr>
                <w:lang w:val="zh-CN" w:eastAsia="zh-CN"/>
              </w:rPr>
              <w:t>和职责范围达成一致</w:t>
            </w:r>
          </w:p>
          <w:p w14:paraId="2A242009" w14:textId="18CE7C10" w:rsidR="002C63BB" w:rsidRPr="0058511C" w:rsidRDefault="003753B7" w:rsidP="003753B7">
            <w:pPr>
              <w:pStyle w:val="Tabletext"/>
              <w:tabs>
                <w:tab w:val="clear" w:pos="284"/>
              </w:tabs>
              <w:rPr>
                <w:rFonts w:cstheme="minorHAnsi"/>
                <w:szCs w:val="24"/>
                <w:lang w:eastAsia="zh-CN"/>
              </w:rPr>
            </w:pPr>
            <w:r w:rsidRPr="003753B7">
              <w:rPr>
                <w:lang w:val="en-US" w:eastAsia="zh-CN"/>
              </w:rPr>
              <w:t>–</w:t>
            </w:r>
            <w:r>
              <w:rPr>
                <w:lang w:val="en-US" w:eastAsia="zh-CN"/>
              </w:rPr>
              <w:tab/>
            </w:r>
            <w:proofErr w:type="gramStart"/>
            <w:r w:rsidR="002C63BB">
              <w:rPr>
                <w:lang w:val="zh-CN" w:eastAsia="zh-CN"/>
              </w:rPr>
              <w:t>就未来会议</w:t>
            </w:r>
            <w:r w:rsidR="004E5F5D">
              <w:rPr>
                <w:rFonts w:hint="eastAsia"/>
                <w:lang w:val="zh-CN" w:eastAsia="zh-CN"/>
              </w:rPr>
              <w:t>日期</w:t>
            </w:r>
            <w:r w:rsidR="002C63BB">
              <w:rPr>
                <w:lang w:val="zh-CN" w:eastAsia="zh-CN"/>
              </w:rPr>
              <w:t>达成一致；</w:t>
            </w:r>
            <w:proofErr w:type="gramEnd"/>
          </w:p>
          <w:p w14:paraId="46EDBFA1" w14:textId="4DD757A5" w:rsidR="002C63BB" w:rsidRDefault="003753B7" w:rsidP="003753B7">
            <w:pPr>
              <w:pStyle w:val="Tabletext"/>
              <w:tabs>
                <w:tab w:val="clear" w:pos="284"/>
              </w:tabs>
              <w:rPr>
                <w:rFonts w:cstheme="minorHAnsi"/>
                <w:szCs w:val="24"/>
                <w:lang w:eastAsia="zh-CN"/>
              </w:rPr>
            </w:pPr>
            <w:r w:rsidRPr="003753B7">
              <w:rPr>
                <w:lang w:val="en-US" w:eastAsia="zh-CN"/>
              </w:rPr>
              <w:t>–</w:t>
            </w:r>
            <w:r>
              <w:rPr>
                <w:lang w:val="en-US" w:eastAsia="zh-CN"/>
              </w:rPr>
              <w:tab/>
            </w:r>
            <w:r w:rsidR="002C63BB">
              <w:rPr>
                <w:lang w:val="zh-CN" w:eastAsia="zh-CN"/>
              </w:rPr>
              <w:t>审议背景文件，以制定未来的研究课题</w:t>
            </w:r>
          </w:p>
          <w:p w14:paraId="29DD4C78" w14:textId="50E46469" w:rsidR="002C63BB" w:rsidRPr="002341A9" w:rsidRDefault="002C63BB" w:rsidP="0044630E">
            <w:pPr>
              <w:pStyle w:val="Tabletext"/>
            </w:pPr>
            <w:proofErr w:type="spellStart"/>
            <w:r>
              <w:rPr>
                <w:lang w:val="zh-CN"/>
              </w:rPr>
              <w:t>会议报告见</w:t>
            </w:r>
            <w:proofErr w:type="spellEnd"/>
            <w:r w:rsidR="004E5F5D">
              <w:fldChar w:fldCharType="begin"/>
            </w:r>
            <w:r w:rsidR="004E5F5D">
              <w:instrText>HYPERLINK "https://www.itu.int/md/D22-TDAG.WG.SGQ-C-0006/en"</w:instrText>
            </w:r>
            <w:r w:rsidR="004E5F5D">
              <w:fldChar w:fldCharType="separate"/>
            </w:r>
            <w:r w:rsidR="004E5F5D" w:rsidRPr="002341A9">
              <w:rPr>
                <w:rStyle w:val="Hyperlink"/>
              </w:rPr>
              <w:t>TDAG-WG-</w:t>
            </w:r>
            <w:proofErr w:type="spellStart"/>
            <w:r w:rsidR="004E5F5D" w:rsidRPr="002341A9">
              <w:rPr>
                <w:rStyle w:val="Hyperlink"/>
              </w:rPr>
              <w:t>futureSGQ</w:t>
            </w:r>
            <w:proofErr w:type="spellEnd"/>
            <w:r w:rsidR="004E5F5D" w:rsidRPr="002341A9">
              <w:rPr>
                <w:rStyle w:val="Hyperlink"/>
              </w:rPr>
              <w:t>/6</w:t>
            </w:r>
            <w:r w:rsidR="004E5F5D">
              <w:fldChar w:fldCharType="end"/>
            </w:r>
            <w:proofErr w:type="spellStart"/>
            <w:r>
              <w:rPr>
                <w:lang w:val="zh-CN"/>
              </w:rPr>
              <w:t>号文件</w:t>
            </w:r>
            <w:proofErr w:type="spellEnd"/>
          </w:p>
          <w:p w14:paraId="29CB6E4A" w14:textId="0C2E95F1" w:rsidR="002C63BB" w:rsidRPr="00D82234" w:rsidRDefault="002C63BB" w:rsidP="0044630E">
            <w:pPr>
              <w:pStyle w:val="Tabletext"/>
              <w:rPr>
                <w:rFonts w:cstheme="minorHAnsi"/>
                <w:szCs w:val="24"/>
              </w:rPr>
            </w:pPr>
            <w:proofErr w:type="spellStart"/>
            <w:r>
              <w:rPr>
                <w:lang w:val="zh-CN"/>
              </w:rPr>
              <w:t>成果已</w:t>
            </w:r>
            <w:proofErr w:type="spellEnd"/>
            <w:r w:rsidR="004E5F5D">
              <w:rPr>
                <w:rFonts w:hint="eastAsia"/>
                <w:lang w:val="zh-CN" w:eastAsia="zh-CN"/>
              </w:rPr>
              <w:t>向</w:t>
            </w:r>
            <w:r>
              <w:rPr>
                <w:lang w:val="zh-CN"/>
              </w:rPr>
              <w:t>TDAG-24</w:t>
            </w:r>
            <w:proofErr w:type="spellStart"/>
            <w:r w:rsidR="004E5F5D">
              <w:rPr>
                <w:lang w:val="zh-CN"/>
              </w:rPr>
              <w:t>报告</w:t>
            </w:r>
            <w:proofErr w:type="spellEnd"/>
            <w:r>
              <w:rPr>
                <w:lang w:val="zh-CN"/>
              </w:rPr>
              <w:t>。</w:t>
            </w:r>
          </w:p>
        </w:tc>
      </w:tr>
      <w:tr w:rsidR="002C63BB" w:rsidRPr="00BD41B4" w14:paraId="4BF2EC96" w14:textId="77777777" w:rsidTr="00AF7269">
        <w:trPr>
          <w:trHeight w:val="300"/>
        </w:trPr>
        <w:tc>
          <w:tcPr>
            <w:tcW w:w="2795" w:type="dxa"/>
            <w:shd w:val="clear" w:color="auto" w:fill="auto"/>
            <w:hideMark/>
          </w:tcPr>
          <w:p w14:paraId="0E93309F" w14:textId="4FFD1732" w:rsidR="002C63BB" w:rsidRPr="0058511C" w:rsidRDefault="002C63BB" w:rsidP="0044630E">
            <w:pPr>
              <w:pStyle w:val="Tabletext"/>
              <w:rPr>
                <w:rFonts w:cstheme="minorHAnsi"/>
                <w:szCs w:val="24"/>
                <w:lang w:eastAsia="zh-CN"/>
              </w:rPr>
            </w:pPr>
            <w:r>
              <w:rPr>
                <w:lang w:val="zh-CN" w:eastAsia="zh-CN"/>
              </w:rPr>
              <w:t>2024</w:t>
            </w:r>
            <w:r>
              <w:rPr>
                <w:lang w:val="zh-CN" w:eastAsia="zh-CN"/>
              </w:rPr>
              <w:t>年</w:t>
            </w:r>
            <w:r>
              <w:rPr>
                <w:lang w:val="zh-CN" w:eastAsia="zh-CN"/>
              </w:rPr>
              <w:t>9</w:t>
            </w:r>
            <w:r>
              <w:rPr>
                <w:lang w:val="zh-CN" w:eastAsia="zh-CN"/>
              </w:rPr>
              <w:t>月</w:t>
            </w:r>
            <w:r>
              <w:rPr>
                <w:lang w:val="zh-CN" w:eastAsia="zh-CN"/>
              </w:rPr>
              <w:t>3</w:t>
            </w:r>
            <w:r>
              <w:rPr>
                <w:lang w:val="zh-CN" w:eastAsia="zh-CN"/>
              </w:rPr>
              <w:t>日举行</w:t>
            </w:r>
            <w:r w:rsidR="000276A4">
              <w:rPr>
                <w:rFonts w:hint="eastAsia"/>
                <w:lang w:val="zh-CN" w:eastAsia="zh-CN"/>
              </w:rPr>
              <w:t>的</w:t>
            </w:r>
            <w:r w:rsidR="000276A4">
              <w:rPr>
                <w:lang w:val="zh-CN" w:eastAsia="zh-CN"/>
              </w:rPr>
              <w:t>第</w:t>
            </w:r>
            <w:r w:rsidR="000276A4">
              <w:rPr>
                <w:lang w:val="zh-CN" w:eastAsia="zh-CN"/>
              </w:rPr>
              <w:t>2</w:t>
            </w:r>
            <w:r w:rsidR="000276A4">
              <w:rPr>
                <w:lang w:val="zh-CN" w:eastAsia="zh-CN"/>
              </w:rPr>
              <w:t>次会议</w:t>
            </w:r>
          </w:p>
        </w:tc>
        <w:tc>
          <w:tcPr>
            <w:tcW w:w="6834" w:type="dxa"/>
            <w:shd w:val="clear" w:color="auto" w:fill="auto"/>
            <w:hideMark/>
          </w:tcPr>
          <w:p w14:paraId="3FBD0254" w14:textId="1B88B72B" w:rsidR="002C63BB" w:rsidRDefault="000C24CA" w:rsidP="000C24CA">
            <w:pPr>
              <w:pStyle w:val="Tabletext"/>
              <w:tabs>
                <w:tab w:val="clear" w:pos="284"/>
              </w:tabs>
              <w:rPr>
                <w:rFonts w:cstheme="minorHAnsi"/>
                <w:szCs w:val="24"/>
                <w:lang w:eastAsia="zh-CN"/>
              </w:rPr>
            </w:pPr>
            <w:r w:rsidRPr="003753B7">
              <w:rPr>
                <w:lang w:val="zh-CN" w:eastAsia="zh-CN"/>
              </w:rPr>
              <w:t>–</w:t>
            </w:r>
            <w:r>
              <w:rPr>
                <w:lang w:val="en-US" w:eastAsia="zh-CN"/>
              </w:rPr>
              <w:tab/>
            </w:r>
            <w:r w:rsidR="002C63BB">
              <w:rPr>
                <w:lang w:val="zh-CN" w:eastAsia="zh-CN"/>
              </w:rPr>
              <w:t>就在线磋商表的内容以及启动和截止日期达成一致</w:t>
            </w:r>
          </w:p>
          <w:p w14:paraId="510F1DB1" w14:textId="36BD5233" w:rsidR="002C63BB" w:rsidRPr="00D82234" w:rsidRDefault="002C63BB" w:rsidP="0044630E">
            <w:pPr>
              <w:pStyle w:val="Tabletext"/>
              <w:rPr>
                <w:rFonts w:cstheme="minorHAnsi"/>
                <w:szCs w:val="24"/>
              </w:rPr>
            </w:pPr>
            <w:proofErr w:type="spellStart"/>
            <w:r>
              <w:rPr>
                <w:lang w:val="zh-CN"/>
              </w:rPr>
              <w:t>会议报告见</w:t>
            </w:r>
            <w:proofErr w:type="spellEnd"/>
            <w:r w:rsidR="004E5F5D">
              <w:fldChar w:fldCharType="begin"/>
            </w:r>
            <w:r w:rsidR="004E5F5D">
              <w:instrText>HYPERLINK "https://www.itu.int/md/D22-TDAG.WG.SGQ-C-0010/en"</w:instrText>
            </w:r>
            <w:r w:rsidR="004E5F5D">
              <w:fldChar w:fldCharType="separate"/>
            </w:r>
            <w:r w:rsidR="004E5F5D" w:rsidRPr="002341A9">
              <w:rPr>
                <w:rStyle w:val="Hyperlink"/>
              </w:rPr>
              <w:t>TDAG-WG-</w:t>
            </w:r>
            <w:proofErr w:type="spellStart"/>
            <w:r w:rsidR="004E5F5D" w:rsidRPr="002341A9">
              <w:rPr>
                <w:rStyle w:val="Hyperlink"/>
              </w:rPr>
              <w:t>futureSGQ</w:t>
            </w:r>
            <w:proofErr w:type="spellEnd"/>
            <w:r w:rsidR="004E5F5D" w:rsidRPr="002341A9">
              <w:rPr>
                <w:rStyle w:val="Hyperlink"/>
              </w:rPr>
              <w:t>/10</w:t>
            </w:r>
            <w:r w:rsidR="004E5F5D">
              <w:fldChar w:fldCharType="end"/>
            </w:r>
            <w:proofErr w:type="spellStart"/>
            <w:r>
              <w:rPr>
                <w:lang w:val="zh-CN"/>
              </w:rPr>
              <w:t>号文件</w:t>
            </w:r>
            <w:proofErr w:type="spellEnd"/>
            <w:r>
              <w:rPr>
                <w:lang w:val="zh-CN"/>
              </w:rPr>
              <w:t>。</w:t>
            </w:r>
          </w:p>
        </w:tc>
      </w:tr>
      <w:tr w:rsidR="002C63BB" w:rsidRPr="00BD41B4" w14:paraId="616793DD" w14:textId="77777777" w:rsidTr="00AF7269">
        <w:trPr>
          <w:trHeight w:val="300"/>
        </w:trPr>
        <w:tc>
          <w:tcPr>
            <w:tcW w:w="2795" w:type="dxa"/>
            <w:shd w:val="clear" w:color="auto" w:fill="auto"/>
            <w:hideMark/>
          </w:tcPr>
          <w:p w14:paraId="416B15CD" w14:textId="142A3A5C" w:rsidR="002C63BB" w:rsidRPr="0058511C" w:rsidRDefault="002C63BB" w:rsidP="0044630E">
            <w:pPr>
              <w:pStyle w:val="Tabletext"/>
              <w:rPr>
                <w:rFonts w:cstheme="minorHAnsi"/>
                <w:szCs w:val="24"/>
                <w:lang w:eastAsia="zh-CN"/>
              </w:rPr>
            </w:pPr>
            <w:r>
              <w:rPr>
                <w:lang w:val="zh-CN" w:eastAsia="zh-CN"/>
              </w:rPr>
              <w:lastRenderedPageBreak/>
              <w:t>2024</w:t>
            </w:r>
            <w:r>
              <w:rPr>
                <w:lang w:val="zh-CN" w:eastAsia="zh-CN"/>
              </w:rPr>
              <w:t>年</w:t>
            </w:r>
            <w:r>
              <w:rPr>
                <w:lang w:val="zh-CN" w:eastAsia="zh-CN"/>
              </w:rPr>
              <w:t>12</w:t>
            </w:r>
            <w:r>
              <w:rPr>
                <w:lang w:val="zh-CN" w:eastAsia="zh-CN"/>
              </w:rPr>
              <w:t>月</w:t>
            </w:r>
            <w:r>
              <w:rPr>
                <w:lang w:val="zh-CN" w:eastAsia="zh-CN"/>
              </w:rPr>
              <w:t>3</w:t>
            </w:r>
            <w:r>
              <w:rPr>
                <w:lang w:val="zh-CN" w:eastAsia="zh-CN"/>
              </w:rPr>
              <w:t>日举行</w:t>
            </w:r>
            <w:r w:rsidR="000276A4">
              <w:rPr>
                <w:rFonts w:hint="eastAsia"/>
                <w:lang w:val="zh-CN" w:eastAsia="zh-CN"/>
              </w:rPr>
              <w:t>的</w:t>
            </w:r>
            <w:r w:rsidR="000276A4">
              <w:rPr>
                <w:lang w:val="zh-CN" w:eastAsia="zh-CN"/>
              </w:rPr>
              <w:t>第</w:t>
            </w:r>
            <w:r w:rsidR="000276A4">
              <w:rPr>
                <w:lang w:val="zh-CN" w:eastAsia="zh-CN"/>
              </w:rPr>
              <w:t>3</w:t>
            </w:r>
            <w:r w:rsidR="000276A4">
              <w:rPr>
                <w:lang w:val="zh-CN" w:eastAsia="zh-CN"/>
              </w:rPr>
              <w:t>次会议</w:t>
            </w:r>
          </w:p>
        </w:tc>
        <w:tc>
          <w:tcPr>
            <w:tcW w:w="6834" w:type="dxa"/>
            <w:shd w:val="clear" w:color="auto" w:fill="auto"/>
            <w:hideMark/>
          </w:tcPr>
          <w:p w14:paraId="4430351C" w14:textId="2BCD2399" w:rsidR="002C63BB" w:rsidRDefault="00582FAC" w:rsidP="00582FAC">
            <w:pPr>
              <w:pStyle w:val="Tabletext"/>
              <w:tabs>
                <w:tab w:val="clear" w:pos="284"/>
                <w:tab w:val="clear" w:pos="567"/>
                <w:tab w:val="left" w:pos="496"/>
              </w:tabs>
              <w:rPr>
                <w:rFonts w:cstheme="minorHAnsi"/>
                <w:szCs w:val="24"/>
                <w:lang w:eastAsia="zh-CN"/>
              </w:rPr>
            </w:pPr>
            <w:r w:rsidRPr="003753B7">
              <w:rPr>
                <w:lang w:val="zh-CN" w:eastAsia="zh-CN"/>
              </w:rPr>
              <w:t>–</w:t>
            </w:r>
            <w:r>
              <w:rPr>
                <w:lang w:val="en-US" w:eastAsia="zh-CN"/>
              </w:rPr>
              <w:tab/>
            </w:r>
            <w:r w:rsidR="002C63BB">
              <w:rPr>
                <w:lang w:val="zh-CN" w:eastAsia="zh-CN"/>
              </w:rPr>
              <w:t>介绍在线磋商结果</w:t>
            </w:r>
          </w:p>
          <w:p w14:paraId="087252A2" w14:textId="77DB6F22" w:rsidR="002C63BB" w:rsidRDefault="00582FAC" w:rsidP="00582FAC">
            <w:pPr>
              <w:pStyle w:val="Tabletext"/>
              <w:tabs>
                <w:tab w:val="clear" w:pos="284"/>
                <w:tab w:val="clear" w:pos="567"/>
                <w:tab w:val="left" w:pos="496"/>
              </w:tabs>
              <w:rPr>
                <w:rFonts w:cstheme="minorHAnsi"/>
                <w:szCs w:val="24"/>
                <w:lang w:eastAsia="zh-CN"/>
              </w:rPr>
            </w:pPr>
            <w:r w:rsidRPr="003753B7">
              <w:rPr>
                <w:lang w:val="zh-CN" w:eastAsia="zh-CN"/>
              </w:rPr>
              <w:t>–</w:t>
            </w:r>
            <w:r>
              <w:rPr>
                <w:lang w:val="en-US" w:eastAsia="zh-CN"/>
              </w:rPr>
              <w:tab/>
            </w:r>
            <w:r w:rsidR="002C63BB">
              <w:rPr>
                <w:lang w:val="zh-CN" w:eastAsia="zh-CN"/>
              </w:rPr>
              <w:t>审议成员提交的文稿（</w:t>
            </w:r>
            <w:r w:rsidR="002C63BB">
              <w:rPr>
                <w:lang w:val="zh-CN" w:eastAsia="zh-CN"/>
              </w:rPr>
              <w:t>ATU</w:t>
            </w:r>
            <w:r w:rsidR="002C63BB">
              <w:rPr>
                <w:lang w:val="zh-CN" w:eastAsia="zh-CN"/>
              </w:rPr>
              <w:t>、</w:t>
            </w:r>
            <w:r w:rsidR="002C63BB">
              <w:rPr>
                <w:lang w:val="zh-CN" w:eastAsia="zh-CN"/>
              </w:rPr>
              <w:t>SG1</w:t>
            </w:r>
            <w:r w:rsidR="002C63BB">
              <w:rPr>
                <w:lang w:val="zh-CN" w:eastAsia="zh-CN"/>
              </w:rPr>
              <w:t>）</w:t>
            </w:r>
          </w:p>
          <w:p w14:paraId="24D8D410" w14:textId="3843614A" w:rsidR="002C63BB" w:rsidRDefault="00582FAC" w:rsidP="00582FAC">
            <w:pPr>
              <w:pStyle w:val="Tabletext"/>
              <w:tabs>
                <w:tab w:val="clear" w:pos="284"/>
                <w:tab w:val="clear" w:pos="567"/>
                <w:tab w:val="left" w:pos="496"/>
              </w:tabs>
              <w:ind w:left="496" w:hanging="496"/>
              <w:rPr>
                <w:rFonts w:cstheme="minorHAnsi"/>
                <w:szCs w:val="24"/>
                <w:lang w:eastAsia="zh-CN"/>
              </w:rPr>
            </w:pPr>
            <w:r w:rsidRPr="003753B7">
              <w:rPr>
                <w:lang w:val="zh-CN" w:eastAsia="zh-CN"/>
              </w:rPr>
              <w:t>–</w:t>
            </w:r>
            <w:r>
              <w:rPr>
                <w:lang w:val="en-US" w:eastAsia="zh-CN"/>
              </w:rPr>
              <w:tab/>
            </w:r>
            <w:r w:rsidR="002C63BB">
              <w:rPr>
                <w:lang w:val="zh-CN" w:eastAsia="zh-CN"/>
              </w:rPr>
              <w:t>同意主席起草</w:t>
            </w:r>
            <w:r w:rsidR="002C63BB">
              <w:rPr>
                <w:lang w:val="zh-CN" w:eastAsia="zh-CN"/>
              </w:rPr>
              <w:t>WTDC</w:t>
            </w:r>
            <w:r w:rsidR="002C63BB">
              <w:rPr>
                <w:lang w:val="zh-CN" w:eastAsia="zh-CN"/>
              </w:rPr>
              <w:t>第</w:t>
            </w:r>
            <w:r w:rsidR="002C63BB">
              <w:rPr>
                <w:lang w:val="zh-CN" w:eastAsia="zh-CN"/>
              </w:rPr>
              <w:t>2</w:t>
            </w:r>
            <w:r w:rsidR="002C63BB">
              <w:rPr>
                <w:lang w:val="zh-CN" w:eastAsia="zh-CN"/>
              </w:rPr>
              <w:t>号决议（</w:t>
            </w:r>
            <w:r w:rsidR="002C63BB">
              <w:rPr>
                <w:lang w:val="zh-CN" w:eastAsia="zh-CN"/>
              </w:rPr>
              <w:t>2022</w:t>
            </w:r>
            <w:r w:rsidR="002C63BB">
              <w:rPr>
                <w:lang w:val="zh-CN" w:eastAsia="zh-CN"/>
              </w:rPr>
              <w:t>年，基加利，修订版）附件</w:t>
            </w:r>
            <w:r w:rsidR="002C63BB">
              <w:rPr>
                <w:lang w:val="zh-CN" w:eastAsia="zh-CN"/>
              </w:rPr>
              <w:t>1</w:t>
            </w:r>
            <w:r w:rsidR="002C63BB">
              <w:rPr>
                <w:lang w:val="zh-CN" w:eastAsia="zh-CN"/>
              </w:rPr>
              <w:t>和附件</w:t>
            </w:r>
            <w:r w:rsidR="002C63BB">
              <w:rPr>
                <w:lang w:val="zh-CN" w:eastAsia="zh-CN"/>
              </w:rPr>
              <w:t>2</w:t>
            </w:r>
            <w:r w:rsidR="002C63BB">
              <w:rPr>
                <w:lang w:val="zh-CN" w:eastAsia="zh-CN"/>
              </w:rPr>
              <w:t>摘录的修订草案，其中包括研究课题的职责范围。修订案（综合文件草案初稿）将</w:t>
            </w:r>
            <w:r w:rsidR="000276A4">
              <w:rPr>
                <w:rFonts w:hint="eastAsia"/>
                <w:lang w:val="zh-CN" w:eastAsia="zh-CN"/>
              </w:rPr>
              <w:t>采用</w:t>
            </w:r>
            <w:r w:rsidR="002C63BB">
              <w:rPr>
                <w:lang w:val="zh-CN" w:eastAsia="zh-CN"/>
              </w:rPr>
              <w:t>在线磋商结果、</w:t>
            </w:r>
            <w:r w:rsidR="000276A4">
              <w:rPr>
                <w:rFonts w:hint="eastAsia"/>
                <w:lang w:val="zh-CN" w:eastAsia="zh-CN"/>
              </w:rPr>
              <w:t>经</w:t>
            </w:r>
            <w:r w:rsidR="002C63BB">
              <w:rPr>
                <w:lang w:val="zh-CN" w:eastAsia="zh-CN"/>
              </w:rPr>
              <w:t>审议的文稿和</w:t>
            </w:r>
            <w:r w:rsidR="000276A4">
              <w:rPr>
                <w:rFonts w:hint="eastAsia"/>
                <w:lang w:val="zh-CN" w:eastAsia="zh-CN"/>
              </w:rPr>
              <w:t>会议</w:t>
            </w:r>
            <w:r w:rsidR="002C63BB">
              <w:rPr>
                <w:lang w:val="zh-CN" w:eastAsia="zh-CN"/>
              </w:rPr>
              <w:t>讨论</w:t>
            </w:r>
            <w:r w:rsidR="000276A4">
              <w:rPr>
                <w:rFonts w:hint="eastAsia"/>
                <w:lang w:val="zh-CN" w:eastAsia="zh-CN"/>
              </w:rPr>
              <w:t>的输入意见</w:t>
            </w:r>
            <w:r w:rsidR="000276A4" w:rsidRPr="000276A4">
              <w:rPr>
                <w:rFonts w:hint="eastAsia"/>
                <w:lang w:val="zh-CN" w:eastAsia="zh-CN"/>
              </w:rPr>
              <w:t>。</w:t>
            </w:r>
          </w:p>
          <w:p w14:paraId="2D4C4108" w14:textId="5887034A" w:rsidR="002C63BB" w:rsidRPr="00D82234" w:rsidRDefault="002C63BB" w:rsidP="0044630E">
            <w:pPr>
              <w:pStyle w:val="Tabletext"/>
              <w:rPr>
                <w:rFonts w:cstheme="minorHAnsi"/>
                <w:szCs w:val="24"/>
              </w:rPr>
            </w:pPr>
            <w:proofErr w:type="spellStart"/>
            <w:r>
              <w:rPr>
                <w:lang w:val="zh-CN"/>
              </w:rPr>
              <w:t>会议报告见</w:t>
            </w:r>
            <w:proofErr w:type="spellEnd"/>
            <w:r w:rsidR="000276A4">
              <w:fldChar w:fldCharType="begin"/>
            </w:r>
            <w:r w:rsidR="000276A4">
              <w:instrText>HYPERLINK "https://www.itu.int/md/D22-TDAG.WG.SGQ-C-0016/en"</w:instrText>
            </w:r>
            <w:r w:rsidR="000276A4">
              <w:fldChar w:fldCharType="separate"/>
            </w:r>
            <w:r w:rsidR="000276A4" w:rsidRPr="002341A9">
              <w:rPr>
                <w:rStyle w:val="Hyperlink"/>
              </w:rPr>
              <w:t>TDAG-WG-</w:t>
            </w:r>
            <w:proofErr w:type="spellStart"/>
            <w:r w:rsidR="000276A4" w:rsidRPr="002341A9">
              <w:rPr>
                <w:rStyle w:val="Hyperlink"/>
              </w:rPr>
              <w:t>futureSGQ</w:t>
            </w:r>
            <w:proofErr w:type="spellEnd"/>
            <w:r w:rsidR="000276A4" w:rsidRPr="002341A9">
              <w:rPr>
                <w:rStyle w:val="Hyperlink"/>
              </w:rPr>
              <w:t>/16</w:t>
            </w:r>
            <w:r w:rsidR="000276A4">
              <w:fldChar w:fldCharType="end"/>
            </w:r>
            <w:proofErr w:type="spellStart"/>
            <w:r>
              <w:rPr>
                <w:lang w:val="zh-CN"/>
              </w:rPr>
              <w:t>号文件</w:t>
            </w:r>
            <w:proofErr w:type="spellEnd"/>
          </w:p>
        </w:tc>
      </w:tr>
      <w:tr w:rsidR="002C63BB" w:rsidRPr="00BD41B4" w14:paraId="696D9ECB" w14:textId="77777777" w:rsidTr="00AF7269">
        <w:trPr>
          <w:trHeight w:val="300"/>
        </w:trPr>
        <w:tc>
          <w:tcPr>
            <w:tcW w:w="2795" w:type="dxa"/>
            <w:shd w:val="clear" w:color="auto" w:fill="auto"/>
            <w:hideMark/>
          </w:tcPr>
          <w:p w14:paraId="5DA07BD2" w14:textId="1B2CEC39" w:rsidR="002C63BB" w:rsidRPr="004F1434" w:rsidRDefault="002C63BB" w:rsidP="0044630E">
            <w:pPr>
              <w:pStyle w:val="Tabletext"/>
              <w:rPr>
                <w:rFonts w:cstheme="minorHAnsi"/>
                <w:szCs w:val="24"/>
                <w:lang w:eastAsia="zh-CN"/>
              </w:rPr>
            </w:pPr>
            <w:r>
              <w:rPr>
                <w:lang w:val="zh-CN" w:eastAsia="zh-CN"/>
              </w:rPr>
              <w:t>2025</w:t>
            </w:r>
            <w:r>
              <w:rPr>
                <w:lang w:val="zh-CN" w:eastAsia="zh-CN"/>
              </w:rPr>
              <w:t>年</w:t>
            </w:r>
            <w:r>
              <w:rPr>
                <w:lang w:val="zh-CN" w:eastAsia="zh-CN"/>
              </w:rPr>
              <w:t>1</w:t>
            </w:r>
            <w:r>
              <w:rPr>
                <w:lang w:val="zh-CN" w:eastAsia="zh-CN"/>
              </w:rPr>
              <w:t>月</w:t>
            </w:r>
            <w:r>
              <w:rPr>
                <w:lang w:val="zh-CN" w:eastAsia="zh-CN"/>
              </w:rPr>
              <w:t>21</w:t>
            </w:r>
            <w:r>
              <w:rPr>
                <w:lang w:val="zh-CN" w:eastAsia="zh-CN"/>
              </w:rPr>
              <w:t>日举行</w:t>
            </w:r>
            <w:r w:rsidR="000276A4">
              <w:rPr>
                <w:rFonts w:hint="eastAsia"/>
                <w:lang w:val="zh-CN" w:eastAsia="zh-CN"/>
              </w:rPr>
              <w:t>的</w:t>
            </w:r>
            <w:r w:rsidR="000276A4">
              <w:rPr>
                <w:lang w:val="zh-CN" w:eastAsia="zh-CN"/>
              </w:rPr>
              <w:t>第</w:t>
            </w:r>
            <w:r w:rsidR="000276A4">
              <w:rPr>
                <w:rFonts w:hint="eastAsia"/>
                <w:lang w:val="zh-CN" w:eastAsia="zh-CN"/>
              </w:rPr>
              <w:t>4</w:t>
            </w:r>
            <w:r w:rsidR="000276A4">
              <w:rPr>
                <w:lang w:val="zh-CN" w:eastAsia="zh-CN"/>
              </w:rPr>
              <w:t>次会议</w:t>
            </w:r>
          </w:p>
        </w:tc>
        <w:tc>
          <w:tcPr>
            <w:tcW w:w="6834" w:type="dxa"/>
            <w:shd w:val="clear" w:color="auto" w:fill="auto"/>
            <w:hideMark/>
          </w:tcPr>
          <w:p w14:paraId="70BB0EC3" w14:textId="3840CA85" w:rsidR="002C63BB" w:rsidRDefault="00877B27" w:rsidP="00877B27">
            <w:pPr>
              <w:pStyle w:val="Tabletext"/>
              <w:tabs>
                <w:tab w:val="clear" w:pos="284"/>
                <w:tab w:val="clear" w:pos="567"/>
                <w:tab w:val="left" w:pos="496"/>
              </w:tabs>
              <w:rPr>
                <w:rFonts w:cstheme="minorHAnsi"/>
                <w:szCs w:val="24"/>
              </w:rPr>
            </w:pPr>
            <w:r w:rsidRPr="003753B7">
              <w:rPr>
                <w:lang w:val="zh-CN" w:eastAsia="zh-CN"/>
              </w:rPr>
              <w:t>–</w:t>
            </w:r>
            <w:r>
              <w:rPr>
                <w:lang w:val="en-US" w:eastAsia="zh-CN"/>
              </w:rPr>
              <w:tab/>
            </w:r>
            <w:proofErr w:type="spellStart"/>
            <w:r w:rsidR="002C63BB">
              <w:rPr>
                <w:lang w:val="zh-CN"/>
              </w:rPr>
              <w:t>审议</w:t>
            </w:r>
            <w:proofErr w:type="spellEnd"/>
            <w:r w:rsidR="000276A4">
              <w:fldChar w:fldCharType="begin"/>
            </w:r>
            <w:r w:rsidR="000276A4">
              <w:instrText>HYPERLINK "https://www.itu.int/md/D22-TDAG.WG.SGQ-C-0023/en"</w:instrText>
            </w:r>
            <w:r w:rsidR="000276A4">
              <w:fldChar w:fldCharType="separate"/>
            </w:r>
            <w:r w:rsidR="000276A4" w:rsidRPr="00B10665">
              <w:rPr>
                <w:rStyle w:val="Hyperlink"/>
              </w:rPr>
              <w:t>TDAG-WG-</w:t>
            </w:r>
            <w:proofErr w:type="spellStart"/>
            <w:r w:rsidR="000276A4" w:rsidRPr="00B10665">
              <w:rPr>
                <w:rStyle w:val="Hyperlink"/>
              </w:rPr>
              <w:t>futureSGQ</w:t>
            </w:r>
            <w:proofErr w:type="spellEnd"/>
            <w:r w:rsidR="000276A4" w:rsidRPr="00B10665">
              <w:rPr>
                <w:rStyle w:val="Hyperlink"/>
              </w:rPr>
              <w:t>/</w:t>
            </w:r>
            <w:r w:rsidR="000276A4">
              <w:rPr>
                <w:rStyle w:val="Hyperlink"/>
              </w:rPr>
              <w:t>23</w:t>
            </w:r>
            <w:r w:rsidR="000276A4">
              <w:fldChar w:fldCharType="end"/>
            </w:r>
            <w:r w:rsidR="000276A4">
              <w:rPr>
                <w:rFonts w:hint="eastAsia"/>
                <w:lang w:val="zh-CN" w:eastAsia="zh-CN"/>
              </w:rPr>
              <w:t>综合</w:t>
            </w:r>
            <w:proofErr w:type="spellStart"/>
            <w:r w:rsidR="002C63BB">
              <w:rPr>
                <w:lang w:val="zh-CN"/>
              </w:rPr>
              <w:t>文件</w:t>
            </w:r>
            <w:proofErr w:type="spellEnd"/>
            <w:r w:rsidR="000276A4">
              <w:rPr>
                <w:rFonts w:hint="eastAsia"/>
                <w:lang w:val="zh-CN" w:eastAsia="zh-CN"/>
              </w:rPr>
              <w:t>草案初稿</w:t>
            </w:r>
          </w:p>
          <w:p w14:paraId="5332491F" w14:textId="3BB2C166" w:rsidR="002C63BB" w:rsidRDefault="00877B27" w:rsidP="00877B27">
            <w:pPr>
              <w:pStyle w:val="Tabletext"/>
              <w:tabs>
                <w:tab w:val="clear" w:pos="284"/>
                <w:tab w:val="clear" w:pos="567"/>
                <w:tab w:val="left" w:pos="496"/>
              </w:tabs>
              <w:rPr>
                <w:rFonts w:cstheme="minorHAnsi"/>
                <w:szCs w:val="24"/>
                <w:lang w:eastAsia="zh-CN"/>
              </w:rPr>
            </w:pPr>
            <w:r w:rsidRPr="003753B7">
              <w:rPr>
                <w:lang w:val="zh-CN" w:eastAsia="zh-CN"/>
              </w:rPr>
              <w:t>–</w:t>
            </w:r>
            <w:r>
              <w:rPr>
                <w:lang w:val="en-US" w:eastAsia="zh-CN"/>
              </w:rPr>
              <w:tab/>
            </w:r>
            <w:r w:rsidR="002C63BB">
              <w:rPr>
                <w:lang w:val="zh-CN" w:eastAsia="zh-CN"/>
              </w:rPr>
              <w:t>审议成员提交的文稿（</w:t>
            </w:r>
            <w:r w:rsidR="002C63BB">
              <w:rPr>
                <w:lang w:val="zh-CN" w:eastAsia="zh-CN"/>
              </w:rPr>
              <w:t>APT</w:t>
            </w:r>
            <w:r w:rsidR="002C63BB">
              <w:rPr>
                <w:lang w:val="zh-CN" w:eastAsia="zh-CN"/>
              </w:rPr>
              <w:t>、英国等、中国、</w:t>
            </w:r>
            <w:r w:rsidR="002C63BB">
              <w:rPr>
                <w:lang w:val="zh-CN" w:eastAsia="zh-CN"/>
              </w:rPr>
              <w:t>SG1</w:t>
            </w:r>
            <w:r w:rsidR="002C63BB">
              <w:rPr>
                <w:lang w:val="zh-CN" w:eastAsia="zh-CN"/>
              </w:rPr>
              <w:t>、</w:t>
            </w:r>
            <w:r w:rsidR="002C63BB">
              <w:rPr>
                <w:lang w:val="zh-CN" w:eastAsia="zh-CN"/>
              </w:rPr>
              <w:t>SG2</w:t>
            </w:r>
            <w:r w:rsidR="002C63BB">
              <w:rPr>
                <w:lang w:val="zh-CN" w:eastAsia="zh-CN"/>
              </w:rPr>
              <w:t>）</w:t>
            </w:r>
          </w:p>
          <w:p w14:paraId="4B2C14E2" w14:textId="2B415E57" w:rsidR="002C63BB" w:rsidRPr="001877F1" w:rsidRDefault="00877B27" w:rsidP="00877B27">
            <w:pPr>
              <w:pStyle w:val="Tabletext"/>
              <w:tabs>
                <w:tab w:val="clear" w:pos="284"/>
                <w:tab w:val="clear" w:pos="567"/>
                <w:tab w:val="left" w:pos="496"/>
              </w:tabs>
              <w:ind w:left="496" w:hanging="496"/>
              <w:rPr>
                <w:rFonts w:cstheme="minorHAnsi"/>
                <w:szCs w:val="24"/>
                <w:lang w:eastAsia="zh-CN"/>
              </w:rPr>
            </w:pPr>
            <w:r w:rsidRPr="003753B7">
              <w:rPr>
                <w:lang w:val="zh-CN" w:eastAsia="zh-CN"/>
              </w:rPr>
              <w:t>–</w:t>
            </w:r>
            <w:r>
              <w:rPr>
                <w:lang w:val="en-US" w:eastAsia="zh-CN"/>
              </w:rPr>
              <w:tab/>
            </w:r>
            <w:r w:rsidR="002C63BB">
              <w:rPr>
                <w:lang w:val="zh-CN" w:eastAsia="zh-CN"/>
              </w:rPr>
              <w:t>同意利用</w:t>
            </w:r>
            <w:r w:rsidR="000276A4">
              <w:rPr>
                <w:rFonts w:hint="eastAsia"/>
                <w:lang w:val="zh-CN" w:eastAsia="zh-CN"/>
              </w:rPr>
              <w:t>来自</w:t>
            </w:r>
            <w:r w:rsidR="002C63BB">
              <w:rPr>
                <w:lang w:val="zh-CN" w:eastAsia="zh-CN"/>
              </w:rPr>
              <w:t>所审议文稿、会议上进行的讨论以及会议</w:t>
            </w:r>
            <w:r w:rsidR="000276A4">
              <w:rPr>
                <w:rFonts w:hint="eastAsia"/>
                <w:lang w:val="zh-CN" w:eastAsia="zh-CN"/>
              </w:rPr>
              <w:t>商定</w:t>
            </w:r>
            <w:r w:rsidR="002C63BB">
              <w:rPr>
                <w:lang w:val="zh-CN" w:eastAsia="zh-CN"/>
              </w:rPr>
              <w:t>的进一步磋商</w:t>
            </w:r>
            <w:r w:rsidR="000276A4">
              <w:rPr>
                <w:rFonts w:hint="eastAsia"/>
                <w:lang w:val="zh-CN" w:eastAsia="zh-CN"/>
              </w:rPr>
              <w:t>的输入意见</w:t>
            </w:r>
            <w:r w:rsidR="002C63BB">
              <w:rPr>
                <w:lang w:val="zh-CN" w:eastAsia="zh-CN"/>
              </w:rPr>
              <w:t>来更新</w:t>
            </w:r>
            <w:r w:rsidR="000276A4">
              <w:rPr>
                <w:rFonts w:hint="eastAsia"/>
                <w:lang w:val="zh-CN" w:eastAsia="zh-CN"/>
              </w:rPr>
              <w:t>综合</w:t>
            </w:r>
            <w:r w:rsidR="002C63BB">
              <w:rPr>
                <w:lang w:val="zh-CN" w:eastAsia="zh-CN"/>
              </w:rPr>
              <w:t>文件草案</w:t>
            </w:r>
            <w:r w:rsidR="000276A4" w:rsidRPr="000276A4">
              <w:rPr>
                <w:rFonts w:hint="eastAsia"/>
                <w:lang w:val="zh-CN" w:eastAsia="zh-CN"/>
              </w:rPr>
              <w:t>初稿</w:t>
            </w:r>
            <w:r w:rsidR="000276A4">
              <w:rPr>
                <w:rFonts w:hint="eastAsia"/>
                <w:lang w:val="zh-CN" w:eastAsia="zh-CN"/>
              </w:rPr>
              <w:t>。</w:t>
            </w:r>
          </w:p>
          <w:p w14:paraId="752A0E25" w14:textId="4F9F96A0" w:rsidR="002C63BB" w:rsidRPr="004F1434" w:rsidRDefault="002C63BB" w:rsidP="0044630E">
            <w:pPr>
              <w:pStyle w:val="Tabletext"/>
              <w:rPr>
                <w:rFonts w:cstheme="minorHAnsi"/>
                <w:szCs w:val="24"/>
              </w:rPr>
            </w:pPr>
            <w:proofErr w:type="spellStart"/>
            <w:r>
              <w:rPr>
                <w:lang w:val="zh-CN"/>
              </w:rPr>
              <w:t>会议报告见</w:t>
            </w:r>
            <w:proofErr w:type="spellEnd"/>
            <w:r w:rsidR="000276A4">
              <w:fldChar w:fldCharType="begin"/>
            </w:r>
            <w:r w:rsidR="000276A4">
              <w:instrText>HYPERLINK "https://www.itu.int/md/D22-TDAG.WG.SGQ-C-0025/en"</w:instrText>
            </w:r>
            <w:r w:rsidR="000276A4">
              <w:fldChar w:fldCharType="separate"/>
            </w:r>
            <w:r w:rsidR="000276A4" w:rsidRPr="002341A9">
              <w:rPr>
                <w:rStyle w:val="Hyperlink"/>
              </w:rPr>
              <w:t>TDAG-WG-</w:t>
            </w:r>
            <w:proofErr w:type="spellStart"/>
            <w:r w:rsidR="000276A4" w:rsidRPr="002341A9">
              <w:rPr>
                <w:rStyle w:val="Hyperlink"/>
              </w:rPr>
              <w:t>futureSGQ</w:t>
            </w:r>
            <w:proofErr w:type="spellEnd"/>
            <w:r w:rsidR="000276A4" w:rsidRPr="002341A9">
              <w:rPr>
                <w:rStyle w:val="Hyperlink"/>
              </w:rPr>
              <w:t>/25</w:t>
            </w:r>
            <w:r w:rsidR="000276A4">
              <w:fldChar w:fldCharType="end"/>
            </w:r>
            <w:proofErr w:type="spellStart"/>
            <w:r>
              <w:rPr>
                <w:lang w:val="zh-CN"/>
              </w:rPr>
              <w:t>号文件</w:t>
            </w:r>
            <w:proofErr w:type="spellEnd"/>
          </w:p>
        </w:tc>
      </w:tr>
      <w:tr w:rsidR="002C63BB" w:rsidRPr="00BD41B4" w14:paraId="085DF691" w14:textId="77777777" w:rsidTr="00AF7269">
        <w:trPr>
          <w:trHeight w:val="300"/>
        </w:trPr>
        <w:tc>
          <w:tcPr>
            <w:tcW w:w="2795" w:type="dxa"/>
            <w:shd w:val="clear" w:color="auto" w:fill="auto"/>
          </w:tcPr>
          <w:p w14:paraId="2D71CD9B" w14:textId="41483658" w:rsidR="002C63BB" w:rsidRPr="004F1434" w:rsidRDefault="002C63BB" w:rsidP="0044630E">
            <w:pPr>
              <w:pStyle w:val="Tabletext"/>
              <w:rPr>
                <w:rFonts w:cstheme="minorHAnsi"/>
                <w:szCs w:val="24"/>
                <w:lang w:eastAsia="zh-CN"/>
              </w:rPr>
            </w:pPr>
            <w:r>
              <w:rPr>
                <w:lang w:val="zh-CN" w:eastAsia="zh-CN"/>
              </w:rPr>
              <w:t>2025</w:t>
            </w:r>
            <w:r>
              <w:rPr>
                <w:lang w:val="zh-CN" w:eastAsia="zh-CN"/>
              </w:rPr>
              <w:t>年</w:t>
            </w:r>
            <w:r>
              <w:rPr>
                <w:lang w:val="zh-CN" w:eastAsia="zh-CN"/>
              </w:rPr>
              <w:t>3</w:t>
            </w:r>
            <w:r>
              <w:rPr>
                <w:lang w:val="zh-CN" w:eastAsia="zh-CN"/>
              </w:rPr>
              <w:t>月</w:t>
            </w:r>
            <w:r>
              <w:rPr>
                <w:lang w:val="zh-CN" w:eastAsia="zh-CN"/>
              </w:rPr>
              <w:t>4</w:t>
            </w:r>
            <w:r>
              <w:rPr>
                <w:lang w:val="zh-CN" w:eastAsia="zh-CN"/>
              </w:rPr>
              <w:t>日举行</w:t>
            </w:r>
            <w:r w:rsidR="000276A4">
              <w:rPr>
                <w:rFonts w:hint="eastAsia"/>
                <w:lang w:val="zh-CN" w:eastAsia="zh-CN"/>
              </w:rPr>
              <w:t>的</w:t>
            </w:r>
            <w:r w:rsidR="000276A4">
              <w:rPr>
                <w:lang w:val="zh-CN" w:eastAsia="zh-CN"/>
              </w:rPr>
              <w:t>第</w:t>
            </w:r>
            <w:r w:rsidR="000276A4">
              <w:rPr>
                <w:lang w:val="zh-CN" w:eastAsia="zh-CN"/>
              </w:rPr>
              <w:t>5</w:t>
            </w:r>
            <w:r w:rsidR="000276A4">
              <w:rPr>
                <w:lang w:val="zh-CN" w:eastAsia="zh-CN"/>
              </w:rPr>
              <w:t>次会议</w:t>
            </w:r>
          </w:p>
        </w:tc>
        <w:tc>
          <w:tcPr>
            <w:tcW w:w="6834" w:type="dxa"/>
            <w:shd w:val="clear" w:color="auto" w:fill="auto"/>
          </w:tcPr>
          <w:p w14:paraId="01E97074" w14:textId="430DDA8C" w:rsidR="002C63BB" w:rsidRDefault="00B636D2" w:rsidP="00B636D2">
            <w:pPr>
              <w:pStyle w:val="Tabletext"/>
              <w:tabs>
                <w:tab w:val="clear" w:pos="284"/>
                <w:tab w:val="clear" w:pos="567"/>
                <w:tab w:val="left" w:pos="496"/>
              </w:tabs>
              <w:rPr>
                <w:rFonts w:cstheme="minorHAnsi"/>
                <w:szCs w:val="24"/>
              </w:rPr>
            </w:pPr>
            <w:r w:rsidRPr="00B636D2">
              <w:rPr>
                <w:lang w:eastAsia="zh-CN"/>
              </w:rPr>
              <w:t>–</w:t>
            </w:r>
            <w:r>
              <w:rPr>
                <w:lang w:val="en-US" w:eastAsia="zh-CN"/>
              </w:rPr>
              <w:tab/>
            </w:r>
            <w:proofErr w:type="spellStart"/>
            <w:r w:rsidR="002C63BB">
              <w:rPr>
                <w:lang w:val="zh-CN"/>
              </w:rPr>
              <w:t>审议</w:t>
            </w:r>
            <w:proofErr w:type="spellEnd"/>
            <w:r w:rsidR="000276A4">
              <w:fldChar w:fldCharType="begin"/>
            </w:r>
            <w:r w:rsidR="000276A4">
              <w:instrText>HYPERLINK "https://www.itu.int/md/D22-TDAG.WG.SGQ-C-0029"</w:instrText>
            </w:r>
            <w:r w:rsidR="000276A4">
              <w:fldChar w:fldCharType="separate"/>
            </w:r>
            <w:r w:rsidR="000276A4" w:rsidRPr="00880939">
              <w:rPr>
                <w:rStyle w:val="Hyperlink"/>
                <w:rFonts w:cstheme="minorHAnsi"/>
                <w:szCs w:val="24"/>
              </w:rPr>
              <w:t>TDAG-WG-</w:t>
            </w:r>
            <w:proofErr w:type="spellStart"/>
            <w:r w:rsidR="000276A4" w:rsidRPr="00880939">
              <w:rPr>
                <w:rStyle w:val="Hyperlink"/>
                <w:rFonts w:cstheme="minorHAnsi"/>
                <w:szCs w:val="24"/>
              </w:rPr>
              <w:t>futureSGQ</w:t>
            </w:r>
            <w:proofErr w:type="spellEnd"/>
            <w:r w:rsidR="000276A4" w:rsidRPr="00880939">
              <w:rPr>
                <w:rStyle w:val="Hyperlink"/>
                <w:rFonts w:cstheme="minorHAnsi"/>
                <w:szCs w:val="24"/>
              </w:rPr>
              <w:t>/</w:t>
            </w:r>
            <w:r w:rsidR="000276A4">
              <w:rPr>
                <w:rStyle w:val="Hyperlink"/>
                <w:rFonts w:cstheme="minorHAnsi" w:hint="eastAsia"/>
                <w:szCs w:val="24"/>
                <w:lang w:eastAsia="ko-KR"/>
              </w:rPr>
              <w:t>29</w:t>
            </w:r>
            <w:r w:rsidR="000276A4">
              <w:fldChar w:fldCharType="end"/>
            </w:r>
            <w:r w:rsidR="000276A4">
              <w:rPr>
                <w:rFonts w:hint="eastAsia"/>
                <w:lang w:val="zh-CN" w:eastAsia="zh-CN"/>
              </w:rPr>
              <w:t>综合</w:t>
            </w:r>
            <w:proofErr w:type="spellStart"/>
            <w:r w:rsidR="000276A4">
              <w:rPr>
                <w:lang w:val="zh-CN"/>
              </w:rPr>
              <w:t>文件</w:t>
            </w:r>
            <w:r w:rsidR="002C63BB">
              <w:rPr>
                <w:lang w:val="zh-CN"/>
              </w:rPr>
              <w:t>第二稿</w:t>
            </w:r>
            <w:proofErr w:type="spellEnd"/>
            <w:r w:rsidR="000276A4">
              <w:rPr>
                <w:rFonts w:hint="eastAsia"/>
                <w:lang w:val="zh-CN" w:eastAsia="zh-CN"/>
              </w:rPr>
              <w:t>草案</w:t>
            </w:r>
          </w:p>
          <w:p w14:paraId="738BCE01" w14:textId="0585FA0A" w:rsidR="002C63BB" w:rsidRDefault="00B636D2" w:rsidP="00B636D2">
            <w:pPr>
              <w:pStyle w:val="Tabletext"/>
              <w:tabs>
                <w:tab w:val="clear" w:pos="284"/>
                <w:tab w:val="clear" w:pos="567"/>
                <w:tab w:val="left" w:pos="496"/>
              </w:tabs>
              <w:ind w:left="496" w:hanging="496"/>
              <w:rPr>
                <w:rFonts w:cstheme="minorHAnsi"/>
                <w:szCs w:val="24"/>
                <w:lang w:eastAsia="zh-CN"/>
              </w:rPr>
            </w:pPr>
            <w:r w:rsidRPr="00B636D2">
              <w:rPr>
                <w:lang w:eastAsia="zh-CN"/>
              </w:rPr>
              <w:t>–</w:t>
            </w:r>
            <w:r>
              <w:rPr>
                <w:lang w:val="en-US" w:eastAsia="zh-CN"/>
              </w:rPr>
              <w:tab/>
            </w:r>
            <w:r w:rsidR="002C63BB">
              <w:rPr>
                <w:lang w:val="zh-CN" w:eastAsia="zh-CN"/>
              </w:rPr>
              <w:t>审议成员提交的文稿</w:t>
            </w:r>
            <w:r w:rsidR="002C63BB" w:rsidRPr="00B636D2">
              <w:rPr>
                <w:lang w:eastAsia="zh-CN"/>
              </w:rPr>
              <w:t>（</w:t>
            </w:r>
            <w:r w:rsidR="002C63BB" w:rsidRPr="00B636D2">
              <w:rPr>
                <w:lang w:eastAsia="zh-CN"/>
              </w:rPr>
              <w:t>ATU</w:t>
            </w:r>
            <w:r w:rsidR="002C63BB">
              <w:rPr>
                <w:lang w:val="zh-CN" w:eastAsia="zh-CN"/>
              </w:rPr>
              <w:t>、中国、埃及、</w:t>
            </w:r>
            <w:r w:rsidR="002C63BB" w:rsidRPr="00B636D2">
              <w:rPr>
                <w:lang w:eastAsia="zh-CN"/>
              </w:rPr>
              <w:t>IAGDI-CRO</w:t>
            </w:r>
            <w:r w:rsidR="002C63BB">
              <w:rPr>
                <w:lang w:val="zh-CN" w:eastAsia="zh-CN"/>
              </w:rPr>
              <w:t>、第</w:t>
            </w:r>
            <w:r w:rsidR="002C63BB" w:rsidRPr="00B636D2">
              <w:rPr>
                <w:lang w:eastAsia="zh-CN"/>
              </w:rPr>
              <w:t>1</w:t>
            </w:r>
            <w:r w:rsidR="002C63BB">
              <w:rPr>
                <w:lang w:val="zh-CN" w:eastAsia="zh-CN"/>
              </w:rPr>
              <w:t>研究组</w:t>
            </w:r>
            <w:r w:rsidR="002C63BB" w:rsidRPr="00B636D2">
              <w:rPr>
                <w:lang w:eastAsia="zh-CN"/>
              </w:rPr>
              <w:t>）</w:t>
            </w:r>
          </w:p>
          <w:p w14:paraId="556B0196" w14:textId="7FD6088D" w:rsidR="002C63BB" w:rsidRDefault="00B636D2" w:rsidP="00B636D2">
            <w:pPr>
              <w:pStyle w:val="Tabletext"/>
              <w:tabs>
                <w:tab w:val="clear" w:pos="284"/>
                <w:tab w:val="clear" w:pos="567"/>
                <w:tab w:val="left" w:pos="496"/>
              </w:tabs>
              <w:ind w:left="496" w:hanging="496"/>
              <w:rPr>
                <w:rFonts w:cstheme="minorHAnsi"/>
                <w:szCs w:val="24"/>
                <w:lang w:eastAsia="zh-CN"/>
              </w:rPr>
            </w:pPr>
            <w:r w:rsidRPr="003753B7">
              <w:rPr>
                <w:lang w:val="zh-CN" w:eastAsia="zh-CN"/>
              </w:rPr>
              <w:t>–</w:t>
            </w:r>
            <w:r>
              <w:rPr>
                <w:lang w:val="en-US" w:eastAsia="zh-CN"/>
              </w:rPr>
              <w:tab/>
            </w:r>
            <w:r w:rsidR="002C63BB">
              <w:rPr>
                <w:lang w:val="zh-CN" w:eastAsia="zh-CN"/>
              </w:rPr>
              <w:t>同意利用</w:t>
            </w:r>
            <w:r w:rsidR="000276A4">
              <w:rPr>
                <w:rFonts w:hint="eastAsia"/>
                <w:lang w:val="zh-CN" w:eastAsia="zh-CN"/>
              </w:rPr>
              <w:t>来自</w:t>
            </w:r>
            <w:r w:rsidR="002C63BB">
              <w:rPr>
                <w:lang w:val="zh-CN" w:eastAsia="zh-CN"/>
              </w:rPr>
              <w:t>所审议文稿、会议上进行的讨论以及会议</w:t>
            </w:r>
            <w:r w:rsidR="000276A4">
              <w:rPr>
                <w:rFonts w:hint="eastAsia"/>
                <w:lang w:val="zh-CN" w:eastAsia="zh-CN"/>
              </w:rPr>
              <w:t>商定</w:t>
            </w:r>
            <w:r w:rsidR="002C63BB">
              <w:rPr>
                <w:lang w:val="zh-CN" w:eastAsia="zh-CN"/>
              </w:rPr>
              <w:t>的进一步磋商</w:t>
            </w:r>
            <w:r w:rsidR="000276A4">
              <w:rPr>
                <w:rFonts w:hint="eastAsia"/>
                <w:lang w:val="zh-CN" w:eastAsia="zh-CN"/>
              </w:rPr>
              <w:t>的输入意见</w:t>
            </w:r>
            <w:r w:rsidR="002C63BB">
              <w:rPr>
                <w:lang w:val="zh-CN" w:eastAsia="zh-CN"/>
              </w:rPr>
              <w:t>来更新</w:t>
            </w:r>
            <w:r w:rsidR="000276A4">
              <w:rPr>
                <w:rFonts w:hint="eastAsia"/>
                <w:lang w:val="zh-CN" w:eastAsia="zh-CN"/>
              </w:rPr>
              <w:t>综合</w:t>
            </w:r>
            <w:r w:rsidR="000276A4">
              <w:rPr>
                <w:lang w:val="zh-CN" w:eastAsia="zh-CN"/>
              </w:rPr>
              <w:t>文件第二稿</w:t>
            </w:r>
            <w:r w:rsidR="000276A4">
              <w:rPr>
                <w:rFonts w:hint="eastAsia"/>
                <w:lang w:val="zh-CN" w:eastAsia="zh-CN"/>
              </w:rPr>
              <w:t>草案</w:t>
            </w:r>
            <w:r w:rsidR="002C63BB">
              <w:rPr>
                <w:lang w:val="zh-CN" w:eastAsia="zh-CN"/>
              </w:rPr>
              <w:t>。</w:t>
            </w:r>
          </w:p>
          <w:p w14:paraId="0528C6C4" w14:textId="5A9770FD" w:rsidR="002C63BB" w:rsidRPr="007C724D" w:rsidRDefault="002C63BB" w:rsidP="0044630E">
            <w:pPr>
              <w:pStyle w:val="Tabletext"/>
              <w:rPr>
                <w:rFonts w:cstheme="minorHAnsi"/>
                <w:szCs w:val="24"/>
              </w:rPr>
            </w:pPr>
            <w:proofErr w:type="spellStart"/>
            <w:r>
              <w:rPr>
                <w:lang w:val="zh-CN"/>
              </w:rPr>
              <w:t>会议报告见</w:t>
            </w:r>
            <w:proofErr w:type="spellEnd"/>
            <w:r w:rsidR="000276A4">
              <w:fldChar w:fldCharType="begin"/>
            </w:r>
            <w:r w:rsidR="000276A4">
              <w:instrText>HYPERLINK "https://www.itu.int/md/D22-TDAG.WG.SGQ-C-0034/"</w:instrText>
            </w:r>
            <w:r w:rsidR="000276A4">
              <w:fldChar w:fldCharType="separate"/>
            </w:r>
            <w:r w:rsidR="000276A4" w:rsidRPr="00880939">
              <w:rPr>
                <w:rStyle w:val="Hyperlink"/>
                <w:rFonts w:cstheme="minorHAnsi"/>
                <w:szCs w:val="24"/>
              </w:rPr>
              <w:t>TDAG-WG-</w:t>
            </w:r>
            <w:proofErr w:type="spellStart"/>
            <w:r w:rsidR="000276A4" w:rsidRPr="00880939">
              <w:rPr>
                <w:rStyle w:val="Hyperlink"/>
                <w:rFonts w:cstheme="minorHAnsi"/>
                <w:szCs w:val="24"/>
              </w:rPr>
              <w:t>futureSGQ</w:t>
            </w:r>
            <w:proofErr w:type="spellEnd"/>
            <w:r w:rsidR="000276A4" w:rsidRPr="00880939">
              <w:rPr>
                <w:rStyle w:val="Hyperlink"/>
                <w:rFonts w:cstheme="minorHAnsi"/>
                <w:szCs w:val="24"/>
              </w:rPr>
              <w:t>/</w:t>
            </w:r>
            <w:r w:rsidR="000276A4">
              <w:rPr>
                <w:rStyle w:val="Hyperlink"/>
                <w:rFonts w:cstheme="minorHAnsi" w:hint="eastAsia"/>
                <w:szCs w:val="24"/>
                <w:lang w:eastAsia="ko-KR"/>
              </w:rPr>
              <w:t>34</w:t>
            </w:r>
            <w:r w:rsidR="000276A4">
              <w:fldChar w:fldCharType="end"/>
            </w:r>
          </w:p>
        </w:tc>
      </w:tr>
      <w:tr w:rsidR="002C63BB" w:rsidRPr="00BD41B4" w14:paraId="6AB6E39F" w14:textId="77777777" w:rsidTr="00AF7269">
        <w:trPr>
          <w:trHeight w:val="300"/>
        </w:trPr>
        <w:tc>
          <w:tcPr>
            <w:tcW w:w="2795" w:type="dxa"/>
            <w:shd w:val="clear" w:color="auto" w:fill="auto"/>
          </w:tcPr>
          <w:p w14:paraId="17C8D658" w14:textId="77777777" w:rsidR="002C63BB" w:rsidRDefault="002C63BB" w:rsidP="0044630E">
            <w:pPr>
              <w:pStyle w:val="Tabletext"/>
              <w:rPr>
                <w:rFonts w:cstheme="minorHAnsi"/>
                <w:szCs w:val="24"/>
                <w:lang w:eastAsia="zh-CN"/>
              </w:rPr>
            </w:pPr>
            <w:r>
              <w:rPr>
                <w:lang w:val="zh-CN" w:eastAsia="zh-CN"/>
              </w:rPr>
              <w:t>2025</w:t>
            </w:r>
            <w:r>
              <w:rPr>
                <w:lang w:val="zh-CN" w:eastAsia="zh-CN"/>
              </w:rPr>
              <w:t>年</w:t>
            </w:r>
            <w:r>
              <w:rPr>
                <w:lang w:val="zh-CN" w:eastAsia="zh-CN"/>
              </w:rPr>
              <w:t>4</w:t>
            </w:r>
            <w:r>
              <w:rPr>
                <w:lang w:val="zh-CN" w:eastAsia="zh-CN"/>
              </w:rPr>
              <w:t>月</w:t>
            </w:r>
            <w:r>
              <w:rPr>
                <w:lang w:val="zh-CN" w:eastAsia="zh-CN"/>
              </w:rPr>
              <w:t>16</w:t>
            </w:r>
            <w:r>
              <w:rPr>
                <w:lang w:val="zh-CN" w:eastAsia="zh-CN"/>
              </w:rPr>
              <w:t>日举行的第</w:t>
            </w:r>
            <w:r>
              <w:rPr>
                <w:lang w:val="zh-CN" w:eastAsia="zh-CN"/>
              </w:rPr>
              <w:t>6</w:t>
            </w:r>
            <w:r>
              <w:rPr>
                <w:lang w:val="zh-CN" w:eastAsia="zh-CN"/>
              </w:rPr>
              <w:t>次会议</w:t>
            </w:r>
          </w:p>
        </w:tc>
        <w:tc>
          <w:tcPr>
            <w:tcW w:w="6834" w:type="dxa"/>
            <w:shd w:val="clear" w:color="auto" w:fill="auto"/>
          </w:tcPr>
          <w:p w14:paraId="0ED3B441" w14:textId="77777777" w:rsidR="002C63BB" w:rsidRPr="001877F1" w:rsidRDefault="002C63BB" w:rsidP="0044630E">
            <w:pPr>
              <w:pStyle w:val="Tabletext"/>
              <w:rPr>
                <w:rFonts w:cstheme="minorHAnsi"/>
                <w:szCs w:val="24"/>
              </w:rPr>
            </w:pPr>
            <w:proofErr w:type="spellStart"/>
            <w:r>
              <w:rPr>
                <w:lang w:val="zh-CN"/>
              </w:rPr>
              <w:t>适时纳入</w:t>
            </w:r>
            <w:proofErr w:type="spellEnd"/>
          </w:p>
        </w:tc>
      </w:tr>
    </w:tbl>
    <w:p w14:paraId="05474BF1" w14:textId="4673FE7B" w:rsidR="002C63BB" w:rsidRPr="006809D8" w:rsidRDefault="00402B39" w:rsidP="00514425">
      <w:pPr>
        <w:ind w:firstLineChars="200" w:firstLine="480"/>
        <w:rPr>
          <w:rFonts w:cstheme="minorHAnsi"/>
          <w:szCs w:val="24"/>
          <w:lang w:eastAsia="zh-CN"/>
        </w:rPr>
      </w:pPr>
      <w:r w:rsidRPr="00402B39">
        <w:rPr>
          <w:rFonts w:hint="eastAsia"/>
          <w:lang w:val="zh-CN" w:eastAsia="zh-CN"/>
        </w:rPr>
        <w:t>附件</w:t>
      </w:r>
      <w:r w:rsidRPr="00402B39">
        <w:rPr>
          <w:rFonts w:hint="eastAsia"/>
          <w:lang w:val="zh-CN" w:eastAsia="zh-CN"/>
        </w:rPr>
        <w:t>2</w:t>
      </w:r>
      <w:r w:rsidRPr="00402B39">
        <w:rPr>
          <w:rFonts w:hint="eastAsia"/>
          <w:lang w:val="zh-CN" w:eastAsia="zh-CN"/>
        </w:rPr>
        <w:t>提供了</w:t>
      </w:r>
      <w:r w:rsidRPr="00402B39">
        <w:rPr>
          <w:rFonts w:hint="eastAsia"/>
          <w:lang w:val="zh-CN" w:eastAsia="zh-CN"/>
        </w:rPr>
        <w:t>TDAG-24</w:t>
      </w:r>
      <w:r w:rsidRPr="00402B39">
        <w:rPr>
          <w:rFonts w:hint="eastAsia"/>
          <w:lang w:val="zh-CN" w:eastAsia="zh-CN"/>
        </w:rPr>
        <w:t>之后举行的会议的摘要</w:t>
      </w:r>
      <w:r>
        <w:rPr>
          <w:rFonts w:hint="eastAsia"/>
          <w:lang w:val="zh-CN" w:eastAsia="zh-CN"/>
        </w:rPr>
        <w:t>。</w:t>
      </w:r>
    </w:p>
    <w:p w14:paraId="1B3915B9" w14:textId="64147512" w:rsidR="002C63BB" w:rsidRPr="00514425" w:rsidRDefault="00514425" w:rsidP="00514425">
      <w:pPr>
        <w:pStyle w:val="Heading1"/>
        <w:spacing w:after="120"/>
        <w:rPr>
          <w:sz w:val="24"/>
          <w:szCs w:val="24"/>
          <w:lang w:val="en-US" w:eastAsia="zh-CN"/>
        </w:rPr>
      </w:pPr>
      <w:r>
        <w:rPr>
          <w:sz w:val="24"/>
          <w:szCs w:val="24"/>
          <w:lang w:val="en-US" w:eastAsia="zh-CN"/>
        </w:rPr>
        <w:t>5</w:t>
      </w:r>
      <w:r>
        <w:rPr>
          <w:sz w:val="24"/>
          <w:szCs w:val="24"/>
          <w:lang w:val="en-US" w:eastAsia="zh-CN"/>
        </w:rPr>
        <w:tab/>
      </w:r>
      <w:r w:rsidR="00402B39" w:rsidRPr="00514425">
        <w:rPr>
          <w:rFonts w:hint="eastAsia"/>
          <w:sz w:val="24"/>
          <w:szCs w:val="24"/>
          <w:lang w:val="en-US" w:eastAsia="zh-CN"/>
        </w:rPr>
        <w:t>最后综合</w:t>
      </w:r>
      <w:r w:rsidR="002C63BB" w:rsidRPr="00514425">
        <w:rPr>
          <w:sz w:val="24"/>
          <w:szCs w:val="24"/>
          <w:lang w:val="en-US" w:eastAsia="zh-CN"/>
        </w:rPr>
        <w:t>文件</w:t>
      </w:r>
    </w:p>
    <w:p w14:paraId="78032462" w14:textId="58234012" w:rsidR="002C63BB" w:rsidRDefault="00402B39" w:rsidP="00514425">
      <w:pPr>
        <w:ind w:firstLineChars="200" w:firstLine="480"/>
        <w:rPr>
          <w:lang w:eastAsia="zh-CN"/>
        </w:rPr>
      </w:pPr>
      <w:r>
        <w:rPr>
          <w:rFonts w:hint="eastAsia"/>
          <w:lang w:val="zh-CN" w:eastAsia="zh-CN"/>
        </w:rPr>
        <w:t>经过</w:t>
      </w:r>
      <w:r w:rsidR="002C63BB">
        <w:rPr>
          <w:lang w:val="zh-CN" w:eastAsia="zh-CN"/>
        </w:rPr>
        <w:t>广泛磋商，特提出一份最</w:t>
      </w:r>
      <w:r>
        <w:rPr>
          <w:rFonts w:hint="eastAsia"/>
          <w:lang w:val="zh-CN" w:eastAsia="zh-CN"/>
        </w:rPr>
        <w:t>后</w:t>
      </w:r>
      <w:r w:rsidR="002C63BB">
        <w:rPr>
          <w:lang w:val="zh-CN" w:eastAsia="zh-CN"/>
        </w:rPr>
        <w:t>综合文件（文件号将在</w:t>
      </w:r>
      <w:r w:rsidR="002C63BB">
        <w:rPr>
          <w:lang w:val="zh-CN" w:eastAsia="zh-CN"/>
        </w:rPr>
        <w:t>2025</w:t>
      </w:r>
      <w:r w:rsidR="002C63BB">
        <w:rPr>
          <w:lang w:val="zh-CN" w:eastAsia="zh-CN"/>
        </w:rPr>
        <w:t>年</w:t>
      </w:r>
      <w:r w:rsidR="002C63BB">
        <w:rPr>
          <w:lang w:val="zh-CN" w:eastAsia="zh-CN"/>
        </w:rPr>
        <w:t>4</w:t>
      </w:r>
      <w:r w:rsidR="002C63BB">
        <w:rPr>
          <w:lang w:val="zh-CN" w:eastAsia="zh-CN"/>
        </w:rPr>
        <w:t>月</w:t>
      </w:r>
      <w:r w:rsidR="002C63BB">
        <w:rPr>
          <w:lang w:val="zh-CN" w:eastAsia="zh-CN"/>
        </w:rPr>
        <w:t>16</w:t>
      </w:r>
      <w:r w:rsidR="002C63BB">
        <w:rPr>
          <w:lang w:val="zh-CN" w:eastAsia="zh-CN"/>
        </w:rPr>
        <w:t>日会议后纳入），作为</w:t>
      </w:r>
      <w:r w:rsidR="002C63BB">
        <w:rPr>
          <w:lang w:val="zh-CN" w:eastAsia="zh-CN"/>
        </w:rPr>
        <w:t>WTDC-25</w:t>
      </w:r>
      <w:r w:rsidR="002C63BB">
        <w:rPr>
          <w:lang w:val="zh-CN" w:eastAsia="zh-CN"/>
        </w:rPr>
        <w:t>的基础文件，</w:t>
      </w:r>
      <w:r>
        <w:rPr>
          <w:rFonts w:hint="eastAsia"/>
          <w:lang w:val="zh-CN" w:eastAsia="zh-CN"/>
        </w:rPr>
        <w:t>以取代</w:t>
      </w:r>
      <w:r w:rsidR="002C63BB">
        <w:rPr>
          <w:lang w:val="zh-CN" w:eastAsia="zh-CN"/>
        </w:rPr>
        <w:t>WTDC</w:t>
      </w:r>
      <w:r w:rsidR="002C63BB">
        <w:rPr>
          <w:lang w:val="zh-CN" w:eastAsia="zh-CN"/>
        </w:rPr>
        <w:t>第</w:t>
      </w:r>
      <w:r w:rsidR="002C63BB">
        <w:rPr>
          <w:lang w:val="zh-CN" w:eastAsia="zh-CN"/>
        </w:rPr>
        <w:t>2</w:t>
      </w:r>
      <w:r w:rsidR="002C63BB">
        <w:rPr>
          <w:lang w:val="zh-CN" w:eastAsia="zh-CN"/>
        </w:rPr>
        <w:t>号决议（</w:t>
      </w:r>
      <w:r w:rsidR="002C63BB">
        <w:rPr>
          <w:lang w:val="zh-CN" w:eastAsia="zh-CN"/>
        </w:rPr>
        <w:t>2022</w:t>
      </w:r>
      <w:r w:rsidR="002C63BB">
        <w:rPr>
          <w:lang w:val="zh-CN" w:eastAsia="zh-CN"/>
        </w:rPr>
        <w:t>年，基加利，修订版）的附件</w:t>
      </w:r>
      <w:r w:rsidR="002C63BB">
        <w:rPr>
          <w:lang w:val="zh-CN" w:eastAsia="zh-CN"/>
        </w:rPr>
        <w:t>1</w:t>
      </w:r>
      <w:r w:rsidR="002C63BB">
        <w:rPr>
          <w:lang w:val="zh-CN" w:eastAsia="zh-CN"/>
        </w:rPr>
        <w:t>和</w:t>
      </w:r>
      <w:r w:rsidR="002C63BB">
        <w:rPr>
          <w:lang w:val="zh-CN" w:eastAsia="zh-CN"/>
        </w:rPr>
        <w:t>2</w:t>
      </w:r>
      <w:r w:rsidR="002C63BB">
        <w:rPr>
          <w:lang w:val="zh-CN" w:eastAsia="zh-CN"/>
        </w:rPr>
        <w:t>及其</w:t>
      </w:r>
      <w:r>
        <w:rPr>
          <w:lang w:val="zh-CN" w:eastAsia="zh-CN"/>
        </w:rPr>
        <w:t>相关</w:t>
      </w:r>
      <w:r>
        <w:rPr>
          <w:rFonts w:hint="eastAsia"/>
          <w:lang w:val="zh-CN" w:eastAsia="zh-CN"/>
        </w:rPr>
        <w:t>的</w:t>
      </w:r>
      <w:r w:rsidR="002C63BB">
        <w:rPr>
          <w:lang w:val="zh-CN" w:eastAsia="zh-CN"/>
        </w:rPr>
        <w:t>研究组课题的职</w:t>
      </w:r>
      <w:r>
        <w:rPr>
          <w:rFonts w:hint="eastAsia"/>
          <w:lang w:val="zh-CN" w:eastAsia="zh-CN"/>
        </w:rPr>
        <w:t>责</w:t>
      </w:r>
      <w:r w:rsidR="002C63BB">
        <w:rPr>
          <w:lang w:val="zh-CN" w:eastAsia="zh-CN"/>
        </w:rPr>
        <w:t>范围。</w:t>
      </w:r>
    </w:p>
    <w:p w14:paraId="2B97BD10" w14:textId="5B5DE7A7" w:rsidR="002C63BB" w:rsidRDefault="002C63BB" w:rsidP="00514425">
      <w:pPr>
        <w:ind w:firstLineChars="200" w:firstLine="480"/>
        <w:rPr>
          <w:rFonts w:cstheme="minorHAnsi"/>
          <w:szCs w:val="24"/>
          <w:lang w:eastAsia="zh-CN"/>
        </w:rPr>
      </w:pPr>
      <w:r>
        <w:rPr>
          <w:lang w:val="zh-CN" w:eastAsia="zh-CN"/>
        </w:rPr>
        <w:t>这份</w:t>
      </w:r>
      <w:r w:rsidR="00402B39">
        <w:rPr>
          <w:rFonts w:hint="eastAsia"/>
          <w:lang w:val="zh-CN" w:eastAsia="zh-CN"/>
        </w:rPr>
        <w:t>最后综合文件</w:t>
      </w:r>
      <w:r>
        <w:rPr>
          <w:lang w:val="zh-CN" w:eastAsia="zh-CN"/>
        </w:rPr>
        <w:t>是一份指南，</w:t>
      </w:r>
      <w:proofErr w:type="gramStart"/>
      <w:r>
        <w:rPr>
          <w:lang w:val="zh-CN" w:eastAsia="zh-CN"/>
        </w:rPr>
        <w:t>供将在</w:t>
      </w:r>
      <w:proofErr w:type="gramEnd"/>
      <w:r>
        <w:rPr>
          <w:lang w:val="zh-CN" w:eastAsia="zh-CN"/>
        </w:rPr>
        <w:t>WTDC-25</w:t>
      </w:r>
      <w:r>
        <w:rPr>
          <w:lang w:val="zh-CN" w:eastAsia="zh-CN"/>
        </w:rPr>
        <w:t>上就</w:t>
      </w:r>
      <w:r>
        <w:rPr>
          <w:lang w:val="zh-CN" w:eastAsia="zh-CN"/>
        </w:rPr>
        <w:t>WTDC</w:t>
      </w:r>
      <w:r>
        <w:rPr>
          <w:lang w:val="zh-CN" w:eastAsia="zh-CN"/>
        </w:rPr>
        <w:t>第</w:t>
      </w:r>
      <w:r>
        <w:rPr>
          <w:lang w:val="zh-CN" w:eastAsia="zh-CN"/>
        </w:rPr>
        <w:t>2</w:t>
      </w:r>
      <w:r>
        <w:rPr>
          <w:lang w:val="zh-CN" w:eastAsia="zh-CN"/>
        </w:rPr>
        <w:t>号决议（</w:t>
      </w:r>
      <w:r>
        <w:rPr>
          <w:lang w:val="zh-CN" w:eastAsia="zh-CN"/>
        </w:rPr>
        <w:t>2022</w:t>
      </w:r>
      <w:r>
        <w:rPr>
          <w:lang w:val="zh-CN" w:eastAsia="zh-CN"/>
        </w:rPr>
        <w:t>年，基加利，修订版）的附件</w:t>
      </w:r>
      <w:r>
        <w:rPr>
          <w:lang w:val="zh-CN" w:eastAsia="zh-CN"/>
        </w:rPr>
        <w:t>1</w:t>
      </w:r>
      <w:r>
        <w:rPr>
          <w:lang w:val="zh-CN" w:eastAsia="zh-CN"/>
        </w:rPr>
        <w:t>和附件</w:t>
      </w:r>
      <w:r>
        <w:rPr>
          <w:lang w:val="zh-CN" w:eastAsia="zh-CN"/>
        </w:rPr>
        <w:t>2</w:t>
      </w:r>
      <w:r>
        <w:rPr>
          <w:lang w:val="zh-CN" w:eastAsia="zh-CN"/>
        </w:rPr>
        <w:t>摘录（包括研究组课题的职责范围）提交文稿的所有成员审议。</w:t>
      </w:r>
    </w:p>
    <w:p w14:paraId="773CD338" w14:textId="126A3A64" w:rsidR="002C63BB" w:rsidRDefault="00B64149" w:rsidP="00514425">
      <w:pPr>
        <w:ind w:firstLineChars="200" w:firstLine="480"/>
        <w:rPr>
          <w:rFonts w:cstheme="minorHAnsi"/>
          <w:szCs w:val="24"/>
          <w:lang w:eastAsia="zh-CN"/>
        </w:rPr>
      </w:pPr>
      <w:r>
        <w:rPr>
          <w:rFonts w:hint="eastAsia"/>
          <w:lang w:val="zh-CN" w:eastAsia="zh-CN"/>
        </w:rPr>
        <w:t>拟议的要点有：</w:t>
      </w:r>
    </w:p>
    <w:p w14:paraId="73800553" w14:textId="5478B952" w:rsidR="002C63BB" w:rsidRDefault="00514425" w:rsidP="00514425">
      <w:pPr>
        <w:pStyle w:val="enumlev1"/>
        <w:rPr>
          <w:rFonts w:cstheme="minorHAnsi"/>
          <w:szCs w:val="24"/>
          <w:lang w:eastAsia="zh-CN"/>
        </w:rPr>
      </w:pPr>
      <w:r w:rsidRPr="00514425">
        <w:rPr>
          <w:lang w:val="zh-CN" w:eastAsia="zh-CN"/>
        </w:rPr>
        <w:t>–</w:t>
      </w:r>
      <w:r>
        <w:rPr>
          <w:lang w:val="en-US" w:eastAsia="zh-CN"/>
        </w:rPr>
        <w:tab/>
      </w:r>
      <w:r w:rsidR="002C63BB">
        <w:rPr>
          <w:lang w:val="zh-CN" w:eastAsia="zh-CN"/>
        </w:rPr>
        <w:t>保留</w:t>
      </w:r>
      <w:r w:rsidR="002C63BB">
        <w:rPr>
          <w:lang w:val="zh-CN" w:eastAsia="zh-CN"/>
        </w:rPr>
        <w:t>2</w:t>
      </w:r>
      <w:r w:rsidR="002C63BB">
        <w:rPr>
          <w:lang w:val="zh-CN" w:eastAsia="zh-CN"/>
        </w:rPr>
        <w:t>个研究组，</w:t>
      </w:r>
      <w:r w:rsidR="00402B39">
        <w:rPr>
          <w:rFonts w:hint="eastAsia"/>
          <w:lang w:val="zh-CN" w:eastAsia="zh-CN"/>
        </w:rPr>
        <w:t>但</w:t>
      </w:r>
      <w:r w:rsidR="00402B39">
        <w:rPr>
          <w:lang w:val="zh-CN" w:eastAsia="zh-CN"/>
        </w:rPr>
        <w:t>修订</w:t>
      </w:r>
      <w:r w:rsidR="00402B39">
        <w:rPr>
          <w:rFonts w:hint="eastAsia"/>
          <w:lang w:val="zh-CN" w:eastAsia="zh-CN"/>
        </w:rPr>
        <w:t>缩短</w:t>
      </w:r>
      <w:r w:rsidR="002C63BB">
        <w:rPr>
          <w:lang w:val="zh-CN" w:eastAsia="zh-CN"/>
        </w:rPr>
        <w:t>第</w:t>
      </w:r>
      <w:r w:rsidR="002C63BB">
        <w:rPr>
          <w:lang w:val="zh-CN" w:eastAsia="zh-CN"/>
        </w:rPr>
        <w:t>1</w:t>
      </w:r>
      <w:r w:rsidR="002C63BB">
        <w:rPr>
          <w:lang w:val="zh-CN" w:eastAsia="zh-CN"/>
        </w:rPr>
        <w:t>研究组</w:t>
      </w:r>
      <w:r w:rsidR="00402B39">
        <w:rPr>
          <w:rFonts w:hint="eastAsia"/>
          <w:lang w:val="zh-CN" w:eastAsia="zh-CN"/>
        </w:rPr>
        <w:t>的</w:t>
      </w:r>
      <w:r w:rsidR="002C63BB">
        <w:rPr>
          <w:lang w:val="zh-CN" w:eastAsia="zh-CN"/>
        </w:rPr>
        <w:t>标题。</w:t>
      </w:r>
    </w:p>
    <w:p w14:paraId="11593645" w14:textId="2880AE0B" w:rsidR="002C63BB" w:rsidRDefault="00514425" w:rsidP="00514425">
      <w:pPr>
        <w:pStyle w:val="enumlev1"/>
        <w:rPr>
          <w:rFonts w:cstheme="minorHAnsi"/>
          <w:szCs w:val="24"/>
          <w:lang w:eastAsia="zh-CN"/>
        </w:rPr>
      </w:pPr>
      <w:r w:rsidRPr="00514425">
        <w:rPr>
          <w:lang w:val="zh-CN" w:eastAsia="zh-CN"/>
        </w:rPr>
        <w:t>–</w:t>
      </w:r>
      <w:r>
        <w:rPr>
          <w:lang w:val="en-US" w:eastAsia="zh-CN"/>
        </w:rPr>
        <w:tab/>
      </w:r>
      <w:r w:rsidR="002C63BB">
        <w:rPr>
          <w:lang w:val="zh-CN" w:eastAsia="zh-CN"/>
        </w:rPr>
        <w:t>每个研究组</w:t>
      </w:r>
      <w:r w:rsidR="00402B39">
        <w:rPr>
          <w:rFonts w:hint="eastAsia"/>
          <w:lang w:val="zh-CN" w:eastAsia="zh-CN"/>
        </w:rPr>
        <w:t>有</w:t>
      </w:r>
      <w:r w:rsidR="002C63BB">
        <w:rPr>
          <w:lang w:val="zh-CN" w:eastAsia="zh-CN"/>
        </w:rPr>
        <w:t>5</w:t>
      </w:r>
      <w:r w:rsidR="002C63BB">
        <w:rPr>
          <w:lang w:val="zh-CN" w:eastAsia="zh-CN"/>
        </w:rPr>
        <w:t>个研究课题，以减少议题</w:t>
      </w:r>
      <w:r w:rsidR="002C63BB">
        <w:rPr>
          <w:lang w:val="zh-CN" w:eastAsia="zh-CN"/>
        </w:rPr>
        <w:t>/</w:t>
      </w:r>
      <w:r w:rsidR="002C63BB">
        <w:rPr>
          <w:lang w:val="zh-CN" w:eastAsia="zh-CN"/>
        </w:rPr>
        <w:t>文稿的重叠，提高资源的有效利用。通过这一建议，一组报告人组会议可以安排在一周内</w:t>
      </w:r>
      <w:r w:rsidR="00402B39" w:rsidRPr="00402B39">
        <w:rPr>
          <w:rFonts w:hint="eastAsia"/>
          <w:lang w:val="zh-CN" w:eastAsia="zh-CN"/>
        </w:rPr>
        <w:t>举行</w:t>
      </w:r>
      <w:r w:rsidR="002C63BB">
        <w:rPr>
          <w:lang w:val="zh-CN" w:eastAsia="zh-CN"/>
        </w:rPr>
        <w:t>，然后第</w:t>
      </w:r>
      <w:r w:rsidR="002C63BB">
        <w:rPr>
          <w:lang w:val="zh-CN" w:eastAsia="zh-CN"/>
        </w:rPr>
        <w:t>1</w:t>
      </w:r>
      <w:r w:rsidR="002C63BB">
        <w:rPr>
          <w:lang w:val="zh-CN" w:eastAsia="zh-CN"/>
        </w:rPr>
        <w:t>研究组和第</w:t>
      </w:r>
      <w:r w:rsidR="002C63BB">
        <w:rPr>
          <w:lang w:val="zh-CN" w:eastAsia="zh-CN"/>
        </w:rPr>
        <w:t>2</w:t>
      </w:r>
      <w:r w:rsidR="002C63BB">
        <w:rPr>
          <w:lang w:val="zh-CN" w:eastAsia="zh-CN"/>
        </w:rPr>
        <w:t>研究组报告人组的背靠背会议</w:t>
      </w:r>
      <w:r w:rsidR="00402B39">
        <w:rPr>
          <w:rFonts w:hint="eastAsia"/>
          <w:lang w:val="zh-CN" w:eastAsia="zh-CN"/>
        </w:rPr>
        <w:t>可</w:t>
      </w:r>
      <w:r w:rsidR="002C63BB">
        <w:rPr>
          <w:lang w:val="zh-CN" w:eastAsia="zh-CN"/>
        </w:rPr>
        <w:t>缩短为两周，而不是</w:t>
      </w:r>
      <w:r w:rsidR="002C63BB">
        <w:rPr>
          <w:lang w:val="zh-CN" w:eastAsia="zh-CN"/>
        </w:rPr>
        <w:t>4</w:t>
      </w:r>
      <w:r w:rsidR="002C63BB">
        <w:rPr>
          <w:lang w:val="zh-CN" w:eastAsia="zh-CN"/>
        </w:rPr>
        <w:t>周。</w:t>
      </w:r>
    </w:p>
    <w:p w14:paraId="2683A4F3" w14:textId="6BA19790" w:rsidR="002C63BB" w:rsidRPr="003A0064" w:rsidRDefault="00514425" w:rsidP="00514425">
      <w:pPr>
        <w:pStyle w:val="enumlev1"/>
        <w:rPr>
          <w:rFonts w:cstheme="minorHAnsi"/>
          <w:szCs w:val="24"/>
          <w:lang w:eastAsia="zh-CN"/>
        </w:rPr>
      </w:pPr>
      <w:r w:rsidRPr="00514425">
        <w:rPr>
          <w:lang w:val="zh-CN" w:eastAsia="zh-CN"/>
        </w:rPr>
        <w:t>–</w:t>
      </w:r>
      <w:r>
        <w:rPr>
          <w:lang w:val="en-US" w:eastAsia="zh-CN"/>
        </w:rPr>
        <w:tab/>
      </w:r>
      <w:r w:rsidR="002C63BB">
        <w:rPr>
          <w:lang w:val="zh-CN" w:eastAsia="zh-CN"/>
        </w:rPr>
        <w:t>所有拟议研究课题的职责范围均纳入了第</w:t>
      </w:r>
      <w:r w:rsidR="002C63BB">
        <w:rPr>
          <w:lang w:val="zh-CN" w:eastAsia="zh-CN"/>
        </w:rPr>
        <w:t>1</w:t>
      </w:r>
      <w:r w:rsidR="002C63BB">
        <w:rPr>
          <w:lang w:val="zh-CN" w:eastAsia="zh-CN"/>
        </w:rPr>
        <w:t>研究组和第</w:t>
      </w:r>
      <w:r w:rsidR="002C63BB">
        <w:rPr>
          <w:lang w:val="zh-CN" w:eastAsia="zh-CN"/>
        </w:rPr>
        <w:t>2</w:t>
      </w:r>
      <w:r w:rsidR="002C63BB">
        <w:rPr>
          <w:lang w:val="zh-CN" w:eastAsia="zh-CN"/>
        </w:rPr>
        <w:t>研究组协调人在咨询每个研究课题现任（共同）报告人后分享的</w:t>
      </w:r>
      <w:r w:rsidR="00402B39">
        <w:rPr>
          <w:lang w:val="zh-CN" w:eastAsia="zh-CN"/>
        </w:rPr>
        <w:t>修订</w:t>
      </w:r>
      <w:r w:rsidR="00402B39">
        <w:rPr>
          <w:rFonts w:hint="eastAsia"/>
          <w:lang w:val="zh-CN" w:eastAsia="zh-CN"/>
        </w:rPr>
        <w:t>版</w:t>
      </w:r>
      <w:r w:rsidR="002C63BB">
        <w:rPr>
          <w:lang w:val="zh-CN" w:eastAsia="zh-CN"/>
        </w:rPr>
        <w:t>职责范围。</w:t>
      </w:r>
    </w:p>
    <w:p w14:paraId="6901C75A" w14:textId="314058AA" w:rsidR="003A0064" w:rsidRDefault="00514425" w:rsidP="00514425">
      <w:pPr>
        <w:pStyle w:val="enumlev1"/>
        <w:rPr>
          <w:rFonts w:cstheme="minorHAnsi"/>
          <w:szCs w:val="24"/>
          <w:lang w:eastAsia="zh-CN"/>
        </w:rPr>
      </w:pPr>
      <w:r w:rsidRPr="00514425">
        <w:rPr>
          <w:lang w:val="zh-CN" w:eastAsia="zh-CN"/>
        </w:rPr>
        <w:t>–</w:t>
      </w:r>
      <w:r>
        <w:rPr>
          <w:lang w:val="en-US" w:eastAsia="zh-CN"/>
        </w:rPr>
        <w:tab/>
      </w:r>
      <w:r w:rsidR="003A0064">
        <w:rPr>
          <w:lang w:val="zh-CN" w:eastAsia="zh-CN"/>
        </w:rPr>
        <w:t>更多信息将在</w:t>
      </w:r>
      <w:r w:rsidR="003A0064">
        <w:rPr>
          <w:lang w:val="zh-CN" w:eastAsia="zh-CN"/>
        </w:rPr>
        <w:t>2025</w:t>
      </w:r>
      <w:r w:rsidR="003A0064">
        <w:rPr>
          <w:lang w:val="zh-CN" w:eastAsia="zh-CN"/>
        </w:rPr>
        <w:t>年</w:t>
      </w:r>
      <w:r w:rsidR="003A0064">
        <w:rPr>
          <w:lang w:val="zh-CN" w:eastAsia="zh-CN"/>
        </w:rPr>
        <w:t>4</w:t>
      </w:r>
      <w:r w:rsidR="003A0064">
        <w:rPr>
          <w:lang w:val="zh-CN" w:eastAsia="zh-CN"/>
        </w:rPr>
        <w:t>月</w:t>
      </w:r>
      <w:r w:rsidR="003A0064">
        <w:rPr>
          <w:lang w:val="zh-CN" w:eastAsia="zh-CN"/>
        </w:rPr>
        <w:t>16</w:t>
      </w:r>
      <w:r w:rsidR="003A0064">
        <w:rPr>
          <w:lang w:val="zh-CN" w:eastAsia="zh-CN"/>
        </w:rPr>
        <w:t>日的会议之后</w:t>
      </w:r>
      <w:r w:rsidR="003A0064">
        <w:rPr>
          <w:rFonts w:hint="eastAsia"/>
          <w:lang w:val="zh-CN" w:eastAsia="zh-CN"/>
        </w:rPr>
        <w:t>补充</w:t>
      </w:r>
      <w:r w:rsidR="003A0064">
        <w:rPr>
          <w:lang w:val="zh-CN" w:eastAsia="zh-CN"/>
        </w:rPr>
        <w:t>。</w:t>
      </w:r>
    </w:p>
    <w:p w14:paraId="0BDB5595" w14:textId="77777777" w:rsidR="0044630E" w:rsidRDefault="0044630E">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469C53B4" w14:textId="033E65FD" w:rsidR="002C63BB" w:rsidRDefault="002C63BB" w:rsidP="002C63BB">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ANNEX 1 – Regional Focal Points</w:t>
      </w:r>
    </w:p>
    <w:p w14:paraId="764402D8" w14:textId="77777777" w:rsidR="002C63BB" w:rsidRPr="00A213F7" w:rsidRDefault="002C63BB" w:rsidP="002C63BB">
      <w:pPr>
        <w:spacing w:after="120"/>
        <w:ind w:left="360"/>
        <w:rPr>
          <w:rFonts w:cstheme="minorHAnsi"/>
          <w:szCs w:val="24"/>
        </w:rPr>
      </w:pPr>
      <w:r w:rsidRPr="00A213F7">
        <w:rPr>
          <w:rFonts w:cstheme="minorHAnsi"/>
          <w:szCs w:val="24"/>
        </w:rPr>
        <w:t>Mr Mohammad Khalil-Ur-Rahman (Bangladesh) for APT (Asia-Pacific)</w:t>
      </w:r>
    </w:p>
    <w:p w14:paraId="2A2E0C3C" w14:textId="77777777" w:rsidR="002C63BB" w:rsidRPr="00A213F7" w:rsidRDefault="002C63BB" w:rsidP="002C63BB">
      <w:pPr>
        <w:spacing w:after="120"/>
        <w:ind w:left="360"/>
        <w:rPr>
          <w:rFonts w:cstheme="minorHAnsi"/>
          <w:szCs w:val="24"/>
        </w:rPr>
      </w:pPr>
      <w:r w:rsidRPr="00A213F7">
        <w:rPr>
          <w:rFonts w:cstheme="minorHAnsi"/>
          <w:szCs w:val="24"/>
        </w:rPr>
        <w:t xml:space="preserve">Ms Caecilia </w:t>
      </w:r>
      <w:proofErr w:type="spellStart"/>
      <w:r w:rsidRPr="00A213F7">
        <w:rPr>
          <w:rFonts w:cstheme="minorHAnsi"/>
          <w:szCs w:val="24"/>
        </w:rPr>
        <w:t>Nyamutswa</w:t>
      </w:r>
      <w:proofErr w:type="spellEnd"/>
      <w:r w:rsidRPr="00A213F7">
        <w:rPr>
          <w:rFonts w:cstheme="minorHAnsi"/>
          <w:szCs w:val="24"/>
        </w:rPr>
        <w:t xml:space="preserve"> (Zimbabwe) for ATU (Africa)</w:t>
      </w:r>
    </w:p>
    <w:p w14:paraId="439825B3" w14:textId="77777777" w:rsidR="002C63BB" w:rsidRPr="00A213F7" w:rsidRDefault="002C63BB" w:rsidP="002C63BB">
      <w:pPr>
        <w:spacing w:after="120"/>
        <w:ind w:left="360"/>
        <w:rPr>
          <w:rFonts w:cstheme="minorHAnsi"/>
          <w:szCs w:val="24"/>
        </w:rPr>
      </w:pPr>
      <w:r w:rsidRPr="00A213F7">
        <w:rPr>
          <w:rFonts w:cstheme="minorHAnsi"/>
          <w:szCs w:val="24"/>
        </w:rPr>
        <w:t xml:space="preserve">Ms Madalina </w:t>
      </w:r>
      <w:proofErr w:type="spellStart"/>
      <w:r w:rsidRPr="00A213F7">
        <w:rPr>
          <w:rFonts w:cstheme="minorHAnsi"/>
          <w:szCs w:val="24"/>
        </w:rPr>
        <w:t>Clapon</w:t>
      </w:r>
      <w:proofErr w:type="spellEnd"/>
      <w:r w:rsidRPr="00A213F7">
        <w:rPr>
          <w:rFonts w:cstheme="minorHAnsi"/>
          <w:szCs w:val="24"/>
        </w:rPr>
        <w:t xml:space="preserve"> (Romania) and Mr Teddy Woodhouse (United Kingdom) for CEPT (Europe)</w:t>
      </w:r>
    </w:p>
    <w:p w14:paraId="3EEB1DF1" w14:textId="77777777" w:rsidR="002C63BB" w:rsidRPr="00A213F7" w:rsidRDefault="002C63BB" w:rsidP="002C63BB">
      <w:pPr>
        <w:spacing w:after="120"/>
        <w:ind w:left="360"/>
        <w:rPr>
          <w:rFonts w:cstheme="minorHAnsi"/>
          <w:szCs w:val="24"/>
        </w:rPr>
      </w:pPr>
      <w:r w:rsidRPr="00A213F7">
        <w:rPr>
          <w:rFonts w:cstheme="minorHAnsi"/>
          <w:szCs w:val="24"/>
        </w:rPr>
        <w:t>Mr Roberto Hirayama (Brazil) for CITEL (Americas)</w:t>
      </w:r>
    </w:p>
    <w:p w14:paraId="5CE87F31" w14:textId="77777777" w:rsidR="002C63BB" w:rsidRPr="00A213F7" w:rsidRDefault="002C63BB" w:rsidP="002C63BB">
      <w:pPr>
        <w:spacing w:after="120"/>
        <w:ind w:left="360"/>
        <w:rPr>
          <w:rFonts w:cstheme="minorHAnsi"/>
          <w:szCs w:val="24"/>
        </w:rPr>
      </w:pPr>
      <w:r w:rsidRPr="00A213F7">
        <w:rPr>
          <w:rFonts w:cstheme="minorHAnsi"/>
          <w:szCs w:val="24"/>
        </w:rPr>
        <w:t xml:space="preserve">Mr </w:t>
      </w:r>
      <w:proofErr w:type="spellStart"/>
      <w:r w:rsidRPr="00A213F7">
        <w:rPr>
          <w:rFonts w:cstheme="minorHAnsi"/>
          <w:szCs w:val="24"/>
        </w:rPr>
        <w:t>Belkassem</w:t>
      </w:r>
      <w:proofErr w:type="spellEnd"/>
      <w:r w:rsidRPr="00A213F7">
        <w:rPr>
          <w:rFonts w:cstheme="minorHAnsi"/>
          <w:szCs w:val="24"/>
        </w:rPr>
        <w:t xml:space="preserve"> Makhlouf (LAS) for LAS (Arab States)</w:t>
      </w:r>
    </w:p>
    <w:p w14:paraId="5E645011" w14:textId="77777777" w:rsidR="002C63BB" w:rsidRPr="00A213F7" w:rsidRDefault="002C63BB" w:rsidP="002C63BB">
      <w:pPr>
        <w:spacing w:after="120"/>
        <w:ind w:left="360"/>
        <w:rPr>
          <w:rFonts w:cstheme="minorHAnsi"/>
          <w:szCs w:val="24"/>
        </w:rPr>
      </w:pPr>
      <w:r w:rsidRPr="00A213F7">
        <w:rPr>
          <w:rFonts w:cstheme="minorHAnsi"/>
          <w:szCs w:val="24"/>
        </w:rPr>
        <w:t xml:space="preserve">Mr Arseny </w:t>
      </w:r>
      <w:proofErr w:type="spellStart"/>
      <w:r w:rsidRPr="00A213F7">
        <w:rPr>
          <w:rFonts w:cstheme="minorHAnsi"/>
          <w:szCs w:val="24"/>
        </w:rPr>
        <w:t>Plossky</w:t>
      </w:r>
      <w:proofErr w:type="spellEnd"/>
      <w:r w:rsidRPr="00A213F7">
        <w:rPr>
          <w:rFonts w:cstheme="minorHAnsi"/>
          <w:szCs w:val="24"/>
        </w:rPr>
        <w:t xml:space="preserve"> (Russian Federation) for RCC (CIS regions)</w:t>
      </w:r>
    </w:p>
    <w:p w14:paraId="49609123" w14:textId="77777777" w:rsidR="002C63BB" w:rsidRDefault="002C63BB" w:rsidP="002C63BB">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18ACDA50" w14:textId="77777777" w:rsidR="002C63BB" w:rsidRPr="00A213F7" w:rsidRDefault="002C63BB" w:rsidP="002C63BB">
      <w:pPr>
        <w:rPr>
          <w:rFonts w:cstheme="minorHAnsi"/>
          <w:b/>
          <w:bCs/>
          <w:szCs w:val="24"/>
        </w:rPr>
      </w:pPr>
      <w:r>
        <w:rPr>
          <w:rFonts w:cstheme="minorHAnsi"/>
          <w:b/>
          <w:bCs/>
          <w:szCs w:val="24"/>
        </w:rPr>
        <w:lastRenderedPageBreak/>
        <w:t>ANNEX 2 – Summary of meetings held after TDAG-24</w:t>
      </w:r>
    </w:p>
    <w:p w14:paraId="3A3FE66F" w14:textId="77777777" w:rsidR="002C63BB" w:rsidRPr="007C724D" w:rsidRDefault="002C63BB" w:rsidP="0044630E">
      <w:pPr>
        <w:pStyle w:val="ListParagraph"/>
        <w:numPr>
          <w:ilvl w:val="1"/>
          <w:numId w:val="1"/>
        </w:numPr>
        <w:spacing w:after="120"/>
        <w:rPr>
          <w:rFonts w:cstheme="minorHAnsi"/>
          <w:b/>
          <w:bCs/>
          <w:szCs w:val="24"/>
        </w:rPr>
      </w:pPr>
      <w:r w:rsidRPr="007C724D">
        <w:rPr>
          <w:rFonts w:cstheme="minorHAnsi"/>
          <w:b/>
          <w:bCs/>
          <w:szCs w:val="24"/>
        </w:rPr>
        <w:t xml:space="preserve">The second fully online meeting of the </w:t>
      </w:r>
      <w:bookmarkStart w:id="5" w:name="_Hlk184983850"/>
      <w:r w:rsidRPr="007C724D">
        <w:rPr>
          <w:rFonts w:cstheme="minorHAnsi"/>
          <w:b/>
          <w:bCs/>
          <w:szCs w:val="24"/>
        </w:rPr>
        <w:t>TDAG-WG-</w:t>
      </w:r>
      <w:proofErr w:type="spellStart"/>
      <w:r w:rsidRPr="007C724D">
        <w:rPr>
          <w:rFonts w:cstheme="minorHAnsi"/>
          <w:b/>
          <w:bCs/>
          <w:szCs w:val="24"/>
        </w:rPr>
        <w:t>futureSGQ</w:t>
      </w:r>
      <w:proofErr w:type="spellEnd"/>
      <w:r w:rsidRPr="007C724D">
        <w:rPr>
          <w:rFonts w:cstheme="minorHAnsi"/>
          <w:b/>
          <w:bCs/>
          <w:szCs w:val="24"/>
        </w:rPr>
        <w:t xml:space="preserve"> </w:t>
      </w:r>
      <w:bookmarkEnd w:id="5"/>
      <w:r w:rsidRPr="007C724D">
        <w:rPr>
          <w:rFonts w:cstheme="minorHAnsi"/>
          <w:b/>
          <w:bCs/>
          <w:szCs w:val="24"/>
        </w:rPr>
        <w:t>held on 3 September 2024</w:t>
      </w:r>
    </w:p>
    <w:p w14:paraId="40781314" w14:textId="77777777" w:rsidR="002C63BB" w:rsidRDefault="002C63BB" w:rsidP="002C63BB">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6"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p>
    <w:p w14:paraId="5980CF8A" w14:textId="77777777" w:rsidR="002C63BB" w:rsidRPr="00CB3A37" w:rsidRDefault="002C63BB" w:rsidP="002C63BB">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3DA6C2D7" w14:textId="77777777" w:rsidR="002C63BB" w:rsidRPr="00CB3A37" w:rsidRDefault="002C63BB" w:rsidP="002C63BB">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418D868D" w14:textId="77777777" w:rsidR="002C63BB" w:rsidRPr="00CB3A37" w:rsidRDefault="002C63BB" w:rsidP="0044630E">
      <w:pPr>
        <w:pStyle w:val="ListParagraph"/>
        <w:numPr>
          <w:ilvl w:val="0"/>
          <w:numId w:val="2"/>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6D6F9DE5" w14:textId="77777777" w:rsidR="002C63BB" w:rsidRPr="00CB3A37" w:rsidRDefault="002C63BB" w:rsidP="0044630E">
      <w:pPr>
        <w:pStyle w:val="ListParagraph"/>
        <w:numPr>
          <w:ilvl w:val="0"/>
          <w:numId w:val="2"/>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6E094FC0" w14:textId="77777777" w:rsidR="002C63BB" w:rsidRPr="00CB3A37" w:rsidRDefault="002C63BB" w:rsidP="0044630E">
      <w:pPr>
        <w:pStyle w:val="ListParagraph"/>
        <w:numPr>
          <w:ilvl w:val="0"/>
          <w:numId w:val="2"/>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764578CD" w14:textId="77777777" w:rsidR="002C63BB" w:rsidRPr="00CB3A37" w:rsidRDefault="002C63BB" w:rsidP="0044630E">
      <w:pPr>
        <w:pStyle w:val="ListParagraph"/>
        <w:numPr>
          <w:ilvl w:val="0"/>
          <w:numId w:val="2"/>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62383AA5" w14:textId="77777777" w:rsidR="002C63BB" w:rsidRDefault="002C63BB" w:rsidP="002C63BB">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222EB49E" w14:textId="77777777" w:rsidR="002C63BB" w:rsidRPr="00A213F7" w:rsidRDefault="002C63BB" w:rsidP="0044630E">
      <w:pPr>
        <w:pStyle w:val="ListParagraph"/>
        <w:numPr>
          <w:ilvl w:val="1"/>
          <w:numId w:val="1"/>
        </w:numPr>
        <w:spacing w:after="120"/>
        <w:rPr>
          <w:rFonts w:cstheme="minorHAnsi"/>
          <w:b/>
          <w:bCs/>
          <w:szCs w:val="24"/>
        </w:rPr>
      </w:pPr>
      <w:r w:rsidRPr="00A213F7">
        <w:rPr>
          <w:rFonts w:cstheme="minorHAnsi"/>
          <w:b/>
          <w:bCs/>
          <w:szCs w:val="24"/>
        </w:rPr>
        <w:t>The third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3 December 2024</w:t>
      </w:r>
    </w:p>
    <w:p w14:paraId="74D3E1B8" w14:textId="77777777" w:rsidR="002C63BB" w:rsidRPr="00CB3A37" w:rsidRDefault="002C63BB" w:rsidP="002C63BB">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7"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7F874541" w14:textId="77777777" w:rsidR="002C63BB" w:rsidRDefault="002C63BB" w:rsidP="002C63BB">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w:t>
      </w:r>
    </w:p>
    <w:p w14:paraId="0378C0BC" w14:textId="77777777" w:rsidR="002C63BB" w:rsidRPr="00CB3A37" w:rsidRDefault="002C63BB" w:rsidP="002C63BB">
      <w:pPr>
        <w:spacing w:after="120"/>
        <w:jc w:val="center"/>
        <w:rPr>
          <w:rFonts w:cstheme="minorHAnsi"/>
          <w:szCs w:val="24"/>
          <w:lang w:eastAsia="ko-KR"/>
        </w:rPr>
      </w:pPr>
      <w:r w:rsidRPr="001940AF">
        <w:rPr>
          <w:rFonts w:cstheme="minorHAnsi"/>
          <w:noProof/>
          <w:szCs w:val="24"/>
          <w:lang w:eastAsia="ko-KR"/>
        </w:rPr>
        <w:drawing>
          <wp:inline distT="0" distB="0" distL="0" distR="0" wp14:anchorId="26405C5D" wp14:editId="0E242CDC">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8"/>
                    <a:stretch>
                      <a:fillRect/>
                    </a:stretch>
                  </pic:blipFill>
                  <pic:spPr>
                    <a:xfrm>
                      <a:off x="0" y="0"/>
                      <a:ext cx="5152521" cy="2760413"/>
                    </a:xfrm>
                    <a:prstGeom prst="rect">
                      <a:avLst/>
                    </a:prstGeom>
                    <a:ln>
                      <a:solidFill>
                        <a:schemeClr val="accent1"/>
                      </a:solidFill>
                    </a:ln>
                  </pic:spPr>
                </pic:pic>
              </a:graphicData>
            </a:graphic>
          </wp:inline>
        </w:drawing>
      </w:r>
    </w:p>
    <w:p w14:paraId="4A8691FC" w14:textId="77777777" w:rsidR="002C63BB" w:rsidRPr="00CB3A37" w:rsidRDefault="002C63BB" w:rsidP="002C63BB">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279B5866" w14:textId="77777777" w:rsidR="002C63BB" w:rsidRPr="00CB3A37" w:rsidRDefault="002C63BB" w:rsidP="002C63BB">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0D9B1175" w14:textId="77777777" w:rsidR="002C63BB" w:rsidRPr="004650BC" w:rsidRDefault="002C63BB" w:rsidP="0044630E">
      <w:pPr>
        <w:pStyle w:val="ListParagraph"/>
        <w:numPr>
          <w:ilvl w:val="0"/>
          <w:numId w:val="3"/>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w:t>
      </w:r>
    </w:p>
    <w:p w14:paraId="10F96529" w14:textId="77777777" w:rsidR="002C63BB" w:rsidRPr="00CB3A37" w:rsidRDefault="002C63BB" w:rsidP="0044630E">
      <w:pPr>
        <w:pStyle w:val="ListParagraph"/>
        <w:numPr>
          <w:ilvl w:val="0"/>
          <w:numId w:val="3"/>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p>
    <w:p w14:paraId="4AAA9D73" w14:textId="77777777" w:rsidR="002C63BB" w:rsidRDefault="002C63BB" w:rsidP="0044630E">
      <w:pPr>
        <w:pStyle w:val="ListParagraph"/>
        <w:numPr>
          <w:ilvl w:val="0"/>
          <w:numId w:val="3"/>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0E673087" w14:textId="77777777" w:rsidR="002C63BB" w:rsidRPr="00A213F7" w:rsidRDefault="002C63BB" w:rsidP="0044630E">
      <w:pPr>
        <w:pStyle w:val="ListParagraph"/>
        <w:numPr>
          <w:ilvl w:val="1"/>
          <w:numId w:val="1"/>
        </w:numPr>
        <w:spacing w:after="120"/>
        <w:rPr>
          <w:rFonts w:cstheme="minorHAnsi"/>
          <w:b/>
          <w:bCs/>
          <w:szCs w:val="24"/>
        </w:rPr>
      </w:pPr>
      <w:r w:rsidRPr="00A213F7">
        <w:rPr>
          <w:rFonts w:cstheme="minorHAnsi"/>
          <w:b/>
          <w:bCs/>
          <w:szCs w:val="24"/>
        </w:rPr>
        <w:t>The fourth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21 January 2025</w:t>
      </w:r>
    </w:p>
    <w:p w14:paraId="27BD662A" w14:textId="77777777" w:rsidR="002C63BB" w:rsidRDefault="002C63BB" w:rsidP="002C63BB">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1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p>
    <w:p w14:paraId="280518CC" w14:textId="77777777" w:rsidR="002C63BB" w:rsidRDefault="002C63BB" w:rsidP="002C63BB">
      <w:pPr>
        <w:spacing w:after="120"/>
        <w:rPr>
          <w:rFonts w:cstheme="minorHAnsi"/>
          <w:szCs w:val="24"/>
        </w:rPr>
      </w:pPr>
      <w:r>
        <w:rPr>
          <w:rFonts w:cstheme="minorHAnsi"/>
          <w:szCs w:val="24"/>
        </w:rPr>
        <w:t>Six contributions as listed below, were received, presented and extensively discussed:</w:t>
      </w:r>
    </w:p>
    <w:p w14:paraId="66952525" w14:textId="77777777" w:rsidR="002C63BB" w:rsidRPr="00FF0A39" w:rsidRDefault="002C63BB" w:rsidP="0044630E">
      <w:pPr>
        <w:pStyle w:val="ListParagraph"/>
        <w:numPr>
          <w:ilvl w:val="0"/>
          <w:numId w:val="3"/>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02BEF0E2" w14:textId="77777777" w:rsidR="002C63BB" w:rsidRPr="00FF0A39" w:rsidRDefault="002C63BB" w:rsidP="0044630E">
      <w:pPr>
        <w:pStyle w:val="ListParagraph"/>
        <w:numPr>
          <w:ilvl w:val="0"/>
          <w:numId w:val="3"/>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722BCBEA" w14:textId="77777777" w:rsidR="002C63BB" w:rsidRPr="00FF0A39" w:rsidRDefault="002C63BB" w:rsidP="0044630E">
      <w:pPr>
        <w:pStyle w:val="ListParagraph"/>
        <w:numPr>
          <w:ilvl w:val="0"/>
          <w:numId w:val="3"/>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53ACA99" w14:textId="77777777" w:rsidR="002C63BB" w:rsidRPr="00FF0A39" w:rsidRDefault="002C63BB" w:rsidP="0044630E">
      <w:pPr>
        <w:pStyle w:val="ListParagraph"/>
        <w:numPr>
          <w:ilvl w:val="0"/>
          <w:numId w:val="3"/>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0B7AFA12" w14:textId="77777777" w:rsidR="002C63BB" w:rsidRDefault="002C63BB" w:rsidP="0044630E">
      <w:pPr>
        <w:pStyle w:val="ListParagraph"/>
        <w:numPr>
          <w:ilvl w:val="0"/>
          <w:numId w:val="4"/>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2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07D837A5" w14:textId="77777777" w:rsidR="002C63BB" w:rsidRDefault="002C63BB" w:rsidP="002C63B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0CDB63C6" w14:textId="77777777" w:rsidR="002C63BB" w:rsidRDefault="002C63BB" w:rsidP="0044630E">
      <w:pPr>
        <w:pStyle w:val="ListParagraph"/>
        <w:numPr>
          <w:ilvl w:val="0"/>
          <w:numId w:val="5"/>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578F6A8F" w14:textId="77777777" w:rsidR="002C63BB" w:rsidRDefault="002C63BB" w:rsidP="0044630E">
      <w:pPr>
        <w:pStyle w:val="ListParagraph"/>
        <w:numPr>
          <w:ilvl w:val="0"/>
          <w:numId w:val="5"/>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2"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33F7E2AA" w14:textId="77777777" w:rsidR="002C63BB" w:rsidRPr="00A213F7" w:rsidRDefault="002C63BB" w:rsidP="0044630E">
      <w:pPr>
        <w:pStyle w:val="ListParagraph"/>
        <w:numPr>
          <w:ilvl w:val="1"/>
          <w:numId w:val="1"/>
        </w:numPr>
        <w:spacing w:after="120"/>
        <w:rPr>
          <w:rFonts w:cstheme="minorHAnsi"/>
          <w:b/>
          <w:bCs/>
          <w:szCs w:val="24"/>
        </w:rPr>
      </w:pPr>
      <w:r w:rsidRPr="00A213F7">
        <w:rPr>
          <w:rFonts w:cstheme="minorHAnsi"/>
          <w:b/>
          <w:bCs/>
          <w:szCs w:val="24"/>
        </w:rPr>
        <w:t>The f</w:t>
      </w:r>
      <w:r w:rsidRPr="00A213F7">
        <w:rPr>
          <w:rFonts w:cstheme="minorHAnsi" w:hint="eastAsia"/>
          <w:b/>
          <w:bCs/>
          <w:szCs w:val="24"/>
          <w:lang w:eastAsia="ko-KR"/>
        </w:rPr>
        <w:t>ifth</w:t>
      </w:r>
      <w:r w:rsidRPr="00A213F7">
        <w:rPr>
          <w:rFonts w:cstheme="minorHAnsi"/>
          <w:b/>
          <w:bCs/>
          <w:szCs w:val="24"/>
        </w:rPr>
        <w:t xml:space="preserve">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w:t>
      </w:r>
      <w:r w:rsidRPr="00A213F7">
        <w:rPr>
          <w:rFonts w:cstheme="minorHAnsi" w:hint="eastAsia"/>
          <w:b/>
          <w:bCs/>
          <w:szCs w:val="24"/>
          <w:lang w:eastAsia="ko-KR"/>
        </w:rPr>
        <w:t>4</w:t>
      </w:r>
      <w:r w:rsidRPr="00A213F7">
        <w:rPr>
          <w:rFonts w:cstheme="minorHAnsi"/>
          <w:b/>
          <w:bCs/>
          <w:szCs w:val="24"/>
        </w:rPr>
        <w:t xml:space="preserve"> </w:t>
      </w:r>
      <w:r w:rsidRPr="00A213F7">
        <w:rPr>
          <w:rFonts w:cstheme="minorHAnsi" w:hint="eastAsia"/>
          <w:b/>
          <w:bCs/>
          <w:szCs w:val="24"/>
          <w:lang w:eastAsia="ko-KR"/>
        </w:rPr>
        <w:t>March</w:t>
      </w:r>
      <w:r w:rsidRPr="00A213F7">
        <w:rPr>
          <w:rFonts w:cstheme="minorHAnsi"/>
          <w:b/>
          <w:bCs/>
          <w:szCs w:val="24"/>
        </w:rPr>
        <w:t xml:space="preserve"> 2025</w:t>
      </w:r>
    </w:p>
    <w:p w14:paraId="47BF711E" w14:textId="77777777" w:rsidR="002C63BB" w:rsidRDefault="002C63BB" w:rsidP="002C63BB">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23"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Pr>
          <w:rFonts w:cstheme="minorHAnsi" w:hint="eastAsia"/>
          <w:szCs w:val="24"/>
          <w:lang w:eastAsia="ko-KR"/>
        </w:rPr>
        <w:t>.</w:t>
      </w:r>
    </w:p>
    <w:p w14:paraId="1663722E" w14:textId="77777777" w:rsidR="002C63BB" w:rsidRDefault="002C63BB" w:rsidP="002C63BB">
      <w:pPr>
        <w:spacing w:before="60" w:after="60"/>
        <w:rPr>
          <w:rFonts w:cstheme="minorHAnsi"/>
          <w:szCs w:val="24"/>
        </w:rPr>
      </w:pPr>
      <w:r>
        <w:rPr>
          <w:rFonts w:cstheme="minorHAnsi"/>
          <w:szCs w:val="24"/>
        </w:rPr>
        <w:t>Six contributions as listed below, were received, presented and extensively discussed:</w:t>
      </w:r>
    </w:p>
    <w:p w14:paraId="001FFFDE" w14:textId="77777777" w:rsidR="002C63BB" w:rsidRDefault="002C63BB" w:rsidP="0044630E">
      <w:pPr>
        <w:pStyle w:val="ListParagraph"/>
        <w:numPr>
          <w:ilvl w:val="0"/>
          <w:numId w:val="3"/>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on the themes of the two ITU-D study groups. They discussed on topics which may serve as inputs for future</w:t>
      </w:r>
      <w:r w:rsidRPr="004C6F38">
        <w:rPr>
          <w:rFonts w:cstheme="minorHAnsi"/>
          <w:szCs w:val="24"/>
          <w:lang w:eastAsia="ko-KR"/>
        </w:rPr>
        <w:t xml:space="preserve"> study Questions</w:t>
      </w:r>
      <w:r>
        <w:rPr>
          <w:rFonts w:cstheme="minorHAnsi" w:hint="eastAsia"/>
          <w:szCs w:val="24"/>
          <w:lang w:eastAsia="ko-KR"/>
        </w:rPr>
        <w:t>.</w:t>
      </w:r>
    </w:p>
    <w:p w14:paraId="66A7A11E" w14:textId="77777777" w:rsidR="002C63BB" w:rsidRDefault="002C63BB" w:rsidP="0044630E">
      <w:pPr>
        <w:pStyle w:val="ListParagraph"/>
        <w:numPr>
          <w:ilvl w:val="0"/>
          <w:numId w:val="3"/>
        </w:numPr>
        <w:spacing w:before="60" w:after="60"/>
        <w:contextualSpacing w:val="0"/>
        <w:rPr>
          <w:rFonts w:cstheme="minorHAnsi"/>
          <w:szCs w:val="24"/>
          <w:lang w:eastAsia="ko-KR"/>
        </w:rPr>
      </w:pPr>
      <w:r>
        <w:rPr>
          <w:rFonts w:cstheme="minorHAnsi" w:hint="eastAsia"/>
          <w:szCs w:val="24"/>
          <w:lang w:eastAsia="ko-KR"/>
        </w:rPr>
        <w:lastRenderedPageBreak/>
        <w:t>Updated views from the African Telecommunication Union (ATU) on new topics (</w:t>
      </w:r>
      <w:r w:rsidRPr="00BE3B8F">
        <w:rPr>
          <w:rFonts w:cstheme="minorHAnsi"/>
          <w:szCs w:val="24"/>
          <w:lang w:eastAsia="ko-KR"/>
        </w:rPr>
        <w:t>device affordability/availability and application of artificial intelligence</w:t>
      </w:r>
      <w:r>
        <w:rPr>
          <w:rFonts w:cstheme="minorHAnsi" w:hint="eastAsia"/>
          <w:szCs w:val="24"/>
          <w:lang w:eastAsia="ko-KR"/>
        </w:rPr>
        <w:t xml:space="preserve">), on number of study groups and </w:t>
      </w:r>
      <w:r>
        <w:rPr>
          <w:rFonts w:hint="eastAsia"/>
          <w:lang w:eastAsia="ko-KR"/>
        </w:rPr>
        <w:t>on</w:t>
      </w:r>
      <w:r w:rsidRPr="004C6F38">
        <w:rPr>
          <w:lang w:eastAsia="ko-KR"/>
        </w:rPr>
        <w:t xml:space="preserve"> the draft proposal </w:t>
      </w:r>
      <w:r>
        <w:rPr>
          <w:rFonts w:hint="eastAsia"/>
          <w:lang w:eastAsia="ko-KR"/>
        </w:rPr>
        <w:t>of the deliverable of TDAG-WG-</w:t>
      </w:r>
      <w:proofErr w:type="spellStart"/>
      <w:r>
        <w:rPr>
          <w:rFonts w:hint="eastAsia"/>
          <w:lang w:eastAsia="ko-KR"/>
        </w:rPr>
        <w:t>futureSGQ</w:t>
      </w:r>
      <w:proofErr w:type="spellEnd"/>
      <w:r>
        <w:rPr>
          <w:rFonts w:cstheme="minorHAnsi" w:hint="eastAsia"/>
          <w:szCs w:val="24"/>
          <w:lang w:eastAsia="ko-KR"/>
        </w:rPr>
        <w:t>.</w:t>
      </w:r>
    </w:p>
    <w:p w14:paraId="47DCE1F4" w14:textId="77777777" w:rsidR="002C63BB" w:rsidRDefault="002C63BB" w:rsidP="0044630E">
      <w:pPr>
        <w:pStyle w:val="ListParagraph"/>
        <w:numPr>
          <w:ilvl w:val="0"/>
          <w:numId w:val="3"/>
        </w:numPr>
        <w:spacing w:before="60" w:after="60"/>
        <w:contextualSpacing w:val="0"/>
        <w:rPr>
          <w:rFonts w:cstheme="minorHAnsi"/>
          <w:szCs w:val="24"/>
          <w:lang w:eastAsia="ko-KR"/>
        </w:rPr>
      </w:pPr>
      <w:r>
        <w:rPr>
          <w:rFonts w:cstheme="minorHAnsi" w:hint="eastAsia"/>
          <w:szCs w:val="24"/>
          <w:lang w:eastAsia="ko-KR"/>
        </w:rPr>
        <w:t>Completed compilation of terms of reference for ITU-D Study Group 1 (SG1) Questions, provided by the SG1 Vice-Chair and Coordinator on future study Questions on behalf of the SG1 (co-)rapporteurs.</w:t>
      </w:r>
    </w:p>
    <w:p w14:paraId="7FD51EA2" w14:textId="77777777" w:rsidR="002C63BB" w:rsidRPr="00FF0A39" w:rsidRDefault="002C63BB" w:rsidP="0044630E">
      <w:pPr>
        <w:pStyle w:val="ListParagraph"/>
        <w:numPr>
          <w:ilvl w:val="0"/>
          <w:numId w:val="3"/>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Pr="00BE3B8F">
        <w:rPr>
          <w:rFonts w:cstheme="minorHAnsi"/>
          <w:szCs w:val="24"/>
          <w:lang w:eastAsia="ko-KR"/>
        </w:rPr>
        <w:t xml:space="preserve">rtificial </w:t>
      </w:r>
      <w:r>
        <w:rPr>
          <w:rFonts w:cstheme="minorHAnsi" w:hint="eastAsia"/>
          <w:szCs w:val="24"/>
          <w:lang w:eastAsia="ko-KR"/>
        </w:rPr>
        <w:t>i</w:t>
      </w:r>
      <w:r w:rsidRPr="00BE3B8F">
        <w:rPr>
          <w:rFonts w:cstheme="minorHAnsi"/>
          <w:szCs w:val="24"/>
          <w:lang w:eastAsia="ko-KR"/>
        </w:rPr>
        <w:t>ntelligence</w:t>
      </w:r>
      <w:r>
        <w:rPr>
          <w:rFonts w:cstheme="minorHAnsi" w:hint="eastAsia"/>
          <w:szCs w:val="24"/>
          <w:lang w:eastAsia="ko-KR"/>
        </w:rPr>
        <w:t xml:space="preserve"> (AI), following comments and offline discussions since the previous meeting.</w:t>
      </w:r>
    </w:p>
    <w:p w14:paraId="2E053A9E" w14:textId="77777777" w:rsidR="002C63BB" w:rsidRDefault="002C63BB" w:rsidP="0044630E">
      <w:pPr>
        <w:pStyle w:val="ListParagraph"/>
        <w:numPr>
          <w:ilvl w:val="0"/>
          <w:numId w:val="3"/>
        </w:numPr>
        <w:spacing w:before="60" w:after="60"/>
        <w:contextualSpacing w:val="0"/>
        <w:rPr>
          <w:rFonts w:cstheme="minorHAnsi"/>
          <w:szCs w:val="24"/>
          <w:lang w:eastAsia="ko-KR"/>
        </w:rPr>
      </w:pPr>
      <w:r>
        <w:rPr>
          <w:rFonts w:cstheme="minorHAnsi" w:hint="eastAsia"/>
          <w:szCs w:val="24"/>
          <w:lang w:eastAsia="ko-KR"/>
        </w:rPr>
        <w:t xml:space="preserve">Proposal from Egypt on </w:t>
      </w:r>
      <w:r w:rsidRPr="004C6F38">
        <w:rPr>
          <w:lang w:eastAsia="ko-KR"/>
        </w:rPr>
        <w:t xml:space="preserve">bases and guidelines for proposing future Questions, and comments on the draft proposal </w:t>
      </w:r>
      <w:r>
        <w:rPr>
          <w:rFonts w:hint="eastAsia"/>
          <w:lang w:eastAsia="ko-KR"/>
        </w:rPr>
        <w:t>of the deliverable of TDAG-WG-</w:t>
      </w:r>
      <w:proofErr w:type="spellStart"/>
      <w:r>
        <w:rPr>
          <w:rFonts w:hint="eastAsia"/>
          <w:lang w:eastAsia="ko-KR"/>
        </w:rPr>
        <w:t>futureSGQ</w:t>
      </w:r>
      <w:proofErr w:type="spellEnd"/>
      <w:r>
        <w:rPr>
          <w:rFonts w:hint="eastAsia"/>
          <w:lang w:eastAsia="ko-KR"/>
        </w:rPr>
        <w:t>.</w:t>
      </w:r>
    </w:p>
    <w:p w14:paraId="19A68C5A" w14:textId="77777777" w:rsidR="002C63BB" w:rsidRDefault="002C63BB" w:rsidP="0044630E">
      <w:pPr>
        <w:pStyle w:val="ListParagraph"/>
        <w:numPr>
          <w:ilvl w:val="0"/>
          <w:numId w:val="4"/>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24"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Pr>
          <w:rFonts w:cstheme="minorHAnsi" w:hint="eastAsia"/>
          <w:szCs w:val="24"/>
          <w:lang w:eastAsia="ko-KR"/>
        </w:rPr>
        <w:t xml:space="preserve">second </w:t>
      </w:r>
      <w:r w:rsidRPr="00FF0A39">
        <w:rPr>
          <w:rFonts w:cstheme="minorHAnsi"/>
          <w:szCs w:val="24"/>
          <w:lang w:eastAsia="ko-KR"/>
        </w:rPr>
        <w:t>draft revision 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25632114" w14:textId="77777777" w:rsidR="002C63BB" w:rsidRDefault="002C63BB" w:rsidP="002C63B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hint="eastAsia"/>
          <w:szCs w:val="24"/>
          <w:lang w:eastAsia="ko-KR"/>
        </w:rPr>
        <w:t>to</w:t>
      </w:r>
      <w:r>
        <w:rPr>
          <w:rFonts w:cstheme="minorHAnsi"/>
          <w:szCs w:val="24"/>
          <w:lang w:eastAsia="ko-KR"/>
        </w:rPr>
        <w:t>:</w:t>
      </w:r>
    </w:p>
    <w:p w14:paraId="66F8C192" w14:textId="77777777" w:rsidR="002C63BB" w:rsidRPr="004C6F38" w:rsidRDefault="002C63BB" w:rsidP="0044630E">
      <w:pPr>
        <w:pStyle w:val="ListParagraph"/>
        <w:numPr>
          <w:ilvl w:val="0"/>
          <w:numId w:val="6"/>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7026FEEA" w14:textId="77777777" w:rsidR="002C63BB" w:rsidRPr="004C6F38" w:rsidRDefault="002C63BB" w:rsidP="0044630E">
      <w:pPr>
        <w:pStyle w:val="ListParagraph"/>
        <w:numPr>
          <w:ilvl w:val="0"/>
          <w:numId w:val="6"/>
        </w:numPr>
        <w:tabs>
          <w:tab w:val="clear" w:pos="1134"/>
        </w:tabs>
        <w:spacing w:before="60" w:after="60"/>
        <w:contextualSpacing w:val="0"/>
        <w:rPr>
          <w:szCs w:val="24"/>
          <w:lang w:eastAsia="ko-KR"/>
        </w:rPr>
      </w:pPr>
      <w:r w:rsidRPr="004C6F38">
        <w:rPr>
          <w:szCs w:val="24"/>
          <w:lang w:eastAsia="ko-KR"/>
        </w:rPr>
        <w:t>have five study Questions in each of the two study groups</w:t>
      </w:r>
      <w:r>
        <w:rPr>
          <w:szCs w:val="24"/>
          <w:lang w:eastAsia="ko-KR"/>
        </w:rPr>
        <w:t>.</w:t>
      </w:r>
    </w:p>
    <w:p w14:paraId="230E4109" w14:textId="77777777" w:rsidR="002C63BB" w:rsidRDefault="002C63BB" w:rsidP="0044630E">
      <w:pPr>
        <w:pStyle w:val="ListParagraph"/>
        <w:numPr>
          <w:ilvl w:val="0"/>
          <w:numId w:val="6"/>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Pr>
          <w:szCs w:val="24"/>
          <w:lang w:eastAsia="ko-KR"/>
        </w:rPr>
        <w:t>.</w:t>
      </w:r>
    </w:p>
    <w:p w14:paraId="74E1AAA4" w14:textId="77777777" w:rsidR="002C63BB" w:rsidRDefault="002C63BB" w:rsidP="0044630E">
      <w:pPr>
        <w:pStyle w:val="ListParagraph"/>
        <w:numPr>
          <w:ilvl w:val="0"/>
          <w:numId w:val="6"/>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Pr>
          <w:szCs w:val="24"/>
          <w:lang w:eastAsia="ko-KR"/>
        </w:rPr>
        <w:t>.</w:t>
      </w:r>
    </w:p>
    <w:p w14:paraId="105C5483" w14:textId="77777777" w:rsidR="002C63BB" w:rsidRPr="004C6F38" w:rsidRDefault="002C63BB" w:rsidP="0044630E">
      <w:pPr>
        <w:pStyle w:val="ListParagraph"/>
        <w:numPr>
          <w:ilvl w:val="0"/>
          <w:numId w:val="6"/>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4122CDAD" w14:textId="77777777" w:rsidR="002C63BB" w:rsidRPr="004C6F38" w:rsidRDefault="002C63BB" w:rsidP="002C63BB">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6F394681" w14:textId="77777777" w:rsidR="002C63BB" w:rsidRPr="004C6F38" w:rsidRDefault="002C63BB" w:rsidP="0044630E">
      <w:pPr>
        <w:pStyle w:val="ListParagraph"/>
        <w:numPr>
          <w:ilvl w:val="0"/>
          <w:numId w:val="6"/>
        </w:numPr>
        <w:spacing w:before="60" w:after="60"/>
        <w:contextualSpacing w:val="0"/>
        <w:rPr>
          <w:szCs w:val="24"/>
          <w:lang w:eastAsia="ko-KR"/>
        </w:rPr>
      </w:pPr>
      <w:r w:rsidRPr="004C6F38">
        <w:rPr>
          <w:szCs w:val="24"/>
          <w:lang w:eastAsia="ko-KR"/>
        </w:rPr>
        <w:t>where to fit the new topic on device availability &amp; affordability</w:t>
      </w:r>
      <w:r>
        <w:rPr>
          <w:lang w:eastAsia="ko-KR"/>
        </w:rPr>
        <w:t>.</w:t>
      </w:r>
    </w:p>
    <w:p w14:paraId="0352A8D8" w14:textId="77777777" w:rsidR="002C63BB" w:rsidRPr="002132A5" w:rsidRDefault="002C63BB" w:rsidP="0044630E">
      <w:pPr>
        <w:pStyle w:val="ListParagraph"/>
        <w:numPr>
          <w:ilvl w:val="0"/>
          <w:numId w:val="6"/>
        </w:numPr>
        <w:spacing w:before="60" w:after="60"/>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15242231" w14:textId="77777777" w:rsidR="002C63BB" w:rsidRPr="002132A5" w:rsidRDefault="002C63BB" w:rsidP="0044630E">
      <w:pPr>
        <w:pStyle w:val="ListParagraph"/>
        <w:numPr>
          <w:ilvl w:val="0"/>
          <w:numId w:val="6"/>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Pr>
          <w:lang w:eastAsia="ko-KR"/>
        </w:rPr>
        <w:t>.</w:t>
      </w:r>
    </w:p>
    <w:p w14:paraId="1EBD5FBA" w14:textId="77777777" w:rsidR="00EC6FED" w:rsidRDefault="00EC6FED" w:rsidP="002C63BB">
      <w:pPr>
        <w:rPr>
          <w:lang w:eastAsia="zh-CN"/>
        </w:rPr>
      </w:pPr>
    </w:p>
    <w:p w14:paraId="143C2F83" w14:textId="77777777" w:rsidR="00821996" w:rsidRDefault="003C58BF" w:rsidP="00DF240D">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8069EB">
      <w:headerReference w:type="default" r:id="rId25"/>
      <w:footerReference w:type="first" r:id="rId26"/>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7" w:name="Email"/>
          <w:bookmarkEnd w:id="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168FF12B" w:rsidR="005C45B6" w:rsidRPr="00217762" w:rsidRDefault="00CB694E" w:rsidP="005C45B6">
          <w:pPr>
            <w:pStyle w:val="FirstFooter"/>
            <w:tabs>
              <w:tab w:val="left" w:pos="1593"/>
            </w:tabs>
            <w:rPr>
              <w:sz w:val="18"/>
              <w:szCs w:val="18"/>
              <w:lang w:val="es-ES" w:eastAsia="zh-CN"/>
            </w:rPr>
          </w:pPr>
          <w:r w:rsidRPr="00CB694E">
            <w:rPr>
              <w:rFonts w:hint="eastAsia"/>
              <w:sz w:val="18"/>
              <w:szCs w:val="18"/>
              <w:lang w:val="en-US" w:eastAsia="zh-CN"/>
            </w:rPr>
            <w:t>TDAG</w:t>
          </w:r>
          <w:r w:rsidRPr="00CB694E">
            <w:rPr>
              <w:rFonts w:hint="eastAsia"/>
              <w:sz w:val="18"/>
              <w:szCs w:val="18"/>
              <w:lang w:val="en-US" w:eastAsia="zh-CN"/>
            </w:rPr>
            <w:t>未来研究组课题工作组</w:t>
          </w:r>
          <w:r>
            <w:rPr>
              <w:rFonts w:hint="eastAsia"/>
              <w:sz w:val="18"/>
              <w:szCs w:val="18"/>
              <w:lang w:val="en-US" w:eastAsia="zh-CN"/>
            </w:rPr>
            <w:t>主席</w:t>
          </w:r>
          <w:r>
            <w:rPr>
              <w:sz w:val="18"/>
              <w:szCs w:val="18"/>
              <w:lang w:val="en-GB"/>
            </w:rPr>
            <w:t>Ahmad Reza Sharafat</w:t>
          </w:r>
          <w:r>
            <w:rPr>
              <w:rFonts w:hint="eastAsia"/>
              <w:sz w:val="18"/>
              <w:szCs w:val="18"/>
              <w:lang w:val="en-GB" w:eastAsia="zh-CN"/>
            </w:rPr>
            <w:t>先生</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eastAsia="zh-CN"/>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369C6DA5" w:rsidR="005C45B6" w:rsidRPr="00536F3A" w:rsidRDefault="00CB694E" w:rsidP="005C45B6">
          <w:pPr>
            <w:pStyle w:val="FirstFooter"/>
            <w:tabs>
              <w:tab w:val="left" w:pos="2443"/>
            </w:tabs>
            <w:rPr>
              <w:sz w:val="18"/>
              <w:szCs w:val="18"/>
              <w:lang w:val="es-ES_tradnl"/>
            </w:rPr>
          </w:pPr>
          <w:r>
            <w:rPr>
              <w:sz w:val="18"/>
              <w:szCs w:val="18"/>
            </w:rPr>
            <w:t>+98 912 106 1716</w:t>
          </w:r>
          <w:r>
            <w:rPr>
              <w:rFonts w:hint="eastAsia"/>
              <w:sz w:val="18"/>
              <w:szCs w:val="18"/>
              <w:lang w:eastAsia="zh-CN"/>
            </w:rPr>
            <w:t>（伊朗）；</w:t>
          </w:r>
          <w:r w:rsidRPr="00ED3131">
            <w:rPr>
              <w:sz w:val="18"/>
              <w:szCs w:val="18"/>
            </w:rPr>
            <w:t>+41 77 247 6006</w:t>
          </w:r>
          <w:r>
            <w:rPr>
              <w:rFonts w:hint="eastAsia"/>
              <w:sz w:val="18"/>
              <w:szCs w:val="18"/>
              <w:lang w:eastAsia="zh-CN"/>
            </w:rPr>
            <w:t>（瑞士）</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37306EE6" w:rsidR="005C45B6" w:rsidRPr="00536F3A" w:rsidRDefault="00CB694E" w:rsidP="005C45B6">
          <w:pPr>
            <w:pStyle w:val="FirstFooter"/>
            <w:tabs>
              <w:tab w:val="left" w:pos="2443"/>
            </w:tabs>
          </w:pPr>
          <w:hyperlink r:id="rId1" w:history="1">
            <w:r>
              <w:rPr>
                <w:rStyle w:val="Hyperlink"/>
                <w:sz w:val="18"/>
                <w:szCs w:val="18"/>
              </w:rPr>
              <w:t>ahmad.sharafat@gmail.com</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1CD9BBEE" w14:textId="77777777" w:rsidR="002C63BB" w:rsidRPr="004208AE" w:rsidRDefault="002C63BB" w:rsidP="002C63BB">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6223003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9255DB">
      <w:rPr>
        <w:sz w:val="22"/>
        <w:szCs w:val="22"/>
        <w:lang w:eastAsia="zh-CN"/>
      </w:rPr>
      <w:t>19</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8E7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2AA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3CF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E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102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1E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229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E43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AB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C82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799738">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num>
  <w:num w:numId="2" w16cid:durableId="24913510">
    <w:abstractNumId w:val="14"/>
  </w:num>
  <w:num w:numId="3" w16cid:durableId="74597831">
    <w:abstractNumId w:val="11"/>
  </w:num>
  <w:num w:numId="4" w16cid:durableId="1782339298">
    <w:abstractNumId w:val="15"/>
  </w:num>
  <w:num w:numId="5" w16cid:durableId="600458427">
    <w:abstractNumId w:val="13"/>
  </w:num>
  <w:num w:numId="6" w16cid:durableId="980041875">
    <w:abstractNumId w:val="10"/>
  </w:num>
  <w:num w:numId="7" w16cid:durableId="1773744006">
    <w:abstractNumId w:val="9"/>
  </w:num>
  <w:num w:numId="8" w16cid:durableId="2093039538">
    <w:abstractNumId w:val="7"/>
  </w:num>
  <w:num w:numId="9" w16cid:durableId="669139283">
    <w:abstractNumId w:val="6"/>
  </w:num>
  <w:num w:numId="10" w16cid:durableId="823858255">
    <w:abstractNumId w:val="5"/>
  </w:num>
  <w:num w:numId="11" w16cid:durableId="1322849216">
    <w:abstractNumId w:val="4"/>
  </w:num>
  <w:num w:numId="12" w16cid:durableId="1919292490">
    <w:abstractNumId w:val="8"/>
  </w:num>
  <w:num w:numId="13" w16cid:durableId="973488123">
    <w:abstractNumId w:val="3"/>
  </w:num>
  <w:num w:numId="14" w16cid:durableId="155804211">
    <w:abstractNumId w:val="2"/>
  </w:num>
  <w:num w:numId="15" w16cid:durableId="357241785">
    <w:abstractNumId w:val="1"/>
  </w:num>
  <w:num w:numId="16" w16cid:durableId="78144077">
    <w:abstractNumId w:val="0"/>
  </w:num>
  <w:num w:numId="17" w16cid:durableId="1110198991">
    <w:abstractNumId w:val="8"/>
  </w:num>
  <w:num w:numId="18" w16cid:durableId="1634552591">
    <w:abstractNumId w:val="3"/>
  </w:num>
  <w:num w:numId="19" w16cid:durableId="216354683">
    <w:abstractNumId w:val="2"/>
  </w:num>
  <w:num w:numId="20" w16cid:durableId="1557426381">
    <w:abstractNumId w:val="1"/>
  </w:num>
  <w:num w:numId="21" w16cid:durableId="5267202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276A4"/>
    <w:rsid w:val="00037A9E"/>
    <w:rsid w:val="00037F91"/>
    <w:rsid w:val="00042FE4"/>
    <w:rsid w:val="000539F1"/>
    <w:rsid w:val="00054747"/>
    <w:rsid w:val="00055A2A"/>
    <w:rsid w:val="000615C1"/>
    <w:rsid w:val="00061675"/>
    <w:rsid w:val="000743AA"/>
    <w:rsid w:val="0009076F"/>
    <w:rsid w:val="0009225C"/>
    <w:rsid w:val="000A17C4"/>
    <w:rsid w:val="000A36A4"/>
    <w:rsid w:val="000A6373"/>
    <w:rsid w:val="000B2352"/>
    <w:rsid w:val="000C1340"/>
    <w:rsid w:val="000C24CA"/>
    <w:rsid w:val="000C7B84"/>
    <w:rsid w:val="000D261B"/>
    <w:rsid w:val="000D58A3"/>
    <w:rsid w:val="000E3ED4"/>
    <w:rsid w:val="000E3F9C"/>
    <w:rsid w:val="000F1550"/>
    <w:rsid w:val="000F251B"/>
    <w:rsid w:val="000F5FE8"/>
    <w:rsid w:val="000F6644"/>
    <w:rsid w:val="00100833"/>
    <w:rsid w:val="00102F72"/>
    <w:rsid w:val="00107E85"/>
    <w:rsid w:val="001113B9"/>
    <w:rsid w:val="00113EE8"/>
    <w:rsid w:val="0011455A"/>
    <w:rsid w:val="00114A65"/>
    <w:rsid w:val="0011551B"/>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16D0"/>
    <w:rsid w:val="001942A7"/>
    <w:rsid w:val="0019587B"/>
    <w:rsid w:val="001A163D"/>
    <w:rsid w:val="001A441E"/>
    <w:rsid w:val="001A6733"/>
    <w:rsid w:val="001B357F"/>
    <w:rsid w:val="001C3444"/>
    <w:rsid w:val="001C3702"/>
    <w:rsid w:val="001C4656"/>
    <w:rsid w:val="001C46BC"/>
    <w:rsid w:val="001D1E06"/>
    <w:rsid w:val="001D449E"/>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23D7"/>
    <w:rsid w:val="002B36D0"/>
    <w:rsid w:val="002C1EC7"/>
    <w:rsid w:val="002C3015"/>
    <w:rsid w:val="002C4342"/>
    <w:rsid w:val="002C63BB"/>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753B7"/>
    <w:rsid w:val="00380B71"/>
    <w:rsid w:val="0038365A"/>
    <w:rsid w:val="00386A89"/>
    <w:rsid w:val="0039648E"/>
    <w:rsid w:val="003A0064"/>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2B39"/>
    <w:rsid w:val="004040CF"/>
    <w:rsid w:val="00404424"/>
    <w:rsid w:val="0041156B"/>
    <w:rsid w:val="004122C5"/>
    <w:rsid w:val="00413B78"/>
    <w:rsid w:val="00413CCC"/>
    <w:rsid w:val="00416DDE"/>
    <w:rsid w:val="004269F5"/>
    <w:rsid w:val="004355FF"/>
    <w:rsid w:val="0044411E"/>
    <w:rsid w:val="0044630E"/>
    <w:rsid w:val="00453435"/>
    <w:rsid w:val="00455AA1"/>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C5016"/>
    <w:rsid w:val="004D2CC3"/>
    <w:rsid w:val="004D35CB"/>
    <w:rsid w:val="004D7DAB"/>
    <w:rsid w:val="004E20E5"/>
    <w:rsid w:val="004E5F5D"/>
    <w:rsid w:val="004E64EA"/>
    <w:rsid w:val="004E7828"/>
    <w:rsid w:val="004F46AA"/>
    <w:rsid w:val="004F6A70"/>
    <w:rsid w:val="00500AD7"/>
    <w:rsid w:val="00502ABF"/>
    <w:rsid w:val="00504DB0"/>
    <w:rsid w:val="00507C35"/>
    <w:rsid w:val="00510735"/>
    <w:rsid w:val="0051442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2FAC"/>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2606"/>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77B27"/>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255DB"/>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3E7"/>
    <w:rsid w:val="00A35E20"/>
    <w:rsid w:val="00A36F6D"/>
    <w:rsid w:val="00A50CA0"/>
    <w:rsid w:val="00A525CC"/>
    <w:rsid w:val="00A533DB"/>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36D2"/>
    <w:rsid w:val="00B64149"/>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694E"/>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3720"/>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3FE8"/>
    <w:rsid w:val="00E86933"/>
    <w:rsid w:val="00E92DF8"/>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link w:val="ListParagraph"/>
    <w:uiPriority w:val="34"/>
    <w:locked/>
    <w:rsid w:val="002C63BB"/>
    <w:rPr>
      <w:rFonts w:asciiTheme="minorHAnsi" w:hAnsiTheme="minorHAnsi"/>
      <w:sz w:val="24"/>
      <w:lang w:val="en-GB" w:eastAsia="en-US"/>
    </w:rPr>
  </w:style>
  <w:style w:type="paragraph" w:customStyle="1" w:styleId="gmail-msolistparagraph">
    <w:name w:val="gmail-msolistparagraph"/>
    <w:basedOn w:val="Normal"/>
    <w:rsid w:val="002C63B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Calibri"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D-RES-D.2-2022"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SGQ-C-001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WG.SGQ-C-0010/" TargetMode="External"/><Relationship Id="rId20"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SGQ-C-0029" TargetMode="External"/><Relationship Id="rId5" Type="http://schemas.openxmlformats.org/officeDocument/2006/relationships/numbering" Target="numbering.xml"/><Relationship Id="rId15" Type="http://schemas.openxmlformats.org/officeDocument/2006/relationships/hyperlink" Target="https://www.itu.int/md/D22-TDAG.EXTRA-C-0004/en" TargetMode="External"/><Relationship Id="rId23" Type="http://schemas.openxmlformats.org/officeDocument/2006/relationships/hyperlink" Target="https://www.itu.int/md/D22-TDAG.WG.SGQ-C-003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SGQ-C-0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23/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5FD8F8F8-ADC1-470B-BF67-42DA06DC580A}"/>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2939</Words>
  <Characters>8280</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Kong, Hongli</cp:lastModifiedBy>
  <cp:revision>14</cp:revision>
  <cp:lastPrinted>2014-11-04T09:22:00Z</cp:lastPrinted>
  <dcterms:created xsi:type="dcterms:W3CDTF">2025-04-25T07:21:00Z</dcterms:created>
  <dcterms:modified xsi:type="dcterms:W3CDTF">2025-04-25T08:59:00Z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