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394"/>
        <w:gridCol w:w="2126"/>
        <w:gridCol w:w="1526"/>
      </w:tblGrid>
      <w:tr w:rsidR="004A3BAB" w:rsidRPr="00403C69" w14:paraId="3539A47E" w14:textId="77777777" w:rsidTr="00AD5682">
        <w:trPr>
          <w:cantSplit/>
          <w:trHeight w:val="1134"/>
        </w:trPr>
        <w:tc>
          <w:tcPr>
            <w:tcW w:w="1985" w:type="dxa"/>
          </w:tcPr>
          <w:p w14:paraId="41DA106D" w14:textId="77777777" w:rsidR="004A3BAB" w:rsidRDefault="004A3BAB" w:rsidP="00AD5682">
            <w:pPr>
              <w:spacing w:after="40"/>
              <w:ind w:left="34"/>
              <w:jc w:val="both"/>
              <w:rPr>
                <w:b/>
                <w:bCs/>
                <w:sz w:val="32"/>
                <w:szCs w:val="32"/>
              </w:rPr>
            </w:pPr>
            <w:r>
              <w:rPr>
                <w:noProof/>
                <w:sz w:val="32"/>
                <w:szCs w:val="32"/>
              </w:rPr>
              <w:drawing>
                <wp:inline distT="0" distB="0" distL="0" distR="0" wp14:anchorId="6A76ECF9" wp14:editId="04D3A9D3">
                  <wp:extent cx="1080000" cy="946800"/>
                  <wp:effectExtent l="0" t="0" r="6350" b="0"/>
                  <wp:docPr id="19337999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65B4F206" w14:textId="77777777" w:rsidR="004A3BAB" w:rsidRDefault="004A3BAB" w:rsidP="00AD5682">
            <w:pPr>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69B5B482" w14:textId="77777777" w:rsidR="004A3BAB" w:rsidRPr="00403C69" w:rsidRDefault="004A3BAB" w:rsidP="00AD5682">
            <w:pPr>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526" w:type="dxa"/>
          </w:tcPr>
          <w:p w14:paraId="7ADAC161" w14:textId="77777777" w:rsidR="004A3BAB" w:rsidRPr="00403C69" w:rsidRDefault="004A3BAB" w:rsidP="00AD5682">
            <w:pPr>
              <w:spacing w:before="240" w:after="120"/>
              <w:jc w:val="right"/>
              <w:rPr>
                <w:rFonts w:cstheme="minorHAnsi"/>
              </w:rPr>
            </w:pPr>
            <w:r>
              <w:rPr>
                <w:noProof/>
                <w:lang w:val="fr-FR" w:eastAsia="fr-FR"/>
              </w:rPr>
              <w:drawing>
                <wp:inline distT="0" distB="0" distL="0" distR="0" wp14:anchorId="6B5307CA" wp14:editId="6B5EC066">
                  <wp:extent cx="712470" cy="785495"/>
                  <wp:effectExtent l="0" t="0" r="0" b="0"/>
                  <wp:docPr id="708695399" name="Picture 708695399"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4A3BAB" w:rsidRPr="00403C69" w14:paraId="7DFF086C" w14:textId="77777777" w:rsidTr="00D24105">
        <w:trPr>
          <w:cantSplit/>
        </w:trPr>
        <w:tc>
          <w:tcPr>
            <w:tcW w:w="6379" w:type="dxa"/>
            <w:gridSpan w:val="2"/>
            <w:tcBorders>
              <w:top w:val="single" w:sz="12" w:space="0" w:color="auto"/>
            </w:tcBorders>
          </w:tcPr>
          <w:p w14:paraId="7F685228" w14:textId="77777777" w:rsidR="004A3BAB" w:rsidRPr="00403C69" w:rsidRDefault="004A3BAB" w:rsidP="00AD5682">
            <w:pPr>
              <w:spacing w:before="0" w:after="48" w:line="240" w:lineRule="atLeast"/>
              <w:rPr>
                <w:rFonts w:cstheme="minorHAnsi"/>
                <w:b/>
                <w:smallCaps/>
                <w:sz w:val="20"/>
              </w:rPr>
            </w:pPr>
            <w:bookmarkStart w:id="0" w:name="dhead"/>
          </w:p>
        </w:tc>
        <w:tc>
          <w:tcPr>
            <w:tcW w:w="3652" w:type="dxa"/>
            <w:gridSpan w:val="2"/>
            <w:tcBorders>
              <w:top w:val="single" w:sz="12" w:space="0" w:color="auto"/>
            </w:tcBorders>
          </w:tcPr>
          <w:p w14:paraId="6024C74F" w14:textId="77777777" w:rsidR="004A3BAB" w:rsidRPr="00403C69" w:rsidRDefault="004A3BAB" w:rsidP="00AD5682">
            <w:pPr>
              <w:spacing w:before="0" w:line="240" w:lineRule="atLeast"/>
              <w:rPr>
                <w:rFonts w:cstheme="minorHAnsi"/>
                <w:sz w:val="20"/>
              </w:rPr>
            </w:pPr>
          </w:p>
        </w:tc>
      </w:tr>
      <w:tr w:rsidR="004A3BAB" w:rsidRPr="00403C69" w14:paraId="02B597EB" w14:textId="77777777" w:rsidTr="00D24105">
        <w:trPr>
          <w:cantSplit/>
          <w:trHeight w:val="23"/>
        </w:trPr>
        <w:tc>
          <w:tcPr>
            <w:tcW w:w="6379" w:type="dxa"/>
            <w:gridSpan w:val="2"/>
            <w:shd w:val="clear" w:color="auto" w:fill="auto"/>
          </w:tcPr>
          <w:p w14:paraId="3BF31890" w14:textId="77777777" w:rsidR="004A3BAB" w:rsidRPr="00403C69" w:rsidRDefault="004A3BAB" w:rsidP="004A3BAB">
            <w:pPr>
              <w:pStyle w:val="Committee"/>
              <w:spacing w:before="0"/>
            </w:pPr>
            <w:bookmarkStart w:id="1" w:name="dnum" w:colFirst="1" w:colLast="1"/>
            <w:bookmarkStart w:id="2" w:name="dmeeting" w:colFirst="0" w:colLast="0"/>
            <w:bookmarkEnd w:id="0"/>
          </w:p>
        </w:tc>
        <w:tc>
          <w:tcPr>
            <w:tcW w:w="3652" w:type="dxa"/>
            <w:gridSpan w:val="2"/>
          </w:tcPr>
          <w:p w14:paraId="78021391" w14:textId="32D79A5F" w:rsidR="004A3BAB" w:rsidRPr="00403C69" w:rsidRDefault="004A3BAB" w:rsidP="004A3BAB">
            <w:pPr>
              <w:tabs>
                <w:tab w:val="left" w:pos="851"/>
              </w:tabs>
              <w:spacing w:before="0" w:line="240" w:lineRule="atLeast"/>
              <w:rPr>
                <w:rFonts w:cstheme="minorHAnsi"/>
                <w:szCs w:val="24"/>
              </w:rPr>
            </w:pPr>
            <w:r w:rsidRPr="00403C69">
              <w:rPr>
                <w:b/>
                <w:bCs/>
                <w:lang w:val="en-US"/>
              </w:rPr>
              <w:t>Document TDAG-2</w:t>
            </w:r>
            <w:r>
              <w:rPr>
                <w:b/>
                <w:bCs/>
                <w:lang w:val="en-US"/>
              </w:rPr>
              <w:t>5</w:t>
            </w:r>
            <w:r w:rsidRPr="00403C69">
              <w:rPr>
                <w:b/>
                <w:bCs/>
                <w:lang w:val="en-US"/>
              </w:rPr>
              <w:t>/</w:t>
            </w:r>
            <w:bookmarkStart w:id="3" w:name="DocNo1"/>
            <w:bookmarkEnd w:id="3"/>
            <w:r w:rsidR="00B54454">
              <w:rPr>
                <w:b/>
                <w:bCs/>
                <w:lang w:val="en-US"/>
              </w:rPr>
              <w:t>18</w:t>
            </w:r>
            <w:r w:rsidR="00164DA5">
              <w:rPr>
                <w:b/>
                <w:bCs/>
                <w:lang w:val="en-US"/>
              </w:rPr>
              <w:t>(Rev.</w:t>
            </w:r>
            <w:r w:rsidR="0096390C">
              <w:rPr>
                <w:b/>
                <w:bCs/>
                <w:lang w:val="en-US"/>
              </w:rPr>
              <w:t>3</w:t>
            </w:r>
            <w:r w:rsidR="00164DA5">
              <w:rPr>
                <w:b/>
                <w:bCs/>
                <w:lang w:val="en-US"/>
              </w:rPr>
              <w:t>)</w:t>
            </w:r>
            <w:r w:rsidRPr="00403C69">
              <w:rPr>
                <w:b/>
                <w:bCs/>
                <w:lang w:val="en-US"/>
              </w:rPr>
              <w:t>-E</w:t>
            </w:r>
          </w:p>
        </w:tc>
      </w:tr>
      <w:tr w:rsidR="004A3BAB" w:rsidRPr="00403C69" w14:paraId="688B6CCD" w14:textId="77777777" w:rsidTr="00D24105">
        <w:trPr>
          <w:cantSplit/>
          <w:trHeight w:val="23"/>
        </w:trPr>
        <w:tc>
          <w:tcPr>
            <w:tcW w:w="6379" w:type="dxa"/>
            <w:gridSpan w:val="2"/>
            <w:shd w:val="clear" w:color="auto" w:fill="auto"/>
          </w:tcPr>
          <w:p w14:paraId="0B91B7C4" w14:textId="77777777" w:rsidR="004A3BAB" w:rsidRPr="00403C69" w:rsidRDefault="004A3BAB" w:rsidP="00AD5682">
            <w:pPr>
              <w:tabs>
                <w:tab w:val="left" w:pos="851"/>
              </w:tabs>
              <w:spacing w:before="0" w:line="240" w:lineRule="atLeast"/>
              <w:rPr>
                <w:rFonts w:cstheme="minorHAnsi"/>
                <w:b/>
                <w:szCs w:val="24"/>
              </w:rPr>
            </w:pPr>
            <w:bookmarkStart w:id="4" w:name="ddate" w:colFirst="1" w:colLast="1"/>
            <w:bookmarkStart w:id="5" w:name="dblank" w:colFirst="0" w:colLast="0"/>
            <w:bookmarkEnd w:id="1"/>
            <w:bookmarkEnd w:id="2"/>
          </w:p>
        </w:tc>
        <w:tc>
          <w:tcPr>
            <w:tcW w:w="3652" w:type="dxa"/>
            <w:gridSpan w:val="2"/>
          </w:tcPr>
          <w:p w14:paraId="70437FD1" w14:textId="7854692C" w:rsidR="004A3BAB" w:rsidRPr="00403C69" w:rsidRDefault="003E005A" w:rsidP="00AD5682">
            <w:pPr>
              <w:spacing w:before="0" w:line="240" w:lineRule="atLeast"/>
              <w:rPr>
                <w:rFonts w:cstheme="minorHAnsi"/>
                <w:szCs w:val="24"/>
              </w:rPr>
            </w:pPr>
            <w:r>
              <w:rPr>
                <w:b/>
                <w:bCs/>
                <w:szCs w:val="28"/>
              </w:rPr>
              <w:t>1</w:t>
            </w:r>
            <w:r w:rsidR="0096390C">
              <w:rPr>
                <w:b/>
                <w:bCs/>
                <w:szCs w:val="28"/>
              </w:rPr>
              <w:t>6</w:t>
            </w:r>
            <w:r w:rsidR="004A3BAB">
              <w:rPr>
                <w:b/>
                <w:bCs/>
                <w:szCs w:val="28"/>
              </w:rPr>
              <w:t xml:space="preserve"> </w:t>
            </w:r>
            <w:r>
              <w:rPr>
                <w:b/>
                <w:bCs/>
                <w:szCs w:val="28"/>
              </w:rPr>
              <w:t>May</w:t>
            </w:r>
            <w:r w:rsidR="004A3BAB">
              <w:rPr>
                <w:b/>
                <w:bCs/>
                <w:szCs w:val="28"/>
              </w:rPr>
              <w:t xml:space="preserve"> 2025</w:t>
            </w:r>
          </w:p>
        </w:tc>
      </w:tr>
      <w:bookmarkEnd w:id="4"/>
      <w:bookmarkEnd w:id="5"/>
      <w:tr w:rsidR="004A3BAB" w:rsidRPr="00403C69" w14:paraId="5F4D68C8" w14:textId="77777777" w:rsidTr="00D24105">
        <w:trPr>
          <w:cantSplit/>
          <w:trHeight w:val="23"/>
        </w:trPr>
        <w:tc>
          <w:tcPr>
            <w:tcW w:w="6379" w:type="dxa"/>
            <w:gridSpan w:val="2"/>
            <w:shd w:val="clear" w:color="auto" w:fill="auto"/>
          </w:tcPr>
          <w:p w14:paraId="47D9D727" w14:textId="77777777" w:rsidR="004A3BAB" w:rsidRPr="00403C69" w:rsidRDefault="004A3BAB" w:rsidP="00AD5682">
            <w:pPr>
              <w:tabs>
                <w:tab w:val="left" w:pos="851"/>
              </w:tabs>
              <w:spacing w:before="0" w:line="240" w:lineRule="atLeast"/>
              <w:rPr>
                <w:rFonts w:cstheme="minorHAnsi"/>
                <w:szCs w:val="24"/>
              </w:rPr>
            </w:pPr>
          </w:p>
        </w:tc>
        <w:tc>
          <w:tcPr>
            <w:tcW w:w="3652" w:type="dxa"/>
            <w:gridSpan w:val="2"/>
          </w:tcPr>
          <w:p w14:paraId="0B1FD57A" w14:textId="77777777" w:rsidR="004A3BAB" w:rsidRPr="00403C69" w:rsidRDefault="004A3BAB" w:rsidP="00AD5682">
            <w:pPr>
              <w:tabs>
                <w:tab w:val="left" w:pos="993"/>
              </w:tabs>
              <w:spacing w:before="0"/>
              <w:rPr>
                <w:rFonts w:cstheme="minorHAnsi"/>
                <w:b/>
                <w:szCs w:val="24"/>
              </w:rPr>
            </w:pPr>
            <w:r w:rsidRPr="00403C69">
              <w:rPr>
                <w:b/>
                <w:bCs/>
                <w:szCs w:val="24"/>
              </w:rPr>
              <w:t>Original: English</w:t>
            </w:r>
          </w:p>
        </w:tc>
      </w:tr>
      <w:tr w:rsidR="004A3BAB" w:rsidRPr="00403C69" w14:paraId="6B4B338D" w14:textId="77777777" w:rsidTr="00AD5682">
        <w:trPr>
          <w:cantSplit/>
          <w:trHeight w:val="23"/>
        </w:trPr>
        <w:tc>
          <w:tcPr>
            <w:tcW w:w="10031" w:type="dxa"/>
            <w:gridSpan w:val="4"/>
            <w:shd w:val="clear" w:color="auto" w:fill="auto"/>
          </w:tcPr>
          <w:p w14:paraId="37B9BB17" w14:textId="46563752" w:rsidR="004A3BAB" w:rsidRPr="00403C69" w:rsidRDefault="004A3BAB" w:rsidP="004A3BAB">
            <w:pPr>
              <w:pStyle w:val="Source"/>
            </w:pPr>
            <w:bookmarkStart w:id="6" w:name="dbluepink" w:colFirst="0" w:colLast="0"/>
            <w:bookmarkStart w:id="7" w:name="dorlang" w:colFirst="1" w:colLast="1"/>
            <w:r w:rsidRPr="00517C6F">
              <w:rPr>
                <w:szCs w:val="28"/>
              </w:rPr>
              <w:t>Chair, TDAG-WG-DEC</w:t>
            </w:r>
          </w:p>
        </w:tc>
      </w:tr>
      <w:tr w:rsidR="004A3BAB" w:rsidRPr="00403C69" w14:paraId="52D9C048" w14:textId="77777777" w:rsidTr="00461EC5">
        <w:trPr>
          <w:cantSplit/>
          <w:trHeight w:val="23"/>
        </w:trPr>
        <w:tc>
          <w:tcPr>
            <w:tcW w:w="10031" w:type="dxa"/>
            <w:gridSpan w:val="4"/>
            <w:shd w:val="clear" w:color="auto" w:fill="auto"/>
          </w:tcPr>
          <w:p w14:paraId="3F058C07" w14:textId="17437DFC" w:rsidR="004A3BAB" w:rsidRPr="001655E8" w:rsidRDefault="004A3BAB" w:rsidP="003479A2">
            <w:pPr>
              <w:pStyle w:val="Title1"/>
              <w:rPr>
                <w:caps/>
              </w:rPr>
            </w:pPr>
            <w:r w:rsidRPr="00216AE5">
              <w:rPr>
                <w:rFonts w:cs="Times New Roman"/>
                <w:bCs/>
                <w:szCs w:val="28"/>
              </w:rPr>
              <w:t>Report on the</w:t>
            </w:r>
            <w:r w:rsidRPr="00216AE5">
              <w:rPr>
                <w:bCs/>
              </w:rPr>
              <w:t xml:space="preserve"> </w:t>
            </w:r>
            <w:r>
              <w:rPr>
                <w:bCs/>
              </w:rPr>
              <w:t xml:space="preserve">work and outcome of the </w:t>
            </w:r>
            <w:r w:rsidRPr="00216AE5">
              <w:rPr>
                <w:rFonts w:cs="Times New Roman"/>
                <w:bCs/>
                <w:szCs w:val="28"/>
              </w:rPr>
              <w:t>TDAG Working Group on the Declaration</w:t>
            </w:r>
          </w:p>
        </w:tc>
      </w:tr>
      <w:tr w:rsidR="004A3BAB" w:rsidRPr="00403C69" w14:paraId="08BAF0E2" w14:textId="77777777" w:rsidTr="00AD5682">
        <w:trPr>
          <w:cantSplit/>
          <w:trHeight w:val="23"/>
        </w:trPr>
        <w:tc>
          <w:tcPr>
            <w:tcW w:w="10031" w:type="dxa"/>
            <w:gridSpan w:val="4"/>
            <w:shd w:val="clear" w:color="auto" w:fill="auto"/>
            <w:vAlign w:val="center"/>
          </w:tcPr>
          <w:p w14:paraId="06B27EE6" w14:textId="77777777" w:rsidR="004A3BAB" w:rsidRPr="009B585F" w:rsidRDefault="004A3BAB" w:rsidP="00F91D8A">
            <w:pPr>
              <w:pStyle w:val="Title1"/>
              <w:spacing w:before="0" w:after="0"/>
              <w:jc w:val="left"/>
              <w:rPr>
                <w:caps/>
                <w:szCs w:val="28"/>
              </w:rPr>
            </w:pPr>
          </w:p>
        </w:tc>
      </w:tr>
      <w:tr w:rsidR="004A3BAB" w:rsidRPr="00403C69" w14:paraId="12232CB6" w14:textId="77777777" w:rsidTr="00AD5682">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25BC930A" w14:textId="77777777" w:rsidR="008C2D4D" w:rsidRPr="00BD1DB7" w:rsidRDefault="008C2D4D" w:rsidP="003479A2">
            <w:pPr>
              <w:spacing w:before="80" w:after="80"/>
              <w:jc w:val="both"/>
              <w:rPr>
                <w:b/>
                <w:bCs/>
                <w:szCs w:val="24"/>
              </w:rPr>
            </w:pPr>
            <w:r w:rsidRPr="00BD1DB7">
              <w:rPr>
                <w:b/>
                <w:bCs/>
                <w:szCs w:val="24"/>
              </w:rPr>
              <w:t>Summary:</w:t>
            </w:r>
          </w:p>
          <w:p w14:paraId="4E619BE8" w14:textId="320491BF" w:rsidR="008C2D4D" w:rsidRPr="00BD1DB7" w:rsidRDefault="008C2D4D" w:rsidP="003479A2">
            <w:pPr>
              <w:spacing w:before="80" w:after="80"/>
              <w:jc w:val="both"/>
              <w:rPr>
                <w:szCs w:val="24"/>
              </w:rPr>
            </w:pPr>
            <w:r w:rsidRPr="00BD1DB7">
              <w:rPr>
                <w:szCs w:val="24"/>
              </w:rPr>
              <w:t>This document contains the final report of</w:t>
            </w:r>
            <w:r w:rsidRPr="00BD1DB7">
              <w:rPr>
                <w:rFonts w:ascii="Calibri" w:hAnsi="Calibri"/>
                <w:szCs w:val="24"/>
              </w:rPr>
              <w:t xml:space="preserve"> t</w:t>
            </w:r>
            <w:r w:rsidRPr="00BD1DB7">
              <w:rPr>
                <w:szCs w:val="24"/>
              </w:rPr>
              <w:t>he</w:t>
            </w:r>
            <w:r w:rsidRPr="00BD1DB7">
              <w:rPr>
                <w:rFonts w:ascii="Arial" w:hAnsi="Arial" w:cs="Arial"/>
                <w:color w:val="444444"/>
                <w:sz w:val="18"/>
                <w:szCs w:val="18"/>
                <w:shd w:val="clear" w:color="auto" w:fill="FFFFFF"/>
              </w:rPr>
              <w:t xml:space="preserve"> </w:t>
            </w:r>
            <w:r w:rsidRPr="00BD1DB7">
              <w:rPr>
                <w:szCs w:val="24"/>
              </w:rPr>
              <w:t>TDAG Working Group on the Declaration (TDAG-WG-DEC)</w:t>
            </w:r>
            <w:r w:rsidRPr="00BD1DB7">
              <w:rPr>
                <w:szCs w:val="24"/>
                <w:bdr w:val="none" w:sz="0" w:space="0" w:color="auto" w:frame="1"/>
                <w:shd w:val="clear" w:color="auto" w:fill="FFFFFF"/>
              </w:rPr>
              <w:t>,</w:t>
            </w:r>
            <w:r w:rsidRPr="00BD1DB7">
              <w:rPr>
                <w:szCs w:val="24"/>
              </w:rPr>
              <w:t xml:space="preserve"> including a proposed draft Baku Declaration based on its terms of reference. </w:t>
            </w:r>
          </w:p>
          <w:p w14:paraId="11A6F2BE" w14:textId="2D1754B6" w:rsidR="008C2D4D" w:rsidRPr="00BD1DB7" w:rsidRDefault="008C2D4D" w:rsidP="003479A2">
            <w:pPr>
              <w:spacing w:before="80" w:after="80"/>
              <w:jc w:val="both"/>
              <w:rPr>
                <w:szCs w:val="24"/>
              </w:rPr>
            </w:pPr>
            <w:r w:rsidRPr="00BD1DB7">
              <w:rPr>
                <w:szCs w:val="24"/>
              </w:rPr>
              <w:t xml:space="preserve">The draft Baku Declaration </w:t>
            </w:r>
            <w:r w:rsidR="004348D0">
              <w:rPr>
                <w:szCs w:val="24"/>
              </w:rPr>
              <w:t>prepared</w:t>
            </w:r>
            <w:r w:rsidRPr="00BD1DB7">
              <w:rPr>
                <w:szCs w:val="24"/>
              </w:rPr>
              <w:t xml:space="preserve"> by the group </w:t>
            </w:r>
            <w:r w:rsidR="004348D0">
              <w:rPr>
                <w:szCs w:val="24"/>
              </w:rPr>
              <w:t xml:space="preserve">under the leadership of the </w:t>
            </w:r>
            <w:r w:rsidRPr="00BD1DB7">
              <w:rPr>
                <w:szCs w:val="24"/>
              </w:rPr>
              <w:t>Chair is contained in Annex 1 (</w:t>
            </w:r>
            <w:r w:rsidR="002E57B8">
              <w:rPr>
                <w:szCs w:val="24"/>
              </w:rPr>
              <w:t>it reflects the</w:t>
            </w:r>
            <w:r w:rsidR="0088006A">
              <w:rPr>
                <w:szCs w:val="24"/>
              </w:rPr>
              <w:t xml:space="preserve"> </w:t>
            </w:r>
            <w:r w:rsidR="002E57B8">
              <w:rPr>
                <w:szCs w:val="24"/>
              </w:rPr>
              <w:t>third</w:t>
            </w:r>
            <w:r w:rsidR="0088006A">
              <w:rPr>
                <w:szCs w:val="24"/>
              </w:rPr>
              <w:t xml:space="preserve"> revised</w:t>
            </w:r>
            <w:r w:rsidRPr="00BD1DB7">
              <w:rPr>
                <w:szCs w:val="24"/>
              </w:rPr>
              <w:t xml:space="preserve"> version </w:t>
            </w:r>
            <w:r w:rsidR="00457DA8">
              <w:rPr>
                <w:szCs w:val="24"/>
              </w:rPr>
              <w:t xml:space="preserve">prepared by the group, </w:t>
            </w:r>
            <w:r w:rsidRPr="00BD1DB7">
              <w:rPr>
                <w:szCs w:val="24"/>
              </w:rPr>
              <w:t>contained in</w:t>
            </w:r>
            <w:r w:rsidR="00122D35">
              <w:rPr>
                <w:szCs w:val="24"/>
              </w:rPr>
              <w:t xml:space="preserve"> Document </w:t>
            </w:r>
            <w:hyperlink r:id="rId13" w:history="1">
              <w:r w:rsidR="00122D35" w:rsidRPr="00D65BF0">
                <w:rPr>
                  <w:rStyle w:val="Hyperlink"/>
                </w:rPr>
                <w:t>TDAG-WG-DEC/DT/1</w:t>
              </w:r>
            </w:hyperlink>
            <w:r w:rsidR="00CE3738" w:rsidRPr="00BD1DB7">
              <w:rPr>
                <w:szCs w:val="24"/>
              </w:rPr>
              <w:t xml:space="preserve"> in track changes</w:t>
            </w:r>
            <w:r w:rsidRPr="00BD1DB7">
              <w:rPr>
                <w:szCs w:val="24"/>
              </w:rPr>
              <w:t>). Th</w:t>
            </w:r>
            <w:r w:rsidR="00457DA8">
              <w:rPr>
                <w:szCs w:val="24"/>
              </w:rPr>
              <w:t>is</w:t>
            </w:r>
            <w:r w:rsidRPr="00BD1DB7">
              <w:rPr>
                <w:szCs w:val="24"/>
              </w:rPr>
              <w:t xml:space="preserve"> draft </w:t>
            </w:r>
            <w:r w:rsidR="00BB5FFC">
              <w:rPr>
                <w:szCs w:val="24"/>
              </w:rPr>
              <w:t xml:space="preserve">was </w:t>
            </w:r>
            <w:r w:rsidRPr="00BD1DB7">
              <w:rPr>
                <w:szCs w:val="24"/>
              </w:rPr>
              <w:t>agreed by the last meeting of the group</w:t>
            </w:r>
            <w:r w:rsidR="00BB5FFC">
              <w:rPr>
                <w:szCs w:val="24"/>
              </w:rPr>
              <w:t xml:space="preserve"> and</w:t>
            </w:r>
            <w:r w:rsidRPr="00BD1DB7">
              <w:rPr>
                <w:szCs w:val="24"/>
              </w:rPr>
              <w:t xml:space="preserve"> </w:t>
            </w:r>
            <w:r w:rsidR="00457DA8">
              <w:rPr>
                <w:szCs w:val="24"/>
              </w:rPr>
              <w:t>is intended</w:t>
            </w:r>
            <w:r w:rsidRPr="00BD1DB7">
              <w:rPr>
                <w:szCs w:val="24"/>
              </w:rPr>
              <w:t xml:space="preserve"> as input for </w:t>
            </w:r>
            <w:r w:rsidR="00A03983">
              <w:rPr>
                <w:szCs w:val="24"/>
              </w:rPr>
              <w:t>Regional Telecommunication Organizations (RTOs) and M</w:t>
            </w:r>
            <w:r w:rsidRPr="00BD1DB7">
              <w:rPr>
                <w:szCs w:val="24"/>
              </w:rPr>
              <w:t>ember</w:t>
            </w:r>
            <w:r w:rsidR="00A03983">
              <w:rPr>
                <w:szCs w:val="24"/>
              </w:rPr>
              <w:t xml:space="preserve"> States</w:t>
            </w:r>
            <w:r w:rsidRPr="00BD1DB7">
              <w:rPr>
                <w:szCs w:val="24"/>
              </w:rPr>
              <w:t xml:space="preserve"> to consider in their preparation </w:t>
            </w:r>
            <w:r w:rsidR="00F91D8A">
              <w:rPr>
                <w:szCs w:val="24"/>
              </w:rPr>
              <w:t>for</w:t>
            </w:r>
            <w:r w:rsidRPr="00BD1DB7">
              <w:rPr>
                <w:szCs w:val="24"/>
              </w:rPr>
              <w:t xml:space="preserve"> </w:t>
            </w:r>
            <w:r w:rsidR="00664EC3">
              <w:rPr>
                <w:szCs w:val="24"/>
              </w:rPr>
              <w:t>WTDC-25.</w:t>
            </w:r>
          </w:p>
          <w:p w14:paraId="4CBB263C" w14:textId="77777777" w:rsidR="008C2D4D" w:rsidRPr="00BD1DB7" w:rsidRDefault="008C2D4D" w:rsidP="003479A2">
            <w:pPr>
              <w:spacing w:before="80" w:after="80"/>
              <w:jc w:val="both"/>
              <w:rPr>
                <w:b/>
                <w:bCs/>
                <w:szCs w:val="24"/>
              </w:rPr>
            </w:pPr>
            <w:r w:rsidRPr="00BD1DB7">
              <w:rPr>
                <w:b/>
                <w:bCs/>
              </w:rPr>
              <w:t>Action required:</w:t>
            </w:r>
          </w:p>
          <w:p w14:paraId="42B6A303" w14:textId="77777777" w:rsidR="008C2D4D" w:rsidRPr="00BD1DB7" w:rsidRDefault="008C2D4D" w:rsidP="003479A2">
            <w:pPr>
              <w:spacing w:before="80" w:after="80"/>
              <w:jc w:val="both"/>
              <w:rPr>
                <w:szCs w:val="28"/>
              </w:rPr>
            </w:pPr>
            <w:r w:rsidRPr="00BD1DB7">
              <w:rPr>
                <w:szCs w:val="28"/>
              </w:rPr>
              <w:t>TDAG is invited to examine this report, further consider the proposed Chair’s draft and submit it as input to WTDC-25.</w:t>
            </w:r>
          </w:p>
          <w:p w14:paraId="73989469" w14:textId="77777777" w:rsidR="008C2D4D" w:rsidRPr="00BD1DB7" w:rsidRDefault="008C2D4D" w:rsidP="003479A2">
            <w:pPr>
              <w:spacing w:before="80" w:after="80"/>
              <w:rPr>
                <w:b/>
                <w:bCs/>
                <w:szCs w:val="24"/>
              </w:rPr>
            </w:pPr>
            <w:r w:rsidRPr="00BD1DB7">
              <w:rPr>
                <w:b/>
                <w:bCs/>
                <w:szCs w:val="24"/>
              </w:rPr>
              <w:t>References:</w:t>
            </w:r>
          </w:p>
          <w:p w14:paraId="3F8276AE" w14:textId="77777777" w:rsidR="008C2D4D" w:rsidRPr="00BD1DB7" w:rsidRDefault="008C2D4D" w:rsidP="00F91D8A">
            <w:pPr>
              <w:pStyle w:val="ListParagraph"/>
              <w:numPr>
                <w:ilvl w:val="0"/>
                <w:numId w:val="2"/>
              </w:numPr>
              <w:spacing w:before="0"/>
              <w:ind w:left="357" w:hanging="357"/>
              <w:contextualSpacing w:val="0"/>
            </w:pPr>
            <w:r w:rsidRPr="00BD1DB7">
              <w:t>Terms of Reference of TDAG-WG-DEC (</w:t>
            </w:r>
            <w:hyperlink r:id="rId14" w:history="1">
              <w:r w:rsidRPr="00BD1DB7">
                <w:rPr>
                  <w:rStyle w:val="Hyperlink"/>
                </w:rPr>
                <w:t>TDAG-24/DT/4</w:t>
              </w:r>
            </w:hyperlink>
            <w:r w:rsidRPr="00BD1DB7">
              <w:rPr>
                <w:rStyle w:val="Hyperlink"/>
              </w:rPr>
              <w:t>)</w:t>
            </w:r>
          </w:p>
          <w:p w14:paraId="0B0FD8D7" w14:textId="77777777" w:rsidR="008C2D4D" w:rsidRPr="00BD1DB7" w:rsidRDefault="008C2D4D" w:rsidP="00F91D8A">
            <w:pPr>
              <w:pStyle w:val="ListParagraph"/>
              <w:numPr>
                <w:ilvl w:val="0"/>
                <w:numId w:val="2"/>
              </w:numPr>
              <w:spacing w:before="0"/>
              <w:ind w:left="357" w:hanging="357"/>
              <w:contextualSpacing w:val="0"/>
            </w:pPr>
            <w:r w:rsidRPr="00BD1DB7">
              <w:t>Report of the TDAG-WG-DEC first meeting (</w:t>
            </w:r>
            <w:hyperlink r:id="rId15" w:history="1">
              <w:r w:rsidRPr="00BD1DB7">
                <w:rPr>
                  <w:rStyle w:val="Hyperlink"/>
                </w:rPr>
                <w:t>TDAG-WG-DEC/2</w:t>
              </w:r>
            </w:hyperlink>
            <w:r w:rsidRPr="00BD1DB7">
              <w:t>)</w:t>
            </w:r>
          </w:p>
          <w:p w14:paraId="79FE6B98" w14:textId="77777777" w:rsidR="008C2D4D" w:rsidRPr="00BD1DB7" w:rsidRDefault="008C2D4D" w:rsidP="00F91D8A">
            <w:pPr>
              <w:pStyle w:val="ListParagraph"/>
              <w:numPr>
                <w:ilvl w:val="0"/>
                <w:numId w:val="2"/>
              </w:numPr>
              <w:spacing w:before="0"/>
              <w:ind w:left="357" w:hanging="357"/>
              <w:contextualSpacing w:val="0"/>
            </w:pPr>
            <w:r w:rsidRPr="00BD1DB7">
              <w:t>Report of the TDAG-WG-DEC second meeting (</w:t>
            </w:r>
            <w:hyperlink r:id="rId16" w:history="1">
              <w:r w:rsidRPr="00BD1DB7">
                <w:rPr>
                  <w:rStyle w:val="Hyperlink"/>
                </w:rPr>
                <w:t>TDAG-WG-DEC/6</w:t>
              </w:r>
            </w:hyperlink>
            <w:r w:rsidRPr="00BD1DB7">
              <w:t>)</w:t>
            </w:r>
          </w:p>
          <w:p w14:paraId="3072AEF7" w14:textId="7F4431BC" w:rsidR="008C2D4D" w:rsidRPr="00BD1DB7" w:rsidRDefault="008C2D4D" w:rsidP="00F91D8A">
            <w:pPr>
              <w:pStyle w:val="ListParagraph"/>
              <w:numPr>
                <w:ilvl w:val="0"/>
                <w:numId w:val="2"/>
              </w:numPr>
              <w:spacing w:before="0"/>
              <w:ind w:left="357" w:hanging="357"/>
              <w:contextualSpacing w:val="0"/>
            </w:pPr>
            <w:r w:rsidRPr="00BD1DB7">
              <w:t>Report of the TDAG-WG-DEC third meeting (</w:t>
            </w:r>
            <w:hyperlink r:id="rId17" w:history="1">
              <w:r w:rsidR="004774BC" w:rsidRPr="00BD1DB7">
                <w:rPr>
                  <w:rStyle w:val="Hyperlink"/>
                  <w:szCs w:val="24"/>
                </w:rPr>
                <w:t>TDAG-WG-DEC/10</w:t>
              </w:r>
            </w:hyperlink>
            <w:r w:rsidRPr="00BD1DB7">
              <w:t>)</w:t>
            </w:r>
          </w:p>
          <w:p w14:paraId="25D61721" w14:textId="54081B71" w:rsidR="004774BC" w:rsidRDefault="004774BC" w:rsidP="00F91D8A">
            <w:pPr>
              <w:pStyle w:val="ListParagraph"/>
              <w:numPr>
                <w:ilvl w:val="0"/>
                <w:numId w:val="2"/>
              </w:numPr>
              <w:spacing w:before="0"/>
              <w:ind w:left="357" w:hanging="357"/>
              <w:contextualSpacing w:val="0"/>
            </w:pPr>
            <w:r w:rsidRPr="00BD1DB7">
              <w:t>Report of the TDAG-WG-DEC fourth meeting (</w:t>
            </w:r>
            <w:hyperlink r:id="rId18" w:history="1">
              <w:r w:rsidRPr="00BD1DB7">
                <w:rPr>
                  <w:rStyle w:val="Hyperlink"/>
                </w:rPr>
                <w:t>TDAG-WG-DEC/</w:t>
              </w:r>
              <w:r w:rsidR="00BD1DB7" w:rsidRPr="00BD1DB7">
                <w:rPr>
                  <w:rStyle w:val="Hyperlink"/>
                </w:rPr>
                <w:t>16</w:t>
              </w:r>
            </w:hyperlink>
            <w:r w:rsidRPr="00BD1DB7">
              <w:t>)</w:t>
            </w:r>
          </w:p>
          <w:p w14:paraId="364538D9" w14:textId="3DF74A4D" w:rsidR="00EC11A6" w:rsidRDefault="00EC11A6" w:rsidP="00EC11A6">
            <w:pPr>
              <w:pStyle w:val="ListParagraph"/>
              <w:numPr>
                <w:ilvl w:val="0"/>
                <w:numId w:val="2"/>
              </w:numPr>
              <w:spacing w:before="0"/>
              <w:ind w:left="357" w:hanging="357"/>
              <w:contextualSpacing w:val="0"/>
            </w:pPr>
            <w:r w:rsidRPr="00BD1DB7">
              <w:t xml:space="preserve">Report of the TDAG-WG-DEC </w:t>
            </w:r>
            <w:r>
              <w:t>fifth</w:t>
            </w:r>
            <w:r w:rsidRPr="00BD1DB7">
              <w:t xml:space="preserve"> meeting (</w:t>
            </w:r>
            <w:hyperlink r:id="rId19" w:history="1">
              <w:r w:rsidRPr="00BD1DB7">
                <w:rPr>
                  <w:rStyle w:val="Hyperlink"/>
                </w:rPr>
                <w:t>TDAG-WG-DEC/</w:t>
              </w:r>
              <w:r>
                <w:rPr>
                  <w:rStyle w:val="Hyperlink"/>
                </w:rPr>
                <w:t>23</w:t>
              </w:r>
            </w:hyperlink>
            <w:r w:rsidRPr="00BD1DB7">
              <w:t>)</w:t>
            </w:r>
          </w:p>
          <w:p w14:paraId="3AAF003D" w14:textId="77777777" w:rsidR="008C2D4D" w:rsidRPr="00BD1DB7" w:rsidRDefault="008C2D4D" w:rsidP="00F91D8A">
            <w:pPr>
              <w:pStyle w:val="ListParagraph"/>
              <w:numPr>
                <w:ilvl w:val="0"/>
                <w:numId w:val="2"/>
              </w:numPr>
              <w:spacing w:before="0"/>
              <w:ind w:left="357" w:hanging="357"/>
              <w:contextualSpacing w:val="0"/>
            </w:pPr>
            <w:r w:rsidRPr="00BD1DB7">
              <w:t xml:space="preserve">Mapping of topics in the Kigali Declaration and new and emerging topics (Document </w:t>
            </w:r>
            <w:hyperlink r:id="rId20" w:history="1">
              <w:r w:rsidRPr="00BD1DB7">
                <w:rPr>
                  <w:rStyle w:val="Hyperlink"/>
                  <w:szCs w:val="24"/>
                </w:rPr>
                <w:t>TDAG-WG-DEC/INF/</w:t>
              </w:r>
            </w:hyperlink>
            <w:r w:rsidRPr="00BD1DB7">
              <w:rPr>
                <w:rStyle w:val="Hyperlink"/>
                <w:szCs w:val="24"/>
              </w:rPr>
              <w:t>1</w:t>
            </w:r>
            <w:r w:rsidRPr="00BD1DB7">
              <w:t>, 27 November 2024)</w:t>
            </w:r>
          </w:p>
          <w:p w14:paraId="6D814DB5" w14:textId="77777777" w:rsidR="002443AC" w:rsidRDefault="008C2D4D" w:rsidP="002443AC">
            <w:pPr>
              <w:pStyle w:val="ListParagraph"/>
              <w:numPr>
                <w:ilvl w:val="0"/>
                <w:numId w:val="2"/>
              </w:numPr>
              <w:spacing w:before="0"/>
              <w:ind w:left="357" w:hanging="357"/>
              <w:contextualSpacing w:val="0"/>
            </w:pPr>
            <w:r w:rsidRPr="00BD1DB7">
              <w:t>Revised annotated outline of the Baku Declaration 2025 (</w:t>
            </w:r>
            <w:hyperlink r:id="rId21" w:history="1">
              <w:r w:rsidRPr="00BD1DB7">
                <w:rPr>
                  <w:rStyle w:val="Hyperlink"/>
                </w:rPr>
                <w:t>TDAG-WG-DEC/7</w:t>
              </w:r>
            </w:hyperlink>
            <w:r w:rsidRPr="00BD1DB7">
              <w:t>, 13 December 2024)</w:t>
            </w:r>
          </w:p>
          <w:p w14:paraId="2857652C" w14:textId="146478F7" w:rsidR="002443AC" w:rsidRDefault="002443AC" w:rsidP="002443AC">
            <w:pPr>
              <w:pStyle w:val="ListParagraph"/>
              <w:numPr>
                <w:ilvl w:val="0"/>
                <w:numId w:val="2"/>
              </w:numPr>
              <w:spacing w:before="0"/>
              <w:ind w:left="357" w:hanging="357"/>
              <w:contextualSpacing w:val="0"/>
            </w:pPr>
            <w:r>
              <w:t>Chair’s original draft proposal (</w:t>
            </w:r>
            <w:hyperlink r:id="rId22" w:history="1">
              <w:r w:rsidRPr="002443AC">
                <w:rPr>
                  <w:rStyle w:val="Hyperlink"/>
                  <w:rFonts w:cstheme="minorHAnsi"/>
                  <w:szCs w:val="24"/>
                  <w:lang w:val="en-US"/>
                </w:rPr>
                <w:t>Document TDAG-WG-DEC/9</w:t>
              </w:r>
            </w:hyperlink>
            <w:r>
              <w:t>, 19 February 2025)</w:t>
            </w:r>
          </w:p>
          <w:p w14:paraId="2ADF1AE5" w14:textId="33024A6B" w:rsidR="00017CA3" w:rsidRPr="00BD1DB7" w:rsidRDefault="00017CA3" w:rsidP="00F91D8A">
            <w:pPr>
              <w:pStyle w:val="ListParagraph"/>
              <w:numPr>
                <w:ilvl w:val="0"/>
                <w:numId w:val="2"/>
              </w:numPr>
              <w:spacing w:before="0"/>
              <w:ind w:left="357" w:hanging="357"/>
              <w:contextualSpacing w:val="0"/>
            </w:pPr>
            <w:r w:rsidRPr="00BD1DB7">
              <w:t>Chair’s revised and annotated draft proposal for the Baku Declaration (</w:t>
            </w:r>
            <w:hyperlink r:id="rId23" w:history="1">
              <w:r w:rsidRPr="00BD1DB7">
                <w:rPr>
                  <w:rStyle w:val="Hyperlink"/>
                  <w:szCs w:val="24"/>
                </w:rPr>
                <w:t>TDAG-WG-DEC/12</w:t>
              </w:r>
            </w:hyperlink>
            <w:r w:rsidRPr="00BD1DB7">
              <w:rPr>
                <w:szCs w:val="24"/>
              </w:rPr>
              <w:t>, 27 March 2025</w:t>
            </w:r>
            <w:r w:rsidRPr="00BD1DB7">
              <w:t>)</w:t>
            </w:r>
          </w:p>
          <w:p w14:paraId="57014BBE" w14:textId="79EDB44C" w:rsidR="00017CA3" w:rsidRDefault="00017CA3" w:rsidP="00F91D8A">
            <w:pPr>
              <w:pStyle w:val="ListParagraph"/>
              <w:numPr>
                <w:ilvl w:val="0"/>
                <w:numId w:val="2"/>
              </w:numPr>
              <w:spacing w:before="0"/>
              <w:ind w:left="357" w:hanging="357"/>
              <w:contextualSpacing w:val="0"/>
            </w:pPr>
            <w:r w:rsidRPr="00BD1DB7">
              <w:t>Chair’s second revised draft proposal for the Baku Declaration (</w:t>
            </w:r>
            <w:hyperlink r:id="rId24" w:history="1">
              <w:r w:rsidRPr="00BD1DB7">
                <w:rPr>
                  <w:rStyle w:val="Hyperlink"/>
                  <w:szCs w:val="24"/>
                </w:rPr>
                <w:t>TDAG-WG-DEC/</w:t>
              </w:r>
              <w:r w:rsidR="00B07DE0" w:rsidRPr="00BD1DB7">
                <w:rPr>
                  <w:rStyle w:val="Hyperlink"/>
                  <w:szCs w:val="24"/>
                </w:rPr>
                <w:t>14</w:t>
              </w:r>
            </w:hyperlink>
            <w:r w:rsidRPr="00BD1DB7">
              <w:rPr>
                <w:szCs w:val="24"/>
              </w:rPr>
              <w:t xml:space="preserve">, </w:t>
            </w:r>
            <w:r w:rsidR="00B07DE0" w:rsidRPr="00BD1DB7">
              <w:rPr>
                <w:szCs w:val="24"/>
              </w:rPr>
              <w:t>22</w:t>
            </w:r>
            <w:r w:rsidR="004774BC" w:rsidRPr="00BD1DB7">
              <w:rPr>
                <w:szCs w:val="24"/>
              </w:rPr>
              <w:t xml:space="preserve"> April</w:t>
            </w:r>
            <w:r w:rsidRPr="00BD1DB7">
              <w:rPr>
                <w:szCs w:val="24"/>
              </w:rPr>
              <w:t xml:space="preserve"> 2025</w:t>
            </w:r>
            <w:r w:rsidRPr="00BD1DB7">
              <w:t>)</w:t>
            </w:r>
          </w:p>
          <w:p w14:paraId="45B24BDB" w14:textId="55FE9BBD" w:rsidR="009A607A" w:rsidRDefault="009A607A" w:rsidP="009A607A">
            <w:pPr>
              <w:pStyle w:val="ListParagraph"/>
              <w:numPr>
                <w:ilvl w:val="0"/>
                <w:numId w:val="2"/>
              </w:numPr>
              <w:spacing w:before="0"/>
              <w:ind w:left="357" w:hanging="357"/>
              <w:contextualSpacing w:val="0"/>
            </w:pPr>
            <w:r w:rsidRPr="00BD1DB7">
              <w:t xml:space="preserve">Chair’s </w:t>
            </w:r>
            <w:r>
              <w:t>final</w:t>
            </w:r>
            <w:r w:rsidRPr="00BD1DB7">
              <w:t xml:space="preserve"> revised draft proposal for the Baku Declaration (</w:t>
            </w:r>
            <w:hyperlink r:id="rId25" w:history="1">
              <w:r w:rsidRPr="00BD1DB7">
                <w:rPr>
                  <w:rStyle w:val="Hyperlink"/>
                  <w:szCs w:val="24"/>
                </w:rPr>
                <w:t>TDAG-WG-DEC/</w:t>
              </w:r>
              <w:r>
                <w:rPr>
                  <w:rStyle w:val="Hyperlink"/>
                  <w:szCs w:val="24"/>
                </w:rPr>
                <w:t>DT/</w:t>
              </w:r>
              <w:r w:rsidR="00B53C29">
                <w:rPr>
                  <w:rStyle w:val="Hyperlink"/>
                  <w:szCs w:val="24"/>
                </w:rPr>
                <w:t>1</w:t>
              </w:r>
            </w:hyperlink>
            <w:r w:rsidRPr="00BD1DB7">
              <w:rPr>
                <w:szCs w:val="24"/>
              </w:rPr>
              <w:t xml:space="preserve">, </w:t>
            </w:r>
            <w:r w:rsidR="00B53C29">
              <w:rPr>
                <w:szCs w:val="24"/>
              </w:rPr>
              <w:t>15</w:t>
            </w:r>
            <w:r w:rsidRPr="00BD1DB7">
              <w:rPr>
                <w:szCs w:val="24"/>
              </w:rPr>
              <w:t xml:space="preserve"> </w:t>
            </w:r>
            <w:r w:rsidR="00B53C29">
              <w:rPr>
                <w:szCs w:val="24"/>
              </w:rPr>
              <w:t>May</w:t>
            </w:r>
            <w:r w:rsidRPr="00BD1DB7">
              <w:rPr>
                <w:szCs w:val="24"/>
              </w:rPr>
              <w:t xml:space="preserve"> 2025</w:t>
            </w:r>
            <w:r w:rsidRPr="00BD1DB7">
              <w:t>)</w:t>
            </w:r>
          </w:p>
          <w:p w14:paraId="3A094EDC" w14:textId="1AAB5554" w:rsidR="004A3BAB" w:rsidRPr="00BD1DB7" w:rsidRDefault="008C2D4D" w:rsidP="00F91D8A">
            <w:pPr>
              <w:pStyle w:val="ListParagraph"/>
              <w:numPr>
                <w:ilvl w:val="0"/>
                <w:numId w:val="2"/>
              </w:numPr>
              <w:spacing w:before="0"/>
              <w:ind w:left="357" w:hanging="357"/>
              <w:contextualSpacing w:val="0"/>
            </w:pPr>
            <w:hyperlink r:id="rId26" w:history="1">
              <w:r w:rsidRPr="00BD1DB7">
                <w:rPr>
                  <w:rStyle w:val="Hyperlink"/>
                </w:rPr>
                <w:t>Website of TDAG-WG-DEC</w:t>
              </w:r>
            </w:hyperlink>
          </w:p>
        </w:tc>
      </w:tr>
      <w:bookmarkEnd w:id="6"/>
      <w:bookmarkEnd w:id="7"/>
    </w:tbl>
    <w:p w14:paraId="5D1888D6" w14:textId="77777777" w:rsidR="00BF3ED5" w:rsidRDefault="00BF3ED5"/>
    <w:p w14:paraId="07D621A9" w14:textId="0C70955B" w:rsidR="00045F6B" w:rsidRPr="00C40E2E" w:rsidRDefault="00045F6B" w:rsidP="00C5334C">
      <w:pPr>
        <w:pStyle w:val="ListParagraph"/>
        <w:keepNext/>
        <w:numPr>
          <w:ilvl w:val="0"/>
          <w:numId w:val="3"/>
        </w:numPr>
        <w:spacing w:after="120"/>
        <w:ind w:left="357" w:hanging="357"/>
        <w:contextualSpacing w:val="0"/>
        <w:rPr>
          <w:b/>
          <w:bCs/>
        </w:rPr>
      </w:pPr>
      <w:r w:rsidRPr="00C40E2E">
        <w:rPr>
          <w:b/>
          <w:bCs/>
        </w:rPr>
        <w:lastRenderedPageBreak/>
        <w:t>Introduction</w:t>
      </w:r>
    </w:p>
    <w:p w14:paraId="1D51C36B" w14:textId="2B042F15" w:rsidR="006F6226" w:rsidRPr="005930B9" w:rsidRDefault="00F66436" w:rsidP="00C07369">
      <w:pPr>
        <w:shd w:val="clear" w:color="auto" w:fill="FFFFFF"/>
        <w:spacing w:after="120"/>
        <w:jc w:val="both"/>
        <w:rPr>
          <w:rFonts w:cs="Calibri"/>
          <w:bCs/>
          <w:szCs w:val="24"/>
        </w:rPr>
      </w:pPr>
      <w:r w:rsidRPr="00940DB7">
        <w:rPr>
          <w:szCs w:val="24"/>
        </w:rPr>
        <w:t>TDAG Working Group on the Declaration (TDAG-WG-DEC)</w:t>
      </w:r>
      <w:r>
        <w:rPr>
          <w:szCs w:val="24"/>
        </w:rPr>
        <w:t xml:space="preserve"> </w:t>
      </w:r>
      <w:r w:rsidR="006F6226" w:rsidRPr="005930B9">
        <w:rPr>
          <w:rFonts w:cs="Calibri"/>
          <w:bCs/>
          <w:szCs w:val="24"/>
        </w:rPr>
        <w:t xml:space="preserve">was set up </w:t>
      </w:r>
      <w:r w:rsidR="006F6226">
        <w:rPr>
          <w:rFonts w:cs="Calibri"/>
          <w:bCs/>
          <w:szCs w:val="24"/>
        </w:rPr>
        <w:t xml:space="preserve">during </w:t>
      </w:r>
      <w:hyperlink r:id="rId27" w:history="1">
        <w:r w:rsidR="006F6226" w:rsidRPr="00AD718B">
          <w:rPr>
            <w:rStyle w:val="Hyperlink"/>
            <w:rFonts w:cs="Calibri"/>
            <w:bCs/>
            <w:szCs w:val="24"/>
          </w:rPr>
          <w:t>TDAG-24</w:t>
        </w:r>
      </w:hyperlink>
      <w:r w:rsidR="006F6226">
        <w:rPr>
          <w:rFonts w:cs="Calibri"/>
          <w:bCs/>
          <w:szCs w:val="24"/>
        </w:rPr>
        <w:t xml:space="preserve"> (</w:t>
      </w:r>
      <w:r w:rsidR="006F6226" w:rsidRPr="00AD718B">
        <w:rPr>
          <w:rFonts w:cs="Calibri"/>
          <w:bCs/>
          <w:szCs w:val="24"/>
        </w:rPr>
        <w:t>20</w:t>
      </w:r>
      <w:r w:rsidR="006F6226">
        <w:rPr>
          <w:rFonts w:cs="Calibri"/>
          <w:bCs/>
          <w:szCs w:val="24"/>
        </w:rPr>
        <w:t>-</w:t>
      </w:r>
      <w:r w:rsidR="006F6226" w:rsidRPr="00AD718B">
        <w:rPr>
          <w:rFonts w:cs="Calibri"/>
          <w:bCs/>
          <w:szCs w:val="24"/>
        </w:rPr>
        <w:t>23 May 2024</w:t>
      </w:r>
      <w:r w:rsidR="006F6226">
        <w:rPr>
          <w:rFonts w:cs="Calibri"/>
          <w:bCs/>
          <w:szCs w:val="24"/>
        </w:rPr>
        <w:t>)</w:t>
      </w:r>
      <w:r w:rsidR="006F6226" w:rsidRPr="005930B9">
        <w:rPr>
          <w:rFonts w:cs="Calibri"/>
          <w:bCs/>
          <w:szCs w:val="24"/>
        </w:rPr>
        <w:t xml:space="preserve">. </w:t>
      </w:r>
      <w:r w:rsidR="006F6226" w:rsidRPr="00CA110F">
        <w:rPr>
          <w:rFonts w:cs="Calibri"/>
          <w:szCs w:val="24"/>
        </w:rPr>
        <w:t xml:space="preserve">Mr Abdulkarim Oloyede </w:t>
      </w:r>
      <w:r w:rsidR="00492E2E">
        <w:rPr>
          <w:rFonts w:cs="Calibri"/>
          <w:szCs w:val="24"/>
        </w:rPr>
        <w:t xml:space="preserve">from </w:t>
      </w:r>
      <w:r w:rsidR="006F6226" w:rsidRPr="00CA110F">
        <w:rPr>
          <w:rFonts w:cs="Calibri"/>
          <w:szCs w:val="24"/>
        </w:rPr>
        <w:t>Nigeria</w:t>
      </w:r>
      <w:r w:rsidR="006F6226" w:rsidRPr="00F92FA5">
        <w:rPr>
          <w:rFonts w:cs="Calibri"/>
          <w:b/>
          <w:bCs/>
          <w:szCs w:val="24"/>
        </w:rPr>
        <w:t xml:space="preserve"> </w:t>
      </w:r>
      <w:r w:rsidR="00AD7E74" w:rsidRPr="00AD7E74">
        <w:rPr>
          <w:rFonts w:cs="Calibri"/>
          <w:szCs w:val="24"/>
        </w:rPr>
        <w:t>was appointed</w:t>
      </w:r>
      <w:r w:rsidR="00AD7E74">
        <w:rPr>
          <w:rFonts w:cs="Calibri"/>
          <w:b/>
          <w:bCs/>
          <w:szCs w:val="24"/>
        </w:rPr>
        <w:t xml:space="preserve"> </w:t>
      </w:r>
      <w:r w:rsidR="006F6226" w:rsidRPr="00F92FA5">
        <w:rPr>
          <w:rFonts w:cs="Calibri"/>
          <w:szCs w:val="24"/>
        </w:rPr>
        <w:t>to chair this group</w:t>
      </w:r>
      <w:r w:rsidR="005229A4">
        <w:rPr>
          <w:rFonts w:cs="Calibri"/>
          <w:szCs w:val="24"/>
        </w:rPr>
        <w:t>,</w:t>
      </w:r>
      <w:r w:rsidR="005229A4" w:rsidRPr="005229A4">
        <w:t xml:space="preserve"> </w:t>
      </w:r>
      <w:r w:rsidR="005229A4">
        <w:t>with Mr Ahmed Abd El-Aziz from Egypt and Ms Ke Wang from China serving as Vice-Chairs</w:t>
      </w:r>
      <w:r w:rsidR="006F6226" w:rsidRPr="005930B9">
        <w:rPr>
          <w:rFonts w:cs="Calibri"/>
          <w:szCs w:val="24"/>
        </w:rPr>
        <w:t>.</w:t>
      </w:r>
      <w:r w:rsidR="006F6226" w:rsidRPr="005930B9">
        <w:rPr>
          <w:rFonts w:cs="Calibri"/>
          <w:bCs/>
          <w:szCs w:val="24"/>
        </w:rPr>
        <w:t xml:space="preserve"> </w:t>
      </w:r>
    </w:p>
    <w:p w14:paraId="2D4A8842" w14:textId="49C9A86C" w:rsidR="008737B5" w:rsidRDefault="00045F6B" w:rsidP="00C07369">
      <w:pPr>
        <w:spacing w:after="120"/>
        <w:jc w:val="both"/>
      </w:pPr>
      <w:r w:rsidRPr="00045F6B">
        <w:t xml:space="preserve">TDAG-WG-DEC was entrusted </w:t>
      </w:r>
      <w:r w:rsidR="00E71192">
        <w:t xml:space="preserve">with </w:t>
      </w:r>
      <w:r w:rsidRPr="00045F6B">
        <w:t>the task ‘to propose elements and make recommendations to ITU membership for the future draft Declaration’ of the World Telecommunication Development Conference 2025 (WTDC-25)</w:t>
      </w:r>
      <w:r w:rsidR="002F48C5">
        <w:t xml:space="preserve"> </w:t>
      </w:r>
      <w:r w:rsidRPr="00045F6B">
        <w:t>(</w:t>
      </w:r>
      <w:r w:rsidR="00DC7340">
        <w:t>Document</w:t>
      </w:r>
      <w:r w:rsidR="002F48C5">
        <w:rPr>
          <w:b/>
          <w:bCs/>
        </w:rPr>
        <w:t xml:space="preserve"> </w:t>
      </w:r>
      <w:hyperlink r:id="rId28" w:history="1">
        <w:r w:rsidR="002F48C5" w:rsidRPr="005234B7">
          <w:rPr>
            <w:rStyle w:val="Hyperlink"/>
          </w:rPr>
          <w:t>TDAG-24/DT/4</w:t>
        </w:r>
      </w:hyperlink>
      <w:r w:rsidRPr="00045F6B">
        <w:t>).</w:t>
      </w:r>
      <w:r w:rsidR="002F48C5" w:rsidRPr="002F48C5">
        <w:t xml:space="preserve"> </w:t>
      </w:r>
      <w:r w:rsidR="00DC7340" w:rsidRPr="00940DB7">
        <w:rPr>
          <w:szCs w:val="24"/>
        </w:rPr>
        <w:t>TDAG-WG-DEC</w:t>
      </w:r>
      <w:r w:rsidR="00DC7340" w:rsidRPr="005930B9">
        <w:rPr>
          <w:rFonts w:cs="Calibri"/>
          <w:bCs/>
          <w:szCs w:val="24"/>
        </w:rPr>
        <w:t xml:space="preserve"> </w:t>
      </w:r>
      <w:r w:rsidR="00DC7340" w:rsidRPr="005930B9">
        <w:rPr>
          <w:rFonts w:cs="Calibri"/>
          <w:bdr w:val="none" w:sz="0" w:space="0" w:color="auto" w:frame="1"/>
          <w:shd w:val="clear" w:color="auto" w:fill="FFFFFF"/>
        </w:rPr>
        <w:t>was</w:t>
      </w:r>
      <w:r w:rsidR="00DC7340" w:rsidRPr="005930B9">
        <w:rPr>
          <w:rFonts w:cs="Calibri"/>
          <w:szCs w:val="24"/>
        </w:rPr>
        <w:t xml:space="preserve"> open to all ITU Member States and Sector Members of the ITU Telecommunication Development Sector (ITU-D). </w:t>
      </w:r>
      <w:r w:rsidR="008737B5">
        <w:t xml:space="preserve">The </w:t>
      </w:r>
      <w:r w:rsidR="008737B5" w:rsidRPr="006D6F29">
        <w:t xml:space="preserve">output of </w:t>
      </w:r>
      <w:r w:rsidR="00AB313C">
        <w:t>TDAG-WG-DEC</w:t>
      </w:r>
      <w:r w:rsidR="008737B5" w:rsidRPr="006D6F29">
        <w:t xml:space="preserve"> </w:t>
      </w:r>
      <w:r w:rsidR="00E178EC">
        <w:t xml:space="preserve">will </w:t>
      </w:r>
      <w:r w:rsidR="008737B5">
        <w:t xml:space="preserve">serve as </w:t>
      </w:r>
      <w:r w:rsidR="008737B5" w:rsidRPr="006D6F29">
        <w:t xml:space="preserve">input for members to consider as </w:t>
      </w:r>
      <w:r w:rsidR="008737B5">
        <w:t xml:space="preserve">they </w:t>
      </w:r>
      <w:r w:rsidR="008737B5" w:rsidRPr="006D6F29">
        <w:t>work on</w:t>
      </w:r>
      <w:r w:rsidR="008737B5">
        <w:t xml:space="preserve"> the WTDC-25 Declaration in the </w:t>
      </w:r>
      <w:r w:rsidR="00A53F46">
        <w:t>lead-up</w:t>
      </w:r>
      <w:r w:rsidR="008737B5">
        <w:t xml:space="preserve"> to and at </w:t>
      </w:r>
      <w:r w:rsidR="008737B5" w:rsidRPr="006D6F29">
        <w:t>the conference.</w:t>
      </w:r>
      <w:r w:rsidR="008737B5">
        <w:t xml:space="preserve"> </w:t>
      </w:r>
    </w:p>
    <w:p w14:paraId="1E9DA5A5" w14:textId="0C997A50" w:rsidR="00E97893" w:rsidRPr="0085086E" w:rsidRDefault="00E97893" w:rsidP="00D61BDB">
      <w:pPr>
        <w:spacing w:after="120"/>
        <w:jc w:val="both"/>
        <w:rPr>
          <w:rFonts w:cs="Calibri"/>
          <w:bCs/>
          <w:szCs w:val="24"/>
        </w:rPr>
      </w:pPr>
      <w:r w:rsidRPr="00940DB7">
        <w:rPr>
          <w:szCs w:val="24"/>
        </w:rPr>
        <w:t>TDAG-WG-DEC</w:t>
      </w:r>
      <w:r w:rsidRPr="005930B9">
        <w:rPr>
          <w:rFonts w:cs="Calibri"/>
          <w:bCs/>
          <w:szCs w:val="24"/>
        </w:rPr>
        <w:t xml:space="preserve"> held </w:t>
      </w:r>
      <w:r w:rsidR="00017CA3">
        <w:rPr>
          <w:rFonts w:cs="Calibri"/>
          <w:bCs/>
          <w:szCs w:val="24"/>
        </w:rPr>
        <w:t xml:space="preserve">four </w:t>
      </w:r>
      <w:r w:rsidRPr="005930B9">
        <w:rPr>
          <w:rFonts w:cs="Calibri"/>
          <w:bCs/>
          <w:szCs w:val="24"/>
        </w:rPr>
        <w:t xml:space="preserve">meetings over </w:t>
      </w:r>
      <w:r>
        <w:rPr>
          <w:rFonts w:cs="Calibri"/>
          <w:bCs/>
          <w:szCs w:val="24"/>
        </w:rPr>
        <w:t xml:space="preserve">the period December 2024 – </w:t>
      </w:r>
      <w:r w:rsidR="00017CA3">
        <w:rPr>
          <w:rFonts w:cs="Calibri"/>
          <w:bCs/>
          <w:szCs w:val="24"/>
        </w:rPr>
        <w:t xml:space="preserve">April </w:t>
      </w:r>
      <w:r>
        <w:rPr>
          <w:rFonts w:cs="Calibri"/>
          <w:bCs/>
          <w:szCs w:val="24"/>
        </w:rPr>
        <w:t xml:space="preserve">2025. </w:t>
      </w:r>
      <w:r w:rsidRPr="005930B9">
        <w:rPr>
          <w:rFonts w:cs="Calibri"/>
          <w:bCs/>
          <w:szCs w:val="24"/>
        </w:rPr>
        <w:t xml:space="preserve">The reports of the individual meetings are </w:t>
      </w:r>
      <w:r w:rsidR="000E505D">
        <w:rPr>
          <w:rFonts w:cs="Calibri"/>
          <w:bCs/>
          <w:szCs w:val="24"/>
        </w:rPr>
        <w:t xml:space="preserve">referenced </w:t>
      </w:r>
      <w:r w:rsidR="006C5F8B">
        <w:rPr>
          <w:rFonts w:cs="Calibri"/>
          <w:bCs/>
          <w:szCs w:val="24"/>
        </w:rPr>
        <w:t xml:space="preserve">in the Summary above and </w:t>
      </w:r>
      <w:r w:rsidRPr="005930B9">
        <w:rPr>
          <w:rFonts w:cs="Calibri"/>
          <w:bCs/>
          <w:szCs w:val="24"/>
        </w:rPr>
        <w:t>availabl</w:t>
      </w:r>
      <w:r>
        <w:rPr>
          <w:rFonts w:cs="Calibri"/>
          <w:bCs/>
          <w:szCs w:val="24"/>
        </w:rPr>
        <w:t xml:space="preserve">e on </w:t>
      </w:r>
      <w:hyperlink r:id="rId29" w:history="1">
        <w:r w:rsidRPr="006F6226">
          <w:rPr>
            <w:rStyle w:val="Hyperlink"/>
            <w:rFonts w:cs="Calibri"/>
            <w:bCs/>
            <w:szCs w:val="24"/>
          </w:rPr>
          <w:t>the group’s website</w:t>
        </w:r>
      </w:hyperlink>
      <w:r>
        <w:rPr>
          <w:rFonts w:cs="Calibri"/>
          <w:bCs/>
          <w:szCs w:val="24"/>
        </w:rPr>
        <w:t xml:space="preserve">. </w:t>
      </w:r>
    </w:p>
    <w:p w14:paraId="68CCFA76" w14:textId="5583A15B" w:rsidR="008D4388" w:rsidRPr="008737B5" w:rsidRDefault="008737B5" w:rsidP="00D61BDB">
      <w:pPr>
        <w:pStyle w:val="ListParagraph"/>
        <w:keepNext/>
        <w:numPr>
          <w:ilvl w:val="0"/>
          <w:numId w:val="3"/>
        </w:numPr>
        <w:spacing w:after="120"/>
        <w:ind w:left="357" w:hanging="357"/>
        <w:contextualSpacing w:val="0"/>
        <w:jc w:val="both"/>
        <w:rPr>
          <w:b/>
          <w:bCs/>
        </w:rPr>
      </w:pPr>
      <w:r w:rsidRPr="008737B5">
        <w:rPr>
          <w:b/>
          <w:bCs/>
        </w:rPr>
        <w:t xml:space="preserve">Approach and </w:t>
      </w:r>
      <w:r w:rsidR="004B69E2">
        <w:rPr>
          <w:b/>
          <w:bCs/>
        </w:rPr>
        <w:t>process for the development of</w:t>
      </w:r>
      <w:r w:rsidRPr="008737B5">
        <w:rPr>
          <w:b/>
          <w:bCs/>
        </w:rPr>
        <w:t xml:space="preserve"> the </w:t>
      </w:r>
      <w:r w:rsidR="004B69E2">
        <w:rPr>
          <w:b/>
          <w:bCs/>
        </w:rPr>
        <w:t xml:space="preserve">Chair’s </w:t>
      </w:r>
      <w:r w:rsidR="00475500">
        <w:rPr>
          <w:b/>
          <w:bCs/>
        </w:rPr>
        <w:t xml:space="preserve">proposed draft of the </w:t>
      </w:r>
      <w:r w:rsidRPr="008737B5">
        <w:rPr>
          <w:b/>
          <w:bCs/>
        </w:rPr>
        <w:t>WTDC-25 Declaration</w:t>
      </w:r>
    </w:p>
    <w:p w14:paraId="2C414C4E" w14:textId="44D6E4F6" w:rsidR="0070371D" w:rsidRDefault="008A5AD9" w:rsidP="00D61BDB">
      <w:pPr>
        <w:spacing w:after="120"/>
        <w:jc w:val="both"/>
      </w:pPr>
      <w:r>
        <w:t>Throughout its work</w:t>
      </w:r>
      <w:r w:rsidR="006433B6">
        <w:t>,</w:t>
      </w:r>
      <w:r w:rsidR="006433B6" w:rsidRPr="006433B6">
        <w:t xml:space="preserve"> TDAG-WG-DEC ensured </w:t>
      </w:r>
      <w:r w:rsidR="006433B6">
        <w:t xml:space="preserve">close </w:t>
      </w:r>
      <w:r w:rsidR="006433B6" w:rsidRPr="006433B6">
        <w:t>coordination on key topics for the Declaration, particularly with the TDAG working group on ITU-D Priorities (TDAG-WG-ITUDP).</w:t>
      </w:r>
    </w:p>
    <w:p w14:paraId="3A5CB53F" w14:textId="618A91D5" w:rsidR="00630018" w:rsidRDefault="00630018" w:rsidP="00D61BDB">
      <w:pPr>
        <w:spacing w:after="120"/>
        <w:jc w:val="both"/>
      </w:pPr>
      <w:r>
        <w:t xml:space="preserve">During its first meeting, the </w:t>
      </w:r>
      <w:r w:rsidR="001E596B">
        <w:t>g</w:t>
      </w:r>
      <w:r>
        <w:t>roup</w:t>
      </w:r>
      <w:r w:rsidRPr="005A1355">
        <w:rPr>
          <w:rFonts w:cstheme="minorHAnsi"/>
          <w:szCs w:val="24"/>
        </w:rPr>
        <w:t xml:space="preserve"> agreed to retain a structure </w:t>
      </w:r>
      <w:proofErr w:type="gramStart"/>
      <w:r w:rsidR="00E178EC">
        <w:rPr>
          <w:rFonts w:cstheme="minorHAnsi"/>
          <w:szCs w:val="24"/>
        </w:rPr>
        <w:t>similar to</w:t>
      </w:r>
      <w:proofErr w:type="gramEnd"/>
      <w:r w:rsidR="00E178EC">
        <w:rPr>
          <w:rFonts w:cstheme="minorHAnsi"/>
          <w:szCs w:val="24"/>
        </w:rPr>
        <w:t xml:space="preserve"> </w:t>
      </w:r>
      <w:r w:rsidRPr="005A1355">
        <w:rPr>
          <w:rFonts w:cstheme="minorHAnsi"/>
          <w:szCs w:val="24"/>
        </w:rPr>
        <w:t xml:space="preserve">the Kigali Declaration </w:t>
      </w:r>
      <w:r w:rsidR="00E178EC">
        <w:t>and be</w:t>
      </w:r>
      <w:r>
        <w:t xml:space="preserve"> concise, s</w:t>
      </w:r>
      <w:r w:rsidR="00E178EC">
        <w:t>imple</w:t>
      </w:r>
      <w:r w:rsidR="00B005DE">
        <w:t>,</w:t>
      </w:r>
      <w:r w:rsidR="00E178EC">
        <w:t xml:space="preserve"> with </w:t>
      </w:r>
      <w:r>
        <w:t xml:space="preserve">clear and actionable language, </w:t>
      </w:r>
      <w:r w:rsidR="00B005DE">
        <w:t xml:space="preserve">and </w:t>
      </w:r>
      <w:r>
        <w:t>speaking to both the challenges of global digital development and potential solutions.</w:t>
      </w:r>
    </w:p>
    <w:p w14:paraId="68C39D3B" w14:textId="2F58A749" w:rsidR="00630018" w:rsidRPr="00741526" w:rsidRDefault="00630018" w:rsidP="00D61BDB">
      <w:pPr>
        <w:spacing w:after="120"/>
        <w:jc w:val="both"/>
        <w:rPr>
          <w:rFonts w:cstheme="minorHAnsi"/>
          <w:szCs w:val="24"/>
          <w:lang w:val="en-US"/>
        </w:rPr>
      </w:pPr>
      <w:r w:rsidRPr="00741526">
        <w:rPr>
          <w:rFonts w:cstheme="minorHAnsi"/>
          <w:szCs w:val="24"/>
          <w:lang w:val="en-US"/>
        </w:rPr>
        <w:t>Based on discussion</w:t>
      </w:r>
      <w:r>
        <w:rPr>
          <w:rFonts w:cstheme="minorHAnsi"/>
          <w:szCs w:val="24"/>
          <w:lang w:val="en-US"/>
        </w:rPr>
        <w:t>s</w:t>
      </w:r>
      <w:r w:rsidRPr="00741526">
        <w:rPr>
          <w:rFonts w:cstheme="minorHAnsi"/>
          <w:szCs w:val="24"/>
          <w:lang w:val="en-US"/>
        </w:rPr>
        <w:t xml:space="preserve"> during the first meeting of TDAG-WG-DEC and informal consultations, the Chair </w:t>
      </w:r>
      <w:r>
        <w:rPr>
          <w:rFonts w:cstheme="minorHAnsi"/>
          <w:szCs w:val="24"/>
          <w:lang w:val="en-US"/>
        </w:rPr>
        <w:t xml:space="preserve">made a </w:t>
      </w:r>
      <w:r w:rsidRPr="00741526">
        <w:rPr>
          <w:rFonts w:cstheme="minorHAnsi"/>
          <w:szCs w:val="24"/>
          <w:lang w:val="en-US"/>
        </w:rPr>
        <w:t>propos</w:t>
      </w:r>
      <w:r>
        <w:rPr>
          <w:rFonts w:cstheme="minorHAnsi"/>
          <w:szCs w:val="24"/>
          <w:lang w:val="en-US"/>
        </w:rPr>
        <w:t>al to the second meeting for the</w:t>
      </w:r>
      <w:r w:rsidRPr="00741526">
        <w:rPr>
          <w:rFonts w:cstheme="minorHAnsi"/>
          <w:szCs w:val="24"/>
          <w:lang w:val="en-US"/>
        </w:rPr>
        <w:t xml:space="preserve"> </w:t>
      </w:r>
      <w:r w:rsidR="001C0047">
        <w:rPr>
          <w:rFonts w:cstheme="minorHAnsi"/>
          <w:szCs w:val="24"/>
          <w:lang w:val="en-US"/>
        </w:rPr>
        <w:t>title</w:t>
      </w:r>
      <w:r w:rsidRPr="00741526">
        <w:rPr>
          <w:rFonts w:cstheme="minorHAnsi"/>
          <w:szCs w:val="24"/>
          <w:lang w:val="en-US"/>
        </w:rPr>
        <w:t xml:space="preserve"> </w:t>
      </w:r>
      <w:r>
        <w:rPr>
          <w:rFonts w:cstheme="minorHAnsi"/>
          <w:szCs w:val="24"/>
          <w:lang w:val="en-US"/>
        </w:rPr>
        <w:t>of</w:t>
      </w:r>
      <w:r w:rsidRPr="00741526">
        <w:rPr>
          <w:rFonts w:cstheme="minorHAnsi"/>
          <w:szCs w:val="24"/>
          <w:lang w:val="en-US"/>
        </w:rPr>
        <w:t xml:space="preserve"> the Declaration</w:t>
      </w:r>
      <w:r>
        <w:rPr>
          <w:rFonts w:cstheme="minorHAnsi"/>
          <w:szCs w:val="24"/>
          <w:lang w:val="en-US"/>
        </w:rPr>
        <w:t xml:space="preserve">, ‘Universal and meaningful connectivity for an equitable digital future’, as outlined in Document </w:t>
      </w:r>
      <w:hyperlink r:id="rId30" w:history="1">
        <w:r w:rsidRPr="002960D9">
          <w:rPr>
            <w:rStyle w:val="Hyperlink"/>
            <w:szCs w:val="24"/>
          </w:rPr>
          <w:t>TDAG-WG-DEC/4</w:t>
        </w:r>
        <w:r w:rsidRPr="002960D9">
          <w:rPr>
            <w:rStyle w:val="Hyperlink"/>
          </w:rPr>
          <w:t>(Rev.1)</w:t>
        </w:r>
      </w:hyperlink>
      <w:r>
        <w:rPr>
          <w:rFonts w:cstheme="minorHAnsi"/>
          <w:szCs w:val="24"/>
          <w:lang w:val="en-US"/>
        </w:rPr>
        <w:t>. Following discussion</w:t>
      </w:r>
      <w:r w:rsidR="00770C91">
        <w:rPr>
          <w:rFonts w:cstheme="minorHAnsi"/>
          <w:szCs w:val="24"/>
          <w:lang w:val="en-US"/>
        </w:rPr>
        <w:t>s</w:t>
      </w:r>
      <w:r>
        <w:rPr>
          <w:rFonts w:cstheme="minorHAnsi"/>
          <w:szCs w:val="24"/>
          <w:lang w:val="en-US"/>
        </w:rPr>
        <w:t xml:space="preserve"> during the second meeting, the </w:t>
      </w:r>
      <w:r w:rsidR="00770C91">
        <w:rPr>
          <w:rFonts w:cstheme="minorHAnsi"/>
          <w:szCs w:val="24"/>
          <w:lang w:val="en-US"/>
        </w:rPr>
        <w:t>g</w:t>
      </w:r>
      <w:r>
        <w:rPr>
          <w:rFonts w:cstheme="minorHAnsi"/>
          <w:szCs w:val="24"/>
          <w:lang w:val="en-US"/>
        </w:rPr>
        <w:t xml:space="preserve">roup agreed </w:t>
      </w:r>
      <w:r w:rsidR="00E6773B">
        <w:rPr>
          <w:rFonts w:cstheme="minorHAnsi"/>
          <w:szCs w:val="24"/>
          <w:lang w:val="en-US"/>
        </w:rPr>
        <w:t xml:space="preserve">to revise </w:t>
      </w:r>
      <w:r>
        <w:rPr>
          <w:rFonts w:cstheme="minorHAnsi"/>
          <w:szCs w:val="24"/>
          <w:lang w:val="en-US"/>
        </w:rPr>
        <w:t xml:space="preserve">the title of the Declaration to </w:t>
      </w:r>
      <w:r w:rsidRPr="00741526">
        <w:rPr>
          <w:rFonts w:cstheme="minorHAnsi"/>
          <w:szCs w:val="24"/>
          <w:lang w:val="en-US"/>
        </w:rPr>
        <w:t>‘</w:t>
      </w:r>
      <w:r>
        <w:rPr>
          <w:rFonts w:cstheme="minorHAnsi"/>
          <w:szCs w:val="24"/>
          <w:lang w:val="en-US"/>
        </w:rPr>
        <w:t>U</w:t>
      </w:r>
      <w:r w:rsidRPr="00741526">
        <w:rPr>
          <w:rFonts w:cstheme="minorHAnsi"/>
          <w:szCs w:val="24"/>
          <w:lang w:val="en-US"/>
        </w:rPr>
        <w:t>niversal</w:t>
      </w:r>
      <w:r>
        <w:rPr>
          <w:rFonts w:cstheme="minorHAnsi"/>
          <w:szCs w:val="24"/>
          <w:lang w:val="en-US"/>
        </w:rPr>
        <w:t>,</w:t>
      </w:r>
      <w:r w:rsidRPr="00741526">
        <w:rPr>
          <w:rFonts w:cstheme="minorHAnsi"/>
          <w:szCs w:val="24"/>
          <w:lang w:val="en-US"/>
        </w:rPr>
        <w:t xml:space="preserve"> meaningful</w:t>
      </w:r>
      <w:r>
        <w:rPr>
          <w:rFonts w:cstheme="minorHAnsi"/>
          <w:szCs w:val="24"/>
          <w:lang w:val="en-US"/>
        </w:rPr>
        <w:t xml:space="preserve"> and affordable </w:t>
      </w:r>
      <w:r w:rsidRPr="00741526">
        <w:rPr>
          <w:rFonts w:cstheme="minorHAnsi"/>
          <w:szCs w:val="24"/>
          <w:lang w:val="en-US"/>
        </w:rPr>
        <w:t xml:space="preserve">connectivity for an </w:t>
      </w:r>
      <w:r>
        <w:rPr>
          <w:rFonts w:cstheme="minorHAnsi"/>
          <w:szCs w:val="24"/>
          <w:lang w:val="en-US"/>
        </w:rPr>
        <w:t>inclusive and sustainable</w:t>
      </w:r>
      <w:r w:rsidRPr="00741526">
        <w:rPr>
          <w:rFonts w:cstheme="minorHAnsi"/>
          <w:szCs w:val="24"/>
          <w:lang w:val="en-US"/>
        </w:rPr>
        <w:t xml:space="preserve"> digital future</w:t>
      </w:r>
      <w:r w:rsidR="006C3EDA">
        <w:rPr>
          <w:rFonts w:cstheme="minorHAnsi"/>
          <w:szCs w:val="24"/>
          <w:lang w:val="en-US"/>
        </w:rPr>
        <w:t>’</w:t>
      </w:r>
      <w:r>
        <w:rPr>
          <w:rFonts w:cstheme="minorHAnsi"/>
          <w:szCs w:val="24"/>
          <w:lang w:val="en-US"/>
        </w:rPr>
        <w:t xml:space="preserve">. Some Member State representatives expressed their preference for a shorter title, while others were in favor of a more comprehensive one. </w:t>
      </w:r>
    </w:p>
    <w:p w14:paraId="181FBFAA" w14:textId="6DD75EC5" w:rsidR="00A22AF7" w:rsidRPr="00E546D3" w:rsidRDefault="00A1786C" w:rsidP="00D61BDB">
      <w:pPr>
        <w:spacing w:after="120"/>
        <w:jc w:val="both"/>
        <w:rPr>
          <w:rFonts w:cstheme="minorHAnsi"/>
          <w:szCs w:val="24"/>
        </w:rPr>
      </w:pPr>
      <w:r>
        <w:t>Also d</w:t>
      </w:r>
      <w:r w:rsidR="00A22AF7">
        <w:t>uring the second meeting</w:t>
      </w:r>
      <w:r w:rsidR="00E546D3">
        <w:t xml:space="preserve"> of the </w:t>
      </w:r>
      <w:r w:rsidR="00A437A2">
        <w:t>g</w:t>
      </w:r>
      <w:r w:rsidR="00E546D3">
        <w:t>roup</w:t>
      </w:r>
      <w:r w:rsidR="00A22AF7">
        <w:t xml:space="preserve">, the </w:t>
      </w:r>
      <w:r w:rsidR="000B229B">
        <w:t xml:space="preserve">TDAG-WG-DEC </w:t>
      </w:r>
      <w:r w:rsidR="00A22AF7">
        <w:t xml:space="preserve">Chair presented a draft annotated outline of the Baku Declaration (Document </w:t>
      </w:r>
      <w:hyperlink r:id="rId31" w:history="1">
        <w:r w:rsidR="00A22AF7" w:rsidRPr="002960D9">
          <w:rPr>
            <w:rStyle w:val="Hyperlink"/>
            <w:szCs w:val="24"/>
          </w:rPr>
          <w:t>TDAG-WG-DEC/4</w:t>
        </w:r>
        <w:r w:rsidR="00A22AF7" w:rsidRPr="002960D9">
          <w:rPr>
            <w:rStyle w:val="Hyperlink"/>
          </w:rPr>
          <w:t>(Rev.1)</w:t>
        </w:r>
      </w:hyperlink>
      <w:r w:rsidR="00A22AF7">
        <w:rPr>
          <w:rStyle w:val="Hyperlink"/>
          <w:szCs w:val="24"/>
        </w:rPr>
        <w:t>)</w:t>
      </w:r>
      <w:r w:rsidR="00E546D3" w:rsidRPr="00E546D3">
        <w:t xml:space="preserve"> </w:t>
      </w:r>
      <w:r w:rsidR="00630018" w:rsidRPr="005A1355">
        <w:rPr>
          <w:rFonts w:cstheme="minorHAnsi"/>
          <w:szCs w:val="24"/>
        </w:rPr>
        <w:t xml:space="preserve">comprising four main sections: Introduction, </w:t>
      </w:r>
      <w:r w:rsidR="00630018">
        <w:rPr>
          <w:rFonts w:cstheme="minorHAnsi"/>
          <w:szCs w:val="24"/>
        </w:rPr>
        <w:t>‘</w:t>
      </w:r>
      <w:r w:rsidR="00630018" w:rsidRPr="005A1355">
        <w:rPr>
          <w:rFonts w:cstheme="minorHAnsi"/>
          <w:szCs w:val="24"/>
        </w:rPr>
        <w:t>We declare,</w:t>
      </w:r>
      <w:r w:rsidR="00630018">
        <w:rPr>
          <w:rFonts w:cstheme="minorHAnsi"/>
          <w:szCs w:val="24"/>
        </w:rPr>
        <w:t>’</w:t>
      </w:r>
      <w:r w:rsidR="00630018" w:rsidRPr="005A1355">
        <w:rPr>
          <w:rFonts w:cstheme="minorHAnsi"/>
          <w:szCs w:val="24"/>
        </w:rPr>
        <w:t xml:space="preserve"> </w:t>
      </w:r>
      <w:r w:rsidR="00630018">
        <w:rPr>
          <w:rFonts w:cstheme="minorHAnsi"/>
          <w:szCs w:val="24"/>
        </w:rPr>
        <w:t>‘</w:t>
      </w:r>
      <w:r w:rsidR="00630018" w:rsidRPr="005A1355">
        <w:rPr>
          <w:rFonts w:cstheme="minorHAnsi"/>
          <w:szCs w:val="24"/>
        </w:rPr>
        <w:t>We commit,</w:t>
      </w:r>
      <w:r w:rsidR="00630018">
        <w:rPr>
          <w:rFonts w:cstheme="minorHAnsi"/>
          <w:szCs w:val="24"/>
        </w:rPr>
        <w:t>’</w:t>
      </w:r>
      <w:r w:rsidR="00217D79">
        <w:rPr>
          <w:rFonts w:cstheme="minorHAnsi"/>
          <w:szCs w:val="24"/>
        </w:rPr>
        <w:t xml:space="preserve"> (later amended to ‘We affirm’)</w:t>
      </w:r>
      <w:r w:rsidR="00630018" w:rsidRPr="005A1355">
        <w:rPr>
          <w:rFonts w:cstheme="minorHAnsi"/>
          <w:szCs w:val="24"/>
        </w:rPr>
        <w:t xml:space="preserve"> and Call to Action</w:t>
      </w:r>
      <w:r w:rsidR="00630018">
        <w:rPr>
          <w:rFonts w:cstheme="minorHAnsi"/>
          <w:szCs w:val="24"/>
        </w:rPr>
        <w:t xml:space="preserve">, </w:t>
      </w:r>
      <w:r w:rsidR="00E546D3" w:rsidRPr="00E546D3">
        <w:t>to stir the discussion on the structure and possible topics of the Declaration</w:t>
      </w:r>
      <w:r w:rsidR="00630018">
        <w:t>. He also highlighted</w:t>
      </w:r>
      <w:r w:rsidR="00A22AF7" w:rsidRPr="00A22AF7">
        <w:t xml:space="preserve"> the </w:t>
      </w:r>
      <w:r w:rsidR="00A22AF7">
        <w:t xml:space="preserve">rationale and thinking process behind the </w:t>
      </w:r>
      <w:r w:rsidR="00A22AF7" w:rsidRPr="00630018">
        <w:rPr>
          <w:rFonts w:cstheme="minorHAnsi"/>
          <w:szCs w:val="24"/>
        </w:rPr>
        <w:t>document</w:t>
      </w:r>
      <w:r w:rsidR="00630018">
        <w:rPr>
          <w:rFonts w:cstheme="minorHAnsi"/>
        </w:rPr>
        <w:t xml:space="preserve">, </w:t>
      </w:r>
      <w:r w:rsidR="00E546D3">
        <w:rPr>
          <w:rFonts w:cstheme="minorHAnsi"/>
          <w:szCs w:val="24"/>
        </w:rPr>
        <w:t>explain</w:t>
      </w:r>
      <w:r w:rsidR="00630018">
        <w:rPr>
          <w:rFonts w:cstheme="minorHAnsi"/>
          <w:szCs w:val="24"/>
        </w:rPr>
        <w:t>ing</w:t>
      </w:r>
      <w:r w:rsidR="00E546D3">
        <w:rPr>
          <w:rFonts w:cstheme="minorHAnsi"/>
          <w:szCs w:val="24"/>
        </w:rPr>
        <w:t xml:space="preserve"> that the </w:t>
      </w:r>
      <w:r w:rsidR="00A22AF7" w:rsidRPr="0075636E">
        <w:t xml:space="preserve">draft outline was informed by the original mapping of topics in the Kigali Declaration and new and emerging topics </w:t>
      </w:r>
      <w:r w:rsidR="00E178EC">
        <w:t>a</w:t>
      </w:r>
      <w:r w:rsidR="00A22AF7" w:rsidRPr="0075636E">
        <w:t xml:space="preserve">s contained in Document </w:t>
      </w:r>
      <w:hyperlink r:id="rId32" w:history="1">
        <w:r w:rsidR="00A22AF7" w:rsidRPr="0075636E">
          <w:rPr>
            <w:rStyle w:val="Hyperlink"/>
            <w:szCs w:val="24"/>
          </w:rPr>
          <w:t>TDAG-WG-DEC/INF/</w:t>
        </w:r>
      </w:hyperlink>
      <w:r w:rsidR="00A22AF7" w:rsidRPr="0075636E">
        <w:rPr>
          <w:rStyle w:val="Hyperlink"/>
          <w:szCs w:val="24"/>
        </w:rPr>
        <w:t>1</w:t>
      </w:r>
      <w:r w:rsidR="00A22AF7" w:rsidRPr="0075636E">
        <w:t>.</w:t>
      </w:r>
    </w:p>
    <w:p w14:paraId="09E2CF60" w14:textId="77777777" w:rsidR="007E74ED" w:rsidRDefault="00A22AF7" w:rsidP="00D61BDB">
      <w:pPr>
        <w:overflowPunct/>
        <w:autoSpaceDE/>
        <w:autoSpaceDN/>
        <w:adjustRightInd/>
        <w:spacing w:after="120"/>
        <w:jc w:val="both"/>
        <w:textAlignment w:val="auto"/>
        <w:rPr>
          <w:rFonts w:cstheme="minorHAnsi"/>
          <w:szCs w:val="24"/>
        </w:rPr>
      </w:pPr>
      <w:bookmarkStart w:id="8" w:name="_Hlk196209774"/>
      <w:r w:rsidRPr="00741526">
        <w:rPr>
          <w:rFonts w:cstheme="minorHAnsi"/>
          <w:szCs w:val="24"/>
        </w:rPr>
        <w:t xml:space="preserve">Building on </w:t>
      </w:r>
      <w:r>
        <w:rPr>
          <w:rFonts w:cstheme="minorHAnsi"/>
          <w:szCs w:val="24"/>
        </w:rPr>
        <w:t xml:space="preserve">the </w:t>
      </w:r>
      <w:r w:rsidRPr="00741526">
        <w:rPr>
          <w:rFonts w:cstheme="minorHAnsi"/>
          <w:szCs w:val="24"/>
        </w:rPr>
        <w:t>feedback received during the second meeting of TDAG-WG-DEC, the Chair prepare</w:t>
      </w:r>
      <w:r w:rsidR="00ED559B">
        <w:rPr>
          <w:rFonts w:cstheme="minorHAnsi"/>
          <w:szCs w:val="24"/>
        </w:rPr>
        <w:t>d</w:t>
      </w:r>
      <w:r w:rsidRPr="00741526">
        <w:rPr>
          <w:rFonts w:cstheme="minorHAnsi"/>
          <w:szCs w:val="24"/>
        </w:rPr>
        <w:t xml:space="preserve"> </w:t>
      </w:r>
      <w:r w:rsidR="00A437A2">
        <w:rPr>
          <w:rFonts w:cstheme="minorHAnsi"/>
          <w:szCs w:val="24"/>
        </w:rPr>
        <w:t xml:space="preserve">and presented </w:t>
      </w:r>
      <w:r w:rsidR="00E178EC" w:rsidRPr="00A22AF7">
        <w:t>an initial proposal</w:t>
      </w:r>
      <w:r w:rsidR="00E178EC">
        <w:t xml:space="preserve"> of a </w:t>
      </w:r>
      <w:r w:rsidRPr="00741526">
        <w:rPr>
          <w:rFonts w:cstheme="minorHAnsi"/>
          <w:szCs w:val="24"/>
        </w:rPr>
        <w:t xml:space="preserve">narrative for the </w:t>
      </w:r>
      <w:r w:rsidR="00CC19C4">
        <w:rPr>
          <w:rFonts w:cstheme="minorHAnsi"/>
          <w:szCs w:val="24"/>
        </w:rPr>
        <w:t xml:space="preserve">Baku </w:t>
      </w:r>
      <w:r w:rsidRPr="00741526">
        <w:rPr>
          <w:rFonts w:cstheme="minorHAnsi"/>
          <w:szCs w:val="24"/>
        </w:rPr>
        <w:t xml:space="preserve">Declaration </w:t>
      </w:r>
      <w:r w:rsidR="00A437A2">
        <w:t>to</w:t>
      </w:r>
      <w:r w:rsidR="00E178EC">
        <w:t xml:space="preserve"> the </w:t>
      </w:r>
      <w:r w:rsidR="00647C6C">
        <w:t xml:space="preserve">third </w:t>
      </w:r>
      <w:r w:rsidR="00E178EC">
        <w:t>meeting</w:t>
      </w:r>
      <w:r w:rsidR="00E178EC" w:rsidRPr="00741526">
        <w:rPr>
          <w:rFonts w:cstheme="minorHAnsi"/>
          <w:szCs w:val="24"/>
        </w:rPr>
        <w:t xml:space="preserve"> </w:t>
      </w:r>
      <w:r w:rsidR="000F527C">
        <w:rPr>
          <w:rFonts w:cstheme="minorHAnsi"/>
          <w:szCs w:val="24"/>
        </w:rPr>
        <w:t xml:space="preserve">(Document </w:t>
      </w:r>
      <w:hyperlink r:id="rId33" w:history="1">
        <w:r w:rsidR="00F665FC" w:rsidRPr="00F665FC">
          <w:rPr>
            <w:rStyle w:val="Hyperlink"/>
            <w:rFonts w:cstheme="minorHAnsi"/>
            <w:szCs w:val="24"/>
          </w:rPr>
          <w:t>TDAG-WG-DEC/9</w:t>
        </w:r>
      </w:hyperlink>
      <w:r w:rsidR="000F527C">
        <w:rPr>
          <w:rFonts w:cstheme="minorHAnsi"/>
          <w:szCs w:val="24"/>
        </w:rPr>
        <w:t>)</w:t>
      </w:r>
      <w:r w:rsidR="00735ACE">
        <w:rPr>
          <w:rFonts w:cstheme="minorHAnsi"/>
          <w:szCs w:val="24"/>
        </w:rPr>
        <w:t xml:space="preserve">, </w:t>
      </w:r>
      <w:r w:rsidR="00A437A2" w:rsidRPr="00A437A2">
        <w:rPr>
          <w:rFonts w:cstheme="minorHAnsi"/>
          <w:szCs w:val="24"/>
        </w:rPr>
        <w:t xml:space="preserve">inviting input from the group while noting general comments and suggested revisions. </w:t>
      </w:r>
    </w:p>
    <w:p w14:paraId="51962F60" w14:textId="05F37A26" w:rsidR="001E668A" w:rsidRDefault="00A437A2" w:rsidP="00D61BDB">
      <w:pPr>
        <w:overflowPunct/>
        <w:autoSpaceDE/>
        <w:autoSpaceDN/>
        <w:adjustRightInd/>
        <w:spacing w:after="120"/>
        <w:jc w:val="both"/>
        <w:textAlignment w:val="auto"/>
        <w:rPr>
          <w:rFonts w:cstheme="minorHAnsi"/>
          <w:szCs w:val="24"/>
        </w:rPr>
      </w:pPr>
      <w:r w:rsidRPr="00A437A2">
        <w:rPr>
          <w:rFonts w:cstheme="minorHAnsi"/>
          <w:szCs w:val="24"/>
        </w:rPr>
        <w:t xml:space="preserve">Based on the </w:t>
      </w:r>
      <w:r w:rsidR="00735ACE">
        <w:rPr>
          <w:rFonts w:cstheme="minorHAnsi"/>
          <w:szCs w:val="24"/>
        </w:rPr>
        <w:t>substanti</w:t>
      </w:r>
      <w:r w:rsidR="00AE63C2">
        <w:rPr>
          <w:rFonts w:cstheme="minorHAnsi"/>
          <w:szCs w:val="24"/>
        </w:rPr>
        <w:t>ve</w:t>
      </w:r>
      <w:r w:rsidR="00735ACE">
        <w:rPr>
          <w:rFonts w:cstheme="minorHAnsi"/>
          <w:szCs w:val="24"/>
        </w:rPr>
        <w:t xml:space="preserve"> </w:t>
      </w:r>
      <w:r w:rsidRPr="00A437A2">
        <w:rPr>
          <w:rFonts w:cstheme="minorHAnsi"/>
          <w:szCs w:val="24"/>
        </w:rPr>
        <w:t>discussion, the Chair prepare</w:t>
      </w:r>
      <w:r w:rsidR="00735ACE">
        <w:rPr>
          <w:rFonts w:cstheme="minorHAnsi"/>
          <w:szCs w:val="24"/>
        </w:rPr>
        <w:t>d</w:t>
      </w:r>
      <w:r w:rsidRPr="00A437A2">
        <w:rPr>
          <w:rFonts w:cstheme="minorHAnsi"/>
          <w:szCs w:val="24"/>
        </w:rPr>
        <w:t xml:space="preserve"> a revised </w:t>
      </w:r>
      <w:r w:rsidR="007E74ED">
        <w:rPr>
          <w:rFonts w:cstheme="minorHAnsi"/>
          <w:szCs w:val="24"/>
        </w:rPr>
        <w:t xml:space="preserve">and annotated </w:t>
      </w:r>
      <w:r w:rsidRPr="00A437A2">
        <w:rPr>
          <w:rFonts w:cstheme="minorHAnsi"/>
          <w:szCs w:val="24"/>
        </w:rPr>
        <w:t>draft proposal</w:t>
      </w:r>
      <w:r w:rsidR="00735ACE">
        <w:rPr>
          <w:rFonts w:cstheme="minorHAnsi"/>
          <w:szCs w:val="24"/>
        </w:rPr>
        <w:t xml:space="preserve"> (</w:t>
      </w:r>
      <w:r w:rsidR="00735ACE" w:rsidRPr="00C5334C">
        <w:rPr>
          <w:rFonts w:cstheme="minorHAnsi"/>
          <w:szCs w:val="24"/>
        </w:rPr>
        <w:t xml:space="preserve">Document </w:t>
      </w:r>
      <w:hyperlink r:id="rId34" w:history="1">
        <w:r w:rsidR="00C5334C" w:rsidRPr="00C5334C">
          <w:rPr>
            <w:rStyle w:val="Hyperlink"/>
            <w:szCs w:val="24"/>
          </w:rPr>
          <w:t>TDAG-WG-DEC/12</w:t>
        </w:r>
      </w:hyperlink>
      <w:r w:rsidR="00735ACE" w:rsidRPr="00C5334C">
        <w:rPr>
          <w:rFonts w:cstheme="minorHAnsi"/>
          <w:szCs w:val="24"/>
        </w:rPr>
        <w:t>)</w:t>
      </w:r>
      <w:r w:rsidRPr="00C5334C">
        <w:rPr>
          <w:rFonts w:cstheme="minorHAnsi"/>
          <w:szCs w:val="24"/>
        </w:rPr>
        <w:t xml:space="preserve">, </w:t>
      </w:r>
      <w:r w:rsidR="009D2FC9">
        <w:rPr>
          <w:rFonts w:cstheme="minorHAnsi"/>
          <w:szCs w:val="24"/>
        </w:rPr>
        <w:t>for discussion</w:t>
      </w:r>
      <w:r w:rsidRPr="00A437A2">
        <w:rPr>
          <w:rFonts w:cstheme="minorHAnsi"/>
          <w:szCs w:val="24"/>
        </w:rPr>
        <w:t xml:space="preserve"> at the group’s </w:t>
      </w:r>
      <w:r w:rsidR="007F6A5D">
        <w:rPr>
          <w:rFonts w:cstheme="minorHAnsi"/>
          <w:szCs w:val="24"/>
        </w:rPr>
        <w:t>fou</w:t>
      </w:r>
      <w:r w:rsidR="00462AB9">
        <w:rPr>
          <w:rFonts w:cstheme="minorHAnsi"/>
          <w:szCs w:val="24"/>
        </w:rPr>
        <w:t>r</w:t>
      </w:r>
      <w:r w:rsidR="007F6A5D">
        <w:rPr>
          <w:rFonts w:cstheme="minorHAnsi"/>
          <w:szCs w:val="24"/>
        </w:rPr>
        <w:t>th</w:t>
      </w:r>
      <w:r w:rsidRPr="00A437A2">
        <w:rPr>
          <w:rFonts w:cstheme="minorHAnsi"/>
          <w:szCs w:val="24"/>
        </w:rPr>
        <w:t xml:space="preserve"> meeting.</w:t>
      </w:r>
    </w:p>
    <w:p w14:paraId="0EF3424F" w14:textId="4704B47E" w:rsidR="00017CA3" w:rsidRDefault="00017CA3" w:rsidP="00D61BDB">
      <w:pPr>
        <w:overflowPunct/>
        <w:autoSpaceDE/>
        <w:autoSpaceDN/>
        <w:adjustRightInd/>
        <w:spacing w:after="120"/>
        <w:jc w:val="both"/>
        <w:textAlignment w:val="auto"/>
        <w:rPr>
          <w:rFonts w:cstheme="minorHAnsi"/>
          <w:szCs w:val="24"/>
        </w:rPr>
      </w:pPr>
      <w:r>
        <w:rPr>
          <w:rFonts w:cstheme="minorHAnsi"/>
          <w:szCs w:val="24"/>
        </w:rPr>
        <w:t xml:space="preserve">At the </w:t>
      </w:r>
      <w:r w:rsidRPr="00A437A2">
        <w:rPr>
          <w:rFonts w:cstheme="minorHAnsi"/>
          <w:szCs w:val="24"/>
        </w:rPr>
        <w:t xml:space="preserve">group’s </w:t>
      </w:r>
      <w:r>
        <w:rPr>
          <w:rFonts w:cstheme="minorHAnsi"/>
          <w:szCs w:val="24"/>
        </w:rPr>
        <w:t>fourth</w:t>
      </w:r>
      <w:r w:rsidRPr="00A437A2">
        <w:rPr>
          <w:rFonts w:cstheme="minorHAnsi"/>
          <w:szCs w:val="24"/>
        </w:rPr>
        <w:t xml:space="preserve"> meeting</w:t>
      </w:r>
      <w:r>
        <w:rPr>
          <w:rFonts w:cstheme="minorHAnsi"/>
          <w:szCs w:val="24"/>
        </w:rPr>
        <w:t>, further revisions were made and a second revised draft proposal p</w:t>
      </w:r>
      <w:r w:rsidRPr="00B07DE0">
        <w:rPr>
          <w:rFonts w:cstheme="minorHAnsi"/>
          <w:szCs w:val="24"/>
        </w:rPr>
        <w:t xml:space="preserve">ublished for discussion at the group’s fifth meeting, to be held during TDAG-25 (Annex 1 here below and Document </w:t>
      </w:r>
      <w:hyperlink r:id="rId35" w:history="1">
        <w:r w:rsidRPr="00B07DE0">
          <w:rPr>
            <w:rStyle w:val="Hyperlink"/>
            <w:rFonts w:cstheme="minorHAnsi"/>
            <w:szCs w:val="24"/>
          </w:rPr>
          <w:t>TDAG-WG-DEC/</w:t>
        </w:r>
        <w:r w:rsidR="00B07DE0" w:rsidRPr="00B07DE0">
          <w:rPr>
            <w:rStyle w:val="Hyperlink"/>
            <w:rFonts w:cstheme="minorHAnsi"/>
            <w:szCs w:val="24"/>
          </w:rPr>
          <w:t>14</w:t>
        </w:r>
      </w:hyperlink>
      <w:r w:rsidR="00B07DE0" w:rsidRPr="00B07DE0">
        <w:rPr>
          <w:rFonts w:cstheme="minorHAnsi"/>
          <w:szCs w:val="24"/>
        </w:rPr>
        <w:t>)</w:t>
      </w:r>
      <w:r w:rsidRPr="00B07DE0">
        <w:rPr>
          <w:rFonts w:cstheme="minorHAnsi"/>
          <w:szCs w:val="24"/>
        </w:rPr>
        <w:t>.</w:t>
      </w:r>
      <w:r>
        <w:rPr>
          <w:rFonts w:cstheme="minorHAnsi"/>
          <w:szCs w:val="24"/>
        </w:rPr>
        <w:t xml:space="preserve"> </w:t>
      </w:r>
    </w:p>
    <w:p w14:paraId="57DEDFF9" w14:textId="422E2D8F" w:rsidR="00AD4422" w:rsidRDefault="00AD4422" w:rsidP="00D61BDB">
      <w:pPr>
        <w:overflowPunct/>
        <w:autoSpaceDE/>
        <w:autoSpaceDN/>
        <w:adjustRightInd/>
        <w:spacing w:after="120"/>
        <w:jc w:val="both"/>
        <w:textAlignment w:val="auto"/>
        <w:rPr>
          <w:rFonts w:cstheme="minorHAnsi"/>
          <w:szCs w:val="24"/>
        </w:rPr>
      </w:pPr>
      <w:r w:rsidRPr="00AD4422">
        <w:rPr>
          <w:rFonts w:cstheme="minorHAnsi"/>
          <w:szCs w:val="24"/>
        </w:rPr>
        <w:lastRenderedPageBreak/>
        <w:t xml:space="preserve">Building on these foundations as well as TDAG-WG-DEC discussions and informal consultations, the Chair elaborated the revised draft and annotated proposal (Document </w:t>
      </w:r>
      <w:hyperlink r:id="rId36" w:history="1">
        <w:r w:rsidRPr="00AD4422">
          <w:rPr>
            <w:rStyle w:val="Hyperlink"/>
            <w:rFonts w:cstheme="minorHAnsi"/>
            <w:szCs w:val="24"/>
          </w:rPr>
          <w:t>TDAG-WG-DEC/12</w:t>
        </w:r>
      </w:hyperlink>
      <w:r w:rsidRPr="00AD4422">
        <w:rPr>
          <w:rFonts w:cstheme="minorHAnsi"/>
          <w:szCs w:val="24"/>
        </w:rPr>
        <w:t>)</w:t>
      </w:r>
      <w:r>
        <w:rPr>
          <w:rFonts w:cstheme="minorHAnsi"/>
          <w:szCs w:val="24"/>
        </w:rPr>
        <w:t xml:space="preserve"> and f</w:t>
      </w:r>
      <w:r w:rsidRPr="00AD4422">
        <w:rPr>
          <w:rFonts w:cstheme="minorHAnsi"/>
          <w:szCs w:val="24"/>
        </w:rPr>
        <w:t xml:space="preserve">ollowing the additional input provided during the fourth meeting of the group, the Chair prepared his second revised proposal for the draft Baku Declaration (Document </w:t>
      </w:r>
      <w:hyperlink r:id="rId37" w:history="1">
        <w:r w:rsidRPr="00AD4422">
          <w:rPr>
            <w:rStyle w:val="Hyperlink"/>
            <w:rFonts w:cstheme="minorHAnsi"/>
            <w:szCs w:val="24"/>
          </w:rPr>
          <w:t>TDAG-WG-DEC/14</w:t>
        </w:r>
      </w:hyperlink>
      <w:r w:rsidRPr="00AD4422">
        <w:rPr>
          <w:rFonts w:cstheme="minorHAnsi"/>
          <w:szCs w:val="24"/>
        </w:rPr>
        <w:t xml:space="preserve">). </w:t>
      </w:r>
    </w:p>
    <w:p w14:paraId="6CD051BF" w14:textId="41E21C4A" w:rsidR="00F919F7" w:rsidRDefault="00716EFE" w:rsidP="00D61BDB">
      <w:pPr>
        <w:overflowPunct/>
        <w:autoSpaceDE/>
        <w:autoSpaceDN/>
        <w:adjustRightInd/>
        <w:spacing w:after="120"/>
        <w:jc w:val="both"/>
        <w:textAlignment w:val="auto"/>
      </w:pPr>
      <w:r>
        <w:rPr>
          <w:rFonts w:cstheme="minorHAnsi"/>
          <w:szCs w:val="24"/>
        </w:rPr>
        <w:t>Under the leadership of the Chair, t</w:t>
      </w:r>
      <w:r w:rsidR="00C05887">
        <w:rPr>
          <w:rFonts w:cstheme="minorHAnsi"/>
          <w:szCs w:val="24"/>
        </w:rPr>
        <w:t xml:space="preserve">he fifth meeting of the group </w:t>
      </w:r>
      <w:r>
        <w:t>agreed on the</w:t>
      </w:r>
      <w:r w:rsidR="00ED4591" w:rsidRPr="007B5BF3">
        <w:t xml:space="preserve"> </w:t>
      </w:r>
      <w:r w:rsidR="00896819">
        <w:t>final</w:t>
      </w:r>
      <w:r w:rsidR="00ED4591" w:rsidRPr="007B5BF3">
        <w:t xml:space="preserve"> revised draft proposal </w:t>
      </w:r>
      <w:r w:rsidR="00ED4591" w:rsidRPr="00D65BF0">
        <w:t xml:space="preserve">(Document </w:t>
      </w:r>
      <w:hyperlink r:id="rId38" w:history="1">
        <w:r w:rsidR="00ED4591" w:rsidRPr="00D65BF0">
          <w:rPr>
            <w:rStyle w:val="Hyperlink"/>
          </w:rPr>
          <w:t>TDAG-WG-DEC/DT/</w:t>
        </w:r>
        <w:r w:rsidR="00D65BF0" w:rsidRPr="00D65BF0">
          <w:rPr>
            <w:rStyle w:val="Hyperlink"/>
          </w:rPr>
          <w:t>1</w:t>
        </w:r>
      </w:hyperlink>
      <w:r w:rsidR="00ED4591" w:rsidRPr="00D65BF0">
        <w:t>),</w:t>
      </w:r>
      <w:r w:rsidR="00ED4591" w:rsidRPr="007B5BF3">
        <w:t xml:space="preserve"> which </w:t>
      </w:r>
      <w:r w:rsidR="00043896">
        <w:t>is</w:t>
      </w:r>
      <w:r w:rsidR="00ED4591" w:rsidRPr="007B5BF3">
        <w:t xml:space="preserve"> annexed to</w:t>
      </w:r>
      <w:r w:rsidR="00F64F38">
        <w:t xml:space="preserve"> the present report. </w:t>
      </w:r>
    </w:p>
    <w:p w14:paraId="7EEF2A16" w14:textId="77777777" w:rsidR="00345D4A" w:rsidRDefault="00345D4A" w:rsidP="00345D4A">
      <w:pPr>
        <w:overflowPunct/>
        <w:autoSpaceDE/>
        <w:autoSpaceDN/>
        <w:adjustRightInd/>
        <w:spacing w:after="120"/>
        <w:jc w:val="both"/>
        <w:textAlignment w:val="auto"/>
      </w:pPr>
      <w:r w:rsidRPr="00A92962">
        <w:t xml:space="preserve">To support the preparatory processes of the Regional Telecommunication Organizations (RTOs) in advance of WTDC-25, Member States requested that the following </w:t>
      </w:r>
      <w:r>
        <w:t xml:space="preserve">discussions </w:t>
      </w:r>
      <w:r w:rsidRPr="00A92962">
        <w:t>be reflected in the present report:</w:t>
      </w:r>
    </w:p>
    <w:p w14:paraId="382E874D" w14:textId="77777777" w:rsidR="00345D4A" w:rsidRPr="00EC5D4D" w:rsidRDefault="00345D4A" w:rsidP="00345D4A">
      <w:pPr>
        <w:pStyle w:val="ListParagraph"/>
        <w:numPr>
          <w:ilvl w:val="0"/>
          <w:numId w:val="9"/>
        </w:numPr>
        <w:overflowPunct/>
        <w:autoSpaceDE/>
        <w:autoSpaceDN/>
        <w:adjustRightInd/>
        <w:spacing w:after="120"/>
        <w:jc w:val="both"/>
        <w:textAlignment w:val="auto"/>
        <w:rPr>
          <w:color w:val="000000" w:themeColor="text1"/>
        </w:rPr>
      </w:pPr>
      <w:r w:rsidRPr="00EC5D4D">
        <w:rPr>
          <w:b/>
          <w:bCs/>
          <w:color w:val="000000" w:themeColor="text1"/>
        </w:rPr>
        <w:t>Length of the Declaration</w:t>
      </w:r>
      <w:r>
        <w:rPr>
          <w:color w:val="000000" w:themeColor="text1"/>
        </w:rPr>
        <w:t xml:space="preserve">: </w:t>
      </w:r>
      <w:r w:rsidRPr="00900979">
        <w:rPr>
          <w:color w:val="000000" w:themeColor="text1"/>
        </w:rPr>
        <w:t>Several Member States reiterated the view that the Declaration should remain concise, as is appropriate for a high-level statement.</w:t>
      </w:r>
    </w:p>
    <w:p w14:paraId="6C0971CE" w14:textId="2A25F516" w:rsidR="00345D4A" w:rsidRPr="0096390C" w:rsidRDefault="00345D4A" w:rsidP="00345D4A">
      <w:pPr>
        <w:pStyle w:val="ListParagraph"/>
        <w:numPr>
          <w:ilvl w:val="0"/>
          <w:numId w:val="9"/>
        </w:numPr>
        <w:overflowPunct/>
        <w:autoSpaceDE/>
        <w:autoSpaceDN/>
        <w:adjustRightInd/>
        <w:spacing w:after="120"/>
        <w:jc w:val="both"/>
        <w:textAlignment w:val="auto"/>
      </w:pPr>
      <w:r w:rsidRPr="00EC5D4D">
        <w:rPr>
          <w:b/>
          <w:bCs/>
        </w:rPr>
        <w:t xml:space="preserve">Technology neutrality: </w:t>
      </w:r>
      <w:r w:rsidRPr="00EC5D4D">
        <w:t xml:space="preserve">Some regions </w:t>
      </w:r>
      <w:r w:rsidR="00F20182">
        <w:t xml:space="preserve">and ITU-D Sector Members </w:t>
      </w:r>
      <w:r w:rsidRPr="00EC5D4D">
        <w:t xml:space="preserve">expressed a preference for maintaining general language, while others advocated for the inclusion of references to </w:t>
      </w:r>
      <w:r w:rsidRPr="0096390C">
        <w:t>specific key technologies</w:t>
      </w:r>
      <w:r w:rsidR="007752CD" w:rsidRPr="0096390C">
        <w:t>.</w:t>
      </w:r>
    </w:p>
    <w:p w14:paraId="0B5374E2" w14:textId="570B4736" w:rsidR="00E220EA" w:rsidRPr="0096390C" w:rsidRDefault="00E220EA" w:rsidP="00345D4A">
      <w:pPr>
        <w:pStyle w:val="ListParagraph"/>
        <w:numPr>
          <w:ilvl w:val="0"/>
          <w:numId w:val="9"/>
        </w:numPr>
        <w:overflowPunct/>
        <w:autoSpaceDE/>
        <w:autoSpaceDN/>
        <w:adjustRightInd/>
        <w:spacing w:after="120"/>
        <w:jc w:val="both"/>
        <w:textAlignment w:val="auto"/>
      </w:pPr>
      <w:r w:rsidRPr="0096390C">
        <w:rPr>
          <w:b/>
          <w:bCs/>
        </w:rPr>
        <w:t>Artificial Intelligence (AI):</w:t>
      </w:r>
      <w:r w:rsidRPr="0096390C">
        <w:t xml:space="preserve"> There was no agreement during the </w:t>
      </w:r>
      <w:r w:rsidR="0057470D" w:rsidRPr="0096390C">
        <w:t>TDAG-</w:t>
      </w:r>
      <w:r w:rsidRPr="0096390C">
        <w:t>WG</w:t>
      </w:r>
      <w:r w:rsidR="0057470D" w:rsidRPr="0096390C">
        <w:t>-DEC</w:t>
      </w:r>
      <w:r w:rsidRPr="0096390C">
        <w:t xml:space="preserve"> meeting on inclusion of AI in the Declaration.  Delegates agreed to include a more general reference to ‘new and emerging </w:t>
      </w:r>
      <w:proofErr w:type="gramStart"/>
      <w:r w:rsidRPr="0096390C">
        <w:t>technologies’</w:t>
      </w:r>
      <w:proofErr w:type="gramEnd"/>
      <w:r w:rsidRPr="0096390C">
        <w:t>.  Some regions and Member States were of the view that AI should be specifically highlighted due to its potential to accelerate ICT development. It was further suggested that if any language is incorporated into the Declaration, it must adhere to PP Resolution 214 on Artificial Intelligence (such as ‘AI related to telecommunications’).</w:t>
      </w:r>
      <w:r w:rsidR="00B90E7B" w:rsidRPr="0096390C">
        <w:t xml:space="preserve"> </w:t>
      </w:r>
      <w:r w:rsidR="00860643" w:rsidRPr="0096390C">
        <w:t xml:space="preserve">TDAG-25 agreed to include </w:t>
      </w:r>
      <w:r w:rsidR="0051583D" w:rsidRPr="0096390C">
        <w:t>an amended</w:t>
      </w:r>
      <w:r w:rsidR="00860643" w:rsidRPr="0096390C">
        <w:t xml:space="preserve"> reference in the</w:t>
      </w:r>
      <w:r w:rsidR="0051583D" w:rsidRPr="0096390C">
        <w:t xml:space="preserve"> draft</w:t>
      </w:r>
      <w:r w:rsidR="0001102B" w:rsidRPr="0096390C">
        <w:t xml:space="preserve"> in Annex 1. </w:t>
      </w:r>
      <w:r w:rsidR="00860643" w:rsidRPr="0096390C">
        <w:t xml:space="preserve"> </w:t>
      </w:r>
    </w:p>
    <w:p w14:paraId="183CA9F7" w14:textId="77777777" w:rsidR="00345D4A" w:rsidRPr="00EC5D4D" w:rsidRDefault="00345D4A" w:rsidP="00345D4A">
      <w:pPr>
        <w:pStyle w:val="ListParagraph"/>
        <w:numPr>
          <w:ilvl w:val="0"/>
          <w:numId w:val="9"/>
        </w:numPr>
        <w:overflowPunct/>
        <w:autoSpaceDE/>
        <w:autoSpaceDN/>
        <w:adjustRightInd/>
        <w:spacing w:after="120"/>
        <w:jc w:val="both"/>
        <w:textAlignment w:val="auto"/>
      </w:pPr>
      <w:r w:rsidRPr="0096390C">
        <w:rPr>
          <w:b/>
          <w:bCs/>
        </w:rPr>
        <w:t>Space-based infrastructure</w:t>
      </w:r>
      <w:r w:rsidRPr="00EC5D4D">
        <w:t>: While some members supported referring to ‘satellite communications’ as more closely aligned with ITU-D’s mandate, others emphasized the importance of new space technologies in advancing the objectives of the Sector.</w:t>
      </w:r>
    </w:p>
    <w:p w14:paraId="6A512D83" w14:textId="77777777" w:rsidR="00345D4A" w:rsidRPr="00EC5D4D" w:rsidRDefault="00345D4A" w:rsidP="00345D4A">
      <w:pPr>
        <w:pStyle w:val="ListParagraph"/>
        <w:numPr>
          <w:ilvl w:val="0"/>
          <w:numId w:val="9"/>
        </w:numPr>
        <w:overflowPunct/>
        <w:autoSpaceDE/>
        <w:autoSpaceDN/>
        <w:adjustRightInd/>
        <w:spacing w:after="120"/>
        <w:jc w:val="both"/>
        <w:textAlignment w:val="auto"/>
      </w:pPr>
      <w:r w:rsidRPr="00EC5D4D">
        <w:rPr>
          <w:b/>
          <w:bCs/>
        </w:rPr>
        <w:t>Transfer of technology</w:t>
      </w:r>
      <w:r w:rsidRPr="00EC5D4D">
        <w:t xml:space="preserve">: divergent views </w:t>
      </w:r>
      <w:r w:rsidRPr="00A61284">
        <w:t>were also expressed on this topic</w:t>
      </w:r>
      <w:r w:rsidRPr="00EC5D4D">
        <w:t>.</w:t>
      </w:r>
    </w:p>
    <w:p w14:paraId="474BF10D" w14:textId="77777777" w:rsidR="00345D4A" w:rsidRPr="00EC5D4D" w:rsidRDefault="00345D4A" w:rsidP="00345D4A">
      <w:pPr>
        <w:pStyle w:val="ListParagraph"/>
        <w:numPr>
          <w:ilvl w:val="0"/>
          <w:numId w:val="9"/>
        </w:numPr>
        <w:overflowPunct/>
        <w:autoSpaceDE/>
        <w:autoSpaceDN/>
        <w:adjustRightInd/>
        <w:spacing w:after="120"/>
        <w:jc w:val="both"/>
        <w:textAlignment w:val="auto"/>
      </w:pPr>
      <w:r w:rsidRPr="00EC5D4D">
        <w:rPr>
          <w:b/>
          <w:bCs/>
        </w:rPr>
        <w:t>Comprehensive view of challenges</w:t>
      </w:r>
      <w:r w:rsidRPr="00EC5D4D">
        <w:t xml:space="preserve"> – some ITU-D Sector Members would like to refine the language on addressing challenges related to ICT access and affordability, including issues concerning relevant applications and service continuity.</w:t>
      </w:r>
    </w:p>
    <w:p w14:paraId="476B603B" w14:textId="77777777" w:rsidR="00345D4A" w:rsidRPr="00EC5D4D" w:rsidRDefault="00345D4A" w:rsidP="00345D4A">
      <w:pPr>
        <w:pStyle w:val="ListParagraph"/>
        <w:numPr>
          <w:ilvl w:val="0"/>
          <w:numId w:val="9"/>
        </w:numPr>
        <w:overflowPunct/>
        <w:autoSpaceDE/>
        <w:autoSpaceDN/>
        <w:adjustRightInd/>
        <w:spacing w:after="120"/>
        <w:jc w:val="both"/>
        <w:textAlignment w:val="auto"/>
      </w:pPr>
      <w:r w:rsidRPr="00EC5D4D">
        <w:rPr>
          <w:b/>
          <w:bCs/>
        </w:rPr>
        <w:t>Commitment language</w:t>
      </w:r>
      <w:r w:rsidRPr="00EC5D4D">
        <w:t>: Some Member States proposed the use of softer, non-binding language in the second part of the draft Declaration (e.g. replacing ‘we commit’); however, the group did not reach consensus on this proposal.</w:t>
      </w:r>
    </w:p>
    <w:p w14:paraId="7D578F79" w14:textId="77777777" w:rsidR="00345D4A" w:rsidRPr="00EC5D4D" w:rsidRDefault="00345D4A" w:rsidP="00B81812">
      <w:pPr>
        <w:overflowPunct/>
        <w:autoSpaceDE/>
        <w:autoSpaceDN/>
        <w:adjustRightInd/>
        <w:spacing w:after="120"/>
        <w:jc w:val="both"/>
        <w:textAlignment w:val="auto"/>
      </w:pPr>
      <w:r w:rsidRPr="00EC5D4D">
        <w:t>In addition, the following positions were expressed during the meeting:</w:t>
      </w:r>
    </w:p>
    <w:p w14:paraId="2327FF35" w14:textId="77777777" w:rsidR="00345D4A" w:rsidRPr="00EC5D4D" w:rsidRDefault="00345D4A" w:rsidP="00345D4A">
      <w:pPr>
        <w:pStyle w:val="NormalWeb"/>
        <w:numPr>
          <w:ilvl w:val="0"/>
          <w:numId w:val="9"/>
        </w:numPr>
        <w:shd w:val="clear" w:color="auto" w:fill="FFFFFF"/>
        <w:jc w:val="both"/>
        <w:rPr>
          <w:rFonts w:asciiTheme="minorHAnsi" w:hAnsiTheme="minorHAnsi" w:cstheme="minorHAnsi"/>
        </w:rPr>
      </w:pPr>
      <w:r w:rsidRPr="00EC5D4D">
        <w:rPr>
          <w:rFonts w:asciiTheme="minorHAnsi" w:hAnsiTheme="minorHAnsi" w:cstheme="minorHAnsi"/>
          <w:b/>
          <w:bCs/>
          <w:color w:val="000000"/>
        </w:rPr>
        <w:t>The United States supports</w:t>
      </w:r>
      <w:r w:rsidRPr="00EC5D4D">
        <w:rPr>
          <w:rFonts w:asciiTheme="minorHAnsi" w:hAnsiTheme="minorHAnsi" w:cstheme="minorHAnsi"/>
          <w:color w:val="000000"/>
        </w:rPr>
        <w:t xml:space="preserve"> a succinct, high level WTDC-25 declaration focused on ITU-D's mandate in connecting the unconnected and promoting digital transformation. With reference to the draft Declaration, the United States proposes deletion of language affirming the 2030 Agenda for Sustainable Development and Sustainable Development Goals. The United States also opposes references to climate change throughout the document and addition of any text promoting diversity, equity and inclusion policies.  </w:t>
      </w:r>
    </w:p>
    <w:p w14:paraId="50765D9C" w14:textId="77777777" w:rsidR="00345D4A" w:rsidRPr="00EC5D4D" w:rsidRDefault="00345D4A" w:rsidP="00345D4A">
      <w:pPr>
        <w:pStyle w:val="NormalWeb"/>
        <w:numPr>
          <w:ilvl w:val="0"/>
          <w:numId w:val="9"/>
        </w:numPr>
        <w:shd w:val="clear" w:color="auto" w:fill="FFFFFF"/>
        <w:jc w:val="both"/>
        <w:rPr>
          <w:rFonts w:asciiTheme="minorHAnsi" w:hAnsiTheme="minorHAnsi" w:cstheme="minorHAnsi"/>
        </w:rPr>
      </w:pPr>
      <w:proofErr w:type="gramStart"/>
      <w:r w:rsidRPr="00EC5D4D">
        <w:rPr>
          <w:rFonts w:asciiTheme="minorHAnsi" w:hAnsiTheme="minorHAnsi" w:cstheme="minorHAnsi"/>
          <w:b/>
          <w:bCs/>
          <w:color w:val="000000"/>
        </w:rPr>
        <w:t>A number of</w:t>
      </w:r>
      <w:proofErr w:type="gramEnd"/>
      <w:r w:rsidRPr="00EC5D4D">
        <w:rPr>
          <w:rFonts w:asciiTheme="minorHAnsi" w:hAnsiTheme="minorHAnsi" w:cstheme="minorHAnsi"/>
          <w:b/>
          <w:bCs/>
          <w:color w:val="000000"/>
        </w:rPr>
        <w:t xml:space="preserve"> Member States </w:t>
      </w:r>
      <w:r w:rsidRPr="00EC5D4D">
        <w:rPr>
          <w:rFonts w:asciiTheme="minorHAnsi" w:hAnsiTheme="minorHAnsi" w:cstheme="minorHAnsi"/>
          <w:color w:val="000000"/>
        </w:rPr>
        <w:t xml:space="preserve">opposed the modifications to the text of the draft Baku Declaration suggested by the United States, recalling PP and WTDC Resolutions and affirming their support for ITU-D’s work in those areas. </w:t>
      </w:r>
    </w:p>
    <w:p w14:paraId="2AC7FF82" w14:textId="5CA7C246" w:rsidR="00983605" w:rsidRPr="00FE3916" w:rsidRDefault="00983605" w:rsidP="00983605">
      <w:pPr>
        <w:pStyle w:val="NormalWeb"/>
        <w:numPr>
          <w:ilvl w:val="0"/>
          <w:numId w:val="9"/>
        </w:numPr>
        <w:shd w:val="clear" w:color="auto" w:fill="FFFFFF"/>
        <w:jc w:val="both"/>
        <w:rPr>
          <w:rFonts w:asciiTheme="minorHAnsi" w:hAnsiTheme="minorHAnsi" w:cstheme="minorHAnsi"/>
        </w:rPr>
      </w:pPr>
      <w:r w:rsidRPr="00FE3916">
        <w:rPr>
          <w:rFonts w:asciiTheme="minorHAnsi" w:hAnsiTheme="minorHAnsi" w:cstheme="minorHAnsi"/>
          <w:b/>
          <w:bCs/>
        </w:rPr>
        <w:t>Brazil</w:t>
      </w:r>
      <w:r w:rsidRPr="00983605">
        <w:rPr>
          <w:rFonts w:asciiTheme="minorHAnsi" w:hAnsiTheme="minorHAnsi" w:cstheme="minorHAnsi"/>
        </w:rPr>
        <w:t xml:space="preserve"> </w:t>
      </w:r>
      <w:r w:rsidR="00C913B8" w:rsidRPr="00FE3916">
        <w:rPr>
          <w:rFonts w:asciiTheme="minorHAnsi" w:hAnsiTheme="minorHAnsi" w:cstheme="minorHAnsi"/>
          <w:b/>
          <w:bCs/>
        </w:rPr>
        <w:t>and the League of Arab States (LAS)</w:t>
      </w:r>
      <w:r w:rsidR="00C913B8">
        <w:rPr>
          <w:rFonts w:asciiTheme="minorHAnsi" w:hAnsiTheme="minorHAnsi" w:cstheme="minorHAnsi"/>
        </w:rPr>
        <w:t xml:space="preserve"> </w:t>
      </w:r>
      <w:r w:rsidRPr="00983605">
        <w:rPr>
          <w:rFonts w:asciiTheme="minorHAnsi" w:hAnsiTheme="minorHAnsi" w:cstheme="minorHAnsi"/>
        </w:rPr>
        <w:t>requested the inclusion of the phrase ‘technology transfer’ in paragraph 3</w:t>
      </w:r>
      <w:r>
        <w:rPr>
          <w:rFonts w:asciiTheme="minorHAnsi" w:hAnsiTheme="minorHAnsi" w:cstheme="minorHAnsi"/>
        </w:rPr>
        <w:t xml:space="preserve"> of the </w:t>
      </w:r>
      <w:r w:rsidR="00A10E24">
        <w:rPr>
          <w:rFonts w:asciiTheme="minorHAnsi" w:hAnsiTheme="minorHAnsi" w:cstheme="minorHAnsi"/>
        </w:rPr>
        <w:t>text in Annex 1</w:t>
      </w:r>
      <w:r w:rsidRPr="00983605">
        <w:rPr>
          <w:rFonts w:asciiTheme="minorHAnsi" w:hAnsiTheme="minorHAnsi" w:cstheme="minorHAnsi"/>
        </w:rPr>
        <w:t xml:space="preserve">, before ‘knowledge transfer initiatives’, as it constitutes a relevant instrument to foster development and is enshrined in many ITU </w:t>
      </w:r>
      <w:r w:rsidRPr="00983605">
        <w:rPr>
          <w:rFonts w:asciiTheme="minorHAnsi" w:hAnsiTheme="minorHAnsi" w:cstheme="minorHAnsi"/>
        </w:rPr>
        <w:lastRenderedPageBreak/>
        <w:t xml:space="preserve">resolutions. Although this was not reflected in the text at this stage, Brazil </w:t>
      </w:r>
      <w:r w:rsidR="0096390C">
        <w:rPr>
          <w:rFonts w:asciiTheme="minorHAnsi" w:hAnsiTheme="minorHAnsi" w:cstheme="minorHAnsi"/>
        </w:rPr>
        <w:t xml:space="preserve">and LAS </w:t>
      </w:r>
      <w:r w:rsidRPr="00983605">
        <w:rPr>
          <w:rFonts w:asciiTheme="minorHAnsi" w:hAnsiTheme="minorHAnsi" w:cstheme="minorHAnsi"/>
        </w:rPr>
        <w:t xml:space="preserve">strongly suggest </w:t>
      </w:r>
      <w:r w:rsidR="00703BF5">
        <w:rPr>
          <w:rFonts w:asciiTheme="minorHAnsi" w:hAnsiTheme="minorHAnsi" w:cstheme="minorHAnsi"/>
        </w:rPr>
        <w:t xml:space="preserve">incorporating this important concept in the </w:t>
      </w:r>
      <w:r w:rsidR="004B47A6">
        <w:rPr>
          <w:rFonts w:asciiTheme="minorHAnsi" w:hAnsiTheme="minorHAnsi" w:cstheme="minorHAnsi"/>
        </w:rPr>
        <w:t xml:space="preserve">Baku Declaration. </w:t>
      </w:r>
      <w:r w:rsidRPr="00983605">
        <w:rPr>
          <w:rFonts w:asciiTheme="minorHAnsi" w:hAnsiTheme="minorHAnsi" w:cstheme="minorHAnsi"/>
        </w:rPr>
        <w:t xml:space="preserve"> </w:t>
      </w:r>
    </w:p>
    <w:p w14:paraId="67F1FCD7" w14:textId="6A699C1B" w:rsidR="00345D4A" w:rsidRPr="003C0A4E" w:rsidRDefault="008B3B76" w:rsidP="00345D4A">
      <w:pPr>
        <w:pStyle w:val="NormalWeb"/>
        <w:numPr>
          <w:ilvl w:val="0"/>
          <w:numId w:val="9"/>
        </w:numPr>
        <w:shd w:val="clear" w:color="auto" w:fill="FFFFFF"/>
        <w:jc w:val="both"/>
        <w:rPr>
          <w:rFonts w:asciiTheme="minorHAnsi" w:hAnsiTheme="minorHAnsi" w:cstheme="minorHAnsi"/>
        </w:rPr>
      </w:pPr>
      <w:r>
        <w:rPr>
          <w:rFonts w:asciiTheme="minorHAnsi" w:hAnsiTheme="minorHAnsi" w:cstheme="minorHAnsi"/>
          <w:b/>
          <w:bCs/>
          <w:color w:val="000000"/>
        </w:rPr>
        <w:t xml:space="preserve">The </w:t>
      </w:r>
      <w:r w:rsidR="00345D4A" w:rsidRPr="003C0A4E">
        <w:rPr>
          <w:rFonts w:asciiTheme="minorHAnsi" w:hAnsiTheme="minorHAnsi" w:cstheme="minorHAnsi"/>
          <w:b/>
          <w:bCs/>
          <w:color w:val="000000"/>
        </w:rPr>
        <w:t>African Telecommunication Union (ATU)</w:t>
      </w:r>
      <w:r w:rsidR="00345D4A" w:rsidRPr="003C0A4E">
        <w:rPr>
          <w:rFonts w:asciiTheme="minorHAnsi" w:hAnsiTheme="minorHAnsi" w:cstheme="minorHAnsi"/>
          <w:color w:val="000000"/>
        </w:rPr>
        <w:t xml:space="preserve"> </w:t>
      </w:r>
      <w:r w:rsidR="00345D4A" w:rsidRPr="00F715DD">
        <w:rPr>
          <w:rFonts w:asciiTheme="minorHAnsi" w:hAnsiTheme="minorHAnsi" w:cstheme="minorHAnsi"/>
          <w:color w:val="000000"/>
        </w:rPr>
        <w:t xml:space="preserve">stressed orally the importance for </w:t>
      </w:r>
      <w:r w:rsidR="00345D4A" w:rsidRPr="003C0A4E">
        <w:rPr>
          <w:rFonts w:asciiTheme="minorHAnsi" w:hAnsiTheme="minorHAnsi" w:cstheme="minorHAnsi"/>
          <w:color w:val="000000"/>
        </w:rPr>
        <w:t xml:space="preserve">the </w:t>
      </w:r>
      <w:r w:rsidR="00345D4A" w:rsidRPr="00F715DD">
        <w:rPr>
          <w:rFonts w:asciiTheme="minorHAnsi" w:hAnsiTheme="minorHAnsi" w:cstheme="minorHAnsi"/>
          <w:color w:val="000000"/>
        </w:rPr>
        <w:t>D</w:t>
      </w:r>
      <w:r w:rsidR="00345D4A" w:rsidRPr="003C0A4E">
        <w:rPr>
          <w:rFonts w:asciiTheme="minorHAnsi" w:hAnsiTheme="minorHAnsi" w:cstheme="minorHAnsi"/>
          <w:color w:val="000000"/>
        </w:rPr>
        <w:t xml:space="preserve">eceleration to include </w:t>
      </w:r>
      <w:r w:rsidR="00345D4A" w:rsidRPr="00F715DD">
        <w:rPr>
          <w:rFonts w:asciiTheme="minorHAnsi" w:hAnsiTheme="minorHAnsi" w:cstheme="minorHAnsi"/>
          <w:color w:val="000000"/>
        </w:rPr>
        <w:t xml:space="preserve">a </w:t>
      </w:r>
      <w:r w:rsidR="00345D4A" w:rsidRPr="003C0A4E">
        <w:rPr>
          <w:rFonts w:asciiTheme="minorHAnsi" w:hAnsiTheme="minorHAnsi" w:cstheme="minorHAnsi"/>
          <w:color w:val="000000"/>
        </w:rPr>
        <w:t xml:space="preserve">commitment to ensuring </w:t>
      </w:r>
      <w:r w:rsidR="00345D4A" w:rsidRPr="00F715DD">
        <w:rPr>
          <w:rFonts w:asciiTheme="minorHAnsi" w:hAnsiTheme="minorHAnsi" w:cstheme="minorHAnsi"/>
          <w:color w:val="000000"/>
        </w:rPr>
        <w:t xml:space="preserve">the </w:t>
      </w:r>
      <w:r w:rsidR="00345D4A" w:rsidRPr="003C0A4E">
        <w:rPr>
          <w:rFonts w:asciiTheme="minorHAnsi" w:hAnsiTheme="minorHAnsi" w:cstheme="minorHAnsi"/>
          <w:color w:val="000000"/>
        </w:rPr>
        <w:t xml:space="preserve">affordability of </w:t>
      </w:r>
      <w:r w:rsidR="00345D4A" w:rsidRPr="00F715DD">
        <w:rPr>
          <w:rFonts w:asciiTheme="minorHAnsi" w:hAnsiTheme="minorHAnsi" w:cstheme="minorHAnsi"/>
          <w:color w:val="000000"/>
        </w:rPr>
        <w:t xml:space="preserve">both telecommunication/ICT </w:t>
      </w:r>
      <w:r w:rsidR="00345D4A" w:rsidRPr="003C0A4E">
        <w:rPr>
          <w:rFonts w:asciiTheme="minorHAnsi" w:hAnsiTheme="minorHAnsi" w:cstheme="minorHAnsi"/>
          <w:color w:val="000000"/>
        </w:rPr>
        <w:t>devices and services</w:t>
      </w:r>
      <w:r w:rsidR="00345D4A" w:rsidRPr="00F715DD">
        <w:rPr>
          <w:rFonts w:asciiTheme="minorHAnsi" w:hAnsiTheme="minorHAnsi" w:cstheme="minorHAnsi"/>
          <w:color w:val="000000"/>
        </w:rPr>
        <w:t>.</w:t>
      </w:r>
    </w:p>
    <w:p w14:paraId="5B61E805" w14:textId="51B94906" w:rsidR="0031107A" w:rsidRPr="00FC47EB" w:rsidRDefault="00CF227A" w:rsidP="008227FC">
      <w:pPr>
        <w:pStyle w:val="NormalWeb"/>
        <w:numPr>
          <w:ilvl w:val="0"/>
          <w:numId w:val="9"/>
        </w:numPr>
        <w:shd w:val="clear" w:color="auto" w:fill="FFFFFF"/>
        <w:jc w:val="both"/>
        <w:rPr>
          <w:rFonts w:asciiTheme="minorHAnsi" w:hAnsiTheme="minorHAnsi" w:cstheme="minorHAnsi"/>
        </w:rPr>
      </w:pPr>
      <w:r w:rsidRPr="00FC47EB">
        <w:rPr>
          <w:rFonts w:asciiTheme="minorHAnsi" w:hAnsiTheme="minorHAnsi" w:cstheme="minorHAnsi"/>
          <w:b/>
          <w:bCs/>
          <w:color w:val="000000"/>
        </w:rPr>
        <w:t>LAS</w:t>
      </w:r>
      <w:r w:rsidR="00345D4A" w:rsidRPr="00FC47EB">
        <w:rPr>
          <w:rFonts w:asciiTheme="minorHAnsi" w:hAnsiTheme="minorHAnsi" w:cstheme="minorHAnsi"/>
          <w:color w:val="000000"/>
        </w:rPr>
        <w:t xml:space="preserve"> and</w:t>
      </w:r>
      <w:r w:rsidR="008B3B76" w:rsidRPr="00FC47EB">
        <w:rPr>
          <w:rFonts w:asciiTheme="minorHAnsi" w:hAnsiTheme="minorHAnsi" w:cstheme="minorHAnsi"/>
          <w:color w:val="000000"/>
        </w:rPr>
        <w:t xml:space="preserve"> the</w:t>
      </w:r>
      <w:r w:rsidR="00345D4A" w:rsidRPr="00FC47EB">
        <w:rPr>
          <w:rFonts w:asciiTheme="minorHAnsi" w:hAnsiTheme="minorHAnsi" w:cstheme="minorHAnsi"/>
          <w:color w:val="000000"/>
        </w:rPr>
        <w:t xml:space="preserve"> </w:t>
      </w:r>
      <w:r w:rsidR="00345D4A" w:rsidRPr="00FC47EB">
        <w:rPr>
          <w:rFonts w:asciiTheme="minorHAnsi" w:hAnsiTheme="minorHAnsi" w:cstheme="minorHAnsi"/>
          <w:b/>
          <w:bCs/>
          <w:color w:val="000000"/>
        </w:rPr>
        <w:t>Regional Commonwealth in the Field of Communications (RCC)</w:t>
      </w:r>
      <w:r w:rsidR="00345D4A" w:rsidRPr="00FC47EB">
        <w:rPr>
          <w:rFonts w:asciiTheme="minorHAnsi" w:hAnsiTheme="minorHAnsi" w:cstheme="minorHAnsi"/>
          <w:color w:val="000000"/>
        </w:rPr>
        <w:t xml:space="preserve"> emphasized the critical role of new and emerging technologies and AI </w:t>
      </w:r>
      <w:proofErr w:type="gramStart"/>
      <w:r w:rsidR="00345D4A" w:rsidRPr="00FC47EB">
        <w:rPr>
          <w:rFonts w:asciiTheme="minorHAnsi" w:hAnsiTheme="minorHAnsi" w:cstheme="minorHAnsi"/>
          <w:color w:val="000000"/>
        </w:rPr>
        <w:t>in particular in</w:t>
      </w:r>
      <w:proofErr w:type="gramEnd"/>
      <w:r w:rsidR="00345D4A" w:rsidRPr="00FC47EB">
        <w:rPr>
          <w:rFonts w:asciiTheme="minorHAnsi" w:hAnsiTheme="minorHAnsi" w:cstheme="minorHAnsi"/>
          <w:color w:val="000000"/>
        </w:rPr>
        <w:t xml:space="preserve"> the context of digital development and expressed their preference for specific language reflecting it.</w:t>
      </w:r>
    </w:p>
    <w:p w14:paraId="76B33575" w14:textId="77777777" w:rsidR="00345D4A" w:rsidRPr="00EC5D4D" w:rsidRDefault="00345D4A" w:rsidP="00014F15">
      <w:pPr>
        <w:pStyle w:val="NormalWeb"/>
        <w:shd w:val="clear" w:color="auto" w:fill="FFFFFF"/>
        <w:spacing w:before="120" w:after="120"/>
        <w:jc w:val="both"/>
        <w:rPr>
          <w:rFonts w:asciiTheme="minorHAnsi" w:hAnsiTheme="minorHAnsi" w:cstheme="minorHAnsi"/>
        </w:rPr>
      </w:pPr>
      <w:r w:rsidRPr="00EC5D4D">
        <w:rPr>
          <w:rFonts w:asciiTheme="minorHAnsi" w:hAnsiTheme="minorHAnsi" w:cstheme="minorHAnsi"/>
          <w:color w:val="000000"/>
        </w:rPr>
        <w:t xml:space="preserve">When preparing proposals for WTDC-25, ITU-D membership is invited to consider the </w:t>
      </w:r>
      <w:r w:rsidRPr="00EC5D4D">
        <w:rPr>
          <w:rFonts w:asciiTheme="minorHAnsi" w:hAnsiTheme="minorHAnsi" w:cstheme="minorHAnsi"/>
          <w:b/>
          <w:bCs/>
          <w:color w:val="000000"/>
        </w:rPr>
        <w:t>general views of individual Member States</w:t>
      </w:r>
      <w:r w:rsidRPr="00EC5D4D">
        <w:rPr>
          <w:rFonts w:asciiTheme="minorHAnsi" w:hAnsiTheme="minorHAnsi" w:cstheme="minorHAnsi"/>
          <w:color w:val="000000"/>
        </w:rPr>
        <w:t xml:space="preserve"> discussed during TDAG-25 and expressed in the following contributions:</w:t>
      </w:r>
    </w:p>
    <w:p w14:paraId="5416C31D" w14:textId="77777777" w:rsidR="00345D4A" w:rsidRPr="00EC5D4D" w:rsidRDefault="00345D4A" w:rsidP="00345D4A">
      <w:pPr>
        <w:pStyle w:val="NormalWeb"/>
        <w:numPr>
          <w:ilvl w:val="0"/>
          <w:numId w:val="10"/>
        </w:numPr>
        <w:shd w:val="clear" w:color="auto" w:fill="FFFFFF"/>
        <w:jc w:val="both"/>
        <w:rPr>
          <w:rFonts w:asciiTheme="minorHAnsi" w:hAnsiTheme="minorHAnsi" w:cstheme="minorHAnsi"/>
        </w:rPr>
      </w:pPr>
      <w:hyperlink r:id="rId39" w:tooltip="Original URL: https://www.itu.int/md/D22-TDAG32-C-0056/en. Click or tap if you trust this link." w:history="1">
        <w:r w:rsidRPr="00EC5D4D">
          <w:rPr>
            <w:rStyle w:val="Hyperlink"/>
            <w:rFonts w:asciiTheme="minorHAnsi" w:hAnsiTheme="minorHAnsi" w:cstheme="minorHAnsi"/>
          </w:rPr>
          <w:t>Document TDAG-25/56</w:t>
        </w:r>
      </w:hyperlink>
      <w:r w:rsidRPr="00EC5D4D">
        <w:rPr>
          <w:rFonts w:asciiTheme="minorHAnsi" w:hAnsiTheme="minorHAnsi" w:cstheme="minorHAnsi"/>
          <w:color w:val="000000"/>
        </w:rPr>
        <w:t> ‘Initial U.S. Views in Advance of WTDC-25’</w:t>
      </w:r>
      <w:r>
        <w:rPr>
          <w:rFonts w:asciiTheme="minorHAnsi" w:hAnsiTheme="minorHAnsi" w:cstheme="minorHAnsi"/>
          <w:color w:val="000000"/>
        </w:rPr>
        <w:t xml:space="preserve"> from the United States, and </w:t>
      </w:r>
    </w:p>
    <w:p w14:paraId="084801E3" w14:textId="77777777" w:rsidR="00345D4A" w:rsidRPr="00EC5D4D" w:rsidRDefault="00345D4A" w:rsidP="00345D4A">
      <w:pPr>
        <w:pStyle w:val="NormalWeb"/>
        <w:numPr>
          <w:ilvl w:val="0"/>
          <w:numId w:val="10"/>
        </w:numPr>
        <w:shd w:val="clear" w:color="auto" w:fill="FFFFFF"/>
        <w:jc w:val="both"/>
        <w:rPr>
          <w:rFonts w:asciiTheme="minorHAnsi" w:hAnsiTheme="minorHAnsi" w:cstheme="minorHAnsi"/>
        </w:rPr>
      </w:pPr>
      <w:hyperlink r:id="rId40" w:tooltip="Original URL: https://www.itu.int/md/D22-TDAG32-C-0056/en. Click or tap if you trust this link." w:history="1">
        <w:r w:rsidRPr="00EC5D4D">
          <w:rPr>
            <w:rStyle w:val="Hyperlink"/>
            <w:rFonts w:asciiTheme="minorHAnsi" w:hAnsiTheme="minorHAnsi" w:cstheme="minorHAnsi"/>
          </w:rPr>
          <w:t>Document TDAG-25/48</w:t>
        </w:r>
      </w:hyperlink>
      <w:r w:rsidRPr="00EC5D4D">
        <w:rPr>
          <w:rFonts w:asciiTheme="minorHAnsi" w:hAnsiTheme="minorHAnsi" w:cstheme="minorHAnsi"/>
          <w:color w:val="000000"/>
        </w:rPr>
        <w:t> ‘Reflections and Recommendations on the Active Participation of the ITU Telecommunication Development Sector (ITU-D) in Achieving the Digital Future’ </w:t>
      </w:r>
      <w:r>
        <w:rPr>
          <w:rFonts w:asciiTheme="minorHAnsi" w:hAnsiTheme="minorHAnsi" w:cstheme="minorHAnsi"/>
          <w:color w:val="000000"/>
        </w:rPr>
        <w:t>from China.</w:t>
      </w:r>
    </w:p>
    <w:bookmarkEnd w:id="8"/>
    <w:p w14:paraId="00A262D2" w14:textId="775A9EF7" w:rsidR="009D593D" w:rsidRPr="00C40E2E" w:rsidRDefault="008A5837" w:rsidP="00D61BDB">
      <w:pPr>
        <w:pStyle w:val="ListParagraph"/>
        <w:keepNext/>
        <w:numPr>
          <w:ilvl w:val="0"/>
          <w:numId w:val="3"/>
        </w:numPr>
        <w:spacing w:after="120"/>
        <w:ind w:left="357" w:hanging="357"/>
        <w:contextualSpacing w:val="0"/>
        <w:jc w:val="both"/>
        <w:rPr>
          <w:b/>
          <w:bCs/>
        </w:rPr>
      </w:pPr>
      <w:r>
        <w:rPr>
          <w:b/>
          <w:bCs/>
        </w:rPr>
        <w:t>Consult</w:t>
      </w:r>
      <w:r w:rsidR="00AA3C8A">
        <w:rPr>
          <w:b/>
          <w:bCs/>
        </w:rPr>
        <w:t xml:space="preserve">ations </w:t>
      </w:r>
    </w:p>
    <w:p w14:paraId="5FBC0966" w14:textId="1F80A2FF" w:rsidR="00975305" w:rsidRPr="00975305" w:rsidRDefault="00975305" w:rsidP="00F64F38">
      <w:pPr>
        <w:spacing w:after="120"/>
        <w:jc w:val="both"/>
        <w:rPr>
          <w:szCs w:val="24"/>
        </w:rPr>
      </w:pPr>
      <w:r w:rsidRPr="00975305">
        <w:rPr>
          <w:szCs w:val="24"/>
        </w:rPr>
        <w:t xml:space="preserve">Regional Telecommunication Organizations were invited to provide progress reports on their preparations for WTDC-25 during each </w:t>
      </w:r>
      <w:r>
        <w:rPr>
          <w:szCs w:val="24"/>
        </w:rPr>
        <w:t xml:space="preserve">group </w:t>
      </w:r>
      <w:r w:rsidRPr="00975305">
        <w:rPr>
          <w:szCs w:val="24"/>
        </w:rPr>
        <w:t>meeting.</w:t>
      </w:r>
    </w:p>
    <w:p w14:paraId="46BF89DE" w14:textId="4E17A6CC" w:rsidR="00E178EC" w:rsidRDefault="00AA3C8A" w:rsidP="00F64F38">
      <w:pPr>
        <w:tabs>
          <w:tab w:val="clear" w:pos="794"/>
          <w:tab w:val="clear" w:pos="1191"/>
          <w:tab w:val="clear" w:pos="1588"/>
          <w:tab w:val="clear" w:pos="1985"/>
          <w:tab w:val="left" w:pos="828"/>
          <w:tab w:val="left" w:pos="6532"/>
        </w:tabs>
        <w:spacing w:after="120"/>
        <w:jc w:val="both"/>
      </w:pPr>
      <w:r>
        <w:t>T</w:t>
      </w:r>
      <w:r w:rsidR="00E178EC">
        <w:t>he TDAG-WG-DEC Chair provide</w:t>
      </w:r>
      <w:r w:rsidR="00741EFC">
        <w:t>d</w:t>
      </w:r>
      <w:r w:rsidR="00E178EC">
        <w:t xml:space="preserve"> progress </w:t>
      </w:r>
      <w:r>
        <w:t xml:space="preserve">reports </w:t>
      </w:r>
      <w:r w:rsidR="00E178EC">
        <w:t xml:space="preserve">of the </w:t>
      </w:r>
      <w:r w:rsidR="00741EFC">
        <w:t>g</w:t>
      </w:r>
      <w:r w:rsidR="00E178EC">
        <w:t>roup</w:t>
      </w:r>
      <w:r>
        <w:t>’s work</w:t>
      </w:r>
      <w:r w:rsidR="00E178EC">
        <w:t xml:space="preserve"> to the Regional Preparatory Meetings (RPMs) in the </w:t>
      </w:r>
      <w:r>
        <w:t>lead-up</w:t>
      </w:r>
      <w:r w:rsidR="00E178EC">
        <w:t xml:space="preserve"> to WTDC-25. </w:t>
      </w:r>
    </w:p>
    <w:p w14:paraId="13276177" w14:textId="6A8B26C1" w:rsidR="00FC581A" w:rsidRPr="002B48CF" w:rsidRDefault="00B4000B" w:rsidP="002B48CF">
      <w:pPr>
        <w:pStyle w:val="ListParagraph"/>
        <w:keepNext/>
        <w:numPr>
          <w:ilvl w:val="0"/>
          <w:numId w:val="3"/>
        </w:numPr>
        <w:spacing w:after="120"/>
        <w:ind w:left="357" w:hanging="357"/>
        <w:contextualSpacing w:val="0"/>
        <w:jc w:val="both"/>
        <w:rPr>
          <w:b/>
          <w:bCs/>
        </w:rPr>
      </w:pPr>
      <w:r w:rsidRPr="002B48CF">
        <w:rPr>
          <w:b/>
          <w:bCs/>
        </w:rPr>
        <w:t>Outcomes and next steps</w:t>
      </w:r>
    </w:p>
    <w:p w14:paraId="64A8A974" w14:textId="108EA318" w:rsidR="00B4000B" w:rsidRDefault="00B4000B" w:rsidP="00BB47A2">
      <w:pPr>
        <w:tabs>
          <w:tab w:val="clear" w:pos="794"/>
          <w:tab w:val="clear" w:pos="1191"/>
          <w:tab w:val="clear" w:pos="1588"/>
          <w:tab w:val="clear" w:pos="1985"/>
          <w:tab w:val="left" w:pos="828"/>
          <w:tab w:val="left" w:pos="6532"/>
        </w:tabs>
        <w:spacing w:after="120"/>
        <w:jc w:val="both"/>
        <w:rPr>
          <w:rFonts w:cstheme="minorHAnsi"/>
          <w:szCs w:val="24"/>
        </w:rPr>
      </w:pPr>
      <w:r>
        <w:rPr>
          <w:rFonts w:cstheme="minorHAnsi"/>
          <w:szCs w:val="24"/>
        </w:rPr>
        <w:t xml:space="preserve">At its </w:t>
      </w:r>
      <w:r w:rsidR="0005410C">
        <w:rPr>
          <w:rFonts w:cstheme="minorHAnsi"/>
          <w:szCs w:val="24"/>
        </w:rPr>
        <w:t>last</w:t>
      </w:r>
      <w:r>
        <w:rPr>
          <w:rFonts w:cstheme="minorHAnsi"/>
          <w:szCs w:val="24"/>
        </w:rPr>
        <w:t xml:space="preserve"> meeting, </w:t>
      </w:r>
      <w:r w:rsidR="00891FC6">
        <w:rPr>
          <w:rFonts w:cstheme="minorHAnsi"/>
          <w:szCs w:val="24"/>
        </w:rPr>
        <w:t xml:space="preserve">TDAG-WG-DEC </w:t>
      </w:r>
      <w:r w:rsidRPr="00B4000B">
        <w:rPr>
          <w:rFonts w:cstheme="minorHAnsi"/>
          <w:szCs w:val="24"/>
        </w:rPr>
        <w:t>agreed to retain the title of the Declaration: ‘</w:t>
      </w:r>
      <w:r w:rsidRPr="002B48CF">
        <w:rPr>
          <w:rFonts w:cstheme="minorHAnsi"/>
          <w:i/>
          <w:iCs/>
          <w:szCs w:val="24"/>
        </w:rPr>
        <w:t>Universal, meaningful and affordable connectivity for an inclusive and sustainable digital future</w:t>
      </w:r>
      <w:r w:rsidRPr="00B4000B">
        <w:rPr>
          <w:rFonts w:cstheme="minorHAnsi"/>
          <w:szCs w:val="24"/>
        </w:rPr>
        <w:t>’. In line with past practice, this title will also serve as the theme of WTDC-25.</w:t>
      </w:r>
    </w:p>
    <w:p w14:paraId="3C706B04" w14:textId="748DC085" w:rsidR="00182220" w:rsidRPr="00783EE8" w:rsidRDefault="00E178EC" w:rsidP="00BB47A2">
      <w:pPr>
        <w:tabs>
          <w:tab w:val="clear" w:pos="794"/>
          <w:tab w:val="clear" w:pos="1191"/>
          <w:tab w:val="clear" w:pos="1588"/>
          <w:tab w:val="clear" w:pos="1985"/>
          <w:tab w:val="left" w:pos="828"/>
          <w:tab w:val="left" w:pos="6532"/>
        </w:tabs>
        <w:spacing w:after="120"/>
        <w:jc w:val="both"/>
      </w:pPr>
      <w:r w:rsidRPr="00741526">
        <w:rPr>
          <w:rFonts w:cstheme="minorHAnsi"/>
          <w:szCs w:val="24"/>
        </w:rPr>
        <w:t xml:space="preserve">The final </w:t>
      </w:r>
      <w:r w:rsidR="00C869F2">
        <w:rPr>
          <w:rFonts w:cstheme="minorHAnsi"/>
          <w:szCs w:val="24"/>
        </w:rPr>
        <w:t>draft Baku Declaration</w:t>
      </w:r>
      <w:r w:rsidRPr="00741526">
        <w:rPr>
          <w:rFonts w:cstheme="minorHAnsi"/>
          <w:szCs w:val="24"/>
        </w:rPr>
        <w:t xml:space="preserve"> agreed </w:t>
      </w:r>
      <w:r w:rsidR="003B15B9">
        <w:rPr>
          <w:rFonts w:cstheme="minorHAnsi"/>
          <w:szCs w:val="24"/>
        </w:rPr>
        <w:t xml:space="preserve">upon </w:t>
      </w:r>
      <w:r w:rsidRPr="00741526">
        <w:rPr>
          <w:rFonts w:cstheme="minorHAnsi"/>
          <w:szCs w:val="24"/>
        </w:rPr>
        <w:t xml:space="preserve">by </w:t>
      </w:r>
      <w:r w:rsidR="001405DA">
        <w:rPr>
          <w:rFonts w:cstheme="minorHAnsi"/>
          <w:szCs w:val="24"/>
        </w:rPr>
        <w:t>TDAG-WG-DEC</w:t>
      </w:r>
      <w:r w:rsidRPr="00741526">
        <w:rPr>
          <w:rFonts w:cstheme="minorHAnsi"/>
          <w:szCs w:val="24"/>
        </w:rPr>
        <w:t xml:space="preserve"> </w:t>
      </w:r>
      <w:r w:rsidR="001405DA">
        <w:rPr>
          <w:rFonts w:cstheme="minorHAnsi"/>
          <w:szCs w:val="24"/>
        </w:rPr>
        <w:t xml:space="preserve">at its </w:t>
      </w:r>
      <w:r w:rsidR="00306EC7">
        <w:rPr>
          <w:rFonts w:cstheme="minorHAnsi"/>
          <w:szCs w:val="24"/>
        </w:rPr>
        <w:t>last</w:t>
      </w:r>
      <w:r w:rsidR="001405DA">
        <w:rPr>
          <w:rFonts w:cstheme="minorHAnsi"/>
          <w:szCs w:val="24"/>
        </w:rPr>
        <w:t xml:space="preserve"> meeting </w:t>
      </w:r>
      <w:r w:rsidR="00C869F2">
        <w:rPr>
          <w:rFonts w:cstheme="minorHAnsi"/>
          <w:szCs w:val="24"/>
        </w:rPr>
        <w:t>is</w:t>
      </w:r>
      <w:r w:rsidRPr="00741526">
        <w:rPr>
          <w:rFonts w:cstheme="minorHAnsi"/>
          <w:szCs w:val="24"/>
        </w:rPr>
        <w:t xml:space="preserve"> </w:t>
      </w:r>
      <w:r w:rsidR="003B15B9">
        <w:rPr>
          <w:rFonts w:cstheme="minorHAnsi"/>
          <w:szCs w:val="24"/>
        </w:rPr>
        <w:t xml:space="preserve">presented </w:t>
      </w:r>
      <w:r w:rsidRPr="00741526">
        <w:rPr>
          <w:rFonts w:cstheme="minorHAnsi"/>
          <w:szCs w:val="24"/>
        </w:rPr>
        <w:t xml:space="preserve">for further consideration </w:t>
      </w:r>
      <w:r w:rsidR="00BE4C57">
        <w:rPr>
          <w:rFonts w:cstheme="minorHAnsi"/>
          <w:szCs w:val="24"/>
        </w:rPr>
        <w:t>to</w:t>
      </w:r>
      <w:r w:rsidR="00EF4315">
        <w:rPr>
          <w:rFonts w:cstheme="minorHAnsi"/>
          <w:szCs w:val="24"/>
        </w:rPr>
        <w:t xml:space="preserve"> </w:t>
      </w:r>
      <w:r w:rsidRPr="00741526">
        <w:rPr>
          <w:rFonts w:cstheme="minorHAnsi"/>
          <w:szCs w:val="24"/>
        </w:rPr>
        <w:t>TDAG-25</w:t>
      </w:r>
      <w:r w:rsidR="00C869F2">
        <w:rPr>
          <w:rFonts w:cstheme="minorHAnsi"/>
          <w:szCs w:val="24"/>
        </w:rPr>
        <w:t xml:space="preserve"> (see Annex 1). The draft </w:t>
      </w:r>
      <w:r w:rsidR="00C869F2">
        <w:rPr>
          <w:szCs w:val="24"/>
        </w:rPr>
        <w:t>is intended</w:t>
      </w:r>
      <w:r w:rsidR="00C869F2" w:rsidRPr="00BD1DB7">
        <w:rPr>
          <w:szCs w:val="24"/>
        </w:rPr>
        <w:t xml:space="preserve"> as input for </w:t>
      </w:r>
      <w:r w:rsidR="00C869F2">
        <w:rPr>
          <w:szCs w:val="24"/>
        </w:rPr>
        <w:t>RTOs and M</w:t>
      </w:r>
      <w:r w:rsidR="00C869F2" w:rsidRPr="00BD1DB7">
        <w:rPr>
          <w:szCs w:val="24"/>
        </w:rPr>
        <w:t>ember</w:t>
      </w:r>
      <w:r w:rsidR="00C869F2">
        <w:rPr>
          <w:szCs w:val="24"/>
        </w:rPr>
        <w:t xml:space="preserve"> States</w:t>
      </w:r>
      <w:r w:rsidR="00C869F2" w:rsidRPr="00BD1DB7">
        <w:rPr>
          <w:szCs w:val="24"/>
        </w:rPr>
        <w:t xml:space="preserve"> to consider in their preparation </w:t>
      </w:r>
      <w:r w:rsidR="00C869F2">
        <w:rPr>
          <w:szCs w:val="24"/>
        </w:rPr>
        <w:t>for</w:t>
      </w:r>
      <w:r w:rsidR="00C869F2" w:rsidRPr="00BD1DB7">
        <w:rPr>
          <w:szCs w:val="24"/>
        </w:rPr>
        <w:t xml:space="preserve"> </w:t>
      </w:r>
      <w:r w:rsidR="00C869F2">
        <w:rPr>
          <w:szCs w:val="24"/>
        </w:rPr>
        <w:t>the World Telecommunication Development Conference 2025 (WTDC-25)</w:t>
      </w:r>
      <w:r w:rsidR="00C869F2" w:rsidRPr="00BD1DB7">
        <w:rPr>
          <w:szCs w:val="24"/>
        </w:rPr>
        <w:t>.</w:t>
      </w:r>
      <w:r w:rsidR="00BC16D1" w:rsidRPr="00BC16D1">
        <w:t xml:space="preserve"> </w:t>
      </w:r>
      <w:r w:rsidR="00BC16D1" w:rsidRPr="00BC16D1">
        <w:rPr>
          <w:szCs w:val="24"/>
        </w:rPr>
        <w:t>The language of the Baku Declaration will be aligned, as appropriate, with the Baku Action Plan once the ITU-D Priorities have been finalized.</w:t>
      </w:r>
    </w:p>
    <w:p w14:paraId="69B70EE0" w14:textId="1D2BD8E3" w:rsidR="00EC6FED" w:rsidRDefault="00C869F2" w:rsidP="00F64F38">
      <w:pPr>
        <w:tabs>
          <w:tab w:val="clear" w:pos="794"/>
          <w:tab w:val="clear" w:pos="1191"/>
          <w:tab w:val="clear" w:pos="1588"/>
          <w:tab w:val="clear" w:pos="1985"/>
          <w:tab w:val="left" w:pos="828"/>
          <w:tab w:val="left" w:pos="6532"/>
        </w:tabs>
        <w:spacing w:after="120"/>
        <w:jc w:val="both"/>
        <w:rPr>
          <w:rFonts w:cstheme="minorHAnsi"/>
          <w:szCs w:val="24"/>
        </w:rPr>
      </w:pPr>
      <w:r>
        <w:rPr>
          <w:szCs w:val="24"/>
        </w:rPr>
        <w:t xml:space="preserve">As per past practice and </w:t>
      </w:r>
      <w:r w:rsidR="00575C8A">
        <w:rPr>
          <w:szCs w:val="24"/>
        </w:rPr>
        <w:t>upon the request of the group, t</w:t>
      </w:r>
      <w:r>
        <w:rPr>
          <w:rFonts w:cstheme="minorHAnsi"/>
          <w:szCs w:val="24"/>
        </w:rPr>
        <w:t xml:space="preserve">he Chair recommends </w:t>
      </w:r>
      <w:r w:rsidR="00575C8A">
        <w:rPr>
          <w:rFonts w:cstheme="minorHAnsi"/>
          <w:szCs w:val="24"/>
        </w:rPr>
        <w:t>the</w:t>
      </w:r>
      <w:r w:rsidR="00E178EC" w:rsidRPr="00741526">
        <w:rPr>
          <w:rFonts w:cstheme="minorHAnsi"/>
          <w:szCs w:val="24"/>
        </w:rPr>
        <w:t xml:space="preserve"> submission </w:t>
      </w:r>
      <w:r w:rsidR="00BF5CCB">
        <w:rPr>
          <w:rFonts w:cstheme="minorHAnsi"/>
          <w:szCs w:val="24"/>
        </w:rPr>
        <w:t xml:space="preserve">of this preliminary draft </w:t>
      </w:r>
      <w:r w:rsidR="00E178EC" w:rsidRPr="00741526">
        <w:rPr>
          <w:rFonts w:cstheme="minorHAnsi"/>
          <w:szCs w:val="24"/>
        </w:rPr>
        <w:t>as input to WTDC</w:t>
      </w:r>
      <w:r w:rsidR="00E178EC">
        <w:rPr>
          <w:rFonts w:cstheme="minorHAnsi"/>
          <w:szCs w:val="24"/>
        </w:rPr>
        <w:t>-25</w:t>
      </w:r>
      <w:r w:rsidR="00E178EC" w:rsidRPr="00741526">
        <w:rPr>
          <w:rFonts w:cstheme="minorHAnsi"/>
          <w:szCs w:val="24"/>
        </w:rPr>
        <w:t>.</w:t>
      </w:r>
    </w:p>
    <w:p w14:paraId="122E27B7" w14:textId="77777777" w:rsidR="00C869F2" w:rsidRDefault="00C869F2" w:rsidP="00F64F38">
      <w:pPr>
        <w:tabs>
          <w:tab w:val="clear" w:pos="794"/>
          <w:tab w:val="clear" w:pos="1191"/>
          <w:tab w:val="clear" w:pos="1588"/>
          <w:tab w:val="clear" w:pos="1985"/>
          <w:tab w:val="left" w:pos="828"/>
          <w:tab w:val="left" w:pos="6532"/>
        </w:tabs>
        <w:spacing w:after="120"/>
        <w:jc w:val="both"/>
        <w:rPr>
          <w:rFonts w:cstheme="minorHAnsi"/>
          <w:szCs w:val="24"/>
        </w:rPr>
      </w:pPr>
    </w:p>
    <w:p w14:paraId="4C0621CE" w14:textId="224BC57D" w:rsidR="00EF0E00" w:rsidRDefault="00EF0E00">
      <w:pPr>
        <w:tabs>
          <w:tab w:val="clear" w:pos="794"/>
          <w:tab w:val="clear" w:pos="1191"/>
          <w:tab w:val="clear" w:pos="1588"/>
          <w:tab w:val="clear" w:pos="1985"/>
        </w:tabs>
        <w:overflowPunct/>
        <w:autoSpaceDE/>
        <w:autoSpaceDN/>
        <w:adjustRightInd/>
        <w:spacing w:before="0"/>
        <w:textAlignment w:val="auto"/>
        <w:rPr>
          <w:rFonts w:cstheme="minorHAnsi"/>
          <w:szCs w:val="24"/>
        </w:rPr>
      </w:pPr>
      <w:r>
        <w:rPr>
          <w:rFonts w:cstheme="minorHAnsi"/>
          <w:szCs w:val="24"/>
        </w:rPr>
        <w:br w:type="page"/>
      </w:r>
    </w:p>
    <w:p w14:paraId="116CBB17" w14:textId="6D7ECC25" w:rsidR="00B22C73" w:rsidRPr="00C5334C" w:rsidRDefault="00B22C73" w:rsidP="00B22C73">
      <w:pPr>
        <w:tabs>
          <w:tab w:val="clear" w:pos="794"/>
          <w:tab w:val="clear" w:pos="1191"/>
          <w:tab w:val="clear" w:pos="1588"/>
          <w:tab w:val="clear" w:pos="1985"/>
          <w:tab w:val="left" w:pos="828"/>
          <w:tab w:val="left" w:pos="6532"/>
        </w:tabs>
        <w:spacing w:after="120"/>
        <w:jc w:val="center"/>
        <w:rPr>
          <w:b/>
          <w:bCs/>
        </w:rPr>
      </w:pPr>
      <w:r w:rsidRPr="00C5334C">
        <w:rPr>
          <w:b/>
          <w:bCs/>
        </w:rPr>
        <w:lastRenderedPageBreak/>
        <w:t>ANNEX 1</w:t>
      </w:r>
    </w:p>
    <w:p w14:paraId="39140AC3" w14:textId="61890879" w:rsidR="00EF0E00" w:rsidRDefault="00B22C73" w:rsidP="00B22C73">
      <w:pPr>
        <w:tabs>
          <w:tab w:val="clear" w:pos="794"/>
          <w:tab w:val="clear" w:pos="1191"/>
          <w:tab w:val="clear" w:pos="1588"/>
          <w:tab w:val="clear" w:pos="1985"/>
          <w:tab w:val="left" w:pos="828"/>
          <w:tab w:val="left" w:pos="6532"/>
        </w:tabs>
        <w:spacing w:after="120"/>
        <w:jc w:val="center"/>
        <w:rPr>
          <w:b/>
          <w:bCs/>
          <w:szCs w:val="28"/>
        </w:rPr>
      </w:pPr>
      <w:r w:rsidRPr="00B22C73">
        <w:rPr>
          <w:b/>
          <w:bCs/>
        </w:rPr>
        <w:t xml:space="preserve">TDAG-WG-DEC CHAIR’S </w:t>
      </w:r>
      <w:r w:rsidR="008C26FA">
        <w:rPr>
          <w:b/>
          <w:bCs/>
        </w:rPr>
        <w:t xml:space="preserve">DRAFT </w:t>
      </w:r>
      <w:r w:rsidRPr="00B22C73">
        <w:rPr>
          <w:b/>
          <w:bCs/>
          <w:szCs w:val="28"/>
        </w:rPr>
        <w:t>PROPOSAL FOR THE BAKU DECLARATION 2025</w:t>
      </w:r>
    </w:p>
    <w:p w14:paraId="1335EC59" w14:textId="79132266" w:rsidR="00476BBD" w:rsidRPr="00476BBD" w:rsidRDefault="00476BBD" w:rsidP="00B22C73">
      <w:pPr>
        <w:tabs>
          <w:tab w:val="clear" w:pos="794"/>
          <w:tab w:val="clear" w:pos="1191"/>
          <w:tab w:val="clear" w:pos="1588"/>
          <w:tab w:val="clear" w:pos="1985"/>
          <w:tab w:val="left" w:pos="828"/>
          <w:tab w:val="left" w:pos="6532"/>
        </w:tabs>
        <w:spacing w:after="120"/>
        <w:jc w:val="center"/>
        <w:rPr>
          <w:b/>
          <w:bCs/>
          <w:szCs w:val="28"/>
        </w:rPr>
      </w:pPr>
      <w:r w:rsidRPr="00476BBD">
        <w:rPr>
          <w:rFonts w:cstheme="minorHAnsi"/>
          <w:b/>
          <w:bCs/>
          <w:i/>
          <w:iCs/>
          <w:szCs w:val="24"/>
        </w:rPr>
        <w:t>Universal, meaningful and affordable connectivity for an inclusive and sustainable digital future</w:t>
      </w:r>
    </w:p>
    <w:p w14:paraId="6F17CEE8" w14:textId="77777777" w:rsidR="00C5334C" w:rsidRPr="00B22C73" w:rsidRDefault="00C5334C" w:rsidP="00EB255C">
      <w:pPr>
        <w:tabs>
          <w:tab w:val="clear" w:pos="794"/>
          <w:tab w:val="clear" w:pos="1191"/>
          <w:tab w:val="clear" w:pos="1588"/>
          <w:tab w:val="clear" w:pos="1985"/>
          <w:tab w:val="left" w:pos="828"/>
          <w:tab w:val="left" w:pos="6532"/>
        </w:tabs>
        <w:spacing w:after="120"/>
        <w:jc w:val="center"/>
        <w:rPr>
          <w:b/>
          <w:bCs/>
          <w:szCs w:val="28"/>
        </w:rPr>
      </w:pPr>
    </w:p>
    <w:p w14:paraId="133FC2E8" w14:textId="77777777" w:rsidR="0045296E" w:rsidRPr="005904A8" w:rsidRDefault="0045296E" w:rsidP="0045296E">
      <w:pPr>
        <w:spacing w:after="120"/>
        <w:jc w:val="both"/>
        <w:rPr>
          <w:rFonts w:cstheme="minorHAnsi"/>
          <w:szCs w:val="24"/>
        </w:rPr>
      </w:pPr>
      <w:bookmarkStart w:id="9" w:name="_Hlk196207963"/>
      <w:r w:rsidRPr="005904A8">
        <w:rPr>
          <w:rFonts w:cstheme="minorHAnsi"/>
          <w:szCs w:val="24"/>
        </w:rPr>
        <w:t xml:space="preserve">We, the representatives of ITU Member States endorse the present Declaration at the ninth World Telecommunication Development Conference (WTDC-25), which took place in Baku, Republic of Azerbaijan from 17 to 28 November 2025 under the theme </w:t>
      </w:r>
      <w:r w:rsidRPr="00461699">
        <w:rPr>
          <w:rFonts w:cstheme="minorHAnsi"/>
          <w:szCs w:val="24"/>
        </w:rPr>
        <w:t>’Universal, meaningful and affordable connectivity for an inclusive and sustainable digital future’.</w:t>
      </w:r>
    </w:p>
    <w:p w14:paraId="1024F1D6" w14:textId="77777777" w:rsidR="0045296E" w:rsidRPr="005904A8" w:rsidRDefault="0045296E" w:rsidP="0045296E">
      <w:pPr>
        <w:spacing w:after="120"/>
        <w:jc w:val="both"/>
        <w:rPr>
          <w:rFonts w:cstheme="minorHAnsi"/>
          <w:b/>
          <w:bCs/>
          <w:szCs w:val="24"/>
        </w:rPr>
      </w:pPr>
      <w:r w:rsidRPr="005904A8">
        <w:rPr>
          <w:rFonts w:cstheme="minorHAnsi"/>
          <w:szCs w:val="24"/>
        </w:rPr>
        <w:t xml:space="preserve">We reaffirm our unwavering commitment to the global development community and to advancing our shared objective of driving sustainable and equitable digital transformation and inclusive growth globally, building on the outcomes of WTDC-25 and recent </w:t>
      </w:r>
      <w:r>
        <w:rPr>
          <w:rFonts w:cstheme="minorHAnsi"/>
          <w:szCs w:val="24"/>
        </w:rPr>
        <w:t>United Nations</w:t>
      </w:r>
      <w:r w:rsidRPr="005904A8">
        <w:rPr>
          <w:rFonts w:cstheme="minorHAnsi"/>
          <w:szCs w:val="24"/>
        </w:rPr>
        <w:t xml:space="preserve"> processes and conferences.</w:t>
      </w:r>
    </w:p>
    <w:p w14:paraId="745E5104" w14:textId="77777777" w:rsidR="0045296E" w:rsidRPr="005904A8" w:rsidRDefault="0045296E" w:rsidP="0045296E">
      <w:pPr>
        <w:spacing w:after="120"/>
        <w:jc w:val="both"/>
        <w:rPr>
          <w:rFonts w:cstheme="minorHAnsi"/>
          <w:szCs w:val="24"/>
        </w:rPr>
      </w:pPr>
      <w:r w:rsidRPr="005904A8">
        <w:rPr>
          <w:rFonts w:cstheme="minorHAnsi"/>
          <w:szCs w:val="24"/>
        </w:rPr>
        <w:t xml:space="preserve">We recognize the tremendous progress made in advancing ICT and digital development across all regions; however persistent challenges and disparities continue to hinder universal, meaningful and affordable connectivity, </w:t>
      </w:r>
      <w:r w:rsidRPr="00891B62">
        <w:rPr>
          <w:rFonts w:cstheme="minorHAnsi"/>
          <w:szCs w:val="24"/>
        </w:rPr>
        <w:t>within countries and across countries</w:t>
      </w:r>
      <w:r>
        <w:rPr>
          <w:rFonts w:cstheme="minorHAnsi"/>
          <w:szCs w:val="24"/>
        </w:rPr>
        <w:t xml:space="preserve">, </w:t>
      </w:r>
      <w:r w:rsidRPr="005904A8">
        <w:rPr>
          <w:rFonts w:cstheme="minorHAnsi"/>
          <w:szCs w:val="24"/>
        </w:rPr>
        <w:t>particularly in developing countries</w:t>
      </w:r>
      <w:r>
        <w:rPr>
          <w:rFonts w:cstheme="minorHAnsi"/>
          <w:szCs w:val="24"/>
        </w:rPr>
        <w:t xml:space="preserve">, </w:t>
      </w:r>
      <w:r w:rsidRPr="00E7696B">
        <w:rPr>
          <w:rFonts w:cstheme="minorHAnsi"/>
          <w:szCs w:val="24"/>
        </w:rPr>
        <w:t>least developed countries (LDCs), landlocked developing countries (LLDCs), and small island developing states (SIDS).</w:t>
      </w:r>
      <w:r w:rsidRPr="005904A8">
        <w:rPr>
          <w:rFonts w:cstheme="minorHAnsi"/>
          <w:szCs w:val="24"/>
        </w:rPr>
        <w:t xml:space="preserve"> We therefore remain resolved to address these through enhanced international cooperation and continued engagement in the work of the ITU Telecommunication Development Sector</w:t>
      </w:r>
      <w:r>
        <w:rPr>
          <w:rFonts w:cstheme="minorHAnsi"/>
          <w:szCs w:val="24"/>
        </w:rPr>
        <w:t xml:space="preserve"> (ITU-D)</w:t>
      </w:r>
      <w:r w:rsidRPr="005904A8">
        <w:rPr>
          <w:rFonts w:cstheme="minorHAnsi"/>
          <w:szCs w:val="24"/>
        </w:rPr>
        <w:t>.</w:t>
      </w:r>
    </w:p>
    <w:p w14:paraId="61570215" w14:textId="77777777" w:rsidR="0045296E" w:rsidRPr="005904A8" w:rsidRDefault="0045296E" w:rsidP="0045296E">
      <w:pPr>
        <w:spacing w:after="120"/>
        <w:jc w:val="both"/>
        <w:rPr>
          <w:rFonts w:cstheme="minorHAnsi"/>
          <w:szCs w:val="24"/>
        </w:rPr>
      </w:pPr>
      <w:r w:rsidRPr="005904A8">
        <w:rPr>
          <w:rFonts w:cstheme="minorHAnsi"/>
          <w:szCs w:val="24"/>
        </w:rPr>
        <w:t>Mindful of the challenges and opportunities of digital transformation, we declare the following:</w:t>
      </w:r>
    </w:p>
    <w:p w14:paraId="61F7D4BD" w14:textId="77777777" w:rsidR="0045296E" w:rsidRDefault="0045296E" w:rsidP="00206EE0">
      <w:pPr>
        <w:pStyle w:val="ListParagraph"/>
        <w:numPr>
          <w:ilvl w:val="0"/>
          <w:numId w:val="6"/>
        </w:numPr>
        <w:spacing w:after="120"/>
        <w:ind w:left="540"/>
        <w:contextualSpacing w:val="0"/>
        <w:jc w:val="both"/>
        <w:rPr>
          <w:rFonts w:cstheme="minorHAnsi"/>
          <w:szCs w:val="24"/>
        </w:rPr>
      </w:pPr>
      <w:r w:rsidRPr="005904A8">
        <w:rPr>
          <w:rFonts w:cstheme="minorHAnsi"/>
          <w:b/>
          <w:bCs/>
          <w:szCs w:val="24"/>
        </w:rPr>
        <w:t xml:space="preserve">We are cognizant that </w:t>
      </w:r>
      <w:r>
        <w:rPr>
          <w:rFonts w:cstheme="minorHAnsi"/>
          <w:b/>
          <w:bCs/>
          <w:szCs w:val="24"/>
        </w:rPr>
        <w:t>telecommunications/ICTs, new</w:t>
      </w:r>
      <w:r w:rsidRPr="005904A8">
        <w:rPr>
          <w:rFonts w:cstheme="minorHAnsi"/>
          <w:b/>
          <w:bCs/>
          <w:szCs w:val="24"/>
        </w:rPr>
        <w:t xml:space="preserve"> and emerging </w:t>
      </w:r>
      <w:r>
        <w:rPr>
          <w:rFonts w:cstheme="minorHAnsi"/>
          <w:b/>
          <w:bCs/>
          <w:szCs w:val="24"/>
        </w:rPr>
        <w:t xml:space="preserve">digital </w:t>
      </w:r>
      <w:r w:rsidRPr="005904A8">
        <w:rPr>
          <w:rFonts w:cstheme="minorHAnsi"/>
          <w:b/>
          <w:bCs/>
          <w:szCs w:val="24"/>
        </w:rPr>
        <w:t xml:space="preserve">technologies are drivers of </w:t>
      </w:r>
      <w:r>
        <w:rPr>
          <w:rFonts w:cstheme="minorHAnsi"/>
          <w:b/>
          <w:bCs/>
          <w:szCs w:val="24"/>
        </w:rPr>
        <w:t>socio-</w:t>
      </w:r>
      <w:r w:rsidRPr="005904A8">
        <w:rPr>
          <w:rFonts w:cstheme="minorHAnsi"/>
          <w:b/>
          <w:bCs/>
          <w:szCs w:val="24"/>
        </w:rPr>
        <w:t>economic prosperity and sustainable development across national, regional, and global digital ecosystems.</w:t>
      </w:r>
      <w:r w:rsidRPr="005904A8">
        <w:rPr>
          <w:rFonts w:cstheme="minorHAnsi"/>
          <w:szCs w:val="24"/>
        </w:rPr>
        <w:t xml:space="preserve"> Universal and meaningful connectivity stands as a critical priority towards the achievement of all S</w:t>
      </w:r>
      <w:r>
        <w:rPr>
          <w:rFonts w:cstheme="minorHAnsi"/>
          <w:szCs w:val="24"/>
        </w:rPr>
        <w:t xml:space="preserve">ustainable </w:t>
      </w:r>
      <w:r w:rsidRPr="005904A8">
        <w:rPr>
          <w:rFonts w:cstheme="minorHAnsi"/>
          <w:szCs w:val="24"/>
        </w:rPr>
        <w:t>D</w:t>
      </w:r>
      <w:r>
        <w:rPr>
          <w:rFonts w:cstheme="minorHAnsi"/>
          <w:szCs w:val="24"/>
        </w:rPr>
        <w:t xml:space="preserve">evelopment </w:t>
      </w:r>
      <w:r w:rsidRPr="005904A8">
        <w:rPr>
          <w:rFonts w:cstheme="minorHAnsi"/>
          <w:szCs w:val="24"/>
        </w:rPr>
        <w:t>G</w:t>
      </w:r>
      <w:r>
        <w:rPr>
          <w:rFonts w:cstheme="minorHAnsi"/>
          <w:szCs w:val="24"/>
        </w:rPr>
        <w:t>oal</w:t>
      </w:r>
      <w:r w:rsidRPr="005904A8">
        <w:rPr>
          <w:rFonts w:cstheme="minorHAnsi"/>
          <w:szCs w:val="24"/>
        </w:rPr>
        <w:t>s</w:t>
      </w:r>
      <w:r>
        <w:rPr>
          <w:rFonts w:cstheme="minorHAnsi"/>
          <w:szCs w:val="24"/>
        </w:rPr>
        <w:t xml:space="preserve"> (SDGs) </w:t>
      </w:r>
      <w:r w:rsidRPr="00BA46FC">
        <w:rPr>
          <w:rFonts w:cstheme="minorHAnsi"/>
          <w:szCs w:val="24"/>
        </w:rPr>
        <w:t>and the outcomes of the World Summit of the Information Society (WSIS). N</w:t>
      </w:r>
      <w:r w:rsidRPr="005904A8">
        <w:rPr>
          <w:rFonts w:cstheme="minorHAnsi"/>
          <w:szCs w:val="24"/>
        </w:rPr>
        <w:t>etworks, platforms, tools, data, and digital innovation create opportunities for enhancing governance, supporting entrepreneurship and improving livelihoods. Digital inclusion for youth is especially important for unlocking opportunities for learning and civic participation and preparing youth for future employment in the digital economy.</w:t>
      </w:r>
    </w:p>
    <w:p w14:paraId="7BA95330" w14:textId="77777777" w:rsidR="0045296E" w:rsidRPr="009A1B29" w:rsidRDefault="0045296E" w:rsidP="00206EE0">
      <w:pPr>
        <w:pStyle w:val="ListParagraph"/>
        <w:numPr>
          <w:ilvl w:val="0"/>
          <w:numId w:val="6"/>
        </w:numPr>
        <w:spacing w:after="120"/>
        <w:ind w:left="540"/>
        <w:contextualSpacing w:val="0"/>
        <w:jc w:val="both"/>
        <w:rPr>
          <w:rFonts w:cstheme="minorHAnsi"/>
          <w:szCs w:val="24"/>
        </w:rPr>
      </w:pPr>
      <w:r w:rsidRPr="009A1B29">
        <w:rPr>
          <w:rFonts w:cstheme="minorHAnsi"/>
          <w:b/>
          <w:bCs/>
          <w:szCs w:val="24"/>
        </w:rPr>
        <w:t>We are deeply concerned that one-third of the global population</w:t>
      </w:r>
      <w:r w:rsidRPr="009A1B29">
        <w:rPr>
          <w:rFonts w:cstheme="minorHAnsi"/>
          <w:szCs w:val="24"/>
        </w:rPr>
        <w:t xml:space="preserve"> remain</w:t>
      </w:r>
      <w:r>
        <w:rPr>
          <w:rFonts w:cstheme="minorHAnsi"/>
          <w:szCs w:val="24"/>
        </w:rPr>
        <w:t xml:space="preserve">s </w:t>
      </w:r>
      <w:r w:rsidRPr="009A1B29">
        <w:rPr>
          <w:rFonts w:cstheme="minorHAnsi"/>
          <w:szCs w:val="24"/>
        </w:rPr>
        <w:t xml:space="preserve">offline </w:t>
      </w:r>
      <w:r>
        <w:rPr>
          <w:rFonts w:cstheme="minorHAnsi"/>
          <w:szCs w:val="24"/>
        </w:rPr>
        <w:t xml:space="preserve">and those affected </w:t>
      </w:r>
      <w:r w:rsidRPr="009A1B29">
        <w:rPr>
          <w:rFonts w:cstheme="minorHAnsi"/>
          <w:szCs w:val="24"/>
        </w:rPr>
        <w:t>are disproportionately concentrated in developing countries, including LDCs</w:t>
      </w:r>
      <w:r>
        <w:rPr>
          <w:rFonts w:cstheme="minorHAnsi"/>
          <w:szCs w:val="24"/>
        </w:rPr>
        <w:t xml:space="preserve">, LLDCs, and SIDS, </w:t>
      </w:r>
      <w:r w:rsidRPr="00A109A4">
        <w:rPr>
          <w:rFonts w:cstheme="minorHAnsi"/>
          <w:szCs w:val="24"/>
        </w:rPr>
        <w:t xml:space="preserve">where there is </w:t>
      </w:r>
      <w:r w:rsidRPr="00A109A4">
        <w:rPr>
          <w:rFonts w:cstheme="minorHAnsi"/>
          <w:szCs w:val="24"/>
          <w:lang w:val="en-US"/>
        </w:rPr>
        <w:t>a</w:t>
      </w:r>
      <w:r>
        <w:rPr>
          <w:rFonts w:cstheme="minorHAnsi"/>
          <w:szCs w:val="24"/>
          <w:lang w:val="en-US"/>
        </w:rPr>
        <w:t xml:space="preserve"> pressing</w:t>
      </w:r>
      <w:r w:rsidRPr="00A109A4">
        <w:rPr>
          <w:rFonts w:cstheme="minorHAnsi"/>
          <w:szCs w:val="24"/>
          <w:lang w:val="en-US"/>
        </w:rPr>
        <w:t xml:space="preserve"> need for investment in connectivity infrastructure</w:t>
      </w:r>
      <w:r w:rsidRPr="009A1B29">
        <w:rPr>
          <w:rFonts w:cstheme="minorHAnsi"/>
          <w:szCs w:val="24"/>
        </w:rPr>
        <w:t>. Digital divides, such as limited access to broadband networks, persist in rural areas, across income, gender and age groups and for vulnerable groups such as persons with disabilities. Among those that are covered by broadband networks, there is a vast ‘usage gap’ determined by barriers such as limited affordability and accessibility of digital services</w:t>
      </w:r>
      <w:r>
        <w:rPr>
          <w:rFonts w:cstheme="minorHAnsi"/>
          <w:szCs w:val="24"/>
        </w:rPr>
        <w:t>,</w:t>
      </w:r>
      <w:r w:rsidRPr="009A1B29">
        <w:rPr>
          <w:rFonts w:cstheme="minorHAnsi"/>
          <w:szCs w:val="24"/>
        </w:rPr>
        <w:t xml:space="preserve"> </w:t>
      </w:r>
      <w:r>
        <w:rPr>
          <w:rFonts w:cstheme="minorHAnsi"/>
          <w:szCs w:val="24"/>
        </w:rPr>
        <w:t>I</w:t>
      </w:r>
      <w:r w:rsidRPr="009A1B29">
        <w:rPr>
          <w:rFonts w:cstheme="minorHAnsi"/>
          <w:szCs w:val="24"/>
        </w:rPr>
        <w:t xml:space="preserve">nternet-enabled devices, lack of digital skills </w:t>
      </w:r>
      <w:r>
        <w:rPr>
          <w:rFonts w:cstheme="minorHAnsi"/>
          <w:szCs w:val="24"/>
        </w:rPr>
        <w:t xml:space="preserve">and </w:t>
      </w:r>
      <w:r w:rsidRPr="00A109A4">
        <w:rPr>
          <w:rFonts w:cstheme="minorHAnsi"/>
          <w:szCs w:val="24"/>
          <w:lang w:val="en-US"/>
        </w:rPr>
        <w:t>relevant local content</w:t>
      </w:r>
      <w:r>
        <w:rPr>
          <w:rFonts w:cstheme="minorHAnsi"/>
          <w:szCs w:val="24"/>
          <w:lang w:val="en-US"/>
        </w:rPr>
        <w:t>,</w:t>
      </w:r>
      <w:r w:rsidRPr="009A1B29">
        <w:rPr>
          <w:rFonts w:cstheme="minorHAnsi"/>
          <w:szCs w:val="24"/>
        </w:rPr>
        <w:t xml:space="preserve"> and challenges to a rel</w:t>
      </w:r>
      <w:r w:rsidRPr="00E7696B">
        <w:rPr>
          <w:rFonts w:cstheme="minorHAnsi"/>
          <w:szCs w:val="24"/>
        </w:rPr>
        <w:t xml:space="preserve">iable, </w:t>
      </w:r>
      <w:r w:rsidRPr="0068103F">
        <w:rPr>
          <w:rFonts w:cstheme="minorHAnsi"/>
          <w:szCs w:val="24"/>
        </w:rPr>
        <w:t>safe and</w:t>
      </w:r>
      <w:r w:rsidRPr="00E7696B">
        <w:rPr>
          <w:rFonts w:cstheme="minorHAnsi"/>
          <w:szCs w:val="24"/>
        </w:rPr>
        <w:t xml:space="preserve"> secure online</w:t>
      </w:r>
      <w:r w:rsidRPr="009A1B29">
        <w:rPr>
          <w:rFonts w:cstheme="minorHAnsi"/>
          <w:szCs w:val="24"/>
        </w:rPr>
        <w:t xml:space="preserve"> experience.</w:t>
      </w:r>
      <w:r>
        <w:rPr>
          <w:rFonts w:cstheme="minorHAnsi"/>
          <w:szCs w:val="24"/>
        </w:rPr>
        <w:t xml:space="preserve"> </w:t>
      </w:r>
      <w:r w:rsidRPr="006F6047">
        <w:rPr>
          <w:rFonts w:cstheme="minorHAnsi"/>
          <w:szCs w:val="24"/>
        </w:rPr>
        <w:t xml:space="preserve">The advancement of </w:t>
      </w:r>
      <w:r>
        <w:rPr>
          <w:rFonts w:cstheme="minorHAnsi"/>
          <w:szCs w:val="24"/>
        </w:rPr>
        <w:t xml:space="preserve">new and </w:t>
      </w:r>
      <w:r w:rsidRPr="006F6047">
        <w:rPr>
          <w:rFonts w:cstheme="minorHAnsi"/>
          <w:szCs w:val="24"/>
        </w:rPr>
        <w:t>emerging technologies, if not accompanied by investments</w:t>
      </w:r>
      <w:r>
        <w:rPr>
          <w:rFonts w:cstheme="minorHAnsi"/>
          <w:szCs w:val="24"/>
        </w:rPr>
        <w:t>,</w:t>
      </w:r>
      <w:r w:rsidRPr="006F6047">
        <w:rPr>
          <w:rFonts w:cstheme="minorHAnsi"/>
          <w:szCs w:val="24"/>
        </w:rPr>
        <w:t xml:space="preserve"> capacity building</w:t>
      </w:r>
      <w:r>
        <w:rPr>
          <w:rFonts w:cstheme="minorHAnsi"/>
          <w:szCs w:val="24"/>
        </w:rPr>
        <w:t xml:space="preserve"> and</w:t>
      </w:r>
      <w:r w:rsidRPr="006F6047">
        <w:rPr>
          <w:rFonts w:cstheme="minorHAnsi"/>
          <w:szCs w:val="24"/>
        </w:rPr>
        <w:t xml:space="preserve"> knowledge-sharing initiatives</w:t>
      </w:r>
      <w:r>
        <w:rPr>
          <w:rFonts w:cstheme="minorHAnsi"/>
          <w:szCs w:val="24"/>
        </w:rPr>
        <w:t>,</w:t>
      </w:r>
      <w:r w:rsidRPr="006F6047">
        <w:rPr>
          <w:rFonts w:cstheme="minorHAnsi"/>
          <w:szCs w:val="24"/>
        </w:rPr>
        <w:t xml:space="preserve"> risks further deepening digital divides.</w:t>
      </w:r>
    </w:p>
    <w:p w14:paraId="29E9544C" w14:textId="4F31F91E" w:rsidR="0045296E" w:rsidRPr="00812309" w:rsidRDefault="0045296E" w:rsidP="00206EE0">
      <w:pPr>
        <w:pStyle w:val="ListParagraph"/>
        <w:numPr>
          <w:ilvl w:val="0"/>
          <w:numId w:val="6"/>
        </w:numPr>
        <w:overflowPunct/>
        <w:autoSpaceDE/>
        <w:autoSpaceDN/>
        <w:adjustRightInd/>
        <w:spacing w:before="240" w:after="120"/>
        <w:ind w:left="540"/>
        <w:jc w:val="both"/>
        <w:textAlignment w:val="auto"/>
        <w:rPr>
          <w:rFonts w:cstheme="minorHAnsi"/>
          <w:szCs w:val="24"/>
        </w:rPr>
      </w:pPr>
      <w:r w:rsidRPr="00891D7C">
        <w:rPr>
          <w:rFonts w:cstheme="minorHAnsi"/>
          <w:b/>
          <w:bCs/>
          <w:szCs w:val="24"/>
        </w:rPr>
        <w:t>We acknowledge that at the backdrop of global challenges, rapid technology developments present unprecedented opportunities for building economic and ecological resilience.</w:t>
      </w:r>
      <w:r w:rsidRPr="00812309">
        <w:rPr>
          <w:rFonts w:cstheme="minorHAnsi"/>
          <w:szCs w:val="24"/>
        </w:rPr>
        <w:t xml:space="preserve"> Climate change, natural hazards, economic downturns, energy transition issues and supply </w:t>
      </w:r>
      <w:r w:rsidRPr="00812309">
        <w:rPr>
          <w:rFonts w:cstheme="minorHAnsi"/>
          <w:szCs w:val="24"/>
        </w:rPr>
        <w:lastRenderedPageBreak/>
        <w:t xml:space="preserve">challenges have adverse impacts that are disproportionately felt by developing countries, particularly LDCs, LLDCs, and SIDS. In this context, telecommunication/ICT and new and emerging technology development can support countries in building resilience and tackling challenges in dynamic and innovative ways. </w:t>
      </w:r>
    </w:p>
    <w:p w14:paraId="7753A4D3" w14:textId="77777777" w:rsidR="0045296E" w:rsidRPr="007F421D" w:rsidRDefault="0045296E" w:rsidP="00206EE0">
      <w:pPr>
        <w:pStyle w:val="ListParagraph"/>
        <w:numPr>
          <w:ilvl w:val="0"/>
          <w:numId w:val="6"/>
        </w:numPr>
        <w:overflowPunct/>
        <w:autoSpaceDE/>
        <w:autoSpaceDN/>
        <w:adjustRightInd/>
        <w:spacing w:before="240" w:after="120"/>
        <w:ind w:left="540"/>
        <w:jc w:val="both"/>
        <w:textAlignment w:val="auto"/>
        <w:rPr>
          <w:rFonts w:cstheme="minorHAnsi"/>
          <w:szCs w:val="24"/>
        </w:rPr>
      </w:pPr>
      <w:r w:rsidRPr="007F421D">
        <w:rPr>
          <w:rFonts w:cstheme="minorHAnsi"/>
          <w:szCs w:val="24"/>
        </w:rPr>
        <w:t xml:space="preserve">Guided by the principles of shared responsibility, solidarity and equity, </w:t>
      </w:r>
      <w:r w:rsidRPr="007F421D">
        <w:rPr>
          <w:rFonts w:cstheme="minorHAnsi"/>
          <w:b/>
          <w:bCs/>
          <w:szCs w:val="24"/>
        </w:rPr>
        <w:t>we urge for multi-stakeholder catalytic actions driven by collaboration</w:t>
      </w:r>
      <w:r w:rsidRPr="007F421D">
        <w:rPr>
          <w:rFonts w:cstheme="minorHAnsi"/>
          <w:szCs w:val="24"/>
        </w:rPr>
        <w:t xml:space="preserve"> among public and private sectors, academia, civil society and other relevant stakeholders both regionally and globally to multiply the impact of development partnerships and assistance and achieve our shared objectives. </w:t>
      </w:r>
    </w:p>
    <w:p w14:paraId="5EE71BDA" w14:textId="77777777" w:rsidR="0045296E" w:rsidRPr="007F421D" w:rsidRDefault="0045296E" w:rsidP="00206EE0">
      <w:pPr>
        <w:pStyle w:val="ListParagraph"/>
        <w:numPr>
          <w:ilvl w:val="0"/>
          <w:numId w:val="6"/>
        </w:numPr>
        <w:overflowPunct/>
        <w:autoSpaceDE/>
        <w:autoSpaceDN/>
        <w:adjustRightInd/>
        <w:spacing w:before="240" w:after="120"/>
        <w:ind w:left="540"/>
        <w:jc w:val="both"/>
        <w:textAlignment w:val="auto"/>
        <w:rPr>
          <w:rFonts w:cstheme="minorHAnsi"/>
          <w:szCs w:val="24"/>
        </w:rPr>
      </w:pPr>
      <w:r w:rsidRPr="007F421D">
        <w:rPr>
          <w:rFonts w:cstheme="minorHAnsi"/>
          <w:b/>
          <w:bCs/>
          <w:szCs w:val="24"/>
        </w:rPr>
        <w:t>We reaffirm the importance of leaving no one behind in digital transformation.</w:t>
      </w:r>
      <w:r w:rsidRPr="007F421D">
        <w:rPr>
          <w:rFonts w:cstheme="minorHAnsi"/>
          <w:szCs w:val="24"/>
        </w:rPr>
        <w:t xml:space="preserve"> It is therefore necessary to urgently and systematically address equality and ensure equal opportunities for all, while promoting broad digital inclusion through holistic, innovative and adaptive policies and targeted ecosystem initiatives. </w:t>
      </w:r>
    </w:p>
    <w:p w14:paraId="632454EF" w14:textId="77777777" w:rsidR="0045296E" w:rsidRPr="005904A8" w:rsidRDefault="0045296E" w:rsidP="0045296E">
      <w:pPr>
        <w:spacing w:after="120"/>
        <w:jc w:val="both"/>
        <w:rPr>
          <w:rFonts w:cstheme="minorHAnsi"/>
          <w:i/>
          <w:iCs/>
          <w:szCs w:val="24"/>
        </w:rPr>
      </w:pPr>
      <w:r w:rsidRPr="005904A8">
        <w:rPr>
          <w:rFonts w:cstheme="minorHAnsi"/>
          <w:szCs w:val="24"/>
        </w:rPr>
        <w:t xml:space="preserve">Laying the foundation for concerted collective action during the 2026-2029 development cycle, </w:t>
      </w:r>
      <w:r>
        <w:rPr>
          <w:rFonts w:cstheme="minorHAnsi"/>
          <w:szCs w:val="24"/>
        </w:rPr>
        <w:t>affirm</w:t>
      </w:r>
      <w:r w:rsidRPr="005904A8">
        <w:rPr>
          <w:rFonts w:cstheme="minorHAnsi"/>
          <w:szCs w:val="24"/>
        </w:rPr>
        <w:t xml:space="preserve"> the following: </w:t>
      </w:r>
    </w:p>
    <w:p w14:paraId="03DB2D65" w14:textId="77777777" w:rsidR="0045296E" w:rsidRPr="00351265" w:rsidRDefault="0045296E" w:rsidP="00206EE0">
      <w:pPr>
        <w:numPr>
          <w:ilvl w:val="0"/>
          <w:numId w:val="5"/>
        </w:numPr>
        <w:tabs>
          <w:tab w:val="clear" w:pos="794"/>
          <w:tab w:val="clear" w:pos="1191"/>
          <w:tab w:val="clear" w:pos="1588"/>
          <w:tab w:val="clear" w:pos="1985"/>
        </w:tabs>
        <w:overflowPunct/>
        <w:autoSpaceDE/>
        <w:autoSpaceDN/>
        <w:adjustRightInd/>
        <w:spacing w:after="120"/>
        <w:ind w:left="540"/>
        <w:jc w:val="both"/>
        <w:textAlignment w:val="auto"/>
        <w:rPr>
          <w:rFonts w:cstheme="minorHAnsi"/>
          <w:szCs w:val="24"/>
        </w:rPr>
      </w:pPr>
      <w:r w:rsidRPr="005904A8">
        <w:rPr>
          <w:rFonts w:cstheme="minorHAnsi"/>
          <w:b/>
          <w:bCs/>
          <w:szCs w:val="24"/>
        </w:rPr>
        <w:t xml:space="preserve">We support the advancement of universal and meaningful connectivity, </w:t>
      </w:r>
      <w:r w:rsidRPr="005904A8">
        <w:rPr>
          <w:b/>
          <w:bCs/>
        </w:rPr>
        <w:t xml:space="preserve">which includes accessible, affordable, high-quality, </w:t>
      </w:r>
      <w:r>
        <w:rPr>
          <w:b/>
          <w:bCs/>
        </w:rPr>
        <w:t xml:space="preserve">resilient, </w:t>
      </w:r>
      <w:r w:rsidRPr="00E7696B">
        <w:rPr>
          <w:b/>
          <w:bCs/>
        </w:rPr>
        <w:t>interoperable and safe and</w:t>
      </w:r>
      <w:r w:rsidRPr="005904A8">
        <w:rPr>
          <w:b/>
          <w:bCs/>
        </w:rPr>
        <w:t xml:space="preserve"> secure telecommunication/ICT and digital infrastructures, devices, services and applications. </w:t>
      </w:r>
      <w:r w:rsidRPr="005904A8">
        <w:rPr>
          <w:rFonts w:cs="MyriadPro-Light"/>
          <w:lang w:val="en-US"/>
        </w:rPr>
        <w:t>Building extensive energy and digital infrastructure</w:t>
      </w:r>
      <w:r>
        <w:rPr>
          <w:rFonts w:cs="MyriadPro-Light"/>
          <w:lang w:val="en-US"/>
        </w:rPr>
        <w:t>s</w:t>
      </w:r>
      <w:r w:rsidRPr="005904A8">
        <w:rPr>
          <w:rFonts w:cs="MyriadPro-Light"/>
          <w:lang w:val="en-US"/>
        </w:rPr>
        <w:t xml:space="preserve"> </w:t>
      </w:r>
      <w:r w:rsidRPr="005904A8">
        <w:rPr>
          <w:rStyle w:val="ui-provider"/>
        </w:rPr>
        <w:t>such as for high-speed backbones and last-mile connectivity solutions using a mix of technologies</w:t>
      </w:r>
      <w:r w:rsidRPr="005904A8">
        <w:rPr>
          <w:rFonts w:cs="MyriadPro-Light"/>
          <w:lang w:val="en-US"/>
        </w:rPr>
        <w:t xml:space="preserve"> is crucial to bridge development gaps</w:t>
      </w:r>
      <w:r>
        <w:rPr>
          <w:rFonts w:cs="MyriadPro-Light"/>
          <w:lang w:val="en-US"/>
        </w:rPr>
        <w:t xml:space="preserve">, leveraging fiber-optic networks, IMT systems, </w:t>
      </w:r>
      <w:r w:rsidRPr="00687381">
        <w:rPr>
          <w:rFonts w:cs="MyriadPro-Light"/>
        </w:rPr>
        <w:t>satellite and terrestrial communications</w:t>
      </w:r>
      <w:r w:rsidRPr="005904A8">
        <w:rPr>
          <w:rFonts w:cs="MyriadPro-Light"/>
          <w:lang w:val="en-US"/>
        </w:rPr>
        <w:t>. Robust infrastructure promotes</w:t>
      </w:r>
      <w:r>
        <w:rPr>
          <w:rFonts w:cs="MyriadPro-Light"/>
          <w:lang w:val="en-US"/>
        </w:rPr>
        <w:t xml:space="preserve"> economies of scale, new opportunities, and long-term development. </w:t>
      </w:r>
      <w:r w:rsidRPr="00891D7C">
        <w:t>Moreover, we underscore the need for innovative investment models to support the sustainable deployment of telecommunication</w:t>
      </w:r>
      <w:r>
        <w:t>s/ICTs</w:t>
      </w:r>
      <w:r w:rsidRPr="00891D7C">
        <w:t xml:space="preserve"> and digital infrastructure. </w:t>
      </w:r>
      <w:proofErr w:type="gramStart"/>
      <w:r w:rsidRPr="00891D7C">
        <w:t>In light of</w:t>
      </w:r>
      <w:proofErr w:type="gramEnd"/>
      <w:r w:rsidRPr="00891D7C">
        <w:t xml:space="preserve"> persistent financial challenges in underserved areas, we encourage the development of inclusive policy and regulatory approaches that enable public-public and public-private partnerships, government-wide collaboration, and long-term digital growth</w:t>
      </w:r>
      <w:r w:rsidRPr="00315972">
        <w:t>.</w:t>
      </w:r>
      <w:r>
        <w:t xml:space="preserve"> </w:t>
      </w:r>
    </w:p>
    <w:p w14:paraId="0A6923A2" w14:textId="77777777" w:rsidR="0045296E" w:rsidRDefault="0045296E" w:rsidP="00206EE0">
      <w:pPr>
        <w:tabs>
          <w:tab w:val="clear" w:pos="794"/>
          <w:tab w:val="clear" w:pos="1191"/>
          <w:tab w:val="clear" w:pos="1588"/>
          <w:tab w:val="clear" w:pos="1985"/>
        </w:tabs>
        <w:overflowPunct/>
        <w:autoSpaceDE/>
        <w:autoSpaceDN/>
        <w:adjustRightInd/>
        <w:spacing w:before="240" w:after="120"/>
        <w:ind w:left="540"/>
        <w:jc w:val="both"/>
        <w:textAlignment w:val="auto"/>
        <w:rPr>
          <w:rFonts w:cstheme="minorHAnsi"/>
          <w:szCs w:val="24"/>
        </w:rPr>
      </w:pPr>
      <w:r w:rsidRPr="005904A8">
        <w:rPr>
          <w:rFonts w:cstheme="minorHAnsi"/>
          <w:b/>
          <w:bCs/>
          <w:szCs w:val="24"/>
        </w:rPr>
        <w:t xml:space="preserve">We underscore the importance of investment in and funding for environmentally sustainable infrastructure, e-waste and circular economy projects, clean and renewable energy and green technologies </w:t>
      </w:r>
      <w:r w:rsidRPr="005904A8">
        <w:rPr>
          <w:rFonts w:cstheme="minorHAnsi"/>
          <w:szCs w:val="24"/>
        </w:rPr>
        <w:t xml:space="preserve">to support inclusive, long-term economic growth while reducing carbon emissions, enhancing energy security and using digital technology. Supported by robust data collection and monitoring, </w:t>
      </w:r>
      <w:r>
        <w:rPr>
          <w:rFonts w:cstheme="minorHAnsi"/>
          <w:szCs w:val="24"/>
        </w:rPr>
        <w:t xml:space="preserve">informed by </w:t>
      </w:r>
      <w:r>
        <w:rPr>
          <w:rFonts w:cstheme="minorHAnsi" w:hint="eastAsia"/>
          <w:szCs w:val="24"/>
        </w:rPr>
        <w:t>best practices</w:t>
      </w:r>
      <w:r>
        <w:rPr>
          <w:rFonts w:cstheme="minorHAnsi"/>
          <w:szCs w:val="24"/>
        </w:rPr>
        <w:t>, and leveraging</w:t>
      </w:r>
      <w:r>
        <w:rPr>
          <w:rFonts w:cstheme="minorHAnsi" w:hint="eastAsia"/>
          <w:szCs w:val="24"/>
        </w:rPr>
        <w:t xml:space="preserve"> </w:t>
      </w:r>
      <w:r>
        <w:rPr>
          <w:rFonts w:cstheme="minorHAnsi"/>
          <w:szCs w:val="24"/>
        </w:rPr>
        <w:t>new and emerging technologies,</w:t>
      </w:r>
      <w:r w:rsidRPr="005904A8">
        <w:rPr>
          <w:rFonts w:cstheme="minorHAnsi"/>
          <w:szCs w:val="24"/>
        </w:rPr>
        <w:t xml:space="preserve"> these efforts will play a role in climate change mitigation, adaptation and climate-resilient digital development. Moreover,</w:t>
      </w:r>
      <w:r w:rsidRPr="005904A8">
        <w:rPr>
          <w:rFonts w:cstheme="minorHAnsi"/>
          <w:b/>
          <w:bCs/>
          <w:szCs w:val="24"/>
        </w:rPr>
        <w:t xml:space="preserve"> we believe that a well-integrated, multi-channel approach to emergency communications </w:t>
      </w:r>
      <w:r w:rsidRPr="005904A8">
        <w:rPr>
          <w:rFonts w:cstheme="minorHAnsi"/>
          <w:szCs w:val="24"/>
        </w:rPr>
        <w:t>– including mobile early warning systems – is essential to ensuring that universal connectivity enables effective and timely outreach to all people at risk of natural hazards.</w:t>
      </w:r>
      <w:r>
        <w:rPr>
          <w:rFonts w:cstheme="minorHAnsi"/>
          <w:szCs w:val="24"/>
        </w:rPr>
        <w:t xml:space="preserve"> </w:t>
      </w:r>
    </w:p>
    <w:p w14:paraId="7E88AA35" w14:textId="77777777" w:rsidR="0045296E" w:rsidRPr="00A4216E" w:rsidRDefault="0045296E" w:rsidP="00206EE0">
      <w:pPr>
        <w:tabs>
          <w:tab w:val="clear" w:pos="794"/>
          <w:tab w:val="clear" w:pos="1191"/>
          <w:tab w:val="clear" w:pos="1588"/>
          <w:tab w:val="clear" w:pos="1985"/>
        </w:tabs>
        <w:overflowPunct/>
        <w:autoSpaceDE/>
        <w:autoSpaceDN/>
        <w:adjustRightInd/>
        <w:spacing w:before="240" w:after="120"/>
        <w:ind w:left="540"/>
        <w:jc w:val="both"/>
        <w:textAlignment w:val="auto"/>
        <w:rPr>
          <w:rFonts w:cstheme="minorHAnsi"/>
          <w:szCs w:val="24"/>
        </w:rPr>
      </w:pPr>
      <w:r w:rsidRPr="00891D7C">
        <w:rPr>
          <w:b/>
          <w:bCs/>
        </w:rPr>
        <w:t xml:space="preserve">We acknowledge the critical role of space radiocommunications in advancing connectivity and </w:t>
      </w:r>
      <w:r>
        <w:rPr>
          <w:b/>
          <w:bCs/>
        </w:rPr>
        <w:t>economic</w:t>
      </w:r>
      <w:r w:rsidRPr="00891D7C">
        <w:rPr>
          <w:b/>
          <w:bCs/>
        </w:rPr>
        <w:t xml:space="preserve"> </w:t>
      </w:r>
      <w:r w:rsidRPr="00B91E74">
        <w:rPr>
          <w:b/>
          <w:bCs/>
        </w:rPr>
        <w:t>growth</w:t>
      </w:r>
      <w:r w:rsidRPr="00887688">
        <w:t xml:space="preserve"> and </w:t>
      </w:r>
      <w:r w:rsidRPr="00735522">
        <w:t>underscore the shared responsibility to ensure the efficient and rational use of resources through continued</w:t>
      </w:r>
      <w:r w:rsidRPr="00891D7C">
        <w:t xml:space="preserve"> </w:t>
      </w:r>
      <w:r w:rsidRPr="00735522">
        <w:t>international</w:t>
      </w:r>
      <w:r w:rsidRPr="00891D7C">
        <w:t xml:space="preserve"> cooperation, inclusive dialogue, and capacity building to promote the long-term sustainability of space services</w:t>
      </w:r>
      <w:r w:rsidRPr="00735522">
        <w:t>.</w:t>
      </w:r>
      <w:r>
        <w:t xml:space="preserve"> </w:t>
      </w:r>
    </w:p>
    <w:p w14:paraId="5BF6A179" w14:textId="77777777" w:rsidR="0045296E" w:rsidRPr="005904A8" w:rsidRDefault="0045296E" w:rsidP="00206EE0">
      <w:pPr>
        <w:numPr>
          <w:ilvl w:val="0"/>
          <w:numId w:val="5"/>
        </w:numPr>
        <w:tabs>
          <w:tab w:val="clear" w:pos="794"/>
          <w:tab w:val="clear" w:pos="1191"/>
          <w:tab w:val="clear" w:pos="1588"/>
          <w:tab w:val="clear" w:pos="1985"/>
        </w:tabs>
        <w:overflowPunct/>
        <w:autoSpaceDE/>
        <w:autoSpaceDN/>
        <w:adjustRightInd/>
        <w:spacing w:before="240" w:after="120"/>
        <w:ind w:left="540"/>
        <w:jc w:val="both"/>
        <w:textAlignment w:val="auto"/>
        <w:rPr>
          <w:rFonts w:cstheme="minorHAnsi"/>
          <w:szCs w:val="24"/>
        </w:rPr>
      </w:pPr>
      <w:r w:rsidRPr="005904A8">
        <w:rPr>
          <w:rFonts w:cstheme="minorHAnsi"/>
          <w:b/>
          <w:bCs/>
          <w:szCs w:val="24"/>
        </w:rPr>
        <w:t xml:space="preserve">We call upon all </w:t>
      </w:r>
      <w:r>
        <w:rPr>
          <w:rFonts w:cstheme="minorHAnsi"/>
          <w:b/>
          <w:bCs/>
          <w:szCs w:val="24"/>
        </w:rPr>
        <w:t xml:space="preserve">policy makers and </w:t>
      </w:r>
      <w:r w:rsidRPr="005904A8">
        <w:rPr>
          <w:rFonts w:cstheme="minorHAnsi"/>
          <w:b/>
          <w:bCs/>
          <w:szCs w:val="24"/>
        </w:rPr>
        <w:t xml:space="preserve">stakeholders to adopt human-centric, risk-informed and </w:t>
      </w:r>
      <w:r>
        <w:rPr>
          <w:rFonts w:cstheme="minorHAnsi"/>
          <w:b/>
          <w:bCs/>
          <w:szCs w:val="24"/>
        </w:rPr>
        <w:t>responsible</w:t>
      </w:r>
      <w:r w:rsidRPr="005904A8">
        <w:rPr>
          <w:rFonts w:cstheme="minorHAnsi"/>
          <w:b/>
          <w:bCs/>
          <w:szCs w:val="24"/>
        </w:rPr>
        <w:t xml:space="preserve"> approaches to digital transformation and </w:t>
      </w:r>
      <w:r>
        <w:rPr>
          <w:rFonts w:cstheme="minorHAnsi"/>
          <w:b/>
          <w:bCs/>
          <w:szCs w:val="24"/>
        </w:rPr>
        <w:t xml:space="preserve">new and </w:t>
      </w:r>
      <w:r w:rsidRPr="005904A8">
        <w:rPr>
          <w:rFonts w:cstheme="minorHAnsi"/>
          <w:b/>
          <w:bCs/>
          <w:szCs w:val="24"/>
        </w:rPr>
        <w:t xml:space="preserve">emerging </w:t>
      </w:r>
      <w:proofErr w:type="gramStart"/>
      <w:r w:rsidRPr="005904A8">
        <w:rPr>
          <w:rFonts w:cstheme="minorHAnsi"/>
          <w:b/>
          <w:bCs/>
          <w:szCs w:val="24"/>
        </w:rPr>
        <w:t>technologies</w:t>
      </w:r>
      <w:r>
        <w:rPr>
          <w:rFonts w:cstheme="minorHAnsi"/>
          <w:b/>
          <w:bCs/>
          <w:szCs w:val="24"/>
        </w:rPr>
        <w:t>,</w:t>
      </w:r>
      <w:r w:rsidRPr="005904A8">
        <w:rPr>
          <w:rFonts w:cstheme="minorHAnsi"/>
          <w:szCs w:val="24"/>
        </w:rPr>
        <w:t xml:space="preserve"> </w:t>
      </w:r>
      <w:r>
        <w:t>and</w:t>
      </w:r>
      <w:proofErr w:type="gramEnd"/>
      <w:r>
        <w:t xml:space="preserve"> implement policies to promote affordability of telecommunication/ICT services and devices to support closing digital divides.</w:t>
      </w:r>
      <w:r w:rsidRPr="005904A8">
        <w:t xml:space="preserve"> Digital transformation requires a new level-playing field, </w:t>
      </w:r>
      <w:r w:rsidRPr="005904A8">
        <w:lastRenderedPageBreak/>
        <w:t>increased investment flows and guardrails for responsible and sustainable</w:t>
      </w:r>
      <w:r>
        <w:t xml:space="preserve"> emerging, terrestrial, </w:t>
      </w:r>
      <w:r w:rsidRPr="00433ED4">
        <w:t>submarine</w:t>
      </w:r>
      <w:r>
        <w:t xml:space="preserve"> and </w:t>
      </w:r>
      <w:r w:rsidRPr="00433ED4">
        <w:t>space</w:t>
      </w:r>
      <w:r>
        <w:t xml:space="preserve"> radiocommunication</w:t>
      </w:r>
      <w:r w:rsidRPr="005904A8">
        <w:t xml:space="preserve"> development. An adequate policy response to rapid technological transformation requires strengthened institutional capabilities, agile and collaborative governance and the mainstreaming of evidence-based decision-making. </w:t>
      </w:r>
    </w:p>
    <w:p w14:paraId="1F9D804B" w14:textId="77777777" w:rsidR="0045296E" w:rsidRDefault="0045296E" w:rsidP="00206EE0">
      <w:pPr>
        <w:tabs>
          <w:tab w:val="clear" w:pos="794"/>
          <w:tab w:val="clear" w:pos="1191"/>
          <w:tab w:val="clear" w:pos="1588"/>
          <w:tab w:val="clear" w:pos="1985"/>
        </w:tabs>
        <w:overflowPunct/>
        <w:autoSpaceDE/>
        <w:autoSpaceDN/>
        <w:adjustRightInd/>
        <w:spacing w:after="120"/>
        <w:ind w:left="540"/>
        <w:jc w:val="both"/>
        <w:textAlignment w:val="auto"/>
        <w:rPr>
          <w:rFonts w:cstheme="minorHAnsi"/>
          <w:szCs w:val="24"/>
        </w:rPr>
      </w:pPr>
      <w:r w:rsidRPr="005904A8">
        <w:rPr>
          <w:rFonts w:cstheme="minorHAnsi"/>
          <w:szCs w:val="24"/>
        </w:rPr>
        <w:t>To</w:t>
      </w:r>
      <w:r w:rsidRPr="005904A8">
        <w:rPr>
          <w:rFonts w:cstheme="minorHAnsi"/>
          <w:b/>
          <w:bCs/>
          <w:szCs w:val="24"/>
        </w:rPr>
        <w:t xml:space="preserve"> </w:t>
      </w:r>
      <w:r w:rsidRPr="005904A8">
        <w:rPr>
          <w:rFonts w:cstheme="minorHAnsi"/>
          <w:szCs w:val="24"/>
        </w:rPr>
        <w:t xml:space="preserve">strengthen both national policy </w:t>
      </w:r>
      <w:r>
        <w:rPr>
          <w:rFonts w:cstheme="minorHAnsi"/>
          <w:szCs w:val="24"/>
        </w:rPr>
        <w:t xml:space="preserve">and regulatory </w:t>
      </w:r>
      <w:r w:rsidRPr="005904A8">
        <w:rPr>
          <w:rFonts w:cstheme="minorHAnsi"/>
          <w:szCs w:val="24"/>
        </w:rPr>
        <w:t>frameworks and implementation capabiliti</w:t>
      </w:r>
      <w:r w:rsidRPr="008D39E0">
        <w:rPr>
          <w:rFonts w:cstheme="minorHAnsi"/>
          <w:szCs w:val="24"/>
        </w:rPr>
        <w:t>es,</w:t>
      </w:r>
      <w:r w:rsidRPr="008D39E0">
        <w:rPr>
          <w:rFonts w:cstheme="minorHAnsi"/>
          <w:b/>
          <w:bCs/>
          <w:szCs w:val="24"/>
        </w:rPr>
        <w:t xml:space="preserve"> we </w:t>
      </w:r>
      <w:r w:rsidRPr="00891D7C">
        <w:rPr>
          <w:rFonts w:cstheme="minorHAnsi"/>
          <w:b/>
          <w:bCs/>
          <w:szCs w:val="24"/>
        </w:rPr>
        <w:t>recognize the need to</w:t>
      </w:r>
      <w:r w:rsidRPr="005904A8">
        <w:rPr>
          <w:rFonts w:cstheme="minorHAnsi"/>
          <w:b/>
          <w:bCs/>
          <w:szCs w:val="24"/>
        </w:rPr>
        <w:t xml:space="preserve"> foster human and institutional capacity</w:t>
      </w:r>
      <w:r>
        <w:rPr>
          <w:rFonts w:cstheme="minorHAnsi"/>
          <w:b/>
          <w:bCs/>
          <w:szCs w:val="24"/>
        </w:rPr>
        <w:t>-</w:t>
      </w:r>
      <w:r w:rsidRPr="005904A8">
        <w:rPr>
          <w:rFonts w:cstheme="minorHAnsi"/>
          <w:b/>
          <w:bCs/>
          <w:szCs w:val="24"/>
        </w:rPr>
        <w:t xml:space="preserve">building initiatives across all ITU-D Priorities. Key areas of focus remain </w:t>
      </w:r>
      <w:r w:rsidRPr="005904A8">
        <w:rPr>
          <w:rFonts w:cstheme="minorHAnsi"/>
          <w:szCs w:val="24"/>
        </w:rPr>
        <w:t>upskilling governments</w:t>
      </w:r>
      <w:r>
        <w:rPr>
          <w:rFonts w:cstheme="minorHAnsi"/>
          <w:szCs w:val="24"/>
        </w:rPr>
        <w:t>, regulators</w:t>
      </w:r>
      <w:r w:rsidRPr="005904A8">
        <w:rPr>
          <w:rFonts w:cstheme="minorHAnsi"/>
          <w:szCs w:val="24"/>
        </w:rPr>
        <w:t xml:space="preserve"> and key national and regional stakeholders, building national ICT data and statistics capacities and cybersecurity resilience</w:t>
      </w:r>
      <w:r>
        <w:rPr>
          <w:rFonts w:eastAsia="SimSun" w:cstheme="minorHAnsi" w:hint="eastAsia"/>
          <w:szCs w:val="24"/>
          <w:lang w:val="en-US" w:eastAsia="zh-CN"/>
        </w:rPr>
        <w:t xml:space="preserve">, and </w:t>
      </w:r>
      <w:r>
        <w:rPr>
          <w:rFonts w:eastAsia="SimSun" w:cstheme="minorHAnsi"/>
          <w:szCs w:val="24"/>
          <w:lang w:val="en-US" w:eastAsia="zh-CN"/>
        </w:rPr>
        <w:t>enabling</w:t>
      </w:r>
      <w:r>
        <w:rPr>
          <w:rFonts w:eastAsia="SimSun" w:cstheme="minorHAnsi" w:hint="eastAsia"/>
          <w:szCs w:val="24"/>
          <w:lang w:val="en-US" w:eastAsia="zh-CN"/>
        </w:rPr>
        <w:t xml:space="preserve"> the adoption of </w:t>
      </w:r>
      <w:r>
        <w:rPr>
          <w:rFonts w:eastAsia="SimSun" w:cstheme="minorHAnsi"/>
          <w:szCs w:val="24"/>
          <w:lang w:val="en-US" w:eastAsia="zh-CN"/>
        </w:rPr>
        <w:t xml:space="preserve">new and </w:t>
      </w:r>
      <w:r>
        <w:rPr>
          <w:rFonts w:eastAsia="SimSun" w:cstheme="minorHAnsi" w:hint="eastAsia"/>
          <w:szCs w:val="24"/>
          <w:lang w:val="en-US" w:eastAsia="zh-CN"/>
        </w:rPr>
        <w:t>emerging technolog</w:t>
      </w:r>
      <w:r>
        <w:rPr>
          <w:rFonts w:eastAsia="SimSun" w:cstheme="minorHAnsi"/>
          <w:szCs w:val="24"/>
          <w:lang w:val="en-US" w:eastAsia="zh-CN"/>
        </w:rPr>
        <w:t>ies</w:t>
      </w:r>
      <w:r w:rsidRPr="005904A8">
        <w:rPr>
          <w:rFonts w:cstheme="minorHAnsi"/>
          <w:szCs w:val="24"/>
        </w:rPr>
        <w:t xml:space="preserve">. </w:t>
      </w:r>
    </w:p>
    <w:p w14:paraId="784F6ED8" w14:textId="77777777" w:rsidR="0045296E" w:rsidRPr="005904A8" w:rsidRDefault="0045296E" w:rsidP="00206EE0">
      <w:pPr>
        <w:numPr>
          <w:ilvl w:val="0"/>
          <w:numId w:val="5"/>
        </w:numPr>
        <w:tabs>
          <w:tab w:val="clear" w:pos="794"/>
          <w:tab w:val="clear" w:pos="1191"/>
          <w:tab w:val="clear" w:pos="1588"/>
          <w:tab w:val="clear" w:pos="1985"/>
        </w:tabs>
        <w:overflowPunct/>
        <w:autoSpaceDE/>
        <w:autoSpaceDN/>
        <w:adjustRightInd/>
        <w:spacing w:before="240" w:after="120"/>
        <w:ind w:left="540"/>
        <w:jc w:val="both"/>
        <w:textAlignment w:val="auto"/>
        <w:rPr>
          <w:rFonts w:cstheme="minorHAnsi"/>
          <w:szCs w:val="24"/>
        </w:rPr>
      </w:pPr>
      <w:r w:rsidRPr="005904A8">
        <w:rPr>
          <w:b/>
          <w:bCs/>
        </w:rPr>
        <w:t xml:space="preserve">We recognize the need to fast-track investment in science, technology and innovation, </w:t>
      </w:r>
      <w:r w:rsidRPr="005904A8">
        <w:rPr>
          <w:rFonts w:cstheme="minorHAnsi"/>
          <w:b/>
          <w:bCs/>
          <w:szCs w:val="24"/>
        </w:rPr>
        <w:t>acknowledging that</w:t>
      </w:r>
      <w:r w:rsidRPr="005904A8">
        <w:rPr>
          <w:b/>
          <w:bCs/>
        </w:rPr>
        <w:t xml:space="preserve"> digital innovation ecosystems are </w:t>
      </w:r>
      <w:r w:rsidRPr="005904A8">
        <w:rPr>
          <w:rFonts w:cstheme="minorHAnsi"/>
          <w:b/>
          <w:bCs/>
          <w:szCs w:val="24"/>
        </w:rPr>
        <w:t xml:space="preserve">essential </w:t>
      </w:r>
      <w:r w:rsidRPr="005904A8">
        <w:rPr>
          <w:b/>
          <w:bCs/>
        </w:rPr>
        <w:t>to re-energizing economies, supporting structural transformation and addressing critical sustainability challenges.</w:t>
      </w:r>
      <w:r w:rsidRPr="005904A8">
        <w:t xml:space="preserve"> A</w:t>
      </w:r>
      <w:r w:rsidRPr="005904A8">
        <w:rPr>
          <w:rFonts w:cstheme="minorHAnsi"/>
          <w:szCs w:val="24"/>
        </w:rPr>
        <w:t xml:space="preserve"> strategic approach to creating enabling policy and business environments is necessary to scale digital innovation, entrepreneurship and the digitization of economies.</w:t>
      </w:r>
      <w:r w:rsidRPr="005904A8">
        <w:rPr>
          <w:rFonts w:cstheme="minorHAnsi"/>
          <w:i/>
          <w:iCs/>
          <w:szCs w:val="24"/>
        </w:rPr>
        <w:t xml:space="preserve"> </w:t>
      </w:r>
      <w:r w:rsidRPr="005904A8">
        <w:t xml:space="preserve">Strengthening digital and innovation capacities across sectors and government can improve productivity, economic diversification and competitiveness of national industries, </w:t>
      </w:r>
      <w:r w:rsidRPr="005904A8">
        <w:rPr>
          <w:rFonts w:cstheme="minorHAnsi"/>
          <w:szCs w:val="24"/>
        </w:rPr>
        <w:t>promoting equitable participation of all countries in the global digital economy</w:t>
      </w:r>
      <w:r w:rsidRPr="005904A8">
        <w:t xml:space="preserve"> and the achievement of SDGs. </w:t>
      </w:r>
    </w:p>
    <w:p w14:paraId="1A5C5E1D" w14:textId="77777777" w:rsidR="0045296E" w:rsidRPr="005904A8" w:rsidRDefault="0045296E" w:rsidP="00206EE0">
      <w:pPr>
        <w:tabs>
          <w:tab w:val="clear" w:pos="794"/>
          <w:tab w:val="clear" w:pos="1191"/>
          <w:tab w:val="clear" w:pos="1588"/>
          <w:tab w:val="clear" w:pos="1985"/>
        </w:tabs>
        <w:overflowPunct/>
        <w:autoSpaceDE/>
        <w:autoSpaceDN/>
        <w:adjustRightInd/>
        <w:spacing w:after="120"/>
        <w:ind w:left="540"/>
        <w:jc w:val="both"/>
        <w:textAlignment w:val="auto"/>
        <w:rPr>
          <w:rFonts w:cstheme="minorHAnsi"/>
          <w:szCs w:val="24"/>
        </w:rPr>
      </w:pPr>
      <w:r w:rsidRPr="008D39E0">
        <w:rPr>
          <w:rFonts w:cstheme="minorHAnsi"/>
          <w:b/>
          <w:bCs/>
          <w:szCs w:val="24"/>
        </w:rPr>
        <w:t>We support the implementation of d</w:t>
      </w:r>
      <w:r w:rsidRPr="005904A8">
        <w:rPr>
          <w:rFonts w:cstheme="minorHAnsi"/>
          <w:b/>
          <w:bCs/>
          <w:szCs w:val="24"/>
        </w:rPr>
        <w:t xml:space="preserve">igital skills development initiatives for </w:t>
      </w:r>
      <w:r>
        <w:rPr>
          <w:rFonts w:cstheme="minorHAnsi"/>
          <w:b/>
          <w:bCs/>
          <w:szCs w:val="24"/>
        </w:rPr>
        <w:t>all</w:t>
      </w:r>
      <w:r w:rsidRPr="005904A8">
        <w:rPr>
          <w:rFonts w:cstheme="minorHAnsi"/>
          <w:b/>
          <w:bCs/>
          <w:szCs w:val="24"/>
        </w:rPr>
        <w:t xml:space="preserve"> to ensure that all people have the abilities needed to engage effectively in the digital economy, </w:t>
      </w:r>
      <w:r w:rsidRPr="005904A8">
        <w:t>reducing inequalities</w:t>
      </w:r>
      <w:r w:rsidRPr="005904A8">
        <w:rPr>
          <w:rFonts w:cstheme="minorHAnsi"/>
          <w:b/>
          <w:bCs/>
          <w:szCs w:val="24"/>
        </w:rPr>
        <w:t>.</w:t>
      </w:r>
      <w:r w:rsidRPr="005904A8">
        <w:rPr>
          <w:rFonts w:cstheme="minorHAnsi"/>
          <w:szCs w:val="24"/>
        </w:rPr>
        <w:t xml:space="preserve"> Such initiatives may include digital skills development centres and training, specialized capacity</w:t>
      </w:r>
      <w:r>
        <w:rPr>
          <w:rFonts w:cstheme="minorHAnsi"/>
          <w:szCs w:val="24"/>
        </w:rPr>
        <w:t>-</w:t>
      </w:r>
      <w:r w:rsidRPr="005904A8">
        <w:rPr>
          <w:rFonts w:cstheme="minorHAnsi"/>
          <w:szCs w:val="24"/>
        </w:rPr>
        <w:t>building</w:t>
      </w:r>
      <w:r w:rsidRPr="005904A8">
        <w:t xml:space="preserve"> programmes and knowledge transfer initiatives that assist governments, businesses and entrepreneurs to engage with digital technologies and support value creation. National and regional innovation centres can be further leveraged as institutional capacity</w:t>
      </w:r>
      <w:r>
        <w:t>-</w:t>
      </w:r>
      <w:r w:rsidRPr="005904A8">
        <w:t xml:space="preserve">building mechanisms for research, training, co-creation on specific problems and the incubation of agile solutions by governments and ecosystem stakeholders. </w:t>
      </w:r>
    </w:p>
    <w:p w14:paraId="64934BEF" w14:textId="77777777" w:rsidR="0045296E" w:rsidRPr="005904A8" w:rsidRDefault="0045296E" w:rsidP="00206EE0">
      <w:pPr>
        <w:numPr>
          <w:ilvl w:val="0"/>
          <w:numId w:val="5"/>
        </w:numPr>
        <w:tabs>
          <w:tab w:val="clear" w:pos="794"/>
          <w:tab w:val="clear" w:pos="1191"/>
          <w:tab w:val="clear" w:pos="1588"/>
          <w:tab w:val="clear" w:pos="1985"/>
        </w:tabs>
        <w:overflowPunct/>
        <w:autoSpaceDE/>
        <w:autoSpaceDN/>
        <w:adjustRightInd/>
        <w:spacing w:after="120"/>
        <w:ind w:left="540"/>
        <w:jc w:val="both"/>
        <w:textAlignment w:val="auto"/>
        <w:rPr>
          <w:rFonts w:cstheme="minorHAnsi"/>
          <w:szCs w:val="24"/>
        </w:rPr>
      </w:pPr>
      <w:r w:rsidRPr="005904A8">
        <w:rPr>
          <w:rFonts w:cstheme="minorHAnsi"/>
          <w:b/>
          <w:bCs/>
          <w:szCs w:val="24"/>
        </w:rPr>
        <w:t xml:space="preserve">We will create synergies, strengthen collaboration and uphold existing commitments while building </w:t>
      </w:r>
      <w:r>
        <w:rPr>
          <w:rFonts w:cstheme="minorHAnsi"/>
          <w:b/>
          <w:bCs/>
          <w:szCs w:val="24"/>
        </w:rPr>
        <w:t xml:space="preserve">coordinated </w:t>
      </w:r>
      <w:r w:rsidRPr="005904A8">
        <w:rPr>
          <w:rFonts w:cstheme="minorHAnsi"/>
          <w:b/>
          <w:bCs/>
          <w:szCs w:val="24"/>
        </w:rPr>
        <w:t>global and regional partnerships between public and private sectors, international funding agencies and other stakeholders</w:t>
      </w:r>
      <w:r w:rsidRPr="005904A8">
        <w:rPr>
          <w:rFonts w:cstheme="minorHAnsi"/>
          <w:szCs w:val="24"/>
        </w:rPr>
        <w:t xml:space="preserve"> to pool resources, knowledge and good practices across stakeholder groups and regions</w:t>
      </w:r>
      <w:r>
        <w:rPr>
          <w:rFonts w:cstheme="minorHAnsi"/>
          <w:szCs w:val="24"/>
        </w:rPr>
        <w:t xml:space="preserve"> </w:t>
      </w:r>
      <w:r>
        <w:rPr>
          <w:rFonts w:eastAsia="SimSun" w:cstheme="minorHAnsi" w:hint="eastAsia"/>
          <w:szCs w:val="24"/>
          <w:lang w:val="en-US" w:eastAsia="zh-CN"/>
        </w:rPr>
        <w:t xml:space="preserve">to assist developing </w:t>
      </w:r>
      <w:r w:rsidRPr="00A704B7">
        <w:rPr>
          <w:rFonts w:eastAsia="SimSun" w:cstheme="minorHAnsi" w:hint="eastAsia"/>
          <w:szCs w:val="24"/>
          <w:lang w:val="en-US" w:eastAsia="zh-CN"/>
        </w:rPr>
        <w:t>countries</w:t>
      </w:r>
      <w:r w:rsidRPr="00A704B7">
        <w:rPr>
          <w:rFonts w:eastAsia="SimSun" w:cstheme="minorHAnsi"/>
          <w:szCs w:val="24"/>
          <w:lang w:val="en-US" w:eastAsia="zh-CN"/>
        </w:rPr>
        <w:t xml:space="preserve">, </w:t>
      </w:r>
      <w:proofErr w:type="gramStart"/>
      <w:r w:rsidRPr="00A704B7">
        <w:rPr>
          <w:rFonts w:eastAsia="SimSun" w:cstheme="minorHAnsi"/>
          <w:szCs w:val="24"/>
          <w:lang w:val="en-US" w:eastAsia="zh-CN"/>
        </w:rPr>
        <w:t>in particular</w:t>
      </w:r>
      <w:r>
        <w:rPr>
          <w:rFonts w:eastAsia="SimSun" w:cstheme="minorHAnsi"/>
          <w:szCs w:val="24"/>
          <w:lang w:val="en-US" w:eastAsia="zh-CN"/>
        </w:rPr>
        <w:t xml:space="preserve"> in</w:t>
      </w:r>
      <w:proofErr w:type="gramEnd"/>
      <w:r w:rsidRPr="00D27302">
        <w:rPr>
          <w:rFonts w:cstheme="minorHAnsi"/>
          <w:szCs w:val="24"/>
        </w:rPr>
        <w:t xml:space="preserve"> promot</w:t>
      </w:r>
      <w:r>
        <w:rPr>
          <w:rFonts w:cstheme="minorHAnsi"/>
          <w:szCs w:val="24"/>
        </w:rPr>
        <w:t>ing</w:t>
      </w:r>
      <w:r w:rsidRPr="00D27302">
        <w:rPr>
          <w:rFonts w:cstheme="minorHAnsi"/>
          <w:szCs w:val="24"/>
        </w:rPr>
        <w:t xml:space="preserve"> inclusive</w:t>
      </w:r>
      <w:r>
        <w:rPr>
          <w:rFonts w:cstheme="minorHAnsi"/>
          <w:szCs w:val="24"/>
        </w:rPr>
        <w:t xml:space="preserve"> </w:t>
      </w:r>
      <w:r w:rsidRPr="00891D7C">
        <w:rPr>
          <w:rFonts w:cstheme="minorHAnsi"/>
          <w:szCs w:val="24"/>
        </w:rPr>
        <w:t xml:space="preserve">access to </w:t>
      </w:r>
      <w:r>
        <w:rPr>
          <w:rFonts w:cstheme="minorHAnsi"/>
          <w:szCs w:val="24"/>
        </w:rPr>
        <w:t xml:space="preserve">new and </w:t>
      </w:r>
      <w:r w:rsidRPr="00891D7C">
        <w:rPr>
          <w:rFonts w:cstheme="minorHAnsi"/>
          <w:szCs w:val="24"/>
        </w:rPr>
        <w:t>emerging technologies</w:t>
      </w:r>
      <w:r w:rsidRPr="00A704B7">
        <w:rPr>
          <w:rFonts w:cstheme="minorHAnsi"/>
          <w:szCs w:val="24"/>
        </w:rPr>
        <w:t xml:space="preserve">. </w:t>
      </w:r>
      <w:r w:rsidRPr="00A704B7">
        <w:rPr>
          <w:rFonts w:cstheme="minorHAnsi"/>
          <w:b/>
          <w:bCs/>
          <w:szCs w:val="24"/>
        </w:rPr>
        <w:t>We</w:t>
      </w:r>
      <w:r w:rsidRPr="005904A8">
        <w:rPr>
          <w:rFonts w:cstheme="minorHAnsi"/>
          <w:b/>
          <w:bCs/>
          <w:szCs w:val="24"/>
        </w:rPr>
        <w:t xml:space="preserve"> will further leverage </w:t>
      </w:r>
      <w:r>
        <w:rPr>
          <w:rFonts w:cstheme="minorHAnsi"/>
          <w:b/>
          <w:bCs/>
          <w:szCs w:val="24"/>
        </w:rPr>
        <w:t xml:space="preserve">regional, international, </w:t>
      </w:r>
      <w:r w:rsidRPr="005E3434">
        <w:rPr>
          <w:rFonts w:cstheme="minorHAnsi"/>
          <w:b/>
          <w:bCs/>
          <w:szCs w:val="24"/>
        </w:rPr>
        <w:t>South-South and Triangular Cooperation</w:t>
      </w:r>
      <w:r w:rsidRPr="005904A8">
        <w:rPr>
          <w:rFonts w:cstheme="minorHAnsi"/>
          <w:szCs w:val="24"/>
        </w:rPr>
        <w:t xml:space="preserve"> as means to accelerate the speed and scale of action across the UN development system and partners along with nationally designed and led initiatives towards the achievement of SDGs.</w:t>
      </w:r>
    </w:p>
    <w:p w14:paraId="01D50205" w14:textId="77777777" w:rsidR="0045296E" w:rsidRPr="005904A8" w:rsidRDefault="0045296E" w:rsidP="00206EE0">
      <w:pPr>
        <w:tabs>
          <w:tab w:val="clear" w:pos="794"/>
          <w:tab w:val="clear" w:pos="1191"/>
          <w:tab w:val="clear" w:pos="1588"/>
          <w:tab w:val="clear" w:pos="1985"/>
        </w:tabs>
        <w:overflowPunct/>
        <w:autoSpaceDE/>
        <w:autoSpaceDN/>
        <w:adjustRightInd/>
        <w:spacing w:after="120"/>
        <w:ind w:left="540"/>
        <w:jc w:val="both"/>
        <w:textAlignment w:val="auto"/>
        <w:rPr>
          <w:rFonts w:cstheme="minorHAnsi"/>
          <w:szCs w:val="24"/>
        </w:rPr>
      </w:pPr>
      <w:r w:rsidRPr="005904A8">
        <w:rPr>
          <w:rFonts w:cs="MyriadPro-Light"/>
          <w:b/>
          <w:bCs/>
          <w:lang w:val="en-US"/>
        </w:rPr>
        <w:t>Together with regional telecommunication organization</w:t>
      </w:r>
      <w:r>
        <w:rPr>
          <w:rFonts w:cs="MyriadPro-Light"/>
          <w:b/>
          <w:bCs/>
          <w:lang w:val="en-US"/>
        </w:rPr>
        <w:t>s</w:t>
      </w:r>
      <w:r w:rsidRPr="005904A8">
        <w:rPr>
          <w:rFonts w:cs="MyriadPro-Light"/>
          <w:b/>
          <w:bCs/>
          <w:lang w:val="en-US"/>
        </w:rPr>
        <w:t>, regulatory associations and other partners, we will support the harmonization of</w:t>
      </w:r>
      <w:r>
        <w:rPr>
          <w:rFonts w:cs="MyriadPro-Light"/>
          <w:b/>
          <w:bCs/>
          <w:lang w:val="en-US"/>
        </w:rPr>
        <w:t xml:space="preserve"> policy and</w:t>
      </w:r>
      <w:r w:rsidRPr="005904A8">
        <w:rPr>
          <w:rFonts w:cs="MyriadPro-Light"/>
          <w:b/>
          <w:bCs/>
          <w:lang w:val="en-US"/>
        </w:rPr>
        <w:t xml:space="preserve"> regulatory </w:t>
      </w:r>
      <w:r>
        <w:rPr>
          <w:rFonts w:cs="MyriadPro-Light"/>
          <w:b/>
          <w:bCs/>
          <w:lang w:val="en-US"/>
        </w:rPr>
        <w:t xml:space="preserve">environments </w:t>
      </w:r>
      <w:r w:rsidRPr="005904A8">
        <w:rPr>
          <w:rFonts w:cs="MyriadPro-Light"/>
          <w:lang w:val="en-US"/>
        </w:rPr>
        <w:t xml:space="preserve">in key areas driving digital transformation to enable coordinated response to cross-border issues and </w:t>
      </w:r>
      <w:r w:rsidRPr="005904A8">
        <w:rPr>
          <w:rFonts w:cs="MyriadPro-Light"/>
        </w:rPr>
        <w:t>enhance regional connectivity, market integration and sustainable digital transformation</w:t>
      </w:r>
      <w:r w:rsidRPr="005904A8">
        <w:rPr>
          <w:rFonts w:cs="MyriadPro-Light"/>
          <w:lang w:val="en-US"/>
        </w:rPr>
        <w:t xml:space="preserve">. </w:t>
      </w:r>
    </w:p>
    <w:p w14:paraId="63BB2666" w14:textId="1F2F445C" w:rsidR="0045296E" w:rsidRPr="00BC7013" w:rsidRDefault="0045296E" w:rsidP="00206EE0">
      <w:pPr>
        <w:numPr>
          <w:ilvl w:val="0"/>
          <w:numId w:val="5"/>
        </w:numPr>
        <w:tabs>
          <w:tab w:val="clear" w:pos="794"/>
          <w:tab w:val="clear" w:pos="1191"/>
          <w:tab w:val="clear" w:pos="1588"/>
          <w:tab w:val="clear" w:pos="1985"/>
        </w:tabs>
        <w:overflowPunct/>
        <w:autoSpaceDE/>
        <w:autoSpaceDN/>
        <w:adjustRightInd/>
        <w:spacing w:after="120"/>
        <w:ind w:left="540"/>
        <w:jc w:val="both"/>
        <w:textAlignment w:val="auto"/>
        <w:rPr>
          <w:rFonts w:cstheme="minorHAnsi"/>
          <w:szCs w:val="24"/>
        </w:rPr>
      </w:pPr>
      <w:r w:rsidRPr="00BC7013">
        <w:rPr>
          <w:rFonts w:cstheme="minorHAnsi"/>
          <w:b/>
          <w:bCs/>
          <w:szCs w:val="24"/>
        </w:rPr>
        <w:t>We will strive to address the special challenges facing developing countries,</w:t>
      </w:r>
      <w:r w:rsidRPr="00BC7013">
        <w:rPr>
          <w:rFonts w:cstheme="minorHAnsi"/>
          <w:szCs w:val="24"/>
        </w:rPr>
        <w:t xml:space="preserve"> in particular LDCs, LLDCs, SIDS and countries with special needs, through capacity building</w:t>
      </w:r>
      <w:r w:rsidR="007A24A6" w:rsidRPr="00BC7013">
        <w:rPr>
          <w:rFonts w:cstheme="minorHAnsi"/>
          <w:szCs w:val="24"/>
        </w:rPr>
        <w:t>,</w:t>
      </w:r>
      <w:r w:rsidRPr="00BC7013">
        <w:rPr>
          <w:rFonts w:cstheme="minorHAnsi"/>
          <w:szCs w:val="24"/>
        </w:rPr>
        <w:t xml:space="preserve"> </w:t>
      </w:r>
      <w:r w:rsidR="007A24A6" w:rsidRPr="00BC7013">
        <w:rPr>
          <w:rFonts w:cstheme="minorHAnsi"/>
          <w:szCs w:val="24"/>
        </w:rPr>
        <w:t>tailored technical assistance, exchange of best practices, resource mobilization, impact-driven projects</w:t>
      </w:r>
      <w:r w:rsidR="000E0337">
        <w:rPr>
          <w:rFonts w:cstheme="minorHAnsi"/>
          <w:szCs w:val="24"/>
        </w:rPr>
        <w:t>,</w:t>
      </w:r>
      <w:r w:rsidR="007A24A6" w:rsidRPr="00BC7013">
        <w:rPr>
          <w:rFonts w:cstheme="minorHAnsi"/>
          <w:szCs w:val="24"/>
        </w:rPr>
        <w:t xml:space="preserve"> matchmaking initiatives </w:t>
      </w:r>
      <w:r w:rsidR="008C5FAC" w:rsidRPr="00BC7013">
        <w:rPr>
          <w:rFonts w:cstheme="minorHAnsi"/>
          <w:szCs w:val="24"/>
        </w:rPr>
        <w:t>and know</w:t>
      </w:r>
      <w:r w:rsidR="005754AF" w:rsidRPr="00BC7013">
        <w:rPr>
          <w:rFonts w:cstheme="minorHAnsi"/>
          <w:szCs w:val="24"/>
        </w:rPr>
        <w:t>-</w:t>
      </w:r>
      <w:r w:rsidR="005C0C44" w:rsidRPr="00BC7013">
        <w:rPr>
          <w:rFonts w:cstheme="minorHAnsi"/>
          <w:szCs w:val="24"/>
        </w:rPr>
        <w:t xml:space="preserve">how </w:t>
      </w:r>
      <w:r w:rsidR="00957E8D" w:rsidRPr="00BC7013">
        <w:rPr>
          <w:rFonts w:cstheme="minorHAnsi"/>
          <w:szCs w:val="24"/>
        </w:rPr>
        <w:t xml:space="preserve">to leverage </w:t>
      </w:r>
      <w:r w:rsidRPr="00BC7013">
        <w:rPr>
          <w:rFonts w:cstheme="minorHAnsi"/>
          <w:szCs w:val="24"/>
        </w:rPr>
        <w:t>new and emerging technologies</w:t>
      </w:r>
      <w:r w:rsidR="00824BD0" w:rsidRPr="00BC7013">
        <w:rPr>
          <w:rFonts w:cstheme="minorHAnsi"/>
          <w:szCs w:val="24"/>
        </w:rPr>
        <w:t>,</w:t>
      </w:r>
      <w:r w:rsidR="00C41A3D" w:rsidRPr="00BC7013">
        <w:rPr>
          <w:rFonts w:cstheme="minorHAnsi"/>
          <w:szCs w:val="24"/>
        </w:rPr>
        <w:t xml:space="preserve"> </w:t>
      </w:r>
      <w:r w:rsidR="00824BD0" w:rsidRPr="00BC7013">
        <w:rPr>
          <w:rFonts w:cstheme="minorHAnsi"/>
          <w:szCs w:val="24"/>
        </w:rPr>
        <w:t xml:space="preserve">including Artificial Intelligence </w:t>
      </w:r>
      <w:r w:rsidR="00C41A3D" w:rsidRPr="00BC7013">
        <w:rPr>
          <w:rFonts w:cstheme="minorHAnsi"/>
          <w:szCs w:val="24"/>
        </w:rPr>
        <w:t>related to telecommunications/ICTs</w:t>
      </w:r>
      <w:r w:rsidRPr="00BC7013">
        <w:rPr>
          <w:rFonts w:cstheme="minorHAnsi"/>
          <w:szCs w:val="24"/>
        </w:rPr>
        <w:t>.</w:t>
      </w:r>
    </w:p>
    <w:p w14:paraId="1DBCF3D2" w14:textId="77777777" w:rsidR="0045296E" w:rsidRPr="005904A8" w:rsidRDefault="0045296E" w:rsidP="0045296E">
      <w:pPr>
        <w:spacing w:after="120"/>
        <w:jc w:val="both"/>
        <w:rPr>
          <w:rFonts w:cstheme="minorHAnsi"/>
          <w:szCs w:val="24"/>
        </w:rPr>
      </w:pPr>
      <w:r w:rsidRPr="005904A8">
        <w:rPr>
          <w:rFonts w:cstheme="minorHAnsi"/>
          <w:szCs w:val="24"/>
        </w:rPr>
        <w:lastRenderedPageBreak/>
        <w:t xml:space="preserve">We welcome the steadfast efforts of </w:t>
      </w:r>
      <w:r>
        <w:rPr>
          <w:rFonts w:cstheme="minorHAnsi"/>
          <w:szCs w:val="24"/>
        </w:rPr>
        <w:t>ITU-D</w:t>
      </w:r>
      <w:r w:rsidRPr="005904A8">
        <w:rPr>
          <w:rFonts w:cstheme="minorHAnsi"/>
          <w:szCs w:val="24"/>
        </w:rPr>
        <w:t xml:space="preserve"> and its contribution towards building an inclusive and sustainable digital future for all. </w:t>
      </w:r>
    </w:p>
    <w:p w14:paraId="74E284D2" w14:textId="77777777" w:rsidR="0045296E" w:rsidRDefault="0045296E" w:rsidP="0045296E">
      <w:pPr>
        <w:spacing w:after="120"/>
        <w:jc w:val="both"/>
        <w:rPr>
          <w:rFonts w:cstheme="minorHAnsi"/>
          <w:b/>
          <w:bCs/>
          <w:szCs w:val="24"/>
        </w:rPr>
      </w:pPr>
      <w:r w:rsidRPr="005904A8">
        <w:rPr>
          <w:rFonts w:cstheme="minorHAnsi"/>
          <w:b/>
          <w:bCs/>
          <w:szCs w:val="24"/>
        </w:rPr>
        <w:t xml:space="preserve">We </w:t>
      </w:r>
      <w:r>
        <w:rPr>
          <w:rFonts w:cstheme="minorHAnsi"/>
          <w:b/>
          <w:bCs/>
          <w:szCs w:val="24"/>
        </w:rPr>
        <w:t>are</w:t>
      </w:r>
      <w:r w:rsidRPr="005904A8">
        <w:rPr>
          <w:rFonts w:cstheme="minorHAnsi"/>
          <w:b/>
          <w:bCs/>
          <w:szCs w:val="24"/>
        </w:rPr>
        <w:t xml:space="preserve"> commit</w:t>
      </w:r>
      <w:r>
        <w:rPr>
          <w:rFonts w:cstheme="minorHAnsi"/>
          <w:b/>
          <w:bCs/>
          <w:szCs w:val="24"/>
        </w:rPr>
        <w:t>ted</w:t>
      </w:r>
      <w:r w:rsidRPr="005904A8">
        <w:rPr>
          <w:rFonts w:cstheme="minorHAnsi"/>
          <w:b/>
          <w:bCs/>
          <w:szCs w:val="24"/>
        </w:rPr>
        <w:t xml:space="preserve"> to amplify</w:t>
      </w:r>
      <w:r>
        <w:rPr>
          <w:rFonts w:cstheme="minorHAnsi"/>
          <w:b/>
          <w:bCs/>
          <w:szCs w:val="24"/>
        </w:rPr>
        <w:t>ing</w:t>
      </w:r>
      <w:r w:rsidRPr="005904A8">
        <w:rPr>
          <w:rFonts w:cstheme="minorHAnsi"/>
          <w:b/>
          <w:bCs/>
          <w:szCs w:val="24"/>
        </w:rPr>
        <w:t xml:space="preserve"> the impact of the work of the Sector to accelerate global digital development and call upon Member States, development partners and the private sector to scale up relevant programmes and initiatives while prioritizing the needs of </w:t>
      </w:r>
      <w:r>
        <w:rPr>
          <w:rFonts w:cstheme="minorHAnsi"/>
          <w:b/>
          <w:bCs/>
          <w:szCs w:val="24"/>
        </w:rPr>
        <w:t>developing</w:t>
      </w:r>
      <w:r w:rsidRPr="005904A8">
        <w:rPr>
          <w:rFonts w:cstheme="minorHAnsi"/>
          <w:b/>
          <w:bCs/>
          <w:szCs w:val="24"/>
        </w:rPr>
        <w:t xml:space="preserve"> countries</w:t>
      </w:r>
      <w:r w:rsidRPr="00E7696B">
        <w:rPr>
          <w:rFonts w:cstheme="minorHAnsi"/>
          <w:b/>
          <w:bCs/>
          <w:szCs w:val="24"/>
        </w:rPr>
        <w:t xml:space="preserve">, </w:t>
      </w:r>
      <w:r>
        <w:rPr>
          <w:rFonts w:cstheme="minorHAnsi"/>
          <w:b/>
          <w:bCs/>
          <w:szCs w:val="24"/>
        </w:rPr>
        <w:t xml:space="preserve"> particularly </w:t>
      </w:r>
      <w:r w:rsidRPr="00E7696B">
        <w:rPr>
          <w:rFonts w:cstheme="minorHAnsi"/>
          <w:b/>
          <w:bCs/>
          <w:szCs w:val="24"/>
        </w:rPr>
        <w:t>LDCs, LLDCs, and SIDS</w:t>
      </w:r>
      <w:r w:rsidRPr="005904A8">
        <w:rPr>
          <w:rFonts w:cstheme="minorHAnsi"/>
          <w:b/>
          <w:bCs/>
          <w:szCs w:val="24"/>
        </w:rPr>
        <w:t xml:space="preserve"> for the full and rapid implementation of the Baku Action Plan,</w:t>
      </w:r>
      <w:r>
        <w:rPr>
          <w:rFonts w:cstheme="minorHAnsi"/>
          <w:b/>
          <w:bCs/>
          <w:szCs w:val="24"/>
        </w:rPr>
        <w:t xml:space="preserve"> Regional Initiatives,</w:t>
      </w:r>
      <w:r w:rsidRPr="005904A8">
        <w:rPr>
          <w:rFonts w:cstheme="minorHAnsi"/>
          <w:b/>
          <w:bCs/>
          <w:szCs w:val="24"/>
        </w:rPr>
        <w:t xml:space="preserve"> and WTDC Resolutions</w:t>
      </w:r>
      <w:r>
        <w:rPr>
          <w:rFonts w:cstheme="minorHAnsi"/>
          <w:b/>
          <w:bCs/>
          <w:szCs w:val="24"/>
        </w:rPr>
        <w:t xml:space="preserve">, as well as </w:t>
      </w:r>
      <w:r w:rsidRPr="003346EA">
        <w:rPr>
          <w:rFonts w:cstheme="minorHAnsi"/>
          <w:b/>
          <w:bCs/>
          <w:szCs w:val="24"/>
        </w:rPr>
        <w:t>the advancement of the commitments of the Baku Declaration.</w:t>
      </w:r>
    </w:p>
    <w:p w14:paraId="7759C759" w14:textId="0FEA5014" w:rsidR="00821996" w:rsidRDefault="003C58BF" w:rsidP="005A4AB8">
      <w:pPr>
        <w:tabs>
          <w:tab w:val="clear" w:pos="794"/>
          <w:tab w:val="clear" w:pos="1191"/>
          <w:tab w:val="clear" w:pos="1588"/>
          <w:tab w:val="clear" w:pos="1985"/>
        </w:tabs>
        <w:spacing w:after="120"/>
        <w:jc w:val="center"/>
      </w:pPr>
      <w:bookmarkStart w:id="10" w:name="Proposal"/>
      <w:bookmarkEnd w:id="9"/>
      <w:bookmarkEnd w:id="10"/>
      <w:r w:rsidRPr="006D4EA0">
        <w:t>_____________</w:t>
      </w:r>
      <w:r w:rsidR="004122C5" w:rsidRPr="006D4EA0">
        <w:t>_</w:t>
      </w:r>
      <w:r w:rsidR="00922EC1" w:rsidRPr="006D4EA0">
        <w:t>_</w:t>
      </w:r>
    </w:p>
    <w:sectPr w:rsidR="00821996" w:rsidSect="00473791">
      <w:headerReference w:type="default" r:id="rId41"/>
      <w:footerReference w:type="first" r:id="rId4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90450" w14:textId="77777777" w:rsidR="009B116C" w:rsidRDefault="009B116C">
      <w:r>
        <w:separator/>
      </w:r>
    </w:p>
  </w:endnote>
  <w:endnote w:type="continuationSeparator" w:id="0">
    <w:p w14:paraId="00149F31" w14:textId="77777777" w:rsidR="009B116C" w:rsidRDefault="009B116C">
      <w:r>
        <w:continuationSeparator/>
      </w:r>
    </w:p>
  </w:endnote>
  <w:endnote w:type="continuationNotice" w:id="1">
    <w:p w14:paraId="525F3074" w14:textId="77777777" w:rsidR="009B116C" w:rsidRDefault="009B116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00000001" w:usb1="080E0000" w:usb2="00000010" w:usb3="00000000" w:csb0="00040000" w:csb1="00000000"/>
  </w:font>
  <w:font w:name="Simplified Arabic">
    <w:charset w:val="B2"/>
    <w:family w:val="roman"/>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MyriadPro-Light">
    <w:altName w:val="Calibri"/>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8A6416" w:rsidRPr="00155223" w14:paraId="695D1810" w14:textId="77777777" w:rsidTr="004E3CF5">
      <w:tc>
        <w:tcPr>
          <w:tcW w:w="1526" w:type="dxa"/>
          <w:tcBorders>
            <w:top w:val="single" w:sz="4" w:space="0" w:color="000000"/>
          </w:tcBorders>
          <w:shd w:val="clear" w:color="auto" w:fill="auto"/>
        </w:tcPr>
        <w:p w14:paraId="746E5A61" w14:textId="77777777" w:rsidR="008A6416" w:rsidRPr="00155223" w:rsidRDefault="008A6416" w:rsidP="008A6416">
          <w:pPr>
            <w:pStyle w:val="FirstFooter"/>
            <w:tabs>
              <w:tab w:val="left" w:pos="1559"/>
              <w:tab w:val="left" w:pos="3828"/>
            </w:tabs>
            <w:rPr>
              <w:sz w:val="18"/>
              <w:szCs w:val="18"/>
            </w:rPr>
          </w:pPr>
          <w:r w:rsidRPr="00155223">
            <w:rPr>
              <w:sz w:val="18"/>
              <w:szCs w:val="18"/>
              <w:lang w:val="en-US"/>
            </w:rPr>
            <w:t>Contact:</w:t>
          </w:r>
        </w:p>
      </w:tc>
      <w:tc>
        <w:tcPr>
          <w:tcW w:w="2410" w:type="dxa"/>
          <w:tcBorders>
            <w:top w:val="single" w:sz="4" w:space="0" w:color="000000"/>
          </w:tcBorders>
          <w:shd w:val="clear" w:color="auto" w:fill="auto"/>
        </w:tcPr>
        <w:p w14:paraId="488E41E2" w14:textId="47CA62A3" w:rsidR="008A6416" w:rsidRPr="00155223" w:rsidRDefault="008A6416" w:rsidP="008A6416">
          <w:pPr>
            <w:pStyle w:val="FirstFooter"/>
            <w:tabs>
              <w:tab w:val="left" w:pos="2302"/>
            </w:tabs>
            <w:ind w:left="2302" w:hanging="2302"/>
            <w:rPr>
              <w:sz w:val="18"/>
              <w:szCs w:val="18"/>
              <w:lang w:val="en-US"/>
            </w:rPr>
          </w:pPr>
          <w:r w:rsidRPr="00155223">
            <w:rPr>
              <w:sz w:val="18"/>
              <w:szCs w:val="18"/>
              <w:lang w:val="en-US"/>
            </w:rPr>
            <w:t>Name/Organization/Entity:</w:t>
          </w:r>
        </w:p>
      </w:tc>
      <w:tc>
        <w:tcPr>
          <w:tcW w:w="5987" w:type="dxa"/>
          <w:tcBorders>
            <w:top w:val="single" w:sz="4" w:space="0" w:color="000000"/>
          </w:tcBorders>
        </w:tcPr>
        <w:p w14:paraId="148264AE" w14:textId="4C8E5654" w:rsidR="008A6416" w:rsidRPr="00155223" w:rsidRDefault="008A6416" w:rsidP="001D7B96">
          <w:pPr>
            <w:pStyle w:val="FirstFooter"/>
            <w:tabs>
              <w:tab w:val="left" w:pos="2302"/>
            </w:tabs>
            <w:rPr>
              <w:sz w:val="18"/>
              <w:szCs w:val="18"/>
              <w:lang w:val="en-US"/>
            </w:rPr>
          </w:pPr>
          <w:r w:rsidRPr="00155223">
            <w:rPr>
              <w:sz w:val="18"/>
              <w:szCs w:val="18"/>
              <w:lang w:val="en-GB"/>
            </w:rPr>
            <w:t xml:space="preserve">Mr Abdulkarim Oloyede, Chair, </w:t>
          </w:r>
          <w:r w:rsidR="001D7B96" w:rsidRPr="00155223">
            <w:rPr>
              <w:sz w:val="18"/>
              <w:szCs w:val="18"/>
              <w:lang w:val="en-GB"/>
            </w:rPr>
            <w:t>TDAG Working Group on the Declaration</w:t>
          </w:r>
          <w:r w:rsidR="000B1FDC" w:rsidRPr="00155223">
            <w:rPr>
              <w:sz w:val="18"/>
              <w:szCs w:val="18"/>
              <w:lang w:val="en-GB"/>
            </w:rPr>
            <w:t>, Nigeria</w:t>
          </w:r>
        </w:p>
      </w:tc>
      <w:bookmarkStart w:id="13" w:name="OrgName"/>
      <w:bookmarkEnd w:id="13"/>
    </w:tr>
    <w:tr w:rsidR="008A6416" w:rsidRPr="00155223" w14:paraId="61167678" w14:textId="77777777" w:rsidTr="004E3CF5">
      <w:tc>
        <w:tcPr>
          <w:tcW w:w="1526" w:type="dxa"/>
          <w:shd w:val="clear" w:color="auto" w:fill="auto"/>
        </w:tcPr>
        <w:p w14:paraId="33710823" w14:textId="77777777" w:rsidR="008A6416" w:rsidRPr="00155223" w:rsidRDefault="008A6416" w:rsidP="008A6416">
          <w:pPr>
            <w:pStyle w:val="FirstFooter"/>
            <w:tabs>
              <w:tab w:val="left" w:pos="1559"/>
              <w:tab w:val="left" w:pos="3828"/>
            </w:tabs>
            <w:rPr>
              <w:sz w:val="18"/>
              <w:szCs w:val="18"/>
              <w:lang w:val="en-US"/>
            </w:rPr>
          </w:pPr>
        </w:p>
      </w:tc>
      <w:tc>
        <w:tcPr>
          <w:tcW w:w="2410" w:type="dxa"/>
          <w:shd w:val="clear" w:color="auto" w:fill="auto"/>
        </w:tcPr>
        <w:p w14:paraId="1251F6E4" w14:textId="05992EC7" w:rsidR="008A6416" w:rsidRPr="00155223" w:rsidRDefault="008A6416" w:rsidP="008A6416">
          <w:pPr>
            <w:pStyle w:val="FirstFooter"/>
            <w:tabs>
              <w:tab w:val="left" w:pos="2302"/>
            </w:tabs>
            <w:rPr>
              <w:sz w:val="18"/>
              <w:szCs w:val="18"/>
              <w:lang w:val="en-US"/>
            </w:rPr>
          </w:pPr>
          <w:r w:rsidRPr="00155223">
            <w:rPr>
              <w:sz w:val="18"/>
              <w:szCs w:val="18"/>
              <w:lang w:val="en-US"/>
            </w:rPr>
            <w:t>Phone number:</w:t>
          </w:r>
        </w:p>
      </w:tc>
      <w:tc>
        <w:tcPr>
          <w:tcW w:w="5987" w:type="dxa"/>
        </w:tcPr>
        <w:p w14:paraId="6D7949F0" w14:textId="60A43A7E" w:rsidR="008A6416" w:rsidRPr="00155223" w:rsidRDefault="008A6416" w:rsidP="008A6416">
          <w:pPr>
            <w:pStyle w:val="FirstFooter"/>
            <w:tabs>
              <w:tab w:val="left" w:pos="2302"/>
            </w:tabs>
            <w:rPr>
              <w:sz w:val="18"/>
              <w:szCs w:val="18"/>
              <w:lang w:val="en-US"/>
            </w:rPr>
          </w:pPr>
          <w:r w:rsidRPr="00155223">
            <w:rPr>
              <w:sz w:val="18"/>
              <w:szCs w:val="18"/>
              <w:lang w:val="en-US"/>
            </w:rPr>
            <w:t>n/a</w:t>
          </w:r>
        </w:p>
      </w:tc>
      <w:bookmarkStart w:id="14" w:name="PhoneNo"/>
      <w:bookmarkEnd w:id="14"/>
    </w:tr>
    <w:tr w:rsidR="008A6416" w:rsidRPr="00155223" w14:paraId="0299A231" w14:textId="77777777" w:rsidTr="004E3CF5">
      <w:tc>
        <w:tcPr>
          <w:tcW w:w="1526" w:type="dxa"/>
          <w:shd w:val="clear" w:color="auto" w:fill="auto"/>
        </w:tcPr>
        <w:p w14:paraId="35CBC438" w14:textId="77777777" w:rsidR="008A6416" w:rsidRPr="00155223" w:rsidRDefault="008A6416" w:rsidP="008A6416">
          <w:pPr>
            <w:pStyle w:val="FirstFooter"/>
            <w:tabs>
              <w:tab w:val="left" w:pos="1559"/>
              <w:tab w:val="left" w:pos="3828"/>
            </w:tabs>
            <w:rPr>
              <w:sz w:val="18"/>
              <w:szCs w:val="18"/>
              <w:lang w:val="en-US"/>
            </w:rPr>
          </w:pPr>
        </w:p>
      </w:tc>
      <w:tc>
        <w:tcPr>
          <w:tcW w:w="2410" w:type="dxa"/>
          <w:shd w:val="clear" w:color="auto" w:fill="auto"/>
        </w:tcPr>
        <w:p w14:paraId="65335E06" w14:textId="1535E369" w:rsidR="008A6416" w:rsidRPr="00155223" w:rsidRDefault="008A6416" w:rsidP="008A6416">
          <w:pPr>
            <w:pStyle w:val="FirstFooter"/>
            <w:tabs>
              <w:tab w:val="left" w:pos="2302"/>
            </w:tabs>
            <w:rPr>
              <w:sz w:val="18"/>
              <w:szCs w:val="18"/>
              <w:lang w:val="en-US"/>
            </w:rPr>
          </w:pPr>
          <w:r w:rsidRPr="00155223">
            <w:rPr>
              <w:sz w:val="18"/>
              <w:szCs w:val="18"/>
              <w:lang w:val="en-US"/>
            </w:rPr>
            <w:t>E-mail:</w:t>
          </w:r>
        </w:p>
      </w:tc>
      <w:tc>
        <w:tcPr>
          <w:tcW w:w="5987" w:type="dxa"/>
        </w:tcPr>
        <w:p w14:paraId="7EAB0988" w14:textId="7EB7B3BB" w:rsidR="008A6416" w:rsidRPr="00155223" w:rsidRDefault="008A6416" w:rsidP="008A6416">
          <w:pPr>
            <w:pStyle w:val="FirstFooter"/>
            <w:tabs>
              <w:tab w:val="left" w:pos="2302"/>
            </w:tabs>
            <w:rPr>
              <w:sz w:val="18"/>
              <w:szCs w:val="18"/>
              <w:lang w:val="en-US"/>
            </w:rPr>
          </w:pPr>
          <w:hyperlink r:id="rId1" w:history="1">
            <w:r w:rsidRPr="00155223">
              <w:rPr>
                <w:rStyle w:val="Hyperlink"/>
                <w:sz w:val="18"/>
                <w:szCs w:val="18"/>
                <w:lang w:val="en-GB"/>
              </w:rPr>
              <w:t>oloyede.aa@unilorin.edu.ng</w:t>
            </w:r>
          </w:hyperlink>
          <w:r w:rsidR="000F34AF" w:rsidRPr="00155223">
            <w:rPr>
              <w:rStyle w:val="Hyperlink"/>
              <w:color w:val="auto"/>
              <w:sz w:val="18"/>
              <w:szCs w:val="18"/>
              <w:u w:val="none"/>
              <w:lang w:val="en-GB"/>
            </w:rPr>
            <w:t>;</w:t>
          </w:r>
          <w:r w:rsidRPr="00155223">
            <w:rPr>
              <w:rStyle w:val="Hyperlink"/>
              <w:color w:val="auto"/>
              <w:sz w:val="18"/>
              <w:szCs w:val="18"/>
              <w:u w:val="none"/>
              <w:lang w:val="en-GB"/>
            </w:rPr>
            <w:t xml:space="preserve"> </w:t>
          </w:r>
          <w:hyperlink r:id="rId2" w:history="1">
            <w:r w:rsidRPr="00155223">
              <w:rPr>
                <w:rStyle w:val="Hyperlink"/>
                <w:sz w:val="18"/>
                <w:szCs w:val="18"/>
                <w:lang w:val="en-GB"/>
              </w:rPr>
              <w:t>TDAG-WG-DEC@lists.itu.int</w:t>
            </w:r>
          </w:hyperlink>
        </w:p>
      </w:tc>
      <w:bookmarkStart w:id="15" w:name="Email"/>
      <w:bookmarkEnd w:id="15"/>
    </w:tr>
  </w:tbl>
  <w:p w14:paraId="40A321D0" w14:textId="0229252A" w:rsidR="00721657" w:rsidRPr="00155223" w:rsidRDefault="00721657" w:rsidP="00741443">
    <w:pPr>
      <w:tabs>
        <w:tab w:val="clear" w:pos="794"/>
        <w:tab w:val="clear" w:pos="1191"/>
        <w:tab w:val="clear" w:pos="1588"/>
        <w:tab w:val="clear" w:pos="1985"/>
        <w:tab w:val="center" w:pos="4820"/>
        <w:tab w:val="right" w:pos="9639"/>
      </w:tabs>
      <w:ind w:right="1"/>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3E35D" w14:textId="77777777" w:rsidR="009B116C" w:rsidRDefault="009B116C">
      <w:r>
        <w:t>____________________</w:t>
      </w:r>
    </w:p>
  </w:footnote>
  <w:footnote w:type="continuationSeparator" w:id="0">
    <w:p w14:paraId="58E13C6C" w14:textId="77777777" w:rsidR="009B116C" w:rsidRDefault="009B116C">
      <w:r>
        <w:continuationSeparator/>
      </w:r>
    </w:p>
  </w:footnote>
  <w:footnote w:type="continuationNotice" w:id="1">
    <w:p w14:paraId="1C43B27D" w14:textId="77777777" w:rsidR="009B116C" w:rsidRDefault="009B116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33A2BA59" w:rsidR="00721657" w:rsidRPr="00D61A73" w:rsidRDefault="00D61A73" w:rsidP="00D61A73">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B54454">
      <w:rPr>
        <w:sz w:val="22"/>
        <w:szCs w:val="22"/>
        <w:lang w:val="es-ES_tradnl"/>
      </w:rPr>
      <w:t>ITU-D/</w:t>
    </w:r>
    <w:bookmarkStart w:id="11" w:name="DocRef2"/>
    <w:bookmarkEnd w:id="11"/>
    <w:r w:rsidR="00C01B0C" w:rsidRPr="00B54454">
      <w:rPr>
        <w:sz w:val="22"/>
        <w:szCs w:val="22"/>
        <w:lang w:val="es-ES_tradnl"/>
      </w:rPr>
      <w:t>TDAG</w:t>
    </w:r>
    <w:r w:rsidRPr="00B54454">
      <w:rPr>
        <w:sz w:val="22"/>
        <w:szCs w:val="22"/>
        <w:lang w:val="es-ES_tradnl"/>
      </w:rPr>
      <w:t>25/</w:t>
    </w:r>
    <w:bookmarkStart w:id="12" w:name="DocNo2"/>
    <w:bookmarkEnd w:id="12"/>
    <w:r w:rsidR="00B54454" w:rsidRPr="00B54454">
      <w:rPr>
        <w:sz w:val="22"/>
        <w:szCs w:val="22"/>
        <w:lang w:val="es-ES_tradnl"/>
      </w:rPr>
      <w:t>18</w:t>
    </w:r>
    <w:r w:rsidR="00164DA5">
      <w:rPr>
        <w:sz w:val="22"/>
        <w:szCs w:val="22"/>
        <w:lang w:val="es-ES_tradnl"/>
      </w:rPr>
      <w:t>(Rev.</w:t>
    </w:r>
    <w:r w:rsidR="003479A2">
      <w:rPr>
        <w:sz w:val="22"/>
        <w:szCs w:val="22"/>
        <w:lang w:val="es-ES_tradnl"/>
      </w:rPr>
      <w:t>3</w:t>
    </w:r>
    <w:r w:rsidR="00164DA5">
      <w:rPr>
        <w:sz w:val="22"/>
        <w:szCs w:val="22"/>
        <w:lang w:val="es-ES_tradnl"/>
      </w:rPr>
      <w:t>)</w:t>
    </w:r>
    <w:r w:rsidRPr="00B54454">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DB4BEF">
      <w:rPr>
        <w:sz w:val="22"/>
        <w:szCs w:val="22"/>
        <w:lang w:val="pt-PT"/>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67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633D83"/>
    <w:multiLevelType w:val="hybridMultilevel"/>
    <w:tmpl w:val="4E406842"/>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336120"/>
    <w:multiLevelType w:val="hybridMultilevel"/>
    <w:tmpl w:val="A3EE6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FF24C5"/>
    <w:multiLevelType w:val="hybridMultilevel"/>
    <w:tmpl w:val="BB4E51A4"/>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08234A"/>
    <w:multiLevelType w:val="hybridMultilevel"/>
    <w:tmpl w:val="527A730C"/>
    <w:lvl w:ilvl="0" w:tplc="FBEAE524">
      <w:start w:val="1"/>
      <w:numFmt w:val="decimal"/>
      <w:lvlText w:val="%1)"/>
      <w:lvlJc w:val="left"/>
      <w:pPr>
        <w:ind w:left="720" w:hanging="360"/>
      </w:pPr>
      <w:rPr>
        <w:rFonts w:hint="default"/>
        <w:b w:val="0"/>
        <w:bCs w:val="0"/>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7575C7"/>
    <w:multiLevelType w:val="hybridMultilevel"/>
    <w:tmpl w:val="6B9E0C40"/>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38E655C"/>
    <w:multiLevelType w:val="hybridMultilevel"/>
    <w:tmpl w:val="6F90872C"/>
    <w:lvl w:ilvl="0" w:tplc="93E6492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8" w15:restartNumberingAfterBreak="0">
    <w:nsid w:val="5C223CFE"/>
    <w:multiLevelType w:val="hybridMultilevel"/>
    <w:tmpl w:val="7E7868F2"/>
    <w:lvl w:ilvl="0" w:tplc="7BE8D23A">
      <w:start w:val="1"/>
      <w:numFmt w:val="lowerRoman"/>
      <w:lvlText w:val="%1."/>
      <w:lvlJc w:val="right"/>
      <w:pPr>
        <w:ind w:left="720" w:hanging="360"/>
      </w:pPr>
      <w:rPr>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FE690A"/>
    <w:multiLevelType w:val="hybridMultilevel"/>
    <w:tmpl w:val="7D9AECA4"/>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88265857">
    <w:abstractNumId w:val="7"/>
  </w:num>
  <w:num w:numId="2" w16cid:durableId="1397433681">
    <w:abstractNumId w:val="3"/>
  </w:num>
  <w:num w:numId="3" w16cid:durableId="2141071662">
    <w:abstractNumId w:val="0"/>
  </w:num>
  <w:num w:numId="4" w16cid:durableId="2142267814">
    <w:abstractNumId w:val="2"/>
  </w:num>
  <w:num w:numId="5" w16cid:durableId="56980065">
    <w:abstractNumId w:val="4"/>
  </w:num>
  <w:num w:numId="6" w16cid:durableId="835339000">
    <w:abstractNumId w:val="8"/>
  </w:num>
  <w:num w:numId="7" w16cid:durableId="1211382198">
    <w:abstractNumId w:val="5"/>
  </w:num>
  <w:num w:numId="8" w16cid:durableId="47847976">
    <w:abstractNumId w:val="9"/>
  </w:num>
  <w:num w:numId="9" w16cid:durableId="2144079420">
    <w:abstractNumId w:val="6"/>
  </w:num>
  <w:num w:numId="10" w16cid:durableId="62223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102B"/>
    <w:rsid w:val="00014F15"/>
    <w:rsid w:val="00015089"/>
    <w:rsid w:val="00017CA3"/>
    <w:rsid w:val="00021196"/>
    <w:rsid w:val="0002155D"/>
    <w:rsid w:val="000235D9"/>
    <w:rsid w:val="0002520B"/>
    <w:rsid w:val="00027CDA"/>
    <w:rsid w:val="00030397"/>
    <w:rsid w:val="00033399"/>
    <w:rsid w:val="00037A9E"/>
    <w:rsid w:val="00037F91"/>
    <w:rsid w:val="00043896"/>
    <w:rsid w:val="00045F6B"/>
    <w:rsid w:val="000539F1"/>
    <w:rsid w:val="0005410C"/>
    <w:rsid w:val="00054747"/>
    <w:rsid w:val="00055A2A"/>
    <w:rsid w:val="000615C1"/>
    <w:rsid w:val="00061675"/>
    <w:rsid w:val="00062CD7"/>
    <w:rsid w:val="0007339D"/>
    <w:rsid w:val="000743AA"/>
    <w:rsid w:val="00086F76"/>
    <w:rsid w:val="0009076F"/>
    <w:rsid w:val="0009225C"/>
    <w:rsid w:val="000A1307"/>
    <w:rsid w:val="000A17C4"/>
    <w:rsid w:val="000A36A4"/>
    <w:rsid w:val="000A3F30"/>
    <w:rsid w:val="000B1FDC"/>
    <w:rsid w:val="000B229B"/>
    <w:rsid w:val="000B2352"/>
    <w:rsid w:val="000C2FE8"/>
    <w:rsid w:val="000C6BEE"/>
    <w:rsid w:val="000C7B84"/>
    <w:rsid w:val="000D261B"/>
    <w:rsid w:val="000D58A3"/>
    <w:rsid w:val="000E0337"/>
    <w:rsid w:val="000E07A7"/>
    <w:rsid w:val="000E3ED4"/>
    <w:rsid w:val="000E3F9C"/>
    <w:rsid w:val="000E505D"/>
    <w:rsid w:val="000F1550"/>
    <w:rsid w:val="000F251B"/>
    <w:rsid w:val="000F34AF"/>
    <w:rsid w:val="000F527C"/>
    <w:rsid w:val="000F5FE8"/>
    <w:rsid w:val="000F6644"/>
    <w:rsid w:val="00100833"/>
    <w:rsid w:val="00102F72"/>
    <w:rsid w:val="00105F4C"/>
    <w:rsid w:val="00107E85"/>
    <w:rsid w:val="00113EE8"/>
    <w:rsid w:val="0011455A"/>
    <w:rsid w:val="00114A65"/>
    <w:rsid w:val="00122D35"/>
    <w:rsid w:val="00126F74"/>
    <w:rsid w:val="00133061"/>
    <w:rsid w:val="0013591E"/>
    <w:rsid w:val="001405DA"/>
    <w:rsid w:val="00141699"/>
    <w:rsid w:val="00147000"/>
    <w:rsid w:val="0014762C"/>
    <w:rsid w:val="00155223"/>
    <w:rsid w:val="00156693"/>
    <w:rsid w:val="00163091"/>
    <w:rsid w:val="001645CB"/>
    <w:rsid w:val="00164DA5"/>
    <w:rsid w:val="00166305"/>
    <w:rsid w:val="00167545"/>
    <w:rsid w:val="001703C6"/>
    <w:rsid w:val="00170FF2"/>
    <w:rsid w:val="00173781"/>
    <w:rsid w:val="00175ADF"/>
    <w:rsid w:val="00175CAE"/>
    <w:rsid w:val="00182220"/>
    <w:rsid w:val="001828DB"/>
    <w:rsid w:val="001850FE"/>
    <w:rsid w:val="00185135"/>
    <w:rsid w:val="0019037C"/>
    <w:rsid w:val="001905A9"/>
    <w:rsid w:val="00191273"/>
    <w:rsid w:val="001942A7"/>
    <w:rsid w:val="0019587B"/>
    <w:rsid w:val="001A163D"/>
    <w:rsid w:val="001A441E"/>
    <w:rsid w:val="001A6733"/>
    <w:rsid w:val="001B2694"/>
    <w:rsid w:val="001B357F"/>
    <w:rsid w:val="001C0047"/>
    <w:rsid w:val="001C3444"/>
    <w:rsid w:val="001C3702"/>
    <w:rsid w:val="001C4656"/>
    <w:rsid w:val="001C46BC"/>
    <w:rsid w:val="001D08F5"/>
    <w:rsid w:val="001D1941"/>
    <w:rsid w:val="001D1E06"/>
    <w:rsid w:val="001D78C3"/>
    <w:rsid w:val="001D7B96"/>
    <w:rsid w:val="001E5589"/>
    <w:rsid w:val="001E596B"/>
    <w:rsid w:val="001E668A"/>
    <w:rsid w:val="001F02AA"/>
    <w:rsid w:val="001F23E6"/>
    <w:rsid w:val="001F4238"/>
    <w:rsid w:val="001F45B8"/>
    <w:rsid w:val="00200A38"/>
    <w:rsid w:val="00200A46"/>
    <w:rsid w:val="00206EE0"/>
    <w:rsid w:val="00211B6F"/>
    <w:rsid w:val="00216AE5"/>
    <w:rsid w:val="00217CC3"/>
    <w:rsid w:val="00217D79"/>
    <w:rsid w:val="00220AB6"/>
    <w:rsid w:val="0022120F"/>
    <w:rsid w:val="002239B4"/>
    <w:rsid w:val="0022754A"/>
    <w:rsid w:val="002330FD"/>
    <w:rsid w:val="00235CAB"/>
    <w:rsid w:val="00236560"/>
    <w:rsid w:val="0023662E"/>
    <w:rsid w:val="00236949"/>
    <w:rsid w:val="002372DC"/>
    <w:rsid w:val="002414B0"/>
    <w:rsid w:val="0024330C"/>
    <w:rsid w:val="002443AC"/>
    <w:rsid w:val="00245D0F"/>
    <w:rsid w:val="00245E6B"/>
    <w:rsid w:val="002548C3"/>
    <w:rsid w:val="00257ACD"/>
    <w:rsid w:val="002612B5"/>
    <w:rsid w:val="00262908"/>
    <w:rsid w:val="00262F14"/>
    <w:rsid w:val="002650F4"/>
    <w:rsid w:val="002715FD"/>
    <w:rsid w:val="0027575F"/>
    <w:rsid w:val="002770B1"/>
    <w:rsid w:val="00283CC3"/>
    <w:rsid w:val="00285B33"/>
    <w:rsid w:val="00287A3C"/>
    <w:rsid w:val="002950CD"/>
    <w:rsid w:val="0029702D"/>
    <w:rsid w:val="0029775A"/>
    <w:rsid w:val="002A1D7F"/>
    <w:rsid w:val="002A2FC6"/>
    <w:rsid w:val="002A5F2F"/>
    <w:rsid w:val="002B28D3"/>
    <w:rsid w:val="002B48CF"/>
    <w:rsid w:val="002B55CC"/>
    <w:rsid w:val="002B724C"/>
    <w:rsid w:val="002C1EC7"/>
    <w:rsid w:val="002C3015"/>
    <w:rsid w:val="002C4342"/>
    <w:rsid w:val="002C7EA3"/>
    <w:rsid w:val="002D0D95"/>
    <w:rsid w:val="002D20AE"/>
    <w:rsid w:val="002D6C61"/>
    <w:rsid w:val="002E2104"/>
    <w:rsid w:val="002E2DAC"/>
    <w:rsid w:val="002E57B8"/>
    <w:rsid w:val="002E6963"/>
    <w:rsid w:val="002E6F8F"/>
    <w:rsid w:val="002F05D8"/>
    <w:rsid w:val="002F2DE0"/>
    <w:rsid w:val="002F2E81"/>
    <w:rsid w:val="002F48C5"/>
    <w:rsid w:val="002F5E25"/>
    <w:rsid w:val="0030353C"/>
    <w:rsid w:val="00306EC7"/>
    <w:rsid w:val="00307769"/>
    <w:rsid w:val="0031107A"/>
    <w:rsid w:val="0031161B"/>
    <w:rsid w:val="003125C3"/>
    <w:rsid w:val="00312AE6"/>
    <w:rsid w:val="00317D1A"/>
    <w:rsid w:val="003211FF"/>
    <w:rsid w:val="003242AB"/>
    <w:rsid w:val="00325F85"/>
    <w:rsid w:val="00326AB8"/>
    <w:rsid w:val="00327247"/>
    <w:rsid w:val="00327A9D"/>
    <w:rsid w:val="003302CD"/>
    <w:rsid w:val="0033130E"/>
    <w:rsid w:val="0033269C"/>
    <w:rsid w:val="003336E8"/>
    <w:rsid w:val="00335268"/>
    <w:rsid w:val="0034598E"/>
    <w:rsid w:val="00345D4A"/>
    <w:rsid w:val="003479A2"/>
    <w:rsid w:val="00351C79"/>
    <w:rsid w:val="0035516C"/>
    <w:rsid w:val="00355A4C"/>
    <w:rsid w:val="00357714"/>
    <w:rsid w:val="003604FB"/>
    <w:rsid w:val="00360B73"/>
    <w:rsid w:val="00380B71"/>
    <w:rsid w:val="0038365A"/>
    <w:rsid w:val="00385210"/>
    <w:rsid w:val="00386A89"/>
    <w:rsid w:val="0039648E"/>
    <w:rsid w:val="003A5AFE"/>
    <w:rsid w:val="003A5CDE"/>
    <w:rsid w:val="003A5D5F"/>
    <w:rsid w:val="003A608D"/>
    <w:rsid w:val="003A7FFE"/>
    <w:rsid w:val="003B0A63"/>
    <w:rsid w:val="003B15B9"/>
    <w:rsid w:val="003B50E1"/>
    <w:rsid w:val="003B5D2C"/>
    <w:rsid w:val="003B6FE1"/>
    <w:rsid w:val="003C1746"/>
    <w:rsid w:val="003C2AA9"/>
    <w:rsid w:val="003C414C"/>
    <w:rsid w:val="003C58BF"/>
    <w:rsid w:val="003D451D"/>
    <w:rsid w:val="003E005A"/>
    <w:rsid w:val="003E7053"/>
    <w:rsid w:val="003F2B42"/>
    <w:rsid w:val="003F2DD8"/>
    <w:rsid w:val="003F3F2D"/>
    <w:rsid w:val="003F50B2"/>
    <w:rsid w:val="00400CCF"/>
    <w:rsid w:val="00401BFF"/>
    <w:rsid w:val="00404424"/>
    <w:rsid w:val="00405246"/>
    <w:rsid w:val="0041156B"/>
    <w:rsid w:val="004122C5"/>
    <w:rsid w:val="00413B78"/>
    <w:rsid w:val="004146FD"/>
    <w:rsid w:val="00416DDE"/>
    <w:rsid w:val="00420EB9"/>
    <w:rsid w:val="004348D0"/>
    <w:rsid w:val="0044411E"/>
    <w:rsid w:val="0045296E"/>
    <w:rsid w:val="00453435"/>
    <w:rsid w:val="00457DA8"/>
    <w:rsid w:val="00460089"/>
    <w:rsid w:val="00462AB9"/>
    <w:rsid w:val="004662EB"/>
    <w:rsid w:val="00466398"/>
    <w:rsid w:val="004712A4"/>
    <w:rsid w:val="0047306D"/>
    <w:rsid w:val="00473791"/>
    <w:rsid w:val="00475500"/>
    <w:rsid w:val="00476B59"/>
    <w:rsid w:val="00476BBD"/>
    <w:rsid w:val="00476E48"/>
    <w:rsid w:val="004774BC"/>
    <w:rsid w:val="00481DE9"/>
    <w:rsid w:val="004845AA"/>
    <w:rsid w:val="0049029C"/>
    <w:rsid w:val="0049128B"/>
    <w:rsid w:val="004916BC"/>
    <w:rsid w:val="004925BB"/>
    <w:rsid w:val="00492E2E"/>
    <w:rsid w:val="00493B49"/>
    <w:rsid w:val="00495501"/>
    <w:rsid w:val="004A070A"/>
    <w:rsid w:val="004A320E"/>
    <w:rsid w:val="004A3BAB"/>
    <w:rsid w:val="004A41C0"/>
    <w:rsid w:val="004A4E9C"/>
    <w:rsid w:val="004B1A3C"/>
    <w:rsid w:val="004B47A6"/>
    <w:rsid w:val="004B69E2"/>
    <w:rsid w:val="004C250F"/>
    <w:rsid w:val="004D2CC3"/>
    <w:rsid w:val="004D35CB"/>
    <w:rsid w:val="004D7DAB"/>
    <w:rsid w:val="004E20E5"/>
    <w:rsid w:val="004E6420"/>
    <w:rsid w:val="004E64EA"/>
    <w:rsid w:val="004E6DAD"/>
    <w:rsid w:val="004E7828"/>
    <w:rsid w:val="004F10F6"/>
    <w:rsid w:val="004F2D3A"/>
    <w:rsid w:val="004F46AA"/>
    <w:rsid w:val="004F6A70"/>
    <w:rsid w:val="00500AD7"/>
    <w:rsid w:val="00502ABF"/>
    <w:rsid w:val="00504DB0"/>
    <w:rsid w:val="00506D44"/>
    <w:rsid w:val="00506E71"/>
    <w:rsid w:val="005078A4"/>
    <w:rsid w:val="00507C35"/>
    <w:rsid w:val="00510735"/>
    <w:rsid w:val="00514D2F"/>
    <w:rsid w:val="0051583D"/>
    <w:rsid w:val="00517C6F"/>
    <w:rsid w:val="00520870"/>
    <w:rsid w:val="005229A4"/>
    <w:rsid w:val="005234B7"/>
    <w:rsid w:val="00525F9F"/>
    <w:rsid w:val="00533CDD"/>
    <w:rsid w:val="0054420E"/>
    <w:rsid w:val="00544D1B"/>
    <w:rsid w:val="00545DC0"/>
    <w:rsid w:val="00545F6C"/>
    <w:rsid w:val="0054711B"/>
    <w:rsid w:val="005477D9"/>
    <w:rsid w:val="0055720C"/>
    <w:rsid w:val="00561796"/>
    <w:rsid w:val="0056294C"/>
    <w:rsid w:val="005632DD"/>
    <w:rsid w:val="00563F4A"/>
    <w:rsid w:val="0056423B"/>
    <w:rsid w:val="00564D2B"/>
    <w:rsid w:val="0056653B"/>
    <w:rsid w:val="00566BDC"/>
    <w:rsid w:val="0057037B"/>
    <w:rsid w:val="00573424"/>
    <w:rsid w:val="0057402F"/>
    <w:rsid w:val="0057470D"/>
    <w:rsid w:val="005754AF"/>
    <w:rsid w:val="00575C8A"/>
    <w:rsid w:val="00581653"/>
    <w:rsid w:val="0058252F"/>
    <w:rsid w:val="005849D6"/>
    <w:rsid w:val="00585367"/>
    <w:rsid w:val="005871A1"/>
    <w:rsid w:val="0058737E"/>
    <w:rsid w:val="00592518"/>
    <w:rsid w:val="00592E87"/>
    <w:rsid w:val="0059420B"/>
    <w:rsid w:val="00594C4D"/>
    <w:rsid w:val="00597822"/>
    <w:rsid w:val="005A1E0A"/>
    <w:rsid w:val="005A33B0"/>
    <w:rsid w:val="005A406D"/>
    <w:rsid w:val="005A46E2"/>
    <w:rsid w:val="005A4AB8"/>
    <w:rsid w:val="005B565C"/>
    <w:rsid w:val="005B77B5"/>
    <w:rsid w:val="005C0C44"/>
    <w:rsid w:val="005C2DC2"/>
    <w:rsid w:val="005C304A"/>
    <w:rsid w:val="005C3D69"/>
    <w:rsid w:val="005C7C98"/>
    <w:rsid w:val="005D2C3A"/>
    <w:rsid w:val="005D55A4"/>
    <w:rsid w:val="005D57C8"/>
    <w:rsid w:val="005D7761"/>
    <w:rsid w:val="005D7DC6"/>
    <w:rsid w:val="005E0278"/>
    <w:rsid w:val="005E090D"/>
    <w:rsid w:val="005E1685"/>
    <w:rsid w:val="005E3CA0"/>
    <w:rsid w:val="005E44B1"/>
    <w:rsid w:val="005E67B0"/>
    <w:rsid w:val="005E7047"/>
    <w:rsid w:val="005E777F"/>
    <w:rsid w:val="005F1CA7"/>
    <w:rsid w:val="005F43DD"/>
    <w:rsid w:val="005F51A9"/>
    <w:rsid w:val="005F6BE1"/>
    <w:rsid w:val="005F7416"/>
    <w:rsid w:val="00600C11"/>
    <w:rsid w:val="00606B89"/>
    <w:rsid w:val="00611EAF"/>
    <w:rsid w:val="00621AFE"/>
    <w:rsid w:val="00623F30"/>
    <w:rsid w:val="006256E0"/>
    <w:rsid w:val="00625FB8"/>
    <w:rsid w:val="006261BD"/>
    <w:rsid w:val="00630018"/>
    <w:rsid w:val="00635EDB"/>
    <w:rsid w:val="006368D0"/>
    <w:rsid w:val="00642C3C"/>
    <w:rsid w:val="006433B6"/>
    <w:rsid w:val="00645654"/>
    <w:rsid w:val="0064734E"/>
    <w:rsid w:val="00647C6C"/>
    <w:rsid w:val="00650137"/>
    <w:rsid w:val="00650921"/>
    <w:rsid w:val="006509D7"/>
    <w:rsid w:val="00651CE8"/>
    <w:rsid w:val="0065521B"/>
    <w:rsid w:val="006648FB"/>
    <w:rsid w:val="00664EC3"/>
    <w:rsid w:val="00671EF6"/>
    <w:rsid w:val="0067205B"/>
    <w:rsid w:val="00672DCA"/>
    <w:rsid w:val="006740A3"/>
    <w:rsid w:val="006748F8"/>
    <w:rsid w:val="00680489"/>
    <w:rsid w:val="00683C32"/>
    <w:rsid w:val="00690861"/>
    <w:rsid w:val="00690BB2"/>
    <w:rsid w:val="00693D09"/>
    <w:rsid w:val="006A54F5"/>
    <w:rsid w:val="006A6549"/>
    <w:rsid w:val="006A7710"/>
    <w:rsid w:val="006A7A61"/>
    <w:rsid w:val="006B1E59"/>
    <w:rsid w:val="006B2FFB"/>
    <w:rsid w:val="006C075B"/>
    <w:rsid w:val="006C10A2"/>
    <w:rsid w:val="006C1F18"/>
    <w:rsid w:val="006C3EDA"/>
    <w:rsid w:val="006C4011"/>
    <w:rsid w:val="006C5F8B"/>
    <w:rsid w:val="006D40D5"/>
    <w:rsid w:val="006D4EA0"/>
    <w:rsid w:val="006F009A"/>
    <w:rsid w:val="006F24AF"/>
    <w:rsid w:val="006F2BBC"/>
    <w:rsid w:val="006F3D93"/>
    <w:rsid w:val="006F6226"/>
    <w:rsid w:val="007019B1"/>
    <w:rsid w:val="0070371D"/>
    <w:rsid w:val="00703BF5"/>
    <w:rsid w:val="00716EFE"/>
    <w:rsid w:val="0071703D"/>
    <w:rsid w:val="00721657"/>
    <w:rsid w:val="007279A8"/>
    <w:rsid w:val="00727B1A"/>
    <w:rsid w:val="00732D97"/>
    <w:rsid w:val="00735ACE"/>
    <w:rsid w:val="00741337"/>
    <w:rsid w:val="00741443"/>
    <w:rsid w:val="00741EFC"/>
    <w:rsid w:val="00744045"/>
    <w:rsid w:val="0075193B"/>
    <w:rsid w:val="00752258"/>
    <w:rsid w:val="007529E1"/>
    <w:rsid w:val="007562BE"/>
    <w:rsid w:val="007611E6"/>
    <w:rsid w:val="0076272A"/>
    <w:rsid w:val="00762880"/>
    <w:rsid w:val="00762AD6"/>
    <w:rsid w:val="00762E02"/>
    <w:rsid w:val="00762F18"/>
    <w:rsid w:val="0076648C"/>
    <w:rsid w:val="00770C91"/>
    <w:rsid w:val="00772290"/>
    <w:rsid w:val="007752CD"/>
    <w:rsid w:val="00777265"/>
    <w:rsid w:val="007805E7"/>
    <w:rsid w:val="0078222A"/>
    <w:rsid w:val="00787D48"/>
    <w:rsid w:val="00792A40"/>
    <w:rsid w:val="00795294"/>
    <w:rsid w:val="00795B0C"/>
    <w:rsid w:val="007A24A6"/>
    <w:rsid w:val="007A42D4"/>
    <w:rsid w:val="007A4E50"/>
    <w:rsid w:val="007B106B"/>
    <w:rsid w:val="007B18A7"/>
    <w:rsid w:val="007B250E"/>
    <w:rsid w:val="007B73AF"/>
    <w:rsid w:val="007C27FC"/>
    <w:rsid w:val="007C51FF"/>
    <w:rsid w:val="007D50E4"/>
    <w:rsid w:val="007E2DC5"/>
    <w:rsid w:val="007E36D9"/>
    <w:rsid w:val="007E74ED"/>
    <w:rsid w:val="007F1CC7"/>
    <w:rsid w:val="007F6A5D"/>
    <w:rsid w:val="007F721D"/>
    <w:rsid w:val="008027AC"/>
    <w:rsid w:val="008028CE"/>
    <w:rsid w:val="0080332E"/>
    <w:rsid w:val="00806E00"/>
    <w:rsid w:val="00807862"/>
    <w:rsid w:val="008141E0"/>
    <w:rsid w:val="00816EE1"/>
    <w:rsid w:val="00816F88"/>
    <w:rsid w:val="00821996"/>
    <w:rsid w:val="00822323"/>
    <w:rsid w:val="00824BD0"/>
    <w:rsid w:val="00826A3E"/>
    <w:rsid w:val="00827BC6"/>
    <w:rsid w:val="008300AD"/>
    <w:rsid w:val="00832039"/>
    <w:rsid w:val="00833024"/>
    <w:rsid w:val="00836627"/>
    <w:rsid w:val="008419B1"/>
    <w:rsid w:val="00844A56"/>
    <w:rsid w:val="00845B11"/>
    <w:rsid w:val="0085086E"/>
    <w:rsid w:val="00852081"/>
    <w:rsid w:val="0085755D"/>
    <w:rsid w:val="00860643"/>
    <w:rsid w:val="00864057"/>
    <w:rsid w:val="00865D58"/>
    <w:rsid w:val="00866A28"/>
    <w:rsid w:val="00872B6E"/>
    <w:rsid w:val="008737B5"/>
    <w:rsid w:val="00874DFD"/>
    <w:rsid w:val="0088006A"/>
    <w:rsid w:val="008802F9"/>
    <w:rsid w:val="00883086"/>
    <w:rsid w:val="00886F1F"/>
    <w:rsid w:val="008879FD"/>
    <w:rsid w:val="00891FC6"/>
    <w:rsid w:val="00894C37"/>
    <w:rsid w:val="00896819"/>
    <w:rsid w:val="008A00EA"/>
    <w:rsid w:val="008A3F93"/>
    <w:rsid w:val="008A5837"/>
    <w:rsid w:val="008A5AD9"/>
    <w:rsid w:val="008A6236"/>
    <w:rsid w:val="008A6416"/>
    <w:rsid w:val="008A6E1C"/>
    <w:rsid w:val="008A72FD"/>
    <w:rsid w:val="008B2EDF"/>
    <w:rsid w:val="008B3B76"/>
    <w:rsid w:val="008B47C7"/>
    <w:rsid w:val="008B5129"/>
    <w:rsid w:val="008B54CB"/>
    <w:rsid w:val="008B5A3D"/>
    <w:rsid w:val="008B7E46"/>
    <w:rsid w:val="008C26FA"/>
    <w:rsid w:val="008C2A68"/>
    <w:rsid w:val="008C2D4D"/>
    <w:rsid w:val="008C4010"/>
    <w:rsid w:val="008C4FDF"/>
    <w:rsid w:val="008C5FAC"/>
    <w:rsid w:val="008C6B1F"/>
    <w:rsid w:val="008D4388"/>
    <w:rsid w:val="008D5E4F"/>
    <w:rsid w:val="008E34F0"/>
    <w:rsid w:val="008E544A"/>
    <w:rsid w:val="008F14F5"/>
    <w:rsid w:val="008F71C1"/>
    <w:rsid w:val="0090067A"/>
    <w:rsid w:val="00902D41"/>
    <w:rsid w:val="00902F49"/>
    <w:rsid w:val="00904230"/>
    <w:rsid w:val="00914004"/>
    <w:rsid w:val="00922EC1"/>
    <w:rsid w:val="00923CF1"/>
    <w:rsid w:val="00926942"/>
    <w:rsid w:val="009301F1"/>
    <w:rsid w:val="009307DF"/>
    <w:rsid w:val="0093145E"/>
    <w:rsid w:val="009359B8"/>
    <w:rsid w:val="00935FF0"/>
    <w:rsid w:val="00940DB7"/>
    <w:rsid w:val="009431F8"/>
    <w:rsid w:val="00947A35"/>
    <w:rsid w:val="00952667"/>
    <w:rsid w:val="00957E8D"/>
    <w:rsid w:val="0096201B"/>
    <w:rsid w:val="00962081"/>
    <w:rsid w:val="0096390C"/>
    <w:rsid w:val="00966CB5"/>
    <w:rsid w:val="0097028F"/>
    <w:rsid w:val="00975305"/>
    <w:rsid w:val="00975786"/>
    <w:rsid w:val="00975793"/>
    <w:rsid w:val="00981CB7"/>
    <w:rsid w:val="00983605"/>
    <w:rsid w:val="00983E1F"/>
    <w:rsid w:val="009842AD"/>
    <w:rsid w:val="00990C16"/>
    <w:rsid w:val="00993F46"/>
    <w:rsid w:val="00997358"/>
    <w:rsid w:val="009A452B"/>
    <w:rsid w:val="009A607A"/>
    <w:rsid w:val="009A6AAA"/>
    <w:rsid w:val="009B050C"/>
    <w:rsid w:val="009B087F"/>
    <w:rsid w:val="009B116C"/>
    <w:rsid w:val="009B2ADB"/>
    <w:rsid w:val="009B2AF4"/>
    <w:rsid w:val="009B585F"/>
    <w:rsid w:val="009C110B"/>
    <w:rsid w:val="009C47A8"/>
    <w:rsid w:val="009C5441"/>
    <w:rsid w:val="009C5B47"/>
    <w:rsid w:val="009D119F"/>
    <w:rsid w:val="009D2FC9"/>
    <w:rsid w:val="009D49A2"/>
    <w:rsid w:val="009D593D"/>
    <w:rsid w:val="009E035F"/>
    <w:rsid w:val="009E27D3"/>
    <w:rsid w:val="009E7C1C"/>
    <w:rsid w:val="009F387D"/>
    <w:rsid w:val="009F3940"/>
    <w:rsid w:val="009F3EB2"/>
    <w:rsid w:val="009F6EB1"/>
    <w:rsid w:val="00A00913"/>
    <w:rsid w:val="00A03983"/>
    <w:rsid w:val="00A10E24"/>
    <w:rsid w:val="00A11D05"/>
    <w:rsid w:val="00A12576"/>
    <w:rsid w:val="00A13162"/>
    <w:rsid w:val="00A1786C"/>
    <w:rsid w:val="00A20267"/>
    <w:rsid w:val="00A223F8"/>
    <w:rsid w:val="00A22AF7"/>
    <w:rsid w:val="00A3158C"/>
    <w:rsid w:val="00A32DF3"/>
    <w:rsid w:val="00A335E3"/>
    <w:rsid w:val="00A33E32"/>
    <w:rsid w:val="00A35E20"/>
    <w:rsid w:val="00A36D55"/>
    <w:rsid w:val="00A36F6D"/>
    <w:rsid w:val="00A37A0D"/>
    <w:rsid w:val="00A4241D"/>
    <w:rsid w:val="00A437A2"/>
    <w:rsid w:val="00A50CA0"/>
    <w:rsid w:val="00A525CC"/>
    <w:rsid w:val="00A53E7C"/>
    <w:rsid w:val="00A53F46"/>
    <w:rsid w:val="00A57216"/>
    <w:rsid w:val="00A60087"/>
    <w:rsid w:val="00A64959"/>
    <w:rsid w:val="00A6607F"/>
    <w:rsid w:val="00A667E3"/>
    <w:rsid w:val="00A66FF9"/>
    <w:rsid w:val="00A702B0"/>
    <w:rsid w:val="00A7054A"/>
    <w:rsid w:val="00A705E8"/>
    <w:rsid w:val="00A721F4"/>
    <w:rsid w:val="00A81072"/>
    <w:rsid w:val="00A826F4"/>
    <w:rsid w:val="00A90C14"/>
    <w:rsid w:val="00A938FC"/>
    <w:rsid w:val="00A9392C"/>
    <w:rsid w:val="00A9462B"/>
    <w:rsid w:val="00A976B7"/>
    <w:rsid w:val="00A97D59"/>
    <w:rsid w:val="00AA3C8A"/>
    <w:rsid w:val="00AA3E09"/>
    <w:rsid w:val="00AA4BEF"/>
    <w:rsid w:val="00AA59DF"/>
    <w:rsid w:val="00AB1659"/>
    <w:rsid w:val="00AB313C"/>
    <w:rsid w:val="00AB4962"/>
    <w:rsid w:val="00AB734E"/>
    <w:rsid w:val="00AB740F"/>
    <w:rsid w:val="00AC1997"/>
    <w:rsid w:val="00AC682A"/>
    <w:rsid w:val="00AC6F14"/>
    <w:rsid w:val="00AC7221"/>
    <w:rsid w:val="00AD4422"/>
    <w:rsid w:val="00AD4677"/>
    <w:rsid w:val="00AD718B"/>
    <w:rsid w:val="00AD7E74"/>
    <w:rsid w:val="00AE5961"/>
    <w:rsid w:val="00AE63C2"/>
    <w:rsid w:val="00AE648B"/>
    <w:rsid w:val="00AE6E77"/>
    <w:rsid w:val="00AE7A05"/>
    <w:rsid w:val="00AF0745"/>
    <w:rsid w:val="00AF4971"/>
    <w:rsid w:val="00AF5276"/>
    <w:rsid w:val="00AF7C86"/>
    <w:rsid w:val="00B005DE"/>
    <w:rsid w:val="00B01046"/>
    <w:rsid w:val="00B04F65"/>
    <w:rsid w:val="00B07DE0"/>
    <w:rsid w:val="00B12CAD"/>
    <w:rsid w:val="00B146AD"/>
    <w:rsid w:val="00B20F4E"/>
    <w:rsid w:val="00B22C73"/>
    <w:rsid w:val="00B310F9"/>
    <w:rsid w:val="00B37866"/>
    <w:rsid w:val="00B4000B"/>
    <w:rsid w:val="00B403D5"/>
    <w:rsid w:val="00B412FB"/>
    <w:rsid w:val="00B44B6D"/>
    <w:rsid w:val="00B4576B"/>
    <w:rsid w:val="00B46350"/>
    <w:rsid w:val="00B46DF3"/>
    <w:rsid w:val="00B47913"/>
    <w:rsid w:val="00B53C29"/>
    <w:rsid w:val="00B54454"/>
    <w:rsid w:val="00B5794F"/>
    <w:rsid w:val="00B648C7"/>
    <w:rsid w:val="00B66E8F"/>
    <w:rsid w:val="00B80157"/>
    <w:rsid w:val="00B81812"/>
    <w:rsid w:val="00B83D5E"/>
    <w:rsid w:val="00B8460A"/>
    <w:rsid w:val="00B8650D"/>
    <w:rsid w:val="00B879B4"/>
    <w:rsid w:val="00B90E7B"/>
    <w:rsid w:val="00B90F07"/>
    <w:rsid w:val="00B93A2B"/>
    <w:rsid w:val="00B947C7"/>
    <w:rsid w:val="00B97BB9"/>
    <w:rsid w:val="00BA0009"/>
    <w:rsid w:val="00BB02B5"/>
    <w:rsid w:val="00BB1863"/>
    <w:rsid w:val="00BB25EE"/>
    <w:rsid w:val="00BB363A"/>
    <w:rsid w:val="00BB47A2"/>
    <w:rsid w:val="00BB5FFC"/>
    <w:rsid w:val="00BB664F"/>
    <w:rsid w:val="00BC09E6"/>
    <w:rsid w:val="00BC10A0"/>
    <w:rsid w:val="00BC152F"/>
    <w:rsid w:val="00BC16D1"/>
    <w:rsid w:val="00BC1835"/>
    <w:rsid w:val="00BC7013"/>
    <w:rsid w:val="00BC7199"/>
    <w:rsid w:val="00BC7BA2"/>
    <w:rsid w:val="00BD1DB7"/>
    <w:rsid w:val="00BD426B"/>
    <w:rsid w:val="00BD79F0"/>
    <w:rsid w:val="00BE22E6"/>
    <w:rsid w:val="00BE2B4D"/>
    <w:rsid w:val="00BE4C57"/>
    <w:rsid w:val="00BF3ED5"/>
    <w:rsid w:val="00BF5CCB"/>
    <w:rsid w:val="00BF7609"/>
    <w:rsid w:val="00C015F8"/>
    <w:rsid w:val="00C01B0C"/>
    <w:rsid w:val="00C02C2A"/>
    <w:rsid w:val="00C05887"/>
    <w:rsid w:val="00C07369"/>
    <w:rsid w:val="00C07E26"/>
    <w:rsid w:val="00C1011C"/>
    <w:rsid w:val="00C11571"/>
    <w:rsid w:val="00C12F94"/>
    <w:rsid w:val="00C177C5"/>
    <w:rsid w:val="00C17ADF"/>
    <w:rsid w:val="00C31050"/>
    <w:rsid w:val="00C34EC3"/>
    <w:rsid w:val="00C4038C"/>
    <w:rsid w:val="00C40E2E"/>
    <w:rsid w:val="00C41A3D"/>
    <w:rsid w:val="00C42BA2"/>
    <w:rsid w:val="00C44066"/>
    <w:rsid w:val="00C44E13"/>
    <w:rsid w:val="00C47889"/>
    <w:rsid w:val="00C5334C"/>
    <w:rsid w:val="00C549B0"/>
    <w:rsid w:val="00C60A41"/>
    <w:rsid w:val="00C62DE8"/>
    <w:rsid w:val="00C62DFB"/>
    <w:rsid w:val="00C630E6"/>
    <w:rsid w:val="00C63812"/>
    <w:rsid w:val="00C64AF3"/>
    <w:rsid w:val="00C66F4D"/>
    <w:rsid w:val="00C67BB5"/>
    <w:rsid w:val="00C72713"/>
    <w:rsid w:val="00C77BAA"/>
    <w:rsid w:val="00C83829"/>
    <w:rsid w:val="00C848EF"/>
    <w:rsid w:val="00C86600"/>
    <w:rsid w:val="00C869F2"/>
    <w:rsid w:val="00C87BCA"/>
    <w:rsid w:val="00C87EED"/>
    <w:rsid w:val="00C913B8"/>
    <w:rsid w:val="00C94506"/>
    <w:rsid w:val="00C949D9"/>
    <w:rsid w:val="00C94E97"/>
    <w:rsid w:val="00C954BC"/>
    <w:rsid w:val="00CA110F"/>
    <w:rsid w:val="00CA1F0B"/>
    <w:rsid w:val="00CA36AD"/>
    <w:rsid w:val="00CB110F"/>
    <w:rsid w:val="00CB2A2E"/>
    <w:rsid w:val="00CB338A"/>
    <w:rsid w:val="00CB79C5"/>
    <w:rsid w:val="00CC19C4"/>
    <w:rsid w:val="00CC411F"/>
    <w:rsid w:val="00CC4B75"/>
    <w:rsid w:val="00CC732E"/>
    <w:rsid w:val="00CC7C6B"/>
    <w:rsid w:val="00CD2FCD"/>
    <w:rsid w:val="00CD4747"/>
    <w:rsid w:val="00CD7207"/>
    <w:rsid w:val="00CE0422"/>
    <w:rsid w:val="00CE0DBE"/>
    <w:rsid w:val="00CE3738"/>
    <w:rsid w:val="00CE3A8B"/>
    <w:rsid w:val="00CE5E4D"/>
    <w:rsid w:val="00CF02C4"/>
    <w:rsid w:val="00CF167F"/>
    <w:rsid w:val="00CF227A"/>
    <w:rsid w:val="00CF72E5"/>
    <w:rsid w:val="00D013EE"/>
    <w:rsid w:val="00D01F54"/>
    <w:rsid w:val="00D040F7"/>
    <w:rsid w:val="00D04A76"/>
    <w:rsid w:val="00D06756"/>
    <w:rsid w:val="00D108F7"/>
    <w:rsid w:val="00D10E49"/>
    <w:rsid w:val="00D10FC7"/>
    <w:rsid w:val="00D117D3"/>
    <w:rsid w:val="00D11F42"/>
    <w:rsid w:val="00D1519F"/>
    <w:rsid w:val="00D1703C"/>
    <w:rsid w:val="00D20E99"/>
    <w:rsid w:val="00D21C83"/>
    <w:rsid w:val="00D22D22"/>
    <w:rsid w:val="00D24105"/>
    <w:rsid w:val="00D35BCD"/>
    <w:rsid w:val="00D35BDD"/>
    <w:rsid w:val="00D364B3"/>
    <w:rsid w:val="00D37042"/>
    <w:rsid w:val="00D61A73"/>
    <w:rsid w:val="00D61BDB"/>
    <w:rsid w:val="00D63006"/>
    <w:rsid w:val="00D65BF0"/>
    <w:rsid w:val="00D72301"/>
    <w:rsid w:val="00D76226"/>
    <w:rsid w:val="00D85CCC"/>
    <w:rsid w:val="00D86B39"/>
    <w:rsid w:val="00D911DE"/>
    <w:rsid w:val="00D91B97"/>
    <w:rsid w:val="00D93ACC"/>
    <w:rsid w:val="00D93C08"/>
    <w:rsid w:val="00D95DAC"/>
    <w:rsid w:val="00DA0B53"/>
    <w:rsid w:val="00DA632D"/>
    <w:rsid w:val="00DB1171"/>
    <w:rsid w:val="00DB1519"/>
    <w:rsid w:val="00DB2840"/>
    <w:rsid w:val="00DB4BEF"/>
    <w:rsid w:val="00DB4D5F"/>
    <w:rsid w:val="00DC0016"/>
    <w:rsid w:val="00DC1BD3"/>
    <w:rsid w:val="00DC2C1A"/>
    <w:rsid w:val="00DC7340"/>
    <w:rsid w:val="00DD66B4"/>
    <w:rsid w:val="00DE1972"/>
    <w:rsid w:val="00DE27AB"/>
    <w:rsid w:val="00DE5B4A"/>
    <w:rsid w:val="00DE6D93"/>
    <w:rsid w:val="00DF21D2"/>
    <w:rsid w:val="00DF2AB3"/>
    <w:rsid w:val="00DF7250"/>
    <w:rsid w:val="00E0069C"/>
    <w:rsid w:val="00E00CAA"/>
    <w:rsid w:val="00E035AE"/>
    <w:rsid w:val="00E03EBF"/>
    <w:rsid w:val="00E05209"/>
    <w:rsid w:val="00E05AC1"/>
    <w:rsid w:val="00E11BCF"/>
    <w:rsid w:val="00E13173"/>
    <w:rsid w:val="00E139C2"/>
    <w:rsid w:val="00E15484"/>
    <w:rsid w:val="00E178EC"/>
    <w:rsid w:val="00E17BFA"/>
    <w:rsid w:val="00E220EA"/>
    <w:rsid w:val="00E2258E"/>
    <w:rsid w:val="00E260C2"/>
    <w:rsid w:val="00E26819"/>
    <w:rsid w:val="00E32596"/>
    <w:rsid w:val="00E32961"/>
    <w:rsid w:val="00E355A1"/>
    <w:rsid w:val="00E368F7"/>
    <w:rsid w:val="00E36EB8"/>
    <w:rsid w:val="00E37FB8"/>
    <w:rsid w:val="00E40B07"/>
    <w:rsid w:val="00E412DD"/>
    <w:rsid w:val="00E4203A"/>
    <w:rsid w:val="00E42326"/>
    <w:rsid w:val="00E4309B"/>
    <w:rsid w:val="00E43544"/>
    <w:rsid w:val="00E44D89"/>
    <w:rsid w:val="00E477EA"/>
    <w:rsid w:val="00E53918"/>
    <w:rsid w:val="00E546D3"/>
    <w:rsid w:val="00E55807"/>
    <w:rsid w:val="00E63B14"/>
    <w:rsid w:val="00E63FF0"/>
    <w:rsid w:val="00E65CA0"/>
    <w:rsid w:val="00E6773B"/>
    <w:rsid w:val="00E70D9F"/>
    <w:rsid w:val="00E71192"/>
    <w:rsid w:val="00E83810"/>
    <w:rsid w:val="00E86933"/>
    <w:rsid w:val="00E9605B"/>
    <w:rsid w:val="00E97298"/>
    <w:rsid w:val="00E97753"/>
    <w:rsid w:val="00E97893"/>
    <w:rsid w:val="00EA0C51"/>
    <w:rsid w:val="00EA3958"/>
    <w:rsid w:val="00EA7DE7"/>
    <w:rsid w:val="00EB255C"/>
    <w:rsid w:val="00EB7A8A"/>
    <w:rsid w:val="00EC11A6"/>
    <w:rsid w:val="00EC6FED"/>
    <w:rsid w:val="00EC7F3B"/>
    <w:rsid w:val="00ED15D0"/>
    <w:rsid w:val="00ED4591"/>
    <w:rsid w:val="00ED5299"/>
    <w:rsid w:val="00ED5309"/>
    <w:rsid w:val="00ED5559"/>
    <w:rsid w:val="00ED559B"/>
    <w:rsid w:val="00EE3A64"/>
    <w:rsid w:val="00EE47ED"/>
    <w:rsid w:val="00EE50E5"/>
    <w:rsid w:val="00EF01CF"/>
    <w:rsid w:val="00EF0E00"/>
    <w:rsid w:val="00EF3906"/>
    <w:rsid w:val="00EF4315"/>
    <w:rsid w:val="00F02739"/>
    <w:rsid w:val="00F03590"/>
    <w:rsid w:val="00F03622"/>
    <w:rsid w:val="00F077FD"/>
    <w:rsid w:val="00F1287A"/>
    <w:rsid w:val="00F12DE5"/>
    <w:rsid w:val="00F16250"/>
    <w:rsid w:val="00F20182"/>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44AB3"/>
    <w:rsid w:val="00F5178C"/>
    <w:rsid w:val="00F52741"/>
    <w:rsid w:val="00F53D8A"/>
    <w:rsid w:val="00F626F7"/>
    <w:rsid w:val="00F64D46"/>
    <w:rsid w:val="00F64F38"/>
    <w:rsid w:val="00F66436"/>
    <w:rsid w:val="00F665FC"/>
    <w:rsid w:val="00F736F9"/>
    <w:rsid w:val="00F73833"/>
    <w:rsid w:val="00F77919"/>
    <w:rsid w:val="00F86DEE"/>
    <w:rsid w:val="00F87DF4"/>
    <w:rsid w:val="00F919F7"/>
    <w:rsid w:val="00F91D8A"/>
    <w:rsid w:val="00F9211C"/>
    <w:rsid w:val="00F9287C"/>
    <w:rsid w:val="00F92FA5"/>
    <w:rsid w:val="00FA095D"/>
    <w:rsid w:val="00FA6C8B"/>
    <w:rsid w:val="00FA6CDA"/>
    <w:rsid w:val="00FA7C89"/>
    <w:rsid w:val="00FB4139"/>
    <w:rsid w:val="00FB476E"/>
    <w:rsid w:val="00FC0D90"/>
    <w:rsid w:val="00FC25C8"/>
    <w:rsid w:val="00FC47EB"/>
    <w:rsid w:val="00FC581A"/>
    <w:rsid w:val="00FC7D8C"/>
    <w:rsid w:val="00FD2F7D"/>
    <w:rsid w:val="00FD3980"/>
    <w:rsid w:val="00FD431E"/>
    <w:rsid w:val="00FD51C3"/>
    <w:rsid w:val="00FD5A2C"/>
    <w:rsid w:val="00FD7A46"/>
    <w:rsid w:val="00FE0D47"/>
    <w:rsid w:val="00FE1D5C"/>
    <w:rsid w:val="00FE2F8B"/>
    <w:rsid w:val="00FE3669"/>
    <w:rsid w:val="00FE3916"/>
    <w:rsid w:val="00FE5204"/>
    <w:rsid w:val="00FF1497"/>
    <w:rsid w:val="00FF287F"/>
    <w:rsid w:val="00FF727E"/>
    <w:rsid w:val="00FF74A8"/>
    <w:rsid w:val="09944A8D"/>
    <w:rsid w:val="1AC351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9F2"/>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045F6B"/>
    <w:rPr>
      <w:color w:val="605E5C"/>
      <w:shd w:val="clear" w:color="auto" w:fill="E1DFDD"/>
    </w:rPr>
  </w:style>
  <w:style w:type="character" w:styleId="CommentReference">
    <w:name w:val="annotation reference"/>
    <w:basedOn w:val="DefaultParagraphFont"/>
    <w:semiHidden/>
    <w:unhideWhenUsed/>
    <w:rsid w:val="008D4388"/>
    <w:rPr>
      <w:sz w:val="16"/>
      <w:szCs w:val="16"/>
    </w:rPr>
  </w:style>
  <w:style w:type="paragraph" w:styleId="CommentText">
    <w:name w:val="annotation text"/>
    <w:basedOn w:val="Normal"/>
    <w:link w:val="CommentTextChar"/>
    <w:unhideWhenUsed/>
    <w:rsid w:val="008D4388"/>
    <w:rPr>
      <w:sz w:val="20"/>
    </w:rPr>
  </w:style>
  <w:style w:type="character" w:customStyle="1" w:styleId="CommentTextChar">
    <w:name w:val="Comment Text Char"/>
    <w:basedOn w:val="DefaultParagraphFont"/>
    <w:link w:val="CommentText"/>
    <w:rsid w:val="008D438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8D4388"/>
    <w:rPr>
      <w:b/>
      <w:bCs/>
    </w:rPr>
  </w:style>
  <w:style w:type="character" w:customStyle="1" w:styleId="CommentSubjectChar">
    <w:name w:val="Comment Subject Char"/>
    <w:basedOn w:val="CommentTextChar"/>
    <w:link w:val="CommentSubject"/>
    <w:semiHidden/>
    <w:rsid w:val="008D4388"/>
    <w:rPr>
      <w:rFonts w:asciiTheme="minorHAnsi" w:hAnsiTheme="minorHAnsi"/>
      <w:b/>
      <w:bCs/>
      <w:lang w:val="en-GB" w:eastAsia="en-US"/>
    </w:rPr>
  </w:style>
  <w:style w:type="character" w:customStyle="1" w:styleId="ListParagraphChar">
    <w:name w:val="List Paragraph Char"/>
    <w:link w:val="ListParagraph"/>
    <w:uiPriority w:val="34"/>
    <w:locked/>
    <w:rsid w:val="009D593D"/>
    <w:rPr>
      <w:rFonts w:asciiTheme="minorHAnsi" w:hAnsiTheme="minorHAnsi"/>
      <w:sz w:val="24"/>
      <w:lang w:val="en-GB" w:eastAsia="en-US"/>
    </w:rPr>
  </w:style>
  <w:style w:type="paragraph" w:styleId="Revision">
    <w:name w:val="Revision"/>
    <w:hidden/>
    <w:uiPriority w:val="99"/>
    <w:semiHidden/>
    <w:rsid w:val="00326AB8"/>
    <w:rPr>
      <w:rFonts w:asciiTheme="minorHAnsi" w:hAnsiTheme="minorHAnsi"/>
      <w:sz w:val="24"/>
      <w:lang w:val="en-GB" w:eastAsia="en-US"/>
    </w:rPr>
  </w:style>
  <w:style w:type="character" w:customStyle="1" w:styleId="ui-provider">
    <w:name w:val="ui-provider"/>
    <w:basedOn w:val="DefaultParagraphFont"/>
    <w:rsid w:val="005A46E2"/>
  </w:style>
  <w:style w:type="paragraph" w:styleId="NormalWeb">
    <w:name w:val="Normal (Web)"/>
    <w:basedOn w:val="Normal"/>
    <w:uiPriority w:val="99"/>
    <w:semiHidden/>
    <w:unhideWhenUsed/>
    <w:rsid w:val="00345D4A"/>
    <w:pPr>
      <w:tabs>
        <w:tab w:val="clear" w:pos="794"/>
        <w:tab w:val="clear" w:pos="1191"/>
        <w:tab w:val="clear" w:pos="1588"/>
        <w:tab w:val="clear" w:pos="1985"/>
      </w:tabs>
      <w:overflowPunct/>
      <w:autoSpaceDE/>
      <w:autoSpaceDN/>
      <w:adjustRightInd/>
      <w:spacing w:before="0"/>
      <w:textAlignment w:val="auto"/>
    </w:pPr>
    <w:rPr>
      <w:rFonts w:ascii="Aptos" w:eastAsiaTheme="minorHAnsi" w:hAnsi="Aptos" w:cs="Aptos"/>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96768">
      <w:bodyDiv w:val="1"/>
      <w:marLeft w:val="0"/>
      <w:marRight w:val="0"/>
      <w:marTop w:val="0"/>
      <w:marBottom w:val="0"/>
      <w:divBdr>
        <w:top w:val="none" w:sz="0" w:space="0" w:color="auto"/>
        <w:left w:val="none" w:sz="0" w:space="0" w:color="auto"/>
        <w:bottom w:val="none" w:sz="0" w:space="0" w:color="auto"/>
        <w:right w:val="none" w:sz="0" w:space="0" w:color="auto"/>
      </w:divBdr>
    </w:div>
    <w:div w:id="91707544">
      <w:bodyDiv w:val="1"/>
      <w:marLeft w:val="0"/>
      <w:marRight w:val="0"/>
      <w:marTop w:val="0"/>
      <w:marBottom w:val="0"/>
      <w:divBdr>
        <w:top w:val="none" w:sz="0" w:space="0" w:color="auto"/>
        <w:left w:val="none" w:sz="0" w:space="0" w:color="auto"/>
        <w:bottom w:val="none" w:sz="0" w:space="0" w:color="auto"/>
        <w:right w:val="none" w:sz="0" w:space="0" w:color="auto"/>
      </w:divBdr>
    </w:div>
    <w:div w:id="134223897">
      <w:bodyDiv w:val="1"/>
      <w:marLeft w:val="0"/>
      <w:marRight w:val="0"/>
      <w:marTop w:val="0"/>
      <w:marBottom w:val="0"/>
      <w:divBdr>
        <w:top w:val="none" w:sz="0" w:space="0" w:color="auto"/>
        <w:left w:val="none" w:sz="0" w:space="0" w:color="auto"/>
        <w:bottom w:val="none" w:sz="0" w:space="0" w:color="auto"/>
        <w:right w:val="none" w:sz="0" w:space="0" w:color="auto"/>
      </w:divBdr>
    </w:div>
    <w:div w:id="161431801">
      <w:bodyDiv w:val="1"/>
      <w:marLeft w:val="0"/>
      <w:marRight w:val="0"/>
      <w:marTop w:val="0"/>
      <w:marBottom w:val="0"/>
      <w:divBdr>
        <w:top w:val="none" w:sz="0" w:space="0" w:color="auto"/>
        <w:left w:val="none" w:sz="0" w:space="0" w:color="auto"/>
        <w:bottom w:val="none" w:sz="0" w:space="0" w:color="auto"/>
        <w:right w:val="none" w:sz="0" w:space="0" w:color="auto"/>
      </w:divBdr>
      <w:divsChild>
        <w:div w:id="1894147355">
          <w:marLeft w:val="0"/>
          <w:marRight w:val="0"/>
          <w:marTop w:val="0"/>
          <w:marBottom w:val="0"/>
          <w:divBdr>
            <w:top w:val="none" w:sz="0" w:space="0" w:color="auto"/>
            <w:left w:val="none" w:sz="0" w:space="0" w:color="auto"/>
            <w:bottom w:val="none" w:sz="0" w:space="0" w:color="auto"/>
            <w:right w:val="none" w:sz="0" w:space="0" w:color="auto"/>
          </w:divBdr>
          <w:divsChild>
            <w:div w:id="1698118690">
              <w:marLeft w:val="0"/>
              <w:marRight w:val="0"/>
              <w:marTop w:val="0"/>
              <w:marBottom w:val="0"/>
              <w:divBdr>
                <w:top w:val="none" w:sz="0" w:space="0" w:color="auto"/>
                <w:left w:val="none" w:sz="0" w:space="0" w:color="auto"/>
                <w:bottom w:val="none" w:sz="0" w:space="0" w:color="auto"/>
                <w:right w:val="none" w:sz="0" w:space="0" w:color="auto"/>
              </w:divBdr>
            </w:div>
          </w:divsChild>
        </w:div>
        <w:div w:id="1252154074">
          <w:marLeft w:val="0"/>
          <w:marRight w:val="0"/>
          <w:marTop w:val="0"/>
          <w:marBottom w:val="0"/>
          <w:divBdr>
            <w:top w:val="none" w:sz="0" w:space="0" w:color="auto"/>
            <w:left w:val="none" w:sz="0" w:space="0" w:color="auto"/>
            <w:bottom w:val="none" w:sz="0" w:space="0" w:color="auto"/>
            <w:right w:val="none" w:sz="0" w:space="0" w:color="auto"/>
          </w:divBdr>
          <w:divsChild>
            <w:div w:id="1831947169">
              <w:marLeft w:val="0"/>
              <w:marRight w:val="0"/>
              <w:marTop w:val="0"/>
              <w:marBottom w:val="0"/>
              <w:divBdr>
                <w:top w:val="none" w:sz="0" w:space="0" w:color="auto"/>
                <w:left w:val="none" w:sz="0" w:space="0" w:color="auto"/>
                <w:bottom w:val="none" w:sz="0" w:space="0" w:color="auto"/>
                <w:right w:val="none" w:sz="0" w:space="0" w:color="auto"/>
              </w:divBdr>
            </w:div>
            <w:div w:id="283580563">
              <w:marLeft w:val="0"/>
              <w:marRight w:val="0"/>
              <w:marTop w:val="0"/>
              <w:marBottom w:val="0"/>
              <w:divBdr>
                <w:top w:val="none" w:sz="0" w:space="0" w:color="auto"/>
                <w:left w:val="none" w:sz="0" w:space="0" w:color="auto"/>
                <w:bottom w:val="none" w:sz="0" w:space="0" w:color="auto"/>
                <w:right w:val="none" w:sz="0" w:space="0" w:color="auto"/>
              </w:divBdr>
            </w:div>
          </w:divsChild>
        </w:div>
        <w:div w:id="1974483770">
          <w:marLeft w:val="0"/>
          <w:marRight w:val="0"/>
          <w:marTop w:val="0"/>
          <w:marBottom w:val="0"/>
          <w:divBdr>
            <w:top w:val="none" w:sz="0" w:space="0" w:color="auto"/>
            <w:left w:val="none" w:sz="0" w:space="0" w:color="auto"/>
            <w:bottom w:val="none" w:sz="0" w:space="0" w:color="auto"/>
            <w:right w:val="none" w:sz="0" w:space="0" w:color="auto"/>
          </w:divBdr>
          <w:divsChild>
            <w:div w:id="2633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5307">
      <w:bodyDiv w:val="1"/>
      <w:marLeft w:val="0"/>
      <w:marRight w:val="0"/>
      <w:marTop w:val="0"/>
      <w:marBottom w:val="0"/>
      <w:divBdr>
        <w:top w:val="none" w:sz="0" w:space="0" w:color="auto"/>
        <w:left w:val="none" w:sz="0" w:space="0" w:color="auto"/>
        <w:bottom w:val="none" w:sz="0" w:space="0" w:color="auto"/>
        <w:right w:val="none" w:sz="0" w:space="0" w:color="auto"/>
      </w:divBdr>
      <w:divsChild>
        <w:div w:id="1270312918">
          <w:marLeft w:val="0"/>
          <w:marRight w:val="0"/>
          <w:marTop w:val="0"/>
          <w:marBottom w:val="0"/>
          <w:divBdr>
            <w:top w:val="none" w:sz="0" w:space="0" w:color="auto"/>
            <w:left w:val="none" w:sz="0" w:space="0" w:color="auto"/>
            <w:bottom w:val="none" w:sz="0" w:space="0" w:color="auto"/>
            <w:right w:val="none" w:sz="0" w:space="0" w:color="auto"/>
          </w:divBdr>
          <w:divsChild>
            <w:div w:id="177358117">
              <w:marLeft w:val="0"/>
              <w:marRight w:val="0"/>
              <w:marTop w:val="0"/>
              <w:marBottom w:val="0"/>
              <w:divBdr>
                <w:top w:val="none" w:sz="0" w:space="0" w:color="auto"/>
                <w:left w:val="none" w:sz="0" w:space="0" w:color="auto"/>
                <w:bottom w:val="none" w:sz="0" w:space="0" w:color="auto"/>
                <w:right w:val="none" w:sz="0" w:space="0" w:color="auto"/>
              </w:divBdr>
              <w:divsChild>
                <w:div w:id="1362973091">
                  <w:marLeft w:val="0"/>
                  <w:marRight w:val="0"/>
                  <w:marTop w:val="120"/>
                  <w:marBottom w:val="0"/>
                  <w:divBdr>
                    <w:top w:val="none" w:sz="0" w:space="0" w:color="auto"/>
                    <w:left w:val="none" w:sz="0" w:space="0" w:color="auto"/>
                    <w:bottom w:val="none" w:sz="0" w:space="0" w:color="auto"/>
                    <w:right w:val="none" w:sz="0" w:space="0" w:color="auto"/>
                  </w:divBdr>
                  <w:divsChild>
                    <w:div w:id="1949582363">
                      <w:marLeft w:val="0"/>
                      <w:marRight w:val="0"/>
                      <w:marTop w:val="0"/>
                      <w:marBottom w:val="0"/>
                      <w:divBdr>
                        <w:top w:val="none" w:sz="0" w:space="0" w:color="auto"/>
                        <w:left w:val="none" w:sz="0" w:space="0" w:color="auto"/>
                        <w:bottom w:val="none" w:sz="0" w:space="0" w:color="auto"/>
                        <w:right w:val="none" w:sz="0" w:space="0" w:color="auto"/>
                      </w:divBdr>
                      <w:divsChild>
                        <w:div w:id="2559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78578">
      <w:bodyDiv w:val="1"/>
      <w:marLeft w:val="0"/>
      <w:marRight w:val="0"/>
      <w:marTop w:val="0"/>
      <w:marBottom w:val="0"/>
      <w:divBdr>
        <w:top w:val="none" w:sz="0" w:space="0" w:color="auto"/>
        <w:left w:val="none" w:sz="0" w:space="0" w:color="auto"/>
        <w:bottom w:val="none" w:sz="0" w:space="0" w:color="auto"/>
        <w:right w:val="none" w:sz="0" w:space="0" w:color="auto"/>
      </w:divBdr>
    </w:div>
    <w:div w:id="277566757">
      <w:bodyDiv w:val="1"/>
      <w:marLeft w:val="0"/>
      <w:marRight w:val="0"/>
      <w:marTop w:val="0"/>
      <w:marBottom w:val="0"/>
      <w:divBdr>
        <w:top w:val="none" w:sz="0" w:space="0" w:color="auto"/>
        <w:left w:val="none" w:sz="0" w:space="0" w:color="auto"/>
        <w:bottom w:val="none" w:sz="0" w:space="0" w:color="auto"/>
        <w:right w:val="none" w:sz="0" w:space="0" w:color="auto"/>
      </w:divBdr>
    </w:div>
    <w:div w:id="291642734">
      <w:bodyDiv w:val="1"/>
      <w:marLeft w:val="0"/>
      <w:marRight w:val="0"/>
      <w:marTop w:val="0"/>
      <w:marBottom w:val="0"/>
      <w:divBdr>
        <w:top w:val="none" w:sz="0" w:space="0" w:color="auto"/>
        <w:left w:val="none" w:sz="0" w:space="0" w:color="auto"/>
        <w:bottom w:val="none" w:sz="0" w:space="0" w:color="auto"/>
        <w:right w:val="none" w:sz="0" w:space="0" w:color="auto"/>
      </w:divBdr>
    </w:div>
    <w:div w:id="313485083">
      <w:bodyDiv w:val="1"/>
      <w:marLeft w:val="0"/>
      <w:marRight w:val="0"/>
      <w:marTop w:val="0"/>
      <w:marBottom w:val="0"/>
      <w:divBdr>
        <w:top w:val="none" w:sz="0" w:space="0" w:color="auto"/>
        <w:left w:val="none" w:sz="0" w:space="0" w:color="auto"/>
        <w:bottom w:val="none" w:sz="0" w:space="0" w:color="auto"/>
        <w:right w:val="none" w:sz="0" w:space="0" w:color="auto"/>
      </w:divBdr>
    </w:div>
    <w:div w:id="353116785">
      <w:bodyDiv w:val="1"/>
      <w:marLeft w:val="0"/>
      <w:marRight w:val="0"/>
      <w:marTop w:val="0"/>
      <w:marBottom w:val="0"/>
      <w:divBdr>
        <w:top w:val="none" w:sz="0" w:space="0" w:color="auto"/>
        <w:left w:val="none" w:sz="0" w:space="0" w:color="auto"/>
        <w:bottom w:val="none" w:sz="0" w:space="0" w:color="auto"/>
        <w:right w:val="none" w:sz="0" w:space="0" w:color="auto"/>
      </w:divBdr>
    </w:div>
    <w:div w:id="439570188">
      <w:bodyDiv w:val="1"/>
      <w:marLeft w:val="0"/>
      <w:marRight w:val="0"/>
      <w:marTop w:val="0"/>
      <w:marBottom w:val="0"/>
      <w:divBdr>
        <w:top w:val="none" w:sz="0" w:space="0" w:color="auto"/>
        <w:left w:val="none" w:sz="0" w:space="0" w:color="auto"/>
        <w:bottom w:val="none" w:sz="0" w:space="0" w:color="auto"/>
        <w:right w:val="none" w:sz="0" w:space="0" w:color="auto"/>
      </w:divBdr>
    </w:div>
    <w:div w:id="598216990">
      <w:bodyDiv w:val="1"/>
      <w:marLeft w:val="0"/>
      <w:marRight w:val="0"/>
      <w:marTop w:val="0"/>
      <w:marBottom w:val="0"/>
      <w:divBdr>
        <w:top w:val="none" w:sz="0" w:space="0" w:color="auto"/>
        <w:left w:val="none" w:sz="0" w:space="0" w:color="auto"/>
        <w:bottom w:val="none" w:sz="0" w:space="0" w:color="auto"/>
        <w:right w:val="none" w:sz="0" w:space="0" w:color="auto"/>
      </w:divBdr>
    </w:div>
    <w:div w:id="685598371">
      <w:bodyDiv w:val="1"/>
      <w:marLeft w:val="0"/>
      <w:marRight w:val="0"/>
      <w:marTop w:val="0"/>
      <w:marBottom w:val="0"/>
      <w:divBdr>
        <w:top w:val="none" w:sz="0" w:space="0" w:color="auto"/>
        <w:left w:val="none" w:sz="0" w:space="0" w:color="auto"/>
        <w:bottom w:val="none" w:sz="0" w:space="0" w:color="auto"/>
        <w:right w:val="none" w:sz="0" w:space="0" w:color="auto"/>
      </w:divBdr>
      <w:divsChild>
        <w:div w:id="1841891406">
          <w:marLeft w:val="0"/>
          <w:marRight w:val="0"/>
          <w:marTop w:val="0"/>
          <w:marBottom w:val="0"/>
          <w:divBdr>
            <w:top w:val="none" w:sz="0" w:space="0" w:color="auto"/>
            <w:left w:val="none" w:sz="0" w:space="0" w:color="auto"/>
            <w:bottom w:val="none" w:sz="0" w:space="0" w:color="auto"/>
            <w:right w:val="none" w:sz="0" w:space="0" w:color="auto"/>
          </w:divBdr>
          <w:divsChild>
            <w:div w:id="106043670">
              <w:marLeft w:val="0"/>
              <w:marRight w:val="0"/>
              <w:marTop w:val="0"/>
              <w:marBottom w:val="0"/>
              <w:divBdr>
                <w:top w:val="none" w:sz="0" w:space="0" w:color="auto"/>
                <w:left w:val="none" w:sz="0" w:space="0" w:color="auto"/>
                <w:bottom w:val="none" w:sz="0" w:space="0" w:color="auto"/>
                <w:right w:val="none" w:sz="0" w:space="0" w:color="auto"/>
              </w:divBdr>
              <w:divsChild>
                <w:div w:id="1530754887">
                  <w:marLeft w:val="0"/>
                  <w:marRight w:val="0"/>
                  <w:marTop w:val="120"/>
                  <w:marBottom w:val="0"/>
                  <w:divBdr>
                    <w:top w:val="none" w:sz="0" w:space="0" w:color="auto"/>
                    <w:left w:val="none" w:sz="0" w:space="0" w:color="auto"/>
                    <w:bottom w:val="none" w:sz="0" w:space="0" w:color="auto"/>
                    <w:right w:val="none" w:sz="0" w:space="0" w:color="auto"/>
                  </w:divBdr>
                  <w:divsChild>
                    <w:div w:id="966425961">
                      <w:marLeft w:val="0"/>
                      <w:marRight w:val="0"/>
                      <w:marTop w:val="0"/>
                      <w:marBottom w:val="0"/>
                      <w:divBdr>
                        <w:top w:val="none" w:sz="0" w:space="0" w:color="auto"/>
                        <w:left w:val="none" w:sz="0" w:space="0" w:color="auto"/>
                        <w:bottom w:val="none" w:sz="0" w:space="0" w:color="auto"/>
                        <w:right w:val="none" w:sz="0" w:space="0" w:color="auto"/>
                      </w:divBdr>
                      <w:divsChild>
                        <w:div w:id="12646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47027">
      <w:bodyDiv w:val="1"/>
      <w:marLeft w:val="0"/>
      <w:marRight w:val="0"/>
      <w:marTop w:val="0"/>
      <w:marBottom w:val="0"/>
      <w:divBdr>
        <w:top w:val="none" w:sz="0" w:space="0" w:color="auto"/>
        <w:left w:val="none" w:sz="0" w:space="0" w:color="auto"/>
        <w:bottom w:val="none" w:sz="0" w:space="0" w:color="auto"/>
        <w:right w:val="none" w:sz="0" w:space="0" w:color="auto"/>
      </w:divBdr>
    </w:div>
    <w:div w:id="978270758">
      <w:bodyDiv w:val="1"/>
      <w:marLeft w:val="0"/>
      <w:marRight w:val="0"/>
      <w:marTop w:val="0"/>
      <w:marBottom w:val="0"/>
      <w:divBdr>
        <w:top w:val="none" w:sz="0" w:space="0" w:color="auto"/>
        <w:left w:val="none" w:sz="0" w:space="0" w:color="auto"/>
        <w:bottom w:val="none" w:sz="0" w:space="0" w:color="auto"/>
        <w:right w:val="none" w:sz="0" w:space="0" w:color="auto"/>
      </w:divBdr>
    </w:div>
    <w:div w:id="1522476300">
      <w:bodyDiv w:val="1"/>
      <w:marLeft w:val="0"/>
      <w:marRight w:val="0"/>
      <w:marTop w:val="0"/>
      <w:marBottom w:val="0"/>
      <w:divBdr>
        <w:top w:val="none" w:sz="0" w:space="0" w:color="auto"/>
        <w:left w:val="none" w:sz="0" w:space="0" w:color="auto"/>
        <w:bottom w:val="none" w:sz="0" w:space="0" w:color="auto"/>
        <w:right w:val="none" w:sz="0" w:space="0" w:color="auto"/>
      </w:divBdr>
    </w:div>
    <w:div w:id="1532768559">
      <w:bodyDiv w:val="1"/>
      <w:marLeft w:val="0"/>
      <w:marRight w:val="0"/>
      <w:marTop w:val="0"/>
      <w:marBottom w:val="0"/>
      <w:divBdr>
        <w:top w:val="none" w:sz="0" w:space="0" w:color="auto"/>
        <w:left w:val="none" w:sz="0" w:space="0" w:color="auto"/>
        <w:bottom w:val="none" w:sz="0" w:space="0" w:color="auto"/>
        <w:right w:val="none" w:sz="0" w:space="0" w:color="auto"/>
      </w:divBdr>
    </w:div>
    <w:div w:id="1776319099">
      <w:bodyDiv w:val="1"/>
      <w:marLeft w:val="0"/>
      <w:marRight w:val="0"/>
      <w:marTop w:val="0"/>
      <w:marBottom w:val="0"/>
      <w:divBdr>
        <w:top w:val="none" w:sz="0" w:space="0" w:color="auto"/>
        <w:left w:val="none" w:sz="0" w:space="0" w:color="auto"/>
        <w:bottom w:val="none" w:sz="0" w:space="0" w:color="auto"/>
        <w:right w:val="none" w:sz="0" w:space="0" w:color="auto"/>
      </w:divBdr>
      <w:divsChild>
        <w:div w:id="1213662131">
          <w:marLeft w:val="0"/>
          <w:marRight w:val="0"/>
          <w:marTop w:val="0"/>
          <w:marBottom w:val="0"/>
          <w:divBdr>
            <w:top w:val="none" w:sz="0" w:space="0" w:color="auto"/>
            <w:left w:val="none" w:sz="0" w:space="0" w:color="auto"/>
            <w:bottom w:val="none" w:sz="0" w:space="0" w:color="auto"/>
            <w:right w:val="none" w:sz="0" w:space="0" w:color="auto"/>
          </w:divBdr>
          <w:divsChild>
            <w:div w:id="1021127231">
              <w:marLeft w:val="0"/>
              <w:marRight w:val="0"/>
              <w:marTop w:val="0"/>
              <w:marBottom w:val="0"/>
              <w:divBdr>
                <w:top w:val="none" w:sz="0" w:space="0" w:color="auto"/>
                <w:left w:val="none" w:sz="0" w:space="0" w:color="auto"/>
                <w:bottom w:val="none" w:sz="0" w:space="0" w:color="auto"/>
                <w:right w:val="none" w:sz="0" w:space="0" w:color="auto"/>
              </w:divBdr>
            </w:div>
          </w:divsChild>
        </w:div>
        <w:div w:id="763306022">
          <w:marLeft w:val="0"/>
          <w:marRight w:val="0"/>
          <w:marTop w:val="0"/>
          <w:marBottom w:val="0"/>
          <w:divBdr>
            <w:top w:val="none" w:sz="0" w:space="0" w:color="auto"/>
            <w:left w:val="none" w:sz="0" w:space="0" w:color="auto"/>
            <w:bottom w:val="none" w:sz="0" w:space="0" w:color="auto"/>
            <w:right w:val="none" w:sz="0" w:space="0" w:color="auto"/>
          </w:divBdr>
          <w:divsChild>
            <w:div w:id="1983387683">
              <w:marLeft w:val="0"/>
              <w:marRight w:val="0"/>
              <w:marTop w:val="0"/>
              <w:marBottom w:val="0"/>
              <w:divBdr>
                <w:top w:val="none" w:sz="0" w:space="0" w:color="auto"/>
                <w:left w:val="none" w:sz="0" w:space="0" w:color="auto"/>
                <w:bottom w:val="none" w:sz="0" w:space="0" w:color="auto"/>
                <w:right w:val="none" w:sz="0" w:space="0" w:color="auto"/>
              </w:divBdr>
            </w:div>
            <w:div w:id="2143770985">
              <w:marLeft w:val="0"/>
              <w:marRight w:val="0"/>
              <w:marTop w:val="0"/>
              <w:marBottom w:val="0"/>
              <w:divBdr>
                <w:top w:val="none" w:sz="0" w:space="0" w:color="auto"/>
                <w:left w:val="none" w:sz="0" w:space="0" w:color="auto"/>
                <w:bottom w:val="none" w:sz="0" w:space="0" w:color="auto"/>
                <w:right w:val="none" w:sz="0" w:space="0" w:color="auto"/>
              </w:divBdr>
            </w:div>
          </w:divsChild>
        </w:div>
        <w:div w:id="1897930862">
          <w:marLeft w:val="0"/>
          <w:marRight w:val="0"/>
          <w:marTop w:val="0"/>
          <w:marBottom w:val="0"/>
          <w:divBdr>
            <w:top w:val="none" w:sz="0" w:space="0" w:color="auto"/>
            <w:left w:val="none" w:sz="0" w:space="0" w:color="auto"/>
            <w:bottom w:val="none" w:sz="0" w:space="0" w:color="auto"/>
            <w:right w:val="none" w:sz="0" w:space="0" w:color="auto"/>
          </w:divBdr>
          <w:divsChild>
            <w:div w:id="19797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5442">
      <w:bodyDiv w:val="1"/>
      <w:marLeft w:val="0"/>
      <w:marRight w:val="0"/>
      <w:marTop w:val="0"/>
      <w:marBottom w:val="0"/>
      <w:divBdr>
        <w:top w:val="none" w:sz="0" w:space="0" w:color="auto"/>
        <w:left w:val="none" w:sz="0" w:space="0" w:color="auto"/>
        <w:bottom w:val="none" w:sz="0" w:space="0" w:color="auto"/>
        <w:right w:val="none" w:sz="0" w:space="0" w:color="auto"/>
      </w:divBdr>
    </w:div>
    <w:div w:id="196118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TDAG.WG.DEC-250514-TD-0001/en" TargetMode="External"/><Relationship Id="rId18" Type="http://schemas.openxmlformats.org/officeDocument/2006/relationships/hyperlink" Target="https://www.itu.int/md/D22-TDAG.WG.DEC-C-0016/" TargetMode="External"/><Relationship Id="rId26" Type="http://schemas.openxmlformats.org/officeDocument/2006/relationships/hyperlink" Target="https://www.itu.int/en/ITU-D/Conferences/TDAG/Pages/2024/TDAG_WG_DEC.aspx" TargetMode="External"/><Relationship Id="rId39" Type="http://schemas.openxmlformats.org/officeDocument/2006/relationships/hyperlink" Target="https://www.itu.int/md/D22-TDAG32-C-0056/en" TargetMode="External"/><Relationship Id="rId21" Type="http://schemas.openxmlformats.org/officeDocument/2006/relationships/hyperlink" Target="https://www.itu.int/md/D22-TDAG.WG.DEC-C-0007/" TargetMode="External"/><Relationship Id="rId34" Type="http://schemas.openxmlformats.org/officeDocument/2006/relationships/hyperlink" Target="https://www.itu.int/md/D22-TDAG.WG.DEC-C-0012/"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TDAG.WG.DEC-C-0006/" TargetMode="External"/><Relationship Id="rId20" Type="http://schemas.openxmlformats.org/officeDocument/2006/relationships/hyperlink" Target="https://www.itu.int/md/D22-TDAG.WG.DEC-INF-0001/" TargetMode="External"/><Relationship Id="rId29" Type="http://schemas.openxmlformats.org/officeDocument/2006/relationships/hyperlink" Target="https://www.itu.int/en/ITU-D/Conferences/TDAG/Pages/2024/TDAG_WG_DEC.asp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D22-TDAG.WG.DEC-C-0014/" TargetMode="External"/><Relationship Id="rId32" Type="http://schemas.openxmlformats.org/officeDocument/2006/relationships/hyperlink" Target="https://www.itu.int/md/D22-TDAG.WG.DEC-INF-0001/" TargetMode="External"/><Relationship Id="rId37" Type="http://schemas.openxmlformats.org/officeDocument/2006/relationships/hyperlink" Target="https://www.itu.int/md/D22-TDAG.WG.DEC-C-0014/en" TargetMode="External"/><Relationship Id="rId40" Type="http://schemas.openxmlformats.org/officeDocument/2006/relationships/hyperlink" Target="https://www.itu.int/md/D22-TDAG32-C-0048/en" TargetMode="External"/><Relationship Id="rId5" Type="http://schemas.openxmlformats.org/officeDocument/2006/relationships/numbering" Target="numbering.xml"/><Relationship Id="rId15" Type="http://schemas.openxmlformats.org/officeDocument/2006/relationships/hyperlink" Target="https://www.itu.int/md/D22-TDAG.WG.DEC-C-0002/" TargetMode="External"/><Relationship Id="rId23" Type="http://schemas.openxmlformats.org/officeDocument/2006/relationships/hyperlink" Target="https://www.itu.int/md/D22-TDAG.WG.DEC-C-0012/" TargetMode="External"/><Relationship Id="rId28" Type="http://schemas.openxmlformats.org/officeDocument/2006/relationships/hyperlink" Target="https://www.itu.int/md/D22-TDAG31-240520-TD-0004/en" TargetMode="External"/><Relationship Id="rId36" Type="http://schemas.openxmlformats.org/officeDocument/2006/relationships/hyperlink" Target="https://www.itu.int/md/D22-TDAG.WG.DEC-C-0012/" TargetMode="External"/><Relationship Id="rId10" Type="http://schemas.openxmlformats.org/officeDocument/2006/relationships/endnotes" Target="endnotes.xml"/><Relationship Id="rId19" Type="http://schemas.openxmlformats.org/officeDocument/2006/relationships/hyperlink" Target="https://www.itu.int/md/D22-TDAG.WG.DEC-C-0023/" TargetMode="External"/><Relationship Id="rId31" Type="http://schemas.openxmlformats.org/officeDocument/2006/relationships/hyperlink" Target="https://www.itu.int/md/D22-TDAG.WG.DEC-C-0004/"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31-240520-TD-0004/en" TargetMode="External"/><Relationship Id="rId22" Type="http://schemas.openxmlformats.org/officeDocument/2006/relationships/hyperlink" Target="https://www.itu.int/md/D22-TDAG.WG.DEC-C-0009/en" TargetMode="External"/><Relationship Id="rId27" Type="http://schemas.openxmlformats.org/officeDocument/2006/relationships/hyperlink" Target="https://www.itu.int/en/ITU-D/Conferences/TDAG/Pages/2024/default.aspx" TargetMode="External"/><Relationship Id="rId30" Type="http://schemas.openxmlformats.org/officeDocument/2006/relationships/hyperlink" Target="https://www.itu.int/md/D22-TDAG.WG.DEC-C-0004/" TargetMode="External"/><Relationship Id="rId35" Type="http://schemas.openxmlformats.org/officeDocument/2006/relationships/hyperlink" Target="https://www.itu.int/md/D22-TDAG.WG.DEC-C-0014/"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meetingdoc.asp?lang=en&amp;parent=D22-TDAG.WG.DEC-C-0010" TargetMode="External"/><Relationship Id="rId25" Type="http://schemas.openxmlformats.org/officeDocument/2006/relationships/hyperlink" Target="https://www.itu.int/md/D22-TDAG.WG.DEC-250514-TD-0001/en" TargetMode="External"/><Relationship Id="rId33" Type="http://schemas.openxmlformats.org/officeDocument/2006/relationships/hyperlink" Target="https://www.itu.int/md/D22-TDAG.WG.DEC-C-0009/en" TargetMode="External"/><Relationship Id="rId38" Type="http://schemas.openxmlformats.org/officeDocument/2006/relationships/hyperlink" Target="https://www.itu.int/md/D22-TDAG.WG.DEC-250514-TD-0001/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TDAG-WG-DEC@lists.itu.int" TargetMode="External"/><Relationship Id="rId1" Type="http://schemas.openxmlformats.org/officeDocument/2006/relationships/hyperlink" Target="mailto:oloyede.aa@unilorin.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D1524703-D775-4772-BCEE-2F2FB3AA4B85}">
  <ds:schemaRefs>
    <ds:schemaRef ds:uri="http://schemas.openxmlformats.org/officeDocument/2006/bibliography"/>
  </ds:schemaRefs>
</ds:datastoreItem>
</file>

<file path=customXml/itemProps3.xml><?xml version="1.0" encoding="utf-8"?>
<ds:datastoreItem xmlns:ds="http://schemas.openxmlformats.org/officeDocument/2006/customXml" ds:itemID="{A71E494B-5220-4715-8F7F-E2B3FBDE3F8D}">
  <ds:schemaRefs>
    <ds:schemaRef ds:uri="http://schemas.microsoft.com/office/2006/metadata/properties"/>
    <ds:schemaRef ds:uri="http://schemas.microsoft.com/office/infopath/2007/PartnerControls"/>
    <ds:schemaRef ds:uri="d4ea696a-cca3-460b-a983-57ac2621983a"/>
    <ds:schemaRef ds:uri="29399490-13b9-4c73-b71e-403b715b75a7"/>
  </ds:schemaRefs>
</ds:datastoreItem>
</file>

<file path=customXml/itemProps4.xml><?xml version="1.0" encoding="utf-8"?>
<ds:datastoreItem xmlns:ds="http://schemas.openxmlformats.org/officeDocument/2006/customXml" ds:itemID="{B3309BCF-978F-4771-A97A-ED56B4533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3168</Words>
  <Characters>21785</Characters>
  <Application>Microsoft Office Word</Application>
  <DocSecurity>0</DocSecurity>
  <Lines>181</Lines>
  <Paragraphs>49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24904</CharactersWithSpaces>
  <SharedDoc>false</SharedDoc>
  <HLinks>
    <vt:vector size="96" baseType="variant">
      <vt:variant>
        <vt:i4>1572943</vt:i4>
      </vt:variant>
      <vt:variant>
        <vt:i4>39</vt:i4>
      </vt:variant>
      <vt:variant>
        <vt:i4>0</vt:i4>
      </vt:variant>
      <vt:variant>
        <vt:i4>5</vt:i4>
      </vt:variant>
      <vt:variant>
        <vt:lpwstr>https://www.itu.int/md/D22-TDAG.WG.DEC-C-0009/en</vt:lpwstr>
      </vt:variant>
      <vt:variant>
        <vt:lpwstr/>
      </vt:variant>
      <vt:variant>
        <vt:i4>1704012</vt:i4>
      </vt:variant>
      <vt:variant>
        <vt:i4>36</vt:i4>
      </vt:variant>
      <vt:variant>
        <vt:i4>0</vt:i4>
      </vt:variant>
      <vt:variant>
        <vt:i4>5</vt:i4>
      </vt:variant>
      <vt:variant>
        <vt:lpwstr>https://www.itu.int/md/D22-TDAG.WG.DEC-INF-0001/</vt:lpwstr>
      </vt:variant>
      <vt:variant>
        <vt:lpwstr/>
      </vt:variant>
      <vt:variant>
        <vt:i4>7733287</vt:i4>
      </vt:variant>
      <vt:variant>
        <vt:i4>33</vt:i4>
      </vt:variant>
      <vt:variant>
        <vt:i4>0</vt:i4>
      </vt:variant>
      <vt:variant>
        <vt:i4>5</vt:i4>
      </vt:variant>
      <vt:variant>
        <vt:lpwstr>https://www.itu.int/md/D22-TDAG.WG.DEC-C-0004/</vt:lpwstr>
      </vt:variant>
      <vt:variant>
        <vt:lpwstr/>
      </vt:variant>
      <vt:variant>
        <vt:i4>7733287</vt:i4>
      </vt:variant>
      <vt:variant>
        <vt:i4>30</vt:i4>
      </vt:variant>
      <vt:variant>
        <vt:i4>0</vt:i4>
      </vt:variant>
      <vt:variant>
        <vt:i4>5</vt:i4>
      </vt:variant>
      <vt:variant>
        <vt:lpwstr>https://www.itu.int/md/D22-TDAG.WG.DEC-C-0004/</vt:lpwstr>
      </vt:variant>
      <vt:variant>
        <vt:lpwstr/>
      </vt:variant>
      <vt:variant>
        <vt:i4>7733369</vt:i4>
      </vt:variant>
      <vt:variant>
        <vt:i4>27</vt:i4>
      </vt:variant>
      <vt:variant>
        <vt:i4>0</vt:i4>
      </vt:variant>
      <vt:variant>
        <vt:i4>5</vt:i4>
      </vt:variant>
      <vt:variant>
        <vt:lpwstr>https://www.itu.int/en/ITU-D/Conferences/TDAG/Pages/2024/TDAG_WG_DEC.aspx</vt:lpwstr>
      </vt:variant>
      <vt:variant>
        <vt:lpwstr/>
      </vt:variant>
      <vt:variant>
        <vt:i4>6488184</vt:i4>
      </vt:variant>
      <vt:variant>
        <vt:i4>24</vt:i4>
      </vt:variant>
      <vt:variant>
        <vt:i4>0</vt:i4>
      </vt:variant>
      <vt:variant>
        <vt:i4>5</vt:i4>
      </vt:variant>
      <vt:variant>
        <vt:lpwstr>https://www.itu.int/md/D22-TDAG31-240520-TD-0004/en</vt:lpwstr>
      </vt:variant>
      <vt:variant>
        <vt:lpwstr/>
      </vt:variant>
      <vt:variant>
        <vt:i4>6226015</vt:i4>
      </vt:variant>
      <vt:variant>
        <vt:i4>21</vt:i4>
      </vt:variant>
      <vt:variant>
        <vt:i4>0</vt:i4>
      </vt:variant>
      <vt:variant>
        <vt:i4>5</vt:i4>
      </vt:variant>
      <vt:variant>
        <vt:lpwstr>https://www.itu.int/en/ITU-D/Conferences/TDAG/Pages/2024/default.aspx</vt:lpwstr>
      </vt:variant>
      <vt:variant>
        <vt:lpwstr/>
      </vt:variant>
      <vt:variant>
        <vt:i4>7733369</vt:i4>
      </vt:variant>
      <vt:variant>
        <vt:i4>18</vt:i4>
      </vt:variant>
      <vt:variant>
        <vt:i4>0</vt:i4>
      </vt:variant>
      <vt:variant>
        <vt:i4>5</vt:i4>
      </vt:variant>
      <vt:variant>
        <vt:lpwstr>https://www.itu.int/en/ITU-D/Conferences/TDAG/Pages/2024/TDAG_WG_DEC.aspx</vt:lpwstr>
      </vt:variant>
      <vt:variant>
        <vt:lpwstr/>
      </vt:variant>
      <vt:variant>
        <vt:i4>7733284</vt:i4>
      </vt:variant>
      <vt:variant>
        <vt:i4>15</vt:i4>
      </vt:variant>
      <vt:variant>
        <vt:i4>0</vt:i4>
      </vt:variant>
      <vt:variant>
        <vt:i4>5</vt:i4>
      </vt:variant>
      <vt:variant>
        <vt:lpwstr>https://www.itu.int/md/D22-TDAG.WG.DEC-C-0007/</vt:lpwstr>
      </vt:variant>
      <vt:variant>
        <vt:lpwstr/>
      </vt:variant>
      <vt:variant>
        <vt:i4>1704012</vt:i4>
      </vt:variant>
      <vt:variant>
        <vt:i4>12</vt:i4>
      </vt:variant>
      <vt:variant>
        <vt:i4>0</vt:i4>
      </vt:variant>
      <vt:variant>
        <vt:i4>5</vt:i4>
      </vt:variant>
      <vt:variant>
        <vt:lpwstr>https://www.itu.int/md/D22-TDAG.WG.DEC-INF-0001/</vt:lpwstr>
      </vt:variant>
      <vt:variant>
        <vt:lpwstr/>
      </vt:variant>
      <vt:variant>
        <vt:i4>1638470</vt:i4>
      </vt:variant>
      <vt:variant>
        <vt:i4>9</vt:i4>
      </vt:variant>
      <vt:variant>
        <vt:i4>0</vt:i4>
      </vt:variant>
      <vt:variant>
        <vt:i4>5</vt:i4>
      </vt:variant>
      <vt:variant>
        <vt:lpwstr>https://www.itu.int/md/D22-TDAG.WG.DEC-C-0010/en</vt:lpwstr>
      </vt:variant>
      <vt:variant>
        <vt:lpwstr/>
      </vt:variant>
      <vt:variant>
        <vt:i4>7733285</vt:i4>
      </vt:variant>
      <vt:variant>
        <vt:i4>6</vt:i4>
      </vt:variant>
      <vt:variant>
        <vt:i4>0</vt:i4>
      </vt:variant>
      <vt:variant>
        <vt:i4>5</vt:i4>
      </vt:variant>
      <vt:variant>
        <vt:lpwstr>https://www.itu.int/md/D22-TDAG.WG.DEC-C-0006/</vt:lpwstr>
      </vt:variant>
      <vt:variant>
        <vt:lpwstr/>
      </vt:variant>
      <vt:variant>
        <vt:i4>7733281</vt:i4>
      </vt:variant>
      <vt:variant>
        <vt:i4>3</vt:i4>
      </vt:variant>
      <vt:variant>
        <vt:i4>0</vt:i4>
      </vt:variant>
      <vt:variant>
        <vt:i4>5</vt:i4>
      </vt:variant>
      <vt:variant>
        <vt:lpwstr>https://www.itu.int/md/D22-TDAG.WG.DEC-C-0002/</vt:lpwstr>
      </vt:variant>
      <vt:variant>
        <vt:lpwstr/>
      </vt:variant>
      <vt:variant>
        <vt:i4>6488184</vt:i4>
      </vt:variant>
      <vt:variant>
        <vt:i4>0</vt:i4>
      </vt:variant>
      <vt:variant>
        <vt:i4>0</vt:i4>
      </vt:variant>
      <vt:variant>
        <vt:i4>5</vt:i4>
      </vt:variant>
      <vt:variant>
        <vt:lpwstr>https://www.itu.int/md/D22-TDAG31-240520-TD-0004/en</vt:lpwstr>
      </vt:variant>
      <vt:variant>
        <vt:lpwstr/>
      </vt:variant>
      <vt:variant>
        <vt:i4>5701681</vt:i4>
      </vt:variant>
      <vt:variant>
        <vt:i4>6</vt:i4>
      </vt:variant>
      <vt:variant>
        <vt:i4>0</vt:i4>
      </vt:variant>
      <vt:variant>
        <vt:i4>5</vt:i4>
      </vt:variant>
      <vt:variant>
        <vt:lpwstr>mailto:TDAG-WG-DEC@lists.itu.int</vt:lpwstr>
      </vt:variant>
      <vt:variant>
        <vt:lpwstr/>
      </vt:variant>
      <vt:variant>
        <vt:i4>2293770</vt:i4>
      </vt:variant>
      <vt:variant>
        <vt:i4>3</vt:i4>
      </vt:variant>
      <vt:variant>
        <vt:i4>0</vt:i4>
      </vt:variant>
      <vt:variant>
        <vt:i4>5</vt:i4>
      </vt:variant>
      <vt:variant>
        <vt:lpwstr>mailto:oloyede.aa@unilorin.edu.ng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cp:lastModifiedBy>
  <cp:revision>6</cp:revision>
  <cp:lastPrinted>2025-04-22T08:20:00Z</cp:lastPrinted>
  <dcterms:created xsi:type="dcterms:W3CDTF">2025-05-16T10:30:00Z</dcterms:created>
  <dcterms:modified xsi:type="dcterms:W3CDTF">2025-05-16T10:56:00Z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MediaServiceImageTags">
    <vt:lpwstr/>
  </property>
  <property fmtid="{D5CDD505-2E9C-101B-9397-08002B2CF9AE}" pid="10" name="GrammarlyDocumentId">
    <vt:lpwstr>b8fbd109-222a-45bd-985a-8b6e0cc20250</vt:lpwstr>
  </property>
</Properties>
</file>