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1985"/>
        <w:gridCol w:w="4678"/>
        <w:gridCol w:w="1984"/>
        <w:gridCol w:w="1384"/>
      </w:tblGrid>
      <w:tr w:rsidR="00AE1244" w:rsidRPr="00132DFF" w14:paraId="3686178C" w14:textId="77777777" w:rsidTr="000D6EAB">
        <w:trPr>
          <w:cantSplit/>
          <w:trHeight w:val="1276"/>
        </w:trPr>
        <w:tc>
          <w:tcPr>
            <w:tcW w:w="1985" w:type="dxa"/>
          </w:tcPr>
          <w:p w14:paraId="7CC225B3" w14:textId="77777777" w:rsidR="00AE1244" w:rsidRPr="00132DFF" w:rsidRDefault="000E1F4F" w:rsidP="00A259A2">
            <w:pPr>
              <w:spacing w:after="40"/>
              <w:rPr>
                <w:b/>
                <w:bCs/>
                <w:sz w:val="30"/>
                <w:szCs w:val="30"/>
              </w:rPr>
            </w:pPr>
            <w:r w:rsidRPr="00132DFF"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38282686" wp14:editId="2438CE5C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3F2D51DE" w14:textId="77777777" w:rsidR="008E1A73" w:rsidRPr="00132DFF" w:rsidRDefault="008E1A73" w:rsidP="002978E6">
            <w:pPr>
              <w:tabs>
                <w:tab w:val="clear" w:pos="1134"/>
              </w:tabs>
              <w:spacing w:before="240" w:after="240" w:line="240" w:lineRule="atLeast"/>
              <w:ind w:left="34"/>
              <w:rPr>
                <w:b/>
                <w:bCs/>
                <w:sz w:val="30"/>
                <w:szCs w:val="30"/>
              </w:rPr>
            </w:pPr>
            <w:r w:rsidRPr="00132DFF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132DFF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48AA85A5" w14:textId="77777777" w:rsidR="00AE1244" w:rsidRPr="00132DFF" w:rsidRDefault="00AE1244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Cs w:val="22"/>
              </w:rPr>
            </w:pPr>
            <w:r w:rsidRPr="00132DFF">
              <w:rPr>
                <w:rFonts w:cstheme="minorHAnsi"/>
                <w:b/>
                <w:bCs/>
                <w:szCs w:val="22"/>
                <w:lang w:eastAsia="zh-CN"/>
              </w:rPr>
              <w:t>32-е собрание, Женева, Швейцария, 12–16 мая 2025 года</w:t>
            </w:r>
          </w:p>
        </w:tc>
        <w:tc>
          <w:tcPr>
            <w:tcW w:w="1384" w:type="dxa"/>
          </w:tcPr>
          <w:p w14:paraId="50D5D62B" w14:textId="77777777" w:rsidR="00AE1244" w:rsidRPr="00132DFF" w:rsidRDefault="00AE1244" w:rsidP="00303F7C">
            <w:pPr>
              <w:spacing w:before="240" w:after="120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132DFF">
              <w:rPr>
                <w:noProof/>
                <w:lang w:eastAsia="fr-FR"/>
              </w:rPr>
              <w:drawing>
                <wp:inline distT="0" distB="0" distL="0" distR="0" wp14:anchorId="6C97E7A9" wp14:editId="1A9F3DB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132DFF" w14:paraId="5E7C8106" w14:textId="77777777" w:rsidTr="005C3173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14:paraId="51422D3A" w14:textId="77777777" w:rsidR="00D83BF5" w:rsidRPr="00132DFF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gridSpan w:val="2"/>
            <w:tcBorders>
              <w:top w:val="single" w:sz="12" w:space="0" w:color="auto"/>
            </w:tcBorders>
          </w:tcPr>
          <w:p w14:paraId="72CDDBF7" w14:textId="77777777" w:rsidR="00D83BF5" w:rsidRPr="00132DFF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132DFF" w14:paraId="3C24F1CF" w14:textId="77777777" w:rsidTr="005C3173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696EAB67" w14:textId="77777777" w:rsidR="00D87035" w:rsidRPr="00132DFF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  <w:gridSpan w:val="2"/>
          </w:tcPr>
          <w:p w14:paraId="55B281A8" w14:textId="0E795039" w:rsidR="00D87035" w:rsidRPr="00132DFF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132DFF">
              <w:rPr>
                <w:b/>
                <w:bCs/>
                <w:szCs w:val="22"/>
              </w:rPr>
              <w:t>Документ</w:t>
            </w:r>
            <w:r w:rsidR="00D87035" w:rsidRPr="00132DFF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r w:rsidR="00D87035" w:rsidRPr="00132DFF">
              <w:rPr>
                <w:b/>
                <w:bCs/>
                <w:szCs w:val="22"/>
              </w:rPr>
              <w:t>TDAG-</w:t>
            </w:r>
            <w:r w:rsidR="00523934" w:rsidRPr="00132DFF">
              <w:rPr>
                <w:b/>
                <w:bCs/>
                <w:szCs w:val="22"/>
              </w:rPr>
              <w:t>2</w:t>
            </w:r>
            <w:r w:rsidR="0081159E" w:rsidRPr="00132DFF">
              <w:rPr>
                <w:b/>
                <w:bCs/>
                <w:szCs w:val="22"/>
              </w:rPr>
              <w:t>5</w:t>
            </w:r>
            <w:r w:rsidR="00D87035" w:rsidRPr="00132DFF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="00C96B2C" w:rsidRPr="00132DFF">
              <w:rPr>
                <w:b/>
                <w:bCs/>
                <w:szCs w:val="22"/>
              </w:rPr>
              <w:t>18</w:t>
            </w:r>
            <w:r w:rsidR="00705B44">
              <w:rPr>
                <w:b/>
                <w:bCs/>
                <w:szCs w:val="22"/>
              </w:rPr>
              <w:t>(</w:t>
            </w:r>
            <w:r w:rsidR="00705B44">
              <w:rPr>
                <w:b/>
                <w:bCs/>
                <w:szCs w:val="22"/>
                <w:lang w:val="en-US"/>
              </w:rPr>
              <w:t>Rev.1)</w:t>
            </w:r>
            <w:r w:rsidR="00D87035" w:rsidRPr="00132DFF">
              <w:rPr>
                <w:b/>
                <w:bCs/>
                <w:szCs w:val="22"/>
              </w:rPr>
              <w:t>-</w:t>
            </w:r>
            <w:r w:rsidRPr="00132DFF">
              <w:rPr>
                <w:b/>
                <w:bCs/>
                <w:szCs w:val="22"/>
              </w:rPr>
              <w:t>R</w:t>
            </w:r>
          </w:p>
        </w:tc>
      </w:tr>
      <w:tr w:rsidR="00D87035" w:rsidRPr="00132DFF" w14:paraId="7F2B2CBE" w14:textId="77777777" w:rsidTr="005C3173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705D5BA0" w14:textId="77777777" w:rsidR="00D87035" w:rsidRPr="00132DFF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  <w:gridSpan w:val="2"/>
          </w:tcPr>
          <w:p w14:paraId="489109A0" w14:textId="192F90A2" w:rsidR="00D87035" w:rsidRPr="00132DFF" w:rsidRDefault="00C96B2C" w:rsidP="00CE66E4">
            <w:pPr>
              <w:spacing w:before="0"/>
              <w:rPr>
                <w:rFonts w:cstheme="minorHAnsi"/>
                <w:szCs w:val="22"/>
              </w:rPr>
            </w:pPr>
            <w:r w:rsidRPr="00132DFF">
              <w:rPr>
                <w:b/>
                <w:bCs/>
                <w:szCs w:val="22"/>
              </w:rPr>
              <w:t>2</w:t>
            </w:r>
            <w:r w:rsidR="00705B44">
              <w:rPr>
                <w:b/>
                <w:bCs/>
                <w:szCs w:val="22"/>
                <w:lang w:val="en-US"/>
              </w:rPr>
              <w:t>2</w:t>
            </w:r>
            <w:r w:rsidRPr="00132DFF">
              <w:rPr>
                <w:b/>
                <w:bCs/>
                <w:szCs w:val="22"/>
              </w:rPr>
              <w:t xml:space="preserve"> </w:t>
            </w:r>
            <w:r w:rsidR="00705B44">
              <w:rPr>
                <w:b/>
                <w:bCs/>
                <w:szCs w:val="22"/>
              </w:rPr>
              <w:t>апреля</w:t>
            </w:r>
            <w:r w:rsidRPr="00132DFF">
              <w:rPr>
                <w:b/>
                <w:bCs/>
                <w:szCs w:val="22"/>
              </w:rPr>
              <w:t xml:space="preserve"> 2025 года</w:t>
            </w:r>
          </w:p>
        </w:tc>
      </w:tr>
      <w:bookmarkEnd w:id="6"/>
      <w:bookmarkEnd w:id="7"/>
      <w:tr w:rsidR="00D87035" w:rsidRPr="00132DFF" w14:paraId="0BD325B3" w14:textId="77777777" w:rsidTr="005C3173">
        <w:trPr>
          <w:cantSplit/>
          <w:trHeight w:val="23"/>
        </w:trPr>
        <w:tc>
          <w:tcPr>
            <w:tcW w:w="6663" w:type="dxa"/>
            <w:gridSpan w:val="2"/>
            <w:shd w:val="clear" w:color="auto" w:fill="auto"/>
          </w:tcPr>
          <w:p w14:paraId="36606B43" w14:textId="77777777" w:rsidR="00D87035" w:rsidRPr="00132DFF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  <w:gridSpan w:val="2"/>
          </w:tcPr>
          <w:p w14:paraId="2BFFB518" w14:textId="77777777" w:rsidR="00D87035" w:rsidRPr="00132DFF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132DFF">
              <w:rPr>
                <w:b/>
                <w:bCs/>
                <w:szCs w:val="22"/>
              </w:rPr>
              <w:t>Оригинал</w:t>
            </w:r>
            <w:r w:rsidR="00D87035" w:rsidRPr="00132DFF">
              <w:rPr>
                <w:b/>
                <w:bCs/>
                <w:szCs w:val="22"/>
              </w:rPr>
              <w:t xml:space="preserve">: </w:t>
            </w:r>
            <w:r w:rsidRPr="00132DFF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132DFF" w14:paraId="1D871562" w14:textId="77777777" w:rsidTr="00D87035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E59FE8C" w14:textId="4071D971" w:rsidR="00D83BF5" w:rsidRPr="00132DFF" w:rsidRDefault="00C96B2C" w:rsidP="006774C6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132DFF">
              <w:rPr>
                <w:szCs w:val="28"/>
              </w:rPr>
              <w:t>Председатель КГРЭ-РГ-DEC</w:t>
            </w:r>
          </w:p>
        </w:tc>
      </w:tr>
      <w:tr w:rsidR="00D83BF5" w:rsidRPr="00132DFF" w14:paraId="18A44C2F" w14:textId="77777777" w:rsidTr="00D87035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624BFFE1" w14:textId="48493D29" w:rsidR="00D83BF5" w:rsidRPr="00132DFF" w:rsidRDefault="00C96B2C" w:rsidP="006774C6">
            <w:pPr>
              <w:pStyle w:val="Title1"/>
              <w:rPr>
                <w:caps/>
              </w:rPr>
            </w:pPr>
            <w:r w:rsidRPr="00132DFF">
              <w:rPr>
                <w:bCs/>
                <w:szCs w:val="28"/>
              </w:rPr>
              <w:t>Отчет о ходе и результатах деятельности Рабочей Группы КГРЭ по Декларации</w:t>
            </w:r>
          </w:p>
        </w:tc>
      </w:tr>
      <w:tr w:rsidR="00D83BF5" w:rsidRPr="00132DFF" w14:paraId="38A364A3" w14:textId="77777777" w:rsidTr="00D87035">
        <w:trPr>
          <w:cantSplit/>
          <w:trHeight w:val="23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0B5AB2" w14:textId="77777777" w:rsidR="00D83BF5" w:rsidRPr="00132DFF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132DFF" w14:paraId="07962970" w14:textId="77777777" w:rsidTr="00D87035">
        <w:trPr>
          <w:cantSplit/>
          <w:trHeight w:val="2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925C" w14:textId="77777777" w:rsidR="005E032D" w:rsidRPr="00132DFF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132DFF">
              <w:rPr>
                <w:szCs w:val="22"/>
                <w:lang w:val="ru-RU"/>
              </w:rPr>
              <w:t>Резюме</w:t>
            </w:r>
          </w:p>
          <w:p w14:paraId="0B05A0FF" w14:textId="1EF8803D" w:rsidR="00C96B2C" w:rsidRPr="00132DFF" w:rsidRDefault="00C96B2C" w:rsidP="00C96B2C">
            <w:pPr>
              <w:spacing w:after="120"/>
              <w:rPr>
                <w:szCs w:val="24"/>
              </w:rPr>
            </w:pPr>
            <w:r w:rsidRPr="00132DFF">
              <w:rPr>
                <w:szCs w:val="24"/>
              </w:rPr>
              <w:t>В настоящем документе содержится проект заключительного отчета Рабочей группы КГРЭ по Декларации (КГРЭ-РГ-DEC), в том числе предлагаемый проект Бакинской декларации на основании соответствующего круга ведения. Отчет будет окончательно доработан на последнем собрании КГРЭ</w:t>
            </w:r>
            <w:r w:rsidR="00B555D6" w:rsidRPr="00132DFF">
              <w:rPr>
                <w:szCs w:val="24"/>
              </w:rPr>
              <w:t>­</w:t>
            </w:r>
            <w:r w:rsidRPr="00132DFF">
              <w:rPr>
                <w:szCs w:val="24"/>
              </w:rPr>
              <w:t>РГ-DEC.</w:t>
            </w:r>
          </w:p>
          <w:p w14:paraId="33F3C8C3" w14:textId="77335E8A" w:rsidR="001E252D" w:rsidRPr="00132DFF" w:rsidRDefault="00C96B2C" w:rsidP="00C96B2C">
            <w:pPr>
              <w:rPr>
                <w:szCs w:val="22"/>
              </w:rPr>
            </w:pPr>
            <w:r w:rsidRPr="00132DFF">
              <w:rPr>
                <w:szCs w:val="24"/>
              </w:rPr>
              <w:t xml:space="preserve">Существующий проект Бакинской декларации, предложенный Председателем Группы, содержится в Приложении 1 (аннотированная версия в режиме правки содержится в Решении </w:t>
            </w:r>
            <w:hyperlink r:id="rId13" w:history="1">
              <w:r w:rsidRPr="00132DFF">
                <w:rPr>
                  <w:rStyle w:val="Hyperlink"/>
                  <w:szCs w:val="24"/>
                </w:rPr>
                <w:t>TDAG-WG-DEC/12</w:t>
              </w:r>
            </w:hyperlink>
            <w:r w:rsidRPr="00132DFF">
              <w:rPr>
                <w:szCs w:val="24"/>
              </w:rPr>
              <w:t>). Окончательный вариант проекта, согласованный последним собранием Группы, будет служить для членов исходным материалом для рассмотрения при подготовке к Конференции и во время</w:t>
            </w:r>
            <w:r w:rsidR="00B555D6" w:rsidRPr="00132DFF">
              <w:rPr>
                <w:szCs w:val="24"/>
              </w:rPr>
              <w:t> </w:t>
            </w:r>
            <w:r w:rsidRPr="00132DFF">
              <w:rPr>
                <w:szCs w:val="24"/>
              </w:rPr>
              <w:t>Конференции.</w:t>
            </w:r>
          </w:p>
          <w:p w14:paraId="2A69A5B3" w14:textId="77777777" w:rsidR="005E032D" w:rsidRPr="00132DFF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132DFF">
              <w:rPr>
                <w:szCs w:val="22"/>
                <w:lang w:val="ru-RU"/>
              </w:rPr>
              <w:t>Необходимые действия</w:t>
            </w:r>
          </w:p>
          <w:p w14:paraId="32069B18" w14:textId="2D9D8B09" w:rsidR="001E252D" w:rsidRPr="00132DFF" w:rsidRDefault="00C96B2C" w:rsidP="00EB4AE6">
            <w:pPr>
              <w:rPr>
                <w:szCs w:val="22"/>
              </w:rPr>
            </w:pPr>
            <w:r w:rsidRPr="00132DFF">
              <w:rPr>
                <w:szCs w:val="22"/>
              </w:rPr>
              <w:t>КГРЭ предлагается изучить настоящий отчет, дополнительно рассмотреть предложенный Председателем проект и представить его в качестве вклада на ВКРЭ-25.</w:t>
            </w:r>
          </w:p>
          <w:p w14:paraId="4278C41B" w14:textId="77777777" w:rsidR="001E252D" w:rsidRPr="00132DFF" w:rsidRDefault="004A3CDF" w:rsidP="00EB4AE6">
            <w:pPr>
              <w:rPr>
                <w:b/>
                <w:bCs/>
                <w:szCs w:val="22"/>
              </w:rPr>
            </w:pPr>
            <w:r w:rsidRPr="00132DFF">
              <w:rPr>
                <w:b/>
                <w:bCs/>
                <w:szCs w:val="22"/>
              </w:rPr>
              <w:t>Справочные материалы</w:t>
            </w:r>
          </w:p>
          <w:p w14:paraId="6717FBDB" w14:textId="7A8980B9" w:rsidR="00C96B2C" w:rsidRPr="00132DFF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>Круг ведения КГРЭ-РГ-DEC (</w:t>
            </w:r>
            <w:hyperlink r:id="rId14" w:history="1">
              <w:r w:rsidRPr="00132DFF">
                <w:rPr>
                  <w:rStyle w:val="Hyperlink"/>
                </w:rPr>
                <w:t>TDAG-24/DT/4</w:t>
              </w:r>
            </w:hyperlink>
            <w:r w:rsidRPr="00132DFF">
              <w:rPr>
                <w:rStyle w:val="Hyperlink"/>
              </w:rPr>
              <w:t>)</w:t>
            </w:r>
          </w:p>
          <w:p w14:paraId="1E25F54D" w14:textId="2A5C2385" w:rsidR="00C96B2C" w:rsidRPr="00132DFF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>Отчет о первом собрании КГРЭ-РГ-DEC (</w:t>
            </w:r>
            <w:hyperlink r:id="rId15" w:history="1">
              <w:r w:rsidRPr="00132DFF">
                <w:rPr>
                  <w:rStyle w:val="Hyperlink"/>
                </w:rPr>
                <w:t>TDAG-WG-DEC/2</w:t>
              </w:r>
            </w:hyperlink>
            <w:r w:rsidRPr="00132DFF">
              <w:t>)</w:t>
            </w:r>
          </w:p>
          <w:p w14:paraId="31403E4D" w14:textId="2BCB6CE0" w:rsidR="00C96B2C" w:rsidRPr="00132DFF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>Отчет о втором собрании КГРЭ-РГ-DEC (</w:t>
            </w:r>
            <w:hyperlink r:id="rId16" w:history="1">
              <w:r w:rsidRPr="00132DFF">
                <w:rPr>
                  <w:rStyle w:val="Hyperlink"/>
                </w:rPr>
                <w:t>TDAG-WG-DEC/6</w:t>
              </w:r>
            </w:hyperlink>
            <w:r w:rsidRPr="00132DFF">
              <w:t>)</w:t>
            </w:r>
          </w:p>
          <w:p w14:paraId="08A2D3B6" w14:textId="2373849C" w:rsidR="00C96B2C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 xml:space="preserve">Отчет о третьем собрании КГРЭ-РГ-DEC </w:t>
            </w:r>
            <w:r w:rsidR="00705B44" w:rsidRPr="00BD1DB7">
              <w:t>(</w:t>
            </w:r>
            <w:hyperlink r:id="rId17" w:history="1">
              <w:r w:rsidR="00705B44" w:rsidRPr="00BD1DB7">
                <w:rPr>
                  <w:rStyle w:val="Hyperlink"/>
                  <w:szCs w:val="24"/>
                </w:rPr>
                <w:t>TDAG-WG-DEC/10</w:t>
              </w:r>
            </w:hyperlink>
            <w:r w:rsidR="00705B44" w:rsidRPr="00BD1DB7">
              <w:t>)</w:t>
            </w:r>
          </w:p>
          <w:p w14:paraId="21B3236C" w14:textId="5D5A0DBB" w:rsidR="00705B44" w:rsidRPr="00132DFF" w:rsidRDefault="00705B44" w:rsidP="00705B44">
            <w:pPr>
              <w:pStyle w:val="enumlev1"/>
            </w:pPr>
            <w:r w:rsidRPr="00132DFF">
              <w:sym w:font="Symbol" w:char="F02D"/>
            </w:r>
            <w:r w:rsidRPr="00132DFF">
              <w:tab/>
              <w:t xml:space="preserve">Отчет о </w:t>
            </w:r>
            <w:r>
              <w:t>четвертом</w:t>
            </w:r>
            <w:r w:rsidRPr="00132DFF">
              <w:t xml:space="preserve"> собрании КГРЭ-РГ-DEC </w:t>
            </w:r>
            <w:r w:rsidRPr="00BD1DB7">
              <w:t>(</w:t>
            </w:r>
            <w:hyperlink r:id="rId18" w:history="1">
              <w:r w:rsidRPr="00BD1DB7">
                <w:rPr>
                  <w:rStyle w:val="Hyperlink"/>
                </w:rPr>
                <w:t>TDAG-WG-DEC/16</w:t>
              </w:r>
            </w:hyperlink>
            <w:r w:rsidRPr="00BD1DB7">
              <w:t>)</w:t>
            </w:r>
          </w:p>
          <w:p w14:paraId="7979BACD" w14:textId="68A3577D" w:rsidR="001E252D" w:rsidRPr="00132DFF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 xml:space="preserve">Сопоставление тем Кигалийской декларации и новых и появляющихся тем </w:t>
            </w:r>
            <w:r w:rsidRPr="00132DFF">
              <w:br/>
              <w:t xml:space="preserve">(Документ </w:t>
            </w:r>
            <w:hyperlink r:id="rId19" w:history="1">
              <w:r w:rsidRPr="00132DFF">
                <w:rPr>
                  <w:rStyle w:val="Hyperlink"/>
                  <w:szCs w:val="24"/>
                </w:rPr>
                <w:t>TDAG-WG-DEC/INF/</w:t>
              </w:r>
            </w:hyperlink>
            <w:r w:rsidRPr="00132DFF">
              <w:rPr>
                <w:rStyle w:val="Hyperlink"/>
                <w:szCs w:val="24"/>
              </w:rPr>
              <w:t>1</w:t>
            </w:r>
            <w:r w:rsidRPr="00132DFF">
              <w:t>, 27 ноября 2024 г</w:t>
            </w:r>
            <w:r w:rsidR="00254025">
              <w:t>.</w:t>
            </w:r>
            <w:r w:rsidRPr="00132DFF">
              <w:t>)</w:t>
            </w:r>
          </w:p>
          <w:p w14:paraId="4E003CD0" w14:textId="6493B863" w:rsidR="00C96B2C" w:rsidRPr="00132DFF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 xml:space="preserve">Пересмотренный аннотированный план Бакинской декларации 2025 года </w:t>
            </w:r>
            <w:r w:rsidR="006870DE" w:rsidRPr="00132DFF">
              <w:br/>
            </w:r>
            <w:r w:rsidRPr="00132DFF">
              <w:t>(</w:t>
            </w:r>
            <w:hyperlink r:id="rId20" w:history="1">
              <w:r w:rsidRPr="00132DFF">
                <w:rPr>
                  <w:rStyle w:val="Hyperlink"/>
                </w:rPr>
                <w:t>TDAG-WG-DEC/7</w:t>
              </w:r>
            </w:hyperlink>
            <w:r w:rsidRPr="00132DFF">
              <w:t>, 13 декабря 2024 г</w:t>
            </w:r>
            <w:r w:rsidR="00254025">
              <w:t>.</w:t>
            </w:r>
            <w:r w:rsidRPr="00132DFF">
              <w:t>)</w:t>
            </w:r>
          </w:p>
          <w:p w14:paraId="7A29D897" w14:textId="360D43AC" w:rsidR="00C96B2C" w:rsidRDefault="00C96B2C" w:rsidP="00B555D6">
            <w:pPr>
              <w:pStyle w:val="enumlev1"/>
            </w:pPr>
            <w:r w:rsidRPr="00132DFF">
              <w:sym w:font="Symbol" w:char="F02D"/>
            </w:r>
            <w:r w:rsidRPr="00132DFF">
              <w:tab/>
              <w:t>Пересмотренный и аннотированный проект предложения Председателя КГРЭ-РГ-DEC по Бакинской декларации (</w:t>
            </w:r>
            <w:hyperlink r:id="rId21" w:history="1">
              <w:r w:rsidRPr="00132DFF">
                <w:rPr>
                  <w:rStyle w:val="Hyperlink"/>
                  <w:szCs w:val="24"/>
                </w:rPr>
                <w:t>TDAG-WG-DEC/12</w:t>
              </w:r>
            </w:hyperlink>
            <w:r w:rsidRPr="00132DFF">
              <w:rPr>
                <w:szCs w:val="24"/>
              </w:rPr>
              <w:t>, 27 марта 2025 г</w:t>
            </w:r>
            <w:r w:rsidR="00254025">
              <w:rPr>
                <w:szCs w:val="24"/>
              </w:rPr>
              <w:t>.</w:t>
            </w:r>
            <w:r w:rsidRPr="00132DFF">
              <w:t>)</w:t>
            </w:r>
          </w:p>
          <w:p w14:paraId="087866EB" w14:textId="13307DBE" w:rsidR="00705B44" w:rsidRPr="00132DFF" w:rsidRDefault="00705B44" w:rsidP="00B555D6">
            <w:pPr>
              <w:pStyle w:val="enumlev1"/>
            </w:pPr>
            <w:r w:rsidRPr="00132DFF">
              <w:lastRenderedPageBreak/>
              <w:sym w:font="Symbol" w:char="F02D"/>
            </w:r>
            <w:r w:rsidRPr="00132DFF">
              <w:tab/>
            </w:r>
            <w:r>
              <w:t xml:space="preserve">Второй </w:t>
            </w:r>
            <w:r w:rsidRPr="00132DFF">
              <w:t xml:space="preserve">пересмотренный проект предложения Председателя КГРЭ-РГ-DEC по Бакинской декларации </w:t>
            </w:r>
            <w:r w:rsidRPr="00BD1DB7">
              <w:t>(</w:t>
            </w:r>
            <w:hyperlink r:id="rId22" w:history="1">
              <w:r w:rsidRPr="00BD1DB7">
                <w:rPr>
                  <w:rStyle w:val="Hyperlink"/>
                  <w:szCs w:val="24"/>
                </w:rPr>
                <w:t>TDAG-WG-DEC/14</w:t>
              </w:r>
            </w:hyperlink>
            <w:r w:rsidRPr="00BD1DB7">
              <w:rPr>
                <w:szCs w:val="24"/>
              </w:rPr>
              <w:t xml:space="preserve">, </w:t>
            </w:r>
            <w:r w:rsidRPr="00132DFF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132DF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апреля </w:t>
            </w:r>
            <w:r w:rsidRPr="00132DFF">
              <w:rPr>
                <w:szCs w:val="24"/>
              </w:rPr>
              <w:t>2025 г</w:t>
            </w:r>
            <w:r w:rsidR="00254025">
              <w:rPr>
                <w:szCs w:val="24"/>
              </w:rPr>
              <w:t>.</w:t>
            </w:r>
            <w:r w:rsidRPr="00132DFF">
              <w:t>)</w:t>
            </w:r>
          </w:p>
          <w:p w14:paraId="2E08183A" w14:textId="7D57F4CC" w:rsidR="00C96B2C" w:rsidRPr="00132DFF" w:rsidRDefault="00C96B2C" w:rsidP="00B555D6">
            <w:pPr>
              <w:pStyle w:val="enumlev1"/>
              <w:spacing w:after="80"/>
            </w:pPr>
            <w:r w:rsidRPr="00132DFF">
              <w:sym w:font="Symbol" w:char="F02D"/>
            </w:r>
            <w:r w:rsidRPr="00132DFF">
              <w:tab/>
            </w:r>
            <w:hyperlink r:id="rId23" w:history="1">
              <w:r w:rsidRPr="00132DFF">
                <w:rPr>
                  <w:rStyle w:val="Hyperlink"/>
                </w:rPr>
                <w:t>Веб-сайт КГРЭ-РГ-DEC</w:t>
              </w:r>
            </w:hyperlink>
          </w:p>
        </w:tc>
      </w:tr>
    </w:tbl>
    <w:bookmarkEnd w:id="8"/>
    <w:bookmarkEnd w:id="9"/>
    <w:p w14:paraId="65A1EE9D" w14:textId="16582839" w:rsidR="00C96B2C" w:rsidRPr="00132DFF" w:rsidRDefault="006870DE" w:rsidP="006870DE">
      <w:pPr>
        <w:pStyle w:val="Heading1"/>
      </w:pPr>
      <w:r w:rsidRPr="00132DFF">
        <w:lastRenderedPageBreak/>
        <w:t>1</w:t>
      </w:r>
      <w:r w:rsidRPr="00132DFF">
        <w:tab/>
      </w:r>
      <w:r w:rsidR="00C96B2C" w:rsidRPr="00132DFF">
        <w:t>Введение</w:t>
      </w:r>
    </w:p>
    <w:p w14:paraId="104BF719" w14:textId="4F5007B4" w:rsidR="00C96B2C" w:rsidRPr="00132DFF" w:rsidRDefault="00C96B2C" w:rsidP="00CF7BA4">
      <w:r w:rsidRPr="00132DFF">
        <w:t xml:space="preserve">Рабочая группа КГРЭ по Декларации (КГРЭ-РГ-DEC) была создана во время </w:t>
      </w:r>
      <w:hyperlink r:id="rId24" w:history="1">
        <w:r w:rsidRPr="00132DFF">
          <w:rPr>
            <w:rStyle w:val="Hyperlink"/>
            <w:rFonts w:cs="Calibri"/>
            <w:bCs/>
            <w:szCs w:val="24"/>
          </w:rPr>
          <w:t>КГРЭ-24</w:t>
        </w:r>
      </w:hyperlink>
      <w:r w:rsidRPr="00132DFF">
        <w:t xml:space="preserve"> (20</w:t>
      </w:r>
      <w:r w:rsidR="00132DFF" w:rsidRPr="00132DFF">
        <w:sym w:font="Symbol" w:char="F02D"/>
      </w:r>
      <w:r w:rsidRPr="00132DFF">
        <w:t>23</w:t>
      </w:r>
      <w:r w:rsidR="00132DFF" w:rsidRPr="00132DFF">
        <w:t> </w:t>
      </w:r>
      <w:r w:rsidRPr="00132DFF">
        <w:t>мая</w:t>
      </w:r>
      <w:r w:rsidR="00132DFF" w:rsidRPr="00132DFF">
        <w:t> </w:t>
      </w:r>
      <w:r w:rsidRPr="00132DFF">
        <w:t>2024</w:t>
      </w:r>
      <w:r w:rsidR="00132DFF" w:rsidRPr="00132DFF">
        <w:t> </w:t>
      </w:r>
      <w:r w:rsidRPr="00132DFF">
        <w:t>г</w:t>
      </w:r>
      <w:r w:rsidR="00FD3323">
        <w:t>.</w:t>
      </w:r>
      <w:r w:rsidRPr="00132DFF">
        <w:t>). Председателем этой Группы был назначен г-н Абдулкарим Олойеде от Нигерии, а заместителями Председателя – г-н Ахмед Абд Эль-Азиз от Египта и г-жа Ке Ван от Китая.</w:t>
      </w:r>
    </w:p>
    <w:p w14:paraId="4D532970" w14:textId="5E112DDB" w:rsidR="00C96B2C" w:rsidRPr="00132DFF" w:rsidRDefault="00C96B2C" w:rsidP="00CF7BA4">
      <w:r w:rsidRPr="00132DFF">
        <w:t xml:space="preserve">КГРЭ-РГ-DEC была поручена задача "предложить отдельные элементы и дать рекомендации членам МСЭ в отношении будущего проекта Декларации" Всемирной конференции по развитию электросвязи 2025 года (ВКРЭ-25) (Документ </w:t>
      </w:r>
      <w:hyperlink r:id="rId25" w:history="1">
        <w:r w:rsidRPr="00132DFF">
          <w:rPr>
            <w:rStyle w:val="Hyperlink"/>
          </w:rPr>
          <w:t>TDAG-24/DT/4</w:t>
        </w:r>
      </w:hyperlink>
      <w:r w:rsidRPr="00132DFF">
        <w:t>). КГРЭ-РГ-DEC была открыта для всех Государств – Членов МСЭ и Членов Сектора развития электросвязи МСЭ (МСЭ-D). Итоговый документ</w:t>
      </w:r>
      <w:r w:rsidR="00132DFF" w:rsidRPr="00132DFF">
        <w:t> </w:t>
      </w:r>
      <w:r w:rsidRPr="00132DFF">
        <w:t>КГРЭ-РГ-DEC будет служить для членов исходным материалом для принятия во внимание при разработке Декларации ВКРЭ-25 в ходе подготовки к Конференции и во время ее проведения.</w:t>
      </w:r>
    </w:p>
    <w:p w14:paraId="0A697FBD" w14:textId="1BC701A7" w:rsidR="00C96B2C" w:rsidRPr="00132DFF" w:rsidRDefault="00C96B2C" w:rsidP="00CF7BA4">
      <w:r w:rsidRPr="00132DFF">
        <w:t xml:space="preserve">КГРЭ-РГ-DEC провела </w:t>
      </w:r>
      <w:r w:rsidR="00705B44">
        <w:t>четыре</w:t>
      </w:r>
      <w:r w:rsidRPr="00132DFF">
        <w:t xml:space="preserve"> собрания в период с декабря 2024 года по </w:t>
      </w:r>
      <w:r w:rsidR="00705B44">
        <w:t xml:space="preserve">апрель </w:t>
      </w:r>
      <w:r w:rsidRPr="00132DFF">
        <w:t xml:space="preserve">2025 года. Отчеты об отдельных собраниях размещены на </w:t>
      </w:r>
      <w:hyperlink r:id="rId26" w:anchor="/ru" w:history="1">
        <w:r w:rsidRPr="00132DFF">
          <w:rPr>
            <w:rStyle w:val="Hyperlink"/>
            <w:rFonts w:cs="Calibri"/>
            <w:bCs/>
            <w:szCs w:val="24"/>
          </w:rPr>
          <w:t>веб</w:t>
        </w:r>
        <w:r w:rsidR="006870DE" w:rsidRPr="00132DFF">
          <w:rPr>
            <w:rStyle w:val="Hyperlink"/>
            <w:rFonts w:cs="Calibri"/>
            <w:bCs/>
            <w:szCs w:val="24"/>
          </w:rPr>
          <w:t>­</w:t>
        </w:r>
        <w:r w:rsidRPr="00132DFF">
          <w:rPr>
            <w:rStyle w:val="Hyperlink"/>
            <w:rFonts w:cs="Calibri"/>
            <w:bCs/>
            <w:szCs w:val="24"/>
          </w:rPr>
          <w:t>сайте Группы</w:t>
        </w:r>
      </w:hyperlink>
      <w:r w:rsidRPr="00132DFF">
        <w:t>.</w:t>
      </w:r>
    </w:p>
    <w:p w14:paraId="0C56252B" w14:textId="24F10A4C" w:rsidR="00C96B2C" w:rsidRPr="00132DFF" w:rsidRDefault="006870DE" w:rsidP="006870DE">
      <w:pPr>
        <w:pStyle w:val="Heading1"/>
        <w:rPr>
          <w:b w:val="0"/>
          <w:bCs/>
        </w:rPr>
      </w:pPr>
      <w:r w:rsidRPr="00132DFF">
        <w:t>2</w:t>
      </w:r>
      <w:r w:rsidRPr="00132DFF">
        <w:tab/>
      </w:r>
      <w:r w:rsidR="00C96B2C" w:rsidRPr="00132DFF">
        <w:t>Подход</w:t>
      </w:r>
      <w:r w:rsidR="00C96B2C" w:rsidRPr="00132DFF">
        <w:rPr>
          <w:bCs/>
        </w:rPr>
        <w:t xml:space="preserve"> и процесс разработки предложенного Председателем проекта Декларации ВКРЭ-25</w:t>
      </w:r>
    </w:p>
    <w:p w14:paraId="5FDC9C3D" w14:textId="09F66868" w:rsidR="00C96B2C" w:rsidRPr="00132DFF" w:rsidRDefault="00C96B2C" w:rsidP="00CF7BA4">
      <w:r w:rsidRPr="00132DFF">
        <w:t>На протяжении всей своей работы КГРЭ-РГ-DEC обеспечивала тесную координацию действий по ключевым темам, связанным с подготовкой Декларации, особенно с Рабочей группой КГРЭ по приоритетам МСЭ-D (КГРЭ-РГ-ITUDP).</w:t>
      </w:r>
    </w:p>
    <w:p w14:paraId="2D62C427" w14:textId="4D1016A7" w:rsidR="00C96B2C" w:rsidRPr="00132DFF" w:rsidRDefault="00C96B2C" w:rsidP="00CF7BA4">
      <w:r w:rsidRPr="00132DFF">
        <w:t>На своем первом собрании Группа решила сохранить структуру, аналогичную структуре Кигалийской декларации; Декларация должна быть лаконичной и простой, содержать четкие и практически ориентированные формулировки, а также охватывать как проблемы глобального цифрового развития, так и возможные решения.</w:t>
      </w:r>
    </w:p>
    <w:p w14:paraId="410BC68A" w14:textId="317B11B2" w:rsidR="00C96B2C" w:rsidRPr="00132DFF" w:rsidRDefault="00C96B2C" w:rsidP="00CF7BA4">
      <w:pPr>
        <w:rPr>
          <w:rFonts w:cstheme="minorHAnsi"/>
          <w:szCs w:val="24"/>
        </w:rPr>
      </w:pPr>
      <w:r w:rsidRPr="00132DFF">
        <w:rPr>
          <w:rFonts w:cstheme="minorHAnsi"/>
          <w:szCs w:val="24"/>
        </w:rPr>
        <w:t>Основываясь на обсуждениях, которые состоялись на первом собрании КГРЭ-РГ-DEC, и на неофициальных консультациях, Председатель представил второму собранию предложение по названию Декларации ("Универсальная и реальная возможность установления соединений</w:t>
      </w:r>
      <w:r w:rsidR="00CF7BA4" w:rsidRPr="00132DFF">
        <w:rPr>
          <w:rFonts w:cstheme="minorHAnsi"/>
          <w:szCs w:val="24"/>
        </w:rPr>
        <w:t> </w:t>
      </w:r>
      <w:r w:rsidRPr="00132DFF">
        <w:rPr>
          <w:rFonts w:cstheme="minorHAnsi"/>
          <w:szCs w:val="24"/>
        </w:rPr>
        <w:t>для</w:t>
      </w:r>
      <w:r w:rsidR="00CF7BA4" w:rsidRPr="00132DFF">
        <w:rPr>
          <w:rFonts w:cstheme="minorHAnsi"/>
          <w:szCs w:val="24"/>
        </w:rPr>
        <w:t> </w:t>
      </w:r>
      <w:r w:rsidRPr="00132DFF">
        <w:rPr>
          <w:rFonts w:cstheme="minorHAnsi"/>
          <w:szCs w:val="24"/>
        </w:rPr>
        <w:t>справедливого цифрового будущего"), что нашло свое отражение в Документе</w:t>
      </w:r>
      <w:r w:rsidR="00CF7BA4" w:rsidRPr="00132DFF">
        <w:rPr>
          <w:rFonts w:cstheme="minorHAnsi"/>
          <w:szCs w:val="24"/>
        </w:rPr>
        <w:t> </w:t>
      </w:r>
      <w:hyperlink r:id="rId27" w:history="1">
        <w:r w:rsidRPr="00132DFF">
          <w:rPr>
            <w:rStyle w:val="Hyperlink"/>
            <w:rFonts w:cstheme="minorHAnsi"/>
            <w:szCs w:val="24"/>
          </w:rPr>
          <w:t>TDAG</w:t>
        </w:r>
        <w:r w:rsidR="00CF7BA4" w:rsidRPr="00132DFF">
          <w:rPr>
            <w:rStyle w:val="Hyperlink"/>
            <w:rFonts w:cstheme="minorHAnsi"/>
            <w:szCs w:val="24"/>
          </w:rPr>
          <w:t>­</w:t>
        </w:r>
        <w:r w:rsidRPr="00132DFF">
          <w:rPr>
            <w:rStyle w:val="Hyperlink"/>
            <w:rFonts w:cstheme="minorHAnsi"/>
            <w:szCs w:val="24"/>
          </w:rPr>
          <w:t>WGDEC/4(Rev.1)</w:t>
        </w:r>
      </w:hyperlink>
      <w:r w:rsidRPr="00132DFF">
        <w:rPr>
          <w:rFonts w:cstheme="minorHAnsi"/>
          <w:szCs w:val="24"/>
        </w:rPr>
        <w:t>. После обсуждений на втором собрании Группа решила изменить название Декларации на следующее: "</w:t>
      </w:r>
      <w:bookmarkStart w:id="10" w:name="_Hlk197433197"/>
      <w:r w:rsidRPr="00132DFF">
        <w:rPr>
          <w:rFonts w:cstheme="minorHAnsi"/>
          <w:szCs w:val="24"/>
        </w:rPr>
        <w:t>Универсальная и реальная возможность установления приемлемых в ценовом отношении соединений в интересах инклюзивного и устойчивого цифрового будущего</w:t>
      </w:r>
      <w:bookmarkEnd w:id="10"/>
      <w:r w:rsidRPr="00132DFF">
        <w:rPr>
          <w:rFonts w:cstheme="minorHAnsi"/>
          <w:szCs w:val="24"/>
        </w:rPr>
        <w:t>". Представители некоторых Государств-Членов высказались в пользу более короткого названия, тогда как другие предпочли бы, чтобы оно было более всеохватывающим.</w:t>
      </w:r>
    </w:p>
    <w:p w14:paraId="7BCC62B6" w14:textId="18259C82" w:rsidR="00C96B2C" w:rsidRPr="00132DFF" w:rsidRDefault="00C96B2C" w:rsidP="00CF7BA4">
      <w:pPr>
        <w:rPr>
          <w:rFonts w:cstheme="minorHAnsi"/>
          <w:szCs w:val="24"/>
        </w:rPr>
      </w:pPr>
      <w:r w:rsidRPr="00132DFF">
        <w:t xml:space="preserve">Также в ходе второго собрания Группы Председатель КГРЭ-РГ-DEC представил проект аннотированного плана Бакинской декларации (Документ </w:t>
      </w:r>
      <w:hyperlink r:id="rId28" w:history="1">
        <w:r w:rsidRPr="00132DFF">
          <w:rPr>
            <w:rStyle w:val="Hyperlink"/>
          </w:rPr>
          <w:t>TDAG-WG-DEC/4(Rev.1)</w:t>
        </w:r>
      </w:hyperlink>
      <w:r w:rsidRPr="00132DFF">
        <w:t>), состоящий из четырех основных разделов (Введение ("Мы заявляем"), "Мы обязуемся" и Призыв к действиям), с тем чтобы активизировать обсуждение структуры и возможных тем Декларации. Он также подчеркнул главную идею и аргументацию, которые легли в основу этого документа, пояснив, что отправной точкой при составлении проекта плана стало первоначальное изложение тем Кигалийской декларации, а также новые и появляющиеся темы, представленные в Документе</w:t>
      </w:r>
      <w:r w:rsidR="00CF7BA4" w:rsidRPr="00132DFF">
        <w:t> </w:t>
      </w:r>
      <w:hyperlink r:id="rId29" w:history="1">
        <w:r w:rsidRPr="00132DFF">
          <w:rPr>
            <w:rStyle w:val="Hyperlink"/>
          </w:rPr>
          <w:t>TDAG</w:t>
        </w:r>
        <w:r w:rsidR="00CF7BA4" w:rsidRPr="00132DFF">
          <w:rPr>
            <w:rStyle w:val="Hyperlink"/>
          </w:rPr>
          <w:t>­</w:t>
        </w:r>
        <w:r w:rsidRPr="00132DFF">
          <w:rPr>
            <w:rStyle w:val="Hyperlink"/>
          </w:rPr>
          <w:t>WG</w:t>
        </w:r>
        <w:r w:rsidR="00CF7BA4" w:rsidRPr="00132DFF">
          <w:rPr>
            <w:rStyle w:val="Hyperlink"/>
          </w:rPr>
          <w:t>­</w:t>
        </w:r>
        <w:r w:rsidRPr="00132DFF">
          <w:rPr>
            <w:rStyle w:val="Hyperlink"/>
          </w:rPr>
          <w:t>DEC/INF/1</w:t>
        </w:r>
      </w:hyperlink>
      <w:r w:rsidRPr="00132DFF">
        <w:t>.</w:t>
      </w:r>
    </w:p>
    <w:p w14:paraId="239E515A" w14:textId="77777777" w:rsidR="00705B44" w:rsidRDefault="00C96B2C" w:rsidP="00CF7BA4">
      <w:pPr>
        <w:rPr>
          <w:rFonts w:cstheme="minorHAnsi"/>
          <w:szCs w:val="24"/>
        </w:rPr>
      </w:pPr>
      <w:r w:rsidRPr="00132DFF">
        <w:rPr>
          <w:rFonts w:cstheme="minorHAnsi"/>
          <w:szCs w:val="24"/>
        </w:rPr>
        <w:t xml:space="preserve">Основываясь на отзывах, полученных во время второго собрания КГРЭ-РГ-DEC, Председатель подготовил и представил первоначальное предложение по содержанию Бакинской декларации на </w:t>
      </w:r>
      <w:r w:rsidRPr="00132DFF">
        <w:rPr>
          <w:rFonts w:cstheme="minorHAnsi"/>
          <w:szCs w:val="24"/>
        </w:rPr>
        <w:lastRenderedPageBreak/>
        <w:t xml:space="preserve">третьем собрании (Документ </w:t>
      </w:r>
      <w:hyperlink r:id="rId30" w:history="1">
        <w:r w:rsidRPr="00132DFF">
          <w:rPr>
            <w:rStyle w:val="Hyperlink"/>
            <w:rFonts w:cstheme="minorHAnsi"/>
            <w:szCs w:val="24"/>
          </w:rPr>
          <w:t>TDAG-WG-DEC/9</w:t>
        </w:r>
      </w:hyperlink>
      <w:r w:rsidRPr="00132DFF">
        <w:rPr>
          <w:rFonts w:cstheme="minorHAnsi"/>
          <w:szCs w:val="24"/>
        </w:rPr>
        <w:t xml:space="preserve">), предложив Группе внести свой вклад и отметив при этом замечания общего характера и предлагаемые изменения. </w:t>
      </w:r>
    </w:p>
    <w:p w14:paraId="6AF3E45D" w14:textId="627AFF3A" w:rsidR="00C96B2C" w:rsidRDefault="00C96B2C" w:rsidP="00CF7BA4">
      <w:pPr>
        <w:rPr>
          <w:rFonts w:cstheme="minorHAnsi"/>
          <w:szCs w:val="24"/>
        </w:rPr>
      </w:pPr>
      <w:r w:rsidRPr="00132DFF">
        <w:rPr>
          <w:rFonts w:cstheme="minorHAnsi"/>
          <w:szCs w:val="24"/>
        </w:rPr>
        <w:t xml:space="preserve">На основе обсуждения по существу Председатель подготовил пересмотренный </w:t>
      </w:r>
      <w:r w:rsidR="00705B44">
        <w:rPr>
          <w:rFonts w:cstheme="minorHAnsi"/>
          <w:szCs w:val="24"/>
        </w:rPr>
        <w:t xml:space="preserve">и аннотированный </w:t>
      </w:r>
      <w:r w:rsidRPr="00132DFF">
        <w:rPr>
          <w:rFonts w:cstheme="minorHAnsi"/>
          <w:szCs w:val="24"/>
        </w:rPr>
        <w:t>проект предложения (Документ</w:t>
      </w:r>
      <w:r w:rsidR="00CF7BA4" w:rsidRPr="00132DFF">
        <w:rPr>
          <w:rFonts w:cstheme="minorHAnsi"/>
          <w:szCs w:val="24"/>
        </w:rPr>
        <w:t> </w:t>
      </w:r>
      <w:hyperlink r:id="rId31" w:history="1">
        <w:r w:rsidRPr="00132DFF">
          <w:rPr>
            <w:rStyle w:val="Hyperlink"/>
            <w:rFonts w:cstheme="minorHAnsi"/>
            <w:szCs w:val="24"/>
          </w:rPr>
          <w:t>TDAG-WG-DEC/12</w:t>
        </w:r>
      </w:hyperlink>
      <w:r w:rsidRPr="00132DFF">
        <w:rPr>
          <w:rFonts w:cstheme="minorHAnsi"/>
          <w:szCs w:val="24"/>
        </w:rPr>
        <w:t xml:space="preserve">) </w:t>
      </w:r>
      <w:r w:rsidR="00705B44">
        <w:rPr>
          <w:rFonts w:cstheme="minorHAnsi"/>
          <w:szCs w:val="24"/>
        </w:rPr>
        <w:t xml:space="preserve">для обсуждения </w:t>
      </w:r>
      <w:r w:rsidRPr="00132DFF">
        <w:rPr>
          <w:rFonts w:cstheme="minorHAnsi"/>
          <w:szCs w:val="24"/>
        </w:rPr>
        <w:t>на четвертом собрании Группы.</w:t>
      </w:r>
    </w:p>
    <w:p w14:paraId="2C90F9A3" w14:textId="61D19E3B" w:rsidR="00705B44" w:rsidRPr="00132DFF" w:rsidRDefault="00705B44" w:rsidP="00CF7BA4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В ходе </w:t>
      </w:r>
      <w:r w:rsidRPr="00132DFF">
        <w:rPr>
          <w:rFonts w:cstheme="minorHAnsi"/>
          <w:szCs w:val="24"/>
        </w:rPr>
        <w:t>четверто</w:t>
      </w:r>
      <w:r>
        <w:rPr>
          <w:rFonts w:cstheme="minorHAnsi"/>
          <w:szCs w:val="24"/>
        </w:rPr>
        <w:t>го</w:t>
      </w:r>
      <w:r w:rsidRPr="00132DFF">
        <w:rPr>
          <w:rFonts w:cstheme="minorHAnsi"/>
          <w:szCs w:val="24"/>
        </w:rPr>
        <w:t xml:space="preserve"> собрани</w:t>
      </w:r>
      <w:r>
        <w:rPr>
          <w:rFonts w:cstheme="minorHAnsi"/>
          <w:szCs w:val="24"/>
        </w:rPr>
        <w:t>я</w:t>
      </w:r>
      <w:r w:rsidRPr="00132DFF">
        <w:rPr>
          <w:rFonts w:cstheme="minorHAnsi"/>
          <w:szCs w:val="24"/>
        </w:rPr>
        <w:t xml:space="preserve"> Группы</w:t>
      </w:r>
      <w:r>
        <w:rPr>
          <w:rFonts w:cstheme="minorHAnsi"/>
          <w:szCs w:val="24"/>
        </w:rPr>
        <w:t xml:space="preserve"> </w:t>
      </w:r>
      <w:r w:rsidRPr="00705B44">
        <w:rPr>
          <w:rFonts w:cstheme="minorHAnsi"/>
          <w:szCs w:val="24"/>
        </w:rPr>
        <w:t xml:space="preserve">были внесены дополнительные </w:t>
      </w:r>
      <w:r>
        <w:rPr>
          <w:rFonts w:cstheme="minorHAnsi"/>
          <w:szCs w:val="24"/>
        </w:rPr>
        <w:t>изменения</w:t>
      </w:r>
      <w:r w:rsidRPr="00705B44">
        <w:rPr>
          <w:rFonts w:cstheme="minorHAnsi"/>
          <w:szCs w:val="24"/>
        </w:rPr>
        <w:t xml:space="preserve">, и был опубликован второй пересмотренный проект предложения для обсуждения на пятом собрании Группы, которое состоится в ходе КГРЭ-25 (Приложение 1, ниже, и Документ </w:t>
      </w:r>
      <w:hyperlink r:id="rId32" w:history="1">
        <w:r w:rsidRPr="00B07DE0">
          <w:rPr>
            <w:rStyle w:val="Hyperlink"/>
            <w:rFonts w:cstheme="minorHAnsi"/>
            <w:szCs w:val="24"/>
          </w:rPr>
          <w:t>TDAG-WG-DEC/14</w:t>
        </w:r>
      </w:hyperlink>
      <w:r w:rsidRPr="00B07DE0">
        <w:rPr>
          <w:rFonts w:cstheme="minorHAnsi"/>
          <w:szCs w:val="24"/>
        </w:rPr>
        <w:t>)</w:t>
      </w:r>
      <w:r>
        <w:rPr>
          <w:rFonts w:cstheme="minorHAnsi"/>
          <w:szCs w:val="24"/>
        </w:rPr>
        <w:t>.</w:t>
      </w:r>
    </w:p>
    <w:p w14:paraId="298CB48E" w14:textId="7D6B9942" w:rsidR="00C96B2C" w:rsidRPr="00132DFF" w:rsidRDefault="006870DE" w:rsidP="006870DE">
      <w:pPr>
        <w:pStyle w:val="Heading1"/>
      </w:pPr>
      <w:r w:rsidRPr="00132DFF">
        <w:t>3</w:t>
      </w:r>
      <w:r w:rsidRPr="00132DFF">
        <w:tab/>
      </w:r>
      <w:r w:rsidR="00C96B2C" w:rsidRPr="00132DFF">
        <w:t>Консультации и дальнейшие шаги</w:t>
      </w:r>
    </w:p>
    <w:p w14:paraId="15F76D4D" w14:textId="7D9372C5" w:rsidR="00C96B2C" w:rsidRPr="00132DFF" w:rsidRDefault="00C96B2C" w:rsidP="00CF7BA4">
      <w:r w:rsidRPr="00132DFF">
        <w:t>Региональным организациям электросвязи было предложено представлять отчеты о ходе работы по подготовке к ВКРЭ-25 на каждом собрании Группы.</w:t>
      </w:r>
    </w:p>
    <w:p w14:paraId="5028E1E9" w14:textId="1CA6FC82" w:rsidR="00C96B2C" w:rsidRPr="00132DFF" w:rsidRDefault="00C96B2C" w:rsidP="00CF7BA4">
      <w:r w:rsidRPr="00132DFF">
        <w:t>В рамках подготовки к ВКРЭ-25 Председатель КГРЭ-РГ-DEC представил отчеты о ходе работы Группы региональным подготовительным собраниям (РПС).</w:t>
      </w:r>
    </w:p>
    <w:p w14:paraId="4B6F97A9" w14:textId="4867F4DD" w:rsidR="00C96B2C" w:rsidRPr="00132DFF" w:rsidRDefault="00C96B2C" w:rsidP="00CF7BA4">
      <w:r w:rsidRPr="00132DFF">
        <w:t xml:space="preserve">Следующее собрание КГРЭ-РГ-DEC состоится </w:t>
      </w:r>
      <w:r w:rsidR="00705B44">
        <w:t xml:space="preserve">во время собрания КГРЭ </w:t>
      </w:r>
      <w:r w:rsidRPr="00132DFF">
        <w:t>в</w:t>
      </w:r>
      <w:r w:rsidR="00705B44">
        <w:t xml:space="preserve"> среду, 14 мая, с</w:t>
      </w:r>
      <w:r w:rsidR="00953F33">
        <w:t> </w:t>
      </w:r>
      <w:r w:rsidR="00705B44">
        <w:t>17</w:t>
      </w:r>
      <w:r w:rsidR="00953F33">
        <w:t> </w:t>
      </w:r>
      <w:r w:rsidR="00705B44">
        <w:t>час.</w:t>
      </w:r>
      <w:r w:rsidR="00953F33">
        <w:t> </w:t>
      </w:r>
      <w:r w:rsidR="00705B44">
        <w:t>40 мин. до 19 час. 30 мин</w:t>
      </w:r>
      <w:r w:rsidRPr="00132DFF">
        <w:t>.</w:t>
      </w:r>
    </w:p>
    <w:p w14:paraId="131A1D71" w14:textId="4B147ECF" w:rsidR="00C96B2C" w:rsidRPr="00132DFF" w:rsidRDefault="00C96B2C" w:rsidP="00CF7BA4">
      <w:pPr>
        <w:rPr>
          <w:rFonts w:cstheme="minorHAnsi"/>
          <w:szCs w:val="24"/>
        </w:rPr>
      </w:pPr>
      <w:r w:rsidRPr="00132DFF">
        <w:t>Окончательный вариант содержания, согласованный КГРЭ-РГ-DEC на ее заключительном собрании, будет представлен для дальнейшего рассмотрения КГРЭ-25 и препровождения в качестве</w:t>
      </w:r>
      <w:r w:rsidRPr="00132DFF">
        <w:rPr>
          <w:rFonts w:cstheme="minorHAnsi"/>
          <w:szCs w:val="24"/>
        </w:rPr>
        <w:t xml:space="preserve"> вклада</w:t>
      </w:r>
      <w:r w:rsidR="00CF7BA4" w:rsidRPr="00132DFF">
        <w:rPr>
          <w:rFonts w:cstheme="minorHAnsi"/>
          <w:szCs w:val="24"/>
        </w:rPr>
        <w:t> </w:t>
      </w:r>
      <w:r w:rsidRPr="00132DFF">
        <w:rPr>
          <w:rFonts w:cstheme="minorHAnsi"/>
          <w:szCs w:val="24"/>
        </w:rPr>
        <w:t>ВКРЭ-25.</w:t>
      </w:r>
    </w:p>
    <w:p w14:paraId="6BE832DE" w14:textId="77777777" w:rsidR="00C96B2C" w:rsidRPr="00132DFF" w:rsidRDefault="00C96B2C" w:rsidP="00C96B2C">
      <w:pPr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</w:rPr>
      </w:pPr>
      <w:r w:rsidRPr="00132DFF">
        <w:rPr>
          <w:rFonts w:cstheme="minorHAnsi"/>
          <w:szCs w:val="24"/>
        </w:rPr>
        <w:br w:type="page"/>
      </w:r>
    </w:p>
    <w:p w14:paraId="45F45F0A" w14:textId="77777777" w:rsidR="00C96B2C" w:rsidRPr="00132DFF" w:rsidRDefault="00C96B2C" w:rsidP="00CF7BA4">
      <w:pPr>
        <w:pStyle w:val="AnnexNo"/>
      </w:pPr>
      <w:r w:rsidRPr="00132DFF">
        <w:lastRenderedPageBreak/>
        <w:t>ПРИЛОЖЕНИЕ 1</w:t>
      </w:r>
    </w:p>
    <w:p w14:paraId="4AEEEE28" w14:textId="601DBF77" w:rsidR="00C96B2C" w:rsidRPr="00132DFF" w:rsidRDefault="00C96B2C" w:rsidP="00CF7BA4">
      <w:pPr>
        <w:pStyle w:val="Annextitle"/>
      </w:pPr>
      <w:r w:rsidRPr="00132DFF">
        <w:t>ПРОЕКТ ПРЕДЛОЖЕНИЯ ПРЕДСЕДАТЕЛЯ КГРЭ-РГ-DEC В ОТНОШЕНИИ БАКИНСКОЙ</w:t>
      </w:r>
      <w:r w:rsidR="00132DFF" w:rsidRPr="00132DFF">
        <w:t> </w:t>
      </w:r>
      <w:r w:rsidRPr="00132DFF">
        <w:t>ДЕКЛАРАЦИИ 2025 ГОДА</w:t>
      </w:r>
    </w:p>
    <w:p w14:paraId="08559B14" w14:textId="77777777" w:rsidR="00C96B2C" w:rsidRPr="00132DFF" w:rsidRDefault="00C96B2C" w:rsidP="00CF7BA4">
      <w:r w:rsidRPr="00132DFF">
        <w:t>Мы, представители Государств – Членов МСЭ, поддерживаем настоящую Декларацию на девятой Всемирной конференции по развитию электросвязи (ВКРЭ-25), состоявшейся в Баку, Азербайджанская Республика, с 17 по 28 ноября 2025 года, по теме "Универсальная и реальная возможность установления приемлемых в ценовом отношении соединений в интересах инклюзивного и устойчивого цифрового будущего".</w:t>
      </w:r>
    </w:p>
    <w:p w14:paraId="572B01D1" w14:textId="5A3C8636" w:rsidR="00C96B2C" w:rsidRPr="00132DFF" w:rsidRDefault="00C96B2C" w:rsidP="00CF7BA4">
      <w:r w:rsidRPr="00132DFF">
        <w:t>Мы подтверждаем нашу непоколебимую приверженность глобальному сообществу в области развития и достижению нашей общей цели, которая заключается в стимулировании устойчивой и справедливой цифровой трансформации и всеобъемлющего роста во всем мире на основе решений ВКРЭ-25 и недавних процессов и конференций Организации Объединенных Наций, а также Повестки</w:t>
      </w:r>
      <w:r w:rsidR="00132DFF" w:rsidRPr="00132DFF">
        <w:t> </w:t>
      </w:r>
      <w:r w:rsidRPr="00132DFF">
        <w:t>дня в области устойчивого развития на период до 2030 года и Целей в области устойчивого</w:t>
      </w:r>
      <w:r w:rsidR="00132DFF" w:rsidRPr="00132DFF">
        <w:t> </w:t>
      </w:r>
      <w:r w:rsidRPr="00132DFF">
        <w:t>развития</w:t>
      </w:r>
      <w:r w:rsidR="00CF7BA4" w:rsidRPr="00132DFF">
        <w:t> </w:t>
      </w:r>
      <w:r w:rsidRPr="00132DFF">
        <w:t>(ЦУР).</w:t>
      </w:r>
    </w:p>
    <w:p w14:paraId="27F18791" w14:textId="68EE33FC" w:rsidR="00C96B2C" w:rsidRPr="00132DFF" w:rsidRDefault="00C96B2C" w:rsidP="00CF7BA4">
      <w:r w:rsidRPr="00132DFF">
        <w:t>Мы признаем колоссальный прогресс, достигнутый в продвижении ИКТ и цифрового развития во всех регионах; вместе с тем сохраняющиеся проблемы и диспропорции по-прежнему препятствуют универсальной и реальной возможности установления приемлемых в ценовом отношении соединений</w:t>
      </w:r>
      <w:r w:rsidR="001804D4">
        <w:t xml:space="preserve"> как внутри стран, так и между странами</w:t>
      </w:r>
      <w:r w:rsidRPr="00132DFF">
        <w:t>, в особенности в развивающихся странах</w:t>
      </w:r>
      <w:r w:rsidR="001804D4">
        <w:t>, н</w:t>
      </w:r>
      <w:r w:rsidR="001804D4" w:rsidRPr="001804D4">
        <w:t>аименее развитых странах (НРС), развивающихся странах, не имеющих выхода к морю (ЛЛДС), и малых островных развивающихся государствах (СИДС)</w:t>
      </w:r>
      <w:r w:rsidRPr="00132DFF">
        <w:t>. Таким образом, мы по-прежнему стремимся решать эти вопросы путем расширения международного сотрудничества и дальнейшего участия в работе Сектора развития электросвязи МСЭ.</w:t>
      </w:r>
    </w:p>
    <w:p w14:paraId="77EA9AF1" w14:textId="18829748" w:rsidR="00C96B2C" w:rsidRPr="00132DFF" w:rsidRDefault="00C96B2C" w:rsidP="00CF7BA4">
      <w:r w:rsidRPr="00132DFF">
        <w:t>Принимая во внимание проблемы и возможности цифровой трансформации, мы заявляем</w:t>
      </w:r>
      <w:r w:rsidR="00CF7BA4" w:rsidRPr="00132DFF">
        <w:t> </w:t>
      </w:r>
      <w:r w:rsidRPr="00132DFF">
        <w:t xml:space="preserve">следующее: </w:t>
      </w:r>
    </w:p>
    <w:p w14:paraId="7E470483" w14:textId="6633D158" w:rsidR="00C96B2C" w:rsidRPr="00132DFF" w:rsidRDefault="00CF7BA4" w:rsidP="00CF7BA4">
      <w:pPr>
        <w:pStyle w:val="enumlev1"/>
      </w:pPr>
      <w:r w:rsidRPr="00132DFF">
        <w:rPr>
          <w:color w:val="0070C0"/>
        </w:rPr>
        <w:t>i</w:t>
      </w:r>
      <w:r w:rsidRPr="00132DFF">
        <w:tab/>
      </w:r>
      <w:r w:rsidR="00C96B2C" w:rsidRPr="00132DFF">
        <w:rPr>
          <w:b/>
          <w:bCs/>
        </w:rPr>
        <w:t>Мы сознаем, что электросвязь/ИКТ, новые и появляющиеся технологии являются движущими силами экономического процветания и устойчивого развития в национальных, региональных и глобальных цифровых экосистемах. Универсальная и реальная возможность установления соединений является важнейшим приоритетом для достижения всех ЦУР</w:t>
      </w:r>
      <w:r w:rsidR="00C96B2C" w:rsidRPr="00132DFF">
        <w:t>. Сети, платформы, инструменты, данные и цифровые инновации создают возможности для совершенствования управления, поддержки предпринимательства и повышения качества жизни. Охват молодежи цифровыми технологиями имеет особенно важное значение с точки зрения раскрытия возможностей для обучения и гражданского участия, а также для подготовки молодежи к будущему трудоустройству в рамках цифровой экономики.</w:t>
      </w:r>
    </w:p>
    <w:p w14:paraId="05850443" w14:textId="3BA0C1F0" w:rsidR="00C96B2C" w:rsidRPr="00132DFF" w:rsidRDefault="00CF7BA4" w:rsidP="00CF7BA4">
      <w:pPr>
        <w:pStyle w:val="enumlev1"/>
      </w:pPr>
      <w:r w:rsidRPr="00132DFF">
        <w:rPr>
          <w:color w:val="0070C0"/>
        </w:rPr>
        <w:t>ii</w:t>
      </w:r>
      <w:r w:rsidRPr="00132DFF">
        <w:rPr>
          <w:b/>
          <w:bCs/>
        </w:rPr>
        <w:tab/>
      </w:r>
      <w:r w:rsidR="00C96B2C" w:rsidRPr="00132DFF">
        <w:rPr>
          <w:b/>
          <w:bCs/>
        </w:rPr>
        <w:t>Мы глубоко обеспокоены тем, что цифровой мир остается недоступным для одной трети населения планеты</w:t>
      </w:r>
      <w:r w:rsidR="00C96B2C" w:rsidRPr="00132DFF">
        <w:t xml:space="preserve"> и что доля тех, </w:t>
      </w:r>
      <w:r w:rsidR="001804D4">
        <w:t>кто</w:t>
      </w:r>
      <w:r w:rsidR="001804D4" w:rsidRPr="001804D4">
        <w:t xml:space="preserve"> все еще не имеют доступа в интернет</w:t>
      </w:r>
      <w:r w:rsidR="00C96B2C" w:rsidRPr="00132DFF">
        <w:t>, непропорционально велика в развивающихся странах, включая НРС</w:t>
      </w:r>
      <w:r w:rsidR="001804D4">
        <w:t>, ЛЛДС и СИДС</w:t>
      </w:r>
      <w:r w:rsidR="00C96B2C" w:rsidRPr="00132DFF">
        <w:t>. Цифровые разрывы, такие как ограниченный доступ к сетям широкополосной связи, сохраняются в сельских районах, в различных группах населения, отличающихся друг от друга по уровню дохода, гендерному признаку и возрасту, а также в уязвимых группах, таких как лица с ограниченными возможностями.</w:t>
      </w:r>
      <w:r w:rsidR="001804D4" w:rsidRPr="001804D4">
        <w:t xml:space="preserve"> </w:t>
      </w:r>
      <w:r w:rsidR="001804D4" w:rsidRPr="00430F60">
        <w:t>Среди тех, кто охвачен сетями широкополосной связи, существует значительный "разрыв в использовании", обусловленный такими барьерами, как ограниченная приемлемость в ценовом отношении и доступность цифровых услуг и устройств</w:t>
      </w:r>
      <w:r w:rsidR="00430F60" w:rsidRPr="00430F60">
        <w:t xml:space="preserve"> с выходом в интернет</w:t>
      </w:r>
      <w:r w:rsidR="001804D4" w:rsidRPr="00430F60">
        <w:t xml:space="preserve">, </w:t>
      </w:r>
      <w:r w:rsidR="00430F60" w:rsidRPr="00430F60">
        <w:t xml:space="preserve">недостаточные </w:t>
      </w:r>
      <w:r w:rsidR="001804D4" w:rsidRPr="00430F60">
        <w:t xml:space="preserve">цифровые навыки и </w:t>
      </w:r>
      <w:r w:rsidR="00430F60" w:rsidRPr="00430F60">
        <w:t xml:space="preserve">трудности с обеспечением </w:t>
      </w:r>
      <w:r w:rsidR="001804D4" w:rsidRPr="00430F60">
        <w:t>надежн</w:t>
      </w:r>
      <w:r w:rsidR="00430F60" w:rsidRPr="00430F60">
        <w:t>ой</w:t>
      </w:r>
      <w:r w:rsidR="001804D4" w:rsidRPr="00430F60">
        <w:t>, безопасн</w:t>
      </w:r>
      <w:r w:rsidR="00430F60" w:rsidRPr="00430F60">
        <w:t>ой и защищенной</w:t>
      </w:r>
      <w:r w:rsidR="001804D4" w:rsidRPr="00430F60">
        <w:t xml:space="preserve"> онлайнов</w:t>
      </w:r>
      <w:r w:rsidR="00430F60" w:rsidRPr="00430F60">
        <w:t>ой</w:t>
      </w:r>
      <w:r w:rsidR="001804D4" w:rsidRPr="00430F60">
        <w:t xml:space="preserve"> работ</w:t>
      </w:r>
      <w:r w:rsidR="00430F60" w:rsidRPr="00430F60">
        <w:t>ы</w:t>
      </w:r>
      <w:r w:rsidR="001804D4" w:rsidRPr="00430F60">
        <w:t>.</w:t>
      </w:r>
    </w:p>
    <w:p w14:paraId="5B013CC1" w14:textId="1341ABC2" w:rsidR="00C96B2C" w:rsidRPr="00132DFF" w:rsidRDefault="00CF7BA4" w:rsidP="00CF7BA4">
      <w:pPr>
        <w:pStyle w:val="enumlev1"/>
      </w:pPr>
      <w:r w:rsidRPr="00132DFF">
        <w:rPr>
          <w:color w:val="0070C0"/>
        </w:rPr>
        <w:lastRenderedPageBreak/>
        <w:t>iii</w:t>
      </w:r>
      <w:r w:rsidRPr="00132DFF">
        <w:tab/>
      </w:r>
      <w:r w:rsidR="00C96B2C" w:rsidRPr="00132DFF">
        <w:rPr>
          <w:b/>
          <w:bCs/>
        </w:rPr>
        <w:t>Мы признаем, что на фоне глобальных вызовов стремительное развитие технологий открывает беспрецедентные возможности для формирования экономической и экологической устойчивости</w:t>
      </w:r>
      <w:r w:rsidR="00C96B2C" w:rsidRPr="00132DFF">
        <w:t>. Изменение климата, стихийные бедствия, экономические спады, проблемы энергетического перехода и перебои с поставками оказывают неблагоприятное воздействие, которое чрезмерно сказывается на развивающихся странах, особенно НРС, ЛЛДС и СИДС. Эти проблемы могут препятствовать инклюзивной и устойчивой цифровой трансформации, способствуя дальнейшему углублению неравенства.</w:t>
      </w:r>
    </w:p>
    <w:p w14:paraId="59849DB7" w14:textId="0F165902" w:rsidR="00C96B2C" w:rsidRPr="00132DFF" w:rsidRDefault="00CF7BA4" w:rsidP="00CF7BA4">
      <w:pPr>
        <w:pStyle w:val="enumlev1"/>
      </w:pPr>
      <w:r w:rsidRPr="00132DFF">
        <w:rPr>
          <w:color w:val="0070C0"/>
        </w:rPr>
        <w:t>iv</w:t>
      </w:r>
      <w:r w:rsidRPr="00132DFF">
        <w:tab/>
      </w:r>
      <w:r w:rsidR="00C96B2C" w:rsidRPr="00132DFF">
        <w:t xml:space="preserve">Руководствуясь принципами коллективной ответственности, солидарности и справедливости, </w:t>
      </w:r>
      <w:r w:rsidR="00C96B2C" w:rsidRPr="00132DFF">
        <w:rPr>
          <w:b/>
          <w:bCs/>
        </w:rPr>
        <w:t>мы настоятельно призываем к принятию многосторонних стимулирующих мер на основе сотрудничества</w:t>
      </w:r>
      <w:r w:rsidR="00C96B2C" w:rsidRPr="00132DFF">
        <w:t xml:space="preserve"> между правительствами, частным сектором, академическими организациями, гражданским обществом и другими соответствующими заинтересованными сторонами как на региональном, так и на глобальном уровнях для увеличения воздействия партнерств и помощи в области развития и достижения наших общих целей.</w:t>
      </w:r>
    </w:p>
    <w:p w14:paraId="4FA35B02" w14:textId="5966DE95" w:rsidR="00C96B2C" w:rsidRPr="00132DFF" w:rsidRDefault="00CF7BA4" w:rsidP="00CF7BA4">
      <w:pPr>
        <w:pStyle w:val="enumlev1"/>
      </w:pPr>
      <w:r w:rsidRPr="00132DFF">
        <w:rPr>
          <w:color w:val="0070C0"/>
        </w:rPr>
        <w:t>v</w:t>
      </w:r>
      <w:r w:rsidRPr="00132DFF">
        <w:rPr>
          <w:b/>
          <w:bCs/>
        </w:rPr>
        <w:tab/>
      </w:r>
      <w:r w:rsidR="00C96B2C" w:rsidRPr="00132DFF">
        <w:rPr>
          <w:b/>
          <w:bCs/>
        </w:rPr>
        <w:t>Мы вновь подтверждаем важность того, чтобы на пути к цифровой трансформации никто не был забыт.</w:t>
      </w:r>
      <w:r w:rsidR="00C96B2C" w:rsidRPr="00132DFF">
        <w:t xml:space="preserve"> Поэтому необходимо безотлагательно и систематически решать вопросы обеспечения равенства и добиваться равных возможностей для всех, способствуя при этом широкому охвату цифровыми технологиями с помощью комплексной и адаптивной политики и целевых экосистемных инициатив.</w:t>
      </w:r>
    </w:p>
    <w:p w14:paraId="48E73A49" w14:textId="6A91A7C2" w:rsidR="00C96B2C" w:rsidRPr="00254025" w:rsidRDefault="00C96B2C" w:rsidP="00C96B2C">
      <w:pPr>
        <w:spacing w:after="120"/>
        <w:rPr>
          <w:rFonts w:cstheme="minorHAnsi"/>
          <w:szCs w:val="24"/>
        </w:rPr>
      </w:pPr>
      <w:r w:rsidRPr="00132DFF">
        <w:rPr>
          <w:rFonts w:cstheme="minorHAnsi"/>
          <w:szCs w:val="24"/>
        </w:rPr>
        <w:t>Закладывая основу для согласованных коллективных действий в течение цикла развития 2026</w:t>
      </w:r>
      <w:r w:rsidR="00132DFF" w:rsidRPr="00132DFF">
        <w:rPr>
          <w:rFonts w:cstheme="minorHAnsi"/>
          <w:szCs w:val="24"/>
        </w:rPr>
        <w:sym w:font="Symbol" w:char="F02D"/>
      </w:r>
      <w:r w:rsidRPr="00132DFF">
        <w:rPr>
          <w:rFonts w:cstheme="minorHAnsi"/>
          <w:szCs w:val="24"/>
        </w:rPr>
        <w:t>2029</w:t>
      </w:r>
      <w:r w:rsidR="00132DFF" w:rsidRPr="00132DFF">
        <w:rPr>
          <w:rFonts w:cstheme="minorHAnsi"/>
          <w:szCs w:val="24"/>
        </w:rPr>
        <w:t> </w:t>
      </w:r>
      <w:r w:rsidRPr="00132DFF">
        <w:rPr>
          <w:rFonts w:cstheme="minorHAnsi"/>
          <w:szCs w:val="24"/>
        </w:rPr>
        <w:t>годов, мы берем на себя следующие обязательства:</w:t>
      </w:r>
    </w:p>
    <w:p w14:paraId="69B3E533" w14:textId="0BC44006" w:rsidR="00C96B2C" w:rsidRPr="00132DFF" w:rsidRDefault="00CF7BA4" w:rsidP="00CF7BA4">
      <w:pPr>
        <w:pStyle w:val="enumlev1"/>
      </w:pPr>
      <w:r w:rsidRPr="00132DFF">
        <w:rPr>
          <w:color w:val="0070C0"/>
        </w:rPr>
        <w:t>1</w:t>
      </w:r>
      <w:r w:rsidRPr="00132DFF">
        <w:tab/>
      </w:r>
      <w:r w:rsidR="00C96B2C" w:rsidRPr="00132DFF">
        <w:rPr>
          <w:b/>
          <w:bCs/>
        </w:rPr>
        <w:t xml:space="preserve">Мы будем поддерживать развитие универсальной и реальной возможности установления соединений, которая включает доступные, приемлемые в ценовом отношении, высококачественные, </w:t>
      </w:r>
      <w:r w:rsidR="00430F60">
        <w:rPr>
          <w:b/>
          <w:bCs/>
        </w:rPr>
        <w:t xml:space="preserve">устойчивые, </w:t>
      </w:r>
      <w:r w:rsidR="00C96B2C" w:rsidRPr="00132DFF">
        <w:rPr>
          <w:b/>
          <w:bCs/>
        </w:rPr>
        <w:t>функционально совместимые</w:t>
      </w:r>
      <w:r w:rsidR="00430F60">
        <w:rPr>
          <w:b/>
          <w:bCs/>
        </w:rPr>
        <w:t>,</w:t>
      </w:r>
      <w:r w:rsidR="00C96B2C" w:rsidRPr="00132DFF">
        <w:rPr>
          <w:b/>
          <w:bCs/>
        </w:rPr>
        <w:t xml:space="preserve"> безопасные </w:t>
      </w:r>
      <w:r w:rsidR="00430F60">
        <w:rPr>
          <w:b/>
          <w:bCs/>
        </w:rPr>
        <w:t xml:space="preserve">и защищенные </w:t>
      </w:r>
      <w:r w:rsidR="00C96B2C" w:rsidRPr="00132DFF">
        <w:rPr>
          <w:b/>
          <w:bCs/>
        </w:rPr>
        <w:t xml:space="preserve">элементы инфраструктуры электросвязи/ИКТ и цифровой инфраструктуры, устройства, услуги и приложения. </w:t>
      </w:r>
      <w:r w:rsidR="00C96B2C" w:rsidRPr="00430F60">
        <w:t>Создание обширной энергетической и цифровой инфраструктуры, например для высокоскоростных волоконно-оптических магистральных сетей и решений по установлению соединений на последней миле, с использованием сочетания различных технологий, имеет решающее значение для преодоления разрывов в развитии. Надежная инфраструктура способствует достижению эффекта масштаба</w:t>
      </w:r>
      <w:r w:rsidR="00430F60">
        <w:t>,</w:t>
      </w:r>
      <w:r w:rsidR="00C96B2C" w:rsidRPr="00430F60">
        <w:t xml:space="preserve"> появлению новых возможностей</w:t>
      </w:r>
      <w:r w:rsidR="00430F60">
        <w:t xml:space="preserve"> и устойчивому</w:t>
      </w:r>
      <w:r w:rsidR="00C96B2C" w:rsidRPr="00430F60">
        <w:t xml:space="preserve"> развити</w:t>
      </w:r>
      <w:r w:rsidR="00430F60">
        <w:t>ю</w:t>
      </w:r>
      <w:r w:rsidR="00C96B2C" w:rsidRPr="00430F60">
        <w:t xml:space="preserve">. Помимо экономических выгод, цифровая инфраструктура общего пользования и цифровые общественные блага являются </w:t>
      </w:r>
      <w:r w:rsidR="00430F60">
        <w:t xml:space="preserve">среди прочего </w:t>
      </w:r>
      <w:r w:rsidR="00C96B2C" w:rsidRPr="00430F60">
        <w:t>стратегической инвестицией, которая создает положительные побочные эффекты в обществе в таких областях, как образование, здравоохранение, гендерное равенство и интеграция</w:t>
      </w:r>
      <w:r w:rsidR="00C96B2C" w:rsidRPr="00132DFF">
        <w:t>.</w:t>
      </w:r>
    </w:p>
    <w:p w14:paraId="356CB7D6" w14:textId="5E73B8CD" w:rsidR="00C96B2C" w:rsidRPr="00132DFF" w:rsidRDefault="00C96B2C" w:rsidP="00CF7BA4">
      <w:pPr>
        <w:overflowPunct/>
        <w:autoSpaceDE/>
        <w:autoSpaceDN/>
        <w:adjustRightInd/>
        <w:spacing w:after="120"/>
        <w:ind w:left="1134"/>
        <w:textAlignment w:val="auto"/>
        <w:rPr>
          <w:rFonts w:cstheme="minorHAnsi"/>
          <w:szCs w:val="24"/>
        </w:rPr>
      </w:pPr>
      <w:r w:rsidRPr="00132DFF">
        <w:rPr>
          <w:rFonts w:cstheme="minorHAnsi"/>
          <w:b/>
          <w:bCs/>
          <w:szCs w:val="24"/>
        </w:rPr>
        <w:t>Мы подчеркиваем важность инвестиций и финансирования проектов в области экологически устойчивой инфраструктуры, электронных отходов и циркуляционной экономики, чистой и возобновляемой энергии и "зеленых" технологий</w:t>
      </w:r>
      <w:r w:rsidRPr="00132DFF">
        <w:rPr>
          <w:rFonts w:cstheme="minorHAnsi"/>
          <w:szCs w:val="24"/>
        </w:rPr>
        <w:t xml:space="preserve"> для поддержки инклюзивного долгосрочного экономического роста при одновременном сокращении выбросов углерода, повышении энергетической безопасности и использовании цифровых технологий. Эти усилия, подкрепленные надежным сбором и мониторингом данных, будут играть определенную роль в смягчении последствий изменения климата, адаптации и климатоустойчивом цифровом развитии. Более того, </w:t>
      </w:r>
      <w:r w:rsidRPr="00132DFF">
        <w:rPr>
          <w:rFonts w:cstheme="minorHAnsi"/>
          <w:b/>
          <w:bCs/>
          <w:szCs w:val="24"/>
        </w:rPr>
        <w:t>мы считаем, что хорошо интегрированный многоканальный подход к связи в чрезвычайных ситуациях</w:t>
      </w:r>
      <w:r w:rsidRPr="00132DFF">
        <w:rPr>
          <w:rFonts w:cstheme="minorHAnsi"/>
          <w:szCs w:val="24"/>
        </w:rPr>
        <w:t>, включая мобильные системы раннего предупреждения, имеет важное значение для обеспечения того, чтобы универсальная возможность установления соединений обеспечивала эффективный и своевременный охват всех людей, подвергающихся риску стихийных бедствий.</w:t>
      </w:r>
    </w:p>
    <w:p w14:paraId="26D54C35" w14:textId="31A1A465" w:rsidR="00C96B2C" w:rsidRPr="00132DFF" w:rsidRDefault="00CF7BA4" w:rsidP="00CF7BA4">
      <w:pPr>
        <w:pStyle w:val="enumlev1"/>
        <w:rPr>
          <w:rFonts w:cstheme="minorHAnsi"/>
          <w:szCs w:val="24"/>
        </w:rPr>
      </w:pPr>
      <w:r w:rsidRPr="00132DFF">
        <w:rPr>
          <w:b/>
          <w:bCs/>
          <w:color w:val="0070C0"/>
        </w:rPr>
        <w:lastRenderedPageBreak/>
        <w:t>2</w:t>
      </w:r>
      <w:r w:rsidRPr="00132DFF">
        <w:rPr>
          <w:b/>
          <w:bCs/>
        </w:rPr>
        <w:tab/>
      </w:r>
      <w:r w:rsidR="00C96B2C" w:rsidRPr="00132DFF">
        <w:rPr>
          <w:b/>
          <w:bCs/>
        </w:rPr>
        <w:t xml:space="preserve">Мы призываем все заинтересованные стороны принять ориентированные на </w:t>
      </w:r>
      <w:r w:rsidR="0079014D">
        <w:rPr>
          <w:b/>
          <w:bCs/>
        </w:rPr>
        <w:t>человека</w:t>
      </w:r>
      <w:r w:rsidR="00C96B2C" w:rsidRPr="00132DFF">
        <w:rPr>
          <w:b/>
          <w:bCs/>
        </w:rPr>
        <w:t>, учитывающие существующие риски и этичные подходы к цифровой трансформации и появляющимся технологиям</w:t>
      </w:r>
      <w:r w:rsidR="00C96B2C" w:rsidRPr="00132DFF">
        <w:t xml:space="preserve">. Мы будем выступать за разработку адаптивных и </w:t>
      </w:r>
      <w:r w:rsidR="0079014D">
        <w:t>оптимальных</w:t>
      </w:r>
      <w:r w:rsidR="00C96B2C" w:rsidRPr="00132DFF">
        <w:t xml:space="preserve"> структур для рынков ИКТ, цифровых технологий и управления появляющимися технологиями. Цифровая трансформация требует новых, равных условий деятельности, увеличения инвестиционных потоков, а также наличия рамок для ответственного и устойчивого развития появляющихся</w:t>
      </w:r>
      <w:r w:rsidR="0079014D">
        <w:t>, наземных</w:t>
      </w:r>
      <w:r w:rsidR="00C96B2C" w:rsidRPr="00132DFF">
        <w:t xml:space="preserve"> и космических технологий. Для адекватного практического реагирования на стремительные технологические преобразования требуются укрепление институционального потенциала, гибкое управление на основе сотрудничества и широкое внедрение принципа принятия решений на основе фактических данных.</w:t>
      </w:r>
    </w:p>
    <w:p w14:paraId="5FD96152" w14:textId="5A1F4F43" w:rsidR="00C96B2C" w:rsidRPr="00132DFF" w:rsidRDefault="00C96B2C" w:rsidP="00CF7BA4">
      <w:pPr>
        <w:overflowPunct/>
        <w:autoSpaceDE/>
        <w:autoSpaceDN/>
        <w:adjustRightInd/>
        <w:spacing w:after="120"/>
        <w:ind w:left="1134"/>
        <w:textAlignment w:val="auto"/>
        <w:rPr>
          <w:rFonts w:cstheme="minorHAnsi"/>
          <w:szCs w:val="24"/>
        </w:rPr>
      </w:pPr>
      <w:r w:rsidRPr="00132DFF">
        <w:rPr>
          <w:rFonts w:cstheme="minorHAnsi"/>
          <w:szCs w:val="24"/>
        </w:rPr>
        <w:t>Для укрепления национальн</w:t>
      </w:r>
      <w:r w:rsidR="0079014D">
        <w:rPr>
          <w:rFonts w:cstheme="minorHAnsi"/>
          <w:szCs w:val="24"/>
        </w:rPr>
        <w:t>ых основ</w:t>
      </w:r>
      <w:r w:rsidRPr="00132DFF">
        <w:rPr>
          <w:rFonts w:cstheme="minorHAnsi"/>
          <w:szCs w:val="24"/>
        </w:rPr>
        <w:t xml:space="preserve"> </w:t>
      </w:r>
      <w:r w:rsidR="0079014D" w:rsidRPr="0079014D">
        <w:rPr>
          <w:rFonts w:cstheme="minorHAnsi"/>
          <w:szCs w:val="24"/>
        </w:rPr>
        <w:t>политик</w:t>
      </w:r>
      <w:r w:rsidR="0079014D">
        <w:rPr>
          <w:rFonts w:cstheme="minorHAnsi"/>
          <w:szCs w:val="24"/>
        </w:rPr>
        <w:t>и,</w:t>
      </w:r>
      <w:r w:rsidR="0079014D" w:rsidRPr="0079014D">
        <w:rPr>
          <w:rFonts w:cstheme="minorHAnsi"/>
          <w:szCs w:val="24"/>
        </w:rPr>
        <w:t xml:space="preserve"> нормативно-правов</w:t>
      </w:r>
      <w:r w:rsidR="0079014D">
        <w:rPr>
          <w:rFonts w:cstheme="minorHAnsi"/>
          <w:szCs w:val="24"/>
        </w:rPr>
        <w:t>ых</w:t>
      </w:r>
      <w:r w:rsidR="0079014D" w:rsidRPr="0079014D">
        <w:rPr>
          <w:rFonts w:cstheme="minorHAnsi"/>
          <w:szCs w:val="24"/>
        </w:rPr>
        <w:t xml:space="preserve"> баз</w:t>
      </w:r>
      <w:r w:rsidR="0079014D">
        <w:rPr>
          <w:rFonts w:cstheme="minorHAnsi"/>
          <w:szCs w:val="24"/>
        </w:rPr>
        <w:t xml:space="preserve"> и возможностей </w:t>
      </w:r>
      <w:r w:rsidRPr="00132DFF">
        <w:rPr>
          <w:rFonts w:cstheme="minorHAnsi"/>
          <w:szCs w:val="24"/>
        </w:rPr>
        <w:t xml:space="preserve">реализации </w:t>
      </w:r>
      <w:r w:rsidRPr="00132DFF">
        <w:rPr>
          <w:rFonts w:cstheme="minorHAnsi"/>
          <w:b/>
          <w:bCs/>
          <w:szCs w:val="24"/>
        </w:rPr>
        <w:t>мы будем содействовать осуществлению инициатив по наращиванию человеческого и институционального потенциала по всем приоритетам МСЭ-D</w:t>
      </w:r>
      <w:r w:rsidRPr="00132DFF">
        <w:rPr>
          <w:rFonts w:cstheme="minorHAnsi"/>
          <w:szCs w:val="24"/>
        </w:rPr>
        <w:t xml:space="preserve">. </w:t>
      </w:r>
      <w:r w:rsidRPr="00132DFF">
        <w:rPr>
          <w:rFonts w:cstheme="minorHAnsi"/>
          <w:b/>
          <w:bCs/>
          <w:szCs w:val="24"/>
        </w:rPr>
        <w:t>В центре внимания остаются</w:t>
      </w:r>
      <w:r w:rsidRPr="00132DFF">
        <w:rPr>
          <w:rFonts w:cstheme="minorHAnsi"/>
          <w:szCs w:val="24"/>
        </w:rPr>
        <w:t xml:space="preserve"> повышение квалификации правительств</w:t>
      </w:r>
      <w:r w:rsidR="0079014D">
        <w:rPr>
          <w:rFonts w:cstheme="minorHAnsi"/>
          <w:szCs w:val="24"/>
        </w:rPr>
        <w:t>, регуляторных органов</w:t>
      </w:r>
      <w:r w:rsidRPr="00132DFF">
        <w:rPr>
          <w:rFonts w:cstheme="minorHAnsi"/>
          <w:szCs w:val="24"/>
        </w:rPr>
        <w:t xml:space="preserve"> и ключевых национальных и региональных заинтересованных сторон, наращивание национального потенциала данных и статистики в области ИКТ, а также устойчивость в сфере кибербезопасности.</w:t>
      </w:r>
    </w:p>
    <w:p w14:paraId="31777F5A" w14:textId="3216B666" w:rsidR="00C96B2C" w:rsidRPr="00132DFF" w:rsidRDefault="00CF7BA4" w:rsidP="00CF7BA4">
      <w:pPr>
        <w:pStyle w:val="enumlev1"/>
        <w:rPr>
          <w:rFonts w:cstheme="minorHAnsi"/>
          <w:szCs w:val="24"/>
        </w:rPr>
      </w:pPr>
      <w:r w:rsidRPr="00132DFF">
        <w:rPr>
          <w:color w:val="0070C0"/>
        </w:rPr>
        <w:t>3</w:t>
      </w:r>
      <w:r w:rsidRPr="00132DFF">
        <w:tab/>
      </w:r>
      <w:r w:rsidR="00C96B2C" w:rsidRPr="00132DFF">
        <w:rPr>
          <w:b/>
          <w:bCs/>
        </w:rPr>
        <w:t>Мы признаем необходимость ускорения инвестиций в науку, технику и инновации, подтверждая, что экосистемы цифровых инноваций имеют важнейшее значение для оживления экономики, поддержки структурных преобразований и решения важнейших проблем устойчивости</w:t>
      </w:r>
      <w:r w:rsidR="00C96B2C" w:rsidRPr="00132DFF">
        <w:t>. Стратегический подход к созданию благоприятной политической и деловой среды необходим для расширения масштабов цифровых инноваций, предпринимательства и цифровизации экономик. Укрепление потенциала в области цифровых технологий и инноваций во всех отраслях экономики и на всех уровнях государственного управления способно повысить производительность и обеспечить диверсификацию экономики и конкурентоспособность национальных отраслей, содействуя равноправному участию всех стран в глобальной цифровой экономике и достижению ЦУР.</w:t>
      </w:r>
    </w:p>
    <w:p w14:paraId="505D5D23" w14:textId="5DB15B5D" w:rsidR="00C96B2C" w:rsidRPr="00132DFF" w:rsidRDefault="00C96B2C" w:rsidP="00CF7BA4">
      <w:pPr>
        <w:overflowPunct/>
        <w:autoSpaceDE/>
        <w:autoSpaceDN/>
        <w:adjustRightInd/>
        <w:spacing w:after="120"/>
        <w:ind w:left="1134"/>
        <w:textAlignment w:val="auto"/>
        <w:rPr>
          <w:rFonts w:cstheme="minorHAnsi"/>
          <w:szCs w:val="24"/>
        </w:rPr>
      </w:pPr>
      <w:r w:rsidRPr="00132DFF">
        <w:rPr>
          <w:b/>
          <w:bCs/>
        </w:rPr>
        <w:t>Мы обязуемся поддерживать инициативы по развитию цифровых навыков среди различных демографических групп, с тем чтобы все люди обладали способностями, необходимыми для эффективного участия в цифровой экономике,</w:t>
      </w:r>
      <w:r w:rsidRPr="00132DFF">
        <w:t xml:space="preserve"> сокращая неравенство. К таким инициативам могут относиться центры развития цифровых навыков и профессиональная подготовка, специализированные программы по созданию потенциала и инициативы по передаче знаний, помогающие правительствам, компаниям и предпринимателям использовать цифровые технологии и поддерживать создание добавленной стоимости. Можно и далее использовать национальные и региональные центры инноваций в качестве механизмов создания институционального потенциала для исследований, профессиональной подготовки, совместного творчества по конкретным проблемам и инкубации гибких решений правительствами и заинтересованными сторонами экосистемы.</w:t>
      </w:r>
    </w:p>
    <w:p w14:paraId="28CADF75" w14:textId="0EF924E5" w:rsidR="00C96B2C" w:rsidRPr="00132DFF" w:rsidRDefault="00CF7BA4" w:rsidP="00CF7BA4">
      <w:pPr>
        <w:pStyle w:val="enumlev1"/>
        <w:rPr>
          <w:rFonts w:cstheme="minorHAnsi"/>
          <w:szCs w:val="24"/>
        </w:rPr>
      </w:pPr>
      <w:r w:rsidRPr="00132DFF">
        <w:rPr>
          <w:rFonts w:cstheme="minorHAnsi"/>
          <w:color w:val="0070C0"/>
          <w:szCs w:val="24"/>
        </w:rPr>
        <w:t>4</w:t>
      </w:r>
      <w:r w:rsidRPr="00132DFF">
        <w:rPr>
          <w:rFonts w:cstheme="minorHAnsi"/>
          <w:b/>
          <w:bCs/>
          <w:szCs w:val="24"/>
        </w:rPr>
        <w:tab/>
      </w:r>
      <w:r w:rsidR="00C96B2C" w:rsidRPr="00132DFF">
        <w:rPr>
          <w:rFonts w:cstheme="minorHAnsi"/>
          <w:b/>
          <w:bCs/>
          <w:szCs w:val="24"/>
        </w:rPr>
        <w:t>Мы будем добиваться синергии, укреплять сотрудничество и соблюдать существующие обязательства, создавая при этом инклюзивные глобальные и региональные партнерские отношения между государственным и частным секторами, международными финансовыми учреждениями и другими заинтересованными сторонами</w:t>
      </w:r>
      <w:r w:rsidR="00C96B2C" w:rsidRPr="00132DFF">
        <w:rPr>
          <w:rFonts w:cstheme="minorHAnsi"/>
          <w:szCs w:val="24"/>
        </w:rPr>
        <w:t xml:space="preserve"> для объединения ресурсов, знаний и передового опыта различных групп заинтересованных сторон и регионов. </w:t>
      </w:r>
      <w:r w:rsidR="00C96B2C" w:rsidRPr="00132DFF">
        <w:rPr>
          <w:rFonts w:cstheme="minorHAnsi"/>
          <w:b/>
          <w:bCs/>
          <w:szCs w:val="24"/>
        </w:rPr>
        <w:t>Мы будем и далее использовать региональное и международное сотрудничество, сотрудничество по линии Юг-Юг и трехстороннее сотрудничество</w:t>
      </w:r>
      <w:r w:rsidR="00C96B2C" w:rsidRPr="00132DFF">
        <w:rPr>
          <w:rFonts w:cstheme="minorHAnsi"/>
          <w:szCs w:val="24"/>
        </w:rPr>
        <w:t xml:space="preserve"> как средство ускорения темпов и расширения действий в контексте системы развития ООН и деятельности партнеров наряду с инициативами, </w:t>
      </w:r>
      <w:r w:rsidR="00C96B2C" w:rsidRPr="00132DFF">
        <w:rPr>
          <w:rFonts w:cstheme="minorHAnsi"/>
          <w:szCs w:val="24"/>
        </w:rPr>
        <w:lastRenderedPageBreak/>
        <w:t>разработанными и осуществляемыми на национальном уровне и направленными на достижение ЦУР.</w:t>
      </w:r>
    </w:p>
    <w:p w14:paraId="09EB59E2" w14:textId="77777777" w:rsidR="00C96B2C" w:rsidRPr="00132DFF" w:rsidRDefault="00C96B2C" w:rsidP="00CF7BA4">
      <w:pPr>
        <w:overflowPunct/>
        <w:autoSpaceDE/>
        <w:autoSpaceDN/>
        <w:adjustRightInd/>
        <w:spacing w:after="120"/>
        <w:ind w:left="1134"/>
        <w:textAlignment w:val="auto"/>
        <w:rPr>
          <w:rFonts w:cstheme="minorHAnsi"/>
          <w:szCs w:val="24"/>
        </w:rPr>
      </w:pPr>
      <w:r w:rsidRPr="00132DFF">
        <w:rPr>
          <w:rFonts w:cs="MyriadPro-Light"/>
          <w:b/>
          <w:bCs/>
        </w:rPr>
        <w:t>Совместно с региональными организациями электросвязи, ассоциациями регуляторных органов и другими партнерами мы будем поддерживать согласование регуляторных режимов</w:t>
      </w:r>
      <w:r w:rsidRPr="00132DFF">
        <w:rPr>
          <w:rFonts w:cs="MyriadPro-Light"/>
        </w:rPr>
        <w:t xml:space="preserve"> в ключевых областях, способствующих цифровой трансформации, для обеспечения скоординированного реагирования на трансграничные проблемы и расширения возможности установления региональных соединений, интеграции рынков и устойчивой цифровой трансформации.</w:t>
      </w:r>
    </w:p>
    <w:p w14:paraId="24E3E66E" w14:textId="0E06F8C8" w:rsidR="00C96B2C" w:rsidRPr="00132DFF" w:rsidRDefault="00CF7BA4" w:rsidP="00CF7BA4">
      <w:pPr>
        <w:pStyle w:val="enumlev1"/>
        <w:rPr>
          <w:rFonts w:cstheme="minorHAnsi"/>
          <w:szCs w:val="24"/>
        </w:rPr>
      </w:pPr>
      <w:r w:rsidRPr="00132DFF">
        <w:rPr>
          <w:rFonts w:cstheme="minorHAnsi"/>
          <w:color w:val="0070C0"/>
          <w:szCs w:val="24"/>
        </w:rPr>
        <w:t>5</w:t>
      </w:r>
      <w:r w:rsidRPr="00132DFF">
        <w:rPr>
          <w:rFonts w:cstheme="minorHAnsi"/>
          <w:b/>
          <w:bCs/>
          <w:szCs w:val="24"/>
        </w:rPr>
        <w:tab/>
      </w:r>
      <w:r w:rsidR="00C96B2C" w:rsidRPr="00132DFF">
        <w:rPr>
          <w:rFonts w:cstheme="minorHAnsi"/>
          <w:b/>
          <w:bCs/>
          <w:szCs w:val="24"/>
        </w:rPr>
        <w:t>Мы будем стремиться решать особые проблемы, стоящие перед развивающимися странами,</w:t>
      </w:r>
      <w:r w:rsidR="00C96B2C" w:rsidRPr="00132DFF">
        <w:rPr>
          <w:rFonts w:cstheme="minorHAnsi"/>
          <w:szCs w:val="24"/>
        </w:rPr>
        <w:t xml:space="preserve"> в частности перед НРС, ЛЛДС, СИДС и странами с особыми потребностями, путем оказания индивидуальной технической помощи, мобилизации ресурсов, реализации проектов, ориентированных на результаты, и установления контактов.</w:t>
      </w:r>
    </w:p>
    <w:p w14:paraId="560BCDB2" w14:textId="3C82BA18" w:rsidR="00C96B2C" w:rsidRPr="00132DFF" w:rsidRDefault="00C96B2C" w:rsidP="00CF7BA4">
      <w:r w:rsidRPr="00132DFF">
        <w:rPr>
          <w:rFonts w:cstheme="minorHAnsi"/>
          <w:szCs w:val="24"/>
        </w:rPr>
        <w:t>Мы приветствуем постоянные усилия Сектора развития электросвязи МСЭ и его вклад в построение инклюзивного и устойчивого цифрового будущего для всех.</w:t>
      </w:r>
    </w:p>
    <w:p w14:paraId="1DDF074C" w14:textId="6D8DBBCF" w:rsidR="00C96B2C" w:rsidRPr="00132DFF" w:rsidRDefault="00C96B2C" w:rsidP="00CF7BA4">
      <w:r w:rsidRPr="00132DFF">
        <w:rPr>
          <w:rFonts w:cstheme="minorHAnsi"/>
          <w:b/>
          <w:bCs/>
          <w:szCs w:val="24"/>
        </w:rPr>
        <w:t xml:space="preserve">Мы также обязуемся усиливать воздействие работы Сектора для ускорения глобального цифрового развития и призываем Государства-Члены, партнеров в области развития и частный сектор расширять соответствующие программы и инициативы, уделяя при этом первоочередное внимание потребностям развивающихся стран, </w:t>
      </w:r>
      <w:r w:rsidR="0079014D">
        <w:rPr>
          <w:rFonts w:cstheme="minorHAnsi"/>
          <w:b/>
          <w:bCs/>
          <w:szCs w:val="24"/>
        </w:rPr>
        <w:t xml:space="preserve">в особенности НРС, ЛЛДС и СИДС, </w:t>
      </w:r>
      <w:r w:rsidRPr="00132DFF">
        <w:rPr>
          <w:rFonts w:cstheme="minorHAnsi"/>
          <w:b/>
          <w:bCs/>
          <w:szCs w:val="24"/>
        </w:rPr>
        <w:t>в целях полной и быстрой реализации Бакинского плана действий, региональных инициатив и Резолюций ВКРЭ, а также содействия выполнению обязательств Бакинской декларации</w:t>
      </w:r>
      <w:r w:rsidRPr="00132DFF">
        <w:rPr>
          <w:rFonts w:cstheme="minorHAnsi"/>
          <w:szCs w:val="24"/>
        </w:rPr>
        <w:t>.</w:t>
      </w:r>
    </w:p>
    <w:p w14:paraId="22EEA477" w14:textId="77777777" w:rsidR="00CE66E4" w:rsidRPr="00132DFF" w:rsidRDefault="00CE66E4" w:rsidP="003628AE">
      <w:pPr>
        <w:spacing w:before="720"/>
        <w:jc w:val="center"/>
      </w:pPr>
      <w:r w:rsidRPr="00132DFF">
        <w:t>______________</w:t>
      </w:r>
    </w:p>
    <w:sectPr w:rsidR="00CE66E4" w:rsidRPr="00132DFF" w:rsidSect="00CE66E4">
      <w:headerReference w:type="default" r:id="rId33"/>
      <w:footerReference w:type="first" r:id="rId34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2487" w14:textId="77777777" w:rsidR="00166B00" w:rsidRDefault="00166B00">
      <w:r>
        <w:separator/>
      </w:r>
    </w:p>
    <w:p w14:paraId="59F92822" w14:textId="77777777" w:rsidR="00166B00" w:rsidRDefault="00166B00"/>
  </w:endnote>
  <w:endnote w:type="continuationSeparator" w:id="0">
    <w:p w14:paraId="09825D6B" w14:textId="77777777" w:rsidR="00166B00" w:rsidRDefault="00166B00">
      <w:r>
        <w:continuationSeparator/>
      </w:r>
    </w:p>
    <w:p w14:paraId="694675FC" w14:textId="77777777" w:rsidR="00166B00" w:rsidRDefault="00166B00"/>
  </w:endnote>
  <w:endnote w:type="continuationNotice" w:id="1">
    <w:p w14:paraId="7AAA292A" w14:textId="77777777" w:rsidR="00166B00" w:rsidRDefault="00166B00">
      <w:pPr>
        <w:spacing w:before="0"/>
      </w:pPr>
    </w:p>
    <w:p w14:paraId="6CFA24C5" w14:textId="77777777" w:rsidR="00166B00" w:rsidRDefault="00166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F723AC" w:rsidRPr="00365AB0" w14:paraId="35C79B13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3E7F9527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3F89BEB4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2265C873" w14:textId="2FA3D949" w:rsidR="00F723AC" w:rsidRPr="00C96B2C" w:rsidRDefault="00C96B2C" w:rsidP="00F723AC">
          <w:pPr>
            <w:pStyle w:val="First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Г</w:t>
          </w:r>
          <w:r w:rsidRPr="00733A8F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н</w:t>
          </w:r>
          <w:r w:rsidRPr="00733A8F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Абдулкарим</w:t>
          </w:r>
          <w:r w:rsidRPr="00733A8F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Олойеде</w:t>
          </w:r>
          <w:r w:rsidRPr="00733A8F">
            <w:rPr>
              <w:sz w:val="18"/>
              <w:szCs w:val="18"/>
            </w:rPr>
            <w:t xml:space="preserve"> (</w:t>
          </w:r>
          <w:r w:rsidRPr="00155223">
            <w:rPr>
              <w:sz w:val="18"/>
              <w:szCs w:val="18"/>
              <w:lang w:val="en-GB"/>
            </w:rPr>
            <w:t>Mr</w:t>
          </w:r>
          <w:r w:rsidRPr="00733A8F">
            <w:rPr>
              <w:sz w:val="18"/>
              <w:szCs w:val="18"/>
            </w:rPr>
            <w:t xml:space="preserve"> </w:t>
          </w:r>
          <w:r w:rsidRPr="00155223">
            <w:rPr>
              <w:sz w:val="18"/>
              <w:szCs w:val="18"/>
              <w:lang w:val="en-GB"/>
            </w:rPr>
            <w:t>Abdulkarim</w:t>
          </w:r>
          <w:r w:rsidRPr="00733A8F">
            <w:rPr>
              <w:sz w:val="18"/>
              <w:szCs w:val="18"/>
            </w:rPr>
            <w:t xml:space="preserve"> </w:t>
          </w:r>
          <w:r w:rsidRPr="00155223">
            <w:rPr>
              <w:sz w:val="18"/>
              <w:szCs w:val="18"/>
              <w:lang w:val="en-GB"/>
            </w:rPr>
            <w:t>Oloyede</w:t>
          </w:r>
          <w:r w:rsidRPr="00733A8F">
            <w:rPr>
              <w:sz w:val="18"/>
              <w:szCs w:val="18"/>
            </w:rPr>
            <w:t xml:space="preserve">), </w:t>
          </w:r>
          <w:r>
            <w:rPr>
              <w:sz w:val="18"/>
              <w:szCs w:val="18"/>
            </w:rPr>
            <w:t>Председатель</w:t>
          </w:r>
          <w:r w:rsidRPr="00733A8F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Рабочая группа КГРЭ по Декларации</w:t>
          </w:r>
          <w:r w:rsidRPr="00733A8F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Нигерия</w:t>
          </w:r>
        </w:p>
      </w:tc>
      <w:bookmarkStart w:id="11" w:name="OrgName"/>
      <w:bookmarkEnd w:id="11"/>
    </w:tr>
    <w:tr w:rsidR="00F723AC" w:rsidRPr="00365AB0" w14:paraId="48CCD995" w14:textId="77777777" w:rsidTr="005539C3">
      <w:trPr>
        <w:trHeight w:val="165"/>
      </w:trPr>
      <w:tc>
        <w:tcPr>
          <w:tcW w:w="1526" w:type="dxa"/>
        </w:tcPr>
        <w:p w14:paraId="459503B1" w14:textId="77777777" w:rsidR="00F723AC" w:rsidRPr="00C96B2C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00BB6456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3004F236" w14:textId="101D2581" w:rsidR="00F723AC" w:rsidRPr="00365AB0" w:rsidRDefault="00C96B2C" w:rsidP="00F723AC">
          <w:pPr>
            <w:pStyle w:val="First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н. д.</w:t>
          </w:r>
        </w:p>
      </w:tc>
      <w:bookmarkStart w:id="12" w:name="PhoneNo"/>
      <w:bookmarkEnd w:id="12"/>
    </w:tr>
    <w:tr w:rsidR="00F723AC" w:rsidRPr="00365AB0" w14:paraId="68AFD023" w14:textId="77777777" w:rsidTr="005539C3">
      <w:tc>
        <w:tcPr>
          <w:tcW w:w="1526" w:type="dxa"/>
        </w:tcPr>
        <w:p w14:paraId="75C417E8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7ED621A7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77D605F7" w14:textId="7218043C" w:rsidR="00F723AC" w:rsidRPr="00365AB0" w:rsidRDefault="00C96B2C" w:rsidP="00F723AC">
          <w:pPr>
            <w:pStyle w:val="FirstFooter"/>
            <w:rPr>
              <w:sz w:val="18"/>
              <w:szCs w:val="18"/>
            </w:rPr>
          </w:pPr>
          <w:hyperlink r:id="rId1" w:history="1">
            <w:r w:rsidRPr="00155223">
              <w:rPr>
                <w:rStyle w:val="Hyperlink"/>
                <w:sz w:val="18"/>
                <w:szCs w:val="18"/>
                <w:lang w:val="en-GB"/>
              </w:rPr>
              <w:t>oloyede</w:t>
            </w:r>
            <w:r w:rsidRPr="00C96B2C">
              <w:rPr>
                <w:rStyle w:val="Hyperlink"/>
                <w:sz w:val="18"/>
                <w:szCs w:val="18"/>
              </w:rPr>
              <w:t>.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aa</w:t>
            </w:r>
            <w:r w:rsidRPr="00C96B2C">
              <w:rPr>
                <w:rStyle w:val="Hyperlink"/>
                <w:sz w:val="18"/>
                <w:szCs w:val="18"/>
              </w:rPr>
              <w:t>@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unilorin</w:t>
            </w:r>
            <w:r w:rsidRPr="00C96B2C">
              <w:rPr>
                <w:rStyle w:val="Hyperlink"/>
                <w:sz w:val="18"/>
                <w:szCs w:val="18"/>
              </w:rPr>
              <w:t>.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edu</w:t>
            </w:r>
            <w:r w:rsidRPr="00C96B2C">
              <w:rPr>
                <w:rStyle w:val="Hyperlink"/>
                <w:sz w:val="18"/>
                <w:szCs w:val="18"/>
              </w:rPr>
              <w:t>.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ng</w:t>
            </w:r>
          </w:hyperlink>
          <w:r w:rsidRPr="00C96B2C">
            <w:rPr>
              <w:rStyle w:val="Hyperlink"/>
              <w:sz w:val="18"/>
              <w:szCs w:val="18"/>
            </w:rPr>
            <w:t xml:space="preserve">; </w:t>
          </w:r>
          <w:hyperlink r:id="rId2" w:history="1">
            <w:r w:rsidRPr="00155223">
              <w:rPr>
                <w:rStyle w:val="Hyperlink"/>
                <w:sz w:val="18"/>
                <w:szCs w:val="18"/>
                <w:lang w:val="en-GB"/>
              </w:rPr>
              <w:t>TDAG</w:t>
            </w:r>
            <w:r w:rsidRPr="00C96B2C">
              <w:rPr>
                <w:rStyle w:val="Hyperlink"/>
                <w:sz w:val="18"/>
                <w:szCs w:val="18"/>
              </w:rPr>
              <w:t>-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WG</w:t>
            </w:r>
            <w:r w:rsidRPr="00C96B2C">
              <w:rPr>
                <w:rStyle w:val="Hyperlink"/>
                <w:sz w:val="18"/>
                <w:szCs w:val="18"/>
              </w:rPr>
              <w:t>-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DEC</w:t>
            </w:r>
            <w:r w:rsidRPr="00C96B2C">
              <w:rPr>
                <w:rStyle w:val="Hyperlink"/>
                <w:sz w:val="18"/>
                <w:szCs w:val="18"/>
              </w:rPr>
              <w:t>@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lists</w:t>
            </w:r>
            <w:r w:rsidRPr="00C96B2C">
              <w:rPr>
                <w:rStyle w:val="Hyperlink"/>
                <w:sz w:val="18"/>
                <w:szCs w:val="18"/>
              </w:rPr>
              <w:t>.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itu</w:t>
            </w:r>
            <w:r w:rsidRPr="00C96B2C">
              <w:rPr>
                <w:rStyle w:val="Hyperlink"/>
                <w:sz w:val="18"/>
                <w:szCs w:val="18"/>
              </w:rPr>
              <w:t>.</w:t>
            </w:r>
            <w:r w:rsidRPr="00155223">
              <w:rPr>
                <w:rStyle w:val="Hyperlink"/>
                <w:sz w:val="18"/>
                <w:szCs w:val="18"/>
                <w:lang w:val="en-GB"/>
              </w:rPr>
              <w:t>int</w:t>
            </w:r>
          </w:hyperlink>
        </w:p>
      </w:tc>
      <w:bookmarkStart w:id="13" w:name="Email"/>
      <w:bookmarkEnd w:id="13"/>
    </w:tr>
  </w:tbl>
  <w:p w14:paraId="3BD0AED9" w14:textId="77777777" w:rsidR="00F723AC" w:rsidRPr="00C96B2C" w:rsidRDefault="00F72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78B8" w14:textId="77777777" w:rsidR="00166B00" w:rsidRPr="0054377E" w:rsidRDefault="00166B00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4EDB8574" w14:textId="77777777" w:rsidR="00166B00" w:rsidRDefault="00166B00" w:rsidP="0054377E">
      <w:pPr>
        <w:spacing w:before="0"/>
      </w:pPr>
      <w:r>
        <w:continuationSeparator/>
      </w:r>
    </w:p>
    <w:p w14:paraId="569B9286" w14:textId="77777777" w:rsidR="00166B00" w:rsidRDefault="00166B00"/>
  </w:footnote>
  <w:footnote w:type="continuationNotice" w:id="1">
    <w:p w14:paraId="23AB28DC" w14:textId="77777777" w:rsidR="00166B00" w:rsidRDefault="00166B00">
      <w:pPr>
        <w:spacing w:before="0"/>
      </w:pPr>
    </w:p>
    <w:p w14:paraId="784B4381" w14:textId="77777777" w:rsidR="00166B00" w:rsidRDefault="00166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14A" w14:textId="27F96168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3273BC" w:rsidRPr="00CE66E4">
      <w:rPr>
        <w:sz w:val="20"/>
        <w:lang w:val="es-ES_tradnl"/>
      </w:rPr>
      <w:t>5</w:t>
    </w:r>
    <w:r w:rsidRPr="00CE66E4">
      <w:rPr>
        <w:sz w:val="20"/>
        <w:lang w:val="es-ES_tradnl"/>
      </w:rPr>
      <w:t>/</w:t>
    </w:r>
    <w:r w:rsidR="00C96B2C">
      <w:rPr>
        <w:sz w:val="20"/>
      </w:rPr>
      <w:t>18</w:t>
    </w:r>
    <w:r w:rsidR="001804D4">
      <w:rPr>
        <w:sz w:val="20"/>
      </w:rPr>
      <w:t>(</w:t>
    </w:r>
    <w:r w:rsidR="001804D4">
      <w:rPr>
        <w:sz w:val="20"/>
        <w:lang w:val="en-US"/>
      </w:rPr>
      <w:t>Rev.1)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0F86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FF24C5"/>
    <w:multiLevelType w:val="hybridMultilevel"/>
    <w:tmpl w:val="BB4E51A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8234A"/>
    <w:multiLevelType w:val="hybridMultilevel"/>
    <w:tmpl w:val="527A730C"/>
    <w:lvl w:ilvl="0" w:tplc="FBEAE5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C223CFE"/>
    <w:multiLevelType w:val="hybridMultilevel"/>
    <w:tmpl w:val="7E7868F2"/>
    <w:lvl w:ilvl="0" w:tplc="7BE8D23A">
      <w:start w:val="1"/>
      <w:numFmt w:val="lowerRoman"/>
      <w:lvlText w:val="%1."/>
      <w:lvlJc w:val="righ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4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2"/>
  </w:num>
  <w:num w:numId="4" w16cid:durableId="1830174465">
    <w:abstractNumId w:val="4"/>
  </w:num>
  <w:num w:numId="5" w16cid:durableId="1479105461">
    <w:abstractNumId w:val="33"/>
  </w:num>
  <w:num w:numId="6" w16cid:durableId="869954702">
    <w:abstractNumId w:val="40"/>
  </w:num>
  <w:num w:numId="7" w16cid:durableId="444734477">
    <w:abstractNumId w:val="5"/>
  </w:num>
  <w:num w:numId="8" w16cid:durableId="362947223">
    <w:abstractNumId w:val="14"/>
  </w:num>
  <w:num w:numId="9" w16cid:durableId="458111764">
    <w:abstractNumId w:val="7"/>
  </w:num>
  <w:num w:numId="10" w16cid:durableId="1195534353">
    <w:abstractNumId w:val="13"/>
  </w:num>
  <w:num w:numId="11" w16cid:durableId="1826580952">
    <w:abstractNumId w:val="31"/>
  </w:num>
  <w:num w:numId="12" w16cid:durableId="1514690498">
    <w:abstractNumId w:val="39"/>
  </w:num>
  <w:num w:numId="13" w16cid:durableId="1235118698">
    <w:abstractNumId w:val="3"/>
  </w:num>
  <w:num w:numId="14" w16cid:durableId="509291828">
    <w:abstractNumId w:val="6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5"/>
  </w:num>
  <w:num w:numId="18" w16cid:durableId="1354573477">
    <w:abstractNumId w:val="37"/>
  </w:num>
  <w:num w:numId="19" w16cid:durableId="435754545">
    <w:abstractNumId w:val="18"/>
  </w:num>
  <w:num w:numId="20" w16cid:durableId="1066875134">
    <w:abstractNumId w:val="30"/>
  </w:num>
  <w:num w:numId="21" w16cid:durableId="1689939216">
    <w:abstractNumId w:val="29"/>
  </w:num>
  <w:num w:numId="22" w16cid:durableId="1257783837">
    <w:abstractNumId w:val="46"/>
  </w:num>
  <w:num w:numId="23" w16cid:durableId="970285242">
    <w:abstractNumId w:val="25"/>
  </w:num>
  <w:num w:numId="24" w16cid:durableId="1876889861">
    <w:abstractNumId w:val="17"/>
  </w:num>
  <w:num w:numId="25" w16cid:durableId="138228398">
    <w:abstractNumId w:val="22"/>
  </w:num>
  <w:num w:numId="26" w16cid:durableId="1871145006">
    <w:abstractNumId w:val="23"/>
  </w:num>
  <w:num w:numId="27" w16cid:durableId="1946108508">
    <w:abstractNumId w:val="26"/>
  </w:num>
  <w:num w:numId="28" w16cid:durableId="1629045729">
    <w:abstractNumId w:val="11"/>
  </w:num>
  <w:num w:numId="29" w16cid:durableId="2010906637">
    <w:abstractNumId w:val="27"/>
  </w:num>
  <w:num w:numId="30" w16cid:durableId="290525213">
    <w:abstractNumId w:val="44"/>
  </w:num>
  <w:num w:numId="31" w16cid:durableId="191966975">
    <w:abstractNumId w:val="28"/>
  </w:num>
  <w:num w:numId="32" w16cid:durableId="2014406757">
    <w:abstractNumId w:val="35"/>
  </w:num>
  <w:num w:numId="33" w16cid:durableId="648558829">
    <w:abstractNumId w:val="20"/>
  </w:num>
  <w:num w:numId="34" w16cid:durableId="2071807613">
    <w:abstractNumId w:val="10"/>
  </w:num>
  <w:num w:numId="35" w16cid:durableId="271744889">
    <w:abstractNumId w:val="38"/>
  </w:num>
  <w:num w:numId="36" w16cid:durableId="1457527817">
    <w:abstractNumId w:val="24"/>
  </w:num>
  <w:num w:numId="37" w16cid:durableId="10661010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6"/>
  </w:num>
  <w:num w:numId="39" w16cid:durableId="359361948">
    <w:abstractNumId w:val="41"/>
  </w:num>
  <w:num w:numId="40" w16cid:durableId="1037706265">
    <w:abstractNumId w:val="8"/>
  </w:num>
  <w:num w:numId="41" w16cid:durableId="447436251">
    <w:abstractNumId w:val="47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3"/>
  </w:num>
  <w:num w:numId="45" w16cid:durableId="1397433681">
    <w:abstractNumId w:val="19"/>
  </w:num>
  <w:num w:numId="46" w16cid:durableId="2141071662">
    <w:abstractNumId w:val="2"/>
  </w:num>
  <w:num w:numId="47" w16cid:durableId="56980065">
    <w:abstractNumId w:val="21"/>
  </w:num>
  <w:num w:numId="48" w16cid:durableId="8353390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87859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32DFF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6B00"/>
    <w:rsid w:val="00167327"/>
    <w:rsid w:val="00167A9D"/>
    <w:rsid w:val="00170C5A"/>
    <w:rsid w:val="00171758"/>
    <w:rsid w:val="00174C26"/>
    <w:rsid w:val="0017500F"/>
    <w:rsid w:val="00176991"/>
    <w:rsid w:val="00180444"/>
    <w:rsid w:val="001804D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D797A"/>
    <w:rsid w:val="001E0384"/>
    <w:rsid w:val="001E24AF"/>
    <w:rsid w:val="001E252D"/>
    <w:rsid w:val="001E43DC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025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67C0"/>
    <w:rsid w:val="003273BC"/>
    <w:rsid w:val="00331F05"/>
    <w:rsid w:val="00335759"/>
    <w:rsid w:val="00337750"/>
    <w:rsid w:val="0034384D"/>
    <w:rsid w:val="003457B1"/>
    <w:rsid w:val="00345D42"/>
    <w:rsid w:val="00346224"/>
    <w:rsid w:val="0034636C"/>
    <w:rsid w:val="0035089A"/>
    <w:rsid w:val="003511BC"/>
    <w:rsid w:val="00356083"/>
    <w:rsid w:val="00361609"/>
    <w:rsid w:val="003628AE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0F60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27A90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870DE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6326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05B44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014D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1D58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53F33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52B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1633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2B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555D6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6B2C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CF7BA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636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3323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5B7A0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AE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B4AE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B4AE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96B2C"/>
    <w:pPr>
      <w:ind w:left="720"/>
      <w:contextualSpacing/>
    </w:pPr>
    <w:rPr>
      <w:rFonts w:asciiTheme="minorHAnsi" w:eastAsia="Times New Roman" w:hAnsiTheme="minorHAnsi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96B2C"/>
    <w:rPr>
      <w:rFonts w:asciiTheme="minorHAnsi" w:eastAsia="Times New Roman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TDAG.WG.DEC-C-0012/" TargetMode="External"/><Relationship Id="rId18" Type="http://schemas.openxmlformats.org/officeDocument/2006/relationships/hyperlink" Target="https://www.itu.int/md/D22-TDAG.WG.DEC-C-0016/" TargetMode="External"/><Relationship Id="rId26" Type="http://schemas.openxmlformats.org/officeDocument/2006/relationships/hyperlink" Target="https://www.itu.int/en/ITU-D/Conferences/TDAG/Pages/2024/TDAG_WG_DEC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TDAG.WG.DEC-C-0012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meetingdoc.asp?lang=en&amp;parent=D22-TDAG.WG.DEC-C-0010" TargetMode="External"/><Relationship Id="rId25" Type="http://schemas.openxmlformats.org/officeDocument/2006/relationships/hyperlink" Target="https://www.itu.int/md/D22-TDAG31-240520-TD-0004/en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DEC-C-0006/" TargetMode="External"/><Relationship Id="rId20" Type="http://schemas.openxmlformats.org/officeDocument/2006/relationships/hyperlink" Target="https://www.itu.int/md/D22-TDAG.WG.DEC-C-0007/" TargetMode="External"/><Relationship Id="rId29" Type="http://schemas.openxmlformats.org/officeDocument/2006/relationships/hyperlink" Target="https://www.itu.int/md/D22-TDAG.WG.DEC-INF-000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ru/ITU-D/Conferences/TDAG/Pages/2024/default.aspx" TargetMode="External"/><Relationship Id="rId32" Type="http://schemas.openxmlformats.org/officeDocument/2006/relationships/hyperlink" Target="https://www.itu.int/md/D22-TDAG.WG.DEC-C-001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DEC-C-0002/" TargetMode="External"/><Relationship Id="rId23" Type="http://schemas.openxmlformats.org/officeDocument/2006/relationships/hyperlink" Target="https://www.itu.int/en/ITU-D/Conferences/TDAG/Pages/2024/TDAG_WG_DEC.aspx" TargetMode="External"/><Relationship Id="rId28" Type="http://schemas.openxmlformats.org/officeDocument/2006/relationships/hyperlink" Target="https://www.itu.int/md/D22-TDAG.WG.DEC-C-0004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TDAG.WG.DEC-INF-0001/" TargetMode="External"/><Relationship Id="rId31" Type="http://schemas.openxmlformats.org/officeDocument/2006/relationships/hyperlink" Target="https://www.itu.int/md/D22-TDAG.WG.DEC-C-001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31-240520-TD-0004/en" TargetMode="External"/><Relationship Id="rId22" Type="http://schemas.openxmlformats.org/officeDocument/2006/relationships/hyperlink" Target="https://www.itu.int/md/D22-TDAG.WG.DEC-C-0014/" TargetMode="External"/><Relationship Id="rId27" Type="http://schemas.openxmlformats.org/officeDocument/2006/relationships/hyperlink" Target="https://www.itu.int/md/D22-TDAG.WG.DEC-C-0004/" TargetMode="External"/><Relationship Id="rId30" Type="http://schemas.openxmlformats.org/officeDocument/2006/relationships/hyperlink" Target="https://www.itu.int/md/D22-TDAG.WG.DEC-C-0009/en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DAG-WG-DEC@lists.itu.int" TargetMode="External"/><Relationship Id="rId1" Type="http://schemas.openxmlformats.org/officeDocument/2006/relationships/hyperlink" Target="mailto:oloyede.aa@unilori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48061b00bcf7b8aa18151b08dc79302a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38f4693b0e822d0bcf798bdc19be79e5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DF041-F206-404C-A731-7FBC1DCE97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2179</Words>
  <Characters>17375</Characters>
  <Application>Microsoft Office Word</Application>
  <DocSecurity>0</DocSecurity>
  <Lines>144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19515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FE</cp:lastModifiedBy>
  <cp:revision>7</cp:revision>
  <cp:lastPrinted>2019-01-16T07:57:00Z</cp:lastPrinted>
  <dcterms:created xsi:type="dcterms:W3CDTF">2025-05-07T12:37:00Z</dcterms:created>
  <dcterms:modified xsi:type="dcterms:W3CDTF">2025-05-07T14:18:00Z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