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4A3BAB" w:rsidRPr="00403C69" w14:paraId="3539A47E" w14:textId="77777777" w:rsidTr="00AD5682">
        <w:trPr>
          <w:cantSplit/>
          <w:trHeight w:val="1134"/>
        </w:trPr>
        <w:tc>
          <w:tcPr>
            <w:tcW w:w="1985" w:type="dxa"/>
          </w:tcPr>
          <w:p w14:paraId="41DA106D" w14:textId="77777777" w:rsidR="004A3BAB" w:rsidRDefault="004A3BAB" w:rsidP="00AD5682">
            <w:pPr>
              <w:spacing w:after="40"/>
              <w:ind w:left="34"/>
              <w:jc w:val="both"/>
              <w:rPr>
                <w:b/>
                <w:bCs/>
                <w:sz w:val="32"/>
                <w:szCs w:val="32"/>
              </w:rPr>
            </w:pPr>
            <w:r>
              <w:rPr>
                <w:noProof/>
                <w:sz w:val="32"/>
                <w:szCs w:val="32"/>
              </w:rPr>
              <w:drawing>
                <wp:inline distT="0" distB="0" distL="0" distR="0" wp14:anchorId="6A76ECF9" wp14:editId="6BEEEDBD">
                  <wp:extent cx="1080000" cy="946800"/>
                  <wp:effectExtent l="0" t="0" r="6350" b="0"/>
                  <wp:docPr id="19337999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65B4F206" w14:textId="77777777" w:rsidR="004A3BAB" w:rsidRDefault="004A3BAB" w:rsidP="00AD5682">
            <w:pPr>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69B5B482" w14:textId="77777777" w:rsidR="004A3BAB" w:rsidRPr="00403C69" w:rsidRDefault="004A3BAB" w:rsidP="00AD5682">
            <w:pPr>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7ADAC161" w14:textId="77777777" w:rsidR="004A3BAB" w:rsidRPr="00403C69" w:rsidRDefault="004A3BAB" w:rsidP="00AD5682">
            <w:pPr>
              <w:spacing w:before="240" w:after="120"/>
              <w:jc w:val="right"/>
              <w:rPr>
                <w:rFonts w:cstheme="minorHAnsi"/>
              </w:rPr>
            </w:pPr>
            <w:r>
              <w:rPr>
                <w:noProof/>
                <w:lang w:val="fr-FR" w:eastAsia="fr-FR"/>
              </w:rPr>
              <w:drawing>
                <wp:inline distT="0" distB="0" distL="0" distR="0" wp14:anchorId="6B5307CA" wp14:editId="6B5EC066">
                  <wp:extent cx="712470" cy="785495"/>
                  <wp:effectExtent l="0" t="0" r="0" b="0"/>
                  <wp:docPr id="708695399" name="Picture 708695399"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A3BAB" w:rsidRPr="00403C69" w14:paraId="7DFF086C" w14:textId="77777777" w:rsidTr="00AD5682">
        <w:trPr>
          <w:cantSplit/>
        </w:trPr>
        <w:tc>
          <w:tcPr>
            <w:tcW w:w="6663" w:type="dxa"/>
            <w:gridSpan w:val="2"/>
            <w:tcBorders>
              <w:top w:val="single" w:sz="12" w:space="0" w:color="auto"/>
            </w:tcBorders>
          </w:tcPr>
          <w:p w14:paraId="7F685228" w14:textId="77777777" w:rsidR="004A3BAB" w:rsidRPr="00403C69" w:rsidRDefault="004A3BAB" w:rsidP="00AD5682">
            <w:pPr>
              <w:spacing w:before="0" w:after="48" w:line="240" w:lineRule="atLeast"/>
              <w:rPr>
                <w:rFonts w:cstheme="minorHAnsi"/>
                <w:b/>
                <w:smallCaps/>
                <w:sz w:val="20"/>
              </w:rPr>
            </w:pPr>
            <w:bookmarkStart w:id="0" w:name="dhead"/>
          </w:p>
        </w:tc>
        <w:tc>
          <w:tcPr>
            <w:tcW w:w="3368" w:type="dxa"/>
            <w:gridSpan w:val="2"/>
            <w:tcBorders>
              <w:top w:val="single" w:sz="12" w:space="0" w:color="auto"/>
            </w:tcBorders>
          </w:tcPr>
          <w:p w14:paraId="6024C74F" w14:textId="77777777" w:rsidR="004A3BAB" w:rsidRPr="00403C69" w:rsidRDefault="004A3BAB" w:rsidP="00AD5682">
            <w:pPr>
              <w:spacing w:before="0" w:line="240" w:lineRule="atLeast"/>
              <w:rPr>
                <w:rFonts w:cstheme="minorHAnsi"/>
                <w:sz w:val="20"/>
              </w:rPr>
            </w:pPr>
          </w:p>
        </w:tc>
      </w:tr>
      <w:tr w:rsidR="004A3BAB" w:rsidRPr="00403C69" w14:paraId="02B597EB" w14:textId="77777777" w:rsidTr="00AD5682">
        <w:trPr>
          <w:cantSplit/>
          <w:trHeight w:val="23"/>
        </w:trPr>
        <w:tc>
          <w:tcPr>
            <w:tcW w:w="6663" w:type="dxa"/>
            <w:gridSpan w:val="2"/>
            <w:shd w:val="clear" w:color="auto" w:fill="auto"/>
          </w:tcPr>
          <w:p w14:paraId="3BF31890" w14:textId="77777777" w:rsidR="004A3BAB" w:rsidRPr="00403C69" w:rsidRDefault="004A3BAB" w:rsidP="004A3BAB">
            <w:pPr>
              <w:pStyle w:val="Committee"/>
              <w:spacing w:before="0"/>
            </w:pPr>
            <w:bookmarkStart w:id="1" w:name="dnum" w:colFirst="1" w:colLast="1"/>
            <w:bookmarkStart w:id="2" w:name="dmeeting" w:colFirst="0" w:colLast="0"/>
            <w:bookmarkEnd w:id="0"/>
          </w:p>
        </w:tc>
        <w:tc>
          <w:tcPr>
            <w:tcW w:w="3368" w:type="dxa"/>
            <w:gridSpan w:val="2"/>
          </w:tcPr>
          <w:p w14:paraId="78021391" w14:textId="6B8BC9FD" w:rsidR="004A3BAB" w:rsidRPr="00403C69" w:rsidRDefault="004A3BAB" w:rsidP="004A3BAB">
            <w:pPr>
              <w:tabs>
                <w:tab w:val="left" w:pos="851"/>
              </w:tabs>
              <w:spacing w:before="0" w:line="240" w:lineRule="atLeast"/>
              <w:rPr>
                <w:rFonts w:cstheme="minorHAnsi"/>
                <w:szCs w:val="24"/>
              </w:rPr>
            </w:pPr>
            <w:r w:rsidRPr="00403C69">
              <w:rPr>
                <w:b/>
                <w:bCs/>
                <w:lang w:val="en-US"/>
              </w:rPr>
              <w:t>Document TDAG-2</w:t>
            </w:r>
            <w:r>
              <w:rPr>
                <w:b/>
                <w:bCs/>
                <w:lang w:val="en-US"/>
              </w:rPr>
              <w:t>5</w:t>
            </w:r>
            <w:r w:rsidRPr="00403C69">
              <w:rPr>
                <w:b/>
                <w:bCs/>
                <w:lang w:val="en-US"/>
              </w:rPr>
              <w:t>/</w:t>
            </w:r>
            <w:bookmarkStart w:id="3" w:name="DocNo1"/>
            <w:bookmarkEnd w:id="3"/>
            <w:r w:rsidR="00B54454">
              <w:rPr>
                <w:b/>
                <w:bCs/>
                <w:lang w:val="en-US"/>
              </w:rPr>
              <w:t>18</w:t>
            </w:r>
            <w:r w:rsidRPr="00403C69">
              <w:rPr>
                <w:b/>
                <w:bCs/>
                <w:lang w:val="en-US"/>
              </w:rPr>
              <w:t>-E</w:t>
            </w:r>
          </w:p>
        </w:tc>
      </w:tr>
      <w:tr w:rsidR="004A3BAB" w:rsidRPr="00403C69" w14:paraId="688B6CCD" w14:textId="77777777" w:rsidTr="00AD5682">
        <w:trPr>
          <w:cantSplit/>
          <w:trHeight w:val="23"/>
        </w:trPr>
        <w:tc>
          <w:tcPr>
            <w:tcW w:w="6663" w:type="dxa"/>
            <w:gridSpan w:val="2"/>
            <w:shd w:val="clear" w:color="auto" w:fill="auto"/>
          </w:tcPr>
          <w:p w14:paraId="0B91B7C4" w14:textId="77777777" w:rsidR="004A3BAB" w:rsidRPr="00403C69" w:rsidRDefault="004A3BAB" w:rsidP="00AD5682">
            <w:pPr>
              <w:tabs>
                <w:tab w:val="left" w:pos="851"/>
              </w:tabs>
              <w:spacing w:before="0" w:line="240" w:lineRule="atLeast"/>
              <w:rPr>
                <w:rFonts w:cstheme="minorHAnsi"/>
                <w:b/>
                <w:szCs w:val="24"/>
              </w:rPr>
            </w:pPr>
            <w:bookmarkStart w:id="4" w:name="ddate" w:colFirst="1" w:colLast="1"/>
            <w:bookmarkStart w:id="5" w:name="dblank" w:colFirst="0" w:colLast="0"/>
            <w:bookmarkEnd w:id="1"/>
            <w:bookmarkEnd w:id="2"/>
          </w:p>
        </w:tc>
        <w:tc>
          <w:tcPr>
            <w:tcW w:w="3368" w:type="dxa"/>
            <w:gridSpan w:val="2"/>
          </w:tcPr>
          <w:p w14:paraId="70437FD1" w14:textId="5BD590C8" w:rsidR="004A3BAB" w:rsidRPr="00403C69" w:rsidRDefault="004A3BAB" w:rsidP="00AD5682">
            <w:pPr>
              <w:spacing w:before="0" w:line="240" w:lineRule="atLeast"/>
              <w:rPr>
                <w:rFonts w:cstheme="minorHAnsi"/>
                <w:szCs w:val="24"/>
              </w:rPr>
            </w:pPr>
            <w:r>
              <w:rPr>
                <w:b/>
                <w:bCs/>
                <w:szCs w:val="28"/>
              </w:rPr>
              <w:t>24 March 2025</w:t>
            </w:r>
          </w:p>
        </w:tc>
      </w:tr>
      <w:bookmarkEnd w:id="4"/>
      <w:bookmarkEnd w:id="5"/>
      <w:tr w:rsidR="004A3BAB" w:rsidRPr="00403C69" w14:paraId="5F4D68C8" w14:textId="77777777" w:rsidTr="00AD5682">
        <w:trPr>
          <w:cantSplit/>
          <w:trHeight w:val="23"/>
        </w:trPr>
        <w:tc>
          <w:tcPr>
            <w:tcW w:w="6663" w:type="dxa"/>
            <w:gridSpan w:val="2"/>
            <w:shd w:val="clear" w:color="auto" w:fill="auto"/>
          </w:tcPr>
          <w:p w14:paraId="47D9D727" w14:textId="77777777" w:rsidR="004A3BAB" w:rsidRPr="00403C69" w:rsidRDefault="004A3BAB" w:rsidP="00AD5682">
            <w:pPr>
              <w:tabs>
                <w:tab w:val="left" w:pos="851"/>
              </w:tabs>
              <w:spacing w:before="0" w:line="240" w:lineRule="atLeast"/>
              <w:rPr>
                <w:rFonts w:cstheme="minorHAnsi"/>
                <w:szCs w:val="24"/>
              </w:rPr>
            </w:pPr>
          </w:p>
        </w:tc>
        <w:tc>
          <w:tcPr>
            <w:tcW w:w="3368" w:type="dxa"/>
            <w:gridSpan w:val="2"/>
          </w:tcPr>
          <w:p w14:paraId="0B1FD57A" w14:textId="77777777" w:rsidR="004A3BAB" w:rsidRPr="00403C69" w:rsidRDefault="004A3BAB" w:rsidP="00AD5682">
            <w:pPr>
              <w:tabs>
                <w:tab w:val="left" w:pos="993"/>
              </w:tabs>
              <w:spacing w:before="0"/>
              <w:rPr>
                <w:rFonts w:cstheme="minorHAnsi"/>
                <w:b/>
                <w:szCs w:val="24"/>
              </w:rPr>
            </w:pPr>
            <w:r w:rsidRPr="00403C69">
              <w:rPr>
                <w:b/>
                <w:bCs/>
                <w:szCs w:val="24"/>
              </w:rPr>
              <w:t>Original: English</w:t>
            </w:r>
          </w:p>
        </w:tc>
      </w:tr>
      <w:tr w:rsidR="004A3BAB" w:rsidRPr="00403C69" w14:paraId="6B4B338D" w14:textId="77777777" w:rsidTr="00AD5682">
        <w:trPr>
          <w:cantSplit/>
          <w:trHeight w:val="23"/>
        </w:trPr>
        <w:tc>
          <w:tcPr>
            <w:tcW w:w="10031" w:type="dxa"/>
            <w:gridSpan w:val="4"/>
            <w:shd w:val="clear" w:color="auto" w:fill="auto"/>
          </w:tcPr>
          <w:p w14:paraId="37B9BB17" w14:textId="46563752" w:rsidR="004A3BAB" w:rsidRPr="00403C69" w:rsidRDefault="004A3BAB" w:rsidP="004A3BAB">
            <w:pPr>
              <w:pStyle w:val="Source"/>
            </w:pPr>
            <w:bookmarkStart w:id="6" w:name="dbluepink" w:colFirst="0" w:colLast="0"/>
            <w:bookmarkStart w:id="7" w:name="dorlang" w:colFirst="1" w:colLast="1"/>
            <w:r w:rsidRPr="00517C6F">
              <w:rPr>
                <w:szCs w:val="28"/>
              </w:rPr>
              <w:t>Chair, TDAG-WG-DEC</w:t>
            </w:r>
          </w:p>
        </w:tc>
      </w:tr>
      <w:tr w:rsidR="004A3BAB" w:rsidRPr="00403C69" w14:paraId="52D9C048" w14:textId="77777777" w:rsidTr="00461EC5">
        <w:trPr>
          <w:cantSplit/>
          <w:trHeight w:val="23"/>
        </w:trPr>
        <w:tc>
          <w:tcPr>
            <w:tcW w:w="10031" w:type="dxa"/>
            <w:gridSpan w:val="4"/>
            <w:shd w:val="clear" w:color="auto" w:fill="auto"/>
          </w:tcPr>
          <w:p w14:paraId="3F058C07" w14:textId="17437DFC" w:rsidR="004A3BAB" w:rsidRPr="001655E8" w:rsidRDefault="004A3BAB" w:rsidP="004A3BAB">
            <w:pPr>
              <w:pStyle w:val="Title1"/>
              <w:rPr>
                <w:caps/>
              </w:rPr>
            </w:pPr>
            <w:r w:rsidRPr="00216AE5">
              <w:rPr>
                <w:rFonts w:cs="Times New Roman"/>
                <w:bCs/>
                <w:szCs w:val="28"/>
              </w:rPr>
              <w:t>Report on the</w:t>
            </w:r>
            <w:r w:rsidRPr="00216AE5">
              <w:rPr>
                <w:bCs/>
              </w:rPr>
              <w:t xml:space="preserve"> </w:t>
            </w:r>
            <w:r>
              <w:rPr>
                <w:bCs/>
              </w:rPr>
              <w:t xml:space="preserve">work and outcome of the </w:t>
            </w:r>
            <w:r w:rsidRPr="00216AE5">
              <w:rPr>
                <w:rFonts w:cs="Times New Roman"/>
                <w:bCs/>
                <w:szCs w:val="28"/>
              </w:rPr>
              <w:t>TDAG Working Group on the Declaration</w:t>
            </w:r>
          </w:p>
        </w:tc>
      </w:tr>
      <w:tr w:rsidR="004A3BAB" w:rsidRPr="00403C69" w14:paraId="08BAF0E2" w14:textId="77777777" w:rsidTr="00AD5682">
        <w:trPr>
          <w:cantSplit/>
          <w:trHeight w:val="23"/>
        </w:trPr>
        <w:tc>
          <w:tcPr>
            <w:tcW w:w="10031" w:type="dxa"/>
            <w:gridSpan w:val="4"/>
            <w:shd w:val="clear" w:color="auto" w:fill="auto"/>
            <w:vAlign w:val="center"/>
          </w:tcPr>
          <w:p w14:paraId="06B27EE6" w14:textId="77777777" w:rsidR="004A3BAB" w:rsidRDefault="004A3BAB" w:rsidP="00AD5682">
            <w:pPr>
              <w:pStyle w:val="Title1"/>
              <w:jc w:val="left"/>
              <w:rPr>
                <w:caps/>
                <w:szCs w:val="28"/>
                <w:lang w:val="en-US"/>
              </w:rPr>
            </w:pPr>
          </w:p>
        </w:tc>
      </w:tr>
      <w:tr w:rsidR="004A3BAB" w:rsidRPr="00403C69" w14:paraId="12232CB6" w14:textId="77777777" w:rsidTr="00AD5682">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25BC930A" w14:textId="77777777" w:rsidR="008C2D4D" w:rsidRPr="00D9621A" w:rsidRDefault="008C2D4D" w:rsidP="009F387D">
            <w:pPr>
              <w:spacing w:after="120"/>
              <w:rPr>
                <w:b/>
                <w:bCs/>
                <w:szCs w:val="24"/>
              </w:rPr>
            </w:pPr>
            <w:r w:rsidRPr="00D9621A">
              <w:rPr>
                <w:b/>
                <w:bCs/>
                <w:szCs w:val="24"/>
              </w:rPr>
              <w:t>Summary:</w:t>
            </w:r>
          </w:p>
          <w:p w14:paraId="4E619BE8" w14:textId="07E98AD2" w:rsidR="008C2D4D" w:rsidRDefault="008C2D4D" w:rsidP="009F387D">
            <w:pPr>
              <w:spacing w:after="120"/>
              <w:rPr>
                <w:szCs w:val="24"/>
              </w:rPr>
            </w:pPr>
            <w:r w:rsidRPr="005930B9">
              <w:rPr>
                <w:szCs w:val="24"/>
              </w:rPr>
              <w:t xml:space="preserve">This document contains the </w:t>
            </w:r>
            <w:r>
              <w:rPr>
                <w:szCs w:val="24"/>
              </w:rPr>
              <w:t xml:space="preserve">draft </w:t>
            </w:r>
            <w:r w:rsidRPr="005930B9">
              <w:rPr>
                <w:szCs w:val="24"/>
              </w:rPr>
              <w:t>final report of</w:t>
            </w:r>
            <w:r w:rsidRPr="005930B9">
              <w:rPr>
                <w:rFonts w:ascii="Calibri" w:hAnsi="Calibri"/>
                <w:szCs w:val="24"/>
              </w:rPr>
              <w:t xml:space="preserve"> t</w:t>
            </w:r>
            <w:r w:rsidRPr="005930B9">
              <w:rPr>
                <w:szCs w:val="24"/>
              </w:rPr>
              <w:t>he</w:t>
            </w:r>
            <w:r w:rsidRPr="00940DB7">
              <w:rPr>
                <w:rFonts w:ascii="Arial" w:hAnsi="Arial" w:cs="Arial"/>
                <w:color w:val="444444"/>
                <w:sz w:val="18"/>
                <w:szCs w:val="18"/>
                <w:shd w:val="clear" w:color="auto" w:fill="FFFFFF"/>
              </w:rPr>
              <w:t xml:space="preserve"> </w:t>
            </w:r>
            <w:r w:rsidRPr="00940DB7">
              <w:rPr>
                <w:szCs w:val="24"/>
              </w:rPr>
              <w:t>TDAG Working Group on the Declaration (TDAG-WG-DEC)</w:t>
            </w:r>
            <w:r w:rsidRPr="005930B9">
              <w:rPr>
                <w:szCs w:val="24"/>
                <w:bdr w:val="none" w:sz="0" w:space="0" w:color="auto" w:frame="1"/>
                <w:shd w:val="clear" w:color="auto" w:fill="FFFFFF"/>
              </w:rPr>
              <w:t>,</w:t>
            </w:r>
            <w:r w:rsidRPr="005930B9">
              <w:rPr>
                <w:szCs w:val="24"/>
              </w:rPr>
              <w:t xml:space="preserve"> including </w:t>
            </w:r>
            <w:r>
              <w:rPr>
                <w:szCs w:val="24"/>
              </w:rPr>
              <w:t xml:space="preserve">a proposed draft Baku Declaration </w:t>
            </w:r>
            <w:r w:rsidRPr="005930B9">
              <w:rPr>
                <w:szCs w:val="24"/>
              </w:rPr>
              <w:t xml:space="preserve">based on its terms of reference. </w:t>
            </w:r>
            <w:r>
              <w:rPr>
                <w:szCs w:val="24"/>
              </w:rPr>
              <w:t xml:space="preserve">The report will be finalized at the last </w:t>
            </w:r>
            <w:r w:rsidRPr="00940DB7">
              <w:rPr>
                <w:szCs w:val="24"/>
              </w:rPr>
              <w:t>TDAG-WG-DEC</w:t>
            </w:r>
            <w:r>
              <w:rPr>
                <w:szCs w:val="24"/>
              </w:rPr>
              <w:t xml:space="preserve"> meeting. </w:t>
            </w:r>
          </w:p>
          <w:p w14:paraId="11A6F2BE" w14:textId="53DD9ADF" w:rsidR="008C2D4D" w:rsidRPr="00F44AB3" w:rsidRDefault="008C2D4D" w:rsidP="009F387D">
            <w:pPr>
              <w:spacing w:after="120"/>
              <w:rPr>
                <w:szCs w:val="24"/>
              </w:rPr>
            </w:pPr>
            <w:r w:rsidRPr="00F1287A">
              <w:rPr>
                <w:szCs w:val="24"/>
              </w:rPr>
              <w:t xml:space="preserve">The current draft Baku Declaration proposed by the group Chair is contained in Annex 1 (an annotated version in track changes is contained in </w:t>
            </w:r>
            <w:hyperlink r:id="rId13" w:history="1">
              <w:r w:rsidRPr="00A826F4">
                <w:rPr>
                  <w:rStyle w:val="Hyperlink"/>
                  <w:szCs w:val="24"/>
                </w:rPr>
                <w:t>TDAG-WG-DEC</w:t>
              </w:r>
              <w:r w:rsidR="002F2E81">
                <w:rPr>
                  <w:rStyle w:val="Hyperlink"/>
                  <w:szCs w:val="24"/>
                </w:rPr>
                <w:t>/</w:t>
              </w:r>
              <w:r w:rsidR="00A826F4" w:rsidRPr="00A826F4">
                <w:rPr>
                  <w:rStyle w:val="Hyperlink"/>
                  <w:szCs w:val="24"/>
                </w:rPr>
                <w:t>12</w:t>
              </w:r>
            </w:hyperlink>
            <w:r w:rsidRPr="00A826F4">
              <w:rPr>
                <w:szCs w:val="24"/>
              </w:rPr>
              <w:t>). The final version of the draft agreed by the last meeting of the group will serve as input for membe</w:t>
            </w:r>
            <w:r w:rsidRPr="00F1287A">
              <w:rPr>
                <w:szCs w:val="24"/>
              </w:rPr>
              <w:t>rs to consider in their preparation in the lead up to and at the conference.</w:t>
            </w:r>
          </w:p>
          <w:p w14:paraId="4CBB263C" w14:textId="77777777" w:rsidR="008C2D4D" w:rsidRPr="00D9621A" w:rsidRDefault="008C2D4D" w:rsidP="009F387D">
            <w:pPr>
              <w:spacing w:after="120"/>
              <w:jc w:val="both"/>
              <w:rPr>
                <w:b/>
                <w:bCs/>
                <w:szCs w:val="24"/>
              </w:rPr>
            </w:pPr>
            <w:r w:rsidRPr="005E090D">
              <w:rPr>
                <w:b/>
                <w:bCs/>
              </w:rPr>
              <w:t>Action required:</w:t>
            </w:r>
          </w:p>
          <w:p w14:paraId="42B6A303" w14:textId="77777777" w:rsidR="008C2D4D" w:rsidRPr="0097028F" w:rsidRDefault="008C2D4D" w:rsidP="009F387D">
            <w:pPr>
              <w:spacing w:after="120"/>
              <w:rPr>
                <w:szCs w:val="28"/>
              </w:rPr>
            </w:pPr>
            <w:r w:rsidRPr="00125823">
              <w:rPr>
                <w:szCs w:val="28"/>
              </w:rPr>
              <w:t>TDAG is invited to examine this report</w:t>
            </w:r>
            <w:r>
              <w:rPr>
                <w:szCs w:val="28"/>
              </w:rPr>
              <w:t>,</w:t>
            </w:r>
            <w:r w:rsidRPr="00125823">
              <w:rPr>
                <w:szCs w:val="28"/>
              </w:rPr>
              <w:t xml:space="preserve"> </w:t>
            </w:r>
            <w:r w:rsidRPr="0097028F">
              <w:rPr>
                <w:szCs w:val="28"/>
              </w:rPr>
              <w:t>further consider</w:t>
            </w:r>
            <w:r>
              <w:rPr>
                <w:szCs w:val="28"/>
              </w:rPr>
              <w:t xml:space="preserve"> the proposed Chair’s draft </w:t>
            </w:r>
            <w:r w:rsidRPr="0097028F">
              <w:rPr>
                <w:szCs w:val="28"/>
              </w:rPr>
              <w:t>and submi</w:t>
            </w:r>
            <w:r>
              <w:rPr>
                <w:szCs w:val="28"/>
              </w:rPr>
              <w:t xml:space="preserve">t it </w:t>
            </w:r>
            <w:r w:rsidRPr="0097028F">
              <w:rPr>
                <w:szCs w:val="28"/>
              </w:rPr>
              <w:t>as input to WTDC-25.</w:t>
            </w:r>
          </w:p>
          <w:p w14:paraId="73989469" w14:textId="77777777" w:rsidR="008C2D4D" w:rsidRPr="00D9621A" w:rsidRDefault="008C2D4D" w:rsidP="009F387D">
            <w:pPr>
              <w:spacing w:after="120"/>
              <w:rPr>
                <w:b/>
                <w:bCs/>
                <w:szCs w:val="24"/>
              </w:rPr>
            </w:pPr>
            <w:r w:rsidRPr="00D9621A">
              <w:rPr>
                <w:b/>
                <w:bCs/>
                <w:szCs w:val="24"/>
              </w:rPr>
              <w:t>References:</w:t>
            </w:r>
          </w:p>
          <w:p w14:paraId="3F8276AE" w14:textId="77777777" w:rsidR="008C2D4D" w:rsidRPr="00BC09E6" w:rsidRDefault="008C2D4D" w:rsidP="009F387D">
            <w:pPr>
              <w:pStyle w:val="ListParagraph"/>
              <w:numPr>
                <w:ilvl w:val="0"/>
                <w:numId w:val="2"/>
              </w:numPr>
              <w:spacing w:after="120"/>
              <w:ind w:left="357" w:hanging="357"/>
              <w:contextualSpacing w:val="0"/>
            </w:pPr>
            <w:r>
              <w:t xml:space="preserve">Terms of Reference of </w:t>
            </w:r>
            <w:r w:rsidRPr="00BC09E6">
              <w:t>TDAG-WG-DEC (</w:t>
            </w:r>
            <w:hyperlink r:id="rId14" w:history="1">
              <w:r w:rsidRPr="00BC09E6">
                <w:rPr>
                  <w:rStyle w:val="Hyperlink"/>
                </w:rPr>
                <w:t>TDAG-24/DT/4</w:t>
              </w:r>
            </w:hyperlink>
            <w:r w:rsidRPr="00BC09E6">
              <w:rPr>
                <w:rStyle w:val="Hyperlink"/>
              </w:rPr>
              <w:t>)</w:t>
            </w:r>
          </w:p>
          <w:p w14:paraId="0B0FD8D7" w14:textId="77777777" w:rsidR="008C2D4D" w:rsidRPr="00BC09E6" w:rsidRDefault="008C2D4D" w:rsidP="009F387D">
            <w:pPr>
              <w:pStyle w:val="ListParagraph"/>
              <w:numPr>
                <w:ilvl w:val="0"/>
                <w:numId w:val="2"/>
              </w:numPr>
              <w:spacing w:after="120"/>
              <w:ind w:left="357" w:hanging="357"/>
              <w:contextualSpacing w:val="0"/>
            </w:pPr>
            <w:r w:rsidRPr="00BC09E6">
              <w:t>Report of the TDAG-WG-DEC first meeting (</w:t>
            </w:r>
            <w:hyperlink r:id="rId15" w:history="1">
              <w:r w:rsidRPr="00BC09E6">
                <w:rPr>
                  <w:rStyle w:val="Hyperlink"/>
                </w:rPr>
                <w:t>TDAG-WG-DEC/2</w:t>
              </w:r>
            </w:hyperlink>
            <w:r w:rsidRPr="00BC09E6">
              <w:t>)</w:t>
            </w:r>
          </w:p>
          <w:p w14:paraId="79FE6B98" w14:textId="77777777" w:rsidR="008C2D4D" w:rsidRDefault="008C2D4D" w:rsidP="009F387D">
            <w:pPr>
              <w:pStyle w:val="ListParagraph"/>
              <w:numPr>
                <w:ilvl w:val="0"/>
                <w:numId w:val="2"/>
              </w:numPr>
              <w:spacing w:after="120"/>
              <w:ind w:left="357" w:hanging="357"/>
              <w:contextualSpacing w:val="0"/>
            </w:pPr>
            <w:r w:rsidRPr="00BC09E6">
              <w:t>Report of the TDAG-WG-DEC second meeting (</w:t>
            </w:r>
            <w:hyperlink r:id="rId16" w:history="1">
              <w:r w:rsidRPr="00BC09E6">
                <w:rPr>
                  <w:rStyle w:val="Hyperlink"/>
                </w:rPr>
                <w:t>TDAG-WG-DEC/6</w:t>
              </w:r>
            </w:hyperlink>
            <w:r w:rsidRPr="00BC09E6">
              <w:t>)</w:t>
            </w:r>
          </w:p>
          <w:p w14:paraId="3072AEF7" w14:textId="77777777" w:rsidR="008C2D4D" w:rsidRPr="00BC09E6" w:rsidRDefault="008C2D4D" w:rsidP="009F387D">
            <w:pPr>
              <w:pStyle w:val="ListParagraph"/>
              <w:numPr>
                <w:ilvl w:val="0"/>
                <w:numId w:val="2"/>
              </w:numPr>
              <w:spacing w:after="120"/>
              <w:ind w:left="357" w:hanging="357"/>
              <w:contextualSpacing w:val="0"/>
            </w:pPr>
            <w:r w:rsidRPr="00BC09E6">
              <w:t xml:space="preserve">Report of the TDAG-WG-DEC </w:t>
            </w:r>
            <w:r>
              <w:t xml:space="preserve">third </w:t>
            </w:r>
            <w:r w:rsidRPr="0093145E">
              <w:t>meeting (</w:t>
            </w:r>
            <w:hyperlink r:id="rId17" w:history="1">
              <w:r w:rsidRPr="0093145E">
                <w:rPr>
                  <w:rStyle w:val="Hyperlink"/>
                </w:rPr>
                <w:t>link</w:t>
              </w:r>
            </w:hyperlink>
            <w:r w:rsidRPr="0093145E">
              <w:t>)</w:t>
            </w:r>
          </w:p>
          <w:p w14:paraId="3AAF003D" w14:textId="77777777" w:rsidR="008C2D4D" w:rsidRDefault="008C2D4D" w:rsidP="009F387D">
            <w:pPr>
              <w:pStyle w:val="ListParagraph"/>
              <w:numPr>
                <w:ilvl w:val="0"/>
                <w:numId w:val="2"/>
              </w:numPr>
              <w:spacing w:after="120"/>
              <w:ind w:left="357" w:hanging="357"/>
              <w:contextualSpacing w:val="0"/>
            </w:pPr>
            <w:r w:rsidRPr="00BC09E6">
              <w:t xml:space="preserve">Mapping of topics in the Kigali Declaration and new and emerging topics (Document </w:t>
            </w:r>
            <w:hyperlink r:id="rId18" w:history="1">
              <w:r w:rsidRPr="00BC09E6">
                <w:rPr>
                  <w:rStyle w:val="Hyperlink"/>
                  <w:szCs w:val="24"/>
                </w:rPr>
                <w:t>TDAG-WG-DEC/INF/</w:t>
              </w:r>
            </w:hyperlink>
            <w:r w:rsidRPr="00BC09E6">
              <w:rPr>
                <w:rStyle w:val="Hyperlink"/>
                <w:szCs w:val="24"/>
              </w:rPr>
              <w:t>1</w:t>
            </w:r>
            <w:r>
              <w:t>, 27 November 2024)</w:t>
            </w:r>
          </w:p>
          <w:p w14:paraId="66A8FB13" w14:textId="77777777" w:rsidR="008C2D4D" w:rsidRPr="00BC09E6" w:rsidRDefault="008C2D4D" w:rsidP="009F387D">
            <w:pPr>
              <w:pStyle w:val="ListParagraph"/>
              <w:numPr>
                <w:ilvl w:val="0"/>
                <w:numId w:val="2"/>
              </w:numPr>
              <w:spacing w:after="120"/>
              <w:ind w:left="357" w:hanging="357"/>
              <w:contextualSpacing w:val="0"/>
            </w:pPr>
            <w:r w:rsidRPr="00BC09E6">
              <w:t>Revised annotated outline of the Baku Declaration 2025 (</w:t>
            </w:r>
            <w:hyperlink r:id="rId19" w:history="1">
              <w:r w:rsidRPr="00BC09E6">
                <w:rPr>
                  <w:rStyle w:val="Hyperlink"/>
                </w:rPr>
                <w:t>TDAG-WG-DEC/7</w:t>
              </w:r>
            </w:hyperlink>
            <w:r>
              <w:t>, 13 December 2024)</w:t>
            </w:r>
          </w:p>
          <w:p w14:paraId="39F543CB" w14:textId="56EA490D" w:rsidR="00B54454" w:rsidRDefault="008C2D4D" w:rsidP="009F387D">
            <w:pPr>
              <w:pStyle w:val="ListParagraph"/>
              <w:numPr>
                <w:ilvl w:val="0"/>
                <w:numId w:val="2"/>
              </w:numPr>
              <w:spacing w:after="120"/>
              <w:ind w:left="357" w:hanging="357"/>
              <w:contextualSpacing w:val="0"/>
            </w:pPr>
            <w:r w:rsidRPr="0093145E">
              <w:t>TDAG-WG-DEC Chair’s revised and annotated draft proposal for the Baku Declaration</w:t>
            </w:r>
            <w:r>
              <w:t xml:space="preserve"> (</w:t>
            </w:r>
            <w:hyperlink r:id="rId20" w:history="1">
              <w:r w:rsidR="009F387D" w:rsidRPr="00A826F4">
                <w:rPr>
                  <w:rStyle w:val="Hyperlink"/>
                  <w:szCs w:val="24"/>
                </w:rPr>
                <w:t>TDAG-WG-DEC</w:t>
              </w:r>
              <w:r w:rsidR="0054711B">
                <w:rPr>
                  <w:rStyle w:val="Hyperlink"/>
                  <w:szCs w:val="24"/>
                </w:rPr>
                <w:t>/</w:t>
              </w:r>
              <w:r w:rsidR="009F387D" w:rsidRPr="00A826F4">
                <w:rPr>
                  <w:rStyle w:val="Hyperlink"/>
                  <w:szCs w:val="24"/>
                </w:rPr>
                <w:t>12</w:t>
              </w:r>
            </w:hyperlink>
            <w:r w:rsidR="0054711B">
              <w:rPr>
                <w:szCs w:val="24"/>
              </w:rPr>
              <w:t>, 27 March 2025</w:t>
            </w:r>
            <w:r>
              <w:t>)</w:t>
            </w:r>
          </w:p>
          <w:p w14:paraId="3A094EDC" w14:textId="1AAB5554" w:rsidR="004A3BAB" w:rsidRPr="00403C69" w:rsidRDefault="008C2D4D" w:rsidP="009F387D">
            <w:pPr>
              <w:pStyle w:val="ListParagraph"/>
              <w:numPr>
                <w:ilvl w:val="0"/>
                <w:numId w:val="2"/>
              </w:numPr>
              <w:spacing w:after="120"/>
              <w:ind w:left="357" w:hanging="357"/>
              <w:contextualSpacing w:val="0"/>
            </w:pPr>
            <w:hyperlink r:id="rId21" w:history="1">
              <w:r w:rsidRPr="00045F6B">
                <w:rPr>
                  <w:rStyle w:val="Hyperlink"/>
                </w:rPr>
                <w:t>Website of TDAG-WG-DEC</w:t>
              </w:r>
            </w:hyperlink>
          </w:p>
        </w:tc>
      </w:tr>
      <w:bookmarkEnd w:id="6"/>
      <w:bookmarkEnd w:id="7"/>
    </w:tbl>
    <w:p w14:paraId="5D1888D6" w14:textId="77777777" w:rsidR="00BF3ED5" w:rsidRDefault="00BF3ED5"/>
    <w:p w14:paraId="07D621A9" w14:textId="0C70955B" w:rsidR="00045F6B" w:rsidRPr="00C40E2E" w:rsidRDefault="00045F6B" w:rsidP="00C5334C">
      <w:pPr>
        <w:pStyle w:val="ListParagraph"/>
        <w:keepNext/>
        <w:numPr>
          <w:ilvl w:val="0"/>
          <w:numId w:val="3"/>
        </w:numPr>
        <w:spacing w:after="120"/>
        <w:ind w:left="357" w:hanging="357"/>
        <w:contextualSpacing w:val="0"/>
        <w:rPr>
          <w:b/>
          <w:bCs/>
        </w:rPr>
      </w:pPr>
      <w:r w:rsidRPr="00C40E2E">
        <w:rPr>
          <w:b/>
          <w:bCs/>
        </w:rPr>
        <w:lastRenderedPageBreak/>
        <w:t>Introduction</w:t>
      </w:r>
    </w:p>
    <w:p w14:paraId="1D51C36B" w14:textId="2B042F15" w:rsidR="006F6226" w:rsidRPr="005930B9" w:rsidRDefault="00F66436" w:rsidP="00C5334C">
      <w:pPr>
        <w:shd w:val="clear" w:color="auto" w:fill="FFFFFF"/>
        <w:spacing w:after="120"/>
        <w:rPr>
          <w:rFonts w:cs="Calibri"/>
          <w:bCs/>
          <w:szCs w:val="24"/>
        </w:rPr>
      </w:pPr>
      <w:r w:rsidRPr="00940DB7">
        <w:rPr>
          <w:szCs w:val="24"/>
        </w:rPr>
        <w:t>TDAG Working Group on the Declaration (TDAG-WG-DEC)</w:t>
      </w:r>
      <w:r>
        <w:rPr>
          <w:szCs w:val="24"/>
        </w:rPr>
        <w:t xml:space="preserve"> </w:t>
      </w:r>
      <w:r w:rsidR="006F6226" w:rsidRPr="005930B9">
        <w:rPr>
          <w:rFonts w:cs="Calibri"/>
          <w:bCs/>
          <w:szCs w:val="24"/>
        </w:rPr>
        <w:t xml:space="preserve">was set up </w:t>
      </w:r>
      <w:r w:rsidR="006F6226">
        <w:rPr>
          <w:rFonts w:cs="Calibri"/>
          <w:bCs/>
          <w:szCs w:val="24"/>
        </w:rPr>
        <w:t xml:space="preserve">during </w:t>
      </w:r>
      <w:hyperlink r:id="rId22" w:history="1">
        <w:r w:rsidR="006F6226" w:rsidRPr="00AD718B">
          <w:rPr>
            <w:rStyle w:val="Hyperlink"/>
            <w:rFonts w:cs="Calibri"/>
            <w:bCs/>
            <w:szCs w:val="24"/>
          </w:rPr>
          <w:t>TDAG-24</w:t>
        </w:r>
      </w:hyperlink>
      <w:r w:rsidR="006F6226">
        <w:rPr>
          <w:rFonts w:cs="Calibri"/>
          <w:bCs/>
          <w:szCs w:val="24"/>
        </w:rPr>
        <w:t xml:space="preserve"> (</w:t>
      </w:r>
      <w:r w:rsidR="006F6226" w:rsidRPr="00AD718B">
        <w:rPr>
          <w:rFonts w:cs="Calibri"/>
          <w:bCs/>
          <w:szCs w:val="24"/>
        </w:rPr>
        <w:t>20</w:t>
      </w:r>
      <w:r w:rsidR="006F6226">
        <w:rPr>
          <w:rFonts w:cs="Calibri"/>
          <w:bCs/>
          <w:szCs w:val="24"/>
        </w:rPr>
        <w:t>-</w:t>
      </w:r>
      <w:r w:rsidR="006F6226" w:rsidRPr="00AD718B">
        <w:rPr>
          <w:rFonts w:cs="Calibri"/>
          <w:bCs/>
          <w:szCs w:val="24"/>
        </w:rPr>
        <w:t>23 May 2024</w:t>
      </w:r>
      <w:r w:rsidR="006F6226">
        <w:rPr>
          <w:rFonts w:cs="Calibri"/>
          <w:bCs/>
          <w:szCs w:val="24"/>
        </w:rPr>
        <w:t>)</w:t>
      </w:r>
      <w:r w:rsidR="006F6226" w:rsidRPr="005930B9">
        <w:rPr>
          <w:rFonts w:cs="Calibri"/>
          <w:bCs/>
          <w:szCs w:val="24"/>
        </w:rPr>
        <w:t xml:space="preserve">. </w:t>
      </w:r>
      <w:r w:rsidR="006F6226" w:rsidRPr="00CA110F">
        <w:rPr>
          <w:rFonts w:cs="Calibri"/>
          <w:szCs w:val="24"/>
        </w:rPr>
        <w:t xml:space="preserve">Mr Abdulkarim Oloyede </w:t>
      </w:r>
      <w:r w:rsidR="00492E2E">
        <w:rPr>
          <w:rFonts w:cs="Calibri"/>
          <w:szCs w:val="24"/>
        </w:rPr>
        <w:t xml:space="preserve">from </w:t>
      </w:r>
      <w:r w:rsidR="006F6226" w:rsidRPr="00CA110F">
        <w:rPr>
          <w:rFonts w:cs="Calibri"/>
          <w:szCs w:val="24"/>
        </w:rPr>
        <w:t>Nigeria</w:t>
      </w:r>
      <w:r w:rsidR="006F6226" w:rsidRPr="00F92FA5">
        <w:rPr>
          <w:rFonts w:cs="Calibri"/>
          <w:b/>
          <w:bCs/>
          <w:szCs w:val="24"/>
        </w:rPr>
        <w:t xml:space="preserve"> </w:t>
      </w:r>
      <w:r w:rsidR="00AD7E74" w:rsidRPr="00AD7E74">
        <w:rPr>
          <w:rFonts w:cs="Calibri"/>
          <w:szCs w:val="24"/>
        </w:rPr>
        <w:t>was appointed</w:t>
      </w:r>
      <w:r w:rsidR="00AD7E74">
        <w:rPr>
          <w:rFonts w:cs="Calibri"/>
          <w:b/>
          <w:bCs/>
          <w:szCs w:val="24"/>
        </w:rPr>
        <w:t xml:space="preserve"> </w:t>
      </w:r>
      <w:r w:rsidR="006F6226" w:rsidRPr="00F92FA5">
        <w:rPr>
          <w:rFonts w:cs="Calibri"/>
          <w:szCs w:val="24"/>
        </w:rPr>
        <w:t>to chair this group</w:t>
      </w:r>
      <w:r w:rsidR="005229A4">
        <w:rPr>
          <w:rFonts w:cs="Calibri"/>
          <w:szCs w:val="24"/>
        </w:rPr>
        <w:t>,</w:t>
      </w:r>
      <w:r w:rsidR="005229A4" w:rsidRPr="005229A4">
        <w:t xml:space="preserve"> </w:t>
      </w:r>
      <w:r w:rsidR="005229A4">
        <w:t>with Mr Ahmed Abd El-Aziz from Egypt and Ms Ke Wang from China serving as Vice-Chairs</w:t>
      </w:r>
      <w:r w:rsidR="006F6226" w:rsidRPr="005930B9">
        <w:rPr>
          <w:rFonts w:cs="Calibri"/>
          <w:szCs w:val="24"/>
        </w:rPr>
        <w:t>.</w:t>
      </w:r>
      <w:r w:rsidR="006F6226" w:rsidRPr="005930B9">
        <w:rPr>
          <w:rFonts w:cs="Calibri"/>
          <w:bCs/>
          <w:szCs w:val="24"/>
        </w:rPr>
        <w:t xml:space="preserve"> </w:t>
      </w:r>
    </w:p>
    <w:p w14:paraId="2D4A8842" w14:textId="49C9A86C" w:rsidR="008737B5" w:rsidRDefault="00045F6B" w:rsidP="00C5334C">
      <w:pPr>
        <w:spacing w:after="120"/>
      </w:pPr>
      <w:r w:rsidRPr="00045F6B">
        <w:t xml:space="preserve">TDAG-WG-DEC was entrusted </w:t>
      </w:r>
      <w:r w:rsidR="00E71192">
        <w:t xml:space="preserve">with </w:t>
      </w:r>
      <w:r w:rsidRPr="00045F6B">
        <w:t>the task ‘to propose elements and make recommendations to ITU membership for the future draft Declaration’ of the World Telecommunication Development Conference 2025 (WTDC-25)</w:t>
      </w:r>
      <w:r w:rsidR="002F48C5">
        <w:t xml:space="preserve"> </w:t>
      </w:r>
      <w:r w:rsidRPr="00045F6B">
        <w:t>(</w:t>
      </w:r>
      <w:r w:rsidR="00DC7340">
        <w:t>Document</w:t>
      </w:r>
      <w:r w:rsidR="002F48C5">
        <w:rPr>
          <w:b/>
          <w:bCs/>
        </w:rPr>
        <w:t xml:space="preserve"> </w:t>
      </w:r>
      <w:hyperlink r:id="rId23" w:history="1">
        <w:r w:rsidR="002F48C5" w:rsidRPr="005234B7">
          <w:rPr>
            <w:rStyle w:val="Hyperlink"/>
          </w:rPr>
          <w:t>TDAG-24/DT/4</w:t>
        </w:r>
      </w:hyperlink>
      <w:r w:rsidRPr="00045F6B">
        <w:t>).</w:t>
      </w:r>
      <w:r w:rsidR="002F48C5" w:rsidRPr="002F48C5">
        <w:t xml:space="preserve"> </w:t>
      </w:r>
      <w:r w:rsidR="00DC7340" w:rsidRPr="00940DB7">
        <w:rPr>
          <w:szCs w:val="24"/>
        </w:rPr>
        <w:t>TDAG-WG-DEC</w:t>
      </w:r>
      <w:r w:rsidR="00DC7340" w:rsidRPr="005930B9">
        <w:rPr>
          <w:rFonts w:cs="Calibri"/>
          <w:bCs/>
          <w:szCs w:val="24"/>
        </w:rPr>
        <w:t xml:space="preserve"> </w:t>
      </w:r>
      <w:r w:rsidR="00DC7340" w:rsidRPr="005930B9">
        <w:rPr>
          <w:rFonts w:cs="Calibri"/>
          <w:bdr w:val="none" w:sz="0" w:space="0" w:color="auto" w:frame="1"/>
          <w:shd w:val="clear" w:color="auto" w:fill="FFFFFF"/>
        </w:rPr>
        <w:t>was</w:t>
      </w:r>
      <w:r w:rsidR="00DC7340" w:rsidRPr="005930B9">
        <w:rPr>
          <w:rFonts w:cs="Calibri"/>
          <w:szCs w:val="24"/>
        </w:rPr>
        <w:t xml:space="preserve"> open to all ITU Member States and Sector Members of the ITU Telecommunication Development Sector (ITU-D). </w:t>
      </w:r>
      <w:r w:rsidR="008737B5">
        <w:t xml:space="preserve">The </w:t>
      </w:r>
      <w:r w:rsidR="008737B5" w:rsidRPr="006D6F29">
        <w:t xml:space="preserve">output of </w:t>
      </w:r>
      <w:r w:rsidR="00AB313C">
        <w:t>TDAG-WG-DEC</w:t>
      </w:r>
      <w:r w:rsidR="008737B5" w:rsidRPr="006D6F29">
        <w:t xml:space="preserve"> </w:t>
      </w:r>
      <w:r w:rsidR="00E178EC">
        <w:t xml:space="preserve">will </w:t>
      </w:r>
      <w:r w:rsidR="008737B5">
        <w:t xml:space="preserve">serve as </w:t>
      </w:r>
      <w:r w:rsidR="008737B5" w:rsidRPr="006D6F29">
        <w:t xml:space="preserve">input for members to consider as </w:t>
      </w:r>
      <w:r w:rsidR="008737B5">
        <w:t xml:space="preserve">they </w:t>
      </w:r>
      <w:r w:rsidR="008737B5" w:rsidRPr="006D6F29">
        <w:t>work on</w:t>
      </w:r>
      <w:r w:rsidR="008737B5">
        <w:t xml:space="preserve"> the WTDC-25 Declaration in the </w:t>
      </w:r>
      <w:r w:rsidR="00A53F46">
        <w:t>lead-up</w:t>
      </w:r>
      <w:r w:rsidR="008737B5">
        <w:t xml:space="preserve"> to and at </w:t>
      </w:r>
      <w:r w:rsidR="008737B5" w:rsidRPr="006D6F29">
        <w:t>the conference.</w:t>
      </w:r>
      <w:r w:rsidR="008737B5">
        <w:t xml:space="preserve"> </w:t>
      </w:r>
    </w:p>
    <w:p w14:paraId="1E9DA5A5" w14:textId="46BA31B5" w:rsidR="00E97893" w:rsidRPr="0085086E" w:rsidRDefault="00E97893" w:rsidP="00C5334C">
      <w:pPr>
        <w:spacing w:after="120"/>
        <w:rPr>
          <w:rFonts w:cs="Calibri"/>
          <w:bCs/>
          <w:szCs w:val="24"/>
        </w:rPr>
      </w:pPr>
      <w:r w:rsidRPr="00940DB7">
        <w:rPr>
          <w:szCs w:val="24"/>
        </w:rPr>
        <w:t>TDAG-WG-DEC</w:t>
      </w:r>
      <w:r w:rsidRPr="005930B9">
        <w:rPr>
          <w:rFonts w:cs="Calibri"/>
          <w:bCs/>
          <w:szCs w:val="24"/>
        </w:rPr>
        <w:t xml:space="preserve"> held </w:t>
      </w:r>
      <w:r>
        <w:rPr>
          <w:rFonts w:cs="Calibri"/>
          <w:bCs/>
          <w:szCs w:val="24"/>
        </w:rPr>
        <w:t xml:space="preserve">three </w:t>
      </w:r>
      <w:r w:rsidRPr="005930B9">
        <w:rPr>
          <w:rFonts w:cs="Calibri"/>
          <w:bCs/>
          <w:szCs w:val="24"/>
        </w:rPr>
        <w:t xml:space="preserve">meetings over </w:t>
      </w:r>
      <w:r>
        <w:rPr>
          <w:rFonts w:cs="Calibri"/>
          <w:bCs/>
          <w:szCs w:val="24"/>
        </w:rPr>
        <w:t xml:space="preserve">the period December 2024 – March 2025 and a fourth meeting will be held </w:t>
      </w:r>
      <w:r w:rsidR="00D10E49">
        <w:rPr>
          <w:rFonts w:cs="Calibri"/>
          <w:bCs/>
          <w:szCs w:val="24"/>
        </w:rPr>
        <w:t>on 15 April 2025</w:t>
      </w:r>
      <w:r>
        <w:rPr>
          <w:rFonts w:cs="Calibri"/>
          <w:bCs/>
          <w:szCs w:val="24"/>
        </w:rPr>
        <w:t xml:space="preserve">. </w:t>
      </w:r>
      <w:r w:rsidRPr="005930B9">
        <w:rPr>
          <w:rFonts w:cs="Calibri"/>
          <w:bCs/>
          <w:szCs w:val="24"/>
        </w:rPr>
        <w:t>The reports of the individual meetings are availabl</w:t>
      </w:r>
      <w:r>
        <w:rPr>
          <w:rFonts w:cs="Calibri"/>
          <w:bCs/>
          <w:szCs w:val="24"/>
        </w:rPr>
        <w:t xml:space="preserve">e on </w:t>
      </w:r>
      <w:hyperlink r:id="rId24" w:history="1">
        <w:r w:rsidRPr="006F6226">
          <w:rPr>
            <w:rStyle w:val="Hyperlink"/>
            <w:rFonts w:cs="Calibri"/>
            <w:bCs/>
            <w:szCs w:val="24"/>
          </w:rPr>
          <w:t>the group’s website</w:t>
        </w:r>
      </w:hyperlink>
      <w:r>
        <w:rPr>
          <w:rFonts w:cs="Calibri"/>
          <w:bCs/>
          <w:szCs w:val="24"/>
        </w:rPr>
        <w:t xml:space="preserve">. </w:t>
      </w:r>
    </w:p>
    <w:p w14:paraId="68CCFA76" w14:textId="5583A15B" w:rsidR="008D4388" w:rsidRPr="008737B5" w:rsidRDefault="008737B5" w:rsidP="00C5334C">
      <w:pPr>
        <w:pStyle w:val="ListParagraph"/>
        <w:keepNext/>
        <w:numPr>
          <w:ilvl w:val="0"/>
          <w:numId w:val="3"/>
        </w:numPr>
        <w:spacing w:after="120"/>
        <w:ind w:left="357" w:hanging="357"/>
        <w:contextualSpacing w:val="0"/>
        <w:rPr>
          <w:b/>
          <w:bCs/>
        </w:rPr>
      </w:pPr>
      <w:r w:rsidRPr="008737B5">
        <w:rPr>
          <w:b/>
          <w:bCs/>
        </w:rPr>
        <w:t xml:space="preserve">Approach and </w:t>
      </w:r>
      <w:r w:rsidR="004B69E2">
        <w:rPr>
          <w:b/>
          <w:bCs/>
        </w:rPr>
        <w:t>process for the development of</w:t>
      </w:r>
      <w:r w:rsidRPr="008737B5">
        <w:rPr>
          <w:b/>
          <w:bCs/>
        </w:rPr>
        <w:t xml:space="preserve"> the </w:t>
      </w:r>
      <w:r w:rsidR="004B69E2">
        <w:rPr>
          <w:b/>
          <w:bCs/>
        </w:rPr>
        <w:t xml:space="preserve">Chair’s </w:t>
      </w:r>
      <w:r w:rsidR="00475500">
        <w:rPr>
          <w:b/>
          <w:bCs/>
        </w:rPr>
        <w:t xml:space="preserve">proposed draft of the </w:t>
      </w:r>
      <w:r w:rsidRPr="008737B5">
        <w:rPr>
          <w:b/>
          <w:bCs/>
        </w:rPr>
        <w:t>WTDC-25 Declaration</w:t>
      </w:r>
    </w:p>
    <w:p w14:paraId="2C414C4E" w14:textId="44D6E4F6" w:rsidR="0070371D" w:rsidRDefault="008A5AD9" w:rsidP="00C5334C">
      <w:pPr>
        <w:spacing w:after="120"/>
      </w:pPr>
      <w:r>
        <w:t>Throughout its work</w:t>
      </w:r>
      <w:r w:rsidR="006433B6">
        <w:t>,</w:t>
      </w:r>
      <w:r w:rsidR="006433B6" w:rsidRPr="006433B6">
        <w:t xml:space="preserve"> TDAG-WG-DEC ensured </w:t>
      </w:r>
      <w:r w:rsidR="006433B6">
        <w:t xml:space="preserve">close </w:t>
      </w:r>
      <w:r w:rsidR="006433B6" w:rsidRPr="006433B6">
        <w:t>coordination on key topics for the Declaration, particularly with the TDAG working group on ITU-D Priorities (TDAG-WG-ITUDP).</w:t>
      </w:r>
    </w:p>
    <w:p w14:paraId="3A5CB53F" w14:textId="618A91D5" w:rsidR="00630018" w:rsidRDefault="00630018" w:rsidP="00C5334C">
      <w:pPr>
        <w:spacing w:after="120"/>
      </w:pPr>
      <w:r>
        <w:t xml:space="preserve">During its first meeting, the </w:t>
      </w:r>
      <w:r w:rsidR="001E596B">
        <w:t>g</w:t>
      </w:r>
      <w:r>
        <w:t>roup</w:t>
      </w:r>
      <w:r w:rsidRPr="005A1355">
        <w:rPr>
          <w:rFonts w:cstheme="minorHAnsi"/>
          <w:szCs w:val="24"/>
        </w:rPr>
        <w:t xml:space="preserve"> agreed to retain a structure </w:t>
      </w:r>
      <w:proofErr w:type="gramStart"/>
      <w:r w:rsidR="00E178EC">
        <w:rPr>
          <w:rFonts w:cstheme="minorHAnsi"/>
          <w:szCs w:val="24"/>
        </w:rPr>
        <w:t>similar to</w:t>
      </w:r>
      <w:proofErr w:type="gramEnd"/>
      <w:r w:rsidR="00E178EC">
        <w:rPr>
          <w:rFonts w:cstheme="minorHAnsi"/>
          <w:szCs w:val="24"/>
        </w:rPr>
        <w:t xml:space="preserve"> </w:t>
      </w:r>
      <w:r w:rsidRPr="005A1355">
        <w:rPr>
          <w:rFonts w:cstheme="minorHAnsi"/>
          <w:szCs w:val="24"/>
        </w:rPr>
        <w:t xml:space="preserve">the Kigali Declaration </w:t>
      </w:r>
      <w:r w:rsidR="00E178EC">
        <w:t>and be</w:t>
      </w:r>
      <w:r>
        <w:t xml:space="preserve"> concise, s</w:t>
      </w:r>
      <w:r w:rsidR="00E178EC">
        <w:t>imple</w:t>
      </w:r>
      <w:r w:rsidR="00B005DE">
        <w:t>,</w:t>
      </w:r>
      <w:r w:rsidR="00E178EC">
        <w:t xml:space="preserve"> with </w:t>
      </w:r>
      <w:r>
        <w:t xml:space="preserve">clear and actionable language, </w:t>
      </w:r>
      <w:r w:rsidR="00B005DE">
        <w:t xml:space="preserve">and </w:t>
      </w:r>
      <w:r>
        <w:t>speaking to both the challenges of global digital development and potential solutions.</w:t>
      </w:r>
    </w:p>
    <w:p w14:paraId="68C39D3B" w14:textId="2F58A749" w:rsidR="00630018" w:rsidRPr="00741526" w:rsidRDefault="00630018" w:rsidP="00C5334C">
      <w:pPr>
        <w:spacing w:after="120"/>
        <w:rPr>
          <w:rFonts w:cstheme="minorHAnsi"/>
          <w:szCs w:val="24"/>
          <w:lang w:val="en-US"/>
        </w:rPr>
      </w:pPr>
      <w:r w:rsidRPr="00741526">
        <w:rPr>
          <w:rFonts w:cstheme="minorHAnsi"/>
          <w:szCs w:val="24"/>
          <w:lang w:val="en-US"/>
        </w:rPr>
        <w:t>Based on discussion</w:t>
      </w:r>
      <w:r>
        <w:rPr>
          <w:rFonts w:cstheme="minorHAnsi"/>
          <w:szCs w:val="24"/>
          <w:lang w:val="en-US"/>
        </w:rPr>
        <w:t>s</w:t>
      </w:r>
      <w:r w:rsidRPr="00741526">
        <w:rPr>
          <w:rFonts w:cstheme="minorHAnsi"/>
          <w:szCs w:val="24"/>
          <w:lang w:val="en-US"/>
        </w:rPr>
        <w:t xml:space="preserve"> during the first meeting of TDAG-WG-DEC and informal consultations, the Chair </w:t>
      </w:r>
      <w:r>
        <w:rPr>
          <w:rFonts w:cstheme="minorHAnsi"/>
          <w:szCs w:val="24"/>
          <w:lang w:val="en-US"/>
        </w:rPr>
        <w:t xml:space="preserve">made a </w:t>
      </w:r>
      <w:r w:rsidRPr="00741526">
        <w:rPr>
          <w:rFonts w:cstheme="minorHAnsi"/>
          <w:szCs w:val="24"/>
          <w:lang w:val="en-US"/>
        </w:rPr>
        <w:t>propos</w:t>
      </w:r>
      <w:r>
        <w:rPr>
          <w:rFonts w:cstheme="minorHAnsi"/>
          <w:szCs w:val="24"/>
          <w:lang w:val="en-US"/>
        </w:rPr>
        <w:t>al to the second meeting for the</w:t>
      </w:r>
      <w:r w:rsidRPr="00741526">
        <w:rPr>
          <w:rFonts w:cstheme="minorHAnsi"/>
          <w:szCs w:val="24"/>
          <w:lang w:val="en-US"/>
        </w:rPr>
        <w:t xml:space="preserve"> </w:t>
      </w:r>
      <w:r w:rsidR="001C0047">
        <w:rPr>
          <w:rFonts w:cstheme="minorHAnsi"/>
          <w:szCs w:val="24"/>
          <w:lang w:val="en-US"/>
        </w:rPr>
        <w:t>title</w:t>
      </w:r>
      <w:r w:rsidRPr="00741526">
        <w:rPr>
          <w:rFonts w:cstheme="minorHAnsi"/>
          <w:szCs w:val="24"/>
          <w:lang w:val="en-US"/>
        </w:rPr>
        <w:t xml:space="preserve"> </w:t>
      </w:r>
      <w:r>
        <w:rPr>
          <w:rFonts w:cstheme="minorHAnsi"/>
          <w:szCs w:val="24"/>
          <w:lang w:val="en-US"/>
        </w:rPr>
        <w:t>of</w:t>
      </w:r>
      <w:r w:rsidRPr="00741526">
        <w:rPr>
          <w:rFonts w:cstheme="minorHAnsi"/>
          <w:szCs w:val="24"/>
          <w:lang w:val="en-US"/>
        </w:rPr>
        <w:t xml:space="preserve"> the Declaration</w:t>
      </w:r>
      <w:r>
        <w:rPr>
          <w:rFonts w:cstheme="minorHAnsi"/>
          <w:szCs w:val="24"/>
          <w:lang w:val="en-US"/>
        </w:rPr>
        <w:t xml:space="preserve">, ‘Universal and meaningful connectivity for an equitable digital future’, as outlined in Document </w:t>
      </w:r>
      <w:hyperlink r:id="rId25" w:history="1">
        <w:r w:rsidRPr="002960D9">
          <w:rPr>
            <w:rStyle w:val="Hyperlink"/>
            <w:szCs w:val="24"/>
          </w:rPr>
          <w:t>TDAG-WG-DEC/4</w:t>
        </w:r>
        <w:r w:rsidRPr="002960D9">
          <w:rPr>
            <w:rStyle w:val="Hyperlink"/>
          </w:rPr>
          <w:t>(Rev.1)</w:t>
        </w:r>
      </w:hyperlink>
      <w:r>
        <w:rPr>
          <w:rFonts w:cstheme="minorHAnsi"/>
          <w:szCs w:val="24"/>
          <w:lang w:val="en-US"/>
        </w:rPr>
        <w:t>. Following discussion</w:t>
      </w:r>
      <w:r w:rsidR="00770C91">
        <w:rPr>
          <w:rFonts w:cstheme="minorHAnsi"/>
          <w:szCs w:val="24"/>
          <w:lang w:val="en-US"/>
        </w:rPr>
        <w:t>s</w:t>
      </w:r>
      <w:r>
        <w:rPr>
          <w:rFonts w:cstheme="minorHAnsi"/>
          <w:szCs w:val="24"/>
          <w:lang w:val="en-US"/>
        </w:rPr>
        <w:t xml:space="preserve"> during the second meeting, the </w:t>
      </w:r>
      <w:r w:rsidR="00770C91">
        <w:rPr>
          <w:rFonts w:cstheme="minorHAnsi"/>
          <w:szCs w:val="24"/>
          <w:lang w:val="en-US"/>
        </w:rPr>
        <w:t>g</w:t>
      </w:r>
      <w:r>
        <w:rPr>
          <w:rFonts w:cstheme="minorHAnsi"/>
          <w:szCs w:val="24"/>
          <w:lang w:val="en-US"/>
        </w:rPr>
        <w:t xml:space="preserve">roup agreed </w:t>
      </w:r>
      <w:r w:rsidR="00E6773B">
        <w:rPr>
          <w:rFonts w:cstheme="minorHAnsi"/>
          <w:szCs w:val="24"/>
          <w:lang w:val="en-US"/>
        </w:rPr>
        <w:t xml:space="preserve">to revise </w:t>
      </w:r>
      <w:r>
        <w:rPr>
          <w:rFonts w:cstheme="minorHAnsi"/>
          <w:szCs w:val="24"/>
          <w:lang w:val="en-US"/>
        </w:rPr>
        <w:t xml:space="preserve">the title of the Declaration to </w:t>
      </w:r>
      <w:r w:rsidRPr="00741526">
        <w:rPr>
          <w:rFonts w:cstheme="minorHAnsi"/>
          <w:szCs w:val="24"/>
          <w:lang w:val="en-US"/>
        </w:rPr>
        <w:t>‘</w:t>
      </w:r>
      <w:r>
        <w:rPr>
          <w:rFonts w:cstheme="minorHAnsi"/>
          <w:szCs w:val="24"/>
          <w:lang w:val="en-US"/>
        </w:rPr>
        <w:t>U</w:t>
      </w:r>
      <w:r w:rsidRPr="00741526">
        <w:rPr>
          <w:rFonts w:cstheme="minorHAnsi"/>
          <w:szCs w:val="24"/>
          <w:lang w:val="en-US"/>
        </w:rPr>
        <w:t>niversal</w:t>
      </w:r>
      <w:r>
        <w:rPr>
          <w:rFonts w:cstheme="minorHAnsi"/>
          <w:szCs w:val="24"/>
          <w:lang w:val="en-US"/>
        </w:rPr>
        <w:t>,</w:t>
      </w:r>
      <w:r w:rsidRPr="00741526">
        <w:rPr>
          <w:rFonts w:cstheme="minorHAnsi"/>
          <w:szCs w:val="24"/>
          <w:lang w:val="en-US"/>
        </w:rPr>
        <w:t xml:space="preserve"> meaningful</w:t>
      </w:r>
      <w:r>
        <w:rPr>
          <w:rFonts w:cstheme="minorHAnsi"/>
          <w:szCs w:val="24"/>
          <w:lang w:val="en-US"/>
        </w:rPr>
        <w:t xml:space="preserve"> and affordable </w:t>
      </w:r>
      <w:r w:rsidRPr="00741526">
        <w:rPr>
          <w:rFonts w:cstheme="minorHAnsi"/>
          <w:szCs w:val="24"/>
          <w:lang w:val="en-US"/>
        </w:rPr>
        <w:t xml:space="preserve">connectivity for an </w:t>
      </w:r>
      <w:r>
        <w:rPr>
          <w:rFonts w:cstheme="minorHAnsi"/>
          <w:szCs w:val="24"/>
          <w:lang w:val="en-US"/>
        </w:rPr>
        <w:t>inclusive and sustainable</w:t>
      </w:r>
      <w:r w:rsidRPr="00741526">
        <w:rPr>
          <w:rFonts w:cstheme="minorHAnsi"/>
          <w:szCs w:val="24"/>
          <w:lang w:val="en-US"/>
        </w:rPr>
        <w:t xml:space="preserve"> digital future</w:t>
      </w:r>
      <w:r w:rsidR="006C3EDA">
        <w:rPr>
          <w:rFonts w:cstheme="minorHAnsi"/>
          <w:szCs w:val="24"/>
          <w:lang w:val="en-US"/>
        </w:rPr>
        <w:t>’</w:t>
      </w:r>
      <w:r>
        <w:rPr>
          <w:rFonts w:cstheme="minorHAnsi"/>
          <w:szCs w:val="24"/>
          <w:lang w:val="en-US"/>
        </w:rPr>
        <w:t xml:space="preserve">. Some Member State representatives expressed their preference for a shorter title, while others were in favor of a more comprehensive one. </w:t>
      </w:r>
    </w:p>
    <w:p w14:paraId="181FBFAA" w14:textId="02EBE90F" w:rsidR="00A22AF7" w:rsidRPr="00E546D3" w:rsidRDefault="00A1786C" w:rsidP="00C5334C">
      <w:pPr>
        <w:spacing w:after="120"/>
        <w:rPr>
          <w:rFonts w:cstheme="minorHAnsi"/>
          <w:szCs w:val="24"/>
        </w:rPr>
      </w:pPr>
      <w:r>
        <w:t>Also d</w:t>
      </w:r>
      <w:r w:rsidR="00A22AF7">
        <w:t>uring the second meeting</w:t>
      </w:r>
      <w:r w:rsidR="00E546D3">
        <w:t xml:space="preserve"> of the </w:t>
      </w:r>
      <w:r w:rsidR="00A437A2">
        <w:t>g</w:t>
      </w:r>
      <w:r w:rsidR="00E546D3">
        <w:t>roup</w:t>
      </w:r>
      <w:r w:rsidR="00A22AF7">
        <w:t xml:space="preserve">, the </w:t>
      </w:r>
      <w:r w:rsidR="000B229B">
        <w:t xml:space="preserve">TDAG-WG-DEC </w:t>
      </w:r>
      <w:r w:rsidR="00A22AF7">
        <w:t xml:space="preserve">Chair presented a draft annotated outline of the Baku Declaration (Document </w:t>
      </w:r>
      <w:hyperlink r:id="rId26" w:history="1">
        <w:r w:rsidR="00A22AF7" w:rsidRPr="002960D9">
          <w:rPr>
            <w:rStyle w:val="Hyperlink"/>
            <w:szCs w:val="24"/>
          </w:rPr>
          <w:t>TDAG-WG-DEC/4</w:t>
        </w:r>
        <w:r w:rsidR="00A22AF7" w:rsidRPr="002960D9">
          <w:rPr>
            <w:rStyle w:val="Hyperlink"/>
          </w:rPr>
          <w:t>(Rev.1)</w:t>
        </w:r>
      </w:hyperlink>
      <w:r w:rsidR="00A22AF7">
        <w:rPr>
          <w:rStyle w:val="Hyperlink"/>
          <w:szCs w:val="24"/>
        </w:rPr>
        <w:t>)</w:t>
      </w:r>
      <w:r w:rsidR="00E546D3" w:rsidRPr="00E546D3">
        <w:t xml:space="preserve"> </w:t>
      </w:r>
      <w:r w:rsidR="00630018" w:rsidRPr="005A1355">
        <w:rPr>
          <w:rFonts w:cstheme="minorHAnsi"/>
          <w:szCs w:val="24"/>
        </w:rPr>
        <w:t xml:space="preserve">comprising four main sections: Introduction, </w:t>
      </w:r>
      <w:r w:rsidR="00630018">
        <w:rPr>
          <w:rFonts w:cstheme="minorHAnsi"/>
          <w:szCs w:val="24"/>
        </w:rPr>
        <w:t>‘</w:t>
      </w:r>
      <w:r w:rsidR="00630018" w:rsidRPr="005A1355">
        <w:rPr>
          <w:rFonts w:cstheme="minorHAnsi"/>
          <w:szCs w:val="24"/>
        </w:rPr>
        <w:t>We declare,</w:t>
      </w:r>
      <w:r w:rsidR="00630018">
        <w:rPr>
          <w:rFonts w:cstheme="minorHAnsi"/>
          <w:szCs w:val="24"/>
        </w:rPr>
        <w:t>’</w:t>
      </w:r>
      <w:r w:rsidR="00630018" w:rsidRPr="005A1355">
        <w:rPr>
          <w:rFonts w:cstheme="minorHAnsi"/>
          <w:szCs w:val="24"/>
        </w:rPr>
        <w:t xml:space="preserve"> </w:t>
      </w:r>
      <w:r w:rsidR="00630018">
        <w:rPr>
          <w:rFonts w:cstheme="minorHAnsi"/>
          <w:szCs w:val="24"/>
        </w:rPr>
        <w:t>‘</w:t>
      </w:r>
      <w:r w:rsidR="00630018" w:rsidRPr="005A1355">
        <w:rPr>
          <w:rFonts w:cstheme="minorHAnsi"/>
          <w:szCs w:val="24"/>
        </w:rPr>
        <w:t>We commit,</w:t>
      </w:r>
      <w:r w:rsidR="00630018">
        <w:rPr>
          <w:rFonts w:cstheme="minorHAnsi"/>
          <w:szCs w:val="24"/>
        </w:rPr>
        <w:t>’</w:t>
      </w:r>
      <w:r w:rsidR="00630018" w:rsidRPr="005A1355">
        <w:rPr>
          <w:rFonts w:cstheme="minorHAnsi"/>
          <w:szCs w:val="24"/>
        </w:rPr>
        <w:t xml:space="preserve"> and Call to Action</w:t>
      </w:r>
      <w:r w:rsidR="00630018">
        <w:rPr>
          <w:rFonts w:cstheme="minorHAnsi"/>
          <w:szCs w:val="24"/>
        </w:rPr>
        <w:t xml:space="preserve">, </w:t>
      </w:r>
      <w:r w:rsidR="00E546D3" w:rsidRPr="00E546D3">
        <w:t>to stir the discussion on the structure and possible topics of the Declaration</w:t>
      </w:r>
      <w:r w:rsidR="00630018">
        <w:t>. He also highlighted</w:t>
      </w:r>
      <w:r w:rsidR="00A22AF7" w:rsidRPr="00A22AF7">
        <w:t xml:space="preserve"> the </w:t>
      </w:r>
      <w:r w:rsidR="00A22AF7">
        <w:t xml:space="preserve">rationale and thinking process behind the </w:t>
      </w:r>
      <w:r w:rsidR="00A22AF7" w:rsidRPr="00630018">
        <w:rPr>
          <w:rFonts w:cstheme="minorHAnsi"/>
          <w:szCs w:val="24"/>
        </w:rPr>
        <w:t>document</w:t>
      </w:r>
      <w:r w:rsidR="00630018">
        <w:rPr>
          <w:rFonts w:cstheme="minorHAnsi"/>
        </w:rPr>
        <w:t xml:space="preserve">, </w:t>
      </w:r>
      <w:r w:rsidR="00E546D3">
        <w:rPr>
          <w:rFonts w:cstheme="minorHAnsi"/>
          <w:szCs w:val="24"/>
        </w:rPr>
        <w:t>explain</w:t>
      </w:r>
      <w:r w:rsidR="00630018">
        <w:rPr>
          <w:rFonts w:cstheme="minorHAnsi"/>
          <w:szCs w:val="24"/>
        </w:rPr>
        <w:t>ing</w:t>
      </w:r>
      <w:r w:rsidR="00E546D3">
        <w:rPr>
          <w:rFonts w:cstheme="minorHAnsi"/>
          <w:szCs w:val="24"/>
        </w:rPr>
        <w:t xml:space="preserve"> that the </w:t>
      </w:r>
      <w:r w:rsidR="00A22AF7" w:rsidRPr="0075636E">
        <w:t xml:space="preserve">draft outline was informed by the original mapping of topics in the Kigali Declaration and new and emerging topics </w:t>
      </w:r>
      <w:r w:rsidR="00E178EC">
        <w:t>a</w:t>
      </w:r>
      <w:r w:rsidR="00A22AF7" w:rsidRPr="0075636E">
        <w:t xml:space="preserve">s contained in Document </w:t>
      </w:r>
      <w:hyperlink r:id="rId27" w:history="1">
        <w:r w:rsidR="00A22AF7" w:rsidRPr="0075636E">
          <w:rPr>
            <w:rStyle w:val="Hyperlink"/>
            <w:szCs w:val="24"/>
          </w:rPr>
          <w:t>TDAG-WG-DEC/INF/</w:t>
        </w:r>
      </w:hyperlink>
      <w:r w:rsidR="00A22AF7" w:rsidRPr="0075636E">
        <w:rPr>
          <w:rStyle w:val="Hyperlink"/>
          <w:szCs w:val="24"/>
        </w:rPr>
        <w:t>1</w:t>
      </w:r>
      <w:r w:rsidR="00A22AF7" w:rsidRPr="0075636E">
        <w:t>.</w:t>
      </w:r>
    </w:p>
    <w:p w14:paraId="51962F60" w14:textId="757F0D2A" w:rsidR="001E668A" w:rsidRDefault="00A22AF7" w:rsidP="00C5334C">
      <w:pPr>
        <w:overflowPunct/>
        <w:autoSpaceDE/>
        <w:autoSpaceDN/>
        <w:adjustRightInd/>
        <w:spacing w:after="120"/>
        <w:textAlignment w:val="auto"/>
        <w:rPr>
          <w:rFonts w:cstheme="minorHAnsi"/>
          <w:szCs w:val="24"/>
        </w:rPr>
      </w:pPr>
      <w:r w:rsidRPr="00741526">
        <w:rPr>
          <w:rFonts w:cstheme="minorHAnsi"/>
          <w:szCs w:val="24"/>
        </w:rPr>
        <w:t xml:space="preserve">Building on </w:t>
      </w:r>
      <w:r>
        <w:rPr>
          <w:rFonts w:cstheme="minorHAnsi"/>
          <w:szCs w:val="24"/>
        </w:rPr>
        <w:t xml:space="preserve">the </w:t>
      </w:r>
      <w:r w:rsidRPr="00741526">
        <w:rPr>
          <w:rFonts w:cstheme="minorHAnsi"/>
          <w:szCs w:val="24"/>
        </w:rPr>
        <w:t>feedback received during the second meeting of TDAG-WG-DEC, the Chair prepare</w:t>
      </w:r>
      <w:r w:rsidR="00ED559B">
        <w:rPr>
          <w:rFonts w:cstheme="minorHAnsi"/>
          <w:szCs w:val="24"/>
        </w:rPr>
        <w:t>d</w:t>
      </w:r>
      <w:r w:rsidRPr="00741526">
        <w:rPr>
          <w:rFonts w:cstheme="minorHAnsi"/>
          <w:szCs w:val="24"/>
        </w:rPr>
        <w:t xml:space="preserve"> </w:t>
      </w:r>
      <w:r w:rsidR="00A437A2">
        <w:rPr>
          <w:rFonts w:cstheme="minorHAnsi"/>
          <w:szCs w:val="24"/>
        </w:rPr>
        <w:t xml:space="preserve">and presented </w:t>
      </w:r>
      <w:r w:rsidR="00E178EC" w:rsidRPr="00A22AF7">
        <w:t>an initial proposal</w:t>
      </w:r>
      <w:r w:rsidR="00E178EC">
        <w:t xml:space="preserve"> of a </w:t>
      </w:r>
      <w:r w:rsidRPr="00741526">
        <w:rPr>
          <w:rFonts w:cstheme="minorHAnsi"/>
          <w:szCs w:val="24"/>
        </w:rPr>
        <w:t xml:space="preserve">narrative for the </w:t>
      </w:r>
      <w:r w:rsidR="00CC19C4">
        <w:rPr>
          <w:rFonts w:cstheme="minorHAnsi"/>
          <w:szCs w:val="24"/>
        </w:rPr>
        <w:t xml:space="preserve">Baku </w:t>
      </w:r>
      <w:r w:rsidRPr="00741526">
        <w:rPr>
          <w:rFonts w:cstheme="minorHAnsi"/>
          <w:szCs w:val="24"/>
        </w:rPr>
        <w:t xml:space="preserve">Declaration </w:t>
      </w:r>
      <w:r w:rsidR="00A437A2">
        <w:t>to</w:t>
      </w:r>
      <w:r w:rsidR="00E178EC">
        <w:t xml:space="preserve"> the </w:t>
      </w:r>
      <w:r w:rsidR="00647C6C">
        <w:t xml:space="preserve">third </w:t>
      </w:r>
      <w:r w:rsidR="00E178EC">
        <w:t>meeting</w:t>
      </w:r>
      <w:r w:rsidR="00E178EC" w:rsidRPr="00741526">
        <w:rPr>
          <w:rFonts w:cstheme="minorHAnsi"/>
          <w:szCs w:val="24"/>
        </w:rPr>
        <w:t xml:space="preserve"> </w:t>
      </w:r>
      <w:r w:rsidR="000F527C">
        <w:rPr>
          <w:rFonts w:cstheme="minorHAnsi"/>
          <w:szCs w:val="24"/>
        </w:rPr>
        <w:t xml:space="preserve">(Document </w:t>
      </w:r>
      <w:hyperlink r:id="rId28" w:history="1">
        <w:r w:rsidR="00F665FC" w:rsidRPr="00F665FC">
          <w:rPr>
            <w:rStyle w:val="Hyperlink"/>
            <w:rFonts w:cstheme="minorHAnsi"/>
            <w:szCs w:val="24"/>
          </w:rPr>
          <w:t>TDAG-WG-DEC/9</w:t>
        </w:r>
      </w:hyperlink>
      <w:r w:rsidR="000F527C">
        <w:rPr>
          <w:rFonts w:cstheme="minorHAnsi"/>
          <w:szCs w:val="24"/>
        </w:rPr>
        <w:t>)</w:t>
      </w:r>
      <w:r w:rsidR="00735ACE">
        <w:rPr>
          <w:rFonts w:cstheme="minorHAnsi"/>
          <w:szCs w:val="24"/>
        </w:rPr>
        <w:t xml:space="preserve">, </w:t>
      </w:r>
      <w:r w:rsidR="00A437A2" w:rsidRPr="00A437A2">
        <w:rPr>
          <w:rFonts w:cstheme="minorHAnsi"/>
          <w:szCs w:val="24"/>
        </w:rPr>
        <w:t xml:space="preserve">inviting input from the group while noting general comments and suggested revisions. Based on the </w:t>
      </w:r>
      <w:r w:rsidR="00735ACE">
        <w:rPr>
          <w:rFonts w:cstheme="minorHAnsi"/>
          <w:szCs w:val="24"/>
        </w:rPr>
        <w:t>substanti</w:t>
      </w:r>
      <w:r w:rsidR="00AE63C2">
        <w:rPr>
          <w:rFonts w:cstheme="minorHAnsi"/>
          <w:szCs w:val="24"/>
        </w:rPr>
        <w:t>ve</w:t>
      </w:r>
      <w:r w:rsidR="00735ACE">
        <w:rPr>
          <w:rFonts w:cstheme="minorHAnsi"/>
          <w:szCs w:val="24"/>
        </w:rPr>
        <w:t xml:space="preserve"> </w:t>
      </w:r>
      <w:r w:rsidR="00A437A2" w:rsidRPr="00A437A2">
        <w:rPr>
          <w:rFonts w:cstheme="minorHAnsi"/>
          <w:szCs w:val="24"/>
        </w:rPr>
        <w:t>discussion, the Chair prepare</w:t>
      </w:r>
      <w:r w:rsidR="00735ACE">
        <w:rPr>
          <w:rFonts w:cstheme="minorHAnsi"/>
          <w:szCs w:val="24"/>
        </w:rPr>
        <w:t>d</w:t>
      </w:r>
      <w:r w:rsidR="00A437A2" w:rsidRPr="00A437A2">
        <w:rPr>
          <w:rFonts w:cstheme="minorHAnsi"/>
          <w:szCs w:val="24"/>
        </w:rPr>
        <w:t xml:space="preserve"> a revised draft proposal</w:t>
      </w:r>
      <w:r w:rsidR="00735ACE">
        <w:rPr>
          <w:rFonts w:cstheme="minorHAnsi"/>
          <w:szCs w:val="24"/>
        </w:rPr>
        <w:t xml:space="preserve"> (</w:t>
      </w:r>
      <w:r w:rsidR="00B44B6D">
        <w:rPr>
          <w:rFonts w:cstheme="minorHAnsi"/>
          <w:szCs w:val="24"/>
        </w:rPr>
        <w:t>Annex 1 here b</w:t>
      </w:r>
      <w:r w:rsidR="00B44B6D" w:rsidRPr="00C5334C">
        <w:rPr>
          <w:rFonts w:cstheme="minorHAnsi"/>
          <w:szCs w:val="24"/>
        </w:rPr>
        <w:t xml:space="preserve">elow and </w:t>
      </w:r>
      <w:r w:rsidR="00735ACE" w:rsidRPr="00C5334C">
        <w:rPr>
          <w:rFonts w:cstheme="minorHAnsi"/>
          <w:szCs w:val="24"/>
        </w:rPr>
        <w:t xml:space="preserve">Document </w:t>
      </w:r>
      <w:hyperlink r:id="rId29" w:history="1">
        <w:r w:rsidR="00C5334C" w:rsidRPr="00C5334C">
          <w:rPr>
            <w:rStyle w:val="Hyperlink"/>
            <w:szCs w:val="24"/>
          </w:rPr>
          <w:t>TDAG-WG-DEC/12</w:t>
        </w:r>
      </w:hyperlink>
      <w:r w:rsidR="00735ACE" w:rsidRPr="00C5334C">
        <w:rPr>
          <w:rFonts w:cstheme="minorHAnsi"/>
          <w:szCs w:val="24"/>
        </w:rPr>
        <w:t>)</w:t>
      </w:r>
      <w:r w:rsidR="00A437A2" w:rsidRPr="00C5334C">
        <w:rPr>
          <w:rFonts w:cstheme="minorHAnsi"/>
          <w:szCs w:val="24"/>
        </w:rPr>
        <w:t>, w</w:t>
      </w:r>
      <w:r w:rsidR="00A437A2" w:rsidRPr="00A437A2">
        <w:rPr>
          <w:rFonts w:cstheme="minorHAnsi"/>
          <w:szCs w:val="24"/>
        </w:rPr>
        <w:t xml:space="preserve">hich will be </w:t>
      </w:r>
      <w:r w:rsidR="009D2FC9">
        <w:rPr>
          <w:rFonts w:cstheme="minorHAnsi"/>
          <w:szCs w:val="24"/>
        </w:rPr>
        <w:t>open for discussion</w:t>
      </w:r>
      <w:r w:rsidR="00A437A2" w:rsidRPr="00A437A2">
        <w:rPr>
          <w:rFonts w:cstheme="minorHAnsi"/>
          <w:szCs w:val="24"/>
        </w:rPr>
        <w:t xml:space="preserve"> and finalized at the group’s </w:t>
      </w:r>
      <w:r w:rsidR="007F6A5D">
        <w:rPr>
          <w:rFonts w:cstheme="minorHAnsi"/>
          <w:szCs w:val="24"/>
        </w:rPr>
        <w:t>fou</w:t>
      </w:r>
      <w:r w:rsidR="00462AB9">
        <w:rPr>
          <w:rFonts w:cstheme="minorHAnsi"/>
          <w:szCs w:val="24"/>
        </w:rPr>
        <w:t>r</w:t>
      </w:r>
      <w:r w:rsidR="007F6A5D">
        <w:rPr>
          <w:rFonts w:cstheme="minorHAnsi"/>
          <w:szCs w:val="24"/>
        </w:rPr>
        <w:t>th</w:t>
      </w:r>
      <w:r w:rsidR="00A437A2" w:rsidRPr="00A437A2">
        <w:rPr>
          <w:rFonts w:cstheme="minorHAnsi"/>
          <w:szCs w:val="24"/>
        </w:rPr>
        <w:t xml:space="preserve"> meeting.</w:t>
      </w:r>
    </w:p>
    <w:p w14:paraId="00A262D2" w14:textId="0E8B11AF" w:rsidR="009D593D" w:rsidRPr="00C40E2E" w:rsidRDefault="008A5837" w:rsidP="00C5334C">
      <w:pPr>
        <w:pStyle w:val="ListParagraph"/>
        <w:keepNext/>
        <w:numPr>
          <w:ilvl w:val="0"/>
          <w:numId w:val="3"/>
        </w:numPr>
        <w:spacing w:after="120"/>
        <w:ind w:left="357" w:hanging="357"/>
        <w:contextualSpacing w:val="0"/>
        <w:rPr>
          <w:b/>
          <w:bCs/>
        </w:rPr>
      </w:pPr>
      <w:r>
        <w:rPr>
          <w:b/>
          <w:bCs/>
        </w:rPr>
        <w:t>Consult</w:t>
      </w:r>
      <w:r w:rsidR="00AA3C8A">
        <w:rPr>
          <w:b/>
          <w:bCs/>
        </w:rPr>
        <w:t>ations and w</w:t>
      </w:r>
      <w:r>
        <w:rPr>
          <w:b/>
          <w:bCs/>
        </w:rPr>
        <w:t>ay forward</w:t>
      </w:r>
    </w:p>
    <w:p w14:paraId="5FBC0966" w14:textId="1F80A2FF" w:rsidR="00975305" w:rsidRPr="00975305" w:rsidRDefault="00975305" w:rsidP="00C5334C">
      <w:pPr>
        <w:spacing w:after="120"/>
        <w:rPr>
          <w:szCs w:val="24"/>
        </w:rPr>
      </w:pPr>
      <w:r w:rsidRPr="00975305">
        <w:rPr>
          <w:szCs w:val="24"/>
        </w:rPr>
        <w:t xml:space="preserve">Regional Telecommunication Organizations were invited to provide progress reports on their preparations for WTDC-25 during each </w:t>
      </w:r>
      <w:r>
        <w:rPr>
          <w:szCs w:val="24"/>
        </w:rPr>
        <w:t xml:space="preserve">group </w:t>
      </w:r>
      <w:r w:rsidRPr="00975305">
        <w:rPr>
          <w:szCs w:val="24"/>
        </w:rPr>
        <w:t>meeting.</w:t>
      </w:r>
    </w:p>
    <w:p w14:paraId="46BF89DE" w14:textId="4E17A6CC" w:rsidR="00E178EC" w:rsidRDefault="00AA3C8A" w:rsidP="00C5334C">
      <w:pPr>
        <w:tabs>
          <w:tab w:val="clear" w:pos="794"/>
          <w:tab w:val="clear" w:pos="1191"/>
          <w:tab w:val="clear" w:pos="1588"/>
          <w:tab w:val="clear" w:pos="1985"/>
          <w:tab w:val="left" w:pos="828"/>
          <w:tab w:val="left" w:pos="6532"/>
        </w:tabs>
        <w:spacing w:after="120"/>
      </w:pPr>
      <w:r>
        <w:lastRenderedPageBreak/>
        <w:t>T</w:t>
      </w:r>
      <w:r w:rsidR="00E178EC">
        <w:t>he TDAG-WG-DEC Chair provide</w:t>
      </w:r>
      <w:r w:rsidR="00741EFC">
        <w:t>d</w:t>
      </w:r>
      <w:r w:rsidR="00E178EC">
        <w:t xml:space="preserve"> progress </w:t>
      </w:r>
      <w:r>
        <w:t xml:space="preserve">reports </w:t>
      </w:r>
      <w:r w:rsidR="00E178EC">
        <w:t xml:space="preserve">of the </w:t>
      </w:r>
      <w:r w:rsidR="00741EFC">
        <w:t>g</w:t>
      </w:r>
      <w:r w:rsidR="00E178EC">
        <w:t>roup</w:t>
      </w:r>
      <w:r>
        <w:t>’s work</w:t>
      </w:r>
      <w:r w:rsidR="00E178EC">
        <w:t xml:space="preserve"> to the Regional Preparatory Meetings (RPMs) in the </w:t>
      </w:r>
      <w:r>
        <w:t>lead-up</w:t>
      </w:r>
      <w:r w:rsidR="00E178EC">
        <w:t xml:space="preserve"> to WTDC-25. </w:t>
      </w:r>
    </w:p>
    <w:p w14:paraId="4450C8DD" w14:textId="77777777" w:rsidR="001D08F5" w:rsidRDefault="001D08F5" w:rsidP="00C5334C">
      <w:pPr>
        <w:tabs>
          <w:tab w:val="clear" w:pos="794"/>
          <w:tab w:val="clear" w:pos="1191"/>
          <w:tab w:val="clear" w:pos="1588"/>
          <w:tab w:val="clear" w:pos="1985"/>
          <w:tab w:val="left" w:pos="828"/>
          <w:tab w:val="left" w:pos="6532"/>
        </w:tabs>
        <w:spacing w:after="120"/>
      </w:pPr>
      <w:r>
        <w:t xml:space="preserve">The next TDAG-WG-DEC meeting will be held virtually on 15 April 2025. </w:t>
      </w:r>
    </w:p>
    <w:p w14:paraId="69B70EE0" w14:textId="7BBFF8AE" w:rsidR="00EC6FED" w:rsidRDefault="00E178EC" w:rsidP="00C5334C">
      <w:pPr>
        <w:tabs>
          <w:tab w:val="clear" w:pos="794"/>
          <w:tab w:val="clear" w:pos="1191"/>
          <w:tab w:val="clear" w:pos="1588"/>
          <w:tab w:val="clear" w:pos="1985"/>
          <w:tab w:val="left" w:pos="828"/>
          <w:tab w:val="left" w:pos="6532"/>
        </w:tabs>
        <w:spacing w:after="120"/>
        <w:rPr>
          <w:rFonts w:cstheme="minorHAnsi"/>
          <w:szCs w:val="24"/>
        </w:rPr>
      </w:pPr>
      <w:r w:rsidRPr="00741526">
        <w:rPr>
          <w:rFonts w:cstheme="minorHAnsi"/>
          <w:szCs w:val="24"/>
        </w:rPr>
        <w:t xml:space="preserve">The final version of the narrative agreed </w:t>
      </w:r>
      <w:r w:rsidR="003B15B9">
        <w:rPr>
          <w:rFonts w:cstheme="minorHAnsi"/>
          <w:szCs w:val="24"/>
        </w:rPr>
        <w:t xml:space="preserve">upon </w:t>
      </w:r>
      <w:r w:rsidRPr="00741526">
        <w:rPr>
          <w:rFonts w:cstheme="minorHAnsi"/>
          <w:szCs w:val="24"/>
        </w:rPr>
        <w:t xml:space="preserve">by </w:t>
      </w:r>
      <w:r w:rsidR="001405DA">
        <w:rPr>
          <w:rFonts w:cstheme="minorHAnsi"/>
          <w:szCs w:val="24"/>
        </w:rPr>
        <w:t>TDAG-WG-DEC</w:t>
      </w:r>
      <w:r w:rsidRPr="00741526">
        <w:rPr>
          <w:rFonts w:cstheme="minorHAnsi"/>
          <w:szCs w:val="24"/>
        </w:rPr>
        <w:t xml:space="preserve"> </w:t>
      </w:r>
      <w:r w:rsidR="001405DA">
        <w:rPr>
          <w:rFonts w:cstheme="minorHAnsi"/>
          <w:szCs w:val="24"/>
        </w:rPr>
        <w:t xml:space="preserve">at its </w:t>
      </w:r>
      <w:r w:rsidR="00306EC7">
        <w:rPr>
          <w:rFonts w:cstheme="minorHAnsi"/>
          <w:szCs w:val="24"/>
        </w:rPr>
        <w:t>last</w:t>
      </w:r>
      <w:r w:rsidR="001405DA">
        <w:rPr>
          <w:rFonts w:cstheme="minorHAnsi"/>
          <w:szCs w:val="24"/>
        </w:rPr>
        <w:t xml:space="preserve"> meeting </w:t>
      </w:r>
      <w:r w:rsidR="00990C16">
        <w:rPr>
          <w:rFonts w:cstheme="minorHAnsi"/>
          <w:szCs w:val="24"/>
        </w:rPr>
        <w:t>will be</w:t>
      </w:r>
      <w:r w:rsidRPr="00741526">
        <w:rPr>
          <w:rFonts w:cstheme="minorHAnsi"/>
          <w:szCs w:val="24"/>
        </w:rPr>
        <w:t xml:space="preserve"> </w:t>
      </w:r>
      <w:r w:rsidR="003B15B9">
        <w:rPr>
          <w:rFonts w:cstheme="minorHAnsi"/>
          <w:szCs w:val="24"/>
        </w:rPr>
        <w:t xml:space="preserve">presented </w:t>
      </w:r>
      <w:r w:rsidRPr="00741526">
        <w:rPr>
          <w:rFonts w:cstheme="minorHAnsi"/>
          <w:szCs w:val="24"/>
        </w:rPr>
        <w:t xml:space="preserve">for further consideration </w:t>
      </w:r>
      <w:r w:rsidR="00BE4C57">
        <w:rPr>
          <w:rFonts w:cstheme="minorHAnsi"/>
          <w:szCs w:val="24"/>
        </w:rPr>
        <w:t>to</w:t>
      </w:r>
      <w:r w:rsidR="00EF4315">
        <w:rPr>
          <w:rFonts w:cstheme="minorHAnsi"/>
          <w:szCs w:val="24"/>
        </w:rPr>
        <w:t xml:space="preserve"> </w:t>
      </w:r>
      <w:r w:rsidRPr="00741526">
        <w:rPr>
          <w:rFonts w:cstheme="minorHAnsi"/>
          <w:szCs w:val="24"/>
        </w:rPr>
        <w:t>TDAG-25 and submission as input to WTDC</w:t>
      </w:r>
      <w:r>
        <w:rPr>
          <w:rFonts w:cstheme="minorHAnsi"/>
          <w:szCs w:val="24"/>
        </w:rPr>
        <w:t>-25</w:t>
      </w:r>
      <w:r w:rsidRPr="00741526">
        <w:rPr>
          <w:rFonts w:cstheme="minorHAnsi"/>
          <w:szCs w:val="24"/>
        </w:rPr>
        <w:t>.</w:t>
      </w:r>
    </w:p>
    <w:p w14:paraId="4C0621CE" w14:textId="224BC57D" w:rsidR="00EF0E00" w:rsidRDefault="00EF0E00">
      <w:pPr>
        <w:tabs>
          <w:tab w:val="clear" w:pos="794"/>
          <w:tab w:val="clear" w:pos="1191"/>
          <w:tab w:val="clear" w:pos="1588"/>
          <w:tab w:val="clear" w:pos="1985"/>
        </w:tabs>
        <w:overflowPunct/>
        <w:autoSpaceDE/>
        <w:autoSpaceDN/>
        <w:adjustRightInd/>
        <w:spacing w:before="0"/>
        <w:textAlignment w:val="auto"/>
        <w:rPr>
          <w:rFonts w:cstheme="minorHAnsi"/>
          <w:szCs w:val="24"/>
        </w:rPr>
      </w:pPr>
      <w:r>
        <w:rPr>
          <w:rFonts w:cstheme="minorHAnsi"/>
          <w:szCs w:val="24"/>
        </w:rPr>
        <w:br w:type="page"/>
      </w:r>
    </w:p>
    <w:p w14:paraId="116CBB17" w14:textId="6D7ECC25" w:rsidR="00B22C73" w:rsidRPr="00C5334C" w:rsidRDefault="00B22C73" w:rsidP="00B22C73">
      <w:pPr>
        <w:tabs>
          <w:tab w:val="clear" w:pos="794"/>
          <w:tab w:val="clear" w:pos="1191"/>
          <w:tab w:val="clear" w:pos="1588"/>
          <w:tab w:val="clear" w:pos="1985"/>
          <w:tab w:val="left" w:pos="828"/>
          <w:tab w:val="left" w:pos="6532"/>
        </w:tabs>
        <w:spacing w:after="120"/>
        <w:jc w:val="center"/>
        <w:rPr>
          <w:b/>
          <w:bCs/>
        </w:rPr>
      </w:pPr>
      <w:r w:rsidRPr="00C5334C">
        <w:rPr>
          <w:b/>
          <w:bCs/>
        </w:rPr>
        <w:lastRenderedPageBreak/>
        <w:t>ANNEX 1</w:t>
      </w:r>
    </w:p>
    <w:p w14:paraId="39140AC3" w14:textId="61890879" w:rsidR="00EF0E00" w:rsidRDefault="00B22C73" w:rsidP="00B22C73">
      <w:pPr>
        <w:tabs>
          <w:tab w:val="clear" w:pos="794"/>
          <w:tab w:val="clear" w:pos="1191"/>
          <w:tab w:val="clear" w:pos="1588"/>
          <w:tab w:val="clear" w:pos="1985"/>
          <w:tab w:val="left" w:pos="828"/>
          <w:tab w:val="left" w:pos="6532"/>
        </w:tabs>
        <w:spacing w:after="120"/>
        <w:jc w:val="center"/>
        <w:rPr>
          <w:b/>
          <w:bCs/>
          <w:szCs w:val="28"/>
        </w:rPr>
      </w:pPr>
      <w:r w:rsidRPr="00B22C73">
        <w:rPr>
          <w:b/>
          <w:bCs/>
        </w:rPr>
        <w:t xml:space="preserve">TDAG-WG-DEC CHAIR’S </w:t>
      </w:r>
      <w:r w:rsidR="008C26FA">
        <w:rPr>
          <w:b/>
          <w:bCs/>
        </w:rPr>
        <w:t xml:space="preserve">DRAFT </w:t>
      </w:r>
      <w:r w:rsidRPr="00B22C73">
        <w:rPr>
          <w:b/>
          <w:bCs/>
          <w:szCs w:val="28"/>
        </w:rPr>
        <w:t>PROPOSAL FOR THE BAKU DECLARATION 2025</w:t>
      </w:r>
    </w:p>
    <w:p w14:paraId="6F17CEE8" w14:textId="77777777" w:rsidR="00C5334C" w:rsidRPr="00B22C73" w:rsidRDefault="00C5334C" w:rsidP="00EB255C">
      <w:pPr>
        <w:tabs>
          <w:tab w:val="clear" w:pos="794"/>
          <w:tab w:val="clear" w:pos="1191"/>
          <w:tab w:val="clear" w:pos="1588"/>
          <w:tab w:val="clear" w:pos="1985"/>
          <w:tab w:val="left" w:pos="828"/>
          <w:tab w:val="left" w:pos="6532"/>
        </w:tabs>
        <w:spacing w:after="120"/>
        <w:jc w:val="center"/>
        <w:rPr>
          <w:b/>
          <w:bCs/>
          <w:szCs w:val="28"/>
        </w:rPr>
      </w:pPr>
    </w:p>
    <w:p w14:paraId="102C81FE" w14:textId="77777777" w:rsidR="005A46E2" w:rsidRPr="005904A8" w:rsidRDefault="005A46E2" w:rsidP="00EB255C">
      <w:pPr>
        <w:spacing w:after="120"/>
        <w:rPr>
          <w:rFonts w:cstheme="minorHAnsi"/>
          <w:szCs w:val="24"/>
        </w:rPr>
      </w:pPr>
      <w:r w:rsidRPr="005904A8">
        <w:rPr>
          <w:rFonts w:cstheme="minorHAnsi"/>
          <w:szCs w:val="24"/>
        </w:rPr>
        <w:t>We, the representatives of ITU Member States endorse the present Declaration at the ninth World Telecommunication Development Conference (WTDC-25), which took place in Baku, Republic of Azerbaijan from 17 to 28 November 2025 under the theme ’Universal, meaningful and affordable connectivity for an inclusive and sustainable digital future’.</w:t>
      </w:r>
    </w:p>
    <w:p w14:paraId="1683AF10" w14:textId="77777777" w:rsidR="005A46E2" w:rsidRPr="005904A8" w:rsidRDefault="005A46E2" w:rsidP="00EB255C">
      <w:pPr>
        <w:spacing w:after="120"/>
        <w:rPr>
          <w:rFonts w:cstheme="minorHAnsi"/>
          <w:b/>
          <w:bCs/>
          <w:szCs w:val="24"/>
        </w:rPr>
      </w:pPr>
      <w:r w:rsidRPr="005904A8">
        <w:rPr>
          <w:rFonts w:cstheme="minorHAnsi"/>
          <w:szCs w:val="24"/>
        </w:rPr>
        <w:t xml:space="preserve">We reaffirm our unwavering commitment to the global development community and to advancing our shared objective of driving sustainable and equitable digital transformation and inclusive growth globally, building on the outcomes of WTDC-25 and recent </w:t>
      </w:r>
      <w:r>
        <w:rPr>
          <w:rFonts w:cstheme="minorHAnsi"/>
          <w:szCs w:val="24"/>
        </w:rPr>
        <w:t>United Nations</w:t>
      </w:r>
      <w:r w:rsidRPr="005904A8">
        <w:rPr>
          <w:rFonts w:cstheme="minorHAnsi"/>
          <w:szCs w:val="24"/>
        </w:rPr>
        <w:t xml:space="preserve"> processes and conferences as well as the 2030 Agenda for Sustainable Development</w:t>
      </w:r>
      <w:r>
        <w:rPr>
          <w:rFonts w:cstheme="minorHAnsi"/>
          <w:szCs w:val="24"/>
        </w:rPr>
        <w:t xml:space="preserve"> and the Sustainable Development Goals (SDGs)</w:t>
      </w:r>
      <w:r w:rsidRPr="005904A8">
        <w:rPr>
          <w:rFonts w:cstheme="minorHAnsi"/>
          <w:szCs w:val="24"/>
        </w:rPr>
        <w:t>.</w:t>
      </w:r>
    </w:p>
    <w:p w14:paraId="54DFBEB8" w14:textId="77777777" w:rsidR="005A46E2" w:rsidRPr="005904A8" w:rsidRDefault="005A46E2" w:rsidP="00EB255C">
      <w:pPr>
        <w:spacing w:after="120"/>
        <w:rPr>
          <w:rFonts w:cstheme="minorHAnsi"/>
          <w:szCs w:val="24"/>
        </w:rPr>
      </w:pPr>
      <w:r w:rsidRPr="005904A8">
        <w:rPr>
          <w:rFonts w:cstheme="minorHAnsi"/>
          <w:szCs w:val="24"/>
        </w:rPr>
        <w:t>We recognize the tremendous progress made in advancing ICT and digital development across all regions; however persistent challenges and disparities continue to hinder universal, meaningful and affordable connectivity, particularly in developing countries. We therefore remain resolved to address these through enhanced international cooperation and continued engagement in the work of the ITU Telecommunication Development Sector.</w:t>
      </w:r>
    </w:p>
    <w:p w14:paraId="26A484BE" w14:textId="77777777" w:rsidR="005A46E2" w:rsidRPr="005904A8" w:rsidRDefault="005A46E2" w:rsidP="00EB255C">
      <w:pPr>
        <w:spacing w:after="120"/>
        <w:rPr>
          <w:rFonts w:cstheme="minorHAnsi"/>
          <w:szCs w:val="24"/>
        </w:rPr>
      </w:pPr>
      <w:r w:rsidRPr="005904A8">
        <w:rPr>
          <w:rFonts w:cstheme="minorHAnsi"/>
          <w:szCs w:val="24"/>
        </w:rPr>
        <w:t>Mindful of the challenges and opportunities of digital transformation, we declare the following:</w:t>
      </w:r>
    </w:p>
    <w:p w14:paraId="10853615" w14:textId="77777777" w:rsidR="005A46E2" w:rsidRDefault="005A46E2" w:rsidP="00EB255C">
      <w:pPr>
        <w:pStyle w:val="ListParagraph"/>
        <w:numPr>
          <w:ilvl w:val="0"/>
          <w:numId w:val="6"/>
        </w:numPr>
        <w:spacing w:after="120"/>
        <w:contextualSpacing w:val="0"/>
        <w:rPr>
          <w:rFonts w:cstheme="minorHAnsi"/>
          <w:szCs w:val="24"/>
        </w:rPr>
      </w:pPr>
      <w:r w:rsidRPr="005904A8">
        <w:rPr>
          <w:rFonts w:cstheme="minorHAnsi"/>
          <w:b/>
          <w:bCs/>
          <w:szCs w:val="24"/>
        </w:rPr>
        <w:t xml:space="preserve">We are cognizant that </w:t>
      </w:r>
      <w:r>
        <w:rPr>
          <w:rFonts w:cstheme="minorHAnsi"/>
          <w:b/>
          <w:bCs/>
          <w:szCs w:val="24"/>
        </w:rPr>
        <w:t>telecommunication/ICTs, new</w:t>
      </w:r>
      <w:r w:rsidRPr="005904A8">
        <w:rPr>
          <w:rFonts w:cstheme="minorHAnsi"/>
          <w:b/>
          <w:bCs/>
          <w:szCs w:val="24"/>
        </w:rPr>
        <w:t xml:space="preserve"> and emerging technologies are drivers of economic prosperity and sustainable development across national, regional, and global digital ecosystems.</w:t>
      </w:r>
      <w:r w:rsidRPr="005904A8">
        <w:rPr>
          <w:rFonts w:cstheme="minorHAnsi"/>
          <w:szCs w:val="24"/>
        </w:rPr>
        <w:t xml:space="preserve"> Universal and meaningful connectivity stands as a critical priority towards the achievement of all SDGs. Networks, platforms, tools, data, and digital innovation create opportunities for enhancing governance, supporting entrepreneurship and improving livelihoods. Digital inclusion for youth is especially important for unlocking opportunities for learning and civic participation and preparing youth for future employment in the digital economy.</w:t>
      </w:r>
    </w:p>
    <w:p w14:paraId="7209A177" w14:textId="77777777" w:rsidR="005A46E2" w:rsidRDefault="005A46E2" w:rsidP="00EB255C">
      <w:pPr>
        <w:pStyle w:val="ListParagraph"/>
        <w:numPr>
          <w:ilvl w:val="0"/>
          <w:numId w:val="6"/>
        </w:numPr>
        <w:spacing w:after="120"/>
        <w:contextualSpacing w:val="0"/>
        <w:rPr>
          <w:rFonts w:cstheme="minorHAnsi"/>
          <w:szCs w:val="24"/>
        </w:rPr>
      </w:pPr>
      <w:r w:rsidRPr="005904A8">
        <w:rPr>
          <w:rFonts w:cstheme="minorHAnsi"/>
          <w:b/>
          <w:bCs/>
          <w:szCs w:val="24"/>
        </w:rPr>
        <w:t>We are deeply concerned that the digital world remains inaccessible for one-third of the global population</w:t>
      </w:r>
      <w:r w:rsidRPr="005904A8">
        <w:rPr>
          <w:rFonts w:cstheme="minorHAnsi"/>
          <w:szCs w:val="24"/>
        </w:rPr>
        <w:t xml:space="preserve"> and those who have never connected online are disproportionately concentrated in developing</w:t>
      </w:r>
      <w:r>
        <w:rPr>
          <w:rFonts w:cstheme="minorHAnsi"/>
          <w:szCs w:val="24"/>
        </w:rPr>
        <w:t xml:space="preserve"> countries, including</w:t>
      </w:r>
      <w:r w:rsidRPr="005904A8">
        <w:rPr>
          <w:rFonts w:cstheme="minorHAnsi"/>
          <w:szCs w:val="24"/>
        </w:rPr>
        <w:t xml:space="preserve"> least developed countries</w:t>
      </w:r>
      <w:r>
        <w:rPr>
          <w:rFonts w:cstheme="minorHAnsi"/>
          <w:szCs w:val="24"/>
        </w:rPr>
        <w:t xml:space="preserve"> (LDCs)</w:t>
      </w:r>
      <w:r w:rsidRPr="005904A8">
        <w:rPr>
          <w:rFonts w:cstheme="minorHAnsi"/>
          <w:szCs w:val="24"/>
        </w:rPr>
        <w:t>. Digital divides</w:t>
      </w:r>
      <w:r>
        <w:rPr>
          <w:rFonts w:cstheme="minorHAnsi"/>
          <w:szCs w:val="24"/>
        </w:rPr>
        <w:t xml:space="preserve">, such as limited access to broadband networks, </w:t>
      </w:r>
      <w:r w:rsidRPr="005904A8">
        <w:rPr>
          <w:rFonts w:cstheme="minorHAnsi"/>
          <w:szCs w:val="24"/>
        </w:rPr>
        <w:t>persist in rural areas, across income, gender and age groups and for vulnerable groups such as persons with disabilities. Among those connected, affordability and accessibility of digital services and devices, digital skills and reliable, secure online experience remain key barriers to digital inclusion.</w:t>
      </w:r>
    </w:p>
    <w:p w14:paraId="7B8BA193" w14:textId="77777777" w:rsidR="005A46E2" w:rsidRDefault="005A46E2" w:rsidP="00EB255C">
      <w:pPr>
        <w:pStyle w:val="ListParagraph"/>
        <w:numPr>
          <w:ilvl w:val="0"/>
          <w:numId w:val="6"/>
        </w:numPr>
        <w:spacing w:after="120"/>
        <w:contextualSpacing w:val="0"/>
        <w:rPr>
          <w:rFonts w:cstheme="minorHAnsi"/>
          <w:szCs w:val="24"/>
        </w:rPr>
      </w:pPr>
      <w:r w:rsidRPr="003346EA">
        <w:rPr>
          <w:rFonts w:cstheme="minorHAnsi"/>
          <w:b/>
          <w:bCs/>
          <w:szCs w:val="24"/>
        </w:rPr>
        <w:t>We acknowledge that at the backdrop of global challenges, rapid technology developments present unprecedented opportunities for building economic and ecological resilience.</w:t>
      </w:r>
      <w:r w:rsidRPr="003346EA">
        <w:rPr>
          <w:rFonts w:cstheme="minorHAnsi"/>
          <w:szCs w:val="24"/>
        </w:rPr>
        <w:t xml:space="preserve"> Climate change, natural hazards, economic downturns, energy transition issue</w:t>
      </w:r>
      <w:r>
        <w:rPr>
          <w:rFonts w:cstheme="minorHAnsi"/>
          <w:szCs w:val="24"/>
        </w:rPr>
        <w:t>s</w:t>
      </w:r>
      <w:r w:rsidRPr="003346EA">
        <w:rPr>
          <w:rFonts w:cstheme="minorHAnsi"/>
          <w:szCs w:val="24"/>
        </w:rPr>
        <w:t xml:space="preserve"> and supply challenges have adverse impacts that are disproportionately felt by developing countries, </w:t>
      </w:r>
      <w:r>
        <w:rPr>
          <w:rFonts w:cstheme="minorHAnsi"/>
          <w:szCs w:val="24"/>
        </w:rPr>
        <w:t>particularly</w:t>
      </w:r>
      <w:r w:rsidRPr="003346EA">
        <w:rPr>
          <w:rFonts w:cstheme="minorHAnsi"/>
          <w:szCs w:val="24"/>
        </w:rPr>
        <w:t xml:space="preserve"> LDCs, landlocked developing countries (LLDCs) and small island developing states (SIDS). These challenges risk impeding inclusive and sustainable digital transformation, further deepening inequalities. </w:t>
      </w:r>
    </w:p>
    <w:p w14:paraId="776EFFC9" w14:textId="77777777" w:rsidR="005A46E2" w:rsidRPr="003346EA" w:rsidRDefault="005A46E2" w:rsidP="00EB255C">
      <w:pPr>
        <w:pStyle w:val="ListParagraph"/>
        <w:numPr>
          <w:ilvl w:val="0"/>
          <w:numId w:val="6"/>
        </w:numPr>
        <w:spacing w:after="120"/>
        <w:contextualSpacing w:val="0"/>
        <w:rPr>
          <w:rFonts w:cstheme="minorHAnsi"/>
          <w:szCs w:val="24"/>
        </w:rPr>
      </w:pPr>
      <w:r w:rsidRPr="003346EA">
        <w:rPr>
          <w:rFonts w:cstheme="minorHAnsi"/>
          <w:szCs w:val="24"/>
        </w:rPr>
        <w:t xml:space="preserve">Guided by the principles of shared responsibility, solidarity and equity, </w:t>
      </w:r>
      <w:r w:rsidRPr="003346EA">
        <w:rPr>
          <w:rFonts w:cstheme="minorHAnsi"/>
          <w:b/>
          <w:bCs/>
          <w:szCs w:val="24"/>
        </w:rPr>
        <w:t>we urge for multi-stakeholder catalytic actions driven by collaboration</w:t>
      </w:r>
      <w:r w:rsidRPr="003346EA">
        <w:rPr>
          <w:rFonts w:cstheme="minorHAnsi"/>
          <w:szCs w:val="24"/>
        </w:rPr>
        <w:t xml:space="preserve"> among governments, the private sector</w:t>
      </w:r>
      <w:r>
        <w:rPr>
          <w:rFonts w:cstheme="minorHAnsi"/>
          <w:szCs w:val="24"/>
        </w:rPr>
        <w:t>, academia,</w:t>
      </w:r>
      <w:r w:rsidRPr="003346EA">
        <w:rPr>
          <w:rFonts w:cstheme="minorHAnsi"/>
          <w:szCs w:val="24"/>
        </w:rPr>
        <w:t xml:space="preserve"> civil society </w:t>
      </w:r>
      <w:r>
        <w:rPr>
          <w:rFonts w:cstheme="minorHAnsi"/>
          <w:szCs w:val="24"/>
        </w:rPr>
        <w:t xml:space="preserve">and other relevant stakeholders </w:t>
      </w:r>
      <w:r w:rsidRPr="003346EA">
        <w:rPr>
          <w:rFonts w:cstheme="minorHAnsi"/>
          <w:szCs w:val="24"/>
        </w:rPr>
        <w:t xml:space="preserve">both regionally and globally </w:t>
      </w:r>
      <w:r w:rsidRPr="003346EA">
        <w:rPr>
          <w:rFonts w:cstheme="minorHAnsi"/>
          <w:szCs w:val="24"/>
        </w:rPr>
        <w:lastRenderedPageBreak/>
        <w:t xml:space="preserve">to multiply the impact of development partnerships and assistance and achieve our shared objectives. </w:t>
      </w:r>
    </w:p>
    <w:p w14:paraId="396BD95E" w14:textId="77777777" w:rsidR="005A46E2" w:rsidRDefault="005A46E2" w:rsidP="00EB255C">
      <w:pPr>
        <w:pStyle w:val="ListParagraph"/>
        <w:numPr>
          <w:ilvl w:val="0"/>
          <w:numId w:val="6"/>
        </w:numPr>
        <w:spacing w:after="120"/>
        <w:contextualSpacing w:val="0"/>
        <w:rPr>
          <w:rFonts w:cstheme="minorHAnsi"/>
          <w:szCs w:val="24"/>
        </w:rPr>
      </w:pPr>
      <w:r w:rsidRPr="005904A8">
        <w:rPr>
          <w:rFonts w:cstheme="minorHAnsi"/>
          <w:b/>
          <w:bCs/>
          <w:szCs w:val="24"/>
        </w:rPr>
        <w:t xml:space="preserve">We reaffirm the </w:t>
      </w:r>
      <w:r w:rsidRPr="003346EA">
        <w:rPr>
          <w:rFonts w:cstheme="minorHAnsi"/>
          <w:b/>
          <w:bCs/>
          <w:szCs w:val="24"/>
        </w:rPr>
        <w:t>importance of leaving no one behind in digital transformation.</w:t>
      </w:r>
      <w:r w:rsidRPr="003346EA">
        <w:rPr>
          <w:rFonts w:cstheme="minorHAnsi"/>
          <w:szCs w:val="24"/>
        </w:rPr>
        <w:t xml:space="preserve"> It is therefore necessary to urgently and systematically address equality and </w:t>
      </w:r>
      <w:r>
        <w:rPr>
          <w:rFonts w:cstheme="minorHAnsi"/>
          <w:szCs w:val="24"/>
        </w:rPr>
        <w:t xml:space="preserve">ensure </w:t>
      </w:r>
      <w:r w:rsidRPr="003346EA">
        <w:rPr>
          <w:rFonts w:cstheme="minorHAnsi"/>
          <w:szCs w:val="24"/>
        </w:rPr>
        <w:t xml:space="preserve">equal opportunities for all, </w:t>
      </w:r>
      <w:r>
        <w:rPr>
          <w:rFonts w:cstheme="minorHAnsi"/>
          <w:szCs w:val="24"/>
        </w:rPr>
        <w:t>while promoting</w:t>
      </w:r>
      <w:r w:rsidRPr="005904A8">
        <w:rPr>
          <w:rFonts w:cstheme="minorHAnsi"/>
          <w:szCs w:val="24"/>
        </w:rPr>
        <w:t xml:space="preserve"> broad digital inclusion through holistic and adaptive policies and targeted ecosystem initiatives </w:t>
      </w:r>
      <w:r w:rsidRPr="00722C11">
        <w:rPr>
          <w:rFonts w:cstheme="minorHAnsi"/>
          <w:szCs w:val="24"/>
        </w:rPr>
        <w:t>and the use of intersectionality approaches</w:t>
      </w:r>
      <w:r w:rsidRPr="005904A8">
        <w:rPr>
          <w:rFonts w:cstheme="minorHAnsi"/>
          <w:szCs w:val="24"/>
        </w:rPr>
        <w:t xml:space="preserve">. </w:t>
      </w:r>
    </w:p>
    <w:p w14:paraId="7E69569C" w14:textId="77777777" w:rsidR="005A46E2" w:rsidRPr="005904A8" w:rsidRDefault="005A46E2" w:rsidP="00EB255C">
      <w:pPr>
        <w:spacing w:after="120"/>
        <w:rPr>
          <w:rFonts w:cstheme="minorHAnsi"/>
          <w:i/>
          <w:iCs/>
          <w:szCs w:val="24"/>
        </w:rPr>
      </w:pPr>
      <w:r w:rsidRPr="005904A8">
        <w:rPr>
          <w:rFonts w:cstheme="minorHAnsi"/>
          <w:szCs w:val="24"/>
        </w:rPr>
        <w:t xml:space="preserve">Laying the foundation for a concerted collective action during the 2026-2029 development cycle, we commit to the following: </w:t>
      </w:r>
    </w:p>
    <w:p w14:paraId="2A2CA77E" w14:textId="77777777" w:rsidR="005A46E2" w:rsidRPr="00C5334C" w:rsidRDefault="005A46E2" w:rsidP="00EB255C">
      <w:pPr>
        <w:numPr>
          <w:ilvl w:val="0"/>
          <w:numId w:val="5"/>
        </w:numPr>
        <w:tabs>
          <w:tab w:val="clear" w:pos="794"/>
          <w:tab w:val="clear" w:pos="1191"/>
          <w:tab w:val="clear" w:pos="1588"/>
          <w:tab w:val="clear" w:pos="1985"/>
        </w:tabs>
        <w:overflowPunct/>
        <w:autoSpaceDE/>
        <w:autoSpaceDN/>
        <w:adjustRightInd/>
        <w:spacing w:after="120"/>
        <w:textAlignment w:val="auto"/>
        <w:rPr>
          <w:rFonts w:cstheme="minorHAnsi"/>
          <w:b/>
          <w:bCs/>
          <w:szCs w:val="24"/>
        </w:rPr>
      </w:pPr>
      <w:r w:rsidRPr="00C5334C">
        <w:rPr>
          <w:rFonts w:cstheme="minorHAnsi"/>
          <w:b/>
          <w:bCs/>
          <w:szCs w:val="24"/>
        </w:rPr>
        <w:t xml:space="preserve">We will support the advancement of universal and meaningful connectivity, which includes accessible, affordable, high-quality, interoperable and secure telecommunication/ICT and digital infrastructures, devices, services and applications. Building extensive energy and digital infrastructure such as for high-speed fibre backbones and last-mile connectivity solutions using a mix of technologies is crucial to bridge development gaps. Robust infrastructure promotes trade, economies of scale and new business opportunities, strengthening the foundation for economic development. Beyond the economic benefits, digital public infrastructures and digital public goods are a strategic investment that creates positive spill-over effects across society in terms of education, health, gender equality and inclusion, among others. </w:t>
      </w:r>
    </w:p>
    <w:p w14:paraId="1CC9475C" w14:textId="77777777" w:rsidR="005A46E2" w:rsidRPr="00C5334C" w:rsidRDefault="005A46E2" w:rsidP="00EB255C">
      <w:pPr>
        <w:tabs>
          <w:tab w:val="clear" w:pos="794"/>
          <w:tab w:val="clear" w:pos="1191"/>
          <w:tab w:val="clear" w:pos="1588"/>
          <w:tab w:val="clear" w:pos="1985"/>
        </w:tabs>
        <w:overflowPunct/>
        <w:autoSpaceDE/>
        <w:autoSpaceDN/>
        <w:adjustRightInd/>
        <w:spacing w:after="120"/>
        <w:ind w:left="720"/>
        <w:textAlignment w:val="auto"/>
        <w:rPr>
          <w:rFonts w:cstheme="minorHAnsi"/>
          <w:szCs w:val="24"/>
        </w:rPr>
      </w:pPr>
      <w:r w:rsidRPr="00C5334C">
        <w:rPr>
          <w:rFonts w:cstheme="minorHAnsi"/>
          <w:b/>
          <w:bCs/>
          <w:szCs w:val="24"/>
        </w:rPr>
        <w:t xml:space="preserve">We underscore the importance of investment in and funding for environmentally sustainable infrastructure, e-waste and circular economy projects, clean and renewable energy and green technologies </w:t>
      </w:r>
      <w:r w:rsidRPr="00C5334C">
        <w:rPr>
          <w:rFonts w:cstheme="minorHAnsi"/>
          <w:szCs w:val="24"/>
        </w:rPr>
        <w:t>to support inclusive, long-term economic growth while reducing carbon emissions, enhancing energy security and using digital technology. Supported by robust data collection and monitoring, these efforts will play a role in climate change mitigation, adaptation and climate-resilient digital development. Moreover,</w:t>
      </w:r>
      <w:r w:rsidRPr="00C5334C">
        <w:rPr>
          <w:rFonts w:cstheme="minorHAnsi"/>
          <w:b/>
          <w:bCs/>
          <w:szCs w:val="24"/>
        </w:rPr>
        <w:t xml:space="preserve"> we believe that a well-integrated, multi-channel approach to emergency communications </w:t>
      </w:r>
      <w:r w:rsidRPr="00C5334C">
        <w:rPr>
          <w:rFonts w:cstheme="minorHAnsi"/>
          <w:szCs w:val="24"/>
        </w:rPr>
        <w:t>– including mobile early warning systems – is essential to ensuring that universal connectivity enables effective and timely outreach to all people at risk of natural hazards.</w:t>
      </w:r>
    </w:p>
    <w:p w14:paraId="6C566E30" w14:textId="77777777" w:rsidR="005A46E2" w:rsidRPr="00C5334C" w:rsidRDefault="005A46E2" w:rsidP="00EB255C">
      <w:pPr>
        <w:numPr>
          <w:ilvl w:val="0"/>
          <w:numId w:val="5"/>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C5334C">
        <w:rPr>
          <w:rFonts w:cstheme="minorHAnsi"/>
          <w:b/>
          <w:bCs/>
          <w:szCs w:val="24"/>
        </w:rPr>
        <w:t>We call upon all stakeholders to adopt people-centric, risk-informed and ethical approaches to digital transformation and emerging technologies.</w:t>
      </w:r>
      <w:r w:rsidRPr="00C5334C">
        <w:rPr>
          <w:rFonts w:cstheme="minorHAnsi"/>
          <w:szCs w:val="24"/>
        </w:rPr>
        <w:t xml:space="preserve"> </w:t>
      </w:r>
      <w:r w:rsidRPr="00C5334C">
        <w:t xml:space="preserve">We will advocate for the development of adaptive and well-aligned frameworks for ICT and digital markets and emerging technologies governance. Digital transformation requires a new level-playing field, increased investment flows and guardrails for responsible and sustainable digital, emerging and space technology development. An adequate policy response to rapid technological transformation requires strengthened institutional capabilities, agile and collaborative governance and the mainstreaming of evidence-based decision-making. </w:t>
      </w:r>
    </w:p>
    <w:p w14:paraId="4ACE1342" w14:textId="77777777" w:rsidR="005A46E2" w:rsidRPr="00C5334C" w:rsidRDefault="005A46E2" w:rsidP="00EB255C">
      <w:pPr>
        <w:tabs>
          <w:tab w:val="clear" w:pos="794"/>
          <w:tab w:val="clear" w:pos="1191"/>
          <w:tab w:val="clear" w:pos="1588"/>
          <w:tab w:val="clear" w:pos="1985"/>
        </w:tabs>
        <w:overflowPunct/>
        <w:autoSpaceDE/>
        <w:autoSpaceDN/>
        <w:adjustRightInd/>
        <w:spacing w:after="120"/>
        <w:ind w:left="720"/>
        <w:textAlignment w:val="auto"/>
        <w:rPr>
          <w:rFonts w:cstheme="minorHAnsi"/>
          <w:szCs w:val="24"/>
        </w:rPr>
      </w:pPr>
      <w:r w:rsidRPr="00C5334C">
        <w:rPr>
          <w:rFonts w:cstheme="minorHAnsi"/>
          <w:szCs w:val="24"/>
        </w:rPr>
        <w:t>To</w:t>
      </w:r>
      <w:r w:rsidRPr="00C5334C">
        <w:rPr>
          <w:rFonts w:cstheme="minorHAnsi"/>
          <w:b/>
          <w:bCs/>
          <w:szCs w:val="24"/>
        </w:rPr>
        <w:t xml:space="preserve"> </w:t>
      </w:r>
      <w:r w:rsidRPr="00C5334C">
        <w:rPr>
          <w:rFonts w:cstheme="minorHAnsi"/>
          <w:szCs w:val="24"/>
        </w:rPr>
        <w:t>strengthen both national policy frameworks and implementation capabilities,</w:t>
      </w:r>
      <w:r w:rsidRPr="00C5334C">
        <w:rPr>
          <w:rFonts w:cstheme="minorHAnsi"/>
          <w:b/>
          <w:bCs/>
          <w:szCs w:val="24"/>
        </w:rPr>
        <w:t xml:space="preserve"> we will foster human and institutional capacity-building initiatives across all ITU-D Priorities. Key areas of focus remain </w:t>
      </w:r>
      <w:r w:rsidRPr="00C5334C">
        <w:rPr>
          <w:rFonts w:cstheme="minorHAnsi"/>
          <w:szCs w:val="24"/>
        </w:rPr>
        <w:t xml:space="preserve">upskilling governments and key national and regional stakeholders, building national ICT data and statistics capacities and cybersecurity resilience. </w:t>
      </w:r>
    </w:p>
    <w:p w14:paraId="437D236D" w14:textId="77777777" w:rsidR="005A46E2" w:rsidRPr="00C5334C" w:rsidRDefault="005A46E2" w:rsidP="00EB255C">
      <w:pPr>
        <w:numPr>
          <w:ilvl w:val="0"/>
          <w:numId w:val="5"/>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C5334C">
        <w:rPr>
          <w:b/>
          <w:bCs/>
        </w:rPr>
        <w:t xml:space="preserve">We recognize the need to fast-track investment in science, technology and innovation, </w:t>
      </w:r>
      <w:r w:rsidRPr="00C5334C">
        <w:rPr>
          <w:rFonts w:cstheme="minorHAnsi"/>
          <w:b/>
          <w:bCs/>
          <w:szCs w:val="24"/>
        </w:rPr>
        <w:t>acknowledging that</w:t>
      </w:r>
      <w:r w:rsidRPr="00C5334C">
        <w:rPr>
          <w:b/>
          <w:bCs/>
        </w:rPr>
        <w:t xml:space="preserve"> digital innovation ecosystems are </w:t>
      </w:r>
      <w:r w:rsidRPr="00C5334C">
        <w:rPr>
          <w:rFonts w:cstheme="minorHAnsi"/>
          <w:b/>
          <w:bCs/>
          <w:szCs w:val="24"/>
        </w:rPr>
        <w:t xml:space="preserve">essential </w:t>
      </w:r>
      <w:r w:rsidRPr="00C5334C">
        <w:rPr>
          <w:b/>
          <w:bCs/>
        </w:rPr>
        <w:t>to re-energizing economies, supporting structural transformation and addressing critical sustainability challenges.</w:t>
      </w:r>
      <w:r w:rsidRPr="00C5334C">
        <w:t xml:space="preserve"> A</w:t>
      </w:r>
      <w:r w:rsidRPr="00C5334C">
        <w:rPr>
          <w:rFonts w:cstheme="minorHAnsi"/>
          <w:szCs w:val="24"/>
        </w:rPr>
        <w:t xml:space="preserve"> strategic approach to creating enabling policy and business environments is necessary to scale digital innovation, entrepreneurship and the digitization of economies.</w:t>
      </w:r>
      <w:r w:rsidRPr="00C5334C">
        <w:rPr>
          <w:rFonts w:cstheme="minorHAnsi"/>
          <w:i/>
          <w:iCs/>
          <w:szCs w:val="24"/>
        </w:rPr>
        <w:t xml:space="preserve"> </w:t>
      </w:r>
      <w:r w:rsidRPr="00C5334C">
        <w:lastRenderedPageBreak/>
        <w:t xml:space="preserve">Strengthening digital and innovation capacities across sectors and government can improve productivity, economic diversification and competitiveness of national industries, </w:t>
      </w:r>
      <w:r w:rsidRPr="00C5334C">
        <w:rPr>
          <w:rFonts w:cstheme="minorHAnsi"/>
          <w:szCs w:val="24"/>
        </w:rPr>
        <w:t>promoting equitable participation of all countries in the global digital economy</w:t>
      </w:r>
      <w:r w:rsidRPr="00C5334C">
        <w:t xml:space="preserve"> and the achievement of SDGs. </w:t>
      </w:r>
    </w:p>
    <w:p w14:paraId="32C4D8A7" w14:textId="77777777" w:rsidR="005A46E2" w:rsidRPr="00C5334C" w:rsidRDefault="005A46E2" w:rsidP="00EB255C">
      <w:pPr>
        <w:tabs>
          <w:tab w:val="clear" w:pos="794"/>
          <w:tab w:val="clear" w:pos="1191"/>
          <w:tab w:val="clear" w:pos="1588"/>
          <w:tab w:val="clear" w:pos="1985"/>
        </w:tabs>
        <w:overflowPunct/>
        <w:autoSpaceDE/>
        <w:autoSpaceDN/>
        <w:adjustRightInd/>
        <w:spacing w:after="120"/>
        <w:ind w:left="720"/>
        <w:textAlignment w:val="auto"/>
        <w:rPr>
          <w:rFonts w:cstheme="minorHAnsi"/>
          <w:szCs w:val="24"/>
        </w:rPr>
      </w:pPr>
      <w:r w:rsidRPr="00C5334C">
        <w:rPr>
          <w:rFonts w:cstheme="minorHAnsi"/>
          <w:b/>
          <w:bCs/>
          <w:szCs w:val="24"/>
        </w:rPr>
        <w:t xml:space="preserve">We pledge to support digital skills development initiatives for diverse demographics to ensure that all people have the abilities needed to engage effectively in the digital economy, </w:t>
      </w:r>
      <w:r w:rsidRPr="00C5334C">
        <w:t>reducing inequalities</w:t>
      </w:r>
      <w:r w:rsidRPr="00C5334C">
        <w:rPr>
          <w:rFonts w:cstheme="minorHAnsi"/>
          <w:b/>
          <w:bCs/>
          <w:szCs w:val="24"/>
        </w:rPr>
        <w:t>.</w:t>
      </w:r>
      <w:r w:rsidRPr="00C5334C">
        <w:rPr>
          <w:rFonts w:cstheme="minorHAnsi"/>
          <w:szCs w:val="24"/>
        </w:rPr>
        <w:t xml:space="preserve"> Such initiatives may include digital skills development centres and training, specialized capacity-building</w:t>
      </w:r>
      <w:r w:rsidRPr="00C5334C">
        <w:t xml:space="preserve"> programmes and knowledge transfer initiatives that assist governments, businesses and entrepreneurs to engage with digital technologies and support value creation. National and regional innovation centres can be further leveraged as institutional capacity-building mechanisms for research, training, co-creation on specific problems and the incubation of agile solutions by governments and ecosystem stakeholders. </w:t>
      </w:r>
    </w:p>
    <w:p w14:paraId="44B84028" w14:textId="77777777" w:rsidR="005A46E2" w:rsidRPr="00C5334C" w:rsidRDefault="005A46E2" w:rsidP="00EB255C">
      <w:pPr>
        <w:numPr>
          <w:ilvl w:val="0"/>
          <w:numId w:val="5"/>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C5334C">
        <w:rPr>
          <w:rFonts w:cstheme="minorHAnsi"/>
          <w:b/>
          <w:bCs/>
          <w:szCs w:val="24"/>
        </w:rPr>
        <w:t>We will create synergies, strengthen collaboration and uphold existing commitments while building inclusive global and regional partnerships between public and private sectors, international funding agencies and other stakeholders</w:t>
      </w:r>
      <w:r w:rsidRPr="00C5334C">
        <w:rPr>
          <w:rFonts w:cstheme="minorHAnsi"/>
          <w:szCs w:val="24"/>
        </w:rPr>
        <w:t xml:space="preserve"> to pool resources, knowledge and good practices across stakeholder groups and regions. </w:t>
      </w:r>
      <w:r w:rsidRPr="00C5334C">
        <w:rPr>
          <w:rFonts w:cstheme="minorHAnsi"/>
          <w:b/>
          <w:bCs/>
          <w:szCs w:val="24"/>
        </w:rPr>
        <w:t>We will further leverage regional, international, South-South and Triangular Cooperation</w:t>
      </w:r>
      <w:r w:rsidRPr="00C5334C">
        <w:rPr>
          <w:rFonts w:cstheme="minorHAnsi"/>
          <w:szCs w:val="24"/>
        </w:rPr>
        <w:t xml:space="preserve"> as means to accelerate the speed and scale of action across the UN development system and partners along with nationally designed and led initiatives towards the achievement of SDGs.</w:t>
      </w:r>
    </w:p>
    <w:p w14:paraId="6B820EED" w14:textId="77777777" w:rsidR="005A46E2" w:rsidRPr="00C5334C" w:rsidRDefault="005A46E2" w:rsidP="00EB255C">
      <w:pPr>
        <w:tabs>
          <w:tab w:val="clear" w:pos="794"/>
          <w:tab w:val="clear" w:pos="1191"/>
          <w:tab w:val="clear" w:pos="1588"/>
          <w:tab w:val="clear" w:pos="1985"/>
        </w:tabs>
        <w:overflowPunct/>
        <w:autoSpaceDE/>
        <w:autoSpaceDN/>
        <w:adjustRightInd/>
        <w:spacing w:after="120"/>
        <w:ind w:left="720"/>
        <w:textAlignment w:val="auto"/>
        <w:rPr>
          <w:rFonts w:cstheme="minorHAnsi"/>
          <w:szCs w:val="24"/>
        </w:rPr>
      </w:pPr>
      <w:r w:rsidRPr="00C5334C">
        <w:rPr>
          <w:rFonts w:cs="MyriadPro-Light"/>
          <w:b/>
          <w:bCs/>
          <w:lang w:val="en-US"/>
        </w:rPr>
        <w:t>Together with regional telecommunication organization, regulatory associations and other partners, we will support the harmonization of regulatory regimes</w:t>
      </w:r>
      <w:r w:rsidRPr="00C5334C">
        <w:rPr>
          <w:rFonts w:cs="MyriadPro-Light"/>
          <w:lang w:val="en-US"/>
        </w:rPr>
        <w:t xml:space="preserve"> in key areas driving digital transformation to enable coordinated response to cross-border issues and </w:t>
      </w:r>
      <w:r w:rsidRPr="00C5334C">
        <w:rPr>
          <w:rFonts w:cs="MyriadPro-Light"/>
        </w:rPr>
        <w:t>enhance regional connectivity, market integration and sustainable digital transformation</w:t>
      </w:r>
      <w:r w:rsidRPr="00C5334C">
        <w:rPr>
          <w:rFonts w:cs="MyriadPro-Light"/>
          <w:lang w:val="en-US"/>
        </w:rPr>
        <w:t xml:space="preserve">. </w:t>
      </w:r>
    </w:p>
    <w:p w14:paraId="7783967A" w14:textId="34F95DD8" w:rsidR="005A46E2" w:rsidRPr="00C5334C" w:rsidRDefault="005A46E2" w:rsidP="00EB255C">
      <w:pPr>
        <w:numPr>
          <w:ilvl w:val="0"/>
          <w:numId w:val="5"/>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C5334C">
        <w:rPr>
          <w:rFonts w:cstheme="minorHAnsi"/>
          <w:b/>
          <w:bCs/>
          <w:szCs w:val="24"/>
        </w:rPr>
        <w:t>We will strive to address the special challenges facing developing countries,</w:t>
      </w:r>
      <w:r w:rsidRPr="00C5334C">
        <w:rPr>
          <w:rFonts w:cstheme="minorHAnsi"/>
          <w:szCs w:val="24"/>
        </w:rPr>
        <w:t xml:space="preserve"> in particular LDCs, LLDCs, SIDS and countries with special needs, through tailored technical assistance, resource mobilization, impact-driven projects and matchmaking</w:t>
      </w:r>
      <w:r w:rsidR="00C5334C">
        <w:rPr>
          <w:rFonts w:cstheme="minorHAnsi"/>
          <w:szCs w:val="24"/>
        </w:rPr>
        <w:t>.</w:t>
      </w:r>
    </w:p>
    <w:p w14:paraId="0E30B43E" w14:textId="5D91E68F" w:rsidR="005A46E2" w:rsidRPr="005904A8" w:rsidRDefault="005A46E2" w:rsidP="00EB255C">
      <w:pPr>
        <w:spacing w:after="120"/>
        <w:rPr>
          <w:rFonts w:cstheme="minorHAnsi"/>
          <w:szCs w:val="24"/>
        </w:rPr>
      </w:pPr>
      <w:r w:rsidRPr="005904A8">
        <w:rPr>
          <w:rFonts w:cstheme="minorHAnsi"/>
          <w:szCs w:val="24"/>
        </w:rPr>
        <w:t>We welcome the steadfast efforts of the ITU Telecommunication Development Sector and its contribution towards building an inclusive and sustainable digital future for all.</w:t>
      </w:r>
    </w:p>
    <w:p w14:paraId="62E1818D" w14:textId="7D7F73FB" w:rsidR="00B44B6D" w:rsidRDefault="005A46E2" w:rsidP="00EB255C">
      <w:pPr>
        <w:tabs>
          <w:tab w:val="clear" w:pos="794"/>
          <w:tab w:val="clear" w:pos="1191"/>
          <w:tab w:val="clear" w:pos="1588"/>
          <w:tab w:val="clear" w:pos="1985"/>
          <w:tab w:val="left" w:pos="828"/>
          <w:tab w:val="left" w:pos="6532"/>
        </w:tabs>
        <w:spacing w:after="120"/>
        <w:rPr>
          <w:bCs/>
          <w:szCs w:val="28"/>
        </w:rPr>
      </w:pPr>
      <w:r w:rsidRPr="005904A8">
        <w:rPr>
          <w:rFonts w:cstheme="minorHAnsi"/>
          <w:b/>
          <w:bCs/>
          <w:szCs w:val="24"/>
        </w:rPr>
        <w:t>We further commit to amplify</w:t>
      </w:r>
      <w:r>
        <w:rPr>
          <w:rFonts w:cstheme="minorHAnsi"/>
          <w:b/>
          <w:bCs/>
          <w:szCs w:val="24"/>
        </w:rPr>
        <w:t>ing</w:t>
      </w:r>
      <w:r w:rsidRPr="005904A8">
        <w:rPr>
          <w:rFonts w:cstheme="minorHAnsi"/>
          <w:b/>
          <w:bCs/>
          <w:szCs w:val="24"/>
        </w:rPr>
        <w:t xml:space="preserve"> the impact of the work of the Sector to accelerate global digital development and call upon Member States, development partners and the private sector to scale up relevant programmes and initiatives while prioritizing the needs of </w:t>
      </w:r>
      <w:r>
        <w:rPr>
          <w:rFonts w:cstheme="minorHAnsi"/>
          <w:b/>
          <w:bCs/>
          <w:szCs w:val="24"/>
        </w:rPr>
        <w:t>developing</w:t>
      </w:r>
      <w:r w:rsidRPr="005904A8">
        <w:rPr>
          <w:rFonts w:cstheme="minorHAnsi"/>
          <w:b/>
          <w:bCs/>
          <w:szCs w:val="24"/>
        </w:rPr>
        <w:t xml:space="preserve"> countries for the full and rapid implementation of the Baku Action Plan,</w:t>
      </w:r>
      <w:r>
        <w:rPr>
          <w:rFonts w:cstheme="minorHAnsi"/>
          <w:b/>
          <w:bCs/>
          <w:szCs w:val="24"/>
        </w:rPr>
        <w:t xml:space="preserve"> Regional Initiatives,</w:t>
      </w:r>
      <w:r w:rsidRPr="005904A8">
        <w:rPr>
          <w:rFonts w:cstheme="minorHAnsi"/>
          <w:b/>
          <w:bCs/>
          <w:szCs w:val="24"/>
        </w:rPr>
        <w:t xml:space="preserve"> and WTDC Resolutions</w:t>
      </w:r>
      <w:r>
        <w:rPr>
          <w:rFonts w:cstheme="minorHAnsi"/>
          <w:b/>
          <w:bCs/>
          <w:szCs w:val="24"/>
        </w:rPr>
        <w:t xml:space="preserve">, as well as </w:t>
      </w:r>
      <w:r w:rsidRPr="003346EA">
        <w:rPr>
          <w:rFonts w:cstheme="minorHAnsi"/>
          <w:b/>
          <w:bCs/>
          <w:szCs w:val="24"/>
        </w:rPr>
        <w:t>the advancement of the commitments of the Baku Declaration.</w:t>
      </w:r>
    </w:p>
    <w:p w14:paraId="7759C759" w14:textId="0FEA5014" w:rsidR="00821996" w:rsidRDefault="003C58BF" w:rsidP="005A4AB8">
      <w:pPr>
        <w:tabs>
          <w:tab w:val="clear" w:pos="794"/>
          <w:tab w:val="clear" w:pos="1191"/>
          <w:tab w:val="clear" w:pos="1588"/>
          <w:tab w:val="clear" w:pos="1985"/>
        </w:tabs>
        <w:spacing w:after="120"/>
        <w:jc w:val="center"/>
      </w:pPr>
      <w:bookmarkStart w:id="8" w:name="Proposal"/>
      <w:bookmarkEnd w:id="8"/>
      <w:r w:rsidRPr="006D4EA0">
        <w:t>_____________</w:t>
      </w:r>
      <w:r w:rsidR="004122C5" w:rsidRPr="006D4EA0">
        <w:t>_</w:t>
      </w:r>
      <w:r w:rsidR="00922EC1" w:rsidRPr="006D4EA0">
        <w:t>_</w:t>
      </w:r>
    </w:p>
    <w:sectPr w:rsidR="00821996" w:rsidSect="00473791">
      <w:headerReference w:type="default" r:id="rId30"/>
      <w:footerReference w:type="first" r:id="rId3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293CE" w14:textId="77777777" w:rsidR="00A335E3" w:rsidRDefault="00A335E3">
      <w:r>
        <w:separator/>
      </w:r>
    </w:p>
  </w:endnote>
  <w:endnote w:type="continuationSeparator" w:id="0">
    <w:p w14:paraId="6D5A8B59" w14:textId="77777777" w:rsidR="00A335E3" w:rsidRDefault="00A335E3">
      <w:r>
        <w:continuationSeparator/>
      </w:r>
    </w:p>
  </w:endnote>
  <w:endnote w:type="continuationNotice" w:id="1">
    <w:p w14:paraId="414D32A5" w14:textId="77777777" w:rsidR="00A335E3" w:rsidRDefault="00A335E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MyriadPro-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8A6416" w:rsidRPr="00155223" w14:paraId="695D1810" w14:textId="77777777" w:rsidTr="004E3CF5">
      <w:tc>
        <w:tcPr>
          <w:tcW w:w="1526" w:type="dxa"/>
          <w:tcBorders>
            <w:top w:val="single" w:sz="4" w:space="0" w:color="000000"/>
          </w:tcBorders>
          <w:shd w:val="clear" w:color="auto" w:fill="auto"/>
        </w:tcPr>
        <w:p w14:paraId="746E5A61" w14:textId="77777777" w:rsidR="008A6416" w:rsidRPr="00155223" w:rsidRDefault="008A6416" w:rsidP="008A6416">
          <w:pPr>
            <w:pStyle w:val="FirstFooter"/>
            <w:tabs>
              <w:tab w:val="left" w:pos="1559"/>
              <w:tab w:val="left" w:pos="3828"/>
            </w:tabs>
            <w:rPr>
              <w:sz w:val="18"/>
              <w:szCs w:val="18"/>
            </w:rPr>
          </w:pPr>
          <w:r w:rsidRPr="00155223">
            <w:rPr>
              <w:sz w:val="18"/>
              <w:szCs w:val="18"/>
              <w:lang w:val="en-US"/>
            </w:rPr>
            <w:t>Contact:</w:t>
          </w:r>
        </w:p>
      </w:tc>
      <w:tc>
        <w:tcPr>
          <w:tcW w:w="2410" w:type="dxa"/>
          <w:tcBorders>
            <w:top w:val="single" w:sz="4" w:space="0" w:color="000000"/>
          </w:tcBorders>
          <w:shd w:val="clear" w:color="auto" w:fill="auto"/>
        </w:tcPr>
        <w:p w14:paraId="488E41E2" w14:textId="47CA62A3" w:rsidR="008A6416" w:rsidRPr="00155223" w:rsidRDefault="008A6416" w:rsidP="008A6416">
          <w:pPr>
            <w:pStyle w:val="FirstFooter"/>
            <w:tabs>
              <w:tab w:val="left" w:pos="2302"/>
            </w:tabs>
            <w:ind w:left="2302" w:hanging="2302"/>
            <w:rPr>
              <w:sz w:val="18"/>
              <w:szCs w:val="18"/>
              <w:lang w:val="en-US"/>
            </w:rPr>
          </w:pPr>
          <w:r w:rsidRPr="00155223">
            <w:rPr>
              <w:sz w:val="18"/>
              <w:szCs w:val="18"/>
              <w:lang w:val="en-US"/>
            </w:rPr>
            <w:t>Name/Organization/Entity:</w:t>
          </w:r>
        </w:p>
      </w:tc>
      <w:tc>
        <w:tcPr>
          <w:tcW w:w="5987" w:type="dxa"/>
          <w:tcBorders>
            <w:top w:val="single" w:sz="4" w:space="0" w:color="000000"/>
          </w:tcBorders>
        </w:tcPr>
        <w:p w14:paraId="148264AE" w14:textId="4C8E5654" w:rsidR="008A6416" w:rsidRPr="00155223" w:rsidRDefault="008A6416" w:rsidP="001D7B96">
          <w:pPr>
            <w:pStyle w:val="FirstFooter"/>
            <w:tabs>
              <w:tab w:val="left" w:pos="2302"/>
            </w:tabs>
            <w:rPr>
              <w:sz w:val="18"/>
              <w:szCs w:val="18"/>
              <w:lang w:val="en-US"/>
            </w:rPr>
          </w:pPr>
          <w:r w:rsidRPr="00155223">
            <w:rPr>
              <w:sz w:val="18"/>
              <w:szCs w:val="18"/>
              <w:lang w:val="en-GB"/>
            </w:rPr>
            <w:t xml:space="preserve">Mr Abdulkarim Oloyede, Chair, </w:t>
          </w:r>
          <w:r w:rsidR="001D7B96" w:rsidRPr="00155223">
            <w:rPr>
              <w:sz w:val="18"/>
              <w:szCs w:val="18"/>
              <w:lang w:val="en-GB"/>
            </w:rPr>
            <w:t>TDAG Working Group on the Declaration</w:t>
          </w:r>
          <w:r w:rsidR="000B1FDC" w:rsidRPr="00155223">
            <w:rPr>
              <w:sz w:val="18"/>
              <w:szCs w:val="18"/>
              <w:lang w:val="en-GB"/>
            </w:rPr>
            <w:t>, Nigeria</w:t>
          </w:r>
        </w:p>
      </w:tc>
      <w:bookmarkStart w:id="11" w:name="OrgName"/>
      <w:bookmarkEnd w:id="11"/>
    </w:tr>
    <w:tr w:rsidR="008A6416" w:rsidRPr="00155223" w14:paraId="61167678" w14:textId="77777777" w:rsidTr="004E3CF5">
      <w:tc>
        <w:tcPr>
          <w:tcW w:w="1526" w:type="dxa"/>
          <w:shd w:val="clear" w:color="auto" w:fill="auto"/>
        </w:tcPr>
        <w:p w14:paraId="33710823" w14:textId="77777777" w:rsidR="008A6416" w:rsidRPr="00155223" w:rsidRDefault="008A6416" w:rsidP="008A6416">
          <w:pPr>
            <w:pStyle w:val="FirstFooter"/>
            <w:tabs>
              <w:tab w:val="left" w:pos="1559"/>
              <w:tab w:val="left" w:pos="3828"/>
            </w:tabs>
            <w:rPr>
              <w:sz w:val="18"/>
              <w:szCs w:val="18"/>
              <w:lang w:val="en-US"/>
            </w:rPr>
          </w:pPr>
        </w:p>
      </w:tc>
      <w:tc>
        <w:tcPr>
          <w:tcW w:w="2410" w:type="dxa"/>
          <w:shd w:val="clear" w:color="auto" w:fill="auto"/>
        </w:tcPr>
        <w:p w14:paraId="1251F6E4" w14:textId="05992EC7" w:rsidR="008A6416" w:rsidRPr="00155223" w:rsidRDefault="008A6416" w:rsidP="008A6416">
          <w:pPr>
            <w:pStyle w:val="FirstFooter"/>
            <w:tabs>
              <w:tab w:val="left" w:pos="2302"/>
            </w:tabs>
            <w:rPr>
              <w:sz w:val="18"/>
              <w:szCs w:val="18"/>
              <w:lang w:val="en-US"/>
            </w:rPr>
          </w:pPr>
          <w:r w:rsidRPr="00155223">
            <w:rPr>
              <w:sz w:val="18"/>
              <w:szCs w:val="18"/>
              <w:lang w:val="en-US"/>
            </w:rPr>
            <w:t>Phone number:</w:t>
          </w:r>
        </w:p>
      </w:tc>
      <w:tc>
        <w:tcPr>
          <w:tcW w:w="5987" w:type="dxa"/>
        </w:tcPr>
        <w:p w14:paraId="6D7949F0" w14:textId="60A43A7E" w:rsidR="008A6416" w:rsidRPr="00155223" w:rsidRDefault="008A6416" w:rsidP="008A6416">
          <w:pPr>
            <w:pStyle w:val="FirstFooter"/>
            <w:tabs>
              <w:tab w:val="left" w:pos="2302"/>
            </w:tabs>
            <w:rPr>
              <w:sz w:val="18"/>
              <w:szCs w:val="18"/>
              <w:lang w:val="en-US"/>
            </w:rPr>
          </w:pPr>
          <w:r w:rsidRPr="00155223">
            <w:rPr>
              <w:sz w:val="18"/>
              <w:szCs w:val="18"/>
              <w:lang w:val="en-US"/>
            </w:rPr>
            <w:t>n/a</w:t>
          </w:r>
        </w:p>
      </w:tc>
      <w:bookmarkStart w:id="12" w:name="PhoneNo"/>
      <w:bookmarkEnd w:id="12"/>
    </w:tr>
    <w:tr w:rsidR="008A6416" w:rsidRPr="00155223" w14:paraId="0299A231" w14:textId="77777777" w:rsidTr="004E3CF5">
      <w:tc>
        <w:tcPr>
          <w:tcW w:w="1526" w:type="dxa"/>
          <w:shd w:val="clear" w:color="auto" w:fill="auto"/>
        </w:tcPr>
        <w:p w14:paraId="35CBC438" w14:textId="77777777" w:rsidR="008A6416" w:rsidRPr="00155223" w:rsidRDefault="008A6416" w:rsidP="008A6416">
          <w:pPr>
            <w:pStyle w:val="FirstFooter"/>
            <w:tabs>
              <w:tab w:val="left" w:pos="1559"/>
              <w:tab w:val="left" w:pos="3828"/>
            </w:tabs>
            <w:rPr>
              <w:sz w:val="18"/>
              <w:szCs w:val="18"/>
              <w:lang w:val="en-US"/>
            </w:rPr>
          </w:pPr>
        </w:p>
      </w:tc>
      <w:tc>
        <w:tcPr>
          <w:tcW w:w="2410" w:type="dxa"/>
          <w:shd w:val="clear" w:color="auto" w:fill="auto"/>
        </w:tcPr>
        <w:p w14:paraId="65335E06" w14:textId="1535E369" w:rsidR="008A6416" w:rsidRPr="00155223" w:rsidRDefault="008A6416" w:rsidP="008A6416">
          <w:pPr>
            <w:pStyle w:val="FirstFooter"/>
            <w:tabs>
              <w:tab w:val="left" w:pos="2302"/>
            </w:tabs>
            <w:rPr>
              <w:sz w:val="18"/>
              <w:szCs w:val="18"/>
              <w:lang w:val="en-US"/>
            </w:rPr>
          </w:pPr>
          <w:r w:rsidRPr="00155223">
            <w:rPr>
              <w:sz w:val="18"/>
              <w:szCs w:val="18"/>
              <w:lang w:val="en-US"/>
            </w:rPr>
            <w:t>E-mail:</w:t>
          </w:r>
        </w:p>
      </w:tc>
      <w:tc>
        <w:tcPr>
          <w:tcW w:w="5987" w:type="dxa"/>
        </w:tcPr>
        <w:p w14:paraId="7EAB0988" w14:textId="7EB7B3BB" w:rsidR="008A6416" w:rsidRPr="00155223" w:rsidRDefault="008A6416" w:rsidP="008A6416">
          <w:pPr>
            <w:pStyle w:val="FirstFooter"/>
            <w:tabs>
              <w:tab w:val="left" w:pos="2302"/>
            </w:tabs>
            <w:rPr>
              <w:sz w:val="18"/>
              <w:szCs w:val="18"/>
              <w:lang w:val="en-US"/>
            </w:rPr>
          </w:pPr>
          <w:r>
            <w:fldChar w:fldCharType="begin"/>
          </w:r>
          <w:r w:rsidRPr="00A826F4">
            <w:rPr>
              <w:lang w:val="en-US"/>
            </w:rPr>
            <w:instrText>HYPERLINK "mailto:oloyede.aa@unilorin.edu.ng"</w:instrText>
          </w:r>
          <w:r>
            <w:fldChar w:fldCharType="separate"/>
          </w:r>
          <w:r w:rsidRPr="00155223">
            <w:rPr>
              <w:rStyle w:val="Hyperlink"/>
              <w:sz w:val="18"/>
              <w:szCs w:val="18"/>
              <w:lang w:val="en-GB"/>
            </w:rPr>
            <w:t>oloyede.aa@unilorin.edu.ng</w:t>
          </w:r>
          <w:r>
            <w:fldChar w:fldCharType="end"/>
          </w:r>
          <w:r w:rsidR="000F34AF" w:rsidRPr="00155223">
            <w:rPr>
              <w:rStyle w:val="Hyperlink"/>
              <w:color w:val="auto"/>
              <w:sz w:val="18"/>
              <w:szCs w:val="18"/>
              <w:u w:val="none"/>
              <w:lang w:val="en-GB"/>
            </w:rPr>
            <w:t>;</w:t>
          </w:r>
          <w:r w:rsidRPr="00155223">
            <w:rPr>
              <w:rStyle w:val="Hyperlink"/>
              <w:color w:val="auto"/>
              <w:sz w:val="18"/>
              <w:szCs w:val="18"/>
              <w:u w:val="none"/>
              <w:lang w:val="en-GB"/>
            </w:rPr>
            <w:t xml:space="preserve"> </w:t>
          </w:r>
          <w:hyperlink r:id="rId1" w:history="1">
            <w:r w:rsidRPr="00155223">
              <w:rPr>
                <w:rStyle w:val="Hyperlink"/>
                <w:sz w:val="18"/>
                <w:szCs w:val="18"/>
                <w:lang w:val="en-GB"/>
              </w:rPr>
              <w:t>TDAG-WG-DEC@lists.itu.int</w:t>
            </w:r>
          </w:hyperlink>
        </w:p>
      </w:tc>
      <w:bookmarkStart w:id="13" w:name="Email"/>
      <w:bookmarkEnd w:id="13"/>
    </w:tr>
  </w:tbl>
  <w:p w14:paraId="40A321D0" w14:textId="0229252A" w:rsidR="00721657" w:rsidRPr="00155223" w:rsidRDefault="00721657" w:rsidP="00741443">
    <w:pPr>
      <w:tabs>
        <w:tab w:val="clear" w:pos="794"/>
        <w:tab w:val="clear" w:pos="1191"/>
        <w:tab w:val="clear" w:pos="1588"/>
        <w:tab w:val="clear" w:pos="1985"/>
        <w:tab w:val="center" w:pos="4820"/>
        <w:tab w:val="right" w:pos="9639"/>
      </w:tabs>
      <w:ind w:right="1"/>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D1289" w14:textId="77777777" w:rsidR="00A335E3" w:rsidRDefault="00A335E3">
      <w:r>
        <w:t>____________________</w:t>
      </w:r>
    </w:p>
  </w:footnote>
  <w:footnote w:type="continuationSeparator" w:id="0">
    <w:p w14:paraId="6710F9F3" w14:textId="77777777" w:rsidR="00A335E3" w:rsidRDefault="00A335E3">
      <w:r>
        <w:continuationSeparator/>
      </w:r>
    </w:p>
  </w:footnote>
  <w:footnote w:type="continuationNotice" w:id="1">
    <w:p w14:paraId="0B5955FB" w14:textId="77777777" w:rsidR="00A335E3" w:rsidRDefault="00A335E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4094A0AA" w:rsidR="00721657" w:rsidRPr="00D61A73" w:rsidRDefault="00D61A73" w:rsidP="00D61A73">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B54454">
      <w:rPr>
        <w:sz w:val="22"/>
        <w:szCs w:val="22"/>
        <w:lang w:val="es-ES_tradnl"/>
      </w:rPr>
      <w:t>ITU-D/</w:t>
    </w:r>
    <w:bookmarkStart w:id="9" w:name="DocRef2"/>
    <w:bookmarkEnd w:id="9"/>
    <w:r w:rsidR="00C01B0C" w:rsidRPr="00B54454">
      <w:rPr>
        <w:sz w:val="22"/>
        <w:szCs w:val="22"/>
        <w:lang w:val="es-ES_tradnl"/>
      </w:rPr>
      <w:t>TDAG</w:t>
    </w:r>
    <w:r w:rsidRPr="00B54454">
      <w:rPr>
        <w:sz w:val="22"/>
        <w:szCs w:val="22"/>
        <w:lang w:val="es-ES_tradnl"/>
      </w:rPr>
      <w:t>25/</w:t>
    </w:r>
    <w:bookmarkStart w:id="10" w:name="DocNo2"/>
    <w:bookmarkEnd w:id="10"/>
    <w:r w:rsidR="00B54454" w:rsidRPr="00B54454">
      <w:rPr>
        <w:sz w:val="22"/>
        <w:szCs w:val="22"/>
        <w:lang w:val="es-ES_tradnl"/>
      </w:rPr>
      <w:t>18</w:t>
    </w:r>
    <w:r w:rsidRPr="00B54454">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DB4BEF">
      <w:rPr>
        <w:sz w:val="22"/>
        <w:szCs w:val="22"/>
        <w:lang w:val="pt-PT"/>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7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336120"/>
    <w:multiLevelType w:val="hybridMultilevel"/>
    <w:tmpl w:val="A3EE6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FF24C5"/>
    <w:multiLevelType w:val="hybridMultilevel"/>
    <w:tmpl w:val="BB4E51A4"/>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08234A"/>
    <w:multiLevelType w:val="hybridMultilevel"/>
    <w:tmpl w:val="527A730C"/>
    <w:lvl w:ilvl="0" w:tplc="FBEAE524">
      <w:start w:val="1"/>
      <w:numFmt w:val="decimal"/>
      <w:lvlText w:val="%1)"/>
      <w:lvlJc w:val="left"/>
      <w:pPr>
        <w:ind w:left="720" w:hanging="360"/>
      </w:pPr>
      <w:rPr>
        <w:rFonts w:hint="default"/>
        <w:b w:val="0"/>
        <w:bCs w:val="0"/>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7575C7"/>
    <w:multiLevelType w:val="hybridMultilevel"/>
    <w:tmpl w:val="6B9E0C4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5C223CFE"/>
    <w:multiLevelType w:val="hybridMultilevel"/>
    <w:tmpl w:val="7E7868F2"/>
    <w:lvl w:ilvl="0" w:tplc="7BE8D23A">
      <w:start w:val="1"/>
      <w:numFmt w:val="lowerRoman"/>
      <w:lvlText w:val="%1."/>
      <w:lvlJc w:val="right"/>
      <w:pPr>
        <w:ind w:left="720" w:hanging="360"/>
      </w:pPr>
      <w:rPr>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8265857">
    <w:abstractNumId w:val="5"/>
  </w:num>
  <w:num w:numId="2" w16cid:durableId="1397433681">
    <w:abstractNumId w:val="2"/>
  </w:num>
  <w:num w:numId="3" w16cid:durableId="2141071662">
    <w:abstractNumId w:val="0"/>
  </w:num>
  <w:num w:numId="4" w16cid:durableId="2142267814">
    <w:abstractNumId w:val="1"/>
  </w:num>
  <w:num w:numId="5" w16cid:durableId="56980065">
    <w:abstractNumId w:val="3"/>
  </w:num>
  <w:num w:numId="6" w16cid:durableId="835339000">
    <w:abstractNumId w:val="6"/>
  </w:num>
  <w:num w:numId="7" w16cid:durableId="1211382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1196"/>
    <w:rsid w:val="000235D9"/>
    <w:rsid w:val="0002520B"/>
    <w:rsid w:val="00027CDA"/>
    <w:rsid w:val="00030397"/>
    <w:rsid w:val="00033399"/>
    <w:rsid w:val="00037A9E"/>
    <w:rsid w:val="00037F91"/>
    <w:rsid w:val="00045F6B"/>
    <w:rsid w:val="000539F1"/>
    <w:rsid w:val="00054747"/>
    <w:rsid w:val="00055A2A"/>
    <w:rsid w:val="000615C1"/>
    <w:rsid w:val="00061675"/>
    <w:rsid w:val="00062CD7"/>
    <w:rsid w:val="000743AA"/>
    <w:rsid w:val="0009076F"/>
    <w:rsid w:val="0009225C"/>
    <w:rsid w:val="000A17C4"/>
    <w:rsid w:val="000A36A4"/>
    <w:rsid w:val="000A3F30"/>
    <w:rsid w:val="000B1FDC"/>
    <w:rsid w:val="000B229B"/>
    <w:rsid w:val="000B2352"/>
    <w:rsid w:val="000C6BEE"/>
    <w:rsid w:val="000C7B84"/>
    <w:rsid w:val="000D261B"/>
    <w:rsid w:val="000D58A3"/>
    <w:rsid w:val="000E07A7"/>
    <w:rsid w:val="000E3ED4"/>
    <w:rsid w:val="000E3F9C"/>
    <w:rsid w:val="000F1550"/>
    <w:rsid w:val="000F251B"/>
    <w:rsid w:val="000F34AF"/>
    <w:rsid w:val="000F527C"/>
    <w:rsid w:val="000F5FE8"/>
    <w:rsid w:val="000F6644"/>
    <w:rsid w:val="00100833"/>
    <w:rsid w:val="00102F72"/>
    <w:rsid w:val="00105F4C"/>
    <w:rsid w:val="00107E85"/>
    <w:rsid w:val="00113EE8"/>
    <w:rsid w:val="0011455A"/>
    <w:rsid w:val="00114A65"/>
    <w:rsid w:val="00126F74"/>
    <w:rsid w:val="00133061"/>
    <w:rsid w:val="0013591E"/>
    <w:rsid w:val="001405DA"/>
    <w:rsid w:val="00141699"/>
    <w:rsid w:val="00147000"/>
    <w:rsid w:val="0014762C"/>
    <w:rsid w:val="00155223"/>
    <w:rsid w:val="00156693"/>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0047"/>
    <w:rsid w:val="001C3444"/>
    <w:rsid w:val="001C3702"/>
    <w:rsid w:val="001C4656"/>
    <w:rsid w:val="001C46BC"/>
    <w:rsid w:val="001D08F5"/>
    <w:rsid w:val="001D1941"/>
    <w:rsid w:val="001D1E06"/>
    <w:rsid w:val="001D78C3"/>
    <w:rsid w:val="001D7B96"/>
    <w:rsid w:val="001E5589"/>
    <w:rsid w:val="001E596B"/>
    <w:rsid w:val="001E668A"/>
    <w:rsid w:val="001F02AA"/>
    <w:rsid w:val="001F23E6"/>
    <w:rsid w:val="001F4238"/>
    <w:rsid w:val="001F45B8"/>
    <w:rsid w:val="00200A38"/>
    <w:rsid w:val="00200A46"/>
    <w:rsid w:val="00211B6F"/>
    <w:rsid w:val="00216AE5"/>
    <w:rsid w:val="00217CC3"/>
    <w:rsid w:val="00220AB6"/>
    <w:rsid w:val="0022120F"/>
    <w:rsid w:val="0022754A"/>
    <w:rsid w:val="00235CAB"/>
    <w:rsid w:val="00236560"/>
    <w:rsid w:val="0023662E"/>
    <w:rsid w:val="00236949"/>
    <w:rsid w:val="002414B0"/>
    <w:rsid w:val="00245D0F"/>
    <w:rsid w:val="00245E6B"/>
    <w:rsid w:val="002548C3"/>
    <w:rsid w:val="00257ACD"/>
    <w:rsid w:val="00262908"/>
    <w:rsid w:val="002650F4"/>
    <w:rsid w:val="002715FD"/>
    <w:rsid w:val="0027575F"/>
    <w:rsid w:val="002770B1"/>
    <w:rsid w:val="00283CC3"/>
    <w:rsid w:val="00285B33"/>
    <w:rsid w:val="00287A3C"/>
    <w:rsid w:val="002950CD"/>
    <w:rsid w:val="0029702D"/>
    <w:rsid w:val="0029775A"/>
    <w:rsid w:val="002A2FC6"/>
    <w:rsid w:val="002A5F2F"/>
    <w:rsid w:val="002B28D3"/>
    <w:rsid w:val="002B55CC"/>
    <w:rsid w:val="002B724C"/>
    <w:rsid w:val="002C1EC7"/>
    <w:rsid w:val="002C3015"/>
    <w:rsid w:val="002C4342"/>
    <w:rsid w:val="002C7EA3"/>
    <w:rsid w:val="002D0D95"/>
    <w:rsid w:val="002D20AE"/>
    <w:rsid w:val="002D6C61"/>
    <w:rsid w:val="002E2104"/>
    <w:rsid w:val="002E2DAC"/>
    <w:rsid w:val="002E6963"/>
    <w:rsid w:val="002E6F8F"/>
    <w:rsid w:val="002F05D8"/>
    <w:rsid w:val="002F2DE0"/>
    <w:rsid w:val="002F2E81"/>
    <w:rsid w:val="002F48C5"/>
    <w:rsid w:val="002F5E25"/>
    <w:rsid w:val="0030353C"/>
    <w:rsid w:val="00306EC7"/>
    <w:rsid w:val="00307769"/>
    <w:rsid w:val="0031161B"/>
    <w:rsid w:val="003125C3"/>
    <w:rsid w:val="00312AE6"/>
    <w:rsid w:val="00317D1A"/>
    <w:rsid w:val="003211FF"/>
    <w:rsid w:val="003242AB"/>
    <w:rsid w:val="00325F85"/>
    <w:rsid w:val="00326AB8"/>
    <w:rsid w:val="00327247"/>
    <w:rsid w:val="00327A9D"/>
    <w:rsid w:val="003302CD"/>
    <w:rsid w:val="0033130E"/>
    <w:rsid w:val="0033269C"/>
    <w:rsid w:val="003336E8"/>
    <w:rsid w:val="00335268"/>
    <w:rsid w:val="0034598E"/>
    <w:rsid w:val="00351C79"/>
    <w:rsid w:val="0035516C"/>
    <w:rsid w:val="00355A4C"/>
    <w:rsid w:val="003604FB"/>
    <w:rsid w:val="00360B73"/>
    <w:rsid w:val="00380B71"/>
    <w:rsid w:val="0038365A"/>
    <w:rsid w:val="00385210"/>
    <w:rsid w:val="00386A89"/>
    <w:rsid w:val="0039648E"/>
    <w:rsid w:val="003A5AFE"/>
    <w:rsid w:val="003A5CDE"/>
    <w:rsid w:val="003A5D5F"/>
    <w:rsid w:val="003A7FFE"/>
    <w:rsid w:val="003B0A63"/>
    <w:rsid w:val="003B15B9"/>
    <w:rsid w:val="003B50E1"/>
    <w:rsid w:val="003B6FE1"/>
    <w:rsid w:val="003C1746"/>
    <w:rsid w:val="003C2AA9"/>
    <w:rsid w:val="003C414C"/>
    <w:rsid w:val="003C58BF"/>
    <w:rsid w:val="003D451D"/>
    <w:rsid w:val="003E7053"/>
    <w:rsid w:val="003F2B42"/>
    <w:rsid w:val="003F2DD8"/>
    <w:rsid w:val="003F3F2D"/>
    <w:rsid w:val="003F50B2"/>
    <w:rsid w:val="00400CCF"/>
    <w:rsid w:val="00401BFF"/>
    <w:rsid w:val="00404424"/>
    <w:rsid w:val="0041156B"/>
    <w:rsid w:val="004122C5"/>
    <w:rsid w:val="00413B78"/>
    <w:rsid w:val="004146FD"/>
    <w:rsid w:val="00416DDE"/>
    <w:rsid w:val="00420EB9"/>
    <w:rsid w:val="0044411E"/>
    <w:rsid w:val="00453435"/>
    <w:rsid w:val="00460089"/>
    <w:rsid w:val="00462AB9"/>
    <w:rsid w:val="004662EB"/>
    <w:rsid w:val="00466398"/>
    <w:rsid w:val="004712A4"/>
    <w:rsid w:val="0047306D"/>
    <w:rsid w:val="00473791"/>
    <w:rsid w:val="00475500"/>
    <w:rsid w:val="00476E48"/>
    <w:rsid w:val="00481DE9"/>
    <w:rsid w:val="0049029C"/>
    <w:rsid w:val="0049128B"/>
    <w:rsid w:val="004925BB"/>
    <w:rsid w:val="00492E2E"/>
    <w:rsid w:val="00493B49"/>
    <w:rsid w:val="00495501"/>
    <w:rsid w:val="004A070A"/>
    <w:rsid w:val="004A320E"/>
    <w:rsid w:val="004A3BAB"/>
    <w:rsid w:val="004A41C0"/>
    <w:rsid w:val="004A4E9C"/>
    <w:rsid w:val="004B1A3C"/>
    <w:rsid w:val="004B69E2"/>
    <w:rsid w:val="004C250F"/>
    <w:rsid w:val="004D2CC3"/>
    <w:rsid w:val="004D35CB"/>
    <w:rsid w:val="004D7DAB"/>
    <w:rsid w:val="004E20E5"/>
    <w:rsid w:val="004E6420"/>
    <w:rsid w:val="004E64EA"/>
    <w:rsid w:val="004E6DAD"/>
    <w:rsid w:val="004E7828"/>
    <w:rsid w:val="004F10F6"/>
    <w:rsid w:val="004F2D3A"/>
    <w:rsid w:val="004F46AA"/>
    <w:rsid w:val="004F6A70"/>
    <w:rsid w:val="00500AD7"/>
    <w:rsid w:val="00502ABF"/>
    <w:rsid w:val="00504DB0"/>
    <w:rsid w:val="00506D44"/>
    <w:rsid w:val="00506E71"/>
    <w:rsid w:val="005078A4"/>
    <w:rsid w:val="00507C35"/>
    <w:rsid w:val="00510735"/>
    <w:rsid w:val="00514D2F"/>
    <w:rsid w:val="00517C6F"/>
    <w:rsid w:val="005229A4"/>
    <w:rsid w:val="005234B7"/>
    <w:rsid w:val="00533CDD"/>
    <w:rsid w:val="0054420E"/>
    <w:rsid w:val="00544D1B"/>
    <w:rsid w:val="00545DC0"/>
    <w:rsid w:val="00545F6C"/>
    <w:rsid w:val="0054711B"/>
    <w:rsid w:val="005477D9"/>
    <w:rsid w:val="0055720C"/>
    <w:rsid w:val="00561796"/>
    <w:rsid w:val="0056294C"/>
    <w:rsid w:val="005632DD"/>
    <w:rsid w:val="00563F4A"/>
    <w:rsid w:val="0056423B"/>
    <w:rsid w:val="00564D2B"/>
    <w:rsid w:val="00566BDC"/>
    <w:rsid w:val="00573424"/>
    <w:rsid w:val="0057402F"/>
    <w:rsid w:val="00581653"/>
    <w:rsid w:val="0058252F"/>
    <w:rsid w:val="005849D6"/>
    <w:rsid w:val="00585367"/>
    <w:rsid w:val="005871A1"/>
    <w:rsid w:val="0058737E"/>
    <w:rsid w:val="00592518"/>
    <w:rsid w:val="00592E87"/>
    <w:rsid w:val="0059420B"/>
    <w:rsid w:val="00594C4D"/>
    <w:rsid w:val="005A1E0A"/>
    <w:rsid w:val="005A33B0"/>
    <w:rsid w:val="005A406D"/>
    <w:rsid w:val="005A46E2"/>
    <w:rsid w:val="005A4AB8"/>
    <w:rsid w:val="005B565C"/>
    <w:rsid w:val="005B77B5"/>
    <w:rsid w:val="005C2DC2"/>
    <w:rsid w:val="005C304A"/>
    <w:rsid w:val="005C3D69"/>
    <w:rsid w:val="005C7C98"/>
    <w:rsid w:val="005D2C3A"/>
    <w:rsid w:val="005D55A4"/>
    <w:rsid w:val="005D57C8"/>
    <w:rsid w:val="005D7761"/>
    <w:rsid w:val="005D7DC6"/>
    <w:rsid w:val="005E0278"/>
    <w:rsid w:val="005E090D"/>
    <w:rsid w:val="005E1685"/>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6E0"/>
    <w:rsid w:val="00625FB8"/>
    <w:rsid w:val="006261BD"/>
    <w:rsid w:val="00630018"/>
    <w:rsid w:val="00635EDB"/>
    <w:rsid w:val="006368D0"/>
    <w:rsid w:val="00642C3C"/>
    <w:rsid w:val="006433B6"/>
    <w:rsid w:val="0064734E"/>
    <w:rsid w:val="00647C6C"/>
    <w:rsid w:val="00650137"/>
    <w:rsid w:val="006509D7"/>
    <w:rsid w:val="00651CE8"/>
    <w:rsid w:val="0065521B"/>
    <w:rsid w:val="006648FB"/>
    <w:rsid w:val="00671EF6"/>
    <w:rsid w:val="0067205B"/>
    <w:rsid w:val="00672DCA"/>
    <w:rsid w:val="006748F8"/>
    <w:rsid w:val="00680489"/>
    <w:rsid w:val="00683C32"/>
    <w:rsid w:val="00690861"/>
    <w:rsid w:val="00690BB2"/>
    <w:rsid w:val="00693D09"/>
    <w:rsid w:val="006A6549"/>
    <w:rsid w:val="006A7710"/>
    <w:rsid w:val="006A7A61"/>
    <w:rsid w:val="006B1E59"/>
    <w:rsid w:val="006B2FFB"/>
    <w:rsid w:val="006C075B"/>
    <w:rsid w:val="006C10A2"/>
    <w:rsid w:val="006C1F18"/>
    <w:rsid w:val="006C3EDA"/>
    <w:rsid w:val="006D40D5"/>
    <w:rsid w:val="006D4EA0"/>
    <w:rsid w:val="006F009A"/>
    <w:rsid w:val="006F24AF"/>
    <w:rsid w:val="006F2BBC"/>
    <w:rsid w:val="006F3D93"/>
    <w:rsid w:val="006F6226"/>
    <w:rsid w:val="007019B1"/>
    <w:rsid w:val="0070371D"/>
    <w:rsid w:val="0071703D"/>
    <w:rsid w:val="00721657"/>
    <w:rsid w:val="007279A8"/>
    <w:rsid w:val="00727B1A"/>
    <w:rsid w:val="00732D97"/>
    <w:rsid w:val="00735ACE"/>
    <w:rsid w:val="00741337"/>
    <w:rsid w:val="00741443"/>
    <w:rsid w:val="00741EFC"/>
    <w:rsid w:val="00744045"/>
    <w:rsid w:val="00752258"/>
    <w:rsid w:val="007529E1"/>
    <w:rsid w:val="007562BE"/>
    <w:rsid w:val="0076272A"/>
    <w:rsid w:val="00762880"/>
    <w:rsid w:val="00762AD6"/>
    <w:rsid w:val="00762E02"/>
    <w:rsid w:val="00762F18"/>
    <w:rsid w:val="0076648C"/>
    <w:rsid w:val="00770C91"/>
    <w:rsid w:val="00772290"/>
    <w:rsid w:val="00777265"/>
    <w:rsid w:val="007805E7"/>
    <w:rsid w:val="0078222A"/>
    <w:rsid w:val="00787D48"/>
    <w:rsid w:val="00792A40"/>
    <w:rsid w:val="00795294"/>
    <w:rsid w:val="00795B0C"/>
    <w:rsid w:val="007A4E50"/>
    <w:rsid w:val="007B106B"/>
    <w:rsid w:val="007B18A7"/>
    <w:rsid w:val="007B250E"/>
    <w:rsid w:val="007B73AF"/>
    <w:rsid w:val="007C27FC"/>
    <w:rsid w:val="007C51FF"/>
    <w:rsid w:val="007D50E4"/>
    <w:rsid w:val="007E2DC5"/>
    <w:rsid w:val="007F1CC7"/>
    <w:rsid w:val="007F6A5D"/>
    <w:rsid w:val="008027AC"/>
    <w:rsid w:val="008028CE"/>
    <w:rsid w:val="0080332E"/>
    <w:rsid w:val="00806E00"/>
    <w:rsid w:val="00807862"/>
    <w:rsid w:val="008141E0"/>
    <w:rsid w:val="00816EE1"/>
    <w:rsid w:val="00816F88"/>
    <w:rsid w:val="00821996"/>
    <w:rsid w:val="00822323"/>
    <w:rsid w:val="00826A3E"/>
    <w:rsid w:val="00827BC6"/>
    <w:rsid w:val="008300AD"/>
    <w:rsid w:val="00833024"/>
    <w:rsid w:val="00836627"/>
    <w:rsid w:val="008419B1"/>
    <w:rsid w:val="00844A56"/>
    <w:rsid w:val="00845B11"/>
    <w:rsid w:val="0085086E"/>
    <w:rsid w:val="00852081"/>
    <w:rsid w:val="0085755D"/>
    <w:rsid w:val="00864057"/>
    <w:rsid w:val="00865D58"/>
    <w:rsid w:val="00866A28"/>
    <w:rsid w:val="00872B6E"/>
    <w:rsid w:val="008737B5"/>
    <w:rsid w:val="00874DFD"/>
    <w:rsid w:val="008802F9"/>
    <w:rsid w:val="00883086"/>
    <w:rsid w:val="00886F1F"/>
    <w:rsid w:val="008879FD"/>
    <w:rsid w:val="00894C37"/>
    <w:rsid w:val="008A00EA"/>
    <w:rsid w:val="008A3F93"/>
    <w:rsid w:val="008A5837"/>
    <w:rsid w:val="008A5AD9"/>
    <w:rsid w:val="008A6236"/>
    <w:rsid w:val="008A6416"/>
    <w:rsid w:val="008A6E1C"/>
    <w:rsid w:val="008A72FD"/>
    <w:rsid w:val="008B2EDF"/>
    <w:rsid w:val="008B47C7"/>
    <w:rsid w:val="008B5129"/>
    <w:rsid w:val="008B54CB"/>
    <w:rsid w:val="008B5A3D"/>
    <w:rsid w:val="008B7E46"/>
    <w:rsid w:val="008C26FA"/>
    <w:rsid w:val="008C2D4D"/>
    <w:rsid w:val="008C4010"/>
    <w:rsid w:val="008C4FDF"/>
    <w:rsid w:val="008C6B1F"/>
    <w:rsid w:val="008D4388"/>
    <w:rsid w:val="008D5E4F"/>
    <w:rsid w:val="008E34F0"/>
    <w:rsid w:val="008E544A"/>
    <w:rsid w:val="008F14F5"/>
    <w:rsid w:val="008F71C1"/>
    <w:rsid w:val="0090067A"/>
    <w:rsid w:val="00902D41"/>
    <w:rsid w:val="00902F49"/>
    <w:rsid w:val="00904230"/>
    <w:rsid w:val="00914004"/>
    <w:rsid w:val="00922EC1"/>
    <w:rsid w:val="00923CF1"/>
    <w:rsid w:val="00926942"/>
    <w:rsid w:val="009301F1"/>
    <w:rsid w:val="009307DF"/>
    <w:rsid w:val="0093145E"/>
    <w:rsid w:val="009359B8"/>
    <w:rsid w:val="00935FF0"/>
    <w:rsid w:val="00940DB7"/>
    <w:rsid w:val="009431F8"/>
    <w:rsid w:val="00947A35"/>
    <w:rsid w:val="00952667"/>
    <w:rsid w:val="0096201B"/>
    <w:rsid w:val="00962081"/>
    <w:rsid w:val="00966CB5"/>
    <w:rsid w:val="0097028F"/>
    <w:rsid w:val="00975305"/>
    <w:rsid w:val="00975786"/>
    <w:rsid w:val="00975793"/>
    <w:rsid w:val="00981CB7"/>
    <w:rsid w:val="00983E1F"/>
    <w:rsid w:val="009842AD"/>
    <w:rsid w:val="00990C16"/>
    <w:rsid w:val="00993F46"/>
    <w:rsid w:val="00997358"/>
    <w:rsid w:val="009A452B"/>
    <w:rsid w:val="009A6AAA"/>
    <w:rsid w:val="009B050C"/>
    <w:rsid w:val="009B087F"/>
    <w:rsid w:val="009B2AF4"/>
    <w:rsid w:val="009C110B"/>
    <w:rsid w:val="009C47A8"/>
    <w:rsid w:val="009C5441"/>
    <w:rsid w:val="009C5B47"/>
    <w:rsid w:val="009D119F"/>
    <w:rsid w:val="009D2FC9"/>
    <w:rsid w:val="009D49A2"/>
    <w:rsid w:val="009D593D"/>
    <w:rsid w:val="009E27D3"/>
    <w:rsid w:val="009E7C1C"/>
    <w:rsid w:val="009F387D"/>
    <w:rsid w:val="009F3940"/>
    <w:rsid w:val="009F3EB2"/>
    <w:rsid w:val="009F6EB1"/>
    <w:rsid w:val="00A00913"/>
    <w:rsid w:val="00A11D05"/>
    <w:rsid w:val="00A12576"/>
    <w:rsid w:val="00A13162"/>
    <w:rsid w:val="00A1786C"/>
    <w:rsid w:val="00A20267"/>
    <w:rsid w:val="00A223F8"/>
    <w:rsid w:val="00A22AF7"/>
    <w:rsid w:val="00A3158C"/>
    <w:rsid w:val="00A32DF3"/>
    <w:rsid w:val="00A335E3"/>
    <w:rsid w:val="00A33E32"/>
    <w:rsid w:val="00A35E20"/>
    <w:rsid w:val="00A36F6D"/>
    <w:rsid w:val="00A37A0D"/>
    <w:rsid w:val="00A4241D"/>
    <w:rsid w:val="00A437A2"/>
    <w:rsid w:val="00A50CA0"/>
    <w:rsid w:val="00A525CC"/>
    <w:rsid w:val="00A53E7C"/>
    <w:rsid w:val="00A53F46"/>
    <w:rsid w:val="00A57216"/>
    <w:rsid w:val="00A60087"/>
    <w:rsid w:val="00A64959"/>
    <w:rsid w:val="00A6607F"/>
    <w:rsid w:val="00A702B0"/>
    <w:rsid w:val="00A7054A"/>
    <w:rsid w:val="00A705E8"/>
    <w:rsid w:val="00A721F4"/>
    <w:rsid w:val="00A826F4"/>
    <w:rsid w:val="00A90C14"/>
    <w:rsid w:val="00A9392C"/>
    <w:rsid w:val="00A9462B"/>
    <w:rsid w:val="00A97D59"/>
    <w:rsid w:val="00AA3C8A"/>
    <w:rsid w:val="00AA3E09"/>
    <w:rsid w:val="00AA4BEF"/>
    <w:rsid w:val="00AA59DF"/>
    <w:rsid w:val="00AB1659"/>
    <w:rsid w:val="00AB313C"/>
    <w:rsid w:val="00AB4962"/>
    <w:rsid w:val="00AB734E"/>
    <w:rsid w:val="00AB740F"/>
    <w:rsid w:val="00AC1997"/>
    <w:rsid w:val="00AC682A"/>
    <w:rsid w:val="00AC6F14"/>
    <w:rsid w:val="00AC7221"/>
    <w:rsid w:val="00AD4677"/>
    <w:rsid w:val="00AD718B"/>
    <w:rsid w:val="00AD7E74"/>
    <w:rsid w:val="00AE5961"/>
    <w:rsid w:val="00AE63C2"/>
    <w:rsid w:val="00AE648B"/>
    <w:rsid w:val="00AE6E77"/>
    <w:rsid w:val="00AF0745"/>
    <w:rsid w:val="00AF4971"/>
    <w:rsid w:val="00AF5276"/>
    <w:rsid w:val="00AF7C86"/>
    <w:rsid w:val="00B005DE"/>
    <w:rsid w:val="00B01046"/>
    <w:rsid w:val="00B04F65"/>
    <w:rsid w:val="00B12CAD"/>
    <w:rsid w:val="00B146AD"/>
    <w:rsid w:val="00B20F4E"/>
    <w:rsid w:val="00B22C73"/>
    <w:rsid w:val="00B310F9"/>
    <w:rsid w:val="00B37866"/>
    <w:rsid w:val="00B403D5"/>
    <w:rsid w:val="00B412FB"/>
    <w:rsid w:val="00B44B6D"/>
    <w:rsid w:val="00B4576B"/>
    <w:rsid w:val="00B46350"/>
    <w:rsid w:val="00B46DF3"/>
    <w:rsid w:val="00B47913"/>
    <w:rsid w:val="00B54454"/>
    <w:rsid w:val="00B5794F"/>
    <w:rsid w:val="00B648C7"/>
    <w:rsid w:val="00B66E8F"/>
    <w:rsid w:val="00B80157"/>
    <w:rsid w:val="00B83D5E"/>
    <w:rsid w:val="00B8460A"/>
    <w:rsid w:val="00B8650D"/>
    <w:rsid w:val="00B879B4"/>
    <w:rsid w:val="00B90F07"/>
    <w:rsid w:val="00B93A2B"/>
    <w:rsid w:val="00B97BB9"/>
    <w:rsid w:val="00BA0009"/>
    <w:rsid w:val="00BB02B5"/>
    <w:rsid w:val="00BB1863"/>
    <w:rsid w:val="00BB25EE"/>
    <w:rsid w:val="00BB363A"/>
    <w:rsid w:val="00BB664F"/>
    <w:rsid w:val="00BC09E6"/>
    <w:rsid w:val="00BC10A0"/>
    <w:rsid w:val="00BC1835"/>
    <w:rsid w:val="00BC7199"/>
    <w:rsid w:val="00BC7BA2"/>
    <w:rsid w:val="00BD426B"/>
    <w:rsid w:val="00BD79F0"/>
    <w:rsid w:val="00BE22E6"/>
    <w:rsid w:val="00BE2B4D"/>
    <w:rsid w:val="00BE4C57"/>
    <w:rsid w:val="00BF3ED5"/>
    <w:rsid w:val="00BF7609"/>
    <w:rsid w:val="00C015F8"/>
    <w:rsid w:val="00C01B0C"/>
    <w:rsid w:val="00C02C2A"/>
    <w:rsid w:val="00C07E26"/>
    <w:rsid w:val="00C1011C"/>
    <w:rsid w:val="00C12F94"/>
    <w:rsid w:val="00C177C5"/>
    <w:rsid w:val="00C17ADF"/>
    <w:rsid w:val="00C31050"/>
    <w:rsid w:val="00C34EC3"/>
    <w:rsid w:val="00C4038C"/>
    <w:rsid w:val="00C40E2E"/>
    <w:rsid w:val="00C42BA2"/>
    <w:rsid w:val="00C44066"/>
    <w:rsid w:val="00C44E13"/>
    <w:rsid w:val="00C47889"/>
    <w:rsid w:val="00C5334C"/>
    <w:rsid w:val="00C549B0"/>
    <w:rsid w:val="00C60A41"/>
    <w:rsid w:val="00C62DE8"/>
    <w:rsid w:val="00C62DFB"/>
    <w:rsid w:val="00C630E6"/>
    <w:rsid w:val="00C63812"/>
    <w:rsid w:val="00C64AF3"/>
    <w:rsid w:val="00C66F4D"/>
    <w:rsid w:val="00C67BB5"/>
    <w:rsid w:val="00C72713"/>
    <w:rsid w:val="00C77BAA"/>
    <w:rsid w:val="00C83829"/>
    <w:rsid w:val="00C848EF"/>
    <w:rsid w:val="00C86600"/>
    <w:rsid w:val="00C87BCA"/>
    <w:rsid w:val="00C87EED"/>
    <w:rsid w:val="00C94506"/>
    <w:rsid w:val="00C949D9"/>
    <w:rsid w:val="00C94E97"/>
    <w:rsid w:val="00C954BC"/>
    <w:rsid w:val="00CA110F"/>
    <w:rsid w:val="00CA1F0B"/>
    <w:rsid w:val="00CA36AD"/>
    <w:rsid w:val="00CB110F"/>
    <w:rsid w:val="00CB2A2E"/>
    <w:rsid w:val="00CB338A"/>
    <w:rsid w:val="00CB79C5"/>
    <w:rsid w:val="00CC19C4"/>
    <w:rsid w:val="00CC411F"/>
    <w:rsid w:val="00CC4B75"/>
    <w:rsid w:val="00CC732E"/>
    <w:rsid w:val="00CC7C6B"/>
    <w:rsid w:val="00CD2FCD"/>
    <w:rsid w:val="00CD7207"/>
    <w:rsid w:val="00CE0422"/>
    <w:rsid w:val="00CE0DBE"/>
    <w:rsid w:val="00CE3A8B"/>
    <w:rsid w:val="00CE5E4D"/>
    <w:rsid w:val="00CF02C4"/>
    <w:rsid w:val="00CF167F"/>
    <w:rsid w:val="00CF72E5"/>
    <w:rsid w:val="00D013EE"/>
    <w:rsid w:val="00D01F54"/>
    <w:rsid w:val="00D040F7"/>
    <w:rsid w:val="00D04A76"/>
    <w:rsid w:val="00D06756"/>
    <w:rsid w:val="00D108F7"/>
    <w:rsid w:val="00D10E49"/>
    <w:rsid w:val="00D10FC7"/>
    <w:rsid w:val="00D11F42"/>
    <w:rsid w:val="00D1519F"/>
    <w:rsid w:val="00D1703C"/>
    <w:rsid w:val="00D20E99"/>
    <w:rsid w:val="00D21C83"/>
    <w:rsid w:val="00D35BCD"/>
    <w:rsid w:val="00D35BDD"/>
    <w:rsid w:val="00D364B3"/>
    <w:rsid w:val="00D37042"/>
    <w:rsid w:val="00D61A73"/>
    <w:rsid w:val="00D63006"/>
    <w:rsid w:val="00D72301"/>
    <w:rsid w:val="00D76226"/>
    <w:rsid w:val="00D85CCC"/>
    <w:rsid w:val="00D86B39"/>
    <w:rsid w:val="00D911DE"/>
    <w:rsid w:val="00D91B97"/>
    <w:rsid w:val="00D93ACC"/>
    <w:rsid w:val="00D93C08"/>
    <w:rsid w:val="00D95DAC"/>
    <w:rsid w:val="00DA0B53"/>
    <w:rsid w:val="00DA632D"/>
    <w:rsid w:val="00DB1171"/>
    <w:rsid w:val="00DB1519"/>
    <w:rsid w:val="00DB2840"/>
    <w:rsid w:val="00DB4BEF"/>
    <w:rsid w:val="00DB4D5F"/>
    <w:rsid w:val="00DC0016"/>
    <w:rsid w:val="00DC1BD3"/>
    <w:rsid w:val="00DC2C1A"/>
    <w:rsid w:val="00DC7340"/>
    <w:rsid w:val="00DD66B4"/>
    <w:rsid w:val="00DE1972"/>
    <w:rsid w:val="00DE27AB"/>
    <w:rsid w:val="00DE5B4A"/>
    <w:rsid w:val="00DE6D93"/>
    <w:rsid w:val="00DF21D2"/>
    <w:rsid w:val="00DF2AB3"/>
    <w:rsid w:val="00DF7250"/>
    <w:rsid w:val="00E0069C"/>
    <w:rsid w:val="00E00CAA"/>
    <w:rsid w:val="00E035AE"/>
    <w:rsid w:val="00E03EBF"/>
    <w:rsid w:val="00E05209"/>
    <w:rsid w:val="00E05AC1"/>
    <w:rsid w:val="00E11BCF"/>
    <w:rsid w:val="00E139C2"/>
    <w:rsid w:val="00E15484"/>
    <w:rsid w:val="00E178EC"/>
    <w:rsid w:val="00E17BFA"/>
    <w:rsid w:val="00E2258E"/>
    <w:rsid w:val="00E260C2"/>
    <w:rsid w:val="00E32596"/>
    <w:rsid w:val="00E355A1"/>
    <w:rsid w:val="00E368F7"/>
    <w:rsid w:val="00E36EB8"/>
    <w:rsid w:val="00E37FB8"/>
    <w:rsid w:val="00E40B07"/>
    <w:rsid w:val="00E412DD"/>
    <w:rsid w:val="00E4203A"/>
    <w:rsid w:val="00E42326"/>
    <w:rsid w:val="00E4309B"/>
    <w:rsid w:val="00E43544"/>
    <w:rsid w:val="00E44D89"/>
    <w:rsid w:val="00E477EA"/>
    <w:rsid w:val="00E53918"/>
    <w:rsid w:val="00E546D3"/>
    <w:rsid w:val="00E55807"/>
    <w:rsid w:val="00E63B14"/>
    <w:rsid w:val="00E63FF0"/>
    <w:rsid w:val="00E65CA0"/>
    <w:rsid w:val="00E6773B"/>
    <w:rsid w:val="00E70D9F"/>
    <w:rsid w:val="00E71192"/>
    <w:rsid w:val="00E83810"/>
    <w:rsid w:val="00E86933"/>
    <w:rsid w:val="00E9605B"/>
    <w:rsid w:val="00E97298"/>
    <w:rsid w:val="00E97753"/>
    <w:rsid w:val="00E97893"/>
    <w:rsid w:val="00EA0C51"/>
    <w:rsid w:val="00EA3958"/>
    <w:rsid w:val="00EA7DE7"/>
    <w:rsid w:val="00EB255C"/>
    <w:rsid w:val="00EB7A8A"/>
    <w:rsid w:val="00EC6FED"/>
    <w:rsid w:val="00EC7F3B"/>
    <w:rsid w:val="00ED5299"/>
    <w:rsid w:val="00ED5309"/>
    <w:rsid w:val="00ED5559"/>
    <w:rsid w:val="00ED559B"/>
    <w:rsid w:val="00EE3A64"/>
    <w:rsid w:val="00EE47ED"/>
    <w:rsid w:val="00EE50E5"/>
    <w:rsid w:val="00EF01CF"/>
    <w:rsid w:val="00EF0E00"/>
    <w:rsid w:val="00EF3906"/>
    <w:rsid w:val="00EF4315"/>
    <w:rsid w:val="00F02739"/>
    <w:rsid w:val="00F03590"/>
    <w:rsid w:val="00F03622"/>
    <w:rsid w:val="00F077FD"/>
    <w:rsid w:val="00F1287A"/>
    <w:rsid w:val="00F12DE5"/>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44AB3"/>
    <w:rsid w:val="00F5178C"/>
    <w:rsid w:val="00F52741"/>
    <w:rsid w:val="00F53D8A"/>
    <w:rsid w:val="00F626F7"/>
    <w:rsid w:val="00F64D46"/>
    <w:rsid w:val="00F66436"/>
    <w:rsid w:val="00F665FC"/>
    <w:rsid w:val="00F736F9"/>
    <w:rsid w:val="00F73833"/>
    <w:rsid w:val="00F77919"/>
    <w:rsid w:val="00F87DF4"/>
    <w:rsid w:val="00F9211C"/>
    <w:rsid w:val="00F9287C"/>
    <w:rsid w:val="00F92FA5"/>
    <w:rsid w:val="00FA095D"/>
    <w:rsid w:val="00FA6C8B"/>
    <w:rsid w:val="00FA6CDA"/>
    <w:rsid w:val="00FA7C89"/>
    <w:rsid w:val="00FB4139"/>
    <w:rsid w:val="00FB476E"/>
    <w:rsid w:val="00FC0D90"/>
    <w:rsid w:val="00FC25C8"/>
    <w:rsid w:val="00FC7D8C"/>
    <w:rsid w:val="00FD2F7D"/>
    <w:rsid w:val="00FD3980"/>
    <w:rsid w:val="00FD431E"/>
    <w:rsid w:val="00FD51C3"/>
    <w:rsid w:val="00FD5A2C"/>
    <w:rsid w:val="00FD7A46"/>
    <w:rsid w:val="00FE0D47"/>
    <w:rsid w:val="00FE1D5C"/>
    <w:rsid w:val="00FE2F8B"/>
    <w:rsid w:val="00FE3669"/>
    <w:rsid w:val="00FE5204"/>
    <w:rsid w:val="00FF287F"/>
    <w:rsid w:val="00FF74A8"/>
    <w:rsid w:val="09944A8D"/>
    <w:rsid w:val="1AC35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045F6B"/>
    <w:rPr>
      <w:color w:val="605E5C"/>
      <w:shd w:val="clear" w:color="auto" w:fill="E1DFDD"/>
    </w:rPr>
  </w:style>
  <w:style w:type="character" w:styleId="CommentReference">
    <w:name w:val="annotation reference"/>
    <w:basedOn w:val="DefaultParagraphFont"/>
    <w:semiHidden/>
    <w:unhideWhenUsed/>
    <w:rsid w:val="008D4388"/>
    <w:rPr>
      <w:sz w:val="16"/>
      <w:szCs w:val="16"/>
    </w:rPr>
  </w:style>
  <w:style w:type="paragraph" w:styleId="CommentText">
    <w:name w:val="annotation text"/>
    <w:basedOn w:val="Normal"/>
    <w:link w:val="CommentTextChar"/>
    <w:unhideWhenUsed/>
    <w:rsid w:val="008D4388"/>
    <w:rPr>
      <w:sz w:val="20"/>
    </w:rPr>
  </w:style>
  <w:style w:type="character" w:customStyle="1" w:styleId="CommentTextChar">
    <w:name w:val="Comment Text Char"/>
    <w:basedOn w:val="DefaultParagraphFont"/>
    <w:link w:val="CommentText"/>
    <w:rsid w:val="008D438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8D4388"/>
    <w:rPr>
      <w:b/>
      <w:bCs/>
    </w:rPr>
  </w:style>
  <w:style w:type="character" w:customStyle="1" w:styleId="CommentSubjectChar">
    <w:name w:val="Comment Subject Char"/>
    <w:basedOn w:val="CommentTextChar"/>
    <w:link w:val="CommentSubject"/>
    <w:semiHidden/>
    <w:rsid w:val="008D4388"/>
    <w:rPr>
      <w:rFonts w:asciiTheme="minorHAnsi" w:hAnsiTheme="minorHAnsi"/>
      <w:b/>
      <w:bCs/>
      <w:lang w:val="en-GB" w:eastAsia="en-US"/>
    </w:rPr>
  </w:style>
  <w:style w:type="character" w:customStyle="1" w:styleId="ListParagraphChar">
    <w:name w:val="List Paragraph Char"/>
    <w:link w:val="ListParagraph"/>
    <w:uiPriority w:val="34"/>
    <w:locked/>
    <w:rsid w:val="009D593D"/>
    <w:rPr>
      <w:rFonts w:asciiTheme="minorHAnsi" w:hAnsiTheme="minorHAnsi"/>
      <w:sz w:val="24"/>
      <w:lang w:val="en-GB" w:eastAsia="en-US"/>
    </w:rPr>
  </w:style>
  <w:style w:type="paragraph" w:styleId="Revision">
    <w:name w:val="Revision"/>
    <w:hidden/>
    <w:uiPriority w:val="99"/>
    <w:semiHidden/>
    <w:rsid w:val="00326AB8"/>
    <w:rPr>
      <w:rFonts w:asciiTheme="minorHAnsi" w:hAnsiTheme="minorHAnsi"/>
      <w:sz w:val="24"/>
      <w:lang w:val="en-GB" w:eastAsia="en-US"/>
    </w:rPr>
  </w:style>
  <w:style w:type="character" w:customStyle="1" w:styleId="ui-provider">
    <w:name w:val="ui-provider"/>
    <w:basedOn w:val="DefaultParagraphFont"/>
    <w:rsid w:val="005A4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96768">
      <w:bodyDiv w:val="1"/>
      <w:marLeft w:val="0"/>
      <w:marRight w:val="0"/>
      <w:marTop w:val="0"/>
      <w:marBottom w:val="0"/>
      <w:divBdr>
        <w:top w:val="none" w:sz="0" w:space="0" w:color="auto"/>
        <w:left w:val="none" w:sz="0" w:space="0" w:color="auto"/>
        <w:bottom w:val="none" w:sz="0" w:space="0" w:color="auto"/>
        <w:right w:val="none" w:sz="0" w:space="0" w:color="auto"/>
      </w:divBdr>
    </w:div>
    <w:div w:id="91707544">
      <w:bodyDiv w:val="1"/>
      <w:marLeft w:val="0"/>
      <w:marRight w:val="0"/>
      <w:marTop w:val="0"/>
      <w:marBottom w:val="0"/>
      <w:divBdr>
        <w:top w:val="none" w:sz="0" w:space="0" w:color="auto"/>
        <w:left w:val="none" w:sz="0" w:space="0" w:color="auto"/>
        <w:bottom w:val="none" w:sz="0" w:space="0" w:color="auto"/>
        <w:right w:val="none" w:sz="0" w:space="0" w:color="auto"/>
      </w:divBdr>
    </w:div>
    <w:div w:id="134223897">
      <w:bodyDiv w:val="1"/>
      <w:marLeft w:val="0"/>
      <w:marRight w:val="0"/>
      <w:marTop w:val="0"/>
      <w:marBottom w:val="0"/>
      <w:divBdr>
        <w:top w:val="none" w:sz="0" w:space="0" w:color="auto"/>
        <w:left w:val="none" w:sz="0" w:space="0" w:color="auto"/>
        <w:bottom w:val="none" w:sz="0" w:space="0" w:color="auto"/>
        <w:right w:val="none" w:sz="0" w:space="0" w:color="auto"/>
      </w:divBdr>
    </w:div>
    <w:div w:id="161431801">
      <w:bodyDiv w:val="1"/>
      <w:marLeft w:val="0"/>
      <w:marRight w:val="0"/>
      <w:marTop w:val="0"/>
      <w:marBottom w:val="0"/>
      <w:divBdr>
        <w:top w:val="none" w:sz="0" w:space="0" w:color="auto"/>
        <w:left w:val="none" w:sz="0" w:space="0" w:color="auto"/>
        <w:bottom w:val="none" w:sz="0" w:space="0" w:color="auto"/>
        <w:right w:val="none" w:sz="0" w:space="0" w:color="auto"/>
      </w:divBdr>
      <w:divsChild>
        <w:div w:id="1894147355">
          <w:marLeft w:val="0"/>
          <w:marRight w:val="0"/>
          <w:marTop w:val="0"/>
          <w:marBottom w:val="0"/>
          <w:divBdr>
            <w:top w:val="none" w:sz="0" w:space="0" w:color="auto"/>
            <w:left w:val="none" w:sz="0" w:space="0" w:color="auto"/>
            <w:bottom w:val="none" w:sz="0" w:space="0" w:color="auto"/>
            <w:right w:val="none" w:sz="0" w:space="0" w:color="auto"/>
          </w:divBdr>
          <w:divsChild>
            <w:div w:id="1698118690">
              <w:marLeft w:val="0"/>
              <w:marRight w:val="0"/>
              <w:marTop w:val="0"/>
              <w:marBottom w:val="0"/>
              <w:divBdr>
                <w:top w:val="none" w:sz="0" w:space="0" w:color="auto"/>
                <w:left w:val="none" w:sz="0" w:space="0" w:color="auto"/>
                <w:bottom w:val="none" w:sz="0" w:space="0" w:color="auto"/>
                <w:right w:val="none" w:sz="0" w:space="0" w:color="auto"/>
              </w:divBdr>
            </w:div>
          </w:divsChild>
        </w:div>
        <w:div w:id="1252154074">
          <w:marLeft w:val="0"/>
          <w:marRight w:val="0"/>
          <w:marTop w:val="0"/>
          <w:marBottom w:val="0"/>
          <w:divBdr>
            <w:top w:val="none" w:sz="0" w:space="0" w:color="auto"/>
            <w:left w:val="none" w:sz="0" w:space="0" w:color="auto"/>
            <w:bottom w:val="none" w:sz="0" w:space="0" w:color="auto"/>
            <w:right w:val="none" w:sz="0" w:space="0" w:color="auto"/>
          </w:divBdr>
          <w:divsChild>
            <w:div w:id="1831947169">
              <w:marLeft w:val="0"/>
              <w:marRight w:val="0"/>
              <w:marTop w:val="0"/>
              <w:marBottom w:val="0"/>
              <w:divBdr>
                <w:top w:val="none" w:sz="0" w:space="0" w:color="auto"/>
                <w:left w:val="none" w:sz="0" w:space="0" w:color="auto"/>
                <w:bottom w:val="none" w:sz="0" w:space="0" w:color="auto"/>
                <w:right w:val="none" w:sz="0" w:space="0" w:color="auto"/>
              </w:divBdr>
            </w:div>
            <w:div w:id="283580563">
              <w:marLeft w:val="0"/>
              <w:marRight w:val="0"/>
              <w:marTop w:val="0"/>
              <w:marBottom w:val="0"/>
              <w:divBdr>
                <w:top w:val="none" w:sz="0" w:space="0" w:color="auto"/>
                <w:left w:val="none" w:sz="0" w:space="0" w:color="auto"/>
                <w:bottom w:val="none" w:sz="0" w:space="0" w:color="auto"/>
                <w:right w:val="none" w:sz="0" w:space="0" w:color="auto"/>
              </w:divBdr>
            </w:div>
          </w:divsChild>
        </w:div>
        <w:div w:id="1974483770">
          <w:marLeft w:val="0"/>
          <w:marRight w:val="0"/>
          <w:marTop w:val="0"/>
          <w:marBottom w:val="0"/>
          <w:divBdr>
            <w:top w:val="none" w:sz="0" w:space="0" w:color="auto"/>
            <w:left w:val="none" w:sz="0" w:space="0" w:color="auto"/>
            <w:bottom w:val="none" w:sz="0" w:space="0" w:color="auto"/>
            <w:right w:val="none" w:sz="0" w:space="0" w:color="auto"/>
          </w:divBdr>
          <w:divsChild>
            <w:div w:id="2633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8578">
      <w:bodyDiv w:val="1"/>
      <w:marLeft w:val="0"/>
      <w:marRight w:val="0"/>
      <w:marTop w:val="0"/>
      <w:marBottom w:val="0"/>
      <w:divBdr>
        <w:top w:val="none" w:sz="0" w:space="0" w:color="auto"/>
        <w:left w:val="none" w:sz="0" w:space="0" w:color="auto"/>
        <w:bottom w:val="none" w:sz="0" w:space="0" w:color="auto"/>
        <w:right w:val="none" w:sz="0" w:space="0" w:color="auto"/>
      </w:divBdr>
    </w:div>
    <w:div w:id="277566757">
      <w:bodyDiv w:val="1"/>
      <w:marLeft w:val="0"/>
      <w:marRight w:val="0"/>
      <w:marTop w:val="0"/>
      <w:marBottom w:val="0"/>
      <w:divBdr>
        <w:top w:val="none" w:sz="0" w:space="0" w:color="auto"/>
        <w:left w:val="none" w:sz="0" w:space="0" w:color="auto"/>
        <w:bottom w:val="none" w:sz="0" w:space="0" w:color="auto"/>
        <w:right w:val="none" w:sz="0" w:space="0" w:color="auto"/>
      </w:divBdr>
    </w:div>
    <w:div w:id="291642734">
      <w:bodyDiv w:val="1"/>
      <w:marLeft w:val="0"/>
      <w:marRight w:val="0"/>
      <w:marTop w:val="0"/>
      <w:marBottom w:val="0"/>
      <w:divBdr>
        <w:top w:val="none" w:sz="0" w:space="0" w:color="auto"/>
        <w:left w:val="none" w:sz="0" w:space="0" w:color="auto"/>
        <w:bottom w:val="none" w:sz="0" w:space="0" w:color="auto"/>
        <w:right w:val="none" w:sz="0" w:space="0" w:color="auto"/>
      </w:divBdr>
    </w:div>
    <w:div w:id="313485083">
      <w:bodyDiv w:val="1"/>
      <w:marLeft w:val="0"/>
      <w:marRight w:val="0"/>
      <w:marTop w:val="0"/>
      <w:marBottom w:val="0"/>
      <w:divBdr>
        <w:top w:val="none" w:sz="0" w:space="0" w:color="auto"/>
        <w:left w:val="none" w:sz="0" w:space="0" w:color="auto"/>
        <w:bottom w:val="none" w:sz="0" w:space="0" w:color="auto"/>
        <w:right w:val="none" w:sz="0" w:space="0" w:color="auto"/>
      </w:divBdr>
    </w:div>
    <w:div w:id="353116785">
      <w:bodyDiv w:val="1"/>
      <w:marLeft w:val="0"/>
      <w:marRight w:val="0"/>
      <w:marTop w:val="0"/>
      <w:marBottom w:val="0"/>
      <w:divBdr>
        <w:top w:val="none" w:sz="0" w:space="0" w:color="auto"/>
        <w:left w:val="none" w:sz="0" w:space="0" w:color="auto"/>
        <w:bottom w:val="none" w:sz="0" w:space="0" w:color="auto"/>
        <w:right w:val="none" w:sz="0" w:space="0" w:color="auto"/>
      </w:divBdr>
    </w:div>
    <w:div w:id="439570188">
      <w:bodyDiv w:val="1"/>
      <w:marLeft w:val="0"/>
      <w:marRight w:val="0"/>
      <w:marTop w:val="0"/>
      <w:marBottom w:val="0"/>
      <w:divBdr>
        <w:top w:val="none" w:sz="0" w:space="0" w:color="auto"/>
        <w:left w:val="none" w:sz="0" w:space="0" w:color="auto"/>
        <w:bottom w:val="none" w:sz="0" w:space="0" w:color="auto"/>
        <w:right w:val="none" w:sz="0" w:space="0" w:color="auto"/>
      </w:divBdr>
    </w:div>
    <w:div w:id="598216990">
      <w:bodyDiv w:val="1"/>
      <w:marLeft w:val="0"/>
      <w:marRight w:val="0"/>
      <w:marTop w:val="0"/>
      <w:marBottom w:val="0"/>
      <w:divBdr>
        <w:top w:val="none" w:sz="0" w:space="0" w:color="auto"/>
        <w:left w:val="none" w:sz="0" w:space="0" w:color="auto"/>
        <w:bottom w:val="none" w:sz="0" w:space="0" w:color="auto"/>
        <w:right w:val="none" w:sz="0" w:space="0" w:color="auto"/>
      </w:divBdr>
    </w:div>
    <w:div w:id="791247027">
      <w:bodyDiv w:val="1"/>
      <w:marLeft w:val="0"/>
      <w:marRight w:val="0"/>
      <w:marTop w:val="0"/>
      <w:marBottom w:val="0"/>
      <w:divBdr>
        <w:top w:val="none" w:sz="0" w:space="0" w:color="auto"/>
        <w:left w:val="none" w:sz="0" w:space="0" w:color="auto"/>
        <w:bottom w:val="none" w:sz="0" w:space="0" w:color="auto"/>
        <w:right w:val="none" w:sz="0" w:space="0" w:color="auto"/>
      </w:divBdr>
    </w:div>
    <w:div w:id="978270758">
      <w:bodyDiv w:val="1"/>
      <w:marLeft w:val="0"/>
      <w:marRight w:val="0"/>
      <w:marTop w:val="0"/>
      <w:marBottom w:val="0"/>
      <w:divBdr>
        <w:top w:val="none" w:sz="0" w:space="0" w:color="auto"/>
        <w:left w:val="none" w:sz="0" w:space="0" w:color="auto"/>
        <w:bottom w:val="none" w:sz="0" w:space="0" w:color="auto"/>
        <w:right w:val="none" w:sz="0" w:space="0" w:color="auto"/>
      </w:divBdr>
    </w:div>
    <w:div w:id="1522476300">
      <w:bodyDiv w:val="1"/>
      <w:marLeft w:val="0"/>
      <w:marRight w:val="0"/>
      <w:marTop w:val="0"/>
      <w:marBottom w:val="0"/>
      <w:divBdr>
        <w:top w:val="none" w:sz="0" w:space="0" w:color="auto"/>
        <w:left w:val="none" w:sz="0" w:space="0" w:color="auto"/>
        <w:bottom w:val="none" w:sz="0" w:space="0" w:color="auto"/>
        <w:right w:val="none" w:sz="0" w:space="0" w:color="auto"/>
      </w:divBdr>
    </w:div>
    <w:div w:id="1532768559">
      <w:bodyDiv w:val="1"/>
      <w:marLeft w:val="0"/>
      <w:marRight w:val="0"/>
      <w:marTop w:val="0"/>
      <w:marBottom w:val="0"/>
      <w:divBdr>
        <w:top w:val="none" w:sz="0" w:space="0" w:color="auto"/>
        <w:left w:val="none" w:sz="0" w:space="0" w:color="auto"/>
        <w:bottom w:val="none" w:sz="0" w:space="0" w:color="auto"/>
        <w:right w:val="none" w:sz="0" w:space="0" w:color="auto"/>
      </w:divBdr>
    </w:div>
    <w:div w:id="1776319099">
      <w:bodyDiv w:val="1"/>
      <w:marLeft w:val="0"/>
      <w:marRight w:val="0"/>
      <w:marTop w:val="0"/>
      <w:marBottom w:val="0"/>
      <w:divBdr>
        <w:top w:val="none" w:sz="0" w:space="0" w:color="auto"/>
        <w:left w:val="none" w:sz="0" w:space="0" w:color="auto"/>
        <w:bottom w:val="none" w:sz="0" w:space="0" w:color="auto"/>
        <w:right w:val="none" w:sz="0" w:space="0" w:color="auto"/>
      </w:divBdr>
      <w:divsChild>
        <w:div w:id="1213662131">
          <w:marLeft w:val="0"/>
          <w:marRight w:val="0"/>
          <w:marTop w:val="0"/>
          <w:marBottom w:val="0"/>
          <w:divBdr>
            <w:top w:val="none" w:sz="0" w:space="0" w:color="auto"/>
            <w:left w:val="none" w:sz="0" w:space="0" w:color="auto"/>
            <w:bottom w:val="none" w:sz="0" w:space="0" w:color="auto"/>
            <w:right w:val="none" w:sz="0" w:space="0" w:color="auto"/>
          </w:divBdr>
          <w:divsChild>
            <w:div w:id="1021127231">
              <w:marLeft w:val="0"/>
              <w:marRight w:val="0"/>
              <w:marTop w:val="0"/>
              <w:marBottom w:val="0"/>
              <w:divBdr>
                <w:top w:val="none" w:sz="0" w:space="0" w:color="auto"/>
                <w:left w:val="none" w:sz="0" w:space="0" w:color="auto"/>
                <w:bottom w:val="none" w:sz="0" w:space="0" w:color="auto"/>
                <w:right w:val="none" w:sz="0" w:space="0" w:color="auto"/>
              </w:divBdr>
            </w:div>
          </w:divsChild>
        </w:div>
        <w:div w:id="763306022">
          <w:marLeft w:val="0"/>
          <w:marRight w:val="0"/>
          <w:marTop w:val="0"/>
          <w:marBottom w:val="0"/>
          <w:divBdr>
            <w:top w:val="none" w:sz="0" w:space="0" w:color="auto"/>
            <w:left w:val="none" w:sz="0" w:space="0" w:color="auto"/>
            <w:bottom w:val="none" w:sz="0" w:space="0" w:color="auto"/>
            <w:right w:val="none" w:sz="0" w:space="0" w:color="auto"/>
          </w:divBdr>
          <w:divsChild>
            <w:div w:id="1983387683">
              <w:marLeft w:val="0"/>
              <w:marRight w:val="0"/>
              <w:marTop w:val="0"/>
              <w:marBottom w:val="0"/>
              <w:divBdr>
                <w:top w:val="none" w:sz="0" w:space="0" w:color="auto"/>
                <w:left w:val="none" w:sz="0" w:space="0" w:color="auto"/>
                <w:bottom w:val="none" w:sz="0" w:space="0" w:color="auto"/>
                <w:right w:val="none" w:sz="0" w:space="0" w:color="auto"/>
              </w:divBdr>
            </w:div>
            <w:div w:id="2143770985">
              <w:marLeft w:val="0"/>
              <w:marRight w:val="0"/>
              <w:marTop w:val="0"/>
              <w:marBottom w:val="0"/>
              <w:divBdr>
                <w:top w:val="none" w:sz="0" w:space="0" w:color="auto"/>
                <w:left w:val="none" w:sz="0" w:space="0" w:color="auto"/>
                <w:bottom w:val="none" w:sz="0" w:space="0" w:color="auto"/>
                <w:right w:val="none" w:sz="0" w:space="0" w:color="auto"/>
              </w:divBdr>
            </w:div>
          </w:divsChild>
        </w:div>
        <w:div w:id="1897930862">
          <w:marLeft w:val="0"/>
          <w:marRight w:val="0"/>
          <w:marTop w:val="0"/>
          <w:marBottom w:val="0"/>
          <w:divBdr>
            <w:top w:val="none" w:sz="0" w:space="0" w:color="auto"/>
            <w:left w:val="none" w:sz="0" w:space="0" w:color="auto"/>
            <w:bottom w:val="none" w:sz="0" w:space="0" w:color="auto"/>
            <w:right w:val="none" w:sz="0" w:space="0" w:color="auto"/>
          </w:divBdr>
          <w:divsChild>
            <w:div w:id="19797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5442">
      <w:bodyDiv w:val="1"/>
      <w:marLeft w:val="0"/>
      <w:marRight w:val="0"/>
      <w:marTop w:val="0"/>
      <w:marBottom w:val="0"/>
      <w:divBdr>
        <w:top w:val="none" w:sz="0" w:space="0" w:color="auto"/>
        <w:left w:val="none" w:sz="0" w:space="0" w:color="auto"/>
        <w:bottom w:val="none" w:sz="0" w:space="0" w:color="auto"/>
        <w:right w:val="none" w:sz="0" w:space="0" w:color="auto"/>
      </w:divBdr>
    </w:div>
    <w:div w:id="196118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TDAG.WG.DEC-C-0012/" TargetMode="External"/><Relationship Id="rId18" Type="http://schemas.openxmlformats.org/officeDocument/2006/relationships/hyperlink" Target="https://www.itu.int/md/D22-TDAG.WG.DEC-INF-0001/" TargetMode="External"/><Relationship Id="rId26" Type="http://schemas.openxmlformats.org/officeDocument/2006/relationships/hyperlink" Target="https://www.itu.int/md/D22-TDAG.WG.DEC-C-0004/" TargetMode="External"/><Relationship Id="rId3" Type="http://schemas.openxmlformats.org/officeDocument/2006/relationships/customXml" Target="../customXml/item3.xml"/><Relationship Id="rId21" Type="http://schemas.openxmlformats.org/officeDocument/2006/relationships/hyperlink" Target="https://www.itu.int/en/ITU-D/Conferences/TDAG/Pages/2024/TDAG_WG_DEC.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D22-TDAG.WG.DEC-C-0010/en" TargetMode="External"/><Relationship Id="rId25" Type="http://schemas.openxmlformats.org/officeDocument/2006/relationships/hyperlink" Target="https://www.itu.int/md/D22-TDAG.WG.DEC-C-0004/"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D22-TDAG.WG.DEC-C-0006/" TargetMode="External"/><Relationship Id="rId20" Type="http://schemas.openxmlformats.org/officeDocument/2006/relationships/hyperlink" Target="https://www.itu.int/md/D22-TDAG.WG.DEC-C-0012/" TargetMode="External"/><Relationship Id="rId29" Type="http://schemas.openxmlformats.org/officeDocument/2006/relationships/hyperlink" Target="https://www.itu.int/md/D22-TDAG.WG.DEC-C-00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D/Conferences/TDAG/Pages/2024/TDAG_WG_DEC.asp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D22-TDAG.WG.DEC-C-0002/" TargetMode="External"/><Relationship Id="rId23" Type="http://schemas.openxmlformats.org/officeDocument/2006/relationships/hyperlink" Target="https://www.itu.int/md/D22-TDAG31-240520-TD-0004/en" TargetMode="External"/><Relationship Id="rId28" Type="http://schemas.openxmlformats.org/officeDocument/2006/relationships/hyperlink" Target="https://www.itu.int/md/D22-TDAG.WG.DEC-C-0009/en" TargetMode="External"/><Relationship Id="rId10" Type="http://schemas.openxmlformats.org/officeDocument/2006/relationships/endnotes" Target="endnotes.xml"/><Relationship Id="rId19" Type="http://schemas.openxmlformats.org/officeDocument/2006/relationships/hyperlink" Target="https://www.itu.int/md/D22-TDAG.WG.DEC-C-0007/"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240520-TD-0004/en" TargetMode="External"/><Relationship Id="rId22" Type="http://schemas.openxmlformats.org/officeDocument/2006/relationships/hyperlink" Target="https://www.itu.int/en/ITU-D/Conferences/TDAG/Pages/2024/default.aspx" TargetMode="External"/><Relationship Id="rId27" Type="http://schemas.openxmlformats.org/officeDocument/2006/relationships/hyperlink" Target="https://www.itu.int/md/D22-TDAG.WG.DEC-INF-0001/"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TDAG-WG-DEC@list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customXml/itemProps2.xml><?xml version="1.0" encoding="utf-8"?>
<ds:datastoreItem xmlns:ds="http://schemas.openxmlformats.org/officeDocument/2006/customXml" ds:itemID="{A71E494B-5220-4715-8F7F-E2B3FBDE3F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1BF40A-E8CE-4FA1-B641-EDDEA220A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Pages>
  <Words>2101</Words>
  <Characters>14340</Characters>
  <Application>Microsoft Office Word</Application>
  <DocSecurity>0</DocSecurity>
  <Lines>119</Lines>
  <Paragraphs>32</Paragraphs>
  <ScaleCrop>false</ScaleCrop>
  <Manager>General Secretariat - Pool</Manager>
  <Company>International Telecommunication Union (ITU)</Company>
  <LinksUpToDate>false</LinksUpToDate>
  <CharactersWithSpaces>16409</CharactersWithSpaces>
  <SharedDoc>false</SharedDoc>
  <HLinks>
    <vt:vector size="96" baseType="variant">
      <vt:variant>
        <vt:i4>1572943</vt:i4>
      </vt:variant>
      <vt:variant>
        <vt:i4>39</vt:i4>
      </vt:variant>
      <vt:variant>
        <vt:i4>0</vt:i4>
      </vt:variant>
      <vt:variant>
        <vt:i4>5</vt:i4>
      </vt:variant>
      <vt:variant>
        <vt:lpwstr>https://www.itu.int/md/D22-TDAG.WG.DEC-C-0009/en</vt:lpwstr>
      </vt:variant>
      <vt:variant>
        <vt:lpwstr/>
      </vt:variant>
      <vt:variant>
        <vt:i4>1704012</vt:i4>
      </vt:variant>
      <vt:variant>
        <vt:i4>36</vt:i4>
      </vt:variant>
      <vt:variant>
        <vt:i4>0</vt:i4>
      </vt:variant>
      <vt:variant>
        <vt:i4>5</vt:i4>
      </vt:variant>
      <vt:variant>
        <vt:lpwstr>https://www.itu.int/md/D22-TDAG.WG.DEC-INF-0001/</vt:lpwstr>
      </vt:variant>
      <vt:variant>
        <vt:lpwstr/>
      </vt:variant>
      <vt:variant>
        <vt:i4>7733287</vt:i4>
      </vt:variant>
      <vt:variant>
        <vt:i4>33</vt:i4>
      </vt:variant>
      <vt:variant>
        <vt:i4>0</vt:i4>
      </vt:variant>
      <vt:variant>
        <vt:i4>5</vt:i4>
      </vt:variant>
      <vt:variant>
        <vt:lpwstr>https://www.itu.int/md/D22-TDAG.WG.DEC-C-0004/</vt:lpwstr>
      </vt:variant>
      <vt:variant>
        <vt:lpwstr/>
      </vt:variant>
      <vt:variant>
        <vt:i4>7733287</vt:i4>
      </vt:variant>
      <vt:variant>
        <vt:i4>30</vt:i4>
      </vt:variant>
      <vt:variant>
        <vt:i4>0</vt:i4>
      </vt:variant>
      <vt:variant>
        <vt:i4>5</vt:i4>
      </vt:variant>
      <vt:variant>
        <vt:lpwstr>https://www.itu.int/md/D22-TDAG.WG.DEC-C-0004/</vt:lpwstr>
      </vt:variant>
      <vt:variant>
        <vt:lpwstr/>
      </vt:variant>
      <vt:variant>
        <vt:i4>7733369</vt:i4>
      </vt:variant>
      <vt:variant>
        <vt:i4>27</vt:i4>
      </vt:variant>
      <vt:variant>
        <vt:i4>0</vt:i4>
      </vt:variant>
      <vt:variant>
        <vt:i4>5</vt:i4>
      </vt:variant>
      <vt:variant>
        <vt:lpwstr>https://www.itu.int/en/ITU-D/Conferences/TDAG/Pages/2024/TDAG_WG_DEC.aspx</vt:lpwstr>
      </vt:variant>
      <vt:variant>
        <vt:lpwstr/>
      </vt:variant>
      <vt:variant>
        <vt:i4>6488184</vt:i4>
      </vt:variant>
      <vt:variant>
        <vt:i4>24</vt:i4>
      </vt:variant>
      <vt:variant>
        <vt:i4>0</vt:i4>
      </vt:variant>
      <vt:variant>
        <vt:i4>5</vt:i4>
      </vt:variant>
      <vt:variant>
        <vt:lpwstr>https://www.itu.int/md/D22-TDAG31-240520-TD-0004/en</vt:lpwstr>
      </vt:variant>
      <vt:variant>
        <vt:lpwstr/>
      </vt:variant>
      <vt:variant>
        <vt:i4>6226015</vt:i4>
      </vt:variant>
      <vt:variant>
        <vt:i4>21</vt:i4>
      </vt:variant>
      <vt:variant>
        <vt:i4>0</vt:i4>
      </vt:variant>
      <vt:variant>
        <vt:i4>5</vt:i4>
      </vt:variant>
      <vt:variant>
        <vt:lpwstr>https://www.itu.int/en/ITU-D/Conferences/TDAG/Pages/2024/default.aspx</vt:lpwstr>
      </vt:variant>
      <vt:variant>
        <vt:lpwstr/>
      </vt:variant>
      <vt:variant>
        <vt:i4>7733369</vt:i4>
      </vt:variant>
      <vt:variant>
        <vt:i4>18</vt:i4>
      </vt:variant>
      <vt:variant>
        <vt:i4>0</vt:i4>
      </vt:variant>
      <vt:variant>
        <vt:i4>5</vt:i4>
      </vt:variant>
      <vt:variant>
        <vt:lpwstr>https://www.itu.int/en/ITU-D/Conferences/TDAG/Pages/2024/TDAG_WG_DEC.aspx</vt:lpwstr>
      </vt:variant>
      <vt:variant>
        <vt:lpwstr/>
      </vt:variant>
      <vt:variant>
        <vt:i4>7733284</vt:i4>
      </vt:variant>
      <vt:variant>
        <vt:i4>15</vt:i4>
      </vt:variant>
      <vt:variant>
        <vt:i4>0</vt:i4>
      </vt:variant>
      <vt:variant>
        <vt:i4>5</vt:i4>
      </vt:variant>
      <vt:variant>
        <vt:lpwstr>https://www.itu.int/md/D22-TDAG.WG.DEC-C-0007/</vt:lpwstr>
      </vt:variant>
      <vt:variant>
        <vt:lpwstr/>
      </vt:variant>
      <vt:variant>
        <vt:i4>1704012</vt:i4>
      </vt:variant>
      <vt:variant>
        <vt:i4>12</vt:i4>
      </vt:variant>
      <vt:variant>
        <vt:i4>0</vt:i4>
      </vt:variant>
      <vt:variant>
        <vt:i4>5</vt:i4>
      </vt:variant>
      <vt:variant>
        <vt:lpwstr>https://www.itu.int/md/D22-TDAG.WG.DEC-INF-0001/</vt:lpwstr>
      </vt:variant>
      <vt:variant>
        <vt:lpwstr/>
      </vt:variant>
      <vt:variant>
        <vt:i4>1638470</vt:i4>
      </vt:variant>
      <vt:variant>
        <vt:i4>9</vt:i4>
      </vt:variant>
      <vt:variant>
        <vt:i4>0</vt:i4>
      </vt:variant>
      <vt:variant>
        <vt:i4>5</vt:i4>
      </vt:variant>
      <vt:variant>
        <vt:lpwstr>https://www.itu.int/md/D22-TDAG.WG.DEC-C-0010/en</vt:lpwstr>
      </vt:variant>
      <vt:variant>
        <vt:lpwstr/>
      </vt:variant>
      <vt:variant>
        <vt:i4>7733285</vt:i4>
      </vt:variant>
      <vt:variant>
        <vt:i4>6</vt:i4>
      </vt:variant>
      <vt:variant>
        <vt:i4>0</vt:i4>
      </vt:variant>
      <vt:variant>
        <vt:i4>5</vt:i4>
      </vt:variant>
      <vt:variant>
        <vt:lpwstr>https://www.itu.int/md/D22-TDAG.WG.DEC-C-0006/</vt:lpwstr>
      </vt:variant>
      <vt:variant>
        <vt:lpwstr/>
      </vt:variant>
      <vt:variant>
        <vt:i4>7733281</vt:i4>
      </vt:variant>
      <vt:variant>
        <vt:i4>3</vt:i4>
      </vt:variant>
      <vt:variant>
        <vt:i4>0</vt:i4>
      </vt:variant>
      <vt:variant>
        <vt:i4>5</vt:i4>
      </vt:variant>
      <vt:variant>
        <vt:lpwstr>https://www.itu.int/md/D22-TDAG.WG.DEC-C-0002/</vt:lpwstr>
      </vt:variant>
      <vt:variant>
        <vt:lpwstr/>
      </vt:variant>
      <vt:variant>
        <vt:i4>6488184</vt:i4>
      </vt:variant>
      <vt:variant>
        <vt:i4>0</vt:i4>
      </vt:variant>
      <vt:variant>
        <vt:i4>0</vt:i4>
      </vt:variant>
      <vt:variant>
        <vt:i4>5</vt:i4>
      </vt:variant>
      <vt:variant>
        <vt:lpwstr>https://www.itu.int/md/D22-TDAG31-240520-TD-0004/en</vt:lpwstr>
      </vt:variant>
      <vt:variant>
        <vt:lpwstr/>
      </vt:variant>
      <vt:variant>
        <vt:i4>5701681</vt:i4>
      </vt:variant>
      <vt:variant>
        <vt:i4>6</vt:i4>
      </vt:variant>
      <vt:variant>
        <vt:i4>0</vt:i4>
      </vt:variant>
      <vt:variant>
        <vt:i4>5</vt:i4>
      </vt:variant>
      <vt:variant>
        <vt:lpwstr>mailto:TDAG-WG-DEC@lists.itu.int</vt:lpwstr>
      </vt:variant>
      <vt:variant>
        <vt:lpwstr/>
      </vt:variant>
      <vt:variant>
        <vt:i4>2293770</vt:i4>
      </vt:variant>
      <vt:variant>
        <vt:i4>3</vt:i4>
      </vt:variant>
      <vt:variant>
        <vt:i4>0</vt:i4>
      </vt:variant>
      <vt:variant>
        <vt:i4>5</vt:i4>
      </vt:variant>
      <vt:variant>
        <vt:lpwstr>mailto:oloyede.aa@unilorin.edu.ng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137</cp:revision>
  <cp:lastPrinted>2014-11-04T09:22:00Z</cp:lastPrinted>
  <dcterms:created xsi:type="dcterms:W3CDTF">2025-03-20T11:29:00Z</dcterms:created>
  <dcterms:modified xsi:type="dcterms:W3CDTF">2025-04-04T13:19:00Z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