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2127"/>
        <w:gridCol w:w="4277"/>
        <w:gridCol w:w="2112"/>
        <w:gridCol w:w="1372"/>
      </w:tblGrid>
      <w:tr w:rsidR="00AA7095" w:rsidRPr="00C33E29" w14:paraId="3A3384A5" w14:textId="77777777" w:rsidTr="00B37B73">
        <w:trPr>
          <w:cantSplit/>
          <w:trHeight w:val="1702"/>
        </w:trPr>
        <w:tc>
          <w:tcPr>
            <w:tcW w:w="2127" w:type="dxa"/>
          </w:tcPr>
          <w:p w14:paraId="698CAB0F" w14:textId="62CE28A5" w:rsidR="00AA7095" w:rsidRPr="00C33E29" w:rsidRDefault="007A40D1" w:rsidP="00F92361">
            <w:pPr>
              <w:tabs>
                <w:tab w:val="clear" w:pos="1191"/>
                <w:tab w:val="clear" w:pos="1588"/>
                <w:tab w:val="clear" w:pos="1985"/>
              </w:tabs>
              <w:spacing w:after="40"/>
              <w:ind w:left="34"/>
              <w:rPr>
                <w:b/>
                <w:bCs/>
                <w:sz w:val="32"/>
                <w:szCs w:val="32"/>
                <w:lang w:val="es-ES_tradnl"/>
              </w:rPr>
            </w:pPr>
            <w:bookmarkStart w:id="0" w:name="_Hlk196465604"/>
            <w:bookmarkEnd w:id="0"/>
            <w:r w:rsidRPr="00C33E29">
              <w:rPr>
                <w:b/>
                <w:bCs/>
                <w:noProof/>
                <w:sz w:val="32"/>
                <w:szCs w:val="32"/>
                <w:lang w:val="es-ES_tradnl"/>
              </w:rPr>
              <w:drawing>
                <wp:inline distT="0" distB="0" distL="0" distR="0" wp14:anchorId="7084AD5F" wp14:editId="6399FE58">
                  <wp:extent cx="1051200" cy="946800"/>
                  <wp:effectExtent l="0" t="0" r="0" b="5715"/>
                  <wp:docPr id="1395416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605" t="7850" r="24716" b="19549"/>
                          <a:stretch/>
                        </pic:blipFill>
                        <pic:spPr bwMode="auto">
                          <a:xfrm>
                            <a:off x="0" y="0"/>
                            <a:ext cx="1051200" cy="94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89" w:type="dxa"/>
            <w:gridSpan w:val="2"/>
          </w:tcPr>
          <w:p w14:paraId="3AE3A135" w14:textId="77777777" w:rsidR="00AA7095" w:rsidRPr="00C33E29" w:rsidRDefault="00AA7095" w:rsidP="00162707">
            <w:pPr>
              <w:tabs>
                <w:tab w:val="clear" w:pos="1191"/>
                <w:tab w:val="clear" w:pos="1588"/>
                <w:tab w:val="clear" w:pos="1985"/>
              </w:tabs>
              <w:spacing w:before="240" w:after="240"/>
              <w:ind w:left="34"/>
              <w:rPr>
                <w:b/>
                <w:bCs/>
                <w:sz w:val="32"/>
                <w:szCs w:val="32"/>
                <w:lang w:val="es-ES_tradnl"/>
              </w:rPr>
            </w:pPr>
            <w:r w:rsidRPr="00C33E29">
              <w:rPr>
                <w:b/>
                <w:bCs/>
                <w:sz w:val="32"/>
                <w:szCs w:val="32"/>
                <w:lang w:val="es-ES_tradnl"/>
              </w:rPr>
              <w:t>Grupo Asesor de Desarrollo de las Telecomunicaciones (GADT)</w:t>
            </w:r>
          </w:p>
          <w:p w14:paraId="583FD72F" w14:textId="29B5B4BE" w:rsidR="00AA7095" w:rsidRPr="00C33E29" w:rsidRDefault="00AA7095" w:rsidP="009716D1">
            <w:pPr>
              <w:tabs>
                <w:tab w:val="clear" w:pos="1191"/>
                <w:tab w:val="clear" w:pos="1588"/>
                <w:tab w:val="clear" w:pos="1985"/>
              </w:tabs>
              <w:spacing w:after="120"/>
              <w:ind w:left="34"/>
              <w:rPr>
                <w:rFonts w:ascii="Verdana" w:hAnsi="Verdana"/>
                <w:sz w:val="28"/>
                <w:szCs w:val="28"/>
                <w:lang w:val="es-ES_tradnl"/>
              </w:rPr>
            </w:pPr>
            <w:r w:rsidRPr="00C33E29">
              <w:rPr>
                <w:b/>
                <w:bCs/>
                <w:sz w:val="26"/>
                <w:szCs w:val="26"/>
                <w:lang w:val="es-ES_tradnl"/>
              </w:rPr>
              <w:t>32ª reunión, Ginebra, Suiza, 12-16 de mayo de 2025</w:t>
            </w:r>
          </w:p>
        </w:tc>
        <w:tc>
          <w:tcPr>
            <w:tcW w:w="1372" w:type="dxa"/>
          </w:tcPr>
          <w:p w14:paraId="242F0084" w14:textId="77777777" w:rsidR="00AA7095" w:rsidRPr="00C33E29" w:rsidRDefault="00AA7095" w:rsidP="00CF6D4A">
            <w:pPr>
              <w:spacing w:before="240" w:after="120"/>
              <w:ind w:right="142"/>
              <w:jc w:val="right"/>
              <w:rPr>
                <w:lang w:val="es-ES_tradnl"/>
              </w:rPr>
            </w:pPr>
            <w:r w:rsidRPr="00C33E29">
              <w:rPr>
                <w:noProof/>
                <w:lang w:val="es-ES_tradnl" w:eastAsia="fr-FR"/>
              </w:rPr>
              <w:drawing>
                <wp:inline distT="0" distB="0" distL="0" distR="0" wp14:anchorId="67245738" wp14:editId="7832FCB2">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683C32" w:rsidRPr="00C33E29" w14:paraId="2AF11DB1" w14:textId="77777777" w:rsidTr="00F92361">
        <w:trPr>
          <w:cantSplit/>
        </w:trPr>
        <w:tc>
          <w:tcPr>
            <w:tcW w:w="6404" w:type="dxa"/>
            <w:gridSpan w:val="2"/>
            <w:tcBorders>
              <w:top w:val="single" w:sz="12" w:space="0" w:color="auto"/>
            </w:tcBorders>
          </w:tcPr>
          <w:p w14:paraId="65748CB9" w14:textId="77777777" w:rsidR="00683C32" w:rsidRPr="00C33E29" w:rsidRDefault="00683C32" w:rsidP="00107E85">
            <w:pPr>
              <w:spacing w:before="0"/>
              <w:rPr>
                <w:rFonts w:cs="Arial"/>
                <w:b/>
                <w:bCs/>
                <w:sz w:val="20"/>
                <w:lang w:val="es-ES_tradnl"/>
              </w:rPr>
            </w:pPr>
          </w:p>
        </w:tc>
        <w:tc>
          <w:tcPr>
            <w:tcW w:w="3484" w:type="dxa"/>
            <w:gridSpan w:val="2"/>
            <w:tcBorders>
              <w:top w:val="single" w:sz="12" w:space="0" w:color="auto"/>
            </w:tcBorders>
          </w:tcPr>
          <w:p w14:paraId="43478CCB" w14:textId="77777777" w:rsidR="00683C32" w:rsidRPr="00C33E29" w:rsidRDefault="00683C32" w:rsidP="00107E85">
            <w:pPr>
              <w:spacing w:before="0"/>
              <w:rPr>
                <w:b/>
                <w:bCs/>
                <w:sz w:val="20"/>
                <w:lang w:val="es-ES_tradnl"/>
              </w:rPr>
            </w:pPr>
          </w:p>
        </w:tc>
      </w:tr>
      <w:tr w:rsidR="00683C32" w:rsidRPr="00C33E29" w14:paraId="1A41C910" w14:textId="77777777" w:rsidTr="00F92361">
        <w:trPr>
          <w:cantSplit/>
        </w:trPr>
        <w:tc>
          <w:tcPr>
            <w:tcW w:w="6404" w:type="dxa"/>
            <w:gridSpan w:val="2"/>
          </w:tcPr>
          <w:p w14:paraId="7F0CCFE3" w14:textId="77777777" w:rsidR="00683C32" w:rsidRPr="00C33E29" w:rsidRDefault="00683C32" w:rsidP="00400CCF">
            <w:pPr>
              <w:pStyle w:val="Committee"/>
              <w:spacing w:before="0"/>
              <w:rPr>
                <w:bCs/>
                <w:szCs w:val="24"/>
                <w:lang w:val="es-ES_tradnl"/>
              </w:rPr>
            </w:pPr>
          </w:p>
        </w:tc>
        <w:tc>
          <w:tcPr>
            <w:tcW w:w="3484" w:type="dxa"/>
            <w:gridSpan w:val="2"/>
          </w:tcPr>
          <w:p w14:paraId="29902756" w14:textId="07A89364" w:rsidR="00683C32" w:rsidRPr="00C33E29" w:rsidRDefault="0096201B" w:rsidP="00B648C7">
            <w:pPr>
              <w:spacing w:before="0"/>
              <w:jc w:val="both"/>
              <w:rPr>
                <w:bCs/>
                <w:szCs w:val="24"/>
                <w:lang w:val="es-ES_tradnl"/>
              </w:rPr>
            </w:pPr>
            <w:r w:rsidRPr="00C33E29">
              <w:rPr>
                <w:b/>
                <w:bCs/>
                <w:lang w:val="es-ES_tradnl"/>
              </w:rPr>
              <w:t>Document</w:t>
            </w:r>
            <w:r w:rsidR="00B42366" w:rsidRPr="00C33E29">
              <w:rPr>
                <w:b/>
                <w:bCs/>
                <w:lang w:val="es-ES_tradnl"/>
              </w:rPr>
              <w:t>o</w:t>
            </w:r>
            <w:r w:rsidRPr="00C33E29">
              <w:rPr>
                <w:b/>
                <w:bCs/>
                <w:lang w:val="es-ES_tradnl"/>
              </w:rPr>
              <w:t xml:space="preserve"> </w:t>
            </w:r>
            <w:bookmarkStart w:id="1" w:name="DocRef1"/>
            <w:bookmarkEnd w:id="1"/>
            <w:r w:rsidRPr="00C33E29">
              <w:rPr>
                <w:b/>
                <w:bCs/>
                <w:lang w:val="es-ES_tradnl"/>
              </w:rPr>
              <w:t>TDAG</w:t>
            </w:r>
            <w:r w:rsidR="003242AB" w:rsidRPr="00C33E29">
              <w:rPr>
                <w:b/>
                <w:bCs/>
                <w:lang w:val="es-ES_tradnl"/>
              </w:rPr>
              <w:t>-</w:t>
            </w:r>
            <w:r w:rsidR="00B648C7" w:rsidRPr="00C33E29">
              <w:rPr>
                <w:b/>
                <w:bCs/>
                <w:lang w:val="es-ES_tradnl"/>
              </w:rPr>
              <w:t>2</w:t>
            </w:r>
            <w:bookmarkStart w:id="2" w:name="DocNo1"/>
            <w:bookmarkEnd w:id="2"/>
            <w:r w:rsidR="004010E2" w:rsidRPr="00C33E29">
              <w:rPr>
                <w:b/>
                <w:bCs/>
                <w:lang w:val="es-ES_tradnl"/>
              </w:rPr>
              <w:t>5</w:t>
            </w:r>
            <w:r w:rsidR="0009076F" w:rsidRPr="00C33E29">
              <w:rPr>
                <w:b/>
                <w:bCs/>
                <w:lang w:val="es-ES_tradnl"/>
              </w:rPr>
              <w:t>/</w:t>
            </w:r>
            <w:r w:rsidR="009B437E" w:rsidRPr="00C33E29">
              <w:rPr>
                <w:b/>
                <w:bCs/>
                <w:lang w:val="es-ES_tradnl"/>
              </w:rPr>
              <w:t>15</w:t>
            </w:r>
            <w:r w:rsidR="004010E2" w:rsidRPr="00C33E29">
              <w:rPr>
                <w:b/>
                <w:bCs/>
                <w:lang w:val="es-ES_tradnl"/>
              </w:rPr>
              <w:t>-S</w:t>
            </w:r>
          </w:p>
        </w:tc>
      </w:tr>
      <w:tr w:rsidR="00683C32" w:rsidRPr="00C33E29" w14:paraId="46AC7811" w14:textId="77777777" w:rsidTr="00F92361">
        <w:trPr>
          <w:cantSplit/>
        </w:trPr>
        <w:tc>
          <w:tcPr>
            <w:tcW w:w="6404" w:type="dxa"/>
            <w:gridSpan w:val="2"/>
          </w:tcPr>
          <w:p w14:paraId="68CB34D7" w14:textId="77777777" w:rsidR="00683C32" w:rsidRPr="00C33E29" w:rsidRDefault="00683C32" w:rsidP="00400CCF">
            <w:pPr>
              <w:spacing w:before="0"/>
              <w:rPr>
                <w:b/>
                <w:bCs/>
                <w:smallCaps/>
                <w:szCs w:val="24"/>
                <w:lang w:val="es-ES_tradnl"/>
              </w:rPr>
            </w:pPr>
          </w:p>
        </w:tc>
        <w:tc>
          <w:tcPr>
            <w:tcW w:w="3484" w:type="dxa"/>
            <w:gridSpan w:val="2"/>
          </w:tcPr>
          <w:p w14:paraId="56B707A0" w14:textId="11AA840F" w:rsidR="00683C32" w:rsidRPr="00C33E29" w:rsidRDefault="009B437E" w:rsidP="00B648C7">
            <w:pPr>
              <w:spacing w:before="0"/>
              <w:rPr>
                <w:b/>
                <w:szCs w:val="24"/>
                <w:lang w:val="es-ES_tradnl"/>
              </w:rPr>
            </w:pPr>
            <w:bookmarkStart w:id="3" w:name="CreationDate"/>
            <w:bookmarkEnd w:id="3"/>
            <w:r w:rsidRPr="00C33E29">
              <w:rPr>
                <w:b/>
                <w:bCs/>
                <w:szCs w:val="28"/>
                <w:lang w:val="es-ES_tradnl"/>
              </w:rPr>
              <w:t xml:space="preserve">2 de abril </w:t>
            </w:r>
            <w:r w:rsidR="004010E2" w:rsidRPr="00C33E29">
              <w:rPr>
                <w:b/>
                <w:bCs/>
                <w:szCs w:val="28"/>
                <w:lang w:val="es-ES_tradnl"/>
              </w:rPr>
              <w:t>de 2025</w:t>
            </w:r>
          </w:p>
        </w:tc>
      </w:tr>
      <w:tr w:rsidR="00683C32" w:rsidRPr="00C33E29" w14:paraId="0C2E025B" w14:textId="77777777" w:rsidTr="00F92361">
        <w:trPr>
          <w:cantSplit/>
        </w:trPr>
        <w:tc>
          <w:tcPr>
            <w:tcW w:w="6404" w:type="dxa"/>
            <w:gridSpan w:val="2"/>
          </w:tcPr>
          <w:p w14:paraId="6186F014" w14:textId="77777777" w:rsidR="00683C32" w:rsidRPr="00C33E29" w:rsidRDefault="00683C32" w:rsidP="00400CCF">
            <w:pPr>
              <w:spacing w:before="0"/>
              <w:rPr>
                <w:smallCaps/>
                <w:szCs w:val="24"/>
                <w:lang w:val="es-ES_tradnl"/>
              </w:rPr>
            </w:pPr>
          </w:p>
        </w:tc>
        <w:tc>
          <w:tcPr>
            <w:tcW w:w="3484" w:type="dxa"/>
            <w:gridSpan w:val="2"/>
          </w:tcPr>
          <w:p w14:paraId="10B5092F" w14:textId="77777777" w:rsidR="00514D2F" w:rsidRPr="00C33E29" w:rsidRDefault="0096201B" w:rsidP="00400CCF">
            <w:pPr>
              <w:spacing w:before="0"/>
              <w:rPr>
                <w:szCs w:val="24"/>
                <w:lang w:val="es-ES_tradnl"/>
              </w:rPr>
            </w:pPr>
            <w:r w:rsidRPr="00C33E29">
              <w:rPr>
                <w:b/>
                <w:lang w:val="es-ES_tradnl"/>
              </w:rPr>
              <w:t>Original:</w:t>
            </w:r>
            <w:bookmarkStart w:id="4" w:name="Original"/>
            <w:bookmarkEnd w:id="4"/>
            <w:r w:rsidR="00CE0422" w:rsidRPr="00C33E29">
              <w:rPr>
                <w:b/>
                <w:lang w:val="es-ES_tradnl"/>
              </w:rPr>
              <w:t xml:space="preserve"> </w:t>
            </w:r>
            <w:r w:rsidR="00B42366" w:rsidRPr="00C33E29">
              <w:rPr>
                <w:b/>
                <w:lang w:val="es-ES_tradnl"/>
              </w:rPr>
              <w:t>inglés</w:t>
            </w:r>
          </w:p>
        </w:tc>
      </w:tr>
      <w:tr w:rsidR="00A13162" w:rsidRPr="00C33E29" w14:paraId="6160D154" w14:textId="77777777" w:rsidTr="00107E85">
        <w:trPr>
          <w:cantSplit/>
          <w:trHeight w:val="852"/>
        </w:trPr>
        <w:tc>
          <w:tcPr>
            <w:tcW w:w="9888" w:type="dxa"/>
            <w:gridSpan w:val="4"/>
          </w:tcPr>
          <w:p w14:paraId="5C1D0BF6" w14:textId="12B16002" w:rsidR="00A13162" w:rsidRPr="00C33E29" w:rsidRDefault="009B437E" w:rsidP="0030353C">
            <w:pPr>
              <w:pStyle w:val="Source"/>
              <w:rPr>
                <w:lang w:val="es-ES_tradnl"/>
              </w:rPr>
            </w:pPr>
            <w:bookmarkStart w:id="5" w:name="Source"/>
            <w:bookmarkEnd w:id="5"/>
            <w:r w:rsidRPr="00C33E29">
              <w:rPr>
                <w:bCs/>
                <w:lang w:val="es-ES_tradnl"/>
              </w:rPr>
              <w:t>Presidenta del Grupo Asesor de Desarrollo de las Telecomunicaciones (GADT)</w:t>
            </w:r>
          </w:p>
        </w:tc>
      </w:tr>
      <w:tr w:rsidR="00AC6F14" w:rsidRPr="00C33E29" w14:paraId="1B6579E9" w14:textId="77777777" w:rsidTr="00107E85">
        <w:trPr>
          <w:cantSplit/>
        </w:trPr>
        <w:tc>
          <w:tcPr>
            <w:tcW w:w="9888" w:type="dxa"/>
            <w:gridSpan w:val="4"/>
          </w:tcPr>
          <w:p w14:paraId="5A4B721C" w14:textId="22BF1B97" w:rsidR="00AC6F14" w:rsidRPr="00C33E29" w:rsidRDefault="009B437E" w:rsidP="0030353C">
            <w:pPr>
              <w:pStyle w:val="Title1"/>
              <w:rPr>
                <w:lang w:val="es-ES_tradnl"/>
              </w:rPr>
            </w:pPr>
            <w:bookmarkStart w:id="6" w:name="Title"/>
            <w:bookmarkEnd w:id="6"/>
            <w:r w:rsidRPr="00C33E29">
              <w:rPr>
                <w:lang w:val="es-ES_tradnl"/>
              </w:rPr>
              <w:t>Informe sobre las actividades del Grupo Asesor de Desarrollo de las Telecomunicaciones (GADT) a la CMDT, conforme a lo estipulado en la Resolución</w:t>
            </w:r>
            <w:r w:rsidR="00202ACB" w:rsidRPr="00C33E29">
              <w:rPr>
                <w:lang w:val="es-ES_tradnl"/>
              </w:rPr>
              <w:t> </w:t>
            </w:r>
            <w:r w:rsidRPr="00C33E29">
              <w:rPr>
                <w:lang w:val="es-ES_tradnl"/>
              </w:rPr>
              <w:t>24 de la CMDT</w:t>
            </w:r>
          </w:p>
        </w:tc>
      </w:tr>
      <w:tr w:rsidR="00A721F4" w:rsidRPr="00C33E29" w14:paraId="4228EE8B" w14:textId="77777777" w:rsidTr="00A721F4">
        <w:trPr>
          <w:cantSplit/>
        </w:trPr>
        <w:tc>
          <w:tcPr>
            <w:tcW w:w="9888" w:type="dxa"/>
            <w:gridSpan w:val="4"/>
            <w:tcBorders>
              <w:bottom w:val="single" w:sz="4" w:space="0" w:color="auto"/>
            </w:tcBorders>
          </w:tcPr>
          <w:p w14:paraId="1F029C0A" w14:textId="77777777" w:rsidR="00A721F4" w:rsidRPr="00C33E29" w:rsidRDefault="00A721F4" w:rsidP="00BC06EA">
            <w:pPr>
              <w:spacing w:after="120"/>
              <w:rPr>
                <w:lang w:val="es-ES_tradnl"/>
              </w:rPr>
            </w:pPr>
          </w:p>
        </w:tc>
      </w:tr>
      <w:tr w:rsidR="00A721F4" w:rsidRPr="00C33E29" w14:paraId="54C144DC" w14:textId="77777777" w:rsidTr="00A721F4">
        <w:trPr>
          <w:cantSplit/>
        </w:trPr>
        <w:tc>
          <w:tcPr>
            <w:tcW w:w="9888" w:type="dxa"/>
            <w:gridSpan w:val="4"/>
            <w:tcBorders>
              <w:top w:val="single" w:sz="4" w:space="0" w:color="auto"/>
              <w:left w:val="single" w:sz="4" w:space="0" w:color="auto"/>
              <w:bottom w:val="single" w:sz="4" w:space="0" w:color="auto"/>
              <w:right w:val="single" w:sz="4" w:space="0" w:color="auto"/>
            </w:tcBorders>
          </w:tcPr>
          <w:p w14:paraId="37542C34" w14:textId="77777777" w:rsidR="00A721F4" w:rsidRPr="00C33E29" w:rsidRDefault="00B42366" w:rsidP="00EA0C51">
            <w:pPr>
              <w:spacing w:after="120"/>
              <w:rPr>
                <w:b/>
                <w:bCs/>
                <w:szCs w:val="24"/>
                <w:lang w:val="es-ES_tradnl"/>
              </w:rPr>
            </w:pPr>
            <w:r w:rsidRPr="00C33E29">
              <w:rPr>
                <w:b/>
                <w:bCs/>
                <w:szCs w:val="24"/>
                <w:lang w:val="es-ES_tradnl"/>
              </w:rPr>
              <w:t>Resumen</w:t>
            </w:r>
            <w:r w:rsidR="00A721F4" w:rsidRPr="00C33E29">
              <w:rPr>
                <w:b/>
                <w:bCs/>
                <w:szCs w:val="24"/>
                <w:lang w:val="es-ES_tradnl"/>
              </w:rPr>
              <w:t>:</w:t>
            </w:r>
          </w:p>
          <w:p w14:paraId="33309B56" w14:textId="0F5AFE3D" w:rsidR="00A721F4" w:rsidRPr="00C33E29" w:rsidRDefault="009B437E" w:rsidP="00EA0C51">
            <w:pPr>
              <w:spacing w:after="120"/>
              <w:rPr>
                <w:szCs w:val="24"/>
                <w:lang w:val="es-ES_tradnl"/>
              </w:rPr>
            </w:pPr>
            <w:r w:rsidRPr="00C33E29">
              <w:rPr>
                <w:lang w:val="es-ES_tradnl"/>
              </w:rPr>
              <w:t>El presente informe contiene un resumen del trabajo realizado por el Grupo Asesor de Desarrollo de las Telecomunicaciones (GADT) durante el periodo comprendido entre 2023 y 2025.</w:t>
            </w:r>
          </w:p>
          <w:p w14:paraId="6AC400EA" w14:textId="77777777" w:rsidR="00A721F4" w:rsidRPr="00C33E29" w:rsidRDefault="00A721F4" w:rsidP="00EA0C51">
            <w:pPr>
              <w:spacing w:after="120"/>
              <w:rPr>
                <w:b/>
                <w:bCs/>
                <w:szCs w:val="24"/>
                <w:lang w:val="es-ES_tradnl"/>
              </w:rPr>
            </w:pPr>
            <w:r w:rsidRPr="00C33E29">
              <w:rPr>
                <w:b/>
                <w:bCs/>
                <w:lang w:val="es-ES_tradnl"/>
              </w:rPr>
              <w:t>Ac</w:t>
            </w:r>
            <w:r w:rsidR="00B42366" w:rsidRPr="00C33E29">
              <w:rPr>
                <w:b/>
                <w:bCs/>
                <w:lang w:val="es-ES_tradnl"/>
              </w:rPr>
              <w:t>ción solicitada</w:t>
            </w:r>
            <w:r w:rsidRPr="00C33E29">
              <w:rPr>
                <w:b/>
                <w:bCs/>
                <w:lang w:val="es-ES_tradnl"/>
              </w:rPr>
              <w:t>:</w:t>
            </w:r>
          </w:p>
          <w:p w14:paraId="7C640691" w14:textId="207E8CF8" w:rsidR="00A721F4" w:rsidRPr="00C33E29" w:rsidRDefault="004010E2" w:rsidP="00EA0C51">
            <w:pPr>
              <w:spacing w:after="120"/>
              <w:rPr>
                <w:szCs w:val="24"/>
                <w:lang w:val="es-ES_tradnl"/>
              </w:rPr>
            </w:pPr>
            <w:r w:rsidRPr="00C33E29">
              <w:rPr>
                <w:lang w:val="es-ES_tradnl"/>
              </w:rPr>
              <w:t>Se invita al GADT a tomar nota de este documento y formular las orientaciones que estime convenientes.</w:t>
            </w:r>
          </w:p>
          <w:p w14:paraId="245CE8A8" w14:textId="210753D3" w:rsidR="00A721F4" w:rsidRPr="00C33E29" w:rsidRDefault="00A721F4" w:rsidP="00EA0C51">
            <w:pPr>
              <w:spacing w:after="120"/>
              <w:rPr>
                <w:b/>
                <w:bCs/>
                <w:szCs w:val="24"/>
                <w:lang w:val="es-ES_tradnl"/>
              </w:rPr>
            </w:pPr>
            <w:r w:rsidRPr="00C33E29">
              <w:rPr>
                <w:b/>
                <w:bCs/>
                <w:szCs w:val="24"/>
                <w:lang w:val="es-ES_tradnl"/>
              </w:rPr>
              <w:t>Referenc</w:t>
            </w:r>
            <w:r w:rsidR="00B42366" w:rsidRPr="00C33E29">
              <w:rPr>
                <w:b/>
                <w:bCs/>
                <w:szCs w:val="24"/>
                <w:lang w:val="es-ES_tradnl"/>
              </w:rPr>
              <w:t>ia</w:t>
            </w:r>
            <w:r w:rsidRPr="00C33E29">
              <w:rPr>
                <w:b/>
                <w:bCs/>
                <w:szCs w:val="24"/>
                <w:lang w:val="es-ES_tradnl"/>
              </w:rPr>
              <w:t>s:</w:t>
            </w:r>
          </w:p>
          <w:p w14:paraId="1B5631CD" w14:textId="1FBF8CD8" w:rsidR="00A721F4" w:rsidRPr="00C33E29" w:rsidRDefault="009B437E" w:rsidP="00EA0C51">
            <w:pPr>
              <w:spacing w:after="120"/>
              <w:rPr>
                <w:b/>
                <w:bCs/>
                <w:lang w:val="es-ES_tradnl"/>
              </w:rPr>
            </w:pPr>
            <w:hyperlink r:id="rId13" w:history="1">
              <w:r w:rsidRPr="00C33E29">
                <w:rPr>
                  <w:rStyle w:val="Hyperlink"/>
                  <w:b/>
                  <w:bCs/>
                  <w:lang w:val="es-ES_tradnl"/>
                </w:rPr>
                <w:t>TDA</w:t>
              </w:r>
              <w:r w:rsidRPr="00C33E29">
                <w:rPr>
                  <w:rStyle w:val="Hyperlink"/>
                  <w:b/>
                  <w:bCs/>
                  <w:lang w:val="es-ES_tradnl"/>
                </w:rPr>
                <w:t>G</w:t>
              </w:r>
              <w:r w:rsidRPr="00C33E29">
                <w:rPr>
                  <w:rStyle w:val="Hyperlink"/>
                  <w:b/>
                  <w:bCs/>
                  <w:lang w:val="es-ES_tradnl"/>
                </w:rPr>
                <w:t>-23/48</w:t>
              </w:r>
            </w:hyperlink>
            <w:r w:rsidRPr="00C33E29">
              <w:rPr>
                <w:b/>
                <w:bCs/>
                <w:lang w:val="es-ES_tradnl"/>
              </w:rPr>
              <w:t xml:space="preserve">, </w:t>
            </w:r>
            <w:hyperlink r:id="rId14" w:history="1">
              <w:r w:rsidRPr="00C33E29">
                <w:rPr>
                  <w:rStyle w:val="Hyperlink"/>
                  <w:b/>
                  <w:bCs/>
                  <w:lang w:val="es-ES_tradnl"/>
                </w:rPr>
                <w:t>TDA</w:t>
              </w:r>
              <w:r w:rsidRPr="00C33E29">
                <w:rPr>
                  <w:rStyle w:val="Hyperlink"/>
                  <w:b/>
                  <w:bCs/>
                  <w:lang w:val="es-ES_tradnl"/>
                </w:rPr>
                <w:t>G</w:t>
              </w:r>
              <w:r w:rsidRPr="00C33E29">
                <w:rPr>
                  <w:rStyle w:val="Hyperlink"/>
                  <w:b/>
                  <w:bCs/>
                  <w:lang w:val="es-ES_tradnl"/>
                </w:rPr>
                <w:t>-24/51</w:t>
              </w:r>
            </w:hyperlink>
            <w:r w:rsidRPr="00C33E29">
              <w:rPr>
                <w:b/>
                <w:bCs/>
                <w:lang w:val="es-ES_tradnl"/>
              </w:rPr>
              <w:t xml:space="preserve">, </w:t>
            </w:r>
            <w:hyperlink r:id="rId15" w:history="1">
              <w:r w:rsidRPr="00C33E29">
                <w:rPr>
                  <w:rStyle w:val="Hyperlink"/>
                  <w:b/>
                  <w:bCs/>
                  <w:lang w:val="es-ES_tradnl"/>
                </w:rPr>
                <w:t>TDAG</w:t>
              </w:r>
              <w:r w:rsidRPr="00C33E29">
                <w:rPr>
                  <w:rStyle w:val="Hyperlink"/>
                  <w:b/>
                  <w:bCs/>
                  <w:lang w:val="es-ES_tradnl"/>
                </w:rPr>
                <w:t>-</w:t>
              </w:r>
              <w:r w:rsidRPr="00C33E29">
                <w:rPr>
                  <w:rStyle w:val="Hyperlink"/>
                  <w:b/>
                  <w:bCs/>
                  <w:lang w:val="es-ES_tradnl"/>
                </w:rPr>
                <w:t>Extra/10</w:t>
              </w:r>
            </w:hyperlink>
          </w:p>
        </w:tc>
      </w:tr>
    </w:tbl>
    <w:p w14:paraId="19BDB019" w14:textId="77777777" w:rsidR="00923CF1" w:rsidRPr="00C33E29" w:rsidRDefault="00923CF1" w:rsidP="00935FF0">
      <w:pPr>
        <w:rPr>
          <w:lang w:val="es-ES_tradnl"/>
        </w:rPr>
      </w:pPr>
    </w:p>
    <w:p w14:paraId="1D19608A" w14:textId="77777777" w:rsidR="00923CF1" w:rsidRPr="00C33E29" w:rsidRDefault="00923CF1">
      <w:pPr>
        <w:tabs>
          <w:tab w:val="clear" w:pos="794"/>
          <w:tab w:val="clear" w:pos="1191"/>
          <w:tab w:val="clear" w:pos="1588"/>
          <w:tab w:val="clear" w:pos="1985"/>
        </w:tabs>
        <w:overflowPunct/>
        <w:autoSpaceDE/>
        <w:autoSpaceDN/>
        <w:adjustRightInd/>
        <w:spacing w:before="0"/>
        <w:textAlignment w:val="auto"/>
        <w:rPr>
          <w:lang w:val="es-ES_tradnl"/>
        </w:rPr>
      </w:pPr>
      <w:r w:rsidRPr="00C33E29">
        <w:rPr>
          <w:lang w:val="es-ES_tradnl"/>
        </w:rPr>
        <w:br w:type="page"/>
      </w:r>
    </w:p>
    <w:p w14:paraId="71993D1C" w14:textId="5CC9A048" w:rsidR="00EC6FED" w:rsidRPr="00C33E29" w:rsidRDefault="00202ACB" w:rsidP="00202ACB">
      <w:pPr>
        <w:pStyle w:val="Title4"/>
        <w:rPr>
          <w:b/>
          <w:bCs/>
          <w:lang w:val="es-ES_tradnl"/>
        </w:rPr>
      </w:pPr>
      <w:r w:rsidRPr="00C33E29">
        <w:rPr>
          <w:b/>
          <w:bCs/>
          <w:lang w:val="es-ES_tradnl"/>
        </w:rPr>
        <w:lastRenderedPageBreak/>
        <w:t>Índice</w:t>
      </w:r>
    </w:p>
    <w:p w14:paraId="3E16D262" w14:textId="18D7D6FF" w:rsidR="00202ACB" w:rsidRPr="00C33E29" w:rsidRDefault="00202ACB" w:rsidP="00202ACB">
      <w:pPr>
        <w:jc w:val="right"/>
        <w:rPr>
          <w:b/>
          <w:bCs/>
          <w:lang w:val="es-ES_tradnl"/>
        </w:rPr>
      </w:pPr>
      <w:r w:rsidRPr="00C33E29">
        <w:rPr>
          <w:b/>
          <w:bCs/>
          <w:lang w:val="es-ES_tradnl"/>
        </w:rPr>
        <w:t>Página</w:t>
      </w:r>
    </w:p>
    <w:p w14:paraId="200EFE83" w14:textId="14C4335D" w:rsidR="001F158B" w:rsidRPr="00C33E29" w:rsidRDefault="001F158B">
      <w:pPr>
        <w:pStyle w:val="TOC1"/>
        <w:rPr>
          <w:rFonts w:eastAsiaTheme="minorEastAsia" w:cstheme="minorBidi"/>
          <w:noProof/>
          <w:sz w:val="22"/>
          <w:szCs w:val="22"/>
          <w:lang w:val="es-ES_tradnl" w:eastAsia="en-GB"/>
        </w:rPr>
      </w:pPr>
      <w:r w:rsidRPr="00C33E29">
        <w:rPr>
          <w:lang w:val="es-ES_tradnl"/>
        </w:rPr>
        <w:fldChar w:fldCharType="begin"/>
      </w:r>
      <w:r w:rsidRPr="00C33E29">
        <w:rPr>
          <w:lang w:val="es-ES_tradnl"/>
        </w:rPr>
        <w:instrText xml:space="preserve"> TOC \o "1-2" \h \z </w:instrText>
      </w:r>
      <w:r w:rsidRPr="00C33E29">
        <w:rPr>
          <w:lang w:val="es-ES_tradnl"/>
        </w:rPr>
        <w:fldChar w:fldCharType="separate"/>
      </w:r>
      <w:hyperlink w:anchor="_Toc196469429" w:history="1">
        <w:r w:rsidRPr="00C33E29">
          <w:rPr>
            <w:rStyle w:val="Hyperlink"/>
            <w:noProof/>
            <w:lang w:val="es-ES_tradnl"/>
          </w:rPr>
          <w:t>Introducción</w:t>
        </w:r>
        <w:r w:rsidRPr="00C33E29">
          <w:rPr>
            <w:noProof/>
            <w:webHidden/>
            <w:lang w:val="es-ES_tradnl"/>
          </w:rPr>
          <w:tab/>
        </w:r>
        <w:r w:rsidRPr="00C33E29">
          <w:rPr>
            <w:noProof/>
            <w:webHidden/>
            <w:lang w:val="es-ES_tradnl"/>
          </w:rPr>
          <w:tab/>
        </w:r>
        <w:r w:rsidRPr="00C33E29">
          <w:rPr>
            <w:noProof/>
            <w:webHidden/>
            <w:lang w:val="es-ES_tradnl"/>
          </w:rPr>
          <w:fldChar w:fldCharType="begin"/>
        </w:r>
        <w:r w:rsidRPr="00C33E29">
          <w:rPr>
            <w:noProof/>
            <w:webHidden/>
            <w:lang w:val="es-ES_tradnl"/>
          </w:rPr>
          <w:instrText xml:space="preserve"> PAGEREF _Toc196469429 \h </w:instrText>
        </w:r>
        <w:r w:rsidRPr="00C33E29">
          <w:rPr>
            <w:noProof/>
            <w:webHidden/>
            <w:lang w:val="es-ES_tradnl"/>
          </w:rPr>
        </w:r>
        <w:r w:rsidRPr="00C33E29">
          <w:rPr>
            <w:noProof/>
            <w:webHidden/>
            <w:lang w:val="es-ES_tradnl"/>
          </w:rPr>
          <w:fldChar w:fldCharType="separate"/>
        </w:r>
        <w:r w:rsidRPr="00C33E29">
          <w:rPr>
            <w:noProof/>
            <w:webHidden/>
            <w:lang w:val="es-ES_tradnl"/>
          </w:rPr>
          <w:t>3</w:t>
        </w:r>
        <w:r w:rsidRPr="00C33E29">
          <w:rPr>
            <w:noProof/>
            <w:webHidden/>
            <w:lang w:val="es-ES_tradnl"/>
          </w:rPr>
          <w:fldChar w:fldCharType="end"/>
        </w:r>
      </w:hyperlink>
    </w:p>
    <w:p w14:paraId="7A46AE78" w14:textId="45F33739" w:rsidR="001F158B" w:rsidRPr="00C33E29" w:rsidRDefault="001F158B">
      <w:pPr>
        <w:pStyle w:val="TOC2"/>
        <w:rPr>
          <w:rFonts w:eastAsiaTheme="minorEastAsia" w:cstheme="minorBidi"/>
          <w:noProof/>
          <w:sz w:val="22"/>
          <w:szCs w:val="22"/>
          <w:lang w:val="es-ES_tradnl" w:eastAsia="en-GB"/>
        </w:rPr>
      </w:pPr>
      <w:hyperlink w:anchor="_Toc196469430" w:history="1">
        <w:r w:rsidRPr="00C33E29">
          <w:rPr>
            <w:rStyle w:val="Hyperlink"/>
            <w:noProof/>
            <w:lang w:val="es-ES_tradnl"/>
          </w:rPr>
          <w:t>Mandato del GADT</w:t>
        </w:r>
        <w:r w:rsidRPr="00C33E29">
          <w:rPr>
            <w:noProof/>
            <w:webHidden/>
            <w:lang w:val="es-ES_tradnl"/>
          </w:rPr>
          <w:tab/>
        </w:r>
        <w:r w:rsidRPr="00C33E29">
          <w:rPr>
            <w:noProof/>
            <w:webHidden/>
            <w:lang w:val="es-ES_tradnl"/>
          </w:rPr>
          <w:tab/>
        </w:r>
        <w:r w:rsidRPr="00C33E29">
          <w:rPr>
            <w:noProof/>
            <w:webHidden/>
            <w:lang w:val="es-ES_tradnl"/>
          </w:rPr>
          <w:fldChar w:fldCharType="begin"/>
        </w:r>
        <w:r w:rsidRPr="00C33E29">
          <w:rPr>
            <w:noProof/>
            <w:webHidden/>
            <w:lang w:val="es-ES_tradnl"/>
          </w:rPr>
          <w:instrText xml:space="preserve"> PAGEREF _Toc196469430 \h </w:instrText>
        </w:r>
        <w:r w:rsidRPr="00C33E29">
          <w:rPr>
            <w:noProof/>
            <w:webHidden/>
            <w:lang w:val="es-ES_tradnl"/>
          </w:rPr>
        </w:r>
        <w:r w:rsidRPr="00C33E29">
          <w:rPr>
            <w:noProof/>
            <w:webHidden/>
            <w:lang w:val="es-ES_tradnl"/>
          </w:rPr>
          <w:fldChar w:fldCharType="separate"/>
        </w:r>
        <w:r w:rsidRPr="00C33E29">
          <w:rPr>
            <w:noProof/>
            <w:webHidden/>
            <w:lang w:val="es-ES_tradnl"/>
          </w:rPr>
          <w:t>3</w:t>
        </w:r>
        <w:r w:rsidRPr="00C33E29">
          <w:rPr>
            <w:noProof/>
            <w:webHidden/>
            <w:lang w:val="es-ES_tradnl"/>
          </w:rPr>
          <w:fldChar w:fldCharType="end"/>
        </w:r>
      </w:hyperlink>
    </w:p>
    <w:p w14:paraId="04A02B5B" w14:textId="1E9A67A4" w:rsidR="001F158B" w:rsidRPr="00C33E29" w:rsidRDefault="001F158B">
      <w:pPr>
        <w:pStyle w:val="TOC2"/>
        <w:rPr>
          <w:rFonts w:eastAsiaTheme="minorEastAsia" w:cstheme="minorBidi"/>
          <w:noProof/>
          <w:sz w:val="22"/>
          <w:szCs w:val="22"/>
          <w:lang w:val="es-ES_tradnl" w:eastAsia="en-GB"/>
        </w:rPr>
      </w:pPr>
      <w:hyperlink w:anchor="_Toc196469431" w:history="1">
        <w:r w:rsidRPr="00C33E29">
          <w:rPr>
            <w:rStyle w:val="Hyperlink"/>
            <w:noProof/>
            <w:lang w:val="es-ES_tradnl"/>
          </w:rPr>
          <w:t>Oficina del Grupo Asesor de Desarrollo de las Telecomunicaciones</w:t>
        </w:r>
        <w:r w:rsidRPr="00C33E29">
          <w:rPr>
            <w:noProof/>
            <w:webHidden/>
            <w:lang w:val="es-ES_tradnl"/>
          </w:rPr>
          <w:tab/>
        </w:r>
        <w:r w:rsidRPr="00C33E29">
          <w:rPr>
            <w:noProof/>
            <w:webHidden/>
            <w:lang w:val="es-ES_tradnl"/>
          </w:rPr>
          <w:tab/>
        </w:r>
        <w:r w:rsidRPr="00C33E29">
          <w:rPr>
            <w:noProof/>
            <w:webHidden/>
            <w:lang w:val="es-ES_tradnl"/>
          </w:rPr>
          <w:fldChar w:fldCharType="begin"/>
        </w:r>
        <w:r w:rsidRPr="00C33E29">
          <w:rPr>
            <w:noProof/>
            <w:webHidden/>
            <w:lang w:val="es-ES_tradnl"/>
          </w:rPr>
          <w:instrText xml:space="preserve"> PAGEREF _Toc196469431 \h </w:instrText>
        </w:r>
        <w:r w:rsidRPr="00C33E29">
          <w:rPr>
            <w:noProof/>
            <w:webHidden/>
            <w:lang w:val="es-ES_tradnl"/>
          </w:rPr>
        </w:r>
        <w:r w:rsidRPr="00C33E29">
          <w:rPr>
            <w:noProof/>
            <w:webHidden/>
            <w:lang w:val="es-ES_tradnl"/>
          </w:rPr>
          <w:fldChar w:fldCharType="separate"/>
        </w:r>
        <w:r w:rsidRPr="00C33E29">
          <w:rPr>
            <w:noProof/>
            <w:webHidden/>
            <w:lang w:val="es-ES_tradnl"/>
          </w:rPr>
          <w:t>3</w:t>
        </w:r>
        <w:r w:rsidRPr="00C33E29">
          <w:rPr>
            <w:noProof/>
            <w:webHidden/>
            <w:lang w:val="es-ES_tradnl"/>
          </w:rPr>
          <w:fldChar w:fldCharType="end"/>
        </w:r>
      </w:hyperlink>
    </w:p>
    <w:p w14:paraId="0FABFBFB" w14:textId="2486C191" w:rsidR="001F158B" w:rsidRPr="00C33E29" w:rsidRDefault="001F158B">
      <w:pPr>
        <w:pStyle w:val="TOC1"/>
        <w:rPr>
          <w:rFonts w:eastAsiaTheme="minorEastAsia" w:cstheme="minorBidi"/>
          <w:noProof/>
          <w:sz w:val="22"/>
          <w:szCs w:val="22"/>
          <w:lang w:val="es-ES_tradnl" w:eastAsia="en-GB"/>
        </w:rPr>
      </w:pPr>
      <w:hyperlink w:anchor="_Toc196469432" w:history="1">
        <w:r w:rsidRPr="00C33E29">
          <w:rPr>
            <w:rStyle w:val="Hyperlink"/>
            <w:noProof/>
            <w:lang w:val="es-ES_tradnl"/>
          </w:rPr>
          <w:t>Reuniones del GADT</w:t>
        </w:r>
        <w:r w:rsidRPr="00C33E29">
          <w:rPr>
            <w:noProof/>
            <w:webHidden/>
            <w:lang w:val="es-ES_tradnl"/>
          </w:rPr>
          <w:tab/>
        </w:r>
        <w:r w:rsidRPr="00C33E29">
          <w:rPr>
            <w:noProof/>
            <w:webHidden/>
            <w:lang w:val="es-ES_tradnl"/>
          </w:rPr>
          <w:tab/>
        </w:r>
        <w:r w:rsidRPr="00C33E29">
          <w:rPr>
            <w:noProof/>
            <w:webHidden/>
            <w:lang w:val="es-ES_tradnl"/>
          </w:rPr>
          <w:fldChar w:fldCharType="begin"/>
        </w:r>
        <w:r w:rsidRPr="00C33E29">
          <w:rPr>
            <w:noProof/>
            <w:webHidden/>
            <w:lang w:val="es-ES_tradnl"/>
          </w:rPr>
          <w:instrText xml:space="preserve"> PAGEREF _Toc196469432 \h </w:instrText>
        </w:r>
        <w:r w:rsidRPr="00C33E29">
          <w:rPr>
            <w:noProof/>
            <w:webHidden/>
            <w:lang w:val="es-ES_tradnl"/>
          </w:rPr>
        </w:r>
        <w:r w:rsidRPr="00C33E29">
          <w:rPr>
            <w:noProof/>
            <w:webHidden/>
            <w:lang w:val="es-ES_tradnl"/>
          </w:rPr>
          <w:fldChar w:fldCharType="separate"/>
        </w:r>
        <w:r w:rsidRPr="00C33E29">
          <w:rPr>
            <w:noProof/>
            <w:webHidden/>
            <w:lang w:val="es-ES_tradnl"/>
          </w:rPr>
          <w:t>3</w:t>
        </w:r>
        <w:r w:rsidRPr="00C33E29">
          <w:rPr>
            <w:noProof/>
            <w:webHidden/>
            <w:lang w:val="es-ES_tradnl"/>
          </w:rPr>
          <w:fldChar w:fldCharType="end"/>
        </w:r>
      </w:hyperlink>
    </w:p>
    <w:p w14:paraId="53EE8F52" w14:textId="60BC99FC" w:rsidR="001F158B" w:rsidRPr="00C33E29" w:rsidRDefault="001F158B">
      <w:pPr>
        <w:pStyle w:val="TOC2"/>
        <w:rPr>
          <w:rFonts w:eastAsiaTheme="minorEastAsia" w:cstheme="minorBidi"/>
          <w:noProof/>
          <w:sz w:val="22"/>
          <w:szCs w:val="22"/>
          <w:lang w:val="es-ES_tradnl" w:eastAsia="en-GB"/>
        </w:rPr>
      </w:pPr>
      <w:hyperlink w:anchor="_Toc196469433" w:history="1">
        <w:r w:rsidRPr="00C33E29">
          <w:rPr>
            <w:rStyle w:val="Hyperlink"/>
            <w:noProof/>
            <w:lang w:val="es-ES_tradnl"/>
          </w:rPr>
          <w:t>Trigésima reunión del GADT</w:t>
        </w:r>
        <w:r w:rsidRPr="00C33E29">
          <w:rPr>
            <w:noProof/>
            <w:webHidden/>
            <w:lang w:val="es-ES_tradnl"/>
          </w:rPr>
          <w:tab/>
        </w:r>
        <w:r w:rsidRPr="00C33E29">
          <w:rPr>
            <w:noProof/>
            <w:webHidden/>
            <w:lang w:val="es-ES_tradnl"/>
          </w:rPr>
          <w:tab/>
        </w:r>
        <w:r w:rsidRPr="00C33E29">
          <w:rPr>
            <w:noProof/>
            <w:webHidden/>
            <w:lang w:val="es-ES_tradnl"/>
          </w:rPr>
          <w:fldChar w:fldCharType="begin"/>
        </w:r>
        <w:r w:rsidRPr="00C33E29">
          <w:rPr>
            <w:noProof/>
            <w:webHidden/>
            <w:lang w:val="es-ES_tradnl"/>
          </w:rPr>
          <w:instrText xml:space="preserve"> PAGEREF _Toc196469433 \h </w:instrText>
        </w:r>
        <w:r w:rsidRPr="00C33E29">
          <w:rPr>
            <w:noProof/>
            <w:webHidden/>
            <w:lang w:val="es-ES_tradnl"/>
          </w:rPr>
        </w:r>
        <w:r w:rsidRPr="00C33E29">
          <w:rPr>
            <w:noProof/>
            <w:webHidden/>
            <w:lang w:val="es-ES_tradnl"/>
          </w:rPr>
          <w:fldChar w:fldCharType="separate"/>
        </w:r>
        <w:r w:rsidRPr="00C33E29">
          <w:rPr>
            <w:noProof/>
            <w:webHidden/>
            <w:lang w:val="es-ES_tradnl"/>
          </w:rPr>
          <w:t>4</w:t>
        </w:r>
        <w:r w:rsidRPr="00C33E29">
          <w:rPr>
            <w:noProof/>
            <w:webHidden/>
            <w:lang w:val="es-ES_tradnl"/>
          </w:rPr>
          <w:fldChar w:fldCharType="end"/>
        </w:r>
      </w:hyperlink>
    </w:p>
    <w:p w14:paraId="01FD0D0B" w14:textId="3E6C4F3C" w:rsidR="001F158B" w:rsidRPr="00C33E29" w:rsidRDefault="001F158B">
      <w:pPr>
        <w:pStyle w:val="TOC2"/>
        <w:rPr>
          <w:rFonts w:eastAsiaTheme="minorEastAsia" w:cstheme="minorBidi"/>
          <w:noProof/>
          <w:sz w:val="22"/>
          <w:szCs w:val="22"/>
          <w:lang w:val="es-ES_tradnl" w:eastAsia="en-GB"/>
        </w:rPr>
      </w:pPr>
      <w:hyperlink w:anchor="_Toc196469434" w:history="1">
        <w:r w:rsidRPr="00C33E29">
          <w:rPr>
            <w:rStyle w:val="Hyperlink"/>
            <w:noProof/>
            <w:lang w:val="es-ES_tradnl"/>
          </w:rPr>
          <w:t>Trigesimoprimera reunión del GADT</w:t>
        </w:r>
        <w:r w:rsidRPr="00C33E29">
          <w:rPr>
            <w:noProof/>
            <w:webHidden/>
            <w:lang w:val="es-ES_tradnl"/>
          </w:rPr>
          <w:tab/>
        </w:r>
        <w:r w:rsidRPr="00C33E29">
          <w:rPr>
            <w:noProof/>
            <w:webHidden/>
            <w:lang w:val="es-ES_tradnl"/>
          </w:rPr>
          <w:tab/>
        </w:r>
        <w:r w:rsidRPr="00C33E29">
          <w:rPr>
            <w:noProof/>
            <w:webHidden/>
            <w:lang w:val="es-ES_tradnl"/>
          </w:rPr>
          <w:fldChar w:fldCharType="begin"/>
        </w:r>
        <w:r w:rsidRPr="00C33E29">
          <w:rPr>
            <w:noProof/>
            <w:webHidden/>
            <w:lang w:val="es-ES_tradnl"/>
          </w:rPr>
          <w:instrText xml:space="preserve"> PAGEREF _Toc196469434 \h </w:instrText>
        </w:r>
        <w:r w:rsidRPr="00C33E29">
          <w:rPr>
            <w:noProof/>
            <w:webHidden/>
            <w:lang w:val="es-ES_tradnl"/>
          </w:rPr>
        </w:r>
        <w:r w:rsidRPr="00C33E29">
          <w:rPr>
            <w:noProof/>
            <w:webHidden/>
            <w:lang w:val="es-ES_tradnl"/>
          </w:rPr>
          <w:fldChar w:fldCharType="separate"/>
        </w:r>
        <w:r w:rsidRPr="00C33E29">
          <w:rPr>
            <w:noProof/>
            <w:webHidden/>
            <w:lang w:val="es-ES_tradnl"/>
          </w:rPr>
          <w:t>7</w:t>
        </w:r>
        <w:r w:rsidRPr="00C33E29">
          <w:rPr>
            <w:noProof/>
            <w:webHidden/>
            <w:lang w:val="es-ES_tradnl"/>
          </w:rPr>
          <w:fldChar w:fldCharType="end"/>
        </w:r>
      </w:hyperlink>
    </w:p>
    <w:p w14:paraId="63EA00B6" w14:textId="5C287FD8" w:rsidR="001F158B" w:rsidRPr="00C33E29" w:rsidRDefault="001F158B">
      <w:pPr>
        <w:pStyle w:val="TOC2"/>
        <w:rPr>
          <w:rFonts w:eastAsiaTheme="minorEastAsia" w:cstheme="minorBidi"/>
          <w:noProof/>
          <w:sz w:val="22"/>
          <w:szCs w:val="22"/>
          <w:lang w:val="es-ES_tradnl" w:eastAsia="en-GB"/>
        </w:rPr>
      </w:pPr>
      <w:hyperlink w:anchor="_Toc196469435" w:history="1">
        <w:r w:rsidRPr="00C33E29">
          <w:rPr>
            <w:rStyle w:val="Hyperlink"/>
            <w:noProof/>
            <w:lang w:val="es-ES_tradnl"/>
          </w:rPr>
          <w:t>Reunión extraordinaria del GADT</w:t>
        </w:r>
        <w:r w:rsidRPr="00C33E29">
          <w:rPr>
            <w:noProof/>
            <w:webHidden/>
            <w:lang w:val="es-ES_tradnl"/>
          </w:rPr>
          <w:tab/>
        </w:r>
        <w:r w:rsidRPr="00C33E29">
          <w:rPr>
            <w:noProof/>
            <w:webHidden/>
            <w:lang w:val="es-ES_tradnl"/>
          </w:rPr>
          <w:tab/>
        </w:r>
        <w:r w:rsidRPr="00C33E29">
          <w:rPr>
            <w:noProof/>
            <w:webHidden/>
            <w:lang w:val="es-ES_tradnl"/>
          </w:rPr>
          <w:fldChar w:fldCharType="begin"/>
        </w:r>
        <w:r w:rsidRPr="00C33E29">
          <w:rPr>
            <w:noProof/>
            <w:webHidden/>
            <w:lang w:val="es-ES_tradnl"/>
          </w:rPr>
          <w:instrText xml:space="preserve"> PAGEREF _Toc196469435 \h </w:instrText>
        </w:r>
        <w:r w:rsidRPr="00C33E29">
          <w:rPr>
            <w:noProof/>
            <w:webHidden/>
            <w:lang w:val="es-ES_tradnl"/>
          </w:rPr>
        </w:r>
        <w:r w:rsidRPr="00C33E29">
          <w:rPr>
            <w:noProof/>
            <w:webHidden/>
            <w:lang w:val="es-ES_tradnl"/>
          </w:rPr>
          <w:fldChar w:fldCharType="separate"/>
        </w:r>
        <w:r w:rsidRPr="00C33E29">
          <w:rPr>
            <w:noProof/>
            <w:webHidden/>
            <w:lang w:val="es-ES_tradnl"/>
          </w:rPr>
          <w:t>10</w:t>
        </w:r>
        <w:r w:rsidRPr="00C33E29">
          <w:rPr>
            <w:noProof/>
            <w:webHidden/>
            <w:lang w:val="es-ES_tradnl"/>
          </w:rPr>
          <w:fldChar w:fldCharType="end"/>
        </w:r>
      </w:hyperlink>
    </w:p>
    <w:p w14:paraId="232A3C49" w14:textId="18BD7383" w:rsidR="001F158B" w:rsidRPr="00C33E29" w:rsidRDefault="001F158B">
      <w:pPr>
        <w:pStyle w:val="TOC2"/>
        <w:rPr>
          <w:rFonts w:eastAsiaTheme="minorEastAsia" w:cstheme="minorBidi"/>
          <w:noProof/>
          <w:sz w:val="22"/>
          <w:szCs w:val="22"/>
          <w:lang w:val="es-ES_tradnl" w:eastAsia="en-GB"/>
        </w:rPr>
      </w:pPr>
      <w:hyperlink w:anchor="_Toc196469436" w:history="1">
        <w:r w:rsidRPr="00C33E29">
          <w:rPr>
            <w:rStyle w:val="Hyperlink"/>
            <w:noProof/>
            <w:lang w:val="es-ES_tradnl"/>
          </w:rPr>
          <w:t>Trigesimosegunda reunión del GADT</w:t>
        </w:r>
        <w:r w:rsidRPr="00C33E29">
          <w:rPr>
            <w:noProof/>
            <w:webHidden/>
            <w:lang w:val="es-ES_tradnl"/>
          </w:rPr>
          <w:tab/>
        </w:r>
        <w:r w:rsidRPr="00C33E29">
          <w:rPr>
            <w:noProof/>
            <w:webHidden/>
            <w:lang w:val="es-ES_tradnl"/>
          </w:rPr>
          <w:tab/>
        </w:r>
        <w:r w:rsidRPr="00C33E29">
          <w:rPr>
            <w:noProof/>
            <w:webHidden/>
            <w:lang w:val="es-ES_tradnl"/>
          </w:rPr>
          <w:fldChar w:fldCharType="begin"/>
        </w:r>
        <w:r w:rsidRPr="00C33E29">
          <w:rPr>
            <w:noProof/>
            <w:webHidden/>
            <w:lang w:val="es-ES_tradnl"/>
          </w:rPr>
          <w:instrText xml:space="preserve"> PAGEREF _Toc196469436 \h </w:instrText>
        </w:r>
        <w:r w:rsidRPr="00C33E29">
          <w:rPr>
            <w:noProof/>
            <w:webHidden/>
            <w:lang w:val="es-ES_tradnl"/>
          </w:rPr>
        </w:r>
        <w:r w:rsidRPr="00C33E29">
          <w:rPr>
            <w:noProof/>
            <w:webHidden/>
            <w:lang w:val="es-ES_tradnl"/>
          </w:rPr>
          <w:fldChar w:fldCharType="separate"/>
        </w:r>
        <w:r w:rsidRPr="00C33E29">
          <w:rPr>
            <w:noProof/>
            <w:webHidden/>
            <w:lang w:val="es-ES_tradnl"/>
          </w:rPr>
          <w:t>13</w:t>
        </w:r>
        <w:r w:rsidRPr="00C33E29">
          <w:rPr>
            <w:noProof/>
            <w:webHidden/>
            <w:lang w:val="es-ES_tradnl"/>
          </w:rPr>
          <w:fldChar w:fldCharType="end"/>
        </w:r>
      </w:hyperlink>
    </w:p>
    <w:p w14:paraId="265771CC" w14:textId="37052D9A" w:rsidR="001F158B" w:rsidRPr="00C33E29" w:rsidRDefault="001F158B">
      <w:pPr>
        <w:pStyle w:val="TOC1"/>
        <w:rPr>
          <w:rFonts w:eastAsiaTheme="minorEastAsia" w:cstheme="minorBidi"/>
          <w:noProof/>
          <w:sz w:val="22"/>
          <w:szCs w:val="22"/>
          <w:lang w:val="es-ES_tradnl" w:eastAsia="en-GB"/>
        </w:rPr>
      </w:pPr>
      <w:hyperlink w:anchor="_Toc196469437" w:history="1">
        <w:r w:rsidRPr="00C33E29">
          <w:rPr>
            <w:rStyle w:val="Hyperlink"/>
            <w:noProof/>
            <w:lang w:val="es-ES_tradnl"/>
          </w:rPr>
          <w:t>Reuniones de los Grupos de Trabajo del GADT</w:t>
        </w:r>
        <w:r w:rsidRPr="00C33E29">
          <w:rPr>
            <w:noProof/>
            <w:webHidden/>
            <w:lang w:val="es-ES_tradnl"/>
          </w:rPr>
          <w:tab/>
        </w:r>
        <w:r w:rsidRPr="00C33E29">
          <w:rPr>
            <w:noProof/>
            <w:webHidden/>
            <w:lang w:val="es-ES_tradnl"/>
          </w:rPr>
          <w:tab/>
        </w:r>
        <w:r w:rsidRPr="00C33E29">
          <w:rPr>
            <w:noProof/>
            <w:webHidden/>
            <w:lang w:val="es-ES_tradnl"/>
          </w:rPr>
          <w:fldChar w:fldCharType="begin"/>
        </w:r>
        <w:r w:rsidRPr="00C33E29">
          <w:rPr>
            <w:noProof/>
            <w:webHidden/>
            <w:lang w:val="es-ES_tradnl"/>
          </w:rPr>
          <w:instrText xml:space="preserve"> PAGEREF _Toc196469437 \h </w:instrText>
        </w:r>
        <w:r w:rsidRPr="00C33E29">
          <w:rPr>
            <w:noProof/>
            <w:webHidden/>
            <w:lang w:val="es-ES_tradnl"/>
          </w:rPr>
        </w:r>
        <w:r w:rsidRPr="00C33E29">
          <w:rPr>
            <w:noProof/>
            <w:webHidden/>
            <w:lang w:val="es-ES_tradnl"/>
          </w:rPr>
          <w:fldChar w:fldCharType="separate"/>
        </w:r>
        <w:r w:rsidRPr="00C33E29">
          <w:rPr>
            <w:noProof/>
            <w:webHidden/>
            <w:lang w:val="es-ES_tradnl"/>
          </w:rPr>
          <w:t>13</w:t>
        </w:r>
        <w:r w:rsidRPr="00C33E29">
          <w:rPr>
            <w:noProof/>
            <w:webHidden/>
            <w:lang w:val="es-ES_tradnl"/>
          </w:rPr>
          <w:fldChar w:fldCharType="end"/>
        </w:r>
      </w:hyperlink>
    </w:p>
    <w:p w14:paraId="03B55835" w14:textId="5CB32B95" w:rsidR="001F158B" w:rsidRPr="00C33E29" w:rsidRDefault="001F158B">
      <w:pPr>
        <w:pStyle w:val="TOC1"/>
        <w:rPr>
          <w:rFonts w:eastAsiaTheme="minorEastAsia" w:cstheme="minorBidi"/>
          <w:noProof/>
          <w:sz w:val="22"/>
          <w:szCs w:val="22"/>
          <w:lang w:val="es-ES_tradnl" w:eastAsia="en-GB"/>
        </w:rPr>
      </w:pPr>
      <w:hyperlink w:anchor="_Toc196469438" w:history="1">
        <w:r w:rsidRPr="00C33E29">
          <w:rPr>
            <w:rStyle w:val="Hyperlink"/>
            <w:noProof/>
            <w:lang w:val="es-ES_tradnl"/>
          </w:rPr>
          <w:t>Aplicación de las Resoluciones 1, 2 y 24 por el GADT</w:t>
        </w:r>
        <w:r w:rsidRPr="00C33E29">
          <w:rPr>
            <w:noProof/>
            <w:webHidden/>
            <w:lang w:val="es-ES_tradnl"/>
          </w:rPr>
          <w:tab/>
        </w:r>
        <w:r w:rsidRPr="00C33E29">
          <w:rPr>
            <w:noProof/>
            <w:webHidden/>
            <w:lang w:val="es-ES_tradnl"/>
          </w:rPr>
          <w:tab/>
        </w:r>
        <w:r w:rsidRPr="00C33E29">
          <w:rPr>
            <w:noProof/>
            <w:webHidden/>
            <w:lang w:val="es-ES_tradnl"/>
          </w:rPr>
          <w:fldChar w:fldCharType="begin"/>
        </w:r>
        <w:r w:rsidRPr="00C33E29">
          <w:rPr>
            <w:noProof/>
            <w:webHidden/>
            <w:lang w:val="es-ES_tradnl"/>
          </w:rPr>
          <w:instrText xml:space="preserve"> PAGEREF _Toc196469438 \h </w:instrText>
        </w:r>
        <w:r w:rsidRPr="00C33E29">
          <w:rPr>
            <w:noProof/>
            <w:webHidden/>
            <w:lang w:val="es-ES_tradnl"/>
          </w:rPr>
        </w:r>
        <w:r w:rsidRPr="00C33E29">
          <w:rPr>
            <w:noProof/>
            <w:webHidden/>
            <w:lang w:val="es-ES_tradnl"/>
          </w:rPr>
          <w:fldChar w:fldCharType="separate"/>
        </w:r>
        <w:r w:rsidRPr="00C33E29">
          <w:rPr>
            <w:noProof/>
            <w:webHidden/>
            <w:lang w:val="es-ES_tradnl"/>
          </w:rPr>
          <w:t>13</w:t>
        </w:r>
        <w:r w:rsidRPr="00C33E29">
          <w:rPr>
            <w:noProof/>
            <w:webHidden/>
            <w:lang w:val="es-ES_tradnl"/>
          </w:rPr>
          <w:fldChar w:fldCharType="end"/>
        </w:r>
      </w:hyperlink>
    </w:p>
    <w:p w14:paraId="5F05AC77" w14:textId="609BEDA3" w:rsidR="001F158B" w:rsidRPr="00C33E29" w:rsidRDefault="001F158B">
      <w:pPr>
        <w:pStyle w:val="TOC1"/>
        <w:rPr>
          <w:rFonts w:eastAsiaTheme="minorEastAsia" w:cstheme="minorBidi"/>
          <w:noProof/>
          <w:sz w:val="22"/>
          <w:szCs w:val="22"/>
          <w:lang w:val="es-ES_tradnl" w:eastAsia="en-GB"/>
        </w:rPr>
      </w:pPr>
      <w:hyperlink w:anchor="_Toc196469439" w:history="1">
        <w:r w:rsidRPr="00C33E29">
          <w:rPr>
            <w:rStyle w:val="Hyperlink"/>
            <w:noProof/>
            <w:lang w:val="es-ES_tradnl"/>
          </w:rPr>
          <w:t>Conclusión y previsiones</w:t>
        </w:r>
        <w:r w:rsidRPr="00C33E29">
          <w:rPr>
            <w:noProof/>
            <w:webHidden/>
            <w:lang w:val="es-ES_tradnl"/>
          </w:rPr>
          <w:tab/>
        </w:r>
        <w:r w:rsidRPr="00C33E29">
          <w:rPr>
            <w:noProof/>
            <w:webHidden/>
            <w:lang w:val="es-ES_tradnl"/>
          </w:rPr>
          <w:tab/>
        </w:r>
        <w:r w:rsidRPr="00C33E29">
          <w:rPr>
            <w:noProof/>
            <w:webHidden/>
            <w:lang w:val="es-ES_tradnl"/>
          </w:rPr>
          <w:fldChar w:fldCharType="begin"/>
        </w:r>
        <w:r w:rsidRPr="00C33E29">
          <w:rPr>
            <w:noProof/>
            <w:webHidden/>
            <w:lang w:val="es-ES_tradnl"/>
          </w:rPr>
          <w:instrText xml:space="preserve"> PAGEREF _Toc196469439 \h </w:instrText>
        </w:r>
        <w:r w:rsidRPr="00C33E29">
          <w:rPr>
            <w:noProof/>
            <w:webHidden/>
            <w:lang w:val="es-ES_tradnl"/>
          </w:rPr>
        </w:r>
        <w:r w:rsidRPr="00C33E29">
          <w:rPr>
            <w:noProof/>
            <w:webHidden/>
            <w:lang w:val="es-ES_tradnl"/>
          </w:rPr>
          <w:fldChar w:fldCharType="separate"/>
        </w:r>
        <w:r w:rsidRPr="00C33E29">
          <w:rPr>
            <w:noProof/>
            <w:webHidden/>
            <w:lang w:val="es-ES_tradnl"/>
          </w:rPr>
          <w:t>20</w:t>
        </w:r>
        <w:r w:rsidRPr="00C33E29">
          <w:rPr>
            <w:noProof/>
            <w:webHidden/>
            <w:lang w:val="es-ES_tradnl"/>
          </w:rPr>
          <w:fldChar w:fldCharType="end"/>
        </w:r>
      </w:hyperlink>
    </w:p>
    <w:p w14:paraId="2B5FB933" w14:textId="77B62872" w:rsidR="00202ACB" w:rsidRPr="00C33E29" w:rsidRDefault="001F158B" w:rsidP="00202ACB">
      <w:pPr>
        <w:rPr>
          <w:lang w:val="es-ES_tradnl"/>
        </w:rPr>
      </w:pPr>
      <w:r w:rsidRPr="00C33E29">
        <w:rPr>
          <w:lang w:val="es-ES_tradnl"/>
        </w:rPr>
        <w:fldChar w:fldCharType="end"/>
      </w:r>
    </w:p>
    <w:p w14:paraId="0844942D" w14:textId="49F52DBB" w:rsidR="009B437E" w:rsidRPr="00C33E29" w:rsidRDefault="009B437E">
      <w:pPr>
        <w:tabs>
          <w:tab w:val="clear" w:pos="794"/>
          <w:tab w:val="clear" w:pos="1191"/>
          <w:tab w:val="clear" w:pos="1588"/>
          <w:tab w:val="clear" w:pos="1985"/>
        </w:tabs>
        <w:overflowPunct/>
        <w:autoSpaceDE/>
        <w:autoSpaceDN/>
        <w:adjustRightInd/>
        <w:spacing w:before="0"/>
        <w:textAlignment w:val="auto"/>
        <w:rPr>
          <w:lang w:val="es-ES_tradnl"/>
        </w:rPr>
      </w:pPr>
      <w:r w:rsidRPr="00C33E29">
        <w:rPr>
          <w:lang w:val="es-ES_tradnl"/>
        </w:rPr>
        <w:br w:type="page"/>
      </w:r>
    </w:p>
    <w:p w14:paraId="5DE83F4A" w14:textId="0643D673" w:rsidR="009B437E" w:rsidRPr="00C33E29" w:rsidRDefault="009B437E" w:rsidP="009B437E">
      <w:pPr>
        <w:pStyle w:val="Heading1"/>
        <w:rPr>
          <w:lang w:val="es-ES_tradnl"/>
        </w:rPr>
      </w:pPr>
      <w:bookmarkStart w:id="7" w:name="_Toc196469429"/>
      <w:r w:rsidRPr="00C33E29">
        <w:rPr>
          <w:lang w:val="es-ES_tradnl"/>
        </w:rPr>
        <w:t>Introducción</w:t>
      </w:r>
      <w:bookmarkEnd w:id="7"/>
    </w:p>
    <w:p w14:paraId="7386A801" w14:textId="32E2B711" w:rsidR="009B437E" w:rsidRPr="00C33E29" w:rsidRDefault="009B437E" w:rsidP="009B437E">
      <w:pPr>
        <w:rPr>
          <w:lang w:val="es-ES_tradnl"/>
        </w:rPr>
      </w:pPr>
      <w:r w:rsidRPr="00C33E29">
        <w:rPr>
          <w:lang w:val="es-ES_tradnl"/>
        </w:rPr>
        <w:t>El presente informe contiene un resumen del trabajo realizado por el Grupo Asesor de Desarrollo de las Telecomunicaciones (GADT) durante el periodo comprendido entre 2023 y 2025.</w:t>
      </w:r>
    </w:p>
    <w:p w14:paraId="3E95E489" w14:textId="15785194" w:rsidR="009B437E" w:rsidRPr="00C33E29" w:rsidRDefault="009B437E" w:rsidP="001F158B">
      <w:pPr>
        <w:pStyle w:val="Heading2Italic"/>
        <w:rPr>
          <w:lang w:val="es-ES_tradnl"/>
        </w:rPr>
      </w:pPr>
      <w:bookmarkStart w:id="8" w:name="_Toc196469430"/>
      <w:r w:rsidRPr="00C33E29">
        <w:rPr>
          <w:lang w:val="es-ES_tradnl"/>
        </w:rPr>
        <w:t>Mandato del GADT</w:t>
      </w:r>
      <w:bookmarkEnd w:id="8"/>
    </w:p>
    <w:p w14:paraId="43DE4DB8" w14:textId="5B5D70AF" w:rsidR="009B437E" w:rsidRPr="00C33E29" w:rsidRDefault="009B437E" w:rsidP="009B437E">
      <w:pPr>
        <w:rPr>
          <w:lang w:val="es-ES_tradnl"/>
        </w:rPr>
      </w:pPr>
      <w:r w:rsidRPr="00C33E29">
        <w:rPr>
          <w:lang w:val="es-ES_tradnl"/>
        </w:rPr>
        <w:t xml:space="preserve">El mandato del GADT se puede consultar en la </w:t>
      </w:r>
      <w:hyperlink r:id="rId16" w:history="1">
        <w:r w:rsidRPr="00C33E29">
          <w:rPr>
            <w:rStyle w:val="Hyperlink"/>
            <w:lang w:val="es-ES_tradnl"/>
          </w:rPr>
          <w:t>página web d</w:t>
        </w:r>
        <w:r w:rsidRPr="00C33E29">
          <w:rPr>
            <w:rStyle w:val="Hyperlink"/>
            <w:lang w:val="es-ES_tradnl"/>
          </w:rPr>
          <w:t>e</w:t>
        </w:r>
        <w:r w:rsidRPr="00C33E29">
          <w:rPr>
            <w:rStyle w:val="Hyperlink"/>
            <w:lang w:val="es-ES_tradnl"/>
          </w:rPr>
          <w:t>l Grupo</w:t>
        </w:r>
      </w:hyperlink>
      <w:r w:rsidRPr="00C33E29">
        <w:rPr>
          <w:lang w:val="es-ES_tradnl"/>
        </w:rPr>
        <w:t>.</w:t>
      </w:r>
    </w:p>
    <w:p w14:paraId="2AB8BED8" w14:textId="797C120E" w:rsidR="009B437E" w:rsidRPr="00C33E29" w:rsidRDefault="009B437E" w:rsidP="008F4CF2">
      <w:pPr>
        <w:pStyle w:val="Heading2Italic"/>
        <w:rPr>
          <w:lang w:val="es-ES_tradnl"/>
        </w:rPr>
      </w:pPr>
      <w:bookmarkStart w:id="9" w:name="_Toc196469431"/>
      <w:r w:rsidRPr="00C33E29">
        <w:rPr>
          <w:lang w:val="es-ES_tradnl"/>
        </w:rPr>
        <w:t>Oficina del Grupo Asesor de Desarrollo de las Telecomunicaciones</w:t>
      </w:r>
      <w:bookmarkEnd w:id="9"/>
    </w:p>
    <w:p w14:paraId="27CD9847" w14:textId="146D7BEA" w:rsidR="008F4CF2" w:rsidRPr="00C33E29" w:rsidRDefault="008F4CF2" w:rsidP="008F4CF2">
      <w:pPr>
        <w:spacing w:after="120"/>
        <w:rPr>
          <w:i/>
          <w:iCs/>
          <w:lang w:val="es-ES_tradnl"/>
        </w:rPr>
      </w:pPr>
      <w:r w:rsidRPr="00C33E29">
        <w:rPr>
          <w:lang w:val="es-ES_tradnl"/>
        </w:rPr>
        <w:t>En aplicación de la Resolución 208 (Rev. Dubái, 2018), la CMDT-22 adoptó la composición de la Oficina del GADT y nombró a la Presidenta y a los Vicepresidentes siguientes:</w:t>
      </w:r>
    </w:p>
    <w:tbl>
      <w:tblPr>
        <w:tblStyle w:val="TableGrid"/>
        <w:tblW w:w="9209" w:type="dxa"/>
        <w:tblLayout w:type="fixed"/>
        <w:tblLook w:val="04A0" w:firstRow="1" w:lastRow="0" w:firstColumn="1" w:lastColumn="0" w:noHBand="0" w:noVBand="1"/>
      </w:tblPr>
      <w:tblGrid>
        <w:gridCol w:w="1798"/>
        <w:gridCol w:w="3283"/>
        <w:gridCol w:w="2465"/>
        <w:gridCol w:w="1663"/>
      </w:tblGrid>
      <w:tr w:rsidR="009B437E" w:rsidRPr="00C33E29" w14:paraId="6662865F" w14:textId="77777777" w:rsidTr="00830578">
        <w:trPr>
          <w:trHeight w:val="567"/>
        </w:trPr>
        <w:tc>
          <w:tcPr>
            <w:tcW w:w="1798" w:type="dxa"/>
            <w:shd w:val="clear" w:color="auto" w:fill="F2F2F2" w:themeFill="background1" w:themeFillShade="F2"/>
            <w:vAlign w:val="center"/>
          </w:tcPr>
          <w:p w14:paraId="60C43F76" w14:textId="77777777" w:rsidR="009B437E" w:rsidRPr="00C33E29" w:rsidRDefault="009B437E" w:rsidP="009B437E">
            <w:pPr>
              <w:pStyle w:val="Tablehead"/>
              <w:rPr>
                <w:rFonts w:cstheme="minorHAnsi"/>
                <w:sz w:val="24"/>
                <w:szCs w:val="24"/>
                <w:lang w:val="es-ES_tradnl"/>
              </w:rPr>
            </w:pPr>
            <w:r w:rsidRPr="00C33E29">
              <w:rPr>
                <w:lang w:val="es-ES_tradnl"/>
              </w:rPr>
              <w:t>Presidencia/</w:t>
            </w:r>
          </w:p>
          <w:p w14:paraId="63C36CE7" w14:textId="77777777" w:rsidR="009B437E" w:rsidRPr="00C33E29" w:rsidRDefault="009B437E" w:rsidP="009B437E">
            <w:pPr>
              <w:pStyle w:val="Tablehead"/>
              <w:rPr>
                <w:rFonts w:cstheme="minorHAnsi"/>
                <w:sz w:val="24"/>
                <w:szCs w:val="24"/>
                <w:lang w:val="es-ES_tradnl"/>
              </w:rPr>
            </w:pPr>
            <w:r w:rsidRPr="00C33E29">
              <w:rPr>
                <w:lang w:val="es-ES_tradnl"/>
              </w:rPr>
              <w:t>Vicepresidencia</w:t>
            </w:r>
          </w:p>
        </w:tc>
        <w:tc>
          <w:tcPr>
            <w:tcW w:w="3283" w:type="dxa"/>
            <w:shd w:val="clear" w:color="auto" w:fill="F2F2F2" w:themeFill="background1" w:themeFillShade="F2"/>
            <w:vAlign w:val="center"/>
          </w:tcPr>
          <w:p w14:paraId="5B35CE5B" w14:textId="77777777" w:rsidR="009B437E" w:rsidRPr="00C33E29" w:rsidRDefault="009B437E" w:rsidP="009B437E">
            <w:pPr>
              <w:pStyle w:val="Tablehead"/>
              <w:rPr>
                <w:rFonts w:cstheme="minorHAnsi"/>
                <w:sz w:val="24"/>
                <w:szCs w:val="24"/>
                <w:lang w:val="es-ES_tradnl"/>
              </w:rPr>
            </w:pPr>
            <w:r w:rsidRPr="00C33E29">
              <w:rPr>
                <w:lang w:val="es-ES_tradnl"/>
              </w:rPr>
              <w:t>Nombre</w:t>
            </w:r>
          </w:p>
        </w:tc>
        <w:tc>
          <w:tcPr>
            <w:tcW w:w="2465" w:type="dxa"/>
            <w:shd w:val="clear" w:color="auto" w:fill="F2F2F2" w:themeFill="background1" w:themeFillShade="F2"/>
            <w:vAlign w:val="center"/>
          </w:tcPr>
          <w:p w14:paraId="3A3A5D3D" w14:textId="77777777" w:rsidR="009B437E" w:rsidRPr="00C33E29" w:rsidRDefault="009B437E" w:rsidP="009B437E">
            <w:pPr>
              <w:pStyle w:val="Tablehead"/>
              <w:rPr>
                <w:rFonts w:cstheme="minorHAnsi"/>
                <w:sz w:val="24"/>
                <w:szCs w:val="24"/>
                <w:lang w:val="es-ES_tradnl"/>
              </w:rPr>
            </w:pPr>
            <w:r w:rsidRPr="00C33E29">
              <w:rPr>
                <w:lang w:val="es-ES_tradnl"/>
              </w:rPr>
              <w:t>País</w:t>
            </w:r>
          </w:p>
        </w:tc>
        <w:tc>
          <w:tcPr>
            <w:tcW w:w="1663" w:type="dxa"/>
            <w:shd w:val="clear" w:color="auto" w:fill="F2F2F2" w:themeFill="background1" w:themeFillShade="F2"/>
            <w:vAlign w:val="center"/>
          </w:tcPr>
          <w:p w14:paraId="6C17C161" w14:textId="77777777" w:rsidR="009B437E" w:rsidRPr="00C33E29" w:rsidRDefault="009B437E" w:rsidP="009B437E">
            <w:pPr>
              <w:pStyle w:val="Tablehead"/>
              <w:rPr>
                <w:rFonts w:cstheme="minorHAnsi"/>
                <w:sz w:val="24"/>
                <w:szCs w:val="24"/>
                <w:lang w:val="es-ES_tradnl"/>
              </w:rPr>
            </w:pPr>
            <w:r w:rsidRPr="00C33E29">
              <w:rPr>
                <w:lang w:val="es-ES_tradnl"/>
              </w:rPr>
              <w:t>Región BDT</w:t>
            </w:r>
          </w:p>
        </w:tc>
      </w:tr>
      <w:tr w:rsidR="009B437E" w:rsidRPr="00C33E29" w14:paraId="42EED6D0" w14:textId="77777777" w:rsidTr="00830578">
        <w:trPr>
          <w:trHeight w:val="397"/>
        </w:trPr>
        <w:tc>
          <w:tcPr>
            <w:tcW w:w="1798" w:type="dxa"/>
            <w:vAlign w:val="center"/>
          </w:tcPr>
          <w:p w14:paraId="6CC9C626" w14:textId="77777777" w:rsidR="009B437E" w:rsidRPr="00C33E29" w:rsidRDefault="009B437E" w:rsidP="008F4CF2">
            <w:pPr>
              <w:pStyle w:val="Tabletext"/>
              <w:rPr>
                <w:rFonts w:cstheme="minorHAnsi"/>
                <w:szCs w:val="24"/>
                <w:lang w:val="es-ES_tradnl"/>
              </w:rPr>
            </w:pPr>
            <w:r w:rsidRPr="00C33E29">
              <w:rPr>
                <w:lang w:val="es-ES_tradnl"/>
              </w:rPr>
              <w:t>Presidenta</w:t>
            </w:r>
          </w:p>
        </w:tc>
        <w:tc>
          <w:tcPr>
            <w:tcW w:w="3283" w:type="dxa"/>
            <w:vAlign w:val="center"/>
          </w:tcPr>
          <w:p w14:paraId="13C37F44" w14:textId="77777777" w:rsidR="009B437E" w:rsidRPr="00C33E29" w:rsidRDefault="009B437E" w:rsidP="008F4CF2">
            <w:pPr>
              <w:pStyle w:val="Tabletext"/>
              <w:rPr>
                <w:rFonts w:cstheme="minorBidi"/>
                <w:lang w:val="es-ES_tradnl"/>
              </w:rPr>
            </w:pPr>
            <w:r w:rsidRPr="00C33E29">
              <w:rPr>
                <w:lang w:val="es-ES_tradnl"/>
              </w:rPr>
              <w:t>Sra. Roxanne McElvane WEBBER</w:t>
            </w:r>
          </w:p>
        </w:tc>
        <w:tc>
          <w:tcPr>
            <w:tcW w:w="2465" w:type="dxa"/>
            <w:vAlign w:val="center"/>
          </w:tcPr>
          <w:p w14:paraId="4DF61710" w14:textId="77777777" w:rsidR="009B437E" w:rsidRPr="00C33E29" w:rsidRDefault="009B437E" w:rsidP="008F4CF2">
            <w:pPr>
              <w:pStyle w:val="Tabletext"/>
              <w:rPr>
                <w:rFonts w:cstheme="minorHAnsi"/>
                <w:szCs w:val="24"/>
                <w:lang w:val="es-ES_tradnl"/>
              </w:rPr>
            </w:pPr>
            <w:r w:rsidRPr="00C33E29">
              <w:rPr>
                <w:lang w:val="es-ES_tradnl"/>
              </w:rPr>
              <w:t>Estados Unidos</w:t>
            </w:r>
          </w:p>
        </w:tc>
        <w:tc>
          <w:tcPr>
            <w:tcW w:w="1663" w:type="dxa"/>
            <w:vAlign w:val="center"/>
          </w:tcPr>
          <w:p w14:paraId="74DFA5F6" w14:textId="77777777" w:rsidR="009B437E" w:rsidRPr="00C33E29" w:rsidRDefault="009B437E" w:rsidP="008F4CF2">
            <w:pPr>
              <w:pStyle w:val="Tabletext"/>
              <w:rPr>
                <w:rFonts w:cstheme="minorHAnsi"/>
                <w:szCs w:val="24"/>
                <w:lang w:val="es-ES_tradnl"/>
              </w:rPr>
            </w:pPr>
            <w:r w:rsidRPr="00C33E29">
              <w:rPr>
                <w:lang w:val="es-ES_tradnl"/>
              </w:rPr>
              <w:t>AMS</w:t>
            </w:r>
          </w:p>
        </w:tc>
      </w:tr>
      <w:tr w:rsidR="009B437E" w:rsidRPr="00C33E29" w14:paraId="4FF2013F" w14:textId="77777777" w:rsidTr="00830578">
        <w:trPr>
          <w:trHeight w:val="397"/>
        </w:trPr>
        <w:tc>
          <w:tcPr>
            <w:tcW w:w="1798" w:type="dxa"/>
            <w:vAlign w:val="center"/>
          </w:tcPr>
          <w:p w14:paraId="5FB3BA8F" w14:textId="77777777" w:rsidR="009B437E" w:rsidRPr="00C33E29" w:rsidRDefault="009B437E" w:rsidP="008F4CF2">
            <w:pPr>
              <w:pStyle w:val="Tabletext"/>
              <w:rPr>
                <w:rFonts w:cstheme="minorHAnsi"/>
                <w:szCs w:val="24"/>
                <w:lang w:val="es-ES_tradnl"/>
              </w:rPr>
            </w:pPr>
            <w:r w:rsidRPr="00C33E29">
              <w:rPr>
                <w:lang w:val="es-ES_tradnl"/>
              </w:rPr>
              <w:t>Vicepresidenta</w:t>
            </w:r>
          </w:p>
        </w:tc>
        <w:tc>
          <w:tcPr>
            <w:tcW w:w="3283" w:type="dxa"/>
            <w:vAlign w:val="center"/>
          </w:tcPr>
          <w:p w14:paraId="0D08E75B" w14:textId="77777777" w:rsidR="009B437E" w:rsidRPr="00C33E29" w:rsidRDefault="009B437E" w:rsidP="008F4CF2">
            <w:pPr>
              <w:pStyle w:val="Tabletext"/>
              <w:rPr>
                <w:rFonts w:cstheme="minorHAnsi"/>
                <w:szCs w:val="24"/>
                <w:lang w:val="es-ES_tradnl"/>
              </w:rPr>
            </w:pPr>
            <w:r w:rsidRPr="00C33E29">
              <w:rPr>
                <w:lang w:val="es-ES_tradnl"/>
              </w:rPr>
              <w:t>Sra. Regina Fleur Assoumou BESSOU</w:t>
            </w:r>
          </w:p>
        </w:tc>
        <w:tc>
          <w:tcPr>
            <w:tcW w:w="2465" w:type="dxa"/>
            <w:vAlign w:val="center"/>
          </w:tcPr>
          <w:p w14:paraId="29A034A6" w14:textId="77777777" w:rsidR="009B437E" w:rsidRPr="00C33E29" w:rsidRDefault="009B437E" w:rsidP="008F4CF2">
            <w:pPr>
              <w:pStyle w:val="Tabletext"/>
              <w:rPr>
                <w:rFonts w:cstheme="minorHAnsi"/>
                <w:szCs w:val="24"/>
                <w:lang w:val="es-ES_tradnl"/>
              </w:rPr>
            </w:pPr>
            <w:r w:rsidRPr="00C33E29">
              <w:rPr>
                <w:lang w:val="es-ES_tradnl"/>
              </w:rPr>
              <w:t>Côte d'Ivoire</w:t>
            </w:r>
          </w:p>
        </w:tc>
        <w:tc>
          <w:tcPr>
            <w:tcW w:w="1663" w:type="dxa"/>
            <w:vAlign w:val="center"/>
          </w:tcPr>
          <w:p w14:paraId="02108CB1" w14:textId="77777777" w:rsidR="009B437E" w:rsidRPr="00C33E29" w:rsidRDefault="009B437E" w:rsidP="008F4CF2">
            <w:pPr>
              <w:pStyle w:val="Tabletext"/>
              <w:rPr>
                <w:rFonts w:cstheme="minorHAnsi"/>
                <w:szCs w:val="24"/>
                <w:lang w:val="es-ES_tradnl"/>
              </w:rPr>
            </w:pPr>
            <w:r w:rsidRPr="00C33E29">
              <w:rPr>
                <w:lang w:val="es-ES_tradnl"/>
              </w:rPr>
              <w:t>Presidenta de la CE 1</w:t>
            </w:r>
          </w:p>
        </w:tc>
      </w:tr>
      <w:tr w:rsidR="009B437E" w:rsidRPr="00C33E29" w14:paraId="73CDB3FD" w14:textId="77777777" w:rsidTr="00830578">
        <w:trPr>
          <w:trHeight w:val="397"/>
        </w:trPr>
        <w:tc>
          <w:tcPr>
            <w:tcW w:w="1798" w:type="dxa"/>
            <w:vAlign w:val="center"/>
          </w:tcPr>
          <w:p w14:paraId="1226A868" w14:textId="77777777" w:rsidR="009B437E" w:rsidRPr="00C33E29" w:rsidRDefault="009B437E" w:rsidP="008F4CF2">
            <w:pPr>
              <w:pStyle w:val="Tabletext"/>
              <w:rPr>
                <w:rFonts w:cstheme="minorHAnsi"/>
                <w:szCs w:val="24"/>
                <w:lang w:val="es-ES_tradnl"/>
              </w:rPr>
            </w:pPr>
            <w:r w:rsidRPr="00C33E29">
              <w:rPr>
                <w:lang w:val="es-ES_tradnl"/>
              </w:rPr>
              <w:t>Vicepresidente</w:t>
            </w:r>
          </w:p>
        </w:tc>
        <w:tc>
          <w:tcPr>
            <w:tcW w:w="3283" w:type="dxa"/>
            <w:vAlign w:val="center"/>
          </w:tcPr>
          <w:p w14:paraId="70175214" w14:textId="77777777" w:rsidR="009B437E" w:rsidRPr="00C33E29" w:rsidRDefault="009B437E" w:rsidP="008F4CF2">
            <w:pPr>
              <w:pStyle w:val="Tabletext"/>
              <w:rPr>
                <w:rFonts w:cstheme="minorHAnsi"/>
                <w:szCs w:val="24"/>
                <w:lang w:val="es-ES_tradnl"/>
              </w:rPr>
            </w:pPr>
            <w:r w:rsidRPr="00C33E29">
              <w:rPr>
                <w:lang w:val="es-ES_tradnl"/>
              </w:rPr>
              <w:t>Sr. Fadel Digham</w:t>
            </w:r>
          </w:p>
        </w:tc>
        <w:tc>
          <w:tcPr>
            <w:tcW w:w="2465" w:type="dxa"/>
            <w:vAlign w:val="center"/>
          </w:tcPr>
          <w:p w14:paraId="49B4C13A" w14:textId="77777777" w:rsidR="009B437E" w:rsidRPr="00C33E29" w:rsidRDefault="009B437E" w:rsidP="008F4CF2">
            <w:pPr>
              <w:pStyle w:val="Tabletext"/>
              <w:rPr>
                <w:rFonts w:cstheme="minorHAnsi"/>
                <w:szCs w:val="24"/>
                <w:lang w:val="es-ES_tradnl"/>
              </w:rPr>
            </w:pPr>
            <w:r w:rsidRPr="00C33E29">
              <w:rPr>
                <w:lang w:val="es-ES_tradnl"/>
              </w:rPr>
              <w:t>Egipto</w:t>
            </w:r>
          </w:p>
        </w:tc>
        <w:tc>
          <w:tcPr>
            <w:tcW w:w="1663" w:type="dxa"/>
            <w:vAlign w:val="center"/>
          </w:tcPr>
          <w:p w14:paraId="3665A091" w14:textId="77777777" w:rsidR="009B437E" w:rsidRPr="00C33E29" w:rsidRDefault="009B437E" w:rsidP="008F4CF2">
            <w:pPr>
              <w:pStyle w:val="Tabletext"/>
              <w:rPr>
                <w:rFonts w:cstheme="minorHAnsi"/>
                <w:szCs w:val="24"/>
                <w:lang w:val="es-ES_tradnl"/>
              </w:rPr>
            </w:pPr>
            <w:r w:rsidRPr="00C33E29">
              <w:rPr>
                <w:lang w:val="es-ES_tradnl"/>
              </w:rPr>
              <w:t>Presidente de la CE 2</w:t>
            </w:r>
          </w:p>
        </w:tc>
      </w:tr>
      <w:tr w:rsidR="009B437E" w:rsidRPr="00C33E29" w14:paraId="61957F10" w14:textId="77777777" w:rsidTr="00830578">
        <w:trPr>
          <w:trHeight w:val="397"/>
        </w:trPr>
        <w:tc>
          <w:tcPr>
            <w:tcW w:w="1798" w:type="dxa"/>
            <w:vAlign w:val="center"/>
          </w:tcPr>
          <w:p w14:paraId="357EDE88" w14:textId="77777777" w:rsidR="009B437E" w:rsidRPr="00C33E29" w:rsidRDefault="009B437E" w:rsidP="008F4CF2">
            <w:pPr>
              <w:pStyle w:val="Tabletext"/>
              <w:rPr>
                <w:rFonts w:cstheme="minorHAnsi"/>
                <w:szCs w:val="24"/>
                <w:lang w:val="es-ES_tradnl"/>
              </w:rPr>
            </w:pPr>
            <w:r w:rsidRPr="00C33E29">
              <w:rPr>
                <w:lang w:val="es-ES_tradnl"/>
              </w:rPr>
              <w:t>Vicepresidente</w:t>
            </w:r>
          </w:p>
        </w:tc>
        <w:tc>
          <w:tcPr>
            <w:tcW w:w="3283" w:type="dxa"/>
            <w:vAlign w:val="center"/>
          </w:tcPr>
          <w:p w14:paraId="5F2BD75A" w14:textId="77777777" w:rsidR="009B437E" w:rsidRPr="00C33E29" w:rsidRDefault="009B437E" w:rsidP="008F4CF2">
            <w:pPr>
              <w:pStyle w:val="Tabletext"/>
              <w:rPr>
                <w:rFonts w:cstheme="minorHAnsi"/>
                <w:szCs w:val="24"/>
                <w:lang w:val="es-ES_tradnl"/>
              </w:rPr>
            </w:pPr>
            <w:r w:rsidRPr="00C33E29">
              <w:rPr>
                <w:lang w:val="es-ES_tradnl"/>
              </w:rPr>
              <w:t>Sr. Christopher Kipkoech KEMEI*</w:t>
            </w:r>
          </w:p>
        </w:tc>
        <w:tc>
          <w:tcPr>
            <w:tcW w:w="2465" w:type="dxa"/>
            <w:vAlign w:val="center"/>
          </w:tcPr>
          <w:p w14:paraId="2FF190A2" w14:textId="77777777" w:rsidR="009B437E" w:rsidRPr="00C33E29" w:rsidRDefault="009B437E" w:rsidP="008F4CF2">
            <w:pPr>
              <w:pStyle w:val="Tabletext"/>
              <w:rPr>
                <w:rFonts w:cstheme="minorHAnsi"/>
                <w:szCs w:val="24"/>
                <w:lang w:val="es-ES_tradnl"/>
              </w:rPr>
            </w:pPr>
            <w:r w:rsidRPr="00C33E29">
              <w:rPr>
                <w:lang w:val="es-ES_tradnl"/>
              </w:rPr>
              <w:t>Kenya</w:t>
            </w:r>
          </w:p>
        </w:tc>
        <w:tc>
          <w:tcPr>
            <w:tcW w:w="1663" w:type="dxa"/>
            <w:vAlign w:val="center"/>
          </w:tcPr>
          <w:p w14:paraId="614650C5" w14:textId="77777777" w:rsidR="009B437E" w:rsidRPr="00C33E29" w:rsidRDefault="009B437E" w:rsidP="008F4CF2">
            <w:pPr>
              <w:pStyle w:val="Tabletext"/>
              <w:rPr>
                <w:rFonts w:cstheme="minorHAnsi"/>
                <w:szCs w:val="24"/>
                <w:lang w:val="es-ES_tradnl"/>
              </w:rPr>
            </w:pPr>
            <w:r w:rsidRPr="00C33E29">
              <w:rPr>
                <w:lang w:val="es-ES_tradnl"/>
              </w:rPr>
              <w:t>AFR</w:t>
            </w:r>
          </w:p>
        </w:tc>
      </w:tr>
      <w:tr w:rsidR="009B437E" w:rsidRPr="00C33E29" w14:paraId="2EB3F79B" w14:textId="77777777" w:rsidTr="00830578">
        <w:trPr>
          <w:trHeight w:val="397"/>
        </w:trPr>
        <w:tc>
          <w:tcPr>
            <w:tcW w:w="1798" w:type="dxa"/>
            <w:vAlign w:val="center"/>
          </w:tcPr>
          <w:p w14:paraId="3F387F6D" w14:textId="77777777" w:rsidR="009B437E" w:rsidRPr="00C33E29" w:rsidRDefault="009B437E" w:rsidP="008F4CF2">
            <w:pPr>
              <w:pStyle w:val="Tabletext"/>
              <w:rPr>
                <w:rFonts w:cstheme="minorHAnsi"/>
                <w:szCs w:val="24"/>
                <w:lang w:val="es-ES_tradnl"/>
              </w:rPr>
            </w:pPr>
            <w:r w:rsidRPr="00C33E29">
              <w:rPr>
                <w:lang w:val="es-ES_tradnl"/>
              </w:rPr>
              <w:t>Vicepresidente</w:t>
            </w:r>
          </w:p>
        </w:tc>
        <w:tc>
          <w:tcPr>
            <w:tcW w:w="3283" w:type="dxa"/>
            <w:vAlign w:val="center"/>
          </w:tcPr>
          <w:p w14:paraId="757D40AD" w14:textId="77777777" w:rsidR="009B437E" w:rsidRPr="00C33E29" w:rsidRDefault="009B437E" w:rsidP="008F4CF2">
            <w:pPr>
              <w:pStyle w:val="Tabletext"/>
              <w:rPr>
                <w:rFonts w:cstheme="minorHAnsi"/>
                <w:szCs w:val="24"/>
                <w:lang w:val="es-ES_tradnl"/>
              </w:rPr>
            </w:pPr>
            <w:r w:rsidRPr="00C33E29">
              <w:rPr>
                <w:lang w:val="es-ES_tradnl"/>
              </w:rPr>
              <w:t>Sr. Abdulkarim Ayopo OLOYEDE</w:t>
            </w:r>
          </w:p>
        </w:tc>
        <w:tc>
          <w:tcPr>
            <w:tcW w:w="2465" w:type="dxa"/>
            <w:vAlign w:val="center"/>
          </w:tcPr>
          <w:p w14:paraId="61272302" w14:textId="77777777" w:rsidR="009B437E" w:rsidRPr="00C33E29" w:rsidRDefault="009B437E" w:rsidP="008F4CF2">
            <w:pPr>
              <w:pStyle w:val="Tabletext"/>
              <w:rPr>
                <w:rFonts w:cstheme="minorHAnsi"/>
                <w:szCs w:val="24"/>
                <w:lang w:val="es-ES_tradnl"/>
              </w:rPr>
            </w:pPr>
            <w:r w:rsidRPr="00C33E29">
              <w:rPr>
                <w:lang w:val="es-ES_tradnl"/>
              </w:rPr>
              <w:t>Nigeria</w:t>
            </w:r>
          </w:p>
        </w:tc>
        <w:tc>
          <w:tcPr>
            <w:tcW w:w="1663" w:type="dxa"/>
            <w:vAlign w:val="center"/>
          </w:tcPr>
          <w:p w14:paraId="3576EECD" w14:textId="77777777" w:rsidR="009B437E" w:rsidRPr="00C33E29" w:rsidRDefault="009B437E" w:rsidP="008F4CF2">
            <w:pPr>
              <w:pStyle w:val="Tabletext"/>
              <w:rPr>
                <w:rFonts w:cstheme="minorHAnsi"/>
                <w:szCs w:val="24"/>
                <w:lang w:val="es-ES_tradnl"/>
              </w:rPr>
            </w:pPr>
            <w:r w:rsidRPr="00C33E29">
              <w:rPr>
                <w:lang w:val="es-ES_tradnl"/>
              </w:rPr>
              <w:t>AFR</w:t>
            </w:r>
          </w:p>
        </w:tc>
      </w:tr>
      <w:tr w:rsidR="009B437E" w:rsidRPr="00C33E29" w14:paraId="356E1EEF" w14:textId="77777777" w:rsidTr="00830578">
        <w:trPr>
          <w:trHeight w:val="397"/>
        </w:trPr>
        <w:tc>
          <w:tcPr>
            <w:tcW w:w="1798" w:type="dxa"/>
            <w:vAlign w:val="center"/>
          </w:tcPr>
          <w:p w14:paraId="492EB393" w14:textId="77777777" w:rsidR="009B437E" w:rsidRPr="00C33E29" w:rsidRDefault="009B437E" w:rsidP="008F4CF2">
            <w:pPr>
              <w:pStyle w:val="Tabletext"/>
              <w:rPr>
                <w:rFonts w:cstheme="minorHAnsi"/>
                <w:szCs w:val="24"/>
                <w:lang w:val="es-ES_tradnl"/>
              </w:rPr>
            </w:pPr>
            <w:r w:rsidRPr="00C33E29">
              <w:rPr>
                <w:lang w:val="es-ES_tradnl"/>
              </w:rPr>
              <w:t>Vicepresidenta</w:t>
            </w:r>
          </w:p>
        </w:tc>
        <w:tc>
          <w:tcPr>
            <w:tcW w:w="3283" w:type="dxa"/>
            <w:vAlign w:val="center"/>
          </w:tcPr>
          <w:p w14:paraId="1FABE612" w14:textId="77777777" w:rsidR="009B437E" w:rsidRPr="00C33E29" w:rsidRDefault="009B437E" w:rsidP="008F4CF2">
            <w:pPr>
              <w:pStyle w:val="Tabletext"/>
              <w:rPr>
                <w:rFonts w:cstheme="minorHAnsi"/>
                <w:szCs w:val="24"/>
                <w:lang w:val="es-ES_tradnl"/>
              </w:rPr>
            </w:pPr>
            <w:r w:rsidRPr="00C33E29">
              <w:rPr>
                <w:lang w:val="es-ES_tradnl"/>
              </w:rPr>
              <w:t>Sra. Agustina BRIZIO</w:t>
            </w:r>
          </w:p>
        </w:tc>
        <w:tc>
          <w:tcPr>
            <w:tcW w:w="2465" w:type="dxa"/>
            <w:vAlign w:val="center"/>
          </w:tcPr>
          <w:p w14:paraId="20A607F3" w14:textId="77777777" w:rsidR="009B437E" w:rsidRPr="00C33E29" w:rsidRDefault="009B437E" w:rsidP="008F4CF2">
            <w:pPr>
              <w:pStyle w:val="Tabletext"/>
              <w:rPr>
                <w:rFonts w:cstheme="minorHAnsi"/>
                <w:szCs w:val="24"/>
                <w:lang w:val="es-ES_tradnl"/>
              </w:rPr>
            </w:pPr>
            <w:r w:rsidRPr="00C33E29">
              <w:rPr>
                <w:lang w:val="es-ES_tradnl"/>
              </w:rPr>
              <w:t>Argentina</w:t>
            </w:r>
          </w:p>
        </w:tc>
        <w:tc>
          <w:tcPr>
            <w:tcW w:w="1663" w:type="dxa"/>
            <w:vAlign w:val="center"/>
          </w:tcPr>
          <w:p w14:paraId="1C8BACBA" w14:textId="77777777" w:rsidR="009B437E" w:rsidRPr="00C33E29" w:rsidRDefault="009B437E" w:rsidP="008F4CF2">
            <w:pPr>
              <w:pStyle w:val="Tabletext"/>
              <w:rPr>
                <w:rFonts w:cstheme="minorHAnsi"/>
                <w:szCs w:val="24"/>
                <w:lang w:val="es-ES_tradnl"/>
              </w:rPr>
            </w:pPr>
            <w:r w:rsidRPr="00C33E29">
              <w:rPr>
                <w:lang w:val="es-ES_tradnl"/>
              </w:rPr>
              <w:t>AMS</w:t>
            </w:r>
          </w:p>
        </w:tc>
      </w:tr>
      <w:tr w:rsidR="009B437E" w:rsidRPr="00C33E29" w14:paraId="62241B47" w14:textId="77777777" w:rsidTr="00830578">
        <w:trPr>
          <w:trHeight w:val="397"/>
        </w:trPr>
        <w:tc>
          <w:tcPr>
            <w:tcW w:w="1798" w:type="dxa"/>
            <w:vAlign w:val="center"/>
          </w:tcPr>
          <w:p w14:paraId="5CA5759D" w14:textId="77777777" w:rsidR="009B437E" w:rsidRPr="00C33E29" w:rsidRDefault="009B437E" w:rsidP="008F4CF2">
            <w:pPr>
              <w:pStyle w:val="Tabletext"/>
              <w:rPr>
                <w:rFonts w:cstheme="minorHAnsi"/>
                <w:szCs w:val="24"/>
                <w:lang w:val="es-ES_tradnl"/>
              </w:rPr>
            </w:pPr>
            <w:r w:rsidRPr="00C33E29">
              <w:rPr>
                <w:lang w:val="es-ES_tradnl"/>
              </w:rPr>
              <w:t>Vicepresidenta</w:t>
            </w:r>
          </w:p>
        </w:tc>
        <w:tc>
          <w:tcPr>
            <w:tcW w:w="3283" w:type="dxa"/>
            <w:vAlign w:val="center"/>
          </w:tcPr>
          <w:p w14:paraId="529DEA1E" w14:textId="77777777" w:rsidR="009B437E" w:rsidRPr="00C33E29" w:rsidRDefault="009B437E" w:rsidP="008F4CF2">
            <w:pPr>
              <w:pStyle w:val="Tabletext"/>
              <w:rPr>
                <w:rFonts w:cstheme="minorHAnsi"/>
                <w:szCs w:val="24"/>
                <w:lang w:val="es-ES_tradnl"/>
              </w:rPr>
            </w:pPr>
            <w:r w:rsidRPr="00C33E29">
              <w:rPr>
                <w:lang w:val="es-ES_tradnl"/>
              </w:rPr>
              <w:t>Sra. Andrea Mamprim GRIPPA</w:t>
            </w:r>
          </w:p>
        </w:tc>
        <w:tc>
          <w:tcPr>
            <w:tcW w:w="2465" w:type="dxa"/>
            <w:vAlign w:val="center"/>
          </w:tcPr>
          <w:p w14:paraId="0F2B51D3" w14:textId="77777777" w:rsidR="009B437E" w:rsidRPr="00C33E29" w:rsidRDefault="009B437E" w:rsidP="008F4CF2">
            <w:pPr>
              <w:pStyle w:val="Tabletext"/>
              <w:rPr>
                <w:rFonts w:cstheme="minorHAnsi"/>
                <w:szCs w:val="24"/>
                <w:lang w:val="es-ES_tradnl"/>
              </w:rPr>
            </w:pPr>
            <w:r w:rsidRPr="00C33E29">
              <w:rPr>
                <w:lang w:val="es-ES_tradnl"/>
              </w:rPr>
              <w:t>Brasil</w:t>
            </w:r>
          </w:p>
        </w:tc>
        <w:tc>
          <w:tcPr>
            <w:tcW w:w="1663" w:type="dxa"/>
            <w:vAlign w:val="center"/>
          </w:tcPr>
          <w:p w14:paraId="0BEEC5BA" w14:textId="77777777" w:rsidR="009B437E" w:rsidRPr="00C33E29" w:rsidRDefault="009B437E" w:rsidP="008F4CF2">
            <w:pPr>
              <w:pStyle w:val="Tabletext"/>
              <w:rPr>
                <w:rFonts w:cstheme="minorHAnsi"/>
                <w:szCs w:val="24"/>
                <w:lang w:val="es-ES_tradnl"/>
              </w:rPr>
            </w:pPr>
            <w:r w:rsidRPr="00C33E29">
              <w:rPr>
                <w:lang w:val="es-ES_tradnl"/>
              </w:rPr>
              <w:t>AMS</w:t>
            </w:r>
          </w:p>
        </w:tc>
      </w:tr>
      <w:tr w:rsidR="009B437E" w:rsidRPr="00C33E29" w14:paraId="38B59010" w14:textId="77777777" w:rsidTr="00830578">
        <w:trPr>
          <w:trHeight w:val="397"/>
        </w:trPr>
        <w:tc>
          <w:tcPr>
            <w:tcW w:w="1798" w:type="dxa"/>
            <w:vAlign w:val="center"/>
          </w:tcPr>
          <w:p w14:paraId="1E37612A" w14:textId="77777777" w:rsidR="009B437E" w:rsidRPr="00C33E29" w:rsidRDefault="009B437E" w:rsidP="008F4CF2">
            <w:pPr>
              <w:pStyle w:val="Tabletext"/>
              <w:rPr>
                <w:rFonts w:cstheme="minorHAnsi"/>
                <w:szCs w:val="24"/>
                <w:lang w:val="es-ES_tradnl"/>
              </w:rPr>
            </w:pPr>
            <w:r w:rsidRPr="00C33E29">
              <w:rPr>
                <w:lang w:val="es-ES_tradnl"/>
              </w:rPr>
              <w:t>Vicepresidenta</w:t>
            </w:r>
          </w:p>
        </w:tc>
        <w:tc>
          <w:tcPr>
            <w:tcW w:w="3283" w:type="dxa"/>
            <w:vAlign w:val="center"/>
          </w:tcPr>
          <w:p w14:paraId="4D975116" w14:textId="77777777" w:rsidR="009B437E" w:rsidRPr="00C33E29" w:rsidRDefault="009B437E" w:rsidP="008F4CF2">
            <w:pPr>
              <w:pStyle w:val="Tabletext"/>
              <w:rPr>
                <w:rFonts w:cstheme="minorHAnsi"/>
                <w:szCs w:val="24"/>
                <w:lang w:val="es-ES_tradnl"/>
              </w:rPr>
            </w:pPr>
            <w:r w:rsidRPr="00C33E29">
              <w:rPr>
                <w:lang w:val="es-ES_tradnl"/>
              </w:rPr>
              <w:t>Sra. Ke WANG</w:t>
            </w:r>
          </w:p>
        </w:tc>
        <w:tc>
          <w:tcPr>
            <w:tcW w:w="2465" w:type="dxa"/>
            <w:vAlign w:val="center"/>
          </w:tcPr>
          <w:p w14:paraId="410EA81C" w14:textId="77777777" w:rsidR="009B437E" w:rsidRPr="00C33E29" w:rsidRDefault="009B437E" w:rsidP="008F4CF2">
            <w:pPr>
              <w:pStyle w:val="Tabletext"/>
              <w:rPr>
                <w:rFonts w:cstheme="minorHAnsi"/>
                <w:szCs w:val="24"/>
                <w:lang w:val="es-ES_tradnl"/>
              </w:rPr>
            </w:pPr>
            <w:r w:rsidRPr="00C33E29">
              <w:rPr>
                <w:lang w:val="es-ES_tradnl"/>
              </w:rPr>
              <w:t>China</w:t>
            </w:r>
          </w:p>
        </w:tc>
        <w:tc>
          <w:tcPr>
            <w:tcW w:w="1663" w:type="dxa"/>
            <w:vAlign w:val="center"/>
          </w:tcPr>
          <w:p w14:paraId="6A542252" w14:textId="77777777" w:rsidR="009B437E" w:rsidRPr="00C33E29" w:rsidRDefault="009B437E" w:rsidP="008F4CF2">
            <w:pPr>
              <w:pStyle w:val="Tabletext"/>
              <w:rPr>
                <w:rFonts w:cstheme="minorHAnsi"/>
                <w:szCs w:val="24"/>
                <w:lang w:val="es-ES_tradnl"/>
              </w:rPr>
            </w:pPr>
            <w:r w:rsidRPr="00C33E29">
              <w:rPr>
                <w:lang w:val="es-ES_tradnl"/>
              </w:rPr>
              <w:t>ASP</w:t>
            </w:r>
          </w:p>
        </w:tc>
      </w:tr>
      <w:tr w:rsidR="009B437E" w:rsidRPr="00C33E29" w14:paraId="7C55CA1D" w14:textId="77777777" w:rsidTr="00830578">
        <w:trPr>
          <w:trHeight w:val="397"/>
        </w:trPr>
        <w:tc>
          <w:tcPr>
            <w:tcW w:w="1798" w:type="dxa"/>
            <w:vAlign w:val="center"/>
          </w:tcPr>
          <w:p w14:paraId="28647B59" w14:textId="77777777" w:rsidR="009B437E" w:rsidRPr="00C33E29" w:rsidRDefault="009B437E" w:rsidP="008F4CF2">
            <w:pPr>
              <w:pStyle w:val="Tabletext"/>
              <w:rPr>
                <w:rFonts w:cstheme="minorHAnsi"/>
                <w:szCs w:val="24"/>
                <w:lang w:val="es-ES_tradnl"/>
              </w:rPr>
            </w:pPr>
            <w:r w:rsidRPr="00C33E29">
              <w:rPr>
                <w:lang w:val="es-ES_tradnl"/>
              </w:rPr>
              <w:t>Vicepresidente</w:t>
            </w:r>
          </w:p>
        </w:tc>
        <w:tc>
          <w:tcPr>
            <w:tcW w:w="3283" w:type="dxa"/>
            <w:vAlign w:val="center"/>
          </w:tcPr>
          <w:p w14:paraId="31DCCE63" w14:textId="77777777" w:rsidR="009B437E" w:rsidRPr="00C33E29" w:rsidRDefault="009B437E" w:rsidP="008F4CF2">
            <w:pPr>
              <w:pStyle w:val="Tabletext"/>
              <w:rPr>
                <w:rFonts w:cstheme="minorHAnsi"/>
                <w:szCs w:val="24"/>
                <w:lang w:val="es-ES_tradnl"/>
              </w:rPr>
            </w:pPr>
            <w:r w:rsidRPr="00C33E29">
              <w:rPr>
                <w:lang w:val="es-ES_tradnl"/>
              </w:rPr>
              <w:t>Sr. Ahmad Reza SHARAFAT</w:t>
            </w:r>
          </w:p>
        </w:tc>
        <w:tc>
          <w:tcPr>
            <w:tcW w:w="2465" w:type="dxa"/>
            <w:vAlign w:val="center"/>
          </w:tcPr>
          <w:p w14:paraId="7EE6899F" w14:textId="77777777" w:rsidR="009B437E" w:rsidRPr="00C33E29" w:rsidRDefault="009B437E" w:rsidP="008F4CF2">
            <w:pPr>
              <w:pStyle w:val="Tabletext"/>
              <w:rPr>
                <w:rFonts w:cstheme="minorHAnsi"/>
                <w:szCs w:val="24"/>
                <w:lang w:val="es-ES_tradnl"/>
              </w:rPr>
            </w:pPr>
            <w:r w:rsidRPr="00C33E29">
              <w:rPr>
                <w:lang w:val="es-ES_tradnl"/>
              </w:rPr>
              <w:t>Irán (República Islámica del)</w:t>
            </w:r>
          </w:p>
        </w:tc>
        <w:tc>
          <w:tcPr>
            <w:tcW w:w="1663" w:type="dxa"/>
            <w:vAlign w:val="center"/>
          </w:tcPr>
          <w:p w14:paraId="6D3A9AE9" w14:textId="77777777" w:rsidR="009B437E" w:rsidRPr="00C33E29" w:rsidRDefault="009B437E" w:rsidP="008F4CF2">
            <w:pPr>
              <w:pStyle w:val="Tabletext"/>
              <w:rPr>
                <w:rFonts w:cstheme="minorHAnsi"/>
                <w:szCs w:val="24"/>
                <w:lang w:val="es-ES_tradnl"/>
              </w:rPr>
            </w:pPr>
            <w:r w:rsidRPr="00C33E29">
              <w:rPr>
                <w:lang w:val="es-ES_tradnl"/>
              </w:rPr>
              <w:t>ASP</w:t>
            </w:r>
          </w:p>
        </w:tc>
      </w:tr>
      <w:tr w:rsidR="009B437E" w:rsidRPr="00C33E29" w14:paraId="15090F29" w14:textId="77777777" w:rsidTr="00830578">
        <w:trPr>
          <w:trHeight w:val="397"/>
        </w:trPr>
        <w:tc>
          <w:tcPr>
            <w:tcW w:w="1798" w:type="dxa"/>
            <w:vAlign w:val="center"/>
          </w:tcPr>
          <w:p w14:paraId="0237A2EA" w14:textId="77777777" w:rsidR="009B437E" w:rsidRPr="00C33E29" w:rsidRDefault="009B437E" w:rsidP="008F4CF2">
            <w:pPr>
              <w:pStyle w:val="Tabletext"/>
              <w:rPr>
                <w:rFonts w:cstheme="minorHAnsi"/>
                <w:szCs w:val="24"/>
                <w:lang w:val="es-ES_tradnl"/>
              </w:rPr>
            </w:pPr>
            <w:r w:rsidRPr="00C33E29">
              <w:rPr>
                <w:lang w:val="es-ES_tradnl"/>
              </w:rPr>
              <w:t>Vicepresidente</w:t>
            </w:r>
          </w:p>
        </w:tc>
        <w:tc>
          <w:tcPr>
            <w:tcW w:w="3283" w:type="dxa"/>
            <w:vAlign w:val="center"/>
          </w:tcPr>
          <w:p w14:paraId="2B719F89" w14:textId="77777777" w:rsidR="009B437E" w:rsidRPr="00C33E29" w:rsidRDefault="009B437E" w:rsidP="008F4CF2">
            <w:pPr>
              <w:pStyle w:val="Tabletext"/>
              <w:rPr>
                <w:rFonts w:cstheme="minorHAnsi"/>
                <w:szCs w:val="24"/>
                <w:lang w:val="es-ES_tradnl"/>
              </w:rPr>
            </w:pPr>
            <w:r w:rsidRPr="00C33E29">
              <w:rPr>
                <w:lang w:val="es-ES_tradnl"/>
              </w:rPr>
              <w:t>Sr. Ahmed Abd El-Aziz GAD</w:t>
            </w:r>
          </w:p>
        </w:tc>
        <w:tc>
          <w:tcPr>
            <w:tcW w:w="2465" w:type="dxa"/>
            <w:vAlign w:val="center"/>
          </w:tcPr>
          <w:p w14:paraId="41020AE9" w14:textId="77777777" w:rsidR="009B437E" w:rsidRPr="00C33E29" w:rsidRDefault="009B437E" w:rsidP="008F4CF2">
            <w:pPr>
              <w:pStyle w:val="Tabletext"/>
              <w:rPr>
                <w:rFonts w:cstheme="minorHAnsi"/>
                <w:szCs w:val="24"/>
                <w:lang w:val="es-ES_tradnl"/>
              </w:rPr>
            </w:pPr>
            <w:r w:rsidRPr="00C33E29">
              <w:rPr>
                <w:lang w:val="es-ES_tradnl"/>
              </w:rPr>
              <w:t>Egipto</w:t>
            </w:r>
          </w:p>
        </w:tc>
        <w:tc>
          <w:tcPr>
            <w:tcW w:w="1663" w:type="dxa"/>
            <w:vAlign w:val="center"/>
          </w:tcPr>
          <w:p w14:paraId="066969B6" w14:textId="77777777" w:rsidR="009B437E" w:rsidRPr="00C33E29" w:rsidRDefault="009B437E" w:rsidP="008F4CF2">
            <w:pPr>
              <w:pStyle w:val="Tabletext"/>
              <w:rPr>
                <w:rFonts w:cstheme="minorHAnsi"/>
                <w:szCs w:val="24"/>
                <w:lang w:val="es-ES_tradnl"/>
              </w:rPr>
            </w:pPr>
            <w:r w:rsidRPr="00C33E29">
              <w:rPr>
                <w:lang w:val="es-ES_tradnl"/>
              </w:rPr>
              <w:t>ARB</w:t>
            </w:r>
          </w:p>
        </w:tc>
      </w:tr>
      <w:tr w:rsidR="009B437E" w:rsidRPr="00C33E29" w14:paraId="2A4B1100" w14:textId="77777777" w:rsidTr="00830578">
        <w:trPr>
          <w:trHeight w:val="397"/>
        </w:trPr>
        <w:tc>
          <w:tcPr>
            <w:tcW w:w="1798" w:type="dxa"/>
            <w:vAlign w:val="center"/>
          </w:tcPr>
          <w:p w14:paraId="17975989" w14:textId="77777777" w:rsidR="009B437E" w:rsidRPr="00C33E29" w:rsidRDefault="009B437E" w:rsidP="008F4CF2">
            <w:pPr>
              <w:pStyle w:val="Tabletext"/>
              <w:rPr>
                <w:rFonts w:cstheme="minorHAnsi"/>
                <w:szCs w:val="24"/>
                <w:lang w:val="es-ES_tradnl"/>
              </w:rPr>
            </w:pPr>
            <w:r w:rsidRPr="00C33E29">
              <w:rPr>
                <w:lang w:val="es-ES_tradnl"/>
              </w:rPr>
              <w:t>Vicepresidenta</w:t>
            </w:r>
          </w:p>
        </w:tc>
        <w:tc>
          <w:tcPr>
            <w:tcW w:w="3283" w:type="dxa"/>
            <w:vAlign w:val="center"/>
          </w:tcPr>
          <w:p w14:paraId="245294BE" w14:textId="77777777" w:rsidR="009B437E" w:rsidRPr="00C33E29" w:rsidRDefault="009B437E" w:rsidP="008F4CF2">
            <w:pPr>
              <w:pStyle w:val="Tabletext"/>
              <w:rPr>
                <w:rFonts w:cstheme="minorHAnsi"/>
                <w:szCs w:val="24"/>
                <w:lang w:val="es-ES_tradnl"/>
              </w:rPr>
            </w:pPr>
            <w:r w:rsidRPr="00C33E29">
              <w:rPr>
                <w:lang w:val="es-ES_tradnl"/>
              </w:rPr>
              <w:t xml:space="preserve">Sra. Shahad ALBALAWI </w:t>
            </w:r>
          </w:p>
        </w:tc>
        <w:tc>
          <w:tcPr>
            <w:tcW w:w="2465" w:type="dxa"/>
            <w:vAlign w:val="center"/>
          </w:tcPr>
          <w:p w14:paraId="0F210ACD" w14:textId="77777777" w:rsidR="009B437E" w:rsidRPr="00C33E29" w:rsidRDefault="009B437E" w:rsidP="008F4CF2">
            <w:pPr>
              <w:pStyle w:val="Tabletext"/>
              <w:rPr>
                <w:rFonts w:cstheme="minorHAnsi"/>
                <w:szCs w:val="24"/>
                <w:lang w:val="es-ES_tradnl"/>
              </w:rPr>
            </w:pPr>
            <w:r w:rsidRPr="00C33E29">
              <w:rPr>
                <w:lang w:val="es-ES_tradnl"/>
              </w:rPr>
              <w:t xml:space="preserve">Arabia Saudita </w:t>
            </w:r>
          </w:p>
        </w:tc>
        <w:tc>
          <w:tcPr>
            <w:tcW w:w="1663" w:type="dxa"/>
            <w:vAlign w:val="center"/>
          </w:tcPr>
          <w:p w14:paraId="01A822C8" w14:textId="77777777" w:rsidR="009B437E" w:rsidRPr="00C33E29" w:rsidRDefault="009B437E" w:rsidP="008F4CF2">
            <w:pPr>
              <w:pStyle w:val="Tabletext"/>
              <w:rPr>
                <w:rFonts w:cstheme="minorHAnsi"/>
                <w:szCs w:val="24"/>
                <w:lang w:val="es-ES_tradnl"/>
              </w:rPr>
            </w:pPr>
            <w:r w:rsidRPr="00C33E29">
              <w:rPr>
                <w:lang w:val="es-ES_tradnl"/>
              </w:rPr>
              <w:t>ARB</w:t>
            </w:r>
          </w:p>
        </w:tc>
      </w:tr>
      <w:tr w:rsidR="009B437E" w:rsidRPr="00C33E29" w14:paraId="269B9701" w14:textId="77777777" w:rsidTr="00830578">
        <w:trPr>
          <w:trHeight w:val="397"/>
        </w:trPr>
        <w:tc>
          <w:tcPr>
            <w:tcW w:w="1798" w:type="dxa"/>
            <w:vAlign w:val="center"/>
          </w:tcPr>
          <w:p w14:paraId="1CD7E546" w14:textId="77777777" w:rsidR="009B437E" w:rsidRPr="00C33E29" w:rsidRDefault="009B437E" w:rsidP="008F4CF2">
            <w:pPr>
              <w:pStyle w:val="Tabletext"/>
              <w:rPr>
                <w:rFonts w:cstheme="minorHAnsi"/>
                <w:szCs w:val="24"/>
                <w:lang w:val="es-ES_tradnl"/>
              </w:rPr>
            </w:pPr>
            <w:r w:rsidRPr="00C33E29">
              <w:rPr>
                <w:lang w:val="es-ES_tradnl"/>
              </w:rPr>
              <w:t>Vicepresidente</w:t>
            </w:r>
          </w:p>
        </w:tc>
        <w:tc>
          <w:tcPr>
            <w:tcW w:w="3283" w:type="dxa"/>
            <w:vAlign w:val="center"/>
          </w:tcPr>
          <w:p w14:paraId="21837D38" w14:textId="77777777" w:rsidR="009B437E" w:rsidRPr="00C33E29" w:rsidRDefault="009B437E" w:rsidP="008F4CF2">
            <w:pPr>
              <w:pStyle w:val="Tabletext"/>
              <w:rPr>
                <w:rFonts w:cstheme="minorHAnsi"/>
                <w:szCs w:val="24"/>
                <w:lang w:val="es-ES_tradnl"/>
              </w:rPr>
            </w:pPr>
            <w:r w:rsidRPr="00C33E29">
              <w:rPr>
                <w:lang w:val="es-ES_tradnl"/>
              </w:rPr>
              <w:t>Sr. Orozobek ZHAZYBAEVICH KAIYKOV</w:t>
            </w:r>
          </w:p>
        </w:tc>
        <w:tc>
          <w:tcPr>
            <w:tcW w:w="2465" w:type="dxa"/>
            <w:vAlign w:val="center"/>
          </w:tcPr>
          <w:p w14:paraId="4C6793D0" w14:textId="77777777" w:rsidR="009B437E" w:rsidRPr="00C33E29" w:rsidRDefault="009B437E" w:rsidP="008F4CF2">
            <w:pPr>
              <w:pStyle w:val="Tabletext"/>
              <w:rPr>
                <w:rFonts w:cstheme="minorHAnsi"/>
                <w:szCs w:val="24"/>
                <w:lang w:val="es-ES_tradnl"/>
              </w:rPr>
            </w:pPr>
            <w:r w:rsidRPr="00C33E29">
              <w:rPr>
                <w:lang w:val="es-ES_tradnl"/>
              </w:rPr>
              <w:t>República Kirguisa</w:t>
            </w:r>
          </w:p>
        </w:tc>
        <w:tc>
          <w:tcPr>
            <w:tcW w:w="1663" w:type="dxa"/>
            <w:vAlign w:val="center"/>
          </w:tcPr>
          <w:p w14:paraId="3C9E792D" w14:textId="77777777" w:rsidR="009B437E" w:rsidRPr="00C33E29" w:rsidRDefault="009B437E" w:rsidP="008F4CF2">
            <w:pPr>
              <w:pStyle w:val="Tabletext"/>
              <w:rPr>
                <w:rFonts w:cstheme="minorHAnsi"/>
                <w:szCs w:val="24"/>
                <w:lang w:val="es-ES_tradnl"/>
              </w:rPr>
            </w:pPr>
            <w:r w:rsidRPr="00C33E29">
              <w:rPr>
                <w:lang w:val="es-ES_tradnl"/>
              </w:rPr>
              <w:t>CEI</w:t>
            </w:r>
          </w:p>
        </w:tc>
      </w:tr>
      <w:tr w:rsidR="009B437E" w:rsidRPr="00C33E29" w14:paraId="0A012757" w14:textId="77777777" w:rsidTr="00830578">
        <w:trPr>
          <w:trHeight w:val="397"/>
        </w:trPr>
        <w:tc>
          <w:tcPr>
            <w:tcW w:w="1798" w:type="dxa"/>
            <w:vAlign w:val="center"/>
          </w:tcPr>
          <w:p w14:paraId="39FCCB2B" w14:textId="77777777" w:rsidR="009B437E" w:rsidRPr="00C33E29" w:rsidRDefault="009B437E" w:rsidP="008F4CF2">
            <w:pPr>
              <w:pStyle w:val="Tabletext"/>
              <w:rPr>
                <w:rFonts w:cstheme="minorHAnsi"/>
                <w:szCs w:val="24"/>
                <w:lang w:val="es-ES_tradnl"/>
              </w:rPr>
            </w:pPr>
            <w:r w:rsidRPr="00C33E29">
              <w:rPr>
                <w:lang w:val="es-ES_tradnl"/>
              </w:rPr>
              <w:t>Vicepresidenta</w:t>
            </w:r>
          </w:p>
        </w:tc>
        <w:tc>
          <w:tcPr>
            <w:tcW w:w="3283" w:type="dxa"/>
            <w:vAlign w:val="center"/>
          </w:tcPr>
          <w:p w14:paraId="320B073D" w14:textId="77777777" w:rsidR="009B437E" w:rsidRPr="00C33E29" w:rsidRDefault="009B437E" w:rsidP="008F4CF2">
            <w:pPr>
              <w:pStyle w:val="Tabletext"/>
              <w:rPr>
                <w:rFonts w:cstheme="minorHAnsi"/>
                <w:b/>
                <w:szCs w:val="24"/>
                <w:lang w:val="es-ES_tradnl"/>
              </w:rPr>
            </w:pPr>
            <w:r w:rsidRPr="00C33E29">
              <w:rPr>
                <w:lang w:val="es-ES_tradnl"/>
              </w:rPr>
              <w:t>Sra. Blanca GONZÁLEZ</w:t>
            </w:r>
          </w:p>
        </w:tc>
        <w:tc>
          <w:tcPr>
            <w:tcW w:w="2465" w:type="dxa"/>
            <w:vAlign w:val="center"/>
          </w:tcPr>
          <w:p w14:paraId="6C218819" w14:textId="77777777" w:rsidR="009B437E" w:rsidRPr="00C33E29" w:rsidRDefault="009B437E" w:rsidP="008F4CF2">
            <w:pPr>
              <w:pStyle w:val="Tabletext"/>
              <w:rPr>
                <w:rFonts w:cstheme="minorHAnsi"/>
                <w:szCs w:val="24"/>
                <w:lang w:val="es-ES_tradnl"/>
              </w:rPr>
            </w:pPr>
            <w:r w:rsidRPr="00C33E29">
              <w:rPr>
                <w:lang w:val="es-ES_tradnl"/>
              </w:rPr>
              <w:t>España</w:t>
            </w:r>
          </w:p>
        </w:tc>
        <w:tc>
          <w:tcPr>
            <w:tcW w:w="1663" w:type="dxa"/>
            <w:vAlign w:val="center"/>
          </w:tcPr>
          <w:p w14:paraId="5D6F1839" w14:textId="77777777" w:rsidR="009B437E" w:rsidRPr="00C33E29" w:rsidRDefault="009B437E" w:rsidP="008F4CF2">
            <w:pPr>
              <w:pStyle w:val="Tabletext"/>
              <w:rPr>
                <w:rFonts w:cstheme="minorHAnsi"/>
                <w:szCs w:val="24"/>
                <w:lang w:val="es-ES_tradnl"/>
              </w:rPr>
            </w:pPr>
            <w:r w:rsidRPr="00C33E29">
              <w:rPr>
                <w:lang w:val="es-ES_tradnl"/>
              </w:rPr>
              <w:t>EUR</w:t>
            </w:r>
          </w:p>
        </w:tc>
      </w:tr>
      <w:tr w:rsidR="009B437E" w:rsidRPr="00C33E29" w14:paraId="1E07D525" w14:textId="77777777" w:rsidTr="00830578">
        <w:trPr>
          <w:trHeight w:val="397"/>
        </w:trPr>
        <w:tc>
          <w:tcPr>
            <w:tcW w:w="1798" w:type="dxa"/>
            <w:vAlign w:val="center"/>
          </w:tcPr>
          <w:p w14:paraId="694EE5E8" w14:textId="77777777" w:rsidR="009B437E" w:rsidRPr="00C33E29" w:rsidRDefault="009B437E" w:rsidP="008F4CF2">
            <w:pPr>
              <w:pStyle w:val="Tabletext"/>
              <w:rPr>
                <w:rFonts w:cstheme="minorHAnsi"/>
                <w:szCs w:val="24"/>
                <w:lang w:val="es-ES_tradnl"/>
              </w:rPr>
            </w:pPr>
            <w:r w:rsidRPr="00C33E29">
              <w:rPr>
                <w:lang w:val="es-ES_tradnl"/>
              </w:rPr>
              <w:t>Vicepresidenta</w:t>
            </w:r>
          </w:p>
        </w:tc>
        <w:tc>
          <w:tcPr>
            <w:tcW w:w="3283" w:type="dxa"/>
            <w:vAlign w:val="center"/>
          </w:tcPr>
          <w:p w14:paraId="12D6E30E" w14:textId="47379944" w:rsidR="009B437E" w:rsidRPr="00C33E29" w:rsidRDefault="00D86DC1" w:rsidP="008F4CF2">
            <w:pPr>
              <w:pStyle w:val="Tabletext"/>
              <w:rPr>
                <w:rFonts w:cstheme="minorHAnsi"/>
                <w:szCs w:val="24"/>
                <w:lang w:val="es-ES_tradnl"/>
              </w:rPr>
            </w:pPr>
            <w:r w:rsidRPr="00C33E29">
              <w:rPr>
                <w:lang w:val="es-ES_tradnl"/>
              </w:rPr>
              <w:t xml:space="preserve">Sra. </w:t>
            </w:r>
            <w:r w:rsidR="009B437E" w:rsidRPr="00C33E29">
              <w:rPr>
                <w:lang w:val="es-ES_tradnl"/>
              </w:rPr>
              <w:t>Inga RIMKEVIČIENĖ</w:t>
            </w:r>
          </w:p>
        </w:tc>
        <w:tc>
          <w:tcPr>
            <w:tcW w:w="2465" w:type="dxa"/>
            <w:vAlign w:val="center"/>
          </w:tcPr>
          <w:p w14:paraId="58D14788" w14:textId="77777777" w:rsidR="009B437E" w:rsidRPr="00C33E29" w:rsidRDefault="009B437E" w:rsidP="008F4CF2">
            <w:pPr>
              <w:pStyle w:val="Tabletext"/>
              <w:rPr>
                <w:rFonts w:cstheme="minorHAnsi"/>
                <w:szCs w:val="24"/>
                <w:lang w:val="es-ES_tradnl"/>
              </w:rPr>
            </w:pPr>
            <w:r w:rsidRPr="00C33E29">
              <w:rPr>
                <w:lang w:val="es-ES_tradnl"/>
              </w:rPr>
              <w:t>Lituania</w:t>
            </w:r>
          </w:p>
        </w:tc>
        <w:tc>
          <w:tcPr>
            <w:tcW w:w="1663" w:type="dxa"/>
            <w:vAlign w:val="center"/>
          </w:tcPr>
          <w:p w14:paraId="6FB21621" w14:textId="77777777" w:rsidR="009B437E" w:rsidRPr="00C33E29" w:rsidRDefault="009B437E" w:rsidP="008F4CF2">
            <w:pPr>
              <w:pStyle w:val="Tabletext"/>
              <w:rPr>
                <w:rFonts w:cstheme="minorHAnsi"/>
                <w:szCs w:val="24"/>
                <w:lang w:val="es-ES_tradnl"/>
              </w:rPr>
            </w:pPr>
            <w:r w:rsidRPr="00C33E29">
              <w:rPr>
                <w:lang w:val="es-ES_tradnl"/>
              </w:rPr>
              <w:t>EUR</w:t>
            </w:r>
          </w:p>
        </w:tc>
      </w:tr>
    </w:tbl>
    <w:p w14:paraId="2D88A850" w14:textId="77777777" w:rsidR="009B437E" w:rsidRPr="00C33E29" w:rsidRDefault="009B437E" w:rsidP="008F4CF2">
      <w:pPr>
        <w:rPr>
          <w:sz w:val="22"/>
          <w:szCs w:val="22"/>
          <w:lang w:val="es-ES_tradnl"/>
        </w:rPr>
      </w:pPr>
      <w:bookmarkStart w:id="10" w:name="_Toc482300237"/>
      <w:r w:rsidRPr="00C33E29">
        <w:rPr>
          <w:lang w:val="es-ES_tradnl"/>
        </w:rPr>
        <w:t>* El Sr. Kemei se jubiló y dejó el cargo de Vicepresidente del GADT y Presidente del Grupo de Trabajo del GADT sobre las prioridades del UIT-D (GT-GADT-ITUDP). Se agradecieron sus contribuciones a los trabajos del GADT.</w:t>
      </w:r>
    </w:p>
    <w:p w14:paraId="6EADBD8E" w14:textId="77777777" w:rsidR="009B437E" w:rsidRPr="00C33E29" w:rsidRDefault="009B437E" w:rsidP="008F4CF2">
      <w:pPr>
        <w:pStyle w:val="Heading1"/>
        <w:rPr>
          <w:lang w:val="es-ES_tradnl"/>
        </w:rPr>
      </w:pPr>
      <w:bookmarkStart w:id="11" w:name="_Toc196398314"/>
      <w:bookmarkStart w:id="12" w:name="_Toc196469432"/>
      <w:r w:rsidRPr="00C33E29">
        <w:rPr>
          <w:lang w:val="es-ES_tradnl"/>
        </w:rPr>
        <w:t>Reuniones del GADT</w:t>
      </w:r>
      <w:bookmarkEnd w:id="10"/>
      <w:bookmarkEnd w:id="11"/>
      <w:bookmarkEnd w:id="12"/>
    </w:p>
    <w:p w14:paraId="1A4DEF24" w14:textId="3B33731E" w:rsidR="009B437E" w:rsidRPr="00C33E29" w:rsidRDefault="009B437E" w:rsidP="008F4CF2">
      <w:pPr>
        <w:rPr>
          <w:szCs w:val="24"/>
          <w:lang w:val="es-ES_tradnl"/>
        </w:rPr>
      </w:pPr>
      <w:r w:rsidRPr="00C33E29">
        <w:rPr>
          <w:lang w:val="es-ES_tradnl"/>
        </w:rPr>
        <w:t xml:space="preserve">Durante el periodo abarcado por el presente informe, el GADT celebró tres reuniones ordinarias y una reunión extraordinaria bajo la presidencia de la Sra. Roxanne McElvane Webber (Estados Unidos). El resumen completo de las conclusiones de esas reuniones se puede consultar en </w:t>
      </w:r>
      <w:hyperlink r:id="rId17" w:history="1">
        <w:r w:rsidR="000E446D" w:rsidRPr="00C33E29">
          <w:rPr>
            <w:rStyle w:val="Hyperlink"/>
            <w:lang w:val="es-ES_tradnl"/>
          </w:rPr>
          <w:t>www.itu.int/ITU-D/tdag/</w:t>
        </w:r>
      </w:hyperlink>
      <w:r w:rsidR="000E446D" w:rsidRPr="00C33E29">
        <w:rPr>
          <w:lang w:val="es-ES_tradnl"/>
        </w:rPr>
        <w:t>.</w:t>
      </w:r>
    </w:p>
    <w:p w14:paraId="3ADC09FA" w14:textId="77777777" w:rsidR="009B437E" w:rsidRPr="00C33E29" w:rsidRDefault="009B437E" w:rsidP="008F4CF2">
      <w:pPr>
        <w:pStyle w:val="Heading2"/>
        <w:rPr>
          <w:lang w:val="es-ES_tradnl"/>
        </w:rPr>
      </w:pPr>
      <w:bookmarkStart w:id="13" w:name="_Toc482300238"/>
      <w:bookmarkStart w:id="14" w:name="_Toc196398315"/>
      <w:bookmarkStart w:id="15" w:name="_Toc196469433"/>
      <w:r w:rsidRPr="00C33E29">
        <w:rPr>
          <w:lang w:val="es-ES_tradnl"/>
        </w:rPr>
        <w:t>Trigésima reunión del GADT</w:t>
      </w:r>
      <w:bookmarkEnd w:id="13"/>
      <w:bookmarkEnd w:id="14"/>
      <w:bookmarkEnd w:id="15"/>
    </w:p>
    <w:p w14:paraId="267783C1" w14:textId="77777777" w:rsidR="009B437E" w:rsidRPr="00C33E29" w:rsidRDefault="009B437E" w:rsidP="008F4CF2">
      <w:pPr>
        <w:jc w:val="center"/>
        <w:rPr>
          <w:lang w:val="es-ES_tradnl"/>
        </w:rPr>
      </w:pPr>
      <w:r w:rsidRPr="00C33E29">
        <w:rPr>
          <w:noProof/>
          <w:lang w:val="es-ES_tradnl"/>
        </w:rPr>
        <w:drawing>
          <wp:inline distT="0" distB="0" distL="0" distR="0" wp14:anchorId="7EC4684B" wp14:editId="4FE203F3">
            <wp:extent cx="6120765" cy="2787015"/>
            <wp:effectExtent l="0" t="0" r="0" b="0"/>
            <wp:docPr id="2070858236"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58236" name="Picture 2" descr="A group of people posing for a photo&#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787015"/>
                    </a:xfrm>
                    <a:prstGeom prst="rect">
                      <a:avLst/>
                    </a:prstGeom>
                    <a:noFill/>
                    <a:ln>
                      <a:noFill/>
                    </a:ln>
                  </pic:spPr>
                </pic:pic>
              </a:graphicData>
            </a:graphic>
          </wp:inline>
        </w:drawing>
      </w:r>
    </w:p>
    <w:p w14:paraId="520644F9" w14:textId="00CB4314" w:rsidR="009B437E" w:rsidRPr="00C33E29" w:rsidRDefault="008F4CF2" w:rsidP="008F4CF2">
      <w:pPr>
        <w:pStyle w:val="Headingi"/>
        <w:rPr>
          <w:rFonts w:cstheme="minorBidi"/>
          <w:b/>
          <w:bCs/>
          <w:lang w:val="es-ES_tradnl"/>
        </w:rPr>
      </w:pPr>
      <w:r w:rsidRPr="00C33E29">
        <w:rPr>
          <w:b/>
          <w:bCs/>
          <w:lang w:val="es-ES_tradnl"/>
        </w:rPr>
        <w:t>a)</w:t>
      </w:r>
      <w:r w:rsidRPr="00C33E29">
        <w:rPr>
          <w:b/>
          <w:bCs/>
          <w:lang w:val="es-ES_tradnl"/>
        </w:rPr>
        <w:tab/>
      </w:r>
      <w:r w:rsidR="009B437E" w:rsidRPr="00C33E29">
        <w:rPr>
          <w:b/>
          <w:bCs/>
          <w:lang w:val="es-ES_tradnl"/>
        </w:rPr>
        <w:t>Generalidades</w:t>
      </w:r>
    </w:p>
    <w:p w14:paraId="5590F7B2" w14:textId="77777777" w:rsidR="009B437E" w:rsidRPr="00C33E29" w:rsidRDefault="009B437E" w:rsidP="008F4CF2">
      <w:pPr>
        <w:rPr>
          <w:rFonts w:cstheme="minorBidi"/>
          <w:lang w:val="es-ES_tradnl"/>
        </w:rPr>
      </w:pPr>
      <w:r w:rsidRPr="00C33E29">
        <w:rPr>
          <w:lang w:val="es-ES_tradnl"/>
        </w:rPr>
        <w:t>La 30ª reunión del Grupo Asesor de Desarrollo de las Telecomunicaciones (GADT-23) se celebró presencialmente en Ginebra, en el Centro Internacional de Conferencias de Ginebra (CICG) del 19 al 23 de junio de 2023, presidida por la Sra. Roxanne McElvane Webber.</w:t>
      </w:r>
    </w:p>
    <w:p w14:paraId="357B4F71" w14:textId="77777777" w:rsidR="009B437E" w:rsidRPr="00C33E29" w:rsidRDefault="009B437E" w:rsidP="008F4CF2">
      <w:pPr>
        <w:rPr>
          <w:rFonts w:cstheme="minorHAnsi"/>
          <w:lang w:val="es-ES_tradnl"/>
        </w:rPr>
      </w:pPr>
      <w:r w:rsidRPr="00C33E29">
        <w:rPr>
          <w:lang w:val="es-ES_tradnl"/>
        </w:rPr>
        <w:t>El mandato del GADT abarca desde la revisión de las prioridades, estrategias, operaciones y cuestiones financieras del Sector de Desarrollo de las Telecomunicaciones de la UIT (UIT-D), hasta la provisión de asesoramiento al Director de la Oficina de Desarrollo de las Telecomunicaciones (BDT) sobre la aplicación de los Planes de Acción de las Conferencias Mundiales de Desarrollo de las Telecomunicaciones (CMDT).</w:t>
      </w:r>
    </w:p>
    <w:p w14:paraId="56A36B7B" w14:textId="09FCD177" w:rsidR="009B437E" w:rsidRPr="00C33E29" w:rsidRDefault="009B437E" w:rsidP="008F4CF2">
      <w:pPr>
        <w:rPr>
          <w:rFonts w:cstheme="minorHAnsi"/>
          <w:color w:val="444444"/>
          <w:szCs w:val="24"/>
          <w:lang w:val="es-ES_tradnl"/>
        </w:rPr>
      </w:pPr>
      <w:r w:rsidRPr="00C33E29">
        <w:rPr>
          <w:lang w:val="es-ES_tradnl"/>
        </w:rPr>
        <w:t xml:space="preserve">Esta reunión se caracterizó por un orden del día con numerosos puntos ya que se trató de la primera reunión tras la </w:t>
      </w:r>
      <w:hyperlink r:id="rId19" w:history="1">
        <w:r w:rsidRPr="00C33E29">
          <w:rPr>
            <w:rStyle w:val="Hyperlink"/>
            <w:lang w:val="es-ES_tradnl"/>
          </w:rPr>
          <w:t>CMDT-22</w:t>
        </w:r>
      </w:hyperlink>
      <w:r w:rsidRPr="00C33E29">
        <w:rPr>
          <w:lang w:val="es-ES_tradnl"/>
        </w:rPr>
        <w:t>, que se había celebrado en Kigali (Rwanda) del 6 al 16 de juni</w:t>
      </w:r>
      <w:r w:rsidR="00D86DC1" w:rsidRPr="00C33E29">
        <w:rPr>
          <w:lang w:val="es-ES_tradnl"/>
        </w:rPr>
        <w:t>o </w:t>
      </w:r>
      <w:r w:rsidRPr="00C33E29">
        <w:rPr>
          <w:lang w:val="es-ES_tradnl"/>
        </w:rPr>
        <w:t>2022. En concreto, en esta reunión se examinaron los resultados de la CMDT-22 y cómo servirían de guía para la labor del UIT-D durante los próximos tres años.</w:t>
      </w:r>
    </w:p>
    <w:p w14:paraId="565F27D2" w14:textId="577F50DE" w:rsidR="009B437E" w:rsidRPr="00C33E29" w:rsidRDefault="008F4CF2" w:rsidP="008F4CF2">
      <w:pPr>
        <w:pStyle w:val="Headingi"/>
        <w:keepLines/>
        <w:rPr>
          <w:b/>
          <w:bCs/>
          <w:lang w:val="es-ES_tradnl"/>
        </w:rPr>
      </w:pPr>
      <w:r w:rsidRPr="00C33E29">
        <w:rPr>
          <w:b/>
          <w:bCs/>
          <w:lang w:val="es-ES_tradnl"/>
        </w:rPr>
        <w:t>b)</w:t>
      </w:r>
      <w:r w:rsidRPr="00C33E29">
        <w:rPr>
          <w:b/>
          <w:bCs/>
          <w:lang w:val="es-ES_tradnl"/>
        </w:rPr>
        <w:tab/>
      </w:r>
      <w:r w:rsidR="009B437E" w:rsidRPr="00C33E29">
        <w:rPr>
          <w:b/>
          <w:bCs/>
          <w:lang w:val="es-ES_tradnl"/>
        </w:rPr>
        <w:t>Participantes</w:t>
      </w:r>
    </w:p>
    <w:p w14:paraId="1B8790D6" w14:textId="3884D184" w:rsidR="009B437E" w:rsidRPr="00C33E29" w:rsidRDefault="009B437E" w:rsidP="008F4CF2">
      <w:pPr>
        <w:keepNext/>
        <w:keepLines/>
        <w:rPr>
          <w:lang w:val="es-ES_tradnl"/>
        </w:rPr>
      </w:pPr>
      <w:r w:rsidRPr="00C33E29">
        <w:rPr>
          <w:lang w:val="es-ES_tradnl"/>
        </w:rPr>
        <w:t>En el siguiente gráfico se facilita el desglose de participantes por categoría:</w:t>
      </w:r>
    </w:p>
    <w:p w14:paraId="5A667697" w14:textId="6AF0F296" w:rsidR="006162FB" w:rsidRPr="00C33E29" w:rsidRDefault="006162FB" w:rsidP="008F4CF2">
      <w:pPr>
        <w:keepNext/>
        <w:keepLines/>
        <w:rPr>
          <w:lang w:val="es-ES_tradnl"/>
        </w:rPr>
      </w:pPr>
      <w:r w:rsidRPr="00C33E29">
        <w:rPr>
          <w:noProof/>
          <w:lang w:val="es-ES_tradnl"/>
        </w:rPr>
        <w:drawing>
          <wp:inline distT="0" distB="0" distL="0" distR="0" wp14:anchorId="6563EE93" wp14:editId="1027B42F">
            <wp:extent cx="6301317" cy="30901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20128" cy="3099325"/>
                    </a:xfrm>
                    <a:prstGeom prst="rect">
                      <a:avLst/>
                    </a:prstGeom>
                    <a:noFill/>
                  </pic:spPr>
                </pic:pic>
              </a:graphicData>
            </a:graphic>
          </wp:inline>
        </w:drawing>
      </w:r>
    </w:p>
    <w:p w14:paraId="458CF207" w14:textId="2DFC2595" w:rsidR="009B437E" w:rsidRPr="00C33E29" w:rsidRDefault="009B437E" w:rsidP="008F4CF2">
      <w:pPr>
        <w:rPr>
          <w:lang w:val="es-ES_tradnl"/>
        </w:rPr>
      </w:pPr>
      <w:r w:rsidRPr="00C33E29">
        <w:rPr>
          <w:lang w:val="es-ES_tradnl"/>
        </w:rPr>
        <w:t>En el siguiente gráfico se facilita el desglose de participantes por región:</w:t>
      </w:r>
    </w:p>
    <w:p w14:paraId="3D3A8558" w14:textId="5F457B0B" w:rsidR="006162FB" w:rsidRPr="00C33E29" w:rsidRDefault="006162FB" w:rsidP="008F4CF2">
      <w:pPr>
        <w:rPr>
          <w:lang w:val="es-ES_tradnl"/>
        </w:rPr>
      </w:pPr>
      <w:r w:rsidRPr="00C33E29">
        <w:rPr>
          <w:noProof/>
          <w:lang w:val="es-ES_tradnl"/>
        </w:rPr>
        <w:drawing>
          <wp:inline distT="0" distB="0" distL="0" distR="0" wp14:anchorId="3CB0053C" wp14:editId="2BFC6FBA">
            <wp:extent cx="6331531" cy="25992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4453" cy="2612781"/>
                    </a:xfrm>
                    <a:prstGeom prst="rect">
                      <a:avLst/>
                    </a:prstGeom>
                    <a:noFill/>
                  </pic:spPr>
                </pic:pic>
              </a:graphicData>
            </a:graphic>
          </wp:inline>
        </w:drawing>
      </w:r>
    </w:p>
    <w:p w14:paraId="3926FFB0" w14:textId="38A9F62D" w:rsidR="009B437E" w:rsidRPr="00C33E29" w:rsidRDefault="009B437E" w:rsidP="006162FB">
      <w:pPr>
        <w:keepNext/>
        <w:keepLines/>
        <w:rPr>
          <w:lang w:val="es-ES_tradnl"/>
        </w:rPr>
      </w:pPr>
      <w:r w:rsidRPr="00C33E29">
        <w:rPr>
          <w:lang w:val="es-ES_tradnl"/>
        </w:rPr>
        <w:t>En el siguiente gráfico se facilita el desglose de participantes por género:</w:t>
      </w:r>
    </w:p>
    <w:p w14:paraId="6B55EFD1" w14:textId="38CC5BD7" w:rsidR="006162FB" w:rsidRPr="00C33E29" w:rsidRDefault="006162FB" w:rsidP="006162FB">
      <w:pPr>
        <w:keepNext/>
        <w:keepLines/>
        <w:rPr>
          <w:lang w:val="es-ES_tradnl"/>
        </w:rPr>
      </w:pPr>
      <w:r w:rsidRPr="00C33E29">
        <w:rPr>
          <w:noProof/>
          <w:lang w:val="es-ES_tradnl"/>
        </w:rPr>
        <w:drawing>
          <wp:inline distT="0" distB="0" distL="0" distR="0" wp14:anchorId="0317E6E9" wp14:editId="103263CC">
            <wp:extent cx="5993342" cy="246156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2388" cy="2477597"/>
                    </a:xfrm>
                    <a:prstGeom prst="rect">
                      <a:avLst/>
                    </a:prstGeom>
                    <a:noFill/>
                  </pic:spPr>
                </pic:pic>
              </a:graphicData>
            </a:graphic>
          </wp:inline>
        </w:drawing>
      </w:r>
    </w:p>
    <w:p w14:paraId="624546E3" w14:textId="596BE914" w:rsidR="009B437E" w:rsidRPr="00C33E29" w:rsidRDefault="008F4CF2" w:rsidP="008F4CF2">
      <w:pPr>
        <w:pStyle w:val="Headingi"/>
        <w:rPr>
          <w:b/>
          <w:bCs/>
          <w:lang w:val="es-ES_tradnl"/>
        </w:rPr>
      </w:pPr>
      <w:r w:rsidRPr="00C33E29">
        <w:rPr>
          <w:b/>
          <w:bCs/>
          <w:lang w:val="es-ES_tradnl"/>
        </w:rPr>
        <w:t>c)</w:t>
      </w:r>
      <w:r w:rsidRPr="00C33E29">
        <w:rPr>
          <w:b/>
          <w:bCs/>
          <w:lang w:val="es-ES_tradnl"/>
        </w:rPr>
        <w:tab/>
      </w:r>
      <w:r w:rsidR="009B437E" w:rsidRPr="00C33E29">
        <w:rPr>
          <w:b/>
          <w:bCs/>
          <w:lang w:val="es-ES_tradnl"/>
        </w:rPr>
        <w:t>Documentos</w:t>
      </w:r>
    </w:p>
    <w:p w14:paraId="16BD6303" w14:textId="3A417EB7" w:rsidR="009B437E" w:rsidRPr="00C33E29" w:rsidRDefault="009B437E" w:rsidP="008F4CF2">
      <w:pPr>
        <w:rPr>
          <w:lang w:val="es-ES_tradnl"/>
        </w:rPr>
      </w:pPr>
      <w:r w:rsidRPr="00C33E29">
        <w:rPr>
          <w:lang w:val="es-ES_tradnl"/>
        </w:rPr>
        <w:t>En el siguiente gráfico se presenta el número de documentos desglosado por categoría de documentos:</w:t>
      </w:r>
    </w:p>
    <w:p w14:paraId="7DA71322" w14:textId="7169CF98" w:rsidR="006162FB" w:rsidRPr="00C33E29" w:rsidRDefault="006162FB" w:rsidP="008F4CF2">
      <w:pPr>
        <w:rPr>
          <w:lang w:val="es-ES_tradnl"/>
        </w:rPr>
      </w:pPr>
      <w:r w:rsidRPr="00C33E29">
        <w:rPr>
          <w:noProof/>
          <w:lang w:val="es-ES_tradnl"/>
        </w:rPr>
        <w:drawing>
          <wp:inline distT="0" distB="0" distL="0" distR="0" wp14:anchorId="504B6762" wp14:editId="638AE13A">
            <wp:extent cx="5732992" cy="2351732"/>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8890" cy="2362355"/>
                    </a:xfrm>
                    <a:prstGeom prst="rect">
                      <a:avLst/>
                    </a:prstGeom>
                    <a:noFill/>
                  </pic:spPr>
                </pic:pic>
              </a:graphicData>
            </a:graphic>
          </wp:inline>
        </w:drawing>
      </w:r>
    </w:p>
    <w:p w14:paraId="6B5460FC" w14:textId="14A543F1" w:rsidR="009B437E" w:rsidRPr="00C33E29" w:rsidRDefault="008F4CF2" w:rsidP="008F4CF2">
      <w:pPr>
        <w:pStyle w:val="Headingi"/>
        <w:rPr>
          <w:b/>
          <w:bCs/>
          <w:lang w:val="es-ES_tradnl"/>
        </w:rPr>
      </w:pPr>
      <w:r w:rsidRPr="00C33E29">
        <w:rPr>
          <w:b/>
          <w:bCs/>
          <w:lang w:val="es-ES_tradnl"/>
        </w:rPr>
        <w:t>d)</w:t>
      </w:r>
      <w:r w:rsidRPr="00C33E29">
        <w:rPr>
          <w:b/>
          <w:bCs/>
          <w:lang w:val="es-ES_tradnl"/>
        </w:rPr>
        <w:tab/>
      </w:r>
      <w:r w:rsidR="009B437E" w:rsidRPr="00C33E29">
        <w:rPr>
          <w:b/>
          <w:bCs/>
          <w:lang w:val="es-ES_tradnl"/>
        </w:rPr>
        <w:t>Resultados de la 30ª reunión del GADT</w:t>
      </w:r>
    </w:p>
    <w:p w14:paraId="1F199690" w14:textId="77777777" w:rsidR="009B437E" w:rsidRPr="00C33E29" w:rsidRDefault="009B437E" w:rsidP="008F4CF2">
      <w:pPr>
        <w:rPr>
          <w:lang w:val="es-ES_tradnl"/>
        </w:rPr>
      </w:pPr>
      <w:r w:rsidRPr="00C33E29">
        <w:rPr>
          <w:lang w:val="es-ES_tradnl"/>
        </w:rPr>
        <w:t>El GADT-23 examinó cerca de 50 contribuciones y convino en asesorar al Director en diversos aspectos, como los siguientes:</w:t>
      </w:r>
    </w:p>
    <w:p w14:paraId="33B1E542" w14:textId="3C003750" w:rsidR="009B437E" w:rsidRPr="00C33E29" w:rsidRDefault="008F4CF2" w:rsidP="008F4CF2">
      <w:pPr>
        <w:pStyle w:val="enumlev1"/>
        <w:rPr>
          <w:lang w:val="es-ES_tradnl"/>
        </w:rPr>
      </w:pPr>
      <w:r w:rsidRPr="00C33E29">
        <w:rPr>
          <w:lang w:val="es-ES_tradnl"/>
        </w:rPr>
        <w:t>–</w:t>
      </w:r>
      <w:r w:rsidRPr="00C33E29">
        <w:rPr>
          <w:lang w:val="es-ES_tradnl"/>
        </w:rPr>
        <w:tab/>
      </w:r>
      <w:r w:rsidR="009B437E" w:rsidRPr="00C33E29">
        <w:rPr>
          <w:lang w:val="es-ES_tradnl"/>
        </w:rPr>
        <w:t>Se aprobó el Plan Operacional cuadrienal renovable del Sector de Desarrollo de las Telecomunicaciones de la UIT (UIT-D) para 2024-2027.</w:t>
      </w:r>
    </w:p>
    <w:p w14:paraId="4AB4F1BD" w14:textId="5F19DD23" w:rsidR="009B437E" w:rsidRPr="00C33E29" w:rsidRDefault="008F4CF2" w:rsidP="008F4CF2">
      <w:pPr>
        <w:pStyle w:val="enumlev1"/>
        <w:rPr>
          <w:lang w:val="es-ES_tradnl"/>
        </w:rPr>
      </w:pPr>
      <w:r w:rsidRPr="00C33E29">
        <w:rPr>
          <w:lang w:val="es-ES_tradnl"/>
        </w:rPr>
        <w:t>–</w:t>
      </w:r>
      <w:r w:rsidRPr="00C33E29">
        <w:rPr>
          <w:lang w:val="es-ES_tradnl"/>
        </w:rPr>
        <w:tab/>
      </w:r>
      <w:r w:rsidR="009B437E" w:rsidRPr="00C33E29">
        <w:rPr>
          <w:lang w:val="es-ES_tradnl"/>
        </w:rPr>
        <w:t>Se aprobaron los indicadores fundamentales de rendimiento (IFR) para el marco de ejecución del Plan de Acción de Kigali (PAK).</w:t>
      </w:r>
    </w:p>
    <w:p w14:paraId="1AAAB48E" w14:textId="7E4562C0" w:rsidR="009B437E" w:rsidRPr="00C33E29" w:rsidRDefault="008F4CF2" w:rsidP="008F4CF2">
      <w:pPr>
        <w:pStyle w:val="enumlev1"/>
        <w:rPr>
          <w:lang w:val="es-ES_tradnl"/>
        </w:rPr>
      </w:pPr>
      <w:r w:rsidRPr="00C33E29">
        <w:rPr>
          <w:lang w:val="es-ES_tradnl"/>
        </w:rPr>
        <w:t>–</w:t>
      </w:r>
      <w:r w:rsidRPr="00C33E29">
        <w:rPr>
          <w:lang w:val="es-ES_tradnl"/>
        </w:rPr>
        <w:tab/>
      </w:r>
      <w:r w:rsidR="009B437E" w:rsidRPr="00C33E29">
        <w:rPr>
          <w:lang w:val="es-ES_tradnl"/>
        </w:rPr>
        <w:t>Se acordó que la BDT seguiría preparando paneles interactivos para informar sobre los avances en la consecución de las prioridades del UIT-D.</w:t>
      </w:r>
    </w:p>
    <w:p w14:paraId="21DD7DB6" w14:textId="46EA5430" w:rsidR="009B437E" w:rsidRPr="00C33E29" w:rsidRDefault="008F4CF2" w:rsidP="008F4CF2">
      <w:pPr>
        <w:pStyle w:val="enumlev1"/>
        <w:rPr>
          <w:lang w:val="es-ES_tradnl"/>
        </w:rPr>
      </w:pPr>
      <w:r w:rsidRPr="00C33E29">
        <w:rPr>
          <w:lang w:val="es-ES_tradnl"/>
        </w:rPr>
        <w:t>–</w:t>
      </w:r>
      <w:r w:rsidRPr="00C33E29">
        <w:rPr>
          <w:lang w:val="es-ES_tradnl"/>
        </w:rPr>
        <w:tab/>
      </w:r>
      <w:r w:rsidR="009B437E" w:rsidRPr="00C33E29">
        <w:rPr>
          <w:lang w:val="es-ES_tradnl"/>
        </w:rPr>
        <w:t>Se aprobó un examen de todas las actividades pertinentes de capacitación en virtud de las resoluciones relacionadas con la ciberseguridad desde la CMDT-17 y la CMDT-22 y de las actividades realizadas y previstas en este ámbito hasta la CMDT-25, que llevará a cabo la Secretaría de la BDT.</w:t>
      </w:r>
    </w:p>
    <w:p w14:paraId="492C6597" w14:textId="68034C08" w:rsidR="009B437E" w:rsidRPr="00C33E29" w:rsidRDefault="008F4CF2" w:rsidP="008F4CF2">
      <w:pPr>
        <w:pStyle w:val="enumlev1"/>
        <w:rPr>
          <w:lang w:val="es-ES_tradnl"/>
        </w:rPr>
      </w:pPr>
      <w:r w:rsidRPr="00C33E29">
        <w:rPr>
          <w:lang w:val="es-ES_tradnl"/>
        </w:rPr>
        <w:t>–</w:t>
      </w:r>
      <w:r w:rsidRPr="00C33E29">
        <w:rPr>
          <w:lang w:val="es-ES_tradnl"/>
        </w:rPr>
        <w:tab/>
      </w:r>
      <w:r w:rsidR="009B437E" w:rsidRPr="00C33E29">
        <w:rPr>
          <w:lang w:val="es-ES_tradnl"/>
        </w:rPr>
        <w:t>Se creó y aprobó un Grupo de Trabajo del GADT para racionalizar las Resoluciones de la</w:t>
      </w:r>
      <w:r w:rsidR="00D86DC1" w:rsidRPr="00C33E29">
        <w:rPr>
          <w:lang w:val="es-ES_tradnl"/>
        </w:rPr>
        <w:t> </w:t>
      </w:r>
      <w:r w:rsidR="009B437E" w:rsidRPr="00C33E29">
        <w:rPr>
          <w:lang w:val="es-ES_tradnl"/>
        </w:rPr>
        <w:t>CMDT, que estará presidido por Andrea Mamprim Grippa, Vicepresidenta del GADT, con Vicepresidentes por determinar.</w:t>
      </w:r>
    </w:p>
    <w:p w14:paraId="47422DB8" w14:textId="4693D65C" w:rsidR="009B437E" w:rsidRPr="00C33E29" w:rsidRDefault="008F4CF2" w:rsidP="008F4CF2">
      <w:pPr>
        <w:pStyle w:val="enumlev1"/>
        <w:rPr>
          <w:lang w:val="es-ES_tradnl"/>
        </w:rPr>
      </w:pPr>
      <w:r w:rsidRPr="00C33E29">
        <w:rPr>
          <w:lang w:val="es-ES_tradnl"/>
        </w:rPr>
        <w:t>–</w:t>
      </w:r>
      <w:r w:rsidRPr="00C33E29">
        <w:rPr>
          <w:lang w:val="es-ES_tradnl"/>
        </w:rPr>
        <w:tab/>
      </w:r>
      <w:r w:rsidR="009B437E" w:rsidRPr="00C33E29">
        <w:rPr>
          <w:lang w:val="es-ES_tradnl"/>
        </w:rPr>
        <w:t>Se creó un Grupo de Trabajo del GADT sobre las futuras Cuestiones del UIT-D, que estará presidido por el Dr. Ahmad Reza Sharafat (Irán), con Vicepresidentes por determinar, y que iniciará sus trabajos en algún momento después de las próximas reuniones de las Comisiones de Estudio, previstas para octubre-noviembre de 2023.</w:t>
      </w:r>
    </w:p>
    <w:p w14:paraId="50E0B9D8" w14:textId="2704D83D" w:rsidR="009B437E" w:rsidRPr="00C33E29" w:rsidRDefault="009B437E" w:rsidP="008F4CF2">
      <w:pPr>
        <w:rPr>
          <w:lang w:val="es-ES_tradnl"/>
        </w:rPr>
      </w:pPr>
      <w:r w:rsidRPr="00C33E29">
        <w:rPr>
          <w:lang w:val="es-ES_tradnl"/>
        </w:rPr>
        <w:t xml:space="preserve">El informe completo de la reunión en los seis idiomas oficiales de la UIT está disponible en este </w:t>
      </w:r>
      <w:hyperlink r:id="rId24" w:history="1">
        <w:r w:rsidRPr="00C33E29">
          <w:rPr>
            <w:rStyle w:val="Hyperlink"/>
            <w:lang w:val="es-ES_tradnl"/>
          </w:rPr>
          <w:t>enl</w:t>
        </w:r>
        <w:r w:rsidRPr="00C33E29">
          <w:rPr>
            <w:rStyle w:val="Hyperlink"/>
            <w:lang w:val="es-ES_tradnl"/>
          </w:rPr>
          <w:t>a</w:t>
        </w:r>
        <w:r w:rsidRPr="00C33E29">
          <w:rPr>
            <w:rStyle w:val="Hyperlink"/>
            <w:lang w:val="es-ES_tradnl"/>
          </w:rPr>
          <w:t>ce</w:t>
        </w:r>
      </w:hyperlink>
      <w:r w:rsidRPr="00C33E29">
        <w:rPr>
          <w:lang w:val="es-ES_tradnl"/>
        </w:rPr>
        <w:t xml:space="preserve"> y los aspectos más destacados pueden consultarse </w:t>
      </w:r>
      <w:hyperlink r:id="rId25" w:history="1">
        <w:r w:rsidRPr="00C33E29">
          <w:rPr>
            <w:rStyle w:val="Hyperlink"/>
            <w:lang w:val="es-ES_tradnl"/>
          </w:rPr>
          <w:t>aquí</w:t>
        </w:r>
      </w:hyperlink>
      <w:r w:rsidRPr="00C33E29">
        <w:rPr>
          <w:lang w:val="es-ES_tradnl"/>
        </w:rPr>
        <w:t>.</w:t>
      </w:r>
    </w:p>
    <w:p w14:paraId="584670AE" w14:textId="77777777" w:rsidR="009B437E" w:rsidRPr="00C33E29" w:rsidRDefault="009B437E" w:rsidP="008F4CF2">
      <w:pPr>
        <w:pStyle w:val="Heading2"/>
        <w:rPr>
          <w:lang w:val="es-ES_tradnl"/>
        </w:rPr>
      </w:pPr>
      <w:bookmarkStart w:id="16" w:name="_Toc482300239"/>
      <w:bookmarkStart w:id="17" w:name="_Toc196398316"/>
      <w:bookmarkStart w:id="18" w:name="_Toc196469434"/>
      <w:r w:rsidRPr="00C33E29">
        <w:rPr>
          <w:lang w:val="es-ES_tradnl"/>
        </w:rPr>
        <w:t>Trigesimoprimera reunión del GADT</w:t>
      </w:r>
      <w:bookmarkEnd w:id="16"/>
      <w:bookmarkEnd w:id="17"/>
      <w:bookmarkEnd w:id="18"/>
    </w:p>
    <w:p w14:paraId="215D9B8E" w14:textId="77777777" w:rsidR="009B437E" w:rsidRPr="00C33E29" w:rsidRDefault="009B437E" w:rsidP="008F4CF2">
      <w:pPr>
        <w:jc w:val="center"/>
        <w:rPr>
          <w:lang w:val="es-ES_tradnl"/>
        </w:rPr>
      </w:pPr>
      <w:r w:rsidRPr="00C33E29">
        <w:rPr>
          <w:noProof/>
          <w:lang w:val="es-ES_tradnl"/>
        </w:rPr>
        <w:drawing>
          <wp:inline distT="0" distB="0" distL="0" distR="0" wp14:anchorId="1E658253" wp14:editId="37455FBA">
            <wp:extent cx="6120765" cy="2476500"/>
            <wp:effectExtent l="0" t="0" r="0" b="0"/>
            <wp:docPr id="147462796" name="Picture 4"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2796" name="Picture 4" descr="A group of people posing for a photo&#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765" cy="2476500"/>
                    </a:xfrm>
                    <a:prstGeom prst="rect">
                      <a:avLst/>
                    </a:prstGeom>
                    <a:noFill/>
                    <a:ln>
                      <a:noFill/>
                    </a:ln>
                  </pic:spPr>
                </pic:pic>
              </a:graphicData>
            </a:graphic>
          </wp:inline>
        </w:drawing>
      </w:r>
    </w:p>
    <w:p w14:paraId="1F254FFC" w14:textId="7424E3CD" w:rsidR="009B437E" w:rsidRPr="00C33E29" w:rsidRDefault="008F4CF2" w:rsidP="008F4CF2">
      <w:pPr>
        <w:pStyle w:val="Headingi"/>
        <w:rPr>
          <w:b/>
          <w:bCs/>
          <w:lang w:val="es-ES_tradnl"/>
        </w:rPr>
      </w:pPr>
      <w:r w:rsidRPr="00C33E29">
        <w:rPr>
          <w:b/>
          <w:bCs/>
          <w:lang w:val="es-ES_tradnl"/>
        </w:rPr>
        <w:t>a)</w:t>
      </w:r>
      <w:r w:rsidRPr="00C33E29">
        <w:rPr>
          <w:b/>
          <w:bCs/>
          <w:lang w:val="es-ES_tradnl"/>
        </w:rPr>
        <w:tab/>
      </w:r>
      <w:r w:rsidR="009B437E" w:rsidRPr="00C33E29">
        <w:rPr>
          <w:b/>
          <w:bCs/>
          <w:lang w:val="es-ES_tradnl"/>
        </w:rPr>
        <w:t>Generalidades</w:t>
      </w:r>
    </w:p>
    <w:p w14:paraId="757A2F44" w14:textId="7936CB81" w:rsidR="009B437E" w:rsidRPr="00C33E29" w:rsidRDefault="009B437E" w:rsidP="008F4CF2">
      <w:pPr>
        <w:rPr>
          <w:lang w:val="es-ES_tradnl"/>
        </w:rPr>
      </w:pPr>
      <w:r w:rsidRPr="00C33E29">
        <w:rPr>
          <w:lang w:val="es-ES_tradnl"/>
        </w:rPr>
        <w:t>La 31ª reunión del Grupo Asesor de Desarrollo de las Telecomunicaciones (GADT-24) se celebró presencialmente en Ginebra, en la Sede de la UIT, del 20 al 23 de mayo de 2024. Durante esta reunión del GADT, los miembros pudieron evaluar, a través de los distintos documentos e informes presentados por la Secretaría, la adecuación de la aplicación del Plan de Acción de Kigali</w:t>
      </w:r>
      <w:r w:rsidR="00D86DC1" w:rsidRPr="00C33E29">
        <w:rPr>
          <w:lang w:val="es-ES_tradnl"/>
        </w:rPr>
        <w:t> </w:t>
      </w:r>
      <w:r w:rsidRPr="00C33E29">
        <w:rPr>
          <w:lang w:val="es-ES_tradnl"/>
        </w:rPr>
        <w:t>(PAK) al Plan Estratégico de la Unión. Se presentaron al GADT-24 informes sobre los progresos realizados en los diversos Foros de desarrollo regionales celebrados desde su última reunión, así como sobre las numerosas iniciativas puestas en marcha y los acuerdos de asociación firmados. El GADT-24 también debatió y decidió sobre los preparativos de la CMDT-25.</w:t>
      </w:r>
    </w:p>
    <w:p w14:paraId="1F256940" w14:textId="5759419C" w:rsidR="008F4CF2" w:rsidRPr="00C33E29" w:rsidRDefault="009B437E" w:rsidP="008F4CF2">
      <w:pPr>
        <w:rPr>
          <w:lang w:val="es-ES_tradnl"/>
        </w:rPr>
      </w:pPr>
      <w:r w:rsidRPr="00C33E29">
        <w:rPr>
          <w:lang w:val="es-ES_tradnl"/>
        </w:rPr>
        <w:t xml:space="preserve">Tras la creación del Grupo de Trabajo del GADT sobre la racionalización de las </w:t>
      </w:r>
      <w:r w:rsidR="00D86DC1" w:rsidRPr="00C33E29">
        <w:rPr>
          <w:lang w:val="es-ES_tradnl"/>
        </w:rPr>
        <w:br/>
      </w:r>
      <w:r w:rsidRPr="00C33E29">
        <w:rPr>
          <w:lang w:val="es-ES_tradnl"/>
        </w:rPr>
        <w:t>Resoluciones (GT-GADT-RR) y del Grupo de Trabajo del GADT sobre el futuro de las Cuestiones de las Comisiones de Estudio (GT-GADT-futurasCCE) en la 30ª reunión del GADT, celebrada en Ginebra del 19 al 23 de junio de 2023, los presidentes de estos grupos informaron sobre los avances relacionados con su trabajo.</w:t>
      </w:r>
    </w:p>
    <w:p w14:paraId="6380EDEE" w14:textId="24DEDBF3" w:rsidR="009B437E" w:rsidRPr="00C33E29" w:rsidRDefault="008F4CF2" w:rsidP="008F4CF2">
      <w:pPr>
        <w:pStyle w:val="Headingi"/>
        <w:rPr>
          <w:b/>
          <w:bCs/>
          <w:lang w:val="es-ES_tradnl"/>
        </w:rPr>
      </w:pPr>
      <w:r w:rsidRPr="00C33E29">
        <w:rPr>
          <w:b/>
          <w:bCs/>
          <w:lang w:val="es-ES_tradnl"/>
        </w:rPr>
        <w:t>b)</w:t>
      </w:r>
      <w:r w:rsidRPr="00C33E29">
        <w:rPr>
          <w:b/>
          <w:bCs/>
          <w:lang w:val="es-ES_tradnl"/>
        </w:rPr>
        <w:tab/>
      </w:r>
      <w:r w:rsidR="009B437E" w:rsidRPr="00C33E29">
        <w:rPr>
          <w:b/>
          <w:bCs/>
          <w:lang w:val="es-ES_tradnl"/>
        </w:rPr>
        <w:t>Participantes</w:t>
      </w:r>
    </w:p>
    <w:p w14:paraId="6434ABFC" w14:textId="6069D060" w:rsidR="009B437E" w:rsidRPr="00C33E29" w:rsidRDefault="009B437E" w:rsidP="008F4CF2">
      <w:pPr>
        <w:rPr>
          <w:lang w:val="es-ES_tradnl"/>
        </w:rPr>
      </w:pPr>
      <w:r w:rsidRPr="00C33E29">
        <w:rPr>
          <w:lang w:val="es-ES_tradnl"/>
        </w:rPr>
        <w:t>En el siguiente gráfico se facilita el desglose de participantes por categoría:</w:t>
      </w:r>
    </w:p>
    <w:p w14:paraId="566BD7F4" w14:textId="2086CF90" w:rsidR="00624FA3" w:rsidRPr="00C33E29" w:rsidRDefault="00624FA3" w:rsidP="008F4CF2">
      <w:pPr>
        <w:rPr>
          <w:lang w:val="es-ES_tradnl"/>
        </w:rPr>
      </w:pPr>
      <w:r w:rsidRPr="00C33E29">
        <w:rPr>
          <w:noProof/>
          <w:lang w:val="es-ES_tradnl"/>
        </w:rPr>
        <w:drawing>
          <wp:inline distT="0" distB="0" distL="0" distR="0" wp14:anchorId="33666F28" wp14:editId="242DB094">
            <wp:extent cx="6436784" cy="2864909"/>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57961" cy="2874334"/>
                    </a:xfrm>
                    <a:prstGeom prst="rect">
                      <a:avLst/>
                    </a:prstGeom>
                    <a:noFill/>
                  </pic:spPr>
                </pic:pic>
              </a:graphicData>
            </a:graphic>
          </wp:inline>
        </w:drawing>
      </w:r>
    </w:p>
    <w:p w14:paraId="2EFCDDD9" w14:textId="17CBBFA1" w:rsidR="009B437E" w:rsidRPr="00C33E29" w:rsidRDefault="009B437E" w:rsidP="008F4CF2">
      <w:pPr>
        <w:rPr>
          <w:lang w:val="es-ES_tradnl"/>
        </w:rPr>
      </w:pPr>
      <w:r w:rsidRPr="00C33E29">
        <w:rPr>
          <w:lang w:val="es-ES_tradnl"/>
        </w:rPr>
        <w:t>En el siguiente gráfico se facilita el desglose de participantes por región:</w:t>
      </w:r>
    </w:p>
    <w:p w14:paraId="7E833876" w14:textId="1BA7405C" w:rsidR="00624FA3" w:rsidRPr="00C33E29" w:rsidRDefault="00624FA3" w:rsidP="008F4CF2">
      <w:pPr>
        <w:rPr>
          <w:lang w:val="es-ES_tradnl"/>
        </w:rPr>
      </w:pPr>
      <w:r w:rsidRPr="00C33E29">
        <w:rPr>
          <w:noProof/>
          <w:lang w:val="es-ES_tradnl"/>
        </w:rPr>
        <w:drawing>
          <wp:inline distT="0" distB="0" distL="0" distR="0" wp14:anchorId="7D3855C4" wp14:editId="505E0FBA">
            <wp:extent cx="6003502" cy="2450201"/>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1559" cy="2461652"/>
                    </a:xfrm>
                    <a:prstGeom prst="rect">
                      <a:avLst/>
                    </a:prstGeom>
                    <a:noFill/>
                  </pic:spPr>
                </pic:pic>
              </a:graphicData>
            </a:graphic>
          </wp:inline>
        </w:drawing>
      </w:r>
    </w:p>
    <w:p w14:paraId="2B375AF4" w14:textId="3F87129C" w:rsidR="009B437E" w:rsidRPr="00C33E29" w:rsidRDefault="009B437E" w:rsidP="008F4CF2">
      <w:pPr>
        <w:rPr>
          <w:lang w:val="es-ES_tradnl"/>
        </w:rPr>
      </w:pPr>
      <w:r w:rsidRPr="00C33E29">
        <w:rPr>
          <w:lang w:val="es-ES_tradnl"/>
        </w:rPr>
        <w:t>En el siguiente gráfico se facilita el desglose de participantes por género:</w:t>
      </w:r>
    </w:p>
    <w:p w14:paraId="3BE1CFC0" w14:textId="5F1AD374" w:rsidR="00624FA3" w:rsidRPr="00C33E29" w:rsidRDefault="00624FA3" w:rsidP="008F4CF2">
      <w:pPr>
        <w:rPr>
          <w:lang w:val="es-ES_tradnl"/>
        </w:rPr>
      </w:pPr>
      <w:r w:rsidRPr="00C33E29">
        <w:rPr>
          <w:noProof/>
          <w:lang w:val="es-ES_tradnl"/>
        </w:rPr>
        <w:drawing>
          <wp:inline distT="0" distB="0" distL="0" distR="0" wp14:anchorId="522B9A54" wp14:editId="5F0CB442">
            <wp:extent cx="5818717" cy="23881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8176" cy="2400282"/>
                    </a:xfrm>
                    <a:prstGeom prst="rect">
                      <a:avLst/>
                    </a:prstGeom>
                    <a:noFill/>
                  </pic:spPr>
                </pic:pic>
              </a:graphicData>
            </a:graphic>
          </wp:inline>
        </w:drawing>
      </w:r>
    </w:p>
    <w:p w14:paraId="01BF9A3B" w14:textId="28AC3B8D" w:rsidR="009B437E" w:rsidRPr="00C33E29" w:rsidRDefault="008F4CF2" w:rsidP="008F4CF2">
      <w:pPr>
        <w:pStyle w:val="Headingi"/>
        <w:keepLines/>
        <w:rPr>
          <w:b/>
          <w:bCs/>
          <w:lang w:val="es-ES_tradnl"/>
        </w:rPr>
      </w:pPr>
      <w:r w:rsidRPr="00C33E29">
        <w:rPr>
          <w:b/>
          <w:bCs/>
          <w:lang w:val="es-ES_tradnl"/>
        </w:rPr>
        <w:t>c)</w:t>
      </w:r>
      <w:r w:rsidRPr="00C33E29">
        <w:rPr>
          <w:b/>
          <w:bCs/>
          <w:lang w:val="es-ES_tradnl"/>
        </w:rPr>
        <w:tab/>
      </w:r>
      <w:r w:rsidR="009B437E" w:rsidRPr="00C33E29">
        <w:rPr>
          <w:b/>
          <w:bCs/>
          <w:lang w:val="es-ES_tradnl"/>
        </w:rPr>
        <w:t>Documentos</w:t>
      </w:r>
    </w:p>
    <w:p w14:paraId="2E8C6875" w14:textId="22318B64" w:rsidR="009B437E" w:rsidRPr="00C33E29" w:rsidRDefault="009B437E" w:rsidP="008F4CF2">
      <w:pPr>
        <w:keepNext/>
        <w:keepLines/>
        <w:rPr>
          <w:lang w:val="es-ES_tradnl"/>
        </w:rPr>
      </w:pPr>
      <w:r w:rsidRPr="00C33E29">
        <w:rPr>
          <w:lang w:val="es-ES_tradnl"/>
        </w:rPr>
        <w:t>En el siguiente gráfico se presenta el número de documentos desglosado por categoría de documentos:</w:t>
      </w:r>
    </w:p>
    <w:p w14:paraId="61BD3D0A" w14:textId="636369E3" w:rsidR="00624FA3" w:rsidRPr="00C33E29" w:rsidRDefault="00624FA3" w:rsidP="008F4CF2">
      <w:pPr>
        <w:keepNext/>
        <w:keepLines/>
        <w:rPr>
          <w:lang w:val="es-ES_tradnl"/>
        </w:rPr>
      </w:pPr>
      <w:r w:rsidRPr="00C33E29">
        <w:rPr>
          <w:noProof/>
          <w:lang w:val="es-ES_tradnl"/>
        </w:rPr>
        <w:drawing>
          <wp:inline distT="0" distB="0" distL="0" distR="0" wp14:anchorId="08E0F9D8" wp14:editId="1A2D45BB">
            <wp:extent cx="6015567" cy="2475676"/>
            <wp:effectExtent l="0" t="0" r="444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9096" cy="2493590"/>
                    </a:xfrm>
                    <a:prstGeom prst="rect">
                      <a:avLst/>
                    </a:prstGeom>
                    <a:noFill/>
                  </pic:spPr>
                </pic:pic>
              </a:graphicData>
            </a:graphic>
          </wp:inline>
        </w:drawing>
      </w:r>
    </w:p>
    <w:p w14:paraId="401ACFAB" w14:textId="55D8E77B" w:rsidR="009B437E" w:rsidRPr="00C33E29" w:rsidRDefault="008F4CF2" w:rsidP="008F4CF2">
      <w:pPr>
        <w:pStyle w:val="Headingi"/>
        <w:keepLines/>
        <w:rPr>
          <w:lang w:val="es-ES_tradnl"/>
        </w:rPr>
      </w:pPr>
      <w:r w:rsidRPr="00C33E29">
        <w:rPr>
          <w:b/>
          <w:bCs/>
          <w:lang w:val="es-ES_tradnl"/>
        </w:rPr>
        <w:t>d)</w:t>
      </w:r>
      <w:r w:rsidRPr="00C33E29">
        <w:rPr>
          <w:b/>
          <w:bCs/>
          <w:lang w:val="es-ES_tradnl"/>
        </w:rPr>
        <w:tab/>
      </w:r>
      <w:r w:rsidR="009B437E" w:rsidRPr="00C33E29">
        <w:rPr>
          <w:b/>
          <w:bCs/>
          <w:lang w:val="es-ES_tradnl"/>
        </w:rPr>
        <w:t>Resultados de la 31ª reunión del GADT</w:t>
      </w:r>
    </w:p>
    <w:p w14:paraId="5F9DA517" w14:textId="77777777" w:rsidR="009B437E" w:rsidRPr="00C33E29" w:rsidRDefault="009B437E" w:rsidP="009B437E">
      <w:pPr>
        <w:spacing w:after="120"/>
        <w:rPr>
          <w:lang w:val="es-ES_tradnl"/>
        </w:rPr>
      </w:pPr>
      <w:r w:rsidRPr="00C33E29">
        <w:rPr>
          <w:lang w:val="es-ES_tradnl"/>
        </w:rPr>
        <w:t>El GADT-24 debatió sobre diversos aspectos de la transformación digital, la planificación estratégica y la inclusión en el marco del UIT-D y reflexionó sobre las siguientes categorías clave de logros de la BDT:</w:t>
      </w:r>
    </w:p>
    <w:p w14:paraId="3DD3589E" w14:textId="7F794A7A" w:rsidR="009B437E" w:rsidRPr="00C33E29" w:rsidRDefault="008F4CF2" w:rsidP="008F4CF2">
      <w:pPr>
        <w:pStyle w:val="enumlev1"/>
        <w:rPr>
          <w:lang w:val="es-ES_tradnl"/>
        </w:rPr>
      </w:pPr>
      <w:r w:rsidRPr="00C33E29">
        <w:rPr>
          <w:lang w:val="es-ES_tradnl"/>
        </w:rPr>
        <w:t>–</w:t>
      </w:r>
      <w:r w:rsidRPr="00C33E29">
        <w:rPr>
          <w:lang w:val="es-ES_tradnl"/>
        </w:rPr>
        <w:tab/>
      </w:r>
      <w:r w:rsidR="009B437E" w:rsidRPr="00C33E29">
        <w:rPr>
          <w:lang w:val="es-ES_tradnl"/>
        </w:rPr>
        <w:t>Avances significativos en la aplicación del Plan de Acción de Kigali, cuyo objetivo es mejorar la conectividad digital y reducir la brecha digital.</w:t>
      </w:r>
    </w:p>
    <w:p w14:paraId="6FFB8980" w14:textId="6B2B36F5" w:rsidR="009B437E" w:rsidRPr="00C33E29" w:rsidRDefault="008F4CF2" w:rsidP="008F4CF2">
      <w:pPr>
        <w:pStyle w:val="enumlev1"/>
        <w:rPr>
          <w:lang w:val="es-ES_tradnl"/>
        </w:rPr>
      </w:pPr>
      <w:r w:rsidRPr="00C33E29">
        <w:rPr>
          <w:lang w:val="es-ES_tradnl"/>
        </w:rPr>
        <w:t>–</w:t>
      </w:r>
      <w:r w:rsidRPr="00C33E29">
        <w:rPr>
          <w:lang w:val="es-ES_tradnl"/>
        </w:rPr>
        <w:tab/>
      </w:r>
      <w:r w:rsidR="009B437E" w:rsidRPr="00C33E29">
        <w:rPr>
          <w:lang w:val="es-ES_tradnl"/>
        </w:rPr>
        <w:t>Avances en los proyectos de conectividad digital que proporcionan un mejor acceso a los servicios digitales en regiones insuficientemente atendidas y remotas.</w:t>
      </w:r>
    </w:p>
    <w:p w14:paraId="1FD6E71E" w14:textId="73E852F5" w:rsidR="009B437E" w:rsidRPr="00C33E29" w:rsidRDefault="008F4CF2" w:rsidP="008F4CF2">
      <w:pPr>
        <w:pStyle w:val="enumlev1"/>
        <w:rPr>
          <w:lang w:val="es-ES_tradnl"/>
        </w:rPr>
      </w:pPr>
      <w:r w:rsidRPr="00C33E29">
        <w:rPr>
          <w:lang w:val="es-ES_tradnl"/>
        </w:rPr>
        <w:t>–</w:t>
      </w:r>
      <w:r w:rsidRPr="00C33E29">
        <w:rPr>
          <w:lang w:val="es-ES_tradnl"/>
        </w:rPr>
        <w:tab/>
      </w:r>
      <w:r w:rsidR="009B437E" w:rsidRPr="00C33E29">
        <w:rPr>
          <w:lang w:val="es-ES_tradnl"/>
        </w:rPr>
        <w:t>Movilización de recursos como se ha mencionado anteriormente para apoyar importantes iniciativas de transformación digital, lo que implicó la obtención de financiación y la creación de alianzas estratégicas con Estados Miembros, entidades del sector privado y organizaciones internacionales.</w:t>
      </w:r>
    </w:p>
    <w:p w14:paraId="126D27DE" w14:textId="32C367E2" w:rsidR="009B437E" w:rsidRPr="00C33E29" w:rsidRDefault="008F4CF2" w:rsidP="008F4CF2">
      <w:pPr>
        <w:pStyle w:val="enumlev1"/>
        <w:rPr>
          <w:lang w:val="es-ES_tradnl"/>
        </w:rPr>
      </w:pPr>
      <w:r w:rsidRPr="00C33E29">
        <w:rPr>
          <w:lang w:val="es-ES_tradnl"/>
        </w:rPr>
        <w:t>–</w:t>
      </w:r>
      <w:r w:rsidRPr="00C33E29">
        <w:rPr>
          <w:lang w:val="es-ES_tradnl"/>
        </w:rPr>
        <w:tab/>
      </w:r>
      <w:r w:rsidR="009B437E" w:rsidRPr="00C33E29">
        <w:rPr>
          <w:lang w:val="es-ES_tradnl"/>
        </w:rPr>
        <w:t>Intensificación de los esfuerzos en materia de creación de capacidad y formación en competencias digitales para las partes interesadas de diferentes regiones.</w:t>
      </w:r>
    </w:p>
    <w:p w14:paraId="009F2B72" w14:textId="0D750BB7" w:rsidR="009B437E" w:rsidRPr="00C33E29" w:rsidRDefault="008F4CF2" w:rsidP="008F4CF2">
      <w:pPr>
        <w:pStyle w:val="enumlev1"/>
        <w:rPr>
          <w:lang w:val="es-ES_tradnl"/>
        </w:rPr>
      </w:pPr>
      <w:r w:rsidRPr="00C33E29">
        <w:rPr>
          <w:lang w:val="es-ES_tradnl"/>
        </w:rPr>
        <w:t>–</w:t>
      </w:r>
      <w:r w:rsidRPr="00C33E29">
        <w:rPr>
          <w:lang w:val="es-ES_tradnl"/>
        </w:rPr>
        <w:tab/>
      </w:r>
      <w:r w:rsidR="009B437E" w:rsidRPr="00C33E29">
        <w:rPr>
          <w:lang w:val="es-ES_tradnl"/>
        </w:rPr>
        <w:t>Soluciones innovadoras y asociaciones para desarrollar y desplegar soluciones de vanguardia que aborden los desafíos de la transformación digital.</w:t>
      </w:r>
    </w:p>
    <w:p w14:paraId="755265F0" w14:textId="5E4F3150" w:rsidR="009B437E" w:rsidRPr="00C33E29" w:rsidRDefault="008F4CF2" w:rsidP="008F4CF2">
      <w:pPr>
        <w:pStyle w:val="enumlev1"/>
        <w:rPr>
          <w:lang w:val="es-ES_tradnl"/>
        </w:rPr>
      </w:pPr>
      <w:r w:rsidRPr="00C33E29">
        <w:rPr>
          <w:lang w:val="es-ES_tradnl"/>
        </w:rPr>
        <w:t>–</w:t>
      </w:r>
      <w:r w:rsidRPr="00C33E29">
        <w:rPr>
          <w:lang w:val="es-ES_tradnl"/>
        </w:rPr>
        <w:tab/>
      </w:r>
      <w:r w:rsidR="009B437E" w:rsidRPr="00C33E29">
        <w:rPr>
          <w:lang w:val="es-ES_tradnl"/>
        </w:rPr>
        <w:t>Iniciativas fructíferas, que demuestran beneficios tangibles en las regiones, incluso en los proyectos relacionados con la gestión de residuos electrónicos, sistemas de alerta temprana y la cartografía de las infraestructuras de banda ancha.</w:t>
      </w:r>
    </w:p>
    <w:p w14:paraId="751DAADC" w14:textId="77777777" w:rsidR="009B437E" w:rsidRPr="00C33E29" w:rsidRDefault="009B437E" w:rsidP="009B437E">
      <w:pPr>
        <w:spacing w:after="120"/>
        <w:rPr>
          <w:lang w:val="es-ES_tradnl"/>
        </w:rPr>
      </w:pPr>
      <w:r w:rsidRPr="00C33E29">
        <w:rPr>
          <w:lang w:val="es-ES_tradnl"/>
        </w:rPr>
        <w:t>Otros resultados obtenidos fueron:</w:t>
      </w:r>
    </w:p>
    <w:p w14:paraId="0E30BD46" w14:textId="2AE90581" w:rsidR="009B437E" w:rsidRPr="00C33E29" w:rsidRDefault="008F4CF2" w:rsidP="00D86DC1">
      <w:pPr>
        <w:pStyle w:val="enumlev1"/>
        <w:keepNext/>
        <w:keepLines/>
        <w:rPr>
          <w:lang w:val="es-ES_tradnl"/>
        </w:rPr>
      </w:pPr>
      <w:r w:rsidRPr="00C33E29">
        <w:rPr>
          <w:lang w:val="es-ES_tradnl"/>
        </w:rPr>
        <w:t>–</w:t>
      </w:r>
      <w:r w:rsidRPr="00C33E29">
        <w:rPr>
          <w:lang w:val="es-ES_tradnl"/>
        </w:rPr>
        <w:tab/>
      </w:r>
      <w:r w:rsidR="009B437E" w:rsidRPr="00C33E29">
        <w:rPr>
          <w:lang w:val="es-ES_tradnl"/>
        </w:rPr>
        <w:t xml:space="preserve">El GADT-24 refrendó un proyecto de orden del día para la CMDT-25, nombró representantes del UIT-D en el Grupo de Coordinación Intersectorial (GCIS) sobre el tema de la transformación digital a la Sra. Blanca González (España) y a la Sra. Shahad Albalawi (Arabia Saudita) y aprobó dos declaraciones de coordinación de respuesta (una para el Consejo de la UIT sobre los criterios para el establecimiento de futuras oficinas regionales y de zona, y la otra para el Grupo Asesor de Normalización de las Telecomunicaciones </w:t>
      </w:r>
      <w:r w:rsidR="00FC3DA5" w:rsidRPr="00C33E29">
        <w:rPr>
          <w:lang w:val="es-ES_tradnl"/>
        </w:rPr>
        <w:t>(</w:t>
      </w:r>
      <w:r w:rsidR="009B437E" w:rsidRPr="00C33E29">
        <w:rPr>
          <w:lang w:val="es-ES_tradnl"/>
        </w:rPr>
        <w:t>GANT</w:t>
      </w:r>
      <w:r w:rsidR="00FC3DA5" w:rsidRPr="00C33E29">
        <w:rPr>
          <w:lang w:val="es-ES_tradnl"/>
        </w:rPr>
        <w:t>)</w:t>
      </w:r>
      <w:r w:rsidR="009B437E" w:rsidRPr="00C33E29">
        <w:rPr>
          <w:lang w:val="es-ES_tradnl"/>
        </w:rPr>
        <w:t>) confirmando que la transformación digital es una parte fundamental del mandato del UIT-D establecido por la CMDT-22.</w:t>
      </w:r>
    </w:p>
    <w:p w14:paraId="7ED9E9F0" w14:textId="4884F6A3" w:rsidR="009B437E" w:rsidRPr="00C33E29" w:rsidRDefault="008F4CF2" w:rsidP="008F4CF2">
      <w:pPr>
        <w:pStyle w:val="enumlev1"/>
        <w:rPr>
          <w:lang w:val="es-ES_tradnl"/>
        </w:rPr>
      </w:pPr>
      <w:r w:rsidRPr="00C33E29">
        <w:rPr>
          <w:lang w:val="es-ES_tradnl"/>
        </w:rPr>
        <w:t>–</w:t>
      </w:r>
      <w:r w:rsidRPr="00C33E29">
        <w:rPr>
          <w:lang w:val="es-ES_tradnl"/>
        </w:rPr>
        <w:tab/>
      </w:r>
      <w:r w:rsidR="009B437E" w:rsidRPr="00C33E29">
        <w:rPr>
          <w:lang w:val="es-ES_tradnl"/>
        </w:rPr>
        <w:t xml:space="preserve">El GADT-24 creó tres grupos adicionales a los creados en </w:t>
      </w:r>
      <w:r w:rsidR="00FC3DA5" w:rsidRPr="00C33E29">
        <w:rPr>
          <w:lang w:val="es-ES_tradnl"/>
        </w:rPr>
        <w:br/>
      </w:r>
      <w:r w:rsidR="009B437E" w:rsidRPr="00C33E29">
        <w:rPr>
          <w:lang w:val="es-ES_tradnl"/>
        </w:rPr>
        <w:t>el GADT-23 (GT-GADT-futurasCCE y GT-GADT-RR) para preparar la CMDT-25:</w:t>
      </w:r>
    </w:p>
    <w:p w14:paraId="08F08F48" w14:textId="0B630CE4" w:rsidR="009B437E" w:rsidRPr="00C33E29" w:rsidRDefault="008F4CF2" w:rsidP="008F4CF2">
      <w:pPr>
        <w:pStyle w:val="enumlev2"/>
        <w:rPr>
          <w:lang w:val="es-ES_tradnl"/>
        </w:rPr>
      </w:pPr>
      <w:r w:rsidRPr="00C33E29">
        <w:rPr>
          <w:lang w:val="es-ES_tradnl"/>
        </w:rPr>
        <w:t>•</w:t>
      </w:r>
      <w:r w:rsidRPr="00C33E29">
        <w:rPr>
          <w:lang w:val="es-ES_tradnl"/>
        </w:rPr>
        <w:tab/>
      </w:r>
      <w:r w:rsidR="009B437E" w:rsidRPr="00C33E29">
        <w:rPr>
          <w:lang w:val="es-ES_tradnl"/>
        </w:rPr>
        <w:t>el Grupo de Trabajo del GADT sobre las Prioridades del UIT-D (GT-GDAT-PUITD), dirigido por el Vicepresidente del GADT, Sr. Christopher Kemei (Kenya), con la asistencia de los Vicepresidentes del GADT, Sra. Blanca González (España) y Dr. Ahmad Sharafat (Irán);</w:t>
      </w:r>
    </w:p>
    <w:p w14:paraId="0FB570A3" w14:textId="24933F2C" w:rsidR="009B437E" w:rsidRPr="00C33E29" w:rsidRDefault="008F4CF2" w:rsidP="008F4CF2">
      <w:pPr>
        <w:pStyle w:val="enumlev2"/>
        <w:rPr>
          <w:lang w:val="es-ES_tradnl"/>
        </w:rPr>
      </w:pPr>
      <w:r w:rsidRPr="00C33E29">
        <w:rPr>
          <w:lang w:val="es-ES_tradnl"/>
        </w:rPr>
        <w:t>•</w:t>
      </w:r>
      <w:r w:rsidRPr="00C33E29">
        <w:rPr>
          <w:lang w:val="es-ES_tradnl"/>
        </w:rPr>
        <w:tab/>
      </w:r>
      <w:r w:rsidR="009B437E" w:rsidRPr="00C33E29">
        <w:rPr>
          <w:lang w:val="es-ES_tradnl"/>
        </w:rPr>
        <w:t>el Grupo de Trabajo del GADT sobre la Declaración de la CMDT (GT-GADT-DEC), dirigido por el Vicepresidente del GADT, Sr. Abdulkarim Oloyede (Nigeria); y</w:t>
      </w:r>
    </w:p>
    <w:p w14:paraId="3EAEC886" w14:textId="3FEB434A" w:rsidR="009B437E" w:rsidRPr="00C33E29" w:rsidRDefault="008F4CF2" w:rsidP="008F4CF2">
      <w:pPr>
        <w:pStyle w:val="enumlev2"/>
        <w:rPr>
          <w:lang w:val="es-ES_tradnl"/>
        </w:rPr>
      </w:pPr>
      <w:r w:rsidRPr="00C33E29">
        <w:rPr>
          <w:lang w:val="es-ES_tradnl"/>
        </w:rPr>
        <w:t>•</w:t>
      </w:r>
      <w:r w:rsidRPr="00C33E29">
        <w:rPr>
          <w:lang w:val="es-ES_tradnl"/>
        </w:rPr>
        <w:tab/>
      </w:r>
      <w:r w:rsidR="009B437E" w:rsidRPr="00C33E29">
        <w:rPr>
          <w:lang w:val="es-ES_tradnl"/>
        </w:rPr>
        <w:t>el Grupo de Coordinación Informal del GADT sobre la Cumbre Mundial de la Juventud (GCI-GADT-GYS), coordinado por los Vicepresidentes del GADT, Sra. Agustina BRIZIO (Argentina), Sra. Ke WANG (China), Sr. Abdoulkarim OLOYEDE (Nigeria) y Sra. Shahad ALBALAWI (Arabia Saudita).</w:t>
      </w:r>
    </w:p>
    <w:p w14:paraId="524F9611" w14:textId="5EB614CF" w:rsidR="009B437E" w:rsidRPr="00C33E29" w:rsidRDefault="009B437E" w:rsidP="008F4CF2">
      <w:pPr>
        <w:rPr>
          <w:lang w:val="es-ES_tradnl"/>
        </w:rPr>
      </w:pPr>
      <w:r w:rsidRPr="00C33E29">
        <w:rPr>
          <w:lang w:val="es-ES_tradnl"/>
        </w:rPr>
        <w:t xml:space="preserve">El informe completo de la reunión en los seis idiomas oficiales de la UIT está disponible en este </w:t>
      </w:r>
      <w:hyperlink r:id="rId31" w:history="1">
        <w:r w:rsidRPr="00C33E29">
          <w:rPr>
            <w:rStyle w:val="Hyperlink"/>
            <w:lang w:val="es-ES_tradnl"/>
          </w:rPr>
          <w:t>enla</w:t>
        </w:r>
        <w:r w:rsidRPr="00C33E29">
          <w:rPr>
            <w:rStyle w:val="Hyperlink"/>
            <w:lang w:val="es-ES_tradnl"/>
          </w:rPr>
          <w:t>c</w:t>
        </w:r>
        <w:r w:rsidRPr="00C33E29">
          <w:rPr>
            <w:rStyle w:val="Hyperlink"/>
            <w:lang w:val="es-ES_tradnl"/>
          </w:rPr>
          <w:t>e</w:t>
        </w:r>
      </w:hyperlink>
      <w:r w:rsidRPr="00C33E29">
        <w:rPr>
          <w:lang w:val="es-ES_tradnl"/>
        </w:rPr>
        <w:t xml:space="preserve"> y los aspectos más destacados pueden consultarse </w:t>
      </w:r>
      <w:hyperlink r:id="rId32" w:history="1">
        <w:r w:rsidRPr="00C33E29">
          <w:rPr>
            <w:rStyle w:val="Hyperlink"/>
            <w:lang w:val="es-ES_tradnl"/>
          </w:rPr>
          <w:t>aquí</w:t>
        </w:r>
      </w:hyperlink>
      <w:r w:rsidRPr="00C33E29">
        <w:rPr>
          <w:lang w:val="es-ES_tradnl"/>
        </w:rPr>
        <w:t>.</w:t>
      </w:r>
    </w:p>
    <w:p w14:paraId="523CFEC3" w14:textId="77777777" w:rsidR="009B437E" w:rsidRPr="00C33E29" w:rsidRDefault="009B437E" w:rsidP="008F4CF2">
      <w:pPr>
        <w:pStyle w:val="Heading2"/>
        <w:rPr>
          <w:lang w:val="es-ES_tradnl"/>
        </w:rPr>
      </w:pPr>
      <w:bookmarkStart w:id="19" w:name="_Toc196398317"/>
      <w:bookmarkStart w:id="20" w:name="_Toc196469435"/>
      <w:r w:rsidRPr="00C33E29">
        <w:rPr>
          <w:lang w:val="es-ES_tradnl"/>
        </w:rPr>
        <w:t>Reunión extraordinaria del GADT</w:t>
      </w:r>
      <w:bookmarkEnd w:id="19"/>
      <w:bookmarkEnd w:id="20"/>
    </w:p>
    <w:p w14:paraId="090670F6" w14:textId="77777777" w:rsidR="009B437E" w:rsidRPr="00C33E29" w:rsidRDefault="009B437E" w:rsidP="009B437E">
      <w:pPr>
        <w:spacing w:after="120"/>
        <w:rPr>
          <w:lang w:val="es-ES_tradnl"/>
        </w:rPr>
      </w:pPr>
      <w:r w:rsidRPr="00C33E29">
        <w:rPr>
          <w:noProof/>
          <w:lang w:val="es-ES_tradnl"/>
        </w:rPr>
        <w:drawing>
          <wp:inline distT="0" distB="0" distL="0" distR="0" wp14:anchorId="17C25D34" wp14:editId="167E4F29">
            <wp:extent cx="5763186" cy="2886075"/>
            <wp:effectExtent l="0" t="0" r="0" b="0"/>
            <wp:docPr id="50862234" name="Picture 5086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763186" cy="2886075"/>
                    </a:xfrm>
                    <a:prstGeom prst="rect">
                      <a:avLst/>
                    </a:prstGeom>
                  </pic:spPr>
                </pic:pic>
              </a:graphicData>
            </a:graphic>
          </wp:inline>
        </w:drawing>
      </w:r>
    </w:p>
    <w:p w14:paraId="572832FB" w14:textId="7D22AD9F" w:rsidR="009B437E" w:rsidRPr="00C33E29" w:rsidRDefault="008F4CF2" w:rsidP="008F4CF2">
      <w:pPr>
        <w:pStyle w:val="Headingi"/>
        <w:rPr>
          <w:b/>
          <w:bCs/>
          <w:lang w:val="es-ES_tradnl"/>
        </w:rPr>
      </w:pPr>
      <w:r w:rsidRPr="00C33E29">
        <w:rPr>
          <w:b/>
          <w:bCs/>
          <w:lang w:val="es-ES_tradnl"/>
        </w:rPr>
        <w:t>a)</w:t>
      </w:r>
      <w:r w:rsidRPr="00C33E29">
        <w:rPr>
          <w:b/>
          <w:bCs/>
          <w:lang w:val="es-ES_tradnl"/>
        </w:rPr>
        <w:tab/>
      </w:r>
      <w:r w:rsidR="009B437E" w:rsidRPr="00C33E29">
        <w:rPr>
          <w:b/>
          <w:bCs/>
          <w:lang w:val="es-ES_tradnl"/>
        </w:rPr>
        <w:t>Generalidades</w:t>
      </w:r>
    </w:p>
    <w:p w14:paraId="3C38A811" w14:textId="36D15A44" w:rsidR="009B437E" w:rsidRPr="00C33E29" w:rsidRDefault="009B437E" w:rsidP="008F4CF2">
      <w:pPr>
        <w:rPr>
          <w:lang w:val="es-ES_tradnl"/>
        </w:rPr>
      </w:pPr>
      <w:r w:rsidRPr="00C33E29">
        <w:rPr>
          <w:lang w:val="es-ES_tradnl"/>
        </w:rPr>
        <w:t>Se celebró una reunión extraordinaria virtual del Grupo Asesor de Desarrollo de las Telecomunicaciones (GADT) el 23 de enero de 2025, de las 13:00 a las 16:00 horas (CEST). El objetivo de esta reunión era brindar al Grupo de Coordinación Oficioso sobre la Cumbre Mundial de la Juventud y la Celebración Mundial (GADT-GCI-GYS) la oportunidad de informar al GADT sobre su labor previa a la Cumbre Mundial de la Juventud (CMJ), que se celebrará en Varadero (Cuba) del 11 al 13 de marzo de 2025. Aprovechando esta oportunidad, los cuatro Grupos de Trabajo del</w:t>
      </w:r>
      <w:r w:rsidR="00FC3DA5" w:rsidRPr="00C33E29">
        <w:rPr>
          <w:lang w:val="es-ES_tradnl"/>
        </w:rPr>
        <w:t> </w:t>
      </w:r>
      <w:r w:rsidRPr="00C33E29">
        <w:rPr>
          <w:lang w:val="es-ES_tradnl"/>
        </w:rPr>
        <w:t>GADT también informaron sobre sus trabajos en curso.</w:t>
      </w:r>
    </w:p>
    <w:p w14:paraId="649468B1" w14:textId="18E9074B" w:rsidR="009B437E" w:rsidRPr="00C33E29" w:rsidRDefault="008F4CF2" w:rsidP="008F4CF2">
      <w:pPr>
        <w:pStyle w:val="Headingi"/>
        <w:rPr>
          <w:b/>
          <w:bCs/>
          <w:lang w:val="es-ES_tradnl"/>
        </w:rPr>
      </w:pPr>
      <w:r w:rsidRPr="00C33E29">
        <w:rPr>
          <w:b/>
          <w:bCs/>
          <w:lang w:val="es-ES_tradnl"/>
        </w:rPr>
        <w:t>b)</w:t>
      </w:r>
      <w:r w:rsidRPr="00C33E29">
        <w:rPr>
          <w:b/>
          <w:bCs/>
          <w:lang w:val="es-ES_tradnl"/>
        </w:rPr>
        <w:tab/>
      </w:r>
      <w:r w:rsidR="009B437E" w:rsidRPr="00C33E29">
        <w:rPr>
          <w:b/>
          <w:bCs/>
          <w:lang w:val="es-ES_tradnl"/>
        </w:rPr>
        <w:t>Participantes</w:t>
      </w:r>
    </w:p>
    <w:p w14:paraId="2C814A4F" w14:textId="7D353DA2" w:rsidR="009B437E" w:rsidRPr="00C33E29" w:rsidRDefault="009B437E" w:rsidP="008F4CF2">
      <w:pPr>
        <w:rPr>
          <w:lang w:val="es-ES_tradnl"/>
        </w:rPr>
      </w:pPr>
      <w:r w:rsidRPr="00C33E29">
        <w:rPr>
          <w:lang w:val="es-ES_tradnl"/>
        </w:rPr>
        <w:t>En el siguiente gráfico se facilita el desglose de participantes por categoría:</w:t>
      </w:r>
    </w:p>
    <w:p w14:paraId="7E8A7BE4" w14:textId="5B8CC8ED" w:rsidR="00624FA3" w:rsidRPr="00C33E29" w:rsidRDefault="00624FA3" w:rsidP="008F4CF2">
      <w:pPr>
        <w:rPr>
          <w:lang w:val="es-ES_tradnl"/>
        </w:rPr>
      </w:pPr>
      <w:r w:rsidRPr="00C33E29">
        <w:rPr>
          <w:noProof/>
          <w:lang w:val="es-ES_tradnl"/>
        </w:rPr>
        <w:drawing>
          <wp:inline distT="0" distB="0" distL="0" distR="0" wp14:anchorId="1E5E6CD5" wp14:editId="08A11635">
            <wp:extent cx="6331797" cy="2778510"/>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6132" cy="2789188"/>
                    </a:xfrm>
                    <a:prstGeom prst="rect">
                      <a:avLst/>
                    </a:prstGeom>
                    <a:noFill/>
                  </pic:spPr>
                </pic:pic>
              </a:graphicData>
            </a:graphic>
          </wp:inline>
        </w:drawing>
      </w:r>
    </w:p>
    <w:p w14:paraId="36284348" w14:textId="1FE98F69" w:rsidR="009B437E" w:rsidRPr="00C33E29" w:rsidRDefault="009B437E" w:rsidP="008F4CF2">
      <w:pPr>
        <w:rPr>
          <w:lang w:val="es-ES_tradnl"/>
        </w:rPr>
      </w:pPr>
      <w:r w:rsidRPr="00C33E29">
        <w:rPr>
          <w:lang w:val="es-ES_tradnl"/>
        </w:rPr>
        <w:t>En el siguiente gráfico se facilita el desglose de participantes por región:</w:t>
      </w:r>
    </w:p>
    <w:p w14:paraId="5E2F68D6" w14:textId="425BAF57" w:rsidR="00624FA3" w:rsidRPr="00C33E29" w:rsidRDefault="00624FA3" w:rsidP="008F4CF2">
      <w:pPr>
        <w:rPr>
          <w:lang w:val="es-ES_tradnl"/>
        </w:rPr>
      </w:pPr>
      <w:r w:rsidRPr="00C33E29">
        <w:rPr>
          <w:noProof/>
          <w:lang w:val="es-ES_tradnl"/>
        </w:rPr>
        <w:drawing>
          <wp:inline distT="0" distB="0" distL="0" distR="0" wp14:anchorId="354DB3A4" wp14:editId="699E1C50">
            <wp:extent cx="5584209" cy="226555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46339" cy="2290762"/>
                    </a:xfrm>
                    <a:prstGeom prst="rect">
                      <a:avLst/>
                    </a:prstGeom>
                    <a:noFill/>
                  </pic:spPr>
                </pic:pic>
              </a:graphicData>
            </a:graphic>
          </wp:inline>
        </w:drawing>
      </w:r>
    </w:p>
    <w:p w14:paraId="3B4E2590" w14:textId="34DF237F" w:rsidR="009B437E" w:rsidRPr="00C33E29" w:rsidRDefault="009B437E" w:rsidP="008F4CF2">
      <w:pPr>
        <w:keepNext/>
        <w:keepLines/>
        <w:rPr>
          <w:lang w:val="es-ES_tradnl"/>
        </w:rPr>
      </w:pPr>
      <w:r w:rsidRPr="00C33E29">
        <w:rPr>
          <w:lang w:val="es-ES_tradnl"/>
        </w:rPr>
        <w:t>En el siguiente gráfico se facilita el desglose de participantes por género:</w:t>
      </w:r>
    </w:p>
    <w:p w14:paraId="6F618FFB" w14:textId="2A954FC8" w:rsidR="00624FA3" w:rsidRPr="00C33E29" w:rsidRDefault="00624FA3" w:rsidP="008F4CF2">
      <w:pPr>
        <w:keepNext/>
        <w:keepLines/>
        <w:rPr>
          <w:lang w:val="es-ES_tradnl"/>
        </w:rPr>
      </w:pPr>
      <w:r w:rsidRPr="00C33E29">
        <w:rPr>
          <w:noProof/>
          <w:lang w:val="es-ES_tradnl"/>
        </w:rPr>
        <w:drawing>
          <wp:inline distT="0" distB="0" distL="0" distR="0" wp14:anchorId="2AEA986F" wp14:editId="1224A4FF">
            <wp:extent cx="6074199" cy="2472028"/>
            <wp:effectExtent l="0" t="0" r="317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4232" cy="2480181"/>
                    </a:xfrm>
                    <a:prstGeom prst="rect">
                      <a:avLst/>
                    </a:prstGeom>
                    <a:noFill/>
                  </pic:spPr>
                </pic:pic>
              </a:graphicData>
            </a:graphic>
          </wp:inline>
        </w:drawing>
      </w:r>
    </w:p>
    <w:p w14:paraId="6386F9C8" w14:textId="696AD8F0" w:rsidR="009B437E" w:rsidRPr="00C33E29" w:rsidRDefault="008F4CF2" w:rsidP="008F4CF2">
      <w:pPr>
        <w:pStyle w:val="Headingi"/>
        <w:rPr>
          <w:b/>
          <w:bCs/>
          <w:lang w:val="es-ES_tradnl"/>
        </w:rPr>
      </w:pPr>
      <w:r w:rsidRPr="00C33E29">
        <w:rPr>
          <w:b/>
          <w:bCs/>
          <w:lang w:val="es-ES_tradnl"/>
        </w:rPr>
        <w:t>c)</w:t>
      </w:r>
      <w:r w:rsidRPr="00C33E29">
        <w:rPr>
          <w:b/>
          <w:bCs/>
          <w:lang w:val="es-ES_tradnl"/>
        </w:rPr>
        <w:tab/>
      </w:r>
      <w:r w:rsidR="009B437E" w:rsidRPr="00C33E29">
        <w:rPr>
          <w:b/>
          <w:bCs/>
          <w:lang w:val="es-ES_tradnl"/>
        </w:rPr>
        <w:t>Documentos</w:t>
      </w:r>
    </w:p>
    <w:p w14:paraId="4C294732" w14:textId="36D98588" w:rsidR="009B437E" w:rsidRPr="00C33E29" w:rsidRDefault="009B437E" w:rsidP="008F4CF2">
      <w:pPr>
        <w:rPr>
          <w:lang w:val="es-ES_tradnl"/>
        </w:rPr>
      </w:pPr>
      <w:r w:rsidRPr="00C33E29">
        <w:rPr>
          <w:lang w:val="es-ES_tradnl"/>
        </w:rPr>
        <w:t>En el siguiente gráfico se presenta el número de documentos desglosado por categoría de documentos:</w:t>
      </w:r>
    </w:p>
    <w:p w14:paraId="51E47A90" w14:textId="5D938B1A" w:rsidR="00624FA3" w:rsidRPr="00C33E29" w:rsidRDefault="00624FA3" w:rsidP="008F4CF2">
      <w:pPr>
        <w:rPr>
          <w:lang w:val="es-ES_tradnl"/>
        </w:rPr>
      </w:pPr>
      <w:r w:rsidRPr="00C33E29">
        <w:rPr>
          <w:noProof/>
          <w:lang w:val="es-ES_tradnl"/>
        </w:rPr>
        <w:drawing>
          <wp:inline distT="0" distB="0" distL="0" distR="0" wp14:anchorId="12E88F25" wp14:editId="3748274F">
            <wp:extent cx="6159143" cy="24988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8489" cy="2514773"/>
                    </a:xfrm>
                    <a:prstGeom prst="rect">
                      <a:avLst/>
                    </a:prstGeom>
                    <a:noFill/>
                  </pic:spPr>
                </pic:pic>
              </a:graphicData>
            </a:graphic>
          </wp:inline>
        </w:drawing>
      </w:r>
    </w:p>
    <w:p w14:paraId="67529844" w14:textId="74ADB6B4" w:rsidR="009B437E" w:rsidRPr="00C33E29" w:rsidRDefault="008F4CF2" w:rsidP="008F4CF2">
      <w:pPr>
        <w:pStyle w:val="Headingi"/>
        <w:rPr>
          <w:b/>
          <w:bCs/>
          <w:lang w:val="es-ES_tradnl"/>
        </w:rPr>
      </w:pPr>
      <w:r w:rsidRPr="00C33E29">
        <w:rPr>
          <w:b/>
          <w:bCs/>
          <w:lang w:val="es-ES_tradnl"/>
        </w:rPr>
        <w:t>d)</w:t>
      </w:r>
      <w:r w:rsidRPr="00C33E29">
        <w:rPr>
          <w:b/>
          <w:bCs/>
          <w:lang w:val="es-ES_tradnl"/>
        </w:rPr>
        <w:tab/>
      </w:r>
      <w:r w:rsidR="009B437E" w:rsidRPr="00C33E29">
        <w:rPr>
          <w:b/>
          <w:bCs/>
          <w:lang w:val="es-ES_tradnl"/>
        </w:rPr>
        <w:t>Resultados de la reunión extraordinaria del GADT</w:t>
      </w:r>
    </w:p>
    <w:p w14:paraId="66A868E7" w14:textId="77777777" w:rsidR="009B437E" w:rsidRPr="00C33E29" w:rsidRDefault="009B437E" w:rsidP="008F4CF2">
      <w:pPr>
        <w:rPr>
          <w:lang w:val="es-ES_tradnl"/>
        </w:rPr>
      </w:pPr>
      <w:r w:rsidRPr="00C33E29">
        <w:rPr>
          <w:lang w:val="es-ES_tradnl"/>
        </w:rPr>
        <w:t>El GANT examinó nueve contribuciones: Algunos resultados obtenidos fueron:</w:t>
      </w:r>
    </w:p>
    <w:p w14:paraId="65CD5DF3" w14:textId="21CDC7F5" w:rsidR="009B437E" w:rsidRPr="00C33E29" w:rsidRDefault="00DE0E97" w:rsidP="00DE0E97">
      <w:pPr>
        <w:pStyle w:val="enumlev1"/>
        <w:rPr>
          <w:lang w:val="es-ES_tradnl"/>
        </w:rPr>
      </w:pPr>
      <w:r w:rsidRPr="00C33E29">
        <w:rPr>
          <w:lang w:val="es-ES_tradnl"/>
        </w:rPr>
        <w:t>–</w:t>
      </w:r>
      <w:r w:rsidRPr="00C33E29">
        <w:rPr>
          <w:lang w:val="es-ES_tradnl"/>
        </w:rPr>
        <w:tab/>
      </w:r>
      <w:r w:rsidR="009B437E" w:rsidRPr="00C33E29">
        <w:rPr>
          <w:lang w:val="es-ES_tradnl"/>
        </w:rPr>
        <w:t xml:space="preserve">El GADT acordó el orden del día de la GYS-25, presentado en el </w:t>
      </w:r>
      <w:r w:rsidR="00624FA3" w:rsidRPr="00C33E29">
        <w:rPr>
          <w:lang w:val="es-ES_tradnl"/>
        </w:rPr>
        <w:br/>
      </w:r>
      <w:r w:rsidR="009B437E" w:rsidRPr="00C33E29">
        <w:rPr>
          <w:lang w:val="es-ES_tradnl"/>
        </w:rPr>
        <w:t xml:space="preserve">Documento </w:t>
      </w:r>
      <w:hyperlink r:id="rId38" w:history="1">
        <w:r w:rsidR="009B437E" w:rsidRPr="00C33E29">
          <w:rPr>
            <w:rStyle w:val="Hyperlink"/>
            <w:lang w:val="es-ES_tradnl"/>
          </w:rPr>
          <w:t>TDAG-IC</w:t>
        </w:r>
        <w:r w:rsidR="009B437E" w:rsidRPr="00C33E29">
          <w:rPr>
            <w:rStyle w:val="Hyperlink"/>
            <w:lang w:val="es-ES_tradnl"/>
          </w:rPr>
          <w:t>G</w:t>
        </w:r>
        <w:r w:rsidR="009B437E" w:rsidRPr="00C33E29">
          <w:rPr>
            <w:rStyle w:val="Hyperlink"/>
            <w:lang w:val="es-ES_tradnl"/>
          </w:rPr>
          <w:t>-GYS/12</w:t>
        </w:r>
      </w:hyperlink>
      <w:r w:rsidR="00FC3DA5" w:rsidRPr="00C33E29">
        <w:rPr>
          <w:lang w:val="es-ES_tradnl"/>
        </w:rPr>
        <w:t>.</w:t>
      </w:r>
    </w:p>
    <w:p w14:paraId="129A3308" w14:textId="4ED3B803" w:rsidR="009B437E" w:rsidRPr="00C33E29" w:rsidRDefault="00DE0E97" w:rsidP="00DE0E97">
      <w:pPr>
        <w:pStyle w:val="enumlev1"/>
        <w:rPr>
          <w:lang w:val="es-ES_tradnl"/>
        </w:rPr>
      </w:pPr>
      <w:r w:rsidRPr="00C33E29">
        <w:rPr>
          <w:lang w:val="es-ES_tradnl"/>
        </w:rPr>
        <w:t>–</w:t>
      </w:r>
      <w:r w:rsidRPr="00C33E29">
        <w:rPr>
          <w:lang w:val="es-ES_tradnl"/>
        </w:rPr>
        <w:tab/>
      </w:r>
      <w:r w:rsidR="009B437E" w:rsidRPr="00C33E29">
        <w:rPr>
          <w:lang w:val="es-ES_tradnl"/>
        </w:rPr>
        <w:t xml:space="preserve">El GADT tomó nota con satisfacción de los informes de los Presidentes del Grupo de Trabajo del GADT sobre la Declaración de la CMDT (GT-GADT-DEC), del Grupo de Trabajo del GADT sobre el futuro de las Cuestiones de las Comisiones de Estudio (GT-GADT-futurasCCE), del Grupo de Trabajo del GADT sobre las Prioridades </w:t>
      </w:r>
      <w:r w:rsidR="00624FA3" w:rsidRPr="00C33E29">
        <w:rPr>
          <w:lang w:val="es-ES_tradnl"/>
        </w:rPr>
        <w:br/>
      </w:r>
      <w:r w:rsidR="009B437E" w:rsidRPr="00C33E29">
        <w:rPr>
          <w:lang w:val="es-ES_tradnl"/>
        </w:rPr>
        <w:t>del UIT-D (GT-GADT-PUITD) y del Grupo de Trabajo del GADT sobre la racionalización de las Resoluciones (GT-GADT-RR), y reconoció los progresos realizados en cada Grupo de Trabajo.</w:t>
      </w:r>
    </w:p>
    <w:p w14:paraId="40A48822" w14:textId="0736669C" w:rsidR="009B437E" w:rsidRPr="00C33E29" w:rsidRDefault="00DE0E97" w:rsidP="00DE0E97">
      <w:pPr>
        <w:pStyle w:val="enumlev1"/>
        <w:rPr>
          <w:lang w:val="es-ES_tradnl"/>
        </w:rPr>
      </w:pPr>
      <w:r w:rsidRPr="00C33E29">
        <w:rPr>
          <w:lang w:val="es-ES_tradnl"/>
        </w:rPr>
        <w:t>–</w:t>
      </w:r>
      <w:r w:rsidRPr="00C33E29">
        <w:rPr>
          <w:lang w:val="es-ES_tradnl"/>
        </w:rPr>
        <w:tab/>
      </w:r>
      <w:r w:rsidR="009B437E" w:rsidRPr="00C33E29">
        <w:rPr>
          <w:lang w:val="es-ES_tradnl"/>
        </w:rPr>
        <w:t>El GADT tomó nota de las contribuciones de la APT sobre la Declaración y su alineación con las iniciativas en curso para finalizar el tema y la estructura de la Declaración. El GADT también tomó nota de la contribución de la APT al GT-GADT-futurasCCE. Se acogieron con agrado ambas contribuciones, que representan una valiosa aportación a las deliberaciones en curso y una preciada adición al proceso preparatorio de la CMDT-25.</w:t>
      </w:r>
    </w:p>
    <w:p w14:paraId="03074C1C" w14:textId="77777777" w:rsidR="009B437E" w:rsidRPr="00C33E29" w:rsidRDefault="009B437E" w:rsidP="00DE0E97">
      <w:pPr>
        <w:rPr>
          <w:lang w:val="es-ES_tradnl"/>
        </w:rPr>
      </w:pPr>
      <w:r w:rsidRPr="00C33E29">
        <w:rPr>
          <w:lang w:val="es-ES_tradnl"/>
        </w:rPr>
        <w:t>El informe completo de la reunión en los seis idiomas oficiales de la UIT está disponible en este enlace y los aspectos más destacados pueden consultarse aquí.</w:t>
      </w:r>
    </w:p>
    <w:p w14:paraId="49FF73C9" w14:textId="6BB525C9" w:rsidR="009B437E" w:rsidRPr="00C33E29" w:rsidRDefault="009B437E" w:rsidP="00DE0E97">
      <w:pPr>
        <w:pStyle w:val="Heading2"/>
        <w:rPr>
          <w:lang w:val="es-ES_tradnl"/>
        </w:rPr>
      </w:pPr>
      <w:bookmarkStart w:id="21" w:name="_Toc196398318"/>
      <w:bookmarkStart w:id="22" w:name="_Toc196469436"/>
      <w:r w:rsidRPr="00C33E29">
        <w:rPr>
          <w:lang w:val="es-ES_tradnl"/>
        </w:rPr>
        <w:t>Trig</w:t>
      </w:r>
      <w:r w:rsidR="00507FAE">
        <w:rPr>
          <w:lang w:val="es-ES_tradnl"/>
        </w:rPr>
        <w:t>e</w:t>
      </w:r>
      <w:r w:rsidRPr="00C33E29">
        <w:rPr>
          <w:lang w:val="es-ES_tradnl"/>
        </w:rPr>
        <w:t>simosegunda reunión del GADT</w:t>
      </w:r>
      <w:bookmarkEnd w:id="21"/>
      <w:bookmarkEnd w:id="22"/>
    </w:p>
    <w:p w14:paraId="6809C6E7" w14:textId="77777777" w:rsidR="009B437E" w:rsidRPr="00C33E29" w:rsidRDefault="009B437E" w:rsidP="00DE0E97">
      <w:pPr>
        <w:rPr>
          <w:i/>
          <w:iCs/>
          <w:lang w:val="es-ES_tradnl"/>
        </w:rPr>
      </w:pPr>
      <w:r w:rsidRPr="00C33E29">
        <w:rPr>
          <w:lang w:val="es-ES_tradnl"/>
        </w:rPr>
        <w:t>Esta sección del informe se completará con la revisión de este documento una vez que se celebre la 32ª reunión del GADT en Ginebra, del 12 al 16 de mayo de 2025.</w:t>
      </w:r>
    </w:p>
    <w:p w14:paraId="5A207770" w14:textId="1F7781EA" w:rsidR="009B437E" w:rsidRPr="00C33E29" w:rsidRDefault="009B437E" w:rsidP="00DE0E97">
      <w:pPr>
        <w:pStyle w:val="Heading1"/>
        <w:rPr>
          <w:lang w:val="es-ES_tradnl"/>
        </w:rPr>
      </w:pPr>
      <w:bookmarkStart w:id="23" w:name="_Toc196398319"/>
      <w:bookmarkStart w:id="24" w:name="_Toc379236732"/>
      <w:bookmarkStart w:id="25" w:name="_Toc482300241"/>
      <w:bookmarkStart w:id="26" w:name="_Toc196469437"/>
      <w:r w:rsidRPr="00C33E29">
        <w:rPr>
          <w:lang w:val="es-ES_tradnl"/>
        </w:rPr>
        <w:t>Reuniones de los Grupos de Trabajo del GADT</w:t>
      </w:r>
      <w:bookmarkEnd w:id="23"/>
      <w:bookmarkEnd w:id="26"/>
      <w:bookmarkEnd w:id="24"/>
      <w:bookmarkEnd w:id="25"/>
    </w:p>
    <w:p w14:paraId="2A92F6A1" w14:textId="77777777" w:rsidR="009B437E" w:rsidRPr="00C33E29" w:rsidRDefault="009B437E" w:rsidP="00DE0E97">
      <w:pPr>
        <w:rPr>
          <w:lang w:val="es-ES_tradnl"/>
        </w:rPr>
      </w:pPr>
      <w:r w:rsidRPr="00C33E29">
        <w:rPr>
          <w:lang w:val="es-ES_tradnl"/>
        </w:rPr>
        <w:t>El GADT, en sus reuniones celebradas del 19 al 23 de junio de 2023 y del 20 al 23 de mayo de 2024, decidió crear los cinco Grupos de Trabajo siguientes:</w:t>
      </w:r>
    </w:p>
    <w:p w14:paraId="630C4A64" w14:textId="4D0B3361" w:rsidR="009B437E" w:rsidRPr="00C33E29" w:rsidRDefault="00DE0E97" w:rsidP="00DE0E97">
      <w:pPr>
        <w:pStyle w:val="enumlev1"/>
        <w:rPr>
          <w:lang w:val="es-ES_tradnl"/>
        </w:rPr>
      </w:pPr>
      <w:r w:rsidRPr="00C33E29">
        <w:rPr>
          <w:lang w:val="es-ES_tradnl"/>
        </w:rPr>
        <w:t>–</w:t>
      </w:r>
      <w:r w:rsidRPr="00C33E29">
        <w:rPr>
          <w:lang w:val="es-ES_tradnl"/>
        </w:rPr>
        <w:tab/>
      </w:r>
      <w:r w:rsidR="009B437E" w:rsidRPr="00C33E29">
        <w:rPr>
          <w:lang w:val="es-ES_tradnl"/>
        </w:rPr>
        <w:t xml:space="preserve">Grupo de Trabajo del GADT sobre la racionalización de las Resoluciones (GT-GADT-RR) – </w:t>
      </w:r>
      <w:hyperlink r:id="rId39" w:history="1">
        <w:r w:rsidR="009B437E" w:rsidRPr="00C33E29">
          <w:rPr>
            <w:rStyle w:val="Hyperlink"/>
            <w:lang w:val="es-ES_tradnl"/>
          </w:rPr>
          <w:t>págin</w:t>
        </w:r>
        <w:r w:rsidR="009B437E" w:rsidRPr="00C33E29">
          <w:rPr>
            <w:rStyle w:val="Hyperlink"/>
            <w:lang w:val="es-ES_tradnl"/>
          </w:rPr>
          <w:t>a</w:t>
        </w:r>
        <w:r w:rsidR="009B437E" w:rsidRPr="00C33E29">
          <w:rPr>
            <w:rStyle w:val="Hyperlink"/>
            <w:lang w:val="es-ES_tradnl"/>
          </w:rPr>
          <w:t xml:space="preserve"> web</w:t>
        </w:r>
      </w:hyperlink>
      <w:r w:rsidR="009B437E" w:rsidRPr="00C33E29">
        <w:rPr>
          <w:lang w:val="es-ES_tradnl"/>
        </w:rPr>
        <w:t>;</w:t>
      </w:r>
    </w:p>
    <w:p w14:paraId="698EB83D" w14:textId="41BEFFBB" w:rsidR="009B437E" w:rsidRPr="00C33E29" w:rsidRDefault="00DE0E97" w:rsidP="00DE0E97">
      <w:pPr>
        <w:pStyle w:val="enumlev1"/>
        <w:rPr>
          <w:lang w:val="es-ES_tradnl"/>
        </w:rPr>
      </w:pPr>
      <w:r w:rsidRPr="00C33E29">
        <w:rPr>
          <w:lang w:val="es-ES_tradnl"/>
        </w:rPr>
        <w:t>–</w:t>
      </w:r>
      <w:r w:rsidRPr="00C33E29">
        <w:rPr>
          <w:lang w:val="es-ES_tradnl"/>
        </w:rPr>
        <w:tab/>
      </w:r>
      <w:r w:rsidR="009B437E" w:rsidRPr="00C33E29">
        <w:rPr>
          <w:lang w:val="es-ES_tradnl"/>
        </w:rPr>
        <w:t xml:space="preserve">Grupo de Trabajo del GADT sobre el futuro de las Cuestiones de las Comisiones de Estudio (GT-GADT-futurasCCE) – </w:t>
      </w:r>
      <w:hyperlink r:id="rId40" w:history="1">
        <w:r w:rsidR="009B437E" w:rsidRPr="00C33E29">
          <w:rPr>
            <w:rStyle w:val="Hyperlink"/>
            <w:lang w:val="es-ES_tradnl"/>
          </w:rPr>
          <w:t>página web</w:t>
        </w:r>
      </w:hyperlink>
      <w:r w:rsidR="009B437E" w:rsidRPr="00C33E29">
        <w:rPr>
          <w:lang w:val="es-ES_tradnl"/>
        </w:rPr>
        <w:t>;</w:t>
      </w:r>
    </w:p>
    <w:p w14:paraId="233EFB2A" w14:textId="57658D90" w:rsidR="009B437E" w:rsidRPr="00C33E29" w:rsidRDefault="00DE0E97" w:rsidP="00DE0E97">
      <w:pPr>
        <w:pStyle w:val="enumlev1"/>
        <w:rPr>
          <w:lang w:val="es-ES_tradnl"/>
        </w:rPr>
      </w:pPr>
      <w:r w:rsidRPr="00C33E29">
        <w:rPr>
          <w:lang w:val="es-ES_tradnl"/>
        </w:rPr>
        <w:t>–</w:t>
      </w:r>
      <w:r w:rsidRPr="00C33E29">
        <w:rPr>
          <w:lang w:val="es-ES_tradnl"/>
        </w:rPr>
        <w:tab/>
      </w:r>
      <w:r w:rsidR="009B437E" w:rsidRPr="00C33E29">
        <w:rPr>
          <w:lang w:val="es-ES_tradnl"/>
        </w:rPr>
        <w:t xml:space="preserve">Grupo de Trabajo del GADT sobre las Prioridades del UIT-D (GT-GDAT-PUITD) – </w:t>
      </w:r>
      <w:hyperlink r:id="rId41" w:history="1">
        <w:r w:rsidR="009B437E" w:rsidRPr="00C33E29">
          <w:rPr>
            <w:rStyle w:val="Hyperlink"/>
            <w:lang w:val="es-ES_tradnl"/>
          </w:rPr>
          <w:t>página web</w:t>
        </w:r>
      </w:hyperlink>
      <w:r w:rsidR="009B437E" w:rsidRPr="00C33E29">
        <w:rPr>
          <w:lang w:val="es-ES_tradnl"/>
        </w:rPr>
        <w:t>;</w:t>
      </w:r>
    </w:p>
    <w:p w14:paraId="42364F87" w14:textId="6DF4A4FA" w:rsidR="009B437E" w:rsidRPr="00C33E29" w:rsidRDefault="00DE0E97" w:rsidP="00DE0E97">
      <w:pPr>
        <w:pStyle w:val="enumlev1"/>
        <w:rPr>
          <w:lang w:val="es-ES_tradnl"/>
        </w:rPr>
      </w:pPr>
      <w:r w:rsidRPr="00C33E29">
        <w:rPr>
          <w:lang w:val="es-ES_tradnl"/>
        </w:rPr>
        <w:t>–</w:t>
      </w:r>
      <w:r w:rsidRPr="00C33E29">
        <w:rPr>
          <w:lang w:val="es-ES_tradnl"/>
        </w:rPr>
        <w:tab/>
      </w:r>
      <w:r w:rsidR="009B437E" w:rsidRPr="00C33E29">
        <w:rPr>
          <w:lang w:val="es-ES_tradnl"/>
        </w:rPr>
        <w:t xml:space="preserve">Grupo de Trabajo del GADT sobre la Declaración de la CMDT (GT-GADT-DEC) – </w:t>
      </w:r>
      <w:hyperlink r:id="rId42" w:history="1">
        <w:r w:rsidR="009B437E" w:rsidRPr="00C33E29">
          <w:rPr>
            <w:rStyle w:val="Hyperlink"/>
            <w:lang w:val="es-ES_tradnl"/>
          </w:rPr>
          <w:t>página web</w:t>
        </w:r>
      </w:hyperlink>
      <w:r w:rsidR="009B437E" w:rsidRPr="00C33E29">
        <w:rPr>
          <w:lang w:val="es-ES_tradnl"/>
        </w:rPr>
        <w:t>;</w:t>
      </w:r>
    </w:p>
    <w:p w14:paraId="3895BCA5" w14:textId="412CDD83" w:rsidR="009B437E" w:rsidRPr="00C33E29" w:rsidRDefault="00DE0E97" w:rsidP="00DE0E97">
      <w:pPr>
        <w:pStyle w:val="enumlev1"/>
        <w:rPr>
          <w:lang w:val="es-ES_tradnl"/>
        </w:rPr>
      </w:pPr>
      <w:r w:rsidRPr="00C33E29">
        <w:rPr>
          <w:lang w:val="es-ES_tradnl"/>
        </w:rPr>
        <w:t>–</w:t>
      </w:r>
      <w:r w:rsidRPr="00C33E29">
        <w:rPr>
          <w:lang w:val="es-ES_tradnl"/>
        </w:rPr>
        <w:tab/>
      </w:r>
      <w:r w:rsidR="009B437E" w:rsidRPr="00C33E29">
        <w:rPr>
          <w:lang w:val="es-ES_tradnl"/>
        </w:rPr>
        <w:t xml:space="preserve">Grupo de Coordinación Informal del GADT sobre la Cumbre Mundial de la Juventud (GCI-GADT-GYS) </w:t>
      </w:r>
      <w:r w:rsidR="00507FAE" w:rsidRPr="00507FAE">
        <w:rPr>
          <w:lang w:val="es-ES_tradnl"/>
        </w:rPr>
        <w:t>–</w:t>
      </w:r>
      <w:r w:rsidR="009B437E" w:rsidRPr="00C33E29">
        <w:rPr>
          <w:lang w:val="es-ES_tradnl"/>
        </w:rPr>
        <w:t xml:space="preserve"> </w:t>
      </w:r>
      <w:hyperlink r:id="rId43" w:history="1">
        <w:r w:rsidR="009B437E" w:rsidRPr="00C33E29">
          <w:rPr>
            <w:rStyle w:val="Hyperlink"/>
            <w:lang w:val="es-ES_tradnl"/>
          </w:rPr>
          <w:t>página web</w:t>
        </w:r>
      </w:hyperlink>
      <w:r w:rsidR="009B437E" w:rsidRPr="00C33E29">
        <w:rPr>
          <w:lang w:val="es-ES_tradnl"/>
        </w:rPr>
        <w:t>.</w:t>
      </w:r>
    </w:p>
    <w:p w14:paraId="6372CE2C" w14:textId="0FAB3F68" w:rsidR="009B437E" w:rsidRPr="00C33E29" w:rsidRDefault="009B437E" w:rsidP="00DE0E97">
      <w:pPr>
        <w:rPr>
          <w:lang w:val="es-ES_tradnl"/>
        </w:rPr>
      </w:pPr>
      <w:r w:rsidRPr="00C33E29">
        <w:rPr>
          <w:lang w:val="es-ES_tradnl"/>
        </w:rPr>
        <w:t xml:space="preserve">Los Grupos trabajaron por medios electrónicos y en reuniones virtuales y presentaron sus informes al GADT y a las Reuniones Preparatorias Regionales en todas las regiones; dichos documentos se recogen en los informes del GADT resumidos en la Sección 2 anterior y en los informes de la Reunión Preparatoria Regional (RPR) de cada región (África, Américas, </w:t>
      </w:r>
      <w:hyperlink r:id="rId44" w:history="1">
        <w:r w:rsidRPr="00C33E29">
          <w:rPr>
            <w:rStyle w:val="Hyperlink"/>
            <w:lang w:val="es-ES_tradnl"/>
          </w:rPr>
          <w:t>Re</w:t>
        </w:r>
        <w:r w:rsidRPr="00C33E29">
          <w:rPr>
            <w:rStyle w:val="Hyperlink"/>
            <w:lang w:val="es-ES_tradnl"/>
          </w:rPr>
          <w:t>g</w:t>
        </w:r>
        <w:r w:rsidRPr="00C33E29">
          <w:rPr>
            <w:rStyle w:val="Hyperlink"/>
            <w:lang w:val="es-ES_tradnl"/>
          </w:rPr>
          <w:t>ión Árabe</w:t>
        </w:r>
      </w:hyperlink>
      <w:r w:rsidRPr="00C33E29">
        <w:rPr>
          <w:lang w:val="es-ES_tradnl"/>
        </w:rPr>
        <w:t xml:space="preserve">, </w:t>
      </w:r>
      <w:hyperlink r:id="rId45" w:history="1">
        <w:r w:rsidRPr="00C33E29">
          <w:rPr>
            <w:rStyle w:val="Hyperlink"/>
            <w:lang w:val="es-ES_tradnl"/>
          </w:rPr>
          <w:t>Asia y el P</w:t>
        </w:r>
        <w:r w:rsidRPr="00C33E29">
          <w:rPr>
            <w:rStyle w:val="Hyperlink"/>
            <w:lang w:val="es-ES_tradnl"/>
          </w:rPr>
          <w:t>a</w:t>
        </w:r>
        <w:r w:rsidRPr="00C33E29">
          <w:rPr>
            <w:rStyle w:val="Hyperlink"/>
            <w:lang w:val="es-ES_tradnl"/>
          </w:rPr>
          <w:t>cífico</w:t>
        </w:r>
      </w:hyperlink>
      <w:r w:rsidRPr="00C33E29">
        <w:rPr>
          <w:lang w:val="es-ES_tradnl"/>
        </w:rPr>
        <w:t xml:space="preserve">, CEI, </w:t>
      </w:r>
      <w:hyperlink r:id="rId46" w:history="1">
        <w:r w:rsidRPr="00C33E29">
          <w:rPr>
            <w:rStyle w:val="Hyperlink"/>
            <w:lang w:val="es-ES_tradnl"/>
          </w:rPr>
          <w:t>Eu</w:t>
        </w:r>
        <w:r w:rsidRPr="00C33E29">
          <w:rPr>
            <w:rStyle w:val="Hyperlink"/>
            <w:lang w:val="es-ES_tradnl"/>
          </w:rPr>
          <w:t>r</w:t>
        </w:r>
        <w:r w:rsidRPr="00C33E29">
          <w:rPr>
            <w:rStyle w:val="Hyperlink"/>
            <w:lang w:val="es-ES_tradnl"/>
          </w:rPr>
          <w:t>opa</w:t>
        </w:r>
      </w:hyperlink>
      <w:r w:rsidRPr="00C33E29">
        <w:rPr>
          <w:lang w:val="es-ES_tradnl"/>
        </w:rPr>
        <w:t>).</w:t>
      </w:r>
    </w:p>
    <w:p w14:paraId="465C4BB8" w14:textId="77777777" w:rsidR="009B437E" w:rsidRPr="00C33E29" w:rsidRDefault="009B437E" w:rsidP="00DE0E97">
      <w:pPr>
        <w:pStyle w:val="Heading1"/>
        <w:rPr>
          <w:lang w:val="es-ES_tradnl"/>
        </w:rPr>
      </w:pPr>
      <w:bookmarkStart w:id="27" w:name="_Toc196398320"/>
      <w:bookmarkStart w:id="28" w:name="_Toc196469438"/>
      <w:r w:rsidRPr="00C33E29">
        <w:rPr>
          <w:lang w:val="es-ES_tradnl"/>
        </w:rPr>
        <w:t>Aplicación de las Resoluciones 1, 2 y 24 por el GADT</w:t>
      </w:r>
      <w:bookmarkEnd w:id="27"/>
      <w:bookmarkEnd w:id="28"/>
    </w:p>
    <w:p w14:paraId="5DD1B499" w14:textId="77777777" w:rsidR="009B437E" w:rsidRPr="00C33E29" w:rsidRDefault="009B437E" w:rsidP="001F158B">
      <w:pPr>
        <w:pStyle w:val="Headingb"/>
        <w:rPr>
          <w:lang w:val="es-ES_tradnl"/>
        </w:rPr>
      </w:pPr>
      <w:bookmarkStart w:id="29" w:name="_Toc194477926"/>
      <w:bookmarkStart w:id="30" w:name="_Toc196398321"/>
      <w:r w:rsidRPr="00C33E29">
        <w:rPr>
          <w:lang w:val="es-ES_tradnl"/>
        </w:rPr>
        <w:t>Antecedentes</w:t>
      </w:r>
      <w:bookmarkEnd w:id="29"/>
      <w:bookmarkEnd w:id="30"/>
    </w:p>
    <w:p w14:paraId="510A3ADB" w14:textId="623C1C61" w:rsidR="009B437E" w:rsidRPr="00C33E29" w:rsidRDefault="009B437E" w:rsidP="00DE0E97">
      <w:pPr>
        <w:rPr>
          <w:lang w:val="es-ES_tradnl"/>
        </w:rPr>
      </w:pPr>
      <w:r w:rsidRPr="00C33E29">
        <w:rPr>
          <w:lang w:val="es-ES_tradnl"/>
        </w:rPr>
        <w:t>Con arreglo al número 215JA del Artículo 17 del Convenio de la Unión Internacional de Telecomunicaciones, el GADT presentará un informe a la CMDT-17 sobre las cuestiones asignadas al mismo por la CMDT, de acuerdo con lo dispuesto en el número 213A del Artículo 16 del citado</w:t>
      </w:r>
      <w:r w:rsidR="00507FAE">
        <w:rPr>
          <w:lang w:val="es-ES_tradnl"/>
        </w:rPr>
        <w:t> </w:t>
      </w:r>
      <w:r w:rsidRPr="00C33E29">
        <w:rPr>
          <w:lang w:val="es-ES_tradnl"/>
        </w:rPr>
        <w:t>Convenio.</w:t>
      </w:r>
    </w:p>
    <w:p w14:paraId="1080C545" w14:textId="77777777" w:rsidR="009B437E" w:rsidRPr="00C33E29" w:rsidRDefault="009B437E" w:rsidP="00DE0E97">
      <w:pPr>
        <w:keepNext/>
        <w:keepLines/>
        <w:rPr>
          <w:lang w:val="es-ES_tradnl"/>
        </w:rPr>
      </w:pPr>
      <w:r w:rsidRPr="00C33E29">
        <w:rPr>
          <w:lang w:val="es-ES_tradnl"/>
        </w:rPr>
        <w:t>En la Resolución 24 se establecen las responsabilidades específicas del GADT y se le encomienda la supervisión de los trabajos del UIT-D entre dos CMDT consecutivas. Este informe presenta un análisis estructurado que destaca las acciones, decisiones y mejoras continuas del GADT, haciendo hincapié en la transparencia, la eficiencia y la inclusividad de cara al cumplimiento de los objetivos estratégicos trazados por la UIT.</w:t>
      </w:r>
    </w:p>
    <w:p w14:paraId="371C9626" w14:textId="24341D13" w:rsidR="009B437E" w:rsidRPr="00C33E29" w:rsidRDefault="00DE0E97" w:rsidP="00DE0E97">
      <w:pPr>
        <w:pStyle w:val="Headingb"/>
        <w:ind w:left="794" w:hanging="794"/>
        <w:rPr>
          <w:rFonts w:ascii="Calibri" w:hAnsi="Calibri" w:cs="Calibri"/>
          <w:color w:val="000000"/>
          <w:lang w:val="es-ES_tradnl"/>
        </w:rPr>
      </w:pPr>
      <w:r w:rsidRPr="00C33E29">
        <w:rPr>
          <w:lang w:val="es-ES_tradnl"/>
        </w:rPr>
        <w:t>1</w:t>
      </w:r>
      <w:r w:rsidRPr="00C33E29">
        <w:rPr>
          <w:lang w:val="es-ES_tradnl"/>
        </w:rPr>
        <w:tab/>
      </w:r>
      <w:r w:rsidR="009B437E" w:rsidRPr="00C33E29">
        <w:rPr>
          <w:lang w:val="es-ES_tradnl"/>
        </w:rPr>
        <w:t xml:space="preserve">Mantenimiento de directrices de trabajo eficientes y flexibles (Resolución 24, </w:t>
      </w:r>
      <w:r w:rsidR="009B437E" w:rsidRPr="00C33E29">
        <w:rPr>
          <w:i/>
          <w:iCs/>
          <w:lang w:val="es-ES_tradnl"/>
        </w:rPr>
        <w:t>resuelve</w:t>
      </w:r>
      <w:r w:rsidRPr="00C33E29">
        <w:rPr>
          <w:i/>
          <w:iCs/>
          <w:lang w:val="es-ES_tradnl"/>
        </w:rPr>
        <w:t> </w:t>
      </w:r>
      <w:r w:rsidR="009B437E" w:rsidRPr="00C33E29">
        <w:rPr>
          <w:lang w:val="es-ES_tradnl"/>
        </w:rPr>
        <w:t>1.i)</w:t>
      </w:r>
    </w:p>
    <w:p w14:paraId="5EB8FE7A" w14:textId="3719B1C5" w:rsidR="009B437E" w:rsidRPr="00C33E29" w:rsidRDefault="009B437E" w:rsidP="00DE0E97">
      <w:pPr>
        <w:rPr>
          <w:rFonts w:ascii="Calibri" w:hAnsi="Calibri" w:cs="Calibri"/>
          <w:color w:val="000000" w:themeColor="text1"/>
          <w:lang w:val="es-ES_tradnl"/>
        </w:rPr>
      </w:pPr>
      <w:r w:rsidRPr="00C33E29">
        <w:rPr>
          <w:lang w:val="es-ES_tradnl"/>
        </w:rPr>
        <w:t>A lo largo del ciclo 2023-2025, el GADT revisó y actualizó de forma continua sus directrices de trabajo para garantizar la eficiencia y la flexibilidad.</w:t>
      </w:r>
    </w:p>
    <w:p w14:paraId="7A0783E1" w14:textId="6A15FF3A" w:rsidR="009B437E" w:rsidRPr="00C33E29" w:rsidRDefault="009B437E" w:rsidP="00DE0E97">
      <w:pPr>
        <w:rPr>
          <w:rFonts w:ascii="Calibri" w:hAnsi="Calibri" w:cs="Calibri"/>
          <w:color w:val="000000" w:themeColor="text1"/>
          <w:lang w:val="es-ES_tradnl"/>
        </w:rPr>
      </w:pPr>
      <w:r w:rsidRPr="00C33E29">
        <w:rPr>
          <w:lang w:val="es-ES_tradnl"/>
        </w:rPr>
        <w:t>En el GADT-23 (2023), se creó el Grupo de Trabajo sobre la racionalización de las Resoluciones</w:t>
      </w:r>
      <w:r w:rsidR="00507FAE">
        <w:rPr>
          <w:lang w:val="es-ES_tradnl"/>
        </w:rPr>
        <w:t> </w:t>
      </w:r>
      <w:r w:rsidRPr="00C33E29">
        <w:rPr>
          <w:lang w:val="es-ES_tradnl"/>
        </w:rPr>
        <w:t>(G</w:t>
      </w:r>
      <w:r w:rsidR="00507FAE">
        <w:rPr>
          <w:lang w:val="es-ES_tradnl"/>
        </w:rPr>
        <w:t>T</w:t>
      </w:r>
      <w:r w:rsidR="00507FAE">
        <w:rPr>
          <w:lang w:val="es-ES_tradnl"/>
        </w:rPr>
        <w:noBreakHyphen/>
      </w:r>
      <w:r w:rsidRPr="00C33E29">
        <w:rPr>
          <w:lang w:val="es-ES_tradnl"/>
        </w:rPr>
        <w:t>GADT-RR), presidido por la Sra. Andrea Mamprim Grippa, con el fin de eliminar redundancias y armonizar las Resoluciones del UIT-D con las prioridades de los Sectores. El Grupo puso en marcha su espacio de trabajo colaborativo a través de Microsoft Teams, lo que propició la cooperación en tiempo real entre los miembros. El GADT-24 (2024) aprobó el mandato revisado, que integra las propuestas de los Estados Miembros sobre armonizar las resoluciones en todos los Sectores de la UIT.</w:t>
      </w:r>
    </w:p>
    <w:p w14:paraId="0D5B4EB8" w14:textId="77777777" w:rsidR="009B437E" w:rsidRPr="00C33E29" w:rsidRDefault="009B437E" w:rsidP="00DE0E97">
      <w:pPr>
        <w:rPr>
          <w:rFonts w:ascii="Calibri" w:hAnsi="Calibri" w:cs="Calibri"/>
          <w:color w:val="000000" w:themeColor="text1"/>
          <w:lang w:val="es-ES_tradnl"/>
        </w:rPr>
      </w:pPr>
      <w:r w:rsidRPr="00C33E29">
        <w:rPr>
          <w:lang w:val="es-ES_tradnl"/>
        </w:rPr>
        <w:t>Se ofreció apoyo adicional para mejorar colaboración interregional mediante foros de desarrollo regional interactivos y tableros de operaciones, con funcionalidades para que los Estados Miembros realizaran un seguimiento exhaustivo de la aplicación del Plan de Acción de Kigali (PAK).</w:t>
      </w:r>
    </w:p>
    <w:p w14:paraId="02E7A59D" w14:textId="0D140EE2" w:rsidR="009B437E" w:rsidRPr="00C33E29" w:rsidRDefault="009B437E" w:rsidP="00DE0E97">
      <w:pPr>
        <w:rPr>
          <w:rFonts w:ascii="Calibri" w:hAnsi="Calibri" w:cs="Calibri"/>
          <w:color w:val="000000" w:themeColor="text1"/>
          <w:lang w:val="es-ES_tradnl"/>
        </w:rPr>
      </w:pPr>
      <w:r w:rsidRPr="00C33E29">
        <w:rPr>
          <w:lang w:val="es-ES_tradnl"/>
        </w:rPr>
        <w:t>Entre las mejoras más notables cabe destacar la creación y aprobación de tableros completos para supervisar la aplicación del Plan de Acción de Kigali (PAK) y los Planes Operacionales del</w:t>
      </w:r>
      <w:r w:rsidR="00507FAE">
        <w:rPr>
          <w:lang w:val="es-ES_tradnl"/>
        </w:rPr>
        <w:t> </w:t>
      </w:r>
      <w:r w:rsidRPr="00C33E29">
        <w:rPr>
          <w:lang w:val="es-ES_tradnl"/>
        </w:rPr>
        <w:t>UIT</w:t>
      </w:r>
      <w:r w:rsidR="00507FAE">
        <w:rPr>
          <w:lang w:val="es-ES_tradnl"/>
        </w:rPr>
        <w:noBreakHyphen/>
      </w:r>
      <w:r w:rsidRPr="00C33E29">
        <w:rPr>
          <w:lang w:val="es-ES_tradnl"/>
        </w:rPr>
        <w:t>D</w:t>
      </w:r>
      <w:r w:rsidR="00507FAE">
        <w:rPr>
          <w:lang w:val="es-ES_tradnl"/>
        </w:rPr>
        <w:t> </w:t>
      </w:r>
      <w:r w:rsidRPr="00C33E29">
        <w:rPr>
          <w:lang w:val="es-ES_tradnl"/>
        </w:rPr>
        <w:t>(2024-2027). Estos tableros, aprobados durante el GADT-23 de junio de 2023 y el</w:t>
      </w:r>
      <w:r w:rsidR="00507FAE">
        <w:rPr>
          <w:lang w:val="es-ES_tradnl"/>
        </w:rPr>
        <w:t> </w:t>
      </w:r>
      <w:r w:rsidRPr="00C33E29">
        <w:rPr>
          <w:lang w:val="es-ES_tradnl"/>
        </w:rPr>
        <w:t>GADT</w:t>
      </w:r>
      <w:r w:rsidR="00507FAE">
        <w:rPr>
          <w:lang w:val="es-ES_tradnl"/>
        </w:rPr>
        <w:noBreakHyphen/>
      </w:r>
      <w:r w:rsidRPr="00C33E29">
        <w:rPr>
          <w:lang w:val="es-ES_tradnl"/>
        </w:rPr>
        <w:t>24 de mayo de 2024, proporcionaron información actualizada transparente y en tiempo real sobre la ejecución de los proyectos y presupuestos. Además, en su reunión extraordinaria de enero de 2025, el GADT presentó un nuevo tablero de proyectos que mejoró significativamente la transparencia y la rendición de cuentas de los proyectos.</w:t>
      </w:r>
    </w:p>
    <w:p w14:paraId="0BC9376E" w14:textId="61F28AC9" w:rsidR="009B437E" w:rsidRPr="00C33E29" w:rsidRDefault="00DE0E97" w:rsidP="00DE0E97">
      <w:pPr>
        <w:pStyle w:val="Headingb"/>
        <w:rPr>
          <w:rFonts w:ascii="Calibri" w:hAnsi="Calibri" w:cs="Calibri"/>
          <w:color w:val="000000" w:themeColor="text1"/>
          <w:lang w:val="es-ES_tradnl"/>
        </w:rPr>
      </w:pPr>
      <w:r w:rsidRPr="00C33E29">
        <w:rPr>
          <w:lang w:val="es-ES_tradnl"/>
        </w:rPr>
        <w:t>2</w:t>
      </w:r>
      <w:r w:rsidRPr="00C33E29">
        <w:rPr>
          <w:lang w:val="es-ES_tradnl"/>
        </w:rPr>
        <w:tab/>
      </w:r>
      <w:r w:rsidR="009B437E" w:rsidRPr="00C33E29">
        <w:rPr>
          <w:lang w:val="es-ES_tradnl"/>
        </w:rPr>
        <w:t xml:space="preserve">Examen de los objetivos y las asignaciones presupuestarias (Resolución 24, </w:t>
      </w:r>
      <w:r w:rsidR="009B437E" w:rsidRPr="00C33E29">
        <w:rPr>
          <w:i/>
          <w:iCs/>
          <w:lang w:val="es-ES_tradnl"/>
        </w:rPr>
        <w:t xml:space="preserve">resuelve </w:t>
      </w:r>
      <w:r w:rsidR="009B437E" w:rsidRPr="00C33E29">
        <w:rPr>
          <w:lang w:val="es-ES_tradnl"/>
        </w:rPr>
        <w:t>1.ii)</w:t>
      </w:r>
    </w:p>
    <w:p w14:paraId="41601DB4" w14:textId="558BAB79" w:rsidR="009B437E" w:rsidRPr="00C33E29" w:rsidRDefault="009B437E" w:rsidP="00DE0E97">
      <w:pPr>
        <w:rPr>
          <w:rFonts w:ascii="Calibri" w:hAnsi="Calibri" w:cs="Calibri"/>
          <w:color w:val="000000" w:themeColor="text1"/>
          <w:lang w:val="es-ES_tradnl"/>
        </w:rPr>
      </w:pPr>
      <w:r w:rsidRPr="00C33E29">
        <w:rPr>
          <w:lang w:val="es-ES_tradnl"/>
        </w:rPr>
        <w:t>El GADT examinó activamente la correlación entre los objetivos estratégicos del UIT-D y las asignaciones presupuestarias y brindó asesoramiento al respecto. En el GADT-23 se estudió minuciosamente y aprobó el Plan Operacional para 2024, que contiene las distribuciones presupuestarias regionales detalladas. Durante el GADT-23, se realizó un examen exhaustivo del Plan Operacional del UIT-D para 2024-2027 en el que se analizaron la correspondencia financiera detallada y las asignaciones presupuestarias regionales, asegurando financiación suficiente para las prioridades como la transformación digital, la ciberseguridad y las iniciativas regionales.</w:t>
      </w:r>
    </w:p>
    <w:p w14:paraId="1F604957" w14:textId="77777777" w:rsidR="009B437E" w:rsidRPr="00C33E29" w:rsidRDefault="009B437E" w:rsidP="00DE0E97">
      <w:pPr>
        <w:rPr>
          <w:rFonts w:ascii="Calibri" w:hAnsi="Calibri" w:cs="Calibri"/>
          <w:color w:val="000000" w:themeColor="text1"/>
          <w:lang w:val="es-ES_tradnl"/>
        </w:rPr>
      </w:pPr>
      <w:r w:rsidRPr="00C33E29">
        <w:rPr>
          <w:lang w:val="es-ES_tradnl"/>
        </w:rPr>
        <w:t>El tablero del Plan Operacional presentado en el GADT-24 facilitó la supervisión financiera sólida, el seguimiento en tiempo real y la presentación de informes semestrales de los donantes para los proyectos en ejecución.</w:t>
      </w:r>
    </w:p>
    <w:p w14:paraId="4BEA59AF" w14:textId="12128444" w:rsidR="009B437E" w:rsidRPr="00C33E29" w:rsidRDefault="00DE0E97" w:rsidP="00DE0E97">
      <w:pPr>
        <w:pStyle w:val="Headingb"/>
        <w:rPr>
          <w:rFonts w:ascii="Calibri" w:hAnsi="Calibri" w:cs="Calibri"/>
          <w:b w:val="0"/>
          <w:color w:val="000000" w:themeColor="text1"/>
          <w:lang w:val="es-ES_tradnl"/>
        </w:rPr>
      </w:pPr>
      <w:r w:rsidRPr="00C33E29">
        <w:rPr>
          <w:bCs/>
          <w:lang w:val="es-ES_tradnl"/>
        </w:rPr>
        <w:t>3</w:t>
      </w:r>
      <w:r w:rsidRPr="00C33E29">
        <w:rPr>
          <w:bCs/>
          <w:lang w:val="es-ES_tradnl"/>
        </w:rPr>
        <w:tab/>
      </w:r>
      <w:r w:rsidR="009B437E" w:rsidRPr="00C33E29">
        <w:rPr>
          <w:bCs/>
          <w:lang w:val="es-ES_tradnl"/>
        </w:rPr>
        <w:t xml:space="preserve">Orientación sobre el Plan Operacional cuadrienal del UIT-D (Resolución 24, </w:t>
      </w:r>
      <w:r w:rsidR="009B437E" w:rsidRPr="00C33E29">
        <w:rPr>
          <w:bCs/>
          <w:i/>
          <w:iCs/>
          <w:lang w:val="es-ES_tradnl"/>
        </w:rPr>
        <w:t xml:space="preserve">resuelve </w:t>
      </w:r>
      <w:r w:rsidR="009B437E" w:rsidRPr="00C33E29">
        <w:rPr>
          <w:bCs/>
          <w:lang w:val="es-ES_tradnl"/>
        </w:rPr>
        <w:t>1.iii)</w:t>
      </w:r>
    </w:p>
    <w:p w14:paraId="787F688F" w14:textId="3196B5FE" w:rsidR="009B437E" w:rsidRPr="00C33E29" w:rsidRDefault="009B437E" w:rsidP="00DE0E97">
      <w:pPr>
        <w:rPr>
          <w:rFonts w:ascii="Calibri" w:hAnsi="Calibri" w:cs="Calibri"/>
          <w:color w:val="000000"/>
          <w:lang w:val="es-ES_tradnl"/>
        </w:rPr>
      </w:pPr>
      <w:r w:rsidRPr="00C33E29">
        <w:rPr>
          <w:lang w:val="es-ES_tradnl"/>
        </w:rPr>
        <w:t>El GADT proporcionó orientación continua y relevante sobre el Plan Operacional cuadrienal renovable del UIT-D. Los IFR de seguimiento del Plan de Acción de Kigali se aprobaron en el</w:t>
      </w:r>
      <w:r w:rsidR="00507FAE">
        <w:rPr>
          <w:lang w:val="es-ES_tradnl"/>
        </w:rPr>
        <w:t> </w:t>
      </w:r>
      <w:r w:rsidRPr="00C33E29">
        <w:rPr>
          <w:lang w:val="es-ES_tradnl"/>
        </w:rPr>
        <w:t>GADT</w:t>
      </w:r>
      <w:r w:rsidR="00507FAE">
        <w:rPr>
          <w:lang w:val="es-ES_tradnl"/>
        </w:rPr>
        <w:noBreakHyphen/>
      </w:r>
      <w:r w:rsidRPr="00C33E29">
        <w:rPr>
          <w:lang w:val="es-ES_tradnl"/>
        </w:rPr>
        <w:t>23. Se trataba de un plan operacional cuadrienal renovable armonizado con el PAK, que respaldaba los 45 IFR del GADT-23. Estos IFR, compuestos por 18 indicadores de resultados y</w:t>
      </w:r>
      <w:r w:rsidR="00507FAE">
        <w:rPr>
          <w:lang w:val="es-ES_tradnl"/>
        </w:rPr>
        <w:t> </w:t>
      </w:r>
      <w:r w:rsidRPr="00C33E29">
        <w:rPr>
          <w:lang w:val="es-ES_tradnl"/>
        </w:rPr>
        <w:t>27</w:t>
      </w:r>
      <w:r w:rsidR="00507FAE">
        <w:rPr>
          <w:lang w:val="es-ES_tradnl"/>
        </w:rPr>
        <w:t> </w:t>
      </w:r>
      <w:r w:rsidRPr="00C33E29">
        <w:rPr>
          <w:lang w:val="es-ES_tradnl"/>
        </w:rPr>
        <w:t>indicadores de resultados, permitían medir con precisión los progresos. La supervisión periódica con los paneles de control exhaustivos presentados en el GADT-24 garantizó la armonización con los objetivos estratégicos y permitió realizar un seguimiento eficaz de los avances hacia las metas establecidas.</w:t>
      </w:r>
    </w:p>
    <w:p w14:paraId="4ADB3BEC" w14:textId="0C24FAEA" w:rsidR="009B437E" w:rsidRPr="00C33E29" w:rsidRDefault="00507FAE" w:rsidP="00DE0E97">
      <w:pPr>
        <w:pStyle w:val="Headingb"/>
        <w:ind w:left="794" w:hanging="794"/>
        <w:rPr>
          <w:rFonts w:ascii="Calibri" w:hAnsi="Calibri" w:cs="Calibri"/>
          <w:b w:val="0"/>
          <w:color w:val="000000" w:themeColor="text1"/>
          <w:lang w:val="es-ES_tradnl"/>
        </w:rPr>
      </w:pPr>
      <w:r>
        <w:rPr>
          <w:bCs/>
          <w:lang w:val="es-ES_tradnl"/>
        </w:rPr>
        <w:t>4</w:t>
      </w:r>
      <w:r w:rsidR="00DE0E97" w:rsidRPr="00C33E29">
        <w:rPr>
          <w:bCs/>
          <w:lang w:val="es-ES_tradnl"/>
        </w:rPr>
        <w:tab/>
      </w:r>
      <w:r w:rsidR="009B437E" w:rsidRPr="00C33E29">
        <w:rPr>
          <w:bCs/>
          <w:lang w:val="es-ES_tradnl"/>
        </w:rPr>
        <w:t xml:space="preserve">Evaluación periódica de los métodos de trabajo y de la aplicación del Plan de Acción de la CMDT (Resolución 24, </w:t>
      </w:r>
      <w:r w:rsidR="009B437E" w:rsidRPr="00C33E29">
        <w:rPr>
          <w:bCs/>
          <w:i/>
          <w:iCs/>
          <w:lang w:val="es-ES_tradnl"/>
        </w:rPr>
        <w:t xml:space="preserve">resuelve </w:t>
      </w:r>
      <w:r w:rsidR="009B437E" w:rsidRPr="00C33E29">
        <w:rPr>
          <w:bCs/>
          <w:lang w:val="es-ES_tradnl"/>
        </w:rPr>
        <w:t>1.iv)</w:t>
      </w:r>
    </w:p>
    <w:p w14:paraId="57969DE1" w14:textId="77777777" w:rsidR="009B437E" w:rsidRPr="00C33E29" w:rsidRDefault="009B437E" w:rsidP="00DE0E97">
      <w:pPr>
        <w:rPr>
          <w:rFonts w:ascii="Calibri" w:hAnsi="Calibri" w:cs="Calibri"/>
          <w:color w:val="000000" w:themeColor="text1"/>
          <w:lang w:val="es-ES_tradnl"/>
        </w:rPr>
      </w:pPr>
      <w:r w:rsidRPr="00C33E29">
        <w:rPr>
          <w:lang w:val="es-ES_tradnl"/>
        </w:rPr>
        <w:t>El GADT evaluó periódicamente sus métodos de trabajo, centrándose en mejorar la aplicación del Plan de Acción de la CMDT. La creación del GT-GADT-RR durante el GADT-23 ejemplificó el compromiso del GADT con la eficiencia operativa. En las sesiones interactivas del GADT-24 se siguió evaluando la eficacia y el impacto de las actividades del UIT-D, lo que dio lugar a recomendaciones prácticas de mejora.</w:t>
      </w:r>
    </w:p>
    <w:p w14:paraId="4833B613" w14:textId="454A96DC" w:rsidR="009B437E" w:rsidRPr="00C33E29" w:rsidRDefault="009B437E" w:rsidP="00DE0E97">
      <w:pPr>
        <w:rPr>
          <w:rFonts w:ascii="Calibri" w:hAnsi="Calibri" w:cs="Calibri"/>
          <w:color w:val="000000" w:themeColor="text1"/>
          <w:lang w:val="es-ES_tradnl"/>
        </w:rPr>
      </w:pPr>
      <w:r w:rsidRPr="00C33E29">
        <w:rPr>
          <w:lang w:val="es-ES_tradnl"/>
        </w:rPr>
        <w:t>Otra novedad importante fue la creación del GT-GADT-futurasCCE, encargado de examinar los mandatos y las Cuestiones de las Comisiones de Estudio. En el GADT-24, surgieron propuestas concretas en las que se recomendaba reducir el número de Cuestiones de estudio de 14 a 10, fusionando en la práctica los temas que se solapaban. Además, el GADT-24 aprobó unas directrices sólidas para la participación híbrida en la CMDT-25 que incorporan marcos jurídicos y operativos adaptados a la inclusividad, en particular en beneficio de los países en desarrollo. Distintas iniciativas, como la propuesta sobre la racionalización de las encuestas presentada en el</w:t>
      </w:r>
      <w:r w:rsidR="00507FAE">
        <w:rPr>
          <w:lang w:val="es-ES_tradnl"/>
        </w:rPr>
        <w:t> </w:t>
      </w:r>
      <w:r w:rsidRPr="00C33E29">
        <w:rPr>
          <w:lang w:val="es-ES_tradnl"/>
        </w:rPr>
        <w:t>GADT-24, aligeraron aún más las cargas administrativas al sincronizar los ciclos de recopilación de datos</w:t>
      </w:r>
      <w:r w:rsidR="00DE0E97" w:rsidRPr="00C33E29">
        <w:rPr>
          <w:lang w:val="es-ES_tradnl"/>
        </w:rPr>
        <w:t>.</w:t>
      </w:r>
    </w:p>
    <w:p w14:paraId="02DCE1FB" w14:textId="34DE256C" w:rsidR="009B437E" w:rsidRPr="00C33E29" w:rsidRDefault="009B437E" w:rsidP="00DE0E97">
      <w:pPr>
        <w:rPr>
          <w:lang w:val="es-ES_tradnl"/>
        </w:rPr>
      </w:pPr>
      <w:r w:rsidRPr="00C33E29">
        <w:rPr>
          <w:lang w:val="es-ES_tradnl"/>
        </w:rPr>
        <w:t>A lo largo del periodo transcurrido desde la CMDT-22, el Director de la BDT ha informado sistemáticamente al GADT en cada reunión sobre los progresos de la BDT en la ejecución del Plan Operacional cuadrienal del UIT-D, y también sobre los esfuerzos de la BDT por fortalecer las asociaciones y movilizar recursos para la ejecución de proyectos e iniciativas de mayor escala y mayor repercusión.</w:t>
      </w:r>
    </w:p>
    <w:p w14:paraId="6ED5FCF3" w14:textId="6E33B914" w:rsidR="009B437E" w:rsidRPr="00C33E29" w:rsidRDefault="009B437E" w:rsidP="00DE0E97">
      <w:pPr>
        <w:rPr>
          <w:lang w:val="es-ES_tradnl"/>
        </w:rPr>
      </w:pPr>
      <w:r w:rsidRPr="00C33E29">
        <w:rPr>
          <w:lang w:val="es-ES_tradnl"/>
        </w:rPr>
        <w:t>El Director de la BDT también ha informado periódicamente al GADT sobre las nuevas iniciativas creadas y puestas en marcha por la BDT, incluidas las relacionadas con la inclusión de los jóvenes, las mujeres y otros sectores específicos de la sociedad. Estos informes periódicos también han incluido información extraída de una serie de tableros interactivos, obra del equipo directivo de la</w:t>
      </w:r>
      <w:r w:rsidR="00507FAE">
        <w:rPr>
          <w:lang w:val="es-ES_tradnl"/>
        </w:rPr>
        <w:t> </w:t>
      </w:r>
      <w:r w:rsidRPr="00C33E29">
        <w:rPr>
          <w:lang w:val="es-ES_tradnl"/>
        </w:rPr>
        <w:t>BDT, que permiten realizar un seguimiento en tiempo real del estado de los proyectos y actividades y del uso de los recursos asignados a la BDT. El GADT ha acogido con satisfacción estos informes, que ha analizado a lo largo de todo el periodo, y ha sido capaz de supervisar el desempeño y proporcionar un punto de vista y un asesoramiento inestimables al Director de la</w:t>
      </w:r>
      <w:r w:rsidR="00507FAE">
        <w:rPr>
          <w:lang w:val="es-ES_tradnl"/>
        </w:rPr>
        <w:t> </w:t>
      </w:r>
      <w:r w:rsidRPr="00C33E29">
        <w:rPr>
          <w:lang w:val="es-ES_tradnl"/>
        </w:rPr>
        <w:t>BDT sobre diversas formas de mejorar y potenciar la ejecución de las actividades, incluidos los proyectos, programas e iniciativas regionales.</w:t>
      </w:r>
    </w:p>
    <w:p w14:paraId="2255DAE9" w14:textId="6EDB3CD4" w:rsidR="009B437E" w:rsidRPr="00C33E29" w:rsidRDefault="00507FAE" w:rsidP="00DE0E97">
      <w:pPr>
        <w:pStyle w:val="Headingb"/>
        <w:ind w:left="794" w:hanging="794"/>
        <w:rPr>
          <w:rFonts w:ascii="Calibri" w:hAnsi="Calibri" w:cs="Calibri"/>
          <w:b w:val="0"/>
          <w:color w:val="000000" w:themeColor="text1"/>
          <w:lang w:val="es-ES_tradnl"/>
        </w:rPr>
      </w:pPr>
      <w:r>
        <w:rPr>
          <w:bCs/>
          <w:lang w:val="es-ES_tradnl"/>
        </w:rPr>
        <w:t>5</w:t>
      </w:r>
      <w:r w:rsidR="00DE0E97" w:rsidRPr="00C33E29">
        <w:rPr>
          <w:bCs/>
          <w:lang w:val="es-ES_tradnl"/>
        </w:rPr>
        <w:tab/>
      </w:r>
      <w:r w:rsidR="009B437E" w:rsidRPr="00C33E29">
        <w:rPr>
          <w:bCs/>
          <w:lang w:val="es-ES_tradnl"/>
        </w:rPr>
        <w:t>Evaluación de los métodos y las sinergias de las Comisiones de Estudio (Resoluciones 1 y</w:t>
      </w:r>
      <w:r w:rsidR="00DE0E97" w:rsidRPr="00C33E29">
        <w:rPr>
          <w:bCs/>
          <w:lang w:val="es-ES_tradnl"/>
        </w:rPr>
        <w:t> </w:t>
      </w:r>
      <w:r w:rsidR="009B437E" w:rsidRPr="00C33E29">
        <w:rPr>
          <w:bCs/>
          <w:lang w:val="es-ES_tradnl"/>
        </w:rPr>
        <w:t xml:space="preserve">2 y Resolución 24, </w:t>
      </w:r>
      <w:r w:rsidR="009B437E" w:rsidRPr="00C33E29">
        <w:rPr>
          <w:bCs/>
          <w:i/>
          <w:iCs/>
          <w:lang w:val="es-ES_tradnl"/>
        </w:rPr>
        <w:t xml:space="preserve">resuelve </w:t>
      </w:r>
      <w:r w:rsidR="009B437E" w:rsidRPr="00C33E29">
        <w:rPr>
          <w:bCs/>
          <w:lang w:val="es-ES_tradnl"/>
        </w:rPr>
        <w:t>1.v y 1.vi)</w:t>
      </w:r>
    </w:p>
    <w:p w14:paraId="52BBE4F3" w14:textId="28A49AB4" w:rsidR="009B437E" w:rsidRPr="00C33E29" w:rsidRDefault="009B437E" w:rsidP="00D636A9">
      <w:pPr>
        <w:keepLines/>
        <w:rPr>
          <w:rFonts w:ascii="Calibri" w:hAnsi="Calibri" w:cs="Calibri"/>
          <w:color w:val="000000" w:themeColor="text1"/>
          <w:szCs w:val="24"/>
          <w:lang w:val="es-ES_tradnl"/>
        </w:rPr>
      </w:pPr>
      <w:r w:rsidRPr="00C33E29">
        <w:rPr>
          <w:lang w:val="es-ES_tradnl"/>
        </w:rPr>
        <w:t>El GADT evaluó y optimizó de forma continua las estructuras de las Comisiones de Estudio para mejorar su eficacia. El GADT-24 analizó activamente las importantes propuestas de reestructuración presentadas por los Estados Miembros. El GADT garantizó la supervisión periódica de los parámetros de rendimiento y observó una mejora en el equilibrio de género, especialmente por la encomiable tasa de participación femenina en las reuniones de la Comisión de Estudio 1, que llegó al 45%. Las mejoras de las sinergias encomendadas por el GADT</w:t>
      </w:r>
      <w:r w:rsidR="00C40C3A">
        <w:rPr>
          <w:lang w:val="es-ES_tradnl"/>
        </w:rPr>
        <w:noBreakHyphen/>
      </w:r>
      <w:r w:rsidRPr="00C33E29">
        <w:rPr>
          <w:lang w:val="es-ES_tradnl"/>
        </w:rPr>
        <w:t>24 fomentaron una colaboración más estrecha entre los Sectores de la UIT gracias a los Relatores de coordinación y a los talleres temáticos conjuntos sobre, por ejemplo, conectividad por satélite y gestión del espectro.</w:t>
      </w:r>
    </w:p>
    <w:p w14:paraId="0D4B22FC" w14:textId="77777777" w:rsidR="009B437E" w:rsidRPr="00C33E29" w:rsidRDefault="009B437E" w:rsidP="00DE0E97">
      <w:pPr>
        <w:rPr>
          <w:rFonts w:ascii="Calibri" w:hAnsi="Calibri" w:cs="Calibri"/>
          <w:color w:val="000000" w:themeColor="text1"/>
          <w:szCs w:val="24"/>
          <w:lang w:val="es-ES_tradnl"/>
        </w:rPr>
      </w:pPr>
      <w:r w:rsidRPr="00C33E29">
        <w:rPr>
          <w:lang w:val="es-ES_tradnl"/>
        </w:rPr>
        <w:t>En un esfuerzo concertado por optimizar la estructura de las Comisiones de Estudio, el GADT creó el GT-GADT-futurasCCE durante el GADT-23. El Grupo llevó a cabo análisis y consultas amplios y sugirió consolidar las 14 Cuestiones de las Comisiones de Estudio en 10 Cuestiones, propuesta que se debatió durante la reunión extraordinaria del GADT de enero de 2025. Estas acciones mejoraron significativamente la armonización estratégica y la eficiencia de las Comisiones de Estudio del UIT-D.</w:t>
      </w:r>
    </w:p>
    <w:p w14:paraId="1689D5D2" w14:textId="77777777" w:rsidR="009B437E" w:rsidRPr="00C33E29" w:rsidRDefault="009B437E" w:rsidP="00DE0E97">
      <w:pPr>
        <w:rPr>
          <w:lang w:val="es-ES_tradnl"/>
        </w:rPr>
      </w:pPr>
      <w:r w:rsidRPr="00C33E29">
        <w:rPr>
          <w:lang w:val="es-ES_tradnl"/>
        </w:rPr>
        <w:t>El GT-GADT-futurasCCE ha colaborado estrechamente con las Comisiones de Estudio del UIT-D a través de los Vicepresidentes del Grupos de Trabajo (a saber, los Presidentes de las Comisiones de Estudio 1 y 2) y los Coordinadores de las CE 1 y CE 2 nombrados con arreglo al mandato del Grupo de Trabajo</w:t>
      </w:r>
      <w:r w:rsidRPr="00C33E29">
        <w:rPr>
          <w:vertAlign w:val="superscript"/>
          <w:lang w:val="es-ES_tradnl"/>
        </w:rPr>
        <w:footnoteReference w:id="1"/>
      </w:r>
      <w:r w:rsidRPr="00C33E29">
        <w:rPr>
          <w:lang w:val="es-ES_tradnl"/>
        </w:rPr>
        <w:t>. El principal resultado de esta colaboración son los proyectos de propuestas</w:t>
      </w:r>
      <w:r w:rsidRPr="00C33E29">
        <w:rPr>
          <w:vertAlign w:val="superscript"/>
          <w:lang w:val="es-ES_tradnl"/>
        </w:rPr>
        <w:footnoteReference w:id="2"/>
      </w:r>
      <w:r w:rsidRPr="00C33E29">
        <w:rPr>
          <w:lang w:val="es-ES_tradnl"/>
        </w:rPr>
        <w:t xml:space="preserve"> de actualización de los anexos a la Resolución 2 y del mandato de las Cuestiones de estudio, tras amplias consultas.</w:t>
      </w:r>
    </w:p>
    <w:p w14:paraId="40DC9C93" w14:textId="77777777" w:rsidR="009B437E" w:rsidRPr="00C33E29" w:rsidRDefault="009B437E" w:rsidP="00DE0E97">
      <w:pPr>
        <w:rPr>
          <w:rFonts w:ascii="Calibri" w:hAnsi="Calibri" w:cs="Calibri"/>
          <w:color w:val="000000" w:themeColor="text1"/>
          <w:szCs w:val="24"/>
          <w:lang w:val="es-ES_tradnl"/>
        </w:rPr>
      </w:pPr>
      <w:r w:rsidRPr="00C33E29">
        <w:rPr>
          <w:lang w:val="es-ES_tradnl"/>
        </w:rPr>
        <w:t>En el GADT-23, se celebró un segmento de entrevistas dirigido por la Vicepresidenta del GADT, Sra. Inga Rimkevičienė (Lituania), donde se habló sobre la labor actual y futura de las Comisiones de Estudio del UIT-D. Esta sesión interactiva siguió la línea de la innovación a nivel de las Comisiones de Estudio en términos de talleres transversales y conjuntos organizados en colaboración con las reuniones de los Grupos de Relator que tuvieron lugar entre 2023 y 2025 (véanse TDAG-25/5 y TDAG-25/6).</w:t>
      </w:r>
    </w:p>
    <w:p w14:paraId="6A6F9196" w14:textId="4DCFB98A" w:rsidR="009B437E" w:rsidRPr="00C33E29" w:rsidRDefault="009B437E" w:rsidP="00DE0E97">
      <w:pPr>
        <w:rPr>
          <w:lang w:val="es-ES_tradnl"/>
        </w:rPr>
      </w:pPr>
      <w:r w:rsidRPr="00C33E29">
        <w:rPr>
          <w:lang w:val="es-ES_tradnl"/>
        </w:rPr>
        <w:t>A fin de aplicar nuevas secciones de la Resolución 1, los Presidentes de la CE 1 y la CE 2 compartieron información actualizada sobre la asistencia de los equipos de dirección de las Comisiones de Estudio y sobre la labor de los Coordinadores (atribuciones adicionales de los Vicepresidentes) en sus respectivos informes al GADT. Esta información permitió conocer los posibles problemas de asistencia, a los que se respondió con la intervención del Director de la BDT, que preparó cartas para los responsables de designar a los equipos de dirección de las CE.</w:t>
      </w:r>
    </w:p>
    <w:p w14:paraId="55310DB2" w14:textId="350DCE48" w:rsidR="009B437E" w:rsidRPr="00C33E29" w:rsidRDefault="009B437E" w:rsidP="00DE0E97">
      <w:pPr>
        <w:rPr>
          <w:lang w:val="es-ES_tradnl"/>
        </w:rPr>
      </w:pPr>
      <w:r w:rsidRPr="00C33E29">
        <w:rPr>
          <w:lang w:val="es-ES_tradnl"/>
        </w:rPr>
        <w:t>Se buscan en todo momento sinergias dentro de las Comisiones de Estudio del UIT-D y con otros equipos de la UIT. Los talleres conjuntos y los productos intermedios conjuntos permiten aunar conocimientos, optimizar costes y reforzar la colaboración. Se organizaron tres talleres conjuntos y ocho talleres transversales durante las reuniones de Cuestiones de los Grupos de Relator de 2023 y 2024. Del 18 al 20 de junio de 2024, se celebró un taller conjunto de las Cuestiones 6/1 y 3/2</w:t>
      </w:r>
      <w:r w:rsidRPr="00C33E29">
        <w:rPr>
          <w:vertAlign w:val="superscript"/>
          <w:lang w:val="es-ES_tradnl"/>
        </w:rPr>
        <w:footnoteReference w:id="3"/>
      </w:r>
      <w:r w:rsidRPr="00C33E29">
        <w:rPr>
          <w:lang w:val="es-ES_tradnl"/>
        </w:rPr>
        <w:t xml:space="preserve"> sobre sensibilización del consumidor en Brasilia, organizado por ANATEL en colaboración con la Oficina Regional de la UIT para las Américas.</w:t>
      </w:r>
    </w:p>
    <w:p w14:paraId="55E73636" w14:textId="5F3ED47C" w:rsidR="009B437E" w:rsidRPr="00C33E29" w:rsidRDefault="009B437E" w:rsidP="00DE0E97">
      <w:pPr>
        <w:rPr>
          <w:lang w:val="es-ES_tradnl"/>
        </w:rPr>
      </w:pPr>
      <w:r w:rsidRPr="00C33E29">
        <w:rPr>
          <w:lang w:val="es-ES_tradnl"/>
        </w:rPr>
        <w:t>Las reuniones conjuntas de los equipos de dirección de las Comisiones de Estudio del UIT-D, presididas por el Director de la Oficina de Desarrollo de las Telecomunicaciones, garantizan la coordinación y la colaboración entre las Comisiones de Estudio del UIT-D. Se están preparando dos documentos de orientación sobre los siguientes puntos, que deben ser objeto de una reflexión conjunta para que el trabajo de las Comisiones de Estudio sea más eficiente y eficaz:</w:t>
      </w:r>
    </w:p>
    <w:p w14:paraId="22179993" w14:textId="38A94988" w:rsidR="009B437E" w:rsidRPr="00C33E29" w:rsidRDefault="00DE0E97" w:rsidP="00DE0E97">
      <w:pPr>
        <w:pStyle w:val="enumlev1"/>
        <w:rPr>
          <w:rFonts w:eastAsiaTheme="minorEastAsia"/>
          <w:lang w:val="es-ES_tradnl"/>
        </w:rPr>
      </w:pPr>
      <w:r w:rsidRPr="00C33E29">
        <w:rPr>
          <w:lang w:val="es-ES_tradnl"/>
        </w:rPr>
        <w:t>–</w:t>
      </w:r>
      <w:r w:rsidRPr="00C33E29">
        <w:rPr>
          <w:lang w:val="es-ES_tradnl"/>
        </w:rPr>
        <w:tab/>
      </w:r>
      <w:r w:rsidR="009B437E" w:rsidRPr="00C33E29">
        <w:rPr>
          <w:lang w:val="es-ES_tradnl"/>
        </w:rPr>
        <w:t>tratamiento de los retos que afectan a la utilización eficaz de los productos de las Comisiones de Estudio del UIT-D;</w:t>
      </w:r>
    </w:p>
    <w:p w14:paraId="7E6B5BB7" w14:textId="0B153E67" w:rsidR="009B437E" w:rsidRPr="00C33E29" w:rsidRDefault="00DE0E97" w:rsidP="00DE0E97">
      <w:pPr>
        <w:pStyle w:val="enumlev1"/>
        <w:rPr>
          <w:rFonts w:eastAsiaTheme="minorEastAsia" w:cstheme="minorBidi"/>
          <w:szCs w:val="24"/>
          <w:lang w:val="es-ES_tradnl"/>
        </w:rPr>
      </w:pPr>
      <w:r w:rsidRPr="00C33E29">
        <w:rPr>
          <w:lang w:val="es-ES_tradnl"/>
        </w:rPr>
        <w:t>–</w:t>
      </w:r>
      <w:r w:rsidRPr="00C33E29">
        <w:rPr>
          <w:lang w:val="es-ES_tradnl"/>
        </w:rPr>
        <w:tab/>
      </w:r>
      <w:r w:rsidR="009B437E" w:rsidRPr="00C33E29">
        <w:rPr>
          <w:lang w:val="es-ES_tradnl"/>
        </w:rPr>
        <w:t>directrices para los Miembros del UIT-D sobre la presentación de candidaturas a los puestos de Relator y Vicerrelator y para la evaluación de los candidatos.</w:t>
      </w:r>
    </w:p>
    <w:p w14:paraId="77AA67F9" w14:textId="77777777" w:rsidR="009B437E" w:rsidRPr="00C33E29" w:rsidRDefault="009B437E" w:rsidP="00DE0E97">
      <w:pPr>
        <w:rPr>
          <w:lang w:val="es-ES_tradnl"/>
        </w:rPr>
      </w:pPr>
      <w:r w:rsidRPr="00C33E29">
        <w:rPr>
          <w:lang w:val="es-ES_tradnl"/>
        </w:rPr>
        <w:t>El ejercicio de reflexión se inició como sesiones de creación conjunta</w:t>
      </w:r>
      <w:r w:rsidRPr="00C33E29">
        <w:rPr>
          <w:vertAlign w:val="superscript"/>
          <w:lang w:val="es-ES_tradnl"/>
        </w:rPr>
        <w:footnoteReference w:id="4"/>
      </w:r>
      <w:r w:rsidRPr="00C33E29">
        <w:rPr>
          <w:lang w:val="es-ES_tradnl"/>
        </w:rPr>
        <w:t xml:space="preserve"> sobre "innovación en el trabajo de las Comisiones de Estudio", coincidiendo con la primera reunión del Grupo de Relator.</w:t>
      </w:r>
    </w:p>
    <w:p w14:paraId="5F63BC42" w14:textId="117C701C" w:rsidR="009B437E" w:rsidRPr="009247F3" w:rsidRDefault="009B437E" w:rsidP="00DE0E97">
      <w:pPr>
        <w:rPr>
          <w:lang w:val="es-ES_tradnl"/>
        </w:rPr>
      </w:pPr>
      <w:r w:rsidRPr="00C33E29">
        <w:rPr>
          <w:lang w:val="es-ES_tradnl"/>
        </w:rPr>
        <w:t>Las CE del UIT-D siguieron cooperando en la aplicación de la Resolución 9 (Rev. Kigali, 2022) de la</w:t>
      </w:r>
      <w:r w:rsidR="009247F3">
        <w:rPr>
          <w:lang w:val="es-ES_tradnl"/>
        </w:rPr>
        <w:t> </w:t>
      </w:r>
      <w:r w:rsidRPr="00C33E29">
        <w:rPr>
          <w:lang w:val="es-ES_tradnl"/>
        </w:rPr>
        <w:t>CMDT a través de los Coordinadores designados, a saber, el Sr. Roberto Hirayama (Brasil) para la CE 1, y el Sr. Hideo Imanaka (Japón) y el Sr. Haim Mazar (Israel) para la CE 2. Los Coordinadores trabajaron en estrecha colaboración con el equipo sobre el futuro de las redes y el espectro y los Relatores de las Cuestiones de estudio</w:t>
      </w:r>
      <w:r w:rsidRPr="00C33E29">
        <w:rPr>
          <w:rStyle w:val="FootnoteReference"/>
          <w:lang w:val="es-ES_tradnl"/>
        </w:rPr>
        <w:footnoteReference w:id="5"/>
      </w:r>
      <w:r w:rsidRPr="00C33E29">
        <w:rPr>
          <w:lang w:val="es-ES_tradnl"/>
        </w:rPr>
        <w:t xml:space="preserve"> directamente relacionadas con la Resolución 9. La información relacionada con la gestión del espectro que se recibiera a través de contribuciones se asoció a la lista de temas del Anexo 1 a la Resolución 9 de la CMDT y se someterá</w:t>
      </w:r>
      <w:r w:rsidRPr="00C33E29">
        <w:rPr>
          <w:rStyle w:val="FootnoteReference"/>
          <w:lang w:val="es-ES_tradnl"/>
        </w:rPr>
        <w:footnoteReference w:id="6"/>
      </w:r>
      <w:r w:rsidRPr="00C33E29">
        <w:rPr>
          <w:lang w:val="es-ES_tradnl"/>
        </w:rPr>
        <w:t xml:space="preserve"> a la consideración del GADT y de los Directores de la BDT y la BR, según proceda.</w:t>
      </w:r>
    </w:p>
    <w:p w14:paraId="103A131C" w14:textId="6DE591E6" w:rsidR="009B437E" w:rsidRPr="00C33E29" w:rsidRDefault="009B437E" w:rsidP="00DE0E97">
      <w:pPr>
        <w:rPr>
          <w:rFonts w:ascii="Calibri" w:eastAsia="Calibri" w:hAnsi="Calibri" w:cs="Calibri"/>
          <w:lang w:val="es-ES_tradnl"/>
        </w:rPr>
      </w:pPr>
      <w:r w:rsidRPr="00C33E29">
        <w:rPr>
          <w:lang w:val="es-ES_tradnl"/>
        </w:rPr>
        <w:t>Las plenarias de las CE recibieron información actualizada sobre iniciativas clave, como la UMC (Promoción y medición de la conectividad digital universal significativa)</w:t>
      </w:r>
      <w:r w:rsidRPr="00C33E29">
        <w:rPr>
          <w:rStyle w:val="FootnoteReference"/>
          <w:lang w:val="es-ES_tradnl"/>
        </w:rPr>
        <w:footnoteReference w:id="7"/>
      </w:r>
      <w:r w:rsidRPr="00C33E29">
        <w:rPr>
          <w:lang w:val="es-ES_tradnl"/>
        </w:rPr>
        <w:t>, PRIDA (Iniciativa de Política y Reglamentación para el África Digital)</w:t>
      </w:r>
      <w:r w:rsidRPr="00C33E29">
        <w:rPr>
          <w:rStyle w:val="FootnoteReference"/>
          <w:lang w:val="es-ES_tradnl"/>
        </w:rPr>
        <w:footnoteReference w:id="8"/>
      </w:r>
      <w:r w:rsidRPr="00C33E29">
        <w:rPr>
          <w:lang w:val="es-ES_tradnl"/>
        </w:rPr>
        <w:t xml:space="preserve"> y Generation Connect</w:t>
      </w:r>
      <w:r w:rsidRPr="00C33E29">
        <w:rPr>
          <w:rStyle w:val="FootnoteReference"/>
          <w:lang w:val="es-ES_tradnl"/>
        </w:rPr>
        <w:footnoteReference w:id="9"/>
      </w:r>
      <w:r w:rsidRPr="00C33E29">
        <w:rPr>
          <w:lang w:val="es-ES_tradnl"/>
        </w:rPr>
        <w:t>, con un llamamiento a la participación significativa en estas actividades. Los miembros de los equipos de dirección de las CE siguen interviniendo como ponentes en eventos de la UIT, incluidos los Diálogos Económicos Regionales, los Foros de Desarrollo Regional, las RPR, la Cumbre Mundial de la Sociedad de la Información (CMSI) y en la serie Una UIT sobre el futuro de la televisión por cable.</w:t>
      </w:r>
    </w:p>
    <w:p w14:paraId="1EFBD890" w14:textId="77777777" w:rsidR="009B437E" w:rsidRPr="00C33E29" w:rsidRDefault="009B437E" w:rsidP="00DE0E97">
      <w:pPr>
        <w:rPr>
          <w:rFonts w:ascii="Calibri" w:hAnsi="Calibri" w:cs="Calibri"/>
          <w:color w:val="000000"/>
          <w:lang w:val="es-ES_tradnl"/>
        </w:rPr>
      </w:pPr>
      <w:r w:rsidRPr="00C33E29">
        <w:rPr>
          <w:lang w:val="es-ES_tradnl"/>
        </w:rPr>
        <w:t>De conformidad con las Resoluciones 1 y 2 y basándose en las contribuciones recibidas y los talleres celebrados, se elaboraron 14 informes finales de resultados para 2022-2025, una edición revisada de un informe de resultados final para 2018-2021 y seis productos intermedios (anuales). Los productos provisionales están disponibles como publicaciones gratuitas en todos los idiomas oficiales de las Naciones Unidas, mientras que los informes finales de resultados están siendo preparados en formato de publicación. Se valoró positivamente el número y la calidad de las contribuciones recibidas. Se tomó nota positivamente del compromiso de las asociaciones y los Miembros de Sector del UIT-D.</w:t>
      </w:r>
    </w:p>
    <w:p w14:paraId="3EAFD96A" w14:textId="79ABEBAC" w:rsidR="009B437E" w:rsidRPr="00C33E29" w:rsidRDefault="009247F3" w:rsidP="00DE0E97">
      <w:pPr>
        <w:pStyle w:val="Headingb"/>
        <w:ind w:left="794" w:hanging="794"/>
        <w:rPr>
          <w:rFonts w:ascii="Calibri" w:hAnsi="Calibri" w:cs="Calibri"/>
          <w:b w:val="0"/>
          <w:color w:val="000000" w:themeColor="text1"/>
          <w:lang w:val="es-ES_tradnl"/>
        </w:rPr>
      </w:pPr>
      <w:r>
        <w:rPr>
          <w:bCs/>
          <w:lang w:val="es-ES_tradnl"/>
        </w:rPr>
        <w:t>6</w:t>
      </w:r>
      <w:r w:rsidR="00DE0E97" w:rsidRPr="00C33E29">
        <w:rPr>
          <w:bCs/>
          <w:lang w:val="es-ES_tradnl"/>
        </w:rPr>
        <w:tab/>
      </w:r>
      <w:r w:rsidR="009B437E" w:rsidRPr="00C33E29">
        <w:rPr>
          <w:bCs/>
          <w:lang w:val="es-ES_tradnl"/>
        </w:rPr>
        <w:t xml:space="preserve">Reestructuración de los Grupos de Trabajo del GADT y nombramientos (Resolución 24, </w:t>
      </w:r>
      <w:r w:rsidR="009B437E" w:rsidRPr="00C33E29">
        <w:rPr>
          <w:bCs/>
          <w:i/>
          <w:iCs/>
          <w:lang w:val="es-ES_tradnl"/>
        </w:rPr>
        <w:t xml:space="preserve">resuelve </w:t>
      </w:r>
      <w:r w:rsidR="009B437E" w:rsidRPr="00C33E29">
        <w:rPr>
          <w:bCs/>
          <w:lang w:val="es-ES_tradnl"/>
        </w:rPr>
        <w:t>1.vii y 1.xi)</w:t>
      </w:r>
    </w:p>
    <w:p w14:paraId="7B348DD2" w14:textId="4ADAE4E9" w:rsidR="009B437E" w:rsidRPr="00C33E29" w:rsidRDefault="009B437E" w:rsidP="00DE0E97">
      <w:pPr>
        <w:rPr>
          <w:rFonts w:ascii="Calibri" w:hAnsi="Calibri" w:cs="Calibri"/>
          <w:color w:val="000000"/>
          <w:lang w:val="es-ES_tradnl"/>
        </w:rPr>
      </w:pPr>
      <w:r w:rsidRPr="00C33E29">
        <w:rPr>
          <w:lang w:val="es-ES_tradnl"/>
        </w:rPr>
        <w:t>Reconociendo la evolución de las necesidades, el GADT inició proactivamente la realización de ajustes estructurales y nombró a los líderes de los nuevos grupos de trabajo. Durante el GADT-23 y el GADT-24 se formaron grupos de trabajo dedicados a los asuntos siguientes: el futuro de las Cuestiones de las Comisiones de Estudio (GT-GADT-futurasCCE, presidido por el Dr. Ahmad Reza Sharafat, Irán); las prioridades del UIT-D (GT-GADT-PUITD, presidido por la Sra. Inga Rimkevičienė, Lituania), la redacción de la Declaración de la CMDT (GT-GADT-DEC, presidido por el Sr. Abdulkarim Oloyede, Nigeria) y la racionalización de las Resoluciones (GT-GADT-RR, presidido por la Sra. Andrea Grippa, Brasil). El GADT-24 también creó el Grupo de Coordinación Informal del GADT sobre la Cumbre Mundial de la Juventud (GCI-GADT-GYS, coordinado por representantes de Argentina, China, Nigeria y Arabia Saudita). Estos grupos desempeñaron un papel fundamental en la preparación de la próxima CMDT-25.</w:t>
      </w:r>
    </w:p>
    <w:p w14:paraId="2A31BB15" w14:textId="467471AC" w:rsidR="009B437E" w:rsidRPr="00C33E29" w:rsidRDefault="009B437E" w:rsidP="00DE0E97">
      <w:pPr>
        <w:rPr>
          <w:rFonts w:ascii="Calibri" w:hAnsi="Calibri" w:cs="Calibri"/>
          <w:color w:val="000000"/>
          <w:lang w:val="es-ES_tradnl"/>
        </w:rPr>
      </w:pPr>
      <w:r w:rsidRPr="00C33E29">
        <w:rPr>
          <w:lang w:val="es-ES_tradnl"/>
        </w:rPr>
        <w:t>El GADT-31 nombró a la Sra. Blanca González (España) y a la Sra. Shahad Albalawi (Arabia Saudita) representantes del UIT-D en el Grupo de Coordinación Intersectorial (GCIS), reforzando así la cooperación transectorial.</w:t>
      </w:r>
    </w:p>
    <w:p w14:paraId="50E2EFF7" w14:textId="044F34ED" w:rsidR="009B437E" w:rsidRPr="00C33E29" w:rsidRDefault="009247F3" w:rsidP="00DE0E97">
      <w:pPr>
        <w:pStyle w:val="Headingb"/>
        <w:ind w:left="794" w:hanging="794"/>
        <w:rPr>
          <w:rFonts w:ascii="Calibri" w:hAnsi="Calibri" w:cs="Calibri"/>
          <w:b w:val="0"/>
          <w:color w:val="000000" w:themeColor="text1"/>
          <w:lang w:val="es-ES_tradnl"/>
        </w:rPr>
      </w:pPr>
      <w:r>
        <w:rPr>
          <w:lang w:val="es-ES_tradnl"/>
        </w:rPr>
        <w:t>7</w:t>
      </w:r>
      <w:r w:rsidR="00DE0E97" w:rsidRPr="00C33E29">
        <w:rPr>
          <w:lang w:val="es-ES_tradnl"/>
        </w:rPr>
        <w:tab/>
      </w:r>
      <w:r w:rsidR="009B437E" w:rsidRPr="00C33E29">
        <w:rPr>
          <w:lang w:val="es-ES_tradnl"/>
        </w:rPr>
        <w:t>Asesoramiento</w:t>
      </w:r>
      <w:r w:rsidR="009B437E" w:rsidRPr="00C33E29">
        <w:rPr>
          <w:bCs/>
          <w:lang w:val="es-ES_tradnl"/>
        </w:rPr>
        <w:t xml:space="preserve"> sobre los calendarios de las Comisiones de Estudio (Resolución 24, </w:t>
      </w:r>
      <w:r w:rsidR="009B437E" w:rsidRPr="00C33E29">
        <w:rPr>
          <w:bCs/>
          <w:i/>
          <w:iCs/>
          <w:lang w:val="es-ES_tradnl"/>
        </w:rPr>
        <w:t xml:space="preserve">resuelve </w:t>
      </w:r>
      <w:r w:rsidR="009B437E" w:rsidRPr="00C33E29">
        <w:rPr>
          <w:bCs/>
          <w:lang w:val="es-ES_tradnl"/>
        </w:rPr>
        <w:t>1.viii)</w:t>
      </w:r>
    </w:p>
    <w:p w14:paraId="2D1CC0AE" w14:textId="77777777" w:rsidR="009B437E" w:rsidRPr="00C33E29" w:rsidRDefault="009B437E" w:rsidP="00DE0E97">
      <w:pPr>
        <w:rPr>
          <w:rFonts w:ascii="Calibri" w:hAnsi="Calibri" w:cs="Calibri"/>
          <w:color w:val="000000"/>
          <w:szCs w:val="24"/>
          <w:lang w:val="es-ES_tradnl"/>
        </w:rPr>
      </w:pPr>
      <w:r w:rsidRPr="00C33E29">
        <w:rPr>
          <w:lang w:val="es-ES_tradnl"/>
        </w:rPr>
        <w:t>El GADT examinó meticulosamente y aprobó los órdenes del día detallados y los planes de gestión del tiempo, a fin de garantizar que los calendarios de las Comisiones de Estudio se ajustaran en la práctica a las prioridades estratégicas del UIT-D. Se consignaron aprobaciones explícitas en el GADT-23, el GADT-24 y la reunión extraordinaria del GADT.</w:t>
      </w:r>
    </w:p>
    <w:p w14:paraId="4318A6E8" w14:textId="4A92D184" w:rsidR="009B437E" w:rsidRPr="00C33E29" w:rsidRDefault="009247F3" w:rsidP="00DE0E97">
      <w:pPr>
        <w:pStyle w:val="Headingb"/>
        <w:ind w:left="794" w:hanging="794"/>
        <w:rPr>
          <w:rFonts w:ascii="Calibri" w:hAnsi="Calibri" w:cs="Calibri"/>
          <w:b w:val="0"/>
          <w:color w:val="000000" w:themeColor="text1"/>
          <w:lang w:val="es-ES_tradnl"/>
        </w:rPr>
      </w:pPr>
      <w:r>
        <w:rPr>
          <w:bCs/>
          <w:lang w:val="es-ES_tradnl"/>
        </w:rPr>
        <w:t>8</w:t>
      </w:r>
      <w:r w:rsidR="00DE0E97" w:rsidRPr="00C33E29">
        <w:rPr>
          <w:bCs/>
          <w:lang w:val="es-ES_tradnl"/>
        </w:rPr>
        <w:tab/>
      </w:r>
      <w:r w:rsidR="009B437E" w:rsidRPr="00C33E29">
        <w:rPr>
          <w:bCs/>
          <w:lang w:val="es-ES_tradnl"/>
        </w:rPr>
        <w:t xml:space="preserve">Asesoramiento financiero y operacional para el Director de la BDT (Resolución 24, </w:t>
      </w:r>
      <w:r w:rsidR="009B437E" w:rsidRPr="00C33E29">
        <w:rPr>
          <w:bCs/>
          <w:i/>
          <w:iCs/>
          <w:lang w:val="es-ES_tradnl"/>
        </w:rPr>
        <w:t xml:space="preserve">resuelve </w:t>
      </w:r>
      <w:r w:rsidR="009B437E" w:rsidRPr="00C33E29">
        <w:rPr>
          <w:bCs/>
          <w:lang w:val="es-ES_tradnl"/>
        </w:rPr>
        <w:t>1.ix)</w:t>
      </w:r>
    </w:p>
    <w:p w14:paraId="23C7E800" w14:textId="77777777" w:rsidR="009B437E" w:rsidRPr="00C33E29" w:rsidRDefault="009B437E" w:rsidP="00DE0E97">
      <w:pPr>
        <w:rPr>
          <w:rFonts w:ascii="Calibri" w:hAnsi="Calibri" w:cs="Calibri"/>
          <w:color w:val="000000"/>
          <w:lang w:val="es-ES_tradnl"/>
        </w:rPr>
      </w:pPr>
      <w:r w:rsidRPr="00C33E29">
        <w:rPr>
          <w:lang w:val="es-ES_tradnl"/>
        </w:rPr>
        <w:t>El GADT proporcionó sistemáticamente orientaciones financieras y operacionales completas al Director de la BDT. En este contexto, se revisaron las asignaciones presupuestarias, se ofreció asesoramiento sobre estrategias de movilización de recursos y se aprobaron prácticas de gestión financiera transparentes. La movilización de importantes contribuciones financieras y asociaciones estratégicas, presentadas con detalle durante el GADT-23 y el GADT-24, ejemplificó el impacto positivo de estas orientaciones.</w:t>
      </w:r>
    </w:p>
    <w:p w14:paraId="471C1A0C" w14:textId="5952FC7D" w:rsidR="009B437E" w:rsidRPr="00C33E29" w:rsidRDefault="009B437E" w:rsidP="00DE0E97">
      <w:pPr>
        <w:rPr>
          <w:lang w:val="es-ES_tradnl"/>
        </w:rPr>
      </w:pPr>
      <w:r w:rsidRPr="00C33E29">
        <w:rPr>
          <w:lang w:val="es-ES_tradnl"/>
        </w:rPr>
        <w:t>Durante sus múltiples reuniones, el GADT destacó la importante contribución de los Miembros del</w:t>
      </w:r>
      <w:r w:rsidR="00146CE0">
        <w:rPr>
          <w:lang w:val="es-ES_tradnl"/>
        </w:rPr>
        <w:t> </w:t>
      </w:r>
      <w:r w:rsidRPr="00C33E29">
        <w:rPr>
          <w:lang w:val="es-ES_tradnl"/>
        </w:rPr>
        <w:t>UIT-D (Miembros de Sector, Asociados e Instituciones Académicas) a la labor del UIT-D. Reconoció el crecimiento sostenido y la diversificación de los Miembros del UIT-D a lo largo de los años como resultado de iniciativas concertadas de acercamiento a nuevos miembros y de iniciativas para retener a los miembros existentes. El GADT también tomó nota del aumento de la participación y las contribuciones de la industria y el sector privado respecto de los trabajos del</w:t>
      </w:r>
      <w:r w:rsidR="00146CE0">
        <w:rPr>
          <w:lang w:val="es-ES_tradnl"/>
        </w:rPr>
        <w:t> </w:t>
      </w:r>
      <w:r w:rsidRPr="00C33E29">
        <w:rPr>
          <w:lang w:val="es-ES_tradnl"/>
        </w:rPr>
        <w:t>UIT-D, en particular las reuniones del Grupo Asesor de la Industria sobre Cuestiones de Desarrollo y de los Directores de Reglamentación del Sector Privado (IAGDI-CRO) y las declaraciones de resultados de alto nivel. El GADT también tomó nota con agrado de las actividades realizadas a escala mundial y regional para fomentar asociaciones y, en particular, asociaciones público-privadas.</w:t>
      </w:r>
    </w:p>
    <w:p w14:paraId="1C20143B" w14:textId="3719F14C" w:rsidR="009B437E" w:rsidRPr="00C33E29" w:rsidRDefault="009B437E" w:rsidP="00DE0E97">
      <w:pPr>
        <w:rPr>
          <w:lang w:val="es-ES_tradnl"/>
        </w:rPr>
      </w:pPr>
      <w:r w:rsidRPr="00C33E29">
        <w:rPr>
          <w:lang w:val="es-ES_tradnl"/>
        </w:rPr>
        <w:t>Los esfuerzos de movilización de recursos de la BDT han aumentado considerablemente durante el periodo, impulsados por las iniciativas en curso en toda la BDT para fomentar, desarrollar y afianzar las asociaciones con una amplia gama de partes interesadas de países tanto desarrollados como en desarrollo. Entre las principales medidas estratégicas cabe citar el cuidado y el fortalecimiento de las relaciones con asociados de larga data, la mejora de la colaboración con los organismos de las Naciones Unidas y el contacto activo y la colaboración con nuevos socios.</w:t>
      </w:r>
    </w:p>
    <w:p w14:paraId="15B4D50E" w14:textId="2D879E8B" w:rsidR="009B437E" w:rsidRPr="00C33E29" w:rsidRDefault="009247F3" w:rsidP="00DE0E97">
      <w:pPr>
        <w:pStyle w:val="Headingb"/>
        <w:rPr>
          <w:rFonts w:ascii="Calibri" w:hAnsi="Calibri" w:cs="Calibri"/>
          <w:b w:val="0"/>
          <w:color w:val="000000" w:themeColor="text1"/>
          <w:lang w:val="es-ES_tradnl"/>
        </w:rPr>
      </w:pPr>
      <w:r>
        <w:rPr>
          <w:bCs/>
          <w:lang w:val="es-ES_tradnl"/>
        </w:rPr>
        <w:t>9</w:t>
      </w:r>
      <w:r w:rsidR="00DE0E97" w:rsidRPr="00C33E29">
        <w:rPr>
          <w:bCs/>
          <w:lang w:val="es-ES_tradnl"/>
        </w:rPr>
        <w:tab/>
      </w:r>
      <w:r w:rsidR="009B437E" w:rsidRPr="00C33E29">
        <w:rPr>
          <w:bCs/>
          <w:lang w:val="es-ES_tradnl"/>
        </w:rPr>
        <w:t xml:space="preserve">Aprobación del programa de trabajo y las prioridades (Resolución 24, </w:t>
      </w:r>
      <w:r w:rsidR="009B437E" w:rsidRPr="00C33E29">
        <w:rPr>
          <w:bCs/>
          <w:i/>
          <w:iCs/>
          <w:lang w:val="es-ES_tradnl"/>
        </w:rPr>
        <w:t xml:space="preserve">resuelve </w:t>
      </w:r>
      <w:r w:rsidR="009B437E" w:rsidRPr="00C33E29">
        <w:rPr>
          <w:bCs/>
          <w:lang w:val="es-ES_tradnl"/>
        </w:rPr>
        <w:t>1.x)</w:t>
      </w:r>
    </w:p>
    <w:p w14:paraId="555E47B6" w14:textId="77777777" w:rsidR="009B437E" w:rsidRPr="00C33E29" w:rsidRDefault="009B437E" w:rsidP="00DE0E97">
      <w:pPr>
        <w:rPr>
          <w:rFonts w:ascii="Calibri" w:hAnsi="Calibri" w:cs="Calibri"/>
          <w:color w:val="000000"/>
          <w:lang w:val="es-ES_tradnl"/>
        </w:rPr>
      </w:pPr>
      <w:r w:rsidRPr="00C33E29">
        <w:rPr>
          <w:lang w:val="es-ES_tradnl"/>
        </w:rPr>
        <w:t>El GADT aprobó sistemáticamente los programas de trabajo estratégicos y definió prioridades claras para las actividades del UIT-D. En los Planes Operacionales aprobados en el GADT-23 y GADT-24 se hizo hincapié en ámbitos clave, como la ciberseguridad, la transformación digital, la creación de capacidad y las iniciativas regionales, destacando el compromiso del GADT con la obtención de resultados eficaces y pertinentes a escala regional.</w:t>
      </w:r>
    </w:p>
    <w:p w14:paraId="1CF1F1DA" w14:textId="3D5035B2" w:rsidR="009B437E" w:rsidRPr="00C33E29" w:rsidRDefault="009247F3" w:rsidP="00DE0E97">
      <w:pPr>
        <w:pStyle w:val="Headingb"/>
        <w:rPr>
          <w:rFonts w:ascii="Calibri" w:hAnsi="Calibri" w:cs="Calibri"/>
          <w:b w:val="0"/>
          <w:color w:val="000000" w:themeColor="text1"/>
          <w:lang w:val="es-ES_tradnl"/>
        </w:rPr>
      </w:pPr>
      <w:r>
        <w:rPr>
          <w:bCs/>
          <w:lang w:val="es-ES_tradnl"/>
        </w:rPr>
        <w:t>10</w:t>
      </w:r>
      <w:r w:rsidR="00DE0E97" w:rsidRPr="00C33E29">
        <w:rPr>
          <w:bCs/>
          <w:lang w:val="es-ES_tradnl"/>
        </w:rPr>
        <w:tab/>
      </w:r>
      <w:r w:rsidR="009B437E" w:rsidRPr="00C33E29">
        <w:rPr>
          <w:bCs/>
          <w:lang w:val="es-ES_tradnl"/>
        </w:rPr>
        <w:t xml:space="preserve">Métodos de trabajo electrónicos (Resolución 24, </w:t>
      </w:r>
      <w:r w:rsidR="009B437E" w:rsidRPr="00C33E29">
        <w:rPr>
          <w:bCs/>
          <w:i/>
          <w:iCs/>
          <w:lang w:val="es-ES_tradnl"/>
        </w:rPr>
        <w:t xml:space="preserve">resuelve </w:t>
      </w:r>
      <w:r w:rsidR="009B437E" w:rsidRPr="00C33E29">
        <w:rPr>
          <w:bCs/>
          <w:lang w:val="es-ES_tradnl"/>
        </w:rPr>
        <w:t>1.xii)</w:t>
      </w:r>
    </w:p>
    <w:p w14:paraId="08D7FEC8" w14:textId="77777777" w:rsidR="009B437E" w:rsidRPr="00C33E29" w:rsidRDefault="009B437E" w:rsidP="00DE0E97">
      <w:pPr>
        <w:rPr>
          <w:rFonts w:ascii="Calibri" w:hAnsi="Calibri" w:cs="Calibri"/>
          <w:color w:val="000000"/>
          <w:lang w:val="es-ES_tradnl"/>
        </w:rPr>
      </w:pPr>
      <w:r w:rsidRPr="00C33E29">
        <w:rPr>
          <w:lang w:val="es-ES_tradnl"/>
        </w:rPr>
        <w:t>El GADT abogó decididamente por la adopción y mejora de los métodos de trabajo electrónicos, haciendo hincapié en la inclusión y la amplia participación. Las directrices y herramientas para la participación a distancia, la participación virtual y la gestión de la documentación electrónica se debatieron y perfeccionaron durante el GADT-24 y la reunión extraordinaria del GADT, a fin de propiciar una mayor participación de las regiones en desarrollo y mejorar la eficacia operativa.</w:t>
      </w:r>
    </w:p>
    <w:p w14:paraId="6155F62D" w14:textId="3B805CC9" w:rsidR="009B437E" w:rsidRPr="00C33E29" w:rsidRDefault="00DE0E97" w:rsidP="00DE0E97">
      <w:pPr>
        <w:pStyle w:val="Headingb"/>
        <w:rPr>
          <w:rFonts w:ascii="Calibri" w:hAnsi="Calibri" w:cs="Calibri"/>
          <w:b w:val="0"/>
          <w:color w:val="000000" w:themeColor="text1"/>
          <w:lang w:val="es-ES_tradnl"/>
        </w:rPr>
      </w:pPr>
      <w:r w:rsidRPr="00C33E29">
        <w:rPr>
          <w:bCs/>
          <w:lang w:val="es-ES_tradnl"/>
        </w:rPr>
        <w:t>1</w:t>
      </w:r>
      <w:r w:rsidR="009247F3">
        <w:rPr>
          <w:bCs/>
          <w:lang w:val="es-ES_tradnl"/>
        </w:rPr>
        <w:t>1</w:t>
      </w:r>
      <w:r w:rsidRPr="00C33E29">
        <w:rPr>
          <w:bCs/>
          <w:lang w:val="es-ES_tradnl"/>
        </w:rPr>
        <w:tab/>
      </w:r>
      <w:r w:rsidR="009B437E" w:rsidRPr="00C33E29">
        <w:rPr>
          <w:bCs/>
          <w:lang w:val="es-ES_tradnl"/>
        </w:rPr>
        <w:t xml:space="preserve">Coordinación con otros Sectores (Resolución 24, </w:t>
      </w:r>
      <w:r w:rsidR="009B437E" w:rsidRPr="00C33E29">
        <w:rPr>
          <w:bCs/>
          <w:i/>
          <w:iCs/>
          <w:lang w:val="es-ES_tradnl"/>
        </w:rPr>
        <w:t xml:space="preserve">resuelve </w:t>
      </w:r>
      <w:r w:rsidR="009B437E" w:rsidRPr="00C33E29">
        <w:rPr>
          <w:bCs/>
          <w:lang w:val="es-ES_tradnl"/>
        </w:rPr>
        <w:t>3 y 4)</w:t>
      </w:r>
    </w:p>
    <w:p w14:paraId="39D20D0A" w14:textId="77777777" w:rsidR="009B437E" w:rsidRPr="00C33E29" w:rsidRDefault="009B437E" w:rsidP="00DE0E97">
      <w:pPr>
        <w:rPr>
          <w:rFonts w:ascii="Calibri" w:hAnsi="Calibri" w:cs="Calibri"/>
          <w:color w:val="000000"/>
          <w:lang w:val="es-ES_tradnl"/>
        </w:rPr>
      </w:pPr>
      <w:r w:rsidRPr="00C33E29">
        <w:rPr>
          <w:lang w:val="es-ES_tradnl"/>
        </w:rPr>
        <w:t>El GADT promovió activamente la coordinación intersectorial dentro de la UIT, que garantiza la armonización estratégica y reduce la duplicación de esfuerzos. La coordinación con el GANT reforzó el papel del UIT-D en la transformación digital, como se puso de manifiesto en el GADT-24. Las interacciones periódicas y los debates conjuntos facilitaron la cooperación y la coherencia entre los diversos Sectores de la UIT a lo largo del ciclo.</w:t>
      </w:r>
    </w:p>
    <w:p w14:paraId="4A4B19AA" w14:textId="1325E04B" w:rsidR="009B437E" w:rsidRPr="00C33E29" w:rsidRDefault="009B437E" w:rsidP="00DE0E97">
      <w:pPr>
        <w:rPr>
          <w:rFonts w:ascii="Calibri" w:hAnsi="Calibri" w:cs="Calibri"/>
          <w:color w:val="000000"/>
          <w:szCs w:val="24"/>
          <w:lang w:val="es-ES_tradnl"/>
        </w:rPr>
      </w:pPr>
      <w:r w:rsidRPr="00C33E29">
        <w:rPr>
          <w:lang w:val="es-ES_tradnl"/>
        </w:rPr>
        <w:t>El GADT fomentó activamente la colaboración intersectorial, mejorando significativamente la coherencia estratégica en el marco de la UIT. El GADT-31 aprobó declaraciones de coordinación estratégica con el GANT y el GCIS, lo que permitió armonizar en la práctica las iniciativas de transformación digital de los diferentes sectores y establecer una correspondencia entre las Cuestiones de estudio coincidentes para eliminar redundancias. Entre las iniciativas conjuntas cabe destacar la cooperación con el UIT-R en materia de estrategias de gestión del espectro y con el UIT-T en relación con las normas para las ciudades y comunidades inteligentes y sostenibles</w:t>
      </w:r>
      <w:r w:rsidR="00146CE0">
        <w:rPr>
          <w:lang w:val="es-ES_tradnl"/>
        </w:rPr>
        <w:t> </w:t>
      </w:r>
      <w:r w:rsidRPr="00C33E29">
        <w:rPr>
          <w:lang w:val="es-ES_tradnl"/>
        </w:rPr>
        <w:t>(CCIS).</w:t>
      </w:r>
    </w:p>
    <w:p w14:paraId="3E247137" w14:textId="1E080CDC" w:rsidR="009B437E" w:rsidRPr="00C33E29" w:rsidRDefault="009B437E" w:rsidP="00DE0E97">
      <w:pPr>
        <w:rPr>
          <w:rFonts w:ascii="Calibri" w:eastAsia="Calibri" w:hAnsi="Calibri" w:cs="Calibri"/>
          <w:szCs w:val="24"/>
          <w:lang w:val="es-ES_tradnl"/>
        </w:rPr>
      </w:pPr>
      <w:r w:rsidRPr="00C33E29">
        <w:rPr>
          <w:lang w:val="es-ES_tradnl"/>
        </w:rPr>
        <w:t>El GADT revisó sistemáticamente los informes del Grupo de Coordinación Intersectorial (GCIS) sobre asuntos de interés mutuo. Este Grupo, compuesto por representantes del Grupo Asesor de Radiocomunicaciones (GAR), el Grupo Asesor de Normalización de las Telecomunicaciones (GANT) y el Grupo Asesor de Desarrollo de las Telecomunicaciones (GADT), trabaja en la identificación de temas comunes a los tres Sectores y la Secretaría General y de mecanismos para mejorar la cooperación y la colaboración en los tres Sectores en temas de común interés a fin de evitar duplicidades de esfuerzos y optimizar los recursos de la Unión, conforme a lo estipulado en la Resolución</w:t>
      </w:r>
      <w:r w:rsidR="00146CE0">
        <w:rPr>
          <w:lang w:val="es-ES_tradnl"/>
        </w:rPr>
        <w:t> </w:t>
      </w:r>
      <w:r w:rsidRPr="00C33E29">
        <w:rPr>
          <w:lang w:val="es-ES_tradnl"/>
        </w:rPr>
        <w:t>191 (Rev. Bucarest, 2022). El GCIS examina las actividades actuales y nuevas y su distribución entre el UIT-R, el UIT-T y el UIT-D para su aprobación por los Estados Miembros de la UIT de acuerdo con los procedimientos de aprobación de las Cuestiones nuevas y revisadas. También examina los informes de los tres Directores y del Grupo Especial de Coordinación Intersectorial (GE-CIS) en relación con las opciones de mejorar la cooperación a nivel de la Secretaría para asegurar que se maximiza la colaboración estrecha.</w:t>
      </w:r>
    </w:p>
    <w:p w14:paraId="17181862" w14:textId="35E20454" w:rsidR="009B437E" w:rsidRPr="00C33E29" w:rsidRDefault="009B437E" w:rsidP="00DE0E97">
      <w:pPr>
        <w:rPr>
          <w:rFonts w:ascii="Calibri" w:hAnsi="Calibri" w:cs="Calibri"/>
          <w:color w:val="000000"/>
          <w:lang w:val="es-ES_tradnl"/>
        </w:rPr>
      </w:pPr>
      <w:r w:rsidRPr="00C33E29">
        <w:rPr>
          <w:lang w:val="es-ES_tradnl"/>
        </w:rPr>
        <w:t>Se facilitó información actualizada y el GADT deliberó sobre las novedades presentadas en sus reuniones. En concreto, el GADT examinó las siguientes actividades del GCIS durante el periodo que abarca el informe:</w:t>
      </w:r>
    </w:p>
    <w:p w14:paraId="126C336F" w14:textId="77777777" w:rsidR="009B437E" w:rsidRPr="00C33E29" w:rsidRDefault="009B437E" w:rsidP="00DE0E97">
      <w:pPr>
        <w:rPr>
          <w:rFonts w:ascii="Calibri" w:hAnsi="Calibri"/>
          <w:szCs w:val="24"/>
          <w:lang w:val="es-ES_tradnl"/>
        </w:rPr>
      </w:pPr>
      <w:r w:rsidRPr="00C33E29">
        <w:rPr>
          <w:lang w:val="es-ES_tradnl"/>
        </w:rPr>
        <w:t>El GCIS se ha reunido en cinco ocasiones desde la CMDT-22:</w:t>
      </w:r>
    </w:p>
    <w:p w14:paraId="5BFDD5E8" w14:textId="32ABAD86" w:rsidR="009B437E" w:rsidRPr="00C33E29" w:rsidRDefault="00DE0E97" w:rsidP="00DE0E97">
      <w:pPr>
        <w:pStyle w:val="enumlev1"/>
        <w:rPr>
          <w:rFonts w:eastAsiaTheme="minorEastAsia" w:cstheme="minorBidi"/>
          <w:szCs w:val="24"/>
          <w:lang w:val="es-ES_tradnl"/>
        </w:rPr>
      </w:pPr>
      <w:r w:rsidRPr="00C33E29">
        <w:rPr>
          <w:lang w:val="es-ES_tradnl"/>
        </w:rPr>
        <w:t>–</w:t>
      </w:r>
      <w:r w:rsidRPr="00C33E29">
        <w:rPr>
          <w:lang w:val="es-ES_tradnl"/>
        </w:rPr>
        <w:tab/>
      </w:r>
      <w:r w:rsidR="009B437E" w:rsidRPr="00C33E29">
        <w:rPr>
          <w:lang w:val="es-ES_tradnl"/>
        </w:rPr>
        <w:t xml:space="preserve">2 de mayo de 2023 </w:t>
      </w:r>
      <w:r w:rsidR="009B437E" w:rsidRPr="00C33E29">
        <w:rPr>
          <w:rFonts w:ascii="Calibri" w:eastAsia="Calibri" w:hAnsi="Calibri" w:cs="Calibri"/>
          <w:szCs w:val="24"/>
          <w:lang w:val="es-ES_tradnl"/>
        </w:rPr>
        <w:t>(</w:t>
      </w:r>
      <w:hyperlink r:id="rId47" w:history="1">
        <w:r w:rsidR="009B437E" w:rsidRPr="00C33E29">
          <w:rPr>
            <w:rStyle w:val="Hyperlink"/>
            <w:szCs w:val="24"/>
            <w:lang w:val="es-ES_tradnl"/>
          </w:rPr>
          <w:t>ISCG/2</w:t>
        </w:r>
        <w:r w:rsidR="009B437E" w:rsidRPr="00C33E29">
          <w:rPr>
            <w:rStyle w:val="Hyperlink"/>
            <w:szCs w:val="24"/>
            <w:lang w:val="es-ES_tradnl"/>
          </w:rPr>
          <w:t>3</w:t>
        </w:r>
        <w:r w:rsidR="009B437E" w:rsidRPr="00C33E29">
          <w:rPr>
            <w:rStyle w:val="Hyperlink"/>
            <w:szCs w:val="24"/>
            <w:lang w:val="es-ES_tradnl"/>
          </w:rPr>
          <w:t>-1/09</w:t>
        </w:r>
      </w:hyperlink>
      <w:r w:rsidR="009B437E" w:rsidRPr="00C33E29">
        <w:rPr>
          <w:lang w:val="es-ES_tradnl"/>
        </w:rPr>
        <w:t>)</w:t>
      </w:r>
    </w:p>
    <w:p w14:paraId="3404020B" w14:textId="24D1D083" w:rsidR="009B437E" w:rsidRPr="00C33E29" w:rsidRDefault="00DE0E97" w:rsidP="00DE0E97">
      <w:pPr>
        <w:pStyle w:val="enumlev1"/>
        <w:rPr>
          <w:szCs w:val="24"/>
          <w:lang w:val="es-ES_tradnl"/>
        </w:rPr>
      </w:pPr>
      <w:r w:rsidRPr="00C33E29">
        <w:rPr>
          <w:lang w:val="es-ES_tradnl"/>
        </w:rPr>
        <w:t>–</w:t>
      </w:r>
      <w:r w:rsidRPr="00C33E29">
        <w:rPr>
          <w:lang w:val="es-ES_tradnl"/>
        </w:rPr>
        <w:tab/>
      </w:r>
      <w:r w:rsidR="009B437E" w:rsidRPr="00C33E29">
        <w:rPr>
          <w:lang w:val="es-ES_tradnl"/>
        </w:rPr>
        <w:t>24 de enero de 2024 (</w:t>
      </w:r>
      <w:hyperlink r:id="rId48" w:history="1">
        <w:r w:rsidR="009B437E" w:rsidRPr="00C33E29">
          <w:rPr>
            <w:rStyle w:val="Hyperlink"/>
            <w:szCs w:val="24"/>
            <w:lang w:val="es-ES_tradnl"/>
          </w:rPr>
          <w:t>ISCG/2</w:t>
        </w:r>
        <w:r w:rsidR="009B437E" w:rsidRPr="00C33E29">
          <w:rPr>
            <w:rStyle w:val="Hyperlink"/>
            <w:szCs w:val="24"/>
            <w:lang w:val="es-ES_tradnl"/>
          </w:rPr>
          <w:t>4</w:t>
        </w:r>
        <w:r w:rsidR="009B437E" w:rsidRPr="00C33E29">
          <w:rPr>
            <w:rStyle w:val="Hyperlink"/>
            <w:szCs w:val="24"/>
            <w:lang w:val="es-ES_tradnl"/>
          </w:rPr>
          <w:t>-2/02</w:t>
        </w:r>
      </w:hyperlink>
      <w:r w:rsidR="009B437E" w:rsidRPr="00C33E29">
        <w:rPr>
          <w:lang w:val="es-ES_tradnl"/>
        </w:rPr>
        <w:t>)</w:t>
      </w:r>
    </w:p>
    <w:p w14:paraId="18CF34E4" w14:textId="20390357" w:rsidR="009B437E" w:rsidRPr="00C33E29" w:rsidRDefault="00DE0E97" w:rsidP="00DE0E97">
      <w:pPr>
        <w:pStyle w:val="enumlev1"/>
        <w:rPr>
          <w:szCs w:val="24"/>
          <w:lang w:val="es-ES_tradnl"/>
        </w:rPr>
      </w:pPr>
      <w:r w:rsidRPr="00C33E29">
        <w:rPr>
          <w:lang w:val="es-ES_tradnl"/>
        </w:rPr>
        <w:t>–</w:t>
      </w:r>
      <w:r w:rsidRPr="00C33E29">
        <w:rPr>
          <w:lang w:val="es-ES_tradnl"/>
        </w:rPr>
        <w:tab/>
      </w:r>
      <w:r w:rsidR="009B437E" w:rsidRPr="00C33E29">
        <w:rPr>
          <w:lang w:val="es-ES_tradnl"/>
        </w:rPr>
        <w:t>21 de mayo de 2024 (</w:t>
      </w:r>
      <w:hyperlink r:id="rId49" w:history="1">
        <w:r w:rsidR="009B437E" w:rsidRPr="00C33E29">
          <w:rPr>
            <w:rStyle w:val="Hyperlink"/>
            <w:szCs w:val="24"/>
            <w:lang w:val="es-ES_tradnl"/>
          </w:rPr>
          <w:t>ISCG/24-3</w:t>
        </w:r>
        <w:r w:rsidR="009B437E" w:rsidRPr="00C33E29">
          <w:rPr>
            <w:rStyle w:val="Hyperlink"/>
            <w:szCs w:val="24"/>
            <w:lang w:val="es-ES_tradnl"/>
          </w:rPr>
          <w:t>/</w:t>
        </w:r>
        <w:r w:rsidR="009B437E" w:rsidRPr="00C33E29">
          <w:rPr>
            <w:rStyle w:val="Hyperlink"/>
            <w:szCs w:val="24"/>
            <w:lang w:val="es-ES_tradnl"/>
          </w:rPr>
          <w:t>02</w:t>
        </w:r>
      </w:hyperlink>
      <w:r w:rsidR="009B437E" w:rsidRPr="00C33E29">
        <w:rPr>
          <w:lang w:val="es-ES_tradnl"/>
        </w:rPr>
        <w:t>)</w:t>
      </w:r>
    </w:p>
    <w:p w14:paraId="602CE0F3" w14:textId="4641DA9A" w:rsidR="009B437E" w:rsidRPr="00C33E29" w:rsidRDefault="00DE0E97" w:rsidP="00DE0E97">
      <w:pPr>
        <w:pStyle w:val="enumlev1"/>
        <w:rPr>
          <w:szCs w:val="24"/>
          <w:lang w:val="es-ES_tradnl"/>
        </w:rPr>
      </w:pPr>
      <w:r w:rsidRPr="00C33E29">
        <w:rPr>
          <w:lang w:val="es-ES_tradnl"/>
        </w:rPr>
        <w:t>–</w:t>
      </w:r>
      <w:r w:rsidRPr="00C33E29">
        <w:rPr>
          <w:lang w:val="es-ES_tradnl"/>
        </w:rPr>
        <w:tab/>
      </w:r>
      <w:r w:rsidR="009B437E" w:rsidRPr="00C33E29">
        <w:rPr>
          <w:lang w:val="es-ES_tradnl"/>
        </w:rPr>
        <w:t>13 de noviembre de 2024 (</w:t>
      </w:r>
      <w:hyperlink r:id="rId50" w:history="1">
        <w:r w:rsidR="009B437E" w:rsidRPr="00C33E29">
          <w:rPr>
            <w:rStyle w:val="Hyperlink"/>
            <w:szCs w:val="24"/>
            <w:lang w:val="es-ES_tradnl"/>
          </w:rPr>
          <w:t>ISCG/2</w:t>
        </w:r>
        <w:r w:rsidR="009B437E" w:rsidRPr="00C33E29">
          <w:rPr>
            <w:rStyle w:val="Hyperlink"/>
            <w:szCs w:val="24"/>
            <w:lang w:val="es-ES_tradnl"/>
          </w:rPr>
          <w:t>5</w:t>
        </w:r>
        <w:r w:rsidR="009B437E" w:rsidRPr="00C33E29">
          <w:rPr>
            <w:rStyle w:val="Hyperlink"/>
            <w:szCs w:val="24"/>
            <w:lang w:val="es-ES_tradnl"/>
          </w:rPr>
          <w:t>-1/02</w:t>
        </w:r>
      </w:hyperlink>
      <w:r w:rsidR="009B437E" w:rsidRPr="00C33E29">
        <w:rPr>
          <w:lang w:val="es-ES_tradnl"/>
        </w:rPr>
        <w:t>)</w:t>
      </w:r>
    </w:p>
    <w:p w14:paraId="34BEA71D" w14:textId="676C100C" w:rsidR="009B437E" w:rsidRPr="00C33E29" w:rsidRDefault="00DE0E97" w:rsidP="00DE0E97">
      <w:pPr>
        <w:pStyle w:val="enumlev1"/>
        <w:rPr>
          <w:szCs w:val="24"/>
          <w:lang w:val="es-ES_tradnl"/>
        </w:rPr>
      </w:pPr>
      <w:r w:rsidRPr="00C33E29">
        <w:rPr>
          <w:lang w:val="es-ES_tradnl"/>
        </w:rPr>
        <w:t>–</w:t>
      </w:r>
      <w:r w:rsidRPr="00C33E29">
        <w:rPr>
          <w:lang w:val="es-ES_tradnl"/>
        </w:rPr>
        <w:tab/>
      </w:r>
      <w:r w:rsidR="009B437E" w:rsidRPr="00C33E29">
        <w:rPr>
          <w:lang w:val="es-ES_tradnl"/>
        </w:rPr>
        <w:t xml:space="preserve">12 de febrero de 2025 (documentos de febrero del GCIS </w:t>
      </w:r>
      <w:hyperlink r:id="rId51" w:history="1">
        <w:r w:rsidR="009B437E" w:rsidRPr="00C33E29">
          <w:rPr>
            <w:rStyle w:val="Hyperlink"/>
            <w:lang w:val="es-ES_tradnl"/>
          </w:rPr>
          <w:t>aq</w:t>
        </w:r>
        <w:r w:rsidR="009B437E" w:rsidRPr="00C33E29">
          <w:rPr>
            <w:rStyle w:val="Hyperlink"/>
            <w:lang w:val="es-ES_tradnl"/>
          </w:rPr>
          <w:t>u</w:t>
        </w:r>
        <w:r w:rsidR="009B437E" w:rsidRPr="00C33E29">
          <w:rPr>
            <w:rStyle w:val="Hyperlink"/>
            <w:lang w:val="es-ES_tradnl"/>
          </w:rPr>
          <w:t>í</w:t>
        </w:r>
      </w:hyperlink>
      <w:r w:rsidR="009B437E" w:rsidRPr="00C33E29">
        <w:rPr>
          <w:lang w:val="es-ES_tradnl"/>
        </w:rPr>
        <w:t>)</w:t>
      </w:r>
    </w:p>
    <w:p w14:paraId="111DDF67" w14:textId="77777777" w:rsidR="009B437E" w:rsidRPr="00C33E29" w:rsidRDefault="009B437E" w:rsidP="00DE0E97">
      <w:pPr>
        <w:pStyle w:val="Heading1"/>
        <w:rPr>
          <w:rFonts w:ascii="Calibri" w:hAnsi="Calibri" w:cs="Calibri"/>
          <w:color w:val="000000"/>
          <w:szCs w:val="28"/>
          <w:lang w:val="es-ES_tradnl"/>
        </w:rPr>
      </w:pPr>
      <w:bookmarkStart w:id="31" w:name="_Toc196398322"/>
      <w:bookmarkStart w:id="32" w:name="_Toc196469439"/>
      <w:r w:rsidRPr="00C33E29">
        <w:rPr>
          <w:lang w:val="es-ES_tradnl"/>
        </w:rPr>
        <w:t>Conclusión y previsiones</w:t>
      </w:r>
      <w:bookmarkEnd w:id="31"/>
      <w:bookmarkEnd w:id="32"/>
    </w:p>
    <w:p w14:paraId="42101A0E" w14:textId="77777777" w:rsidR="009B437E" w:rsidRPr="00C33E29" w:rsidRDefault="009B437E" w:rsidP="00DE0E97">
      <w:pPr>
        <w:rPr>
          <w:rFonts w:eastAsiaTheme="minorEastAsia" w:cstheme="minorBidi"/>
          <w:szCs w:val="24"/>
          <w:lang w:val="es-ES_tradnl"/>
        </w:rPr>
      </w:pPr>
      <w:r w:rsidRPr="00C33E29">
        <w:rPr>
          <w:lang w:val="es-ES_tradnl"/>
        </w:rPr>
        <w:t>A lo largo del ciclo 2023-2025, el GADT cumplió eficazmente con las responsabilidades descritas en la Resolución 24, mejorando la eficiencia operativa, la responsabilidad financiera, la armonización estratégica y la inclusión. Los resultados del GADT-25 (previsto del 12 al 16 de mayo de 2025) permitirán pulir este informe y aportarán información adicional, garantizando en todo momento la alineación con las metas estratégicas de la UIT y las prioridades de los Estados Miembros.</w:t>
      </w:r>
    </w:p>
    <w:p w14:paraId="11FEFF46" w14:textId="77777777" w:rsidR="00372ED3" w:rsidRDefault="00372ED3" w:rsidP="00411C49">
      <w:pPr>
        <w:pStyle w:val="Reasons"/>
      </w:pPr>
    </w:p>
    <w:p w14:paraId="7E93DADF" w14:textId="77777777" w:rsidR="00372ED3" w:rsidRDefault="00372ED3">
      <w:pPr>
        <w:jc w:val="center"/>
      </w:pPr>
      <w:r>
        <w:t>______________</w:t>
      </w:r>
    </w:p>
    <w:sectPr w:rsidR="00372ED3" w:rsidSect="00473791">
      <w:headerReference w:type="default" r:id="rId52"/>
      <w:footerReference w:type="first" r:id="rId53"/>
      <w:pgSz w:w="11907" w:h="16834" w:code="9"/>
      <w:pgMar w:top="1418" w:right="1134"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0D2D9" w14:textId="77777777" w:rsidR="00B20F46" w:rsidRDefault="00B20F46">
      <w:r>
        <w:separator/>
      </w:r>
    </w:p>
  </w:endnote>
  <w:endnote w:type="continuationSeparator" w:id="0">
    <w:p w14:paraId="613BC48E" w14:textId="77777777" w:rsidR="00B20F46" w:rsidRDefault="00B20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Traditional Arabic">
    <w:altName w:val="Times New Roman"/>
    <w:charset w:val="B2"/>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Name and contact details of the contact person for the document"/>
      <w:tblDescription w:val="Name and contact details of the contact person for the document"/>
    </w:tblPr>
    <w:tblGrid>
      <w:gridCol w:w="993"/>
      <w:gridCol w:w="2693"/>
      <w:gridCol w:w="5919"/>
    </w:tblGrid>
    <w:tr w:rsidR="004B6F0B" w:rsidRPr="009B437E" w14:paraId="656716D9" w14:textId="77777777" w:rsidTr="005539C3">
      <w:tc>
        <w:tcPr>
          <w:tcW w:w="993" w:type="dxa"/>
          <w:tcBorders>
            <w:top w:val="single" w:sz="4" w:space="0" w:color="000000" w:themeColor="text1"/>
          </w:tcBorders>
        </w:tcPr>
        <w:p w14:paraId="0F4C4A5A" w14:textId="77777777" w:rsidR="004B6F0B" w:rsidRPr="00AA7892" w:rsidRDefault="004B6F0B" w:rsidP="004B6F0B">
          <w:pPr>
            <w:pStyle w:val="FirstFooter"/>
            <w:tabs>
              <w:tab w:val="left" w:pos="1559"/>
              <w:tab w:val="left" w:pos="3828"/>
            </w:tabs>
            <w:rPr>
              <w:sz w:val="18"/>
              <w:szCs w:val="18"/>
            </w:rPr>
          </w:pPr>
          <w:r w:rsidRPr="00AA7892">
            <w:rPr>
              <w:sz w:val="18"/>
              <w:szCs w:val="18"/>
            </w:rPr>
            <w:t>Contacto:</w:t>
          </w:r>
        </w:p>
      </w:tc>
      <w:tc>
        <w:tcPr>
          <w:tcW w:w="2693" w:type="dxa"/>
          <w:tcBorders>
            <w:top w:val="single" w:sz="4" w:space="0" w:color="000000" w:themeColor="text1"/>
          </w:tcBorders>
        </w:tcPr>
        <w:p w14:paraId="7CCD04E8" w14:textId="77777777" w:rsidR="004B6F0B" w:rsidRPr="00AA7892" w:rsidRDefault="004B6F0B" w:rsidP="004B6F0B">
          <w:pPr>
            <w:pStyle w:val="FirstFooter"/>
            <w:tabs>
              <w:tab w:val="left" w:pos="2302"/>
            </w:tabs>
            <w:ind w:left="2302" w:hanging="2302"/>
            <w:rPr>
              <w:sz w:val="18"/>
              <w:szCs w:val="18"/>
            </w:rPr>
          </w:pPr>
          <w:r w:rsidRPr="00AA7892">
            <w:rPr>
              <w:sz w:val="18"/>
              <w:szCs w:val="18"/>
            </w:rPr>
            <w:t>Nombre/Organización/Entidad:</w:t>
          </w:r>
        </w:p>
      </w:tc>
      <w:tc>
        <w:tcPr>
          <w:tcW w:w="5919" w:type="dxa"/>
          <w:tcBorders>
            <w:top w:val="single" w:sz="4" w:space="0" w:color="000000" w:themeColor="text1"/>
          </w:tcBorders>
        </w:tcPr>
        <w:p w14:paraId="60422A8C" w14:textId="035C08D2" w:rsidR="004B6F0B" w:rsidRPr="009B437E" w:rsidRDefault="009B437E" w:rsidP="004B6F0B">
          <w:pPr>
            <w:pStyle w:val="FirstFooter"/>
            <w:rPr>
              <w:sz w:val="18"/>
              <w:szCs w:val="18"/>
              <w:highlight w:val="yellow"/>
              <w:lang w:val="es-ES"/>
            </w:rPr>
          </w:pPr>
          <w:r w:rsidRPr="009B437E">
            <w:rPr>
              <w:sz w:val="18"/>
              <w:szCs w:val="18"/>
              <w:lang w:val="es-ES"/>
            </w:rPr>
            <w:t>Sra. Roxanne McElvane Webber, Presidenta, Grupo Asesor de Desarrollo de las Telecomunicaciones</w:t>
          </w:r>
        </w:p>
      </w:tc>
    </w:tr>
    <w:tr w:rsidR="004B6F0B" w:rsidRPr="00CB110F" w14:paraId="68C18A92" w14:textId="77777777" w:rsidTr="005539C3">
      <w:tc>
        <w:tcPr>
          <w:tcW w:w="993" w:type="dxa"/>
        </w:tcPr>
        <w:p w14:paraId="3EE46271" w14:textId="77777777" w:rsidR="004B6F0B" w:rsidRPr="009B437E" w:rsidRDefault="004B6F0B" w:rsidP="004B6F0B">
          <w:pPr>
            <w:pStyle w:val="FirstFooter"/>
            <w:tabs>
              <w:tab w:val="left" w:pos="1559"/>
              <w:tab w:val="left" w:pos="3828"/>
            </w:tabs>
            <w:rPr>
              <w:sz w:val="18"/>
              <w:szCs w:val="18"/>
              <w:lang w:val="es-ES"/>
            </w:rPr>
          </w:pPr>
        </w:p>
      </w:tc>
      <w:tc>
        <w:tcPr>
          <w:tcW w:w="2693" w:type="dxa"/>
        </w:tcPr>
        <w:p w14:paraId="5AA15A32" w14:textId="77777777" w:rsidR="004B6F0B" w:rsidRPr="00AA7892" w:rsidRDefault="004B6F0B" w:rsidP="004B6F0B">
          <w:pPr>
            <w:pStyle w:val="FirstFooter"/>
            <w:tabs>
              <w:tab w:val="left" w:pos="2302"/>
            </w:tabs>
            <w:rPr>
              <w:sz w:val="18"/>
              <w:szCs w:val="18"/>
            </w:rPr>
          </w:pPr>
          <w:r w:rsidRPr="00AA7892">
            <w:rPr>
              <w:sz w:val="18"/>
              <w:szCs w:val="18"/>
            </w:rPr>
            <w:t>Teléfono:</w:t>
          </w:r>
        </w:p>
      </w:tc>
      <w:tc>
        <w:tcPr>
          <w:tcW w:w="5919" w:type="dxa"/>
        </w:tcPr>
        <w:p w14:paraId="7B0E2580" w14:textId="59ABE936" w:rsidR="004B6F0B" w:rsidRPr="009359B8" w:rsidRDefault="009B437E" w:rsidP="004B6F0B">
          <w:pPr>
            <w:pStyle w:val="FirstFooter"/>
            <w:tabs>
              <w:tab w:val="left" w:pos="2302"/>
            </w:tabs>
            <w:rPr>
              <w:sz w:val="18"/>
              <w:szCs w:val="18"/>
              <w:highlight w:val="yellow"/>
              <w:lang w:val="en-US"/>
            </w:rPr>
          </w:pPr>
          <w:r w:rsidRPr="009B437E">
            <w:rPr>
              <w:sz w:val="18"/>
              <w:szCs w:val="18"/>
              <w:lang w:val="es-ES"/>
            </w:rPr>
            <w:t>+1 202 418 1489</w:t>
          </w:r>
        </w:p>
      </w:tc>
    </w:tr>
    <w:tr w:rsidR="004B6F0B" w:rsidRPr="00CB110F" w14:paraId="74482ECB" w14:textId="77777777" w:rsidTr="005539C3">
      <w:tc>
        <w:tcPr>
          <w:tcW w:w="993" w:type="dxa"/>
        </w:tcPr>
        <w:p w14:paraId="63EDF29B" w14:textId="77777777" w:rsidR="004B6F0B" w:rsidRPr="00AA7892" w:rsidRDefault="004B6F0B" w:rsidP="004B6F0B">
          <w:pPr>
            <w:pStyle w:val="FirstFooter"/>
            <w:tabs>
              <w:tab w:val="left" w:pos="1559"/>
              <w:tab w:val="left" w:pos="3828"/>
            </w:tabs>
            <w:rPr>
              <w:sz w:val="18"/>
              <w:szCs w:val="18"/>
            </w:rPr>
          </w:pPr>
        </w:p>
      </w:tc>
      <w:tc>
        <w:tcPr>
          <w:tcW w:w="2693" w:type="dxa"/>
        </w:tcPr>
        <w:p w14:paraId="3A810FE8" w14:textId="77777777" w:rsidR="004B6F0B" w:rsidRPr="00AA7892" w:rsidRDefault="004B6F0B" w:rsidP="004B6F0B">
          <w:pPr>
            <w:pStyle w:val="FirstFooter"/>
            <w:tabs>
              <w:tab w:val="left" w:pos="2302"/>
            </w:tabs>
            <w:rPr>
              <w:sz w:val="18"/>
              <w:szCs w:val="18"/>
            </w:rPr>
          </w:pPr>
          <w:r w:rsidRPr="00AA7892">
            <w:rPr>
              <w:sz w:val="18"/>
              <w:szCs w:val="18"/>
            </w:rPr>
            <w:t>Correo-e:</w:t>
          </w:r>
        </w:p>
      </w:tc>
      <w:tc>
        <w:tcPr>
          <w:tcW w:w="5919" w:type="dxa"/>
        </w:tcPr>
        <w:p w14:paraId="044C0AD5" w14:textId="709C1716" w:rsidR="004B6F0B" w:rsidRPr="00B80715" w:rsidRDefault="009B437E" w:rsidP="004B6F0B">
          <w:pPr>
            <w:pStyle w:val="FirstFooter"/>
            <w:tabs>
              <w:tab w:val="left" w:pos="2302"/>
            </w:tabs>
            <w:rPr>
              <w:sz w:val="18"/>
              <w:szCs w:val="18"/>
              <w:lang w:val="en-US"/>
            </w:rPr>
          </w:pPr>
          <w:hyperlink r:id="rId1" w:history="1">
            <w:r w:rsidRPr="009B437E">
              <w:rPr>
                <w:rStyle w:val="Hyperlink"/>
                <w:sz w:val="18"/>
                <w:szCs w:val="18"/>
                <w:lang w:val="en-US"/>
              </w:rPr>
              <w:t>Roxanne.Webber@fcc.gov</w:t>
            </w:r>
          </w:hyperlink>
        </w:p>
      </w:tc>
    </w:tr>
  </w:tbl>
  <w:p w14:paraId="1C0FBBF5" w14:textId="77777777" w:rsidR="004B6F0B" w:rsidRDefault="004B6F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1670C" w14:textId="77777777" w:rsidR="00B20F46" w:rsidRDefault="00B20F46">
      <w:r>
        <w:t>____________________</w:t>
      </w:r>
    </w:p>
  </w:footnote>
  <w:footnote w:type="continuationSeparator" w:id="0">
    <w:p w14:paraId="3AC7861E" w14:textId="77777777" w:rsidR="00B20F46" w:rsidRDefault="00B20F46">
      <w:r>
        <w:continuationSeparator/>
      </w:r>
    </w:p>
  </w:footnote>
  <w:footnote w:id="1">
    <w:p w14:paraId="419FC642" w14:textId="3FB7F964" w:rsidR="009B437E" w:rsidRPr="00C40C3A" w:rsidRDefault="009B437E" w:rsidP="009B437E">
      <w:pPr>
        <w:pStyle w:val="FootnoteText"/>
        <w:spacing w:before="0"/>
        <w:rPr>
          <w:szCs w:val="24"/>
        </w:rPr>
      </w:pPr>
      <w:r w:rsidRPr="00994857">
        <w:rPr>
          <w:rStyle w:val="FootnoteReference"/>
          <w:sz w:val="20"/>
          <w:lang w:val="es-ES"/>
        </w:rPr>
        <w:footnoteRef/>
      </w:r>
      <w:r w:rsidRPr="000E446D">
        <w:t xml:space="preserve"> </w:t>
      </w:r>
      <w:hyperlink r:id="rId1" w:history="1">
        <w:r w:rsidR="00C40C3A">
          <w:rPr>
            <w:rStyle w:val="Hyperlink"/>
          </w:rPr>
          <w:t>https://www.itu.int/en/ITU-D/Conferences/TDAG/Pages/2024/TDAG_WG_futureSGQ.aspx#</w:t>
        </w:r>
      </w:hyperlink>
      <w:r w:rsidR="00C40C3A">
        <w:t>.</w:t>
      </w:r>
    </w:p>
  </w:footnote>
  <w:footnote w:id="2">
    <w:p w14:paraId="29859FD4" w14:textId="0DF10A0A" w:rsidR="009B437E" w:rsidRPr="00C40C3A" w:rsidRDefault="009B437E" w:rsidP="00C40C3A">
      <w:pPr>
        <w:rPr>
          <w:szCs w:val="24"/>
          <w:lang w:val="es-ES"/>
        </w:rPr>
      </w:pPr>
      <w:r w:rsidRPr="00994857">
        <w:rPr>
          <w:rStyle w:val="FootnoteReference"/>
          <w:sz w:val="20"/>
          <w:lang w:val="es-ES"/>
        </w:rPr>
        <w:footnoteRef/>
      </w:r>
      <w:r w:rsidRPr="00994857">
        <w:rPr>
          <w:sz w:val="20"/>
          <w:lang w:val="es-ES"/>
        </w:rPr>
        <w:t xml:space="preserve"> </w:t>
      </w:r>
      <w:r w:rsidRPr="000E446D">
        <w:rPr>
          <w:szCs w:val="24"/>
          <w:lang w:val="es-ES"/>
        </w:rPr>
        <w:t xml:space="preserve">Véase el Documento </w:t>
      </w:r>
      <w:hyperlink r:id="rId2" w:history="1">
        <w:r w:rsidRPr="00C40C3A">
          <w:rPr>
            <w:rStyle w:val="Hyperlink"/>
            <w:lang w:val="es-ES"/>
          </w:rPr>
          <w:t>TDAG-WG-futureSGQ/29</w:t>
        </w:r>
      </w:hyperlink>
      <w:r w:rsidR="00C40C3A" w:rsidRPr="00C40C3A">
        <w:rPr>
          <w:lang w:val="es-ES"/>
        </w:rPr>
        <w:t>.</w:t>
      </w:r>
    </w:p>
  </w:footnote>
  <w:footnote w:id="3">
    <w:p w14:paraId="0651574B" w14:textId="12EBEAEA" w:rsidR="009B437E" w:rsidRPr="00C40C3A" w:rsidRDefault="009B437E" w:rsidP="009B437E">
      <w:pPr>
        <w:pStyle w:val="FootnoteText"/>
        <w:spacing w:before="0"/>
        <w:rPr>
          <w:szCs w:val="24"/>
          <w:lang w:val="es-ES"/>
        </w:rPr>
      </w:pPr>
      <w:r w:rsidRPr="00994857">
        <w:rPr>
          <w:rStyle w:val="FootnoteReference"/>
          <w:sz w:val="20"/>
          <w:lang w:val="es-ES"/>
        </w:rPr>
        <w:footnoteRef/>
      </w:r>
      <w:r w:rsidRPr="00994857">
        <w:rPr>
          <w:sz w:val="20"/>
          <w:lang w:val="es-ES"/>
        </w:rPr>
        <w:t xml:space="preserve"> </w:t>
      </w:r>
      <w:hyperlink r:id="rId3" w:history="1">
        <w:r w:rsidR="00C40C3A" w:rsidRPr="00C40C3A">
          <w:rPr>
            <w:rStyle w:val="Hyperlink"/>
            <w:lang w:val="es-ES"/>
          </w:rPr>
          <w:t>https://www.itu.int/en/ITU-D/Regional-Presence/Americas/Pages/EVENTS/2024/cons-awa-2024.aspx#</w:t>
        </w:r>
      </w:hyperlink>
      <w:r w:rsidR="00C40C3A" w:rsidRPr="00C40C3A">
        <w:rPr>
          <w:lang w:val="es-ES"/>
        </w:rPr>
        <w:t>.</w:t>
      </w:r>
    </w:p>
  </w:footnote>
  <w:footnote w:id="4">
    <w:p w14:paraId="798E9276" w14:textId="38769D81" w:rsidR="009B437E" w:rsidRPr="00C40C3A" w:rsidRDefault="009B437E" w:rsidP="009B437E">
      <w:pPr>
        <w:pStyle w:val="FootnoteText"/>
        <w:spacing w:before="0"/>
        <w:rPr>
          <w:szCs w:val="24"/>
          <w:lang w:val="es-ES"/>
        </w:rPr>
      </w:pPr>
      <w:r w:rsidRPr="00994857">
        <w:rPr>
          <w:rStyle w:val="FootnoteReference"/>
          <w:sz w:val="20"/>
          <w:lang w:val="es-ES"/>
        </w:rPr>
        <w:footnoteRef/>
      </w:r>
      <w:r w:rsidRPr="00C40C3A">
        <w:rPr>
          <w:sz w:val="20"/>
          <w:lang w:val="es-ES"/>
        </w:rPr>
        <w:t xml:space="preserve"> </w:t>
      </w:r>
      <w:r w:rsidRPr="00C40C3A">
        <w:rPr>
          <w:szCs w:val="24"/>
          <w:lang w:val="es-ES"/>
        </w:rPr>
        <w:t>Véanse</w:t>
      </w:r>
      <w:r w:rsidRPr="00C40C3A">
        <w:rPr>
          <w:sz w:val="20"/>
          <w:lang w:val="es-ES"/>
        </w:rPr>
        <w:t xml:space="preserve"> </w:t>
      </w:r>
      <w:hyperlink r:id="rId4" w:history="1">
        <w:r w:rsidR="00C40C3A" w:rsidRPr="00C40C3A">
          <w:rPr>
            <w:rStyle w:val="Hyperlink"/>
            <w:lang w:val="es-ES"/>
          </w:rPr>
          <w:t>https://www.itu.int/en/ITU-D/Study-Groups/2022-2025/Pages/meetings/workshop-innovation-may23.aspx</w:t>
        </w:r>
      </w:hyperlink>
      <w:r w:rsidR="00C40C3A">
        <w:rPr>
          <w:sz w:val="20"/>
          <w:lang w:val="es-ES"/>
        </w:rPr>
        <w:t xml:space="preserve"> </w:t>
      </w:r>
      <w:r w:rsidRPr="00C40C3A">
        <w:rPr>
          <w:szCs w:val="24"/>
          <w:lang w:val="es-ES"/>
        </w:rPr>
        <w:t>y</w:t>
      </w:r>
      <w:r w:rsidRPr="00C40C3A">
        <w:rPr>
          <w:sz w:val="20"/>
          <w:lang w:val="es-ES"/>
        </w:rPr>
        <w:t xml:space="preserve"> </w:t>
      </w:r>
      <w:hyperlink r:id="rId5" w:history="1">
        <w:r w:rsidRPr="00C40C3A">
          <w:rPr>
            <w:rStyle w:val="Hyperlink"/>
            <w:lang w:val="es-ES"/>
          </w:rPr>
          <w:t>https://www.itu.int/en/ITU-D/Study-Groups/2022-2025/Pages/meetings/workshop-products_usage-may23.aspx</w:t>
        </w:r>
      </w:hyperlink>
      <w:r w:rsidR="00C40C3A" w:rsidRPr="00C40C3A">
        <w:rPr>
          <w:szCs w:val="24"/>
          <w:lang w:val="es-ES"/>
        </w:rPr>
        <w:t>.</w:t>
      </w:r>
    </w:p>
  </w:footnote>
  <w:footnote w:id="5">
    <w:p w14:paraId="6D95BE3D" w14:textId="77777777" w:rsidR="009B437E" w:rsidRPr="00994857" w:rsidRDefault="009B437E" w:rsidP="00F96E56">
      <w:pPr>
        <w:rPr>
          <w:lang w:val="es-ES"/>
        </w:rPr>
      </w:pPr>
      <w:r w:rsidRPr="00994857">
        <w:rPr>
          <w:lang w:val="es-ES"/>
        </w:rPr>
        <w:footnoteRef/>
      </w:r>
      <w:r w:rsidRPr="00994857">
        <w:rPr>
          <w:lang w:val="es-ES"/>
        </w:rPr>
        <w:t xml:space="preserve"> Cuestiones del UIT-D: C1/1 (Banda ancha), C3/1 (Telecomunicaciones de emergencia), C4/1 (Aspectos económicos), C5/1 (Conectividad remota), C1/2 (Ciudades y comunidades inteligentes), C2/2 (Servicios y aplicaciones electrónicos), C7/2 (CEM).</w:t>
      </w:r>
    </w:p>
  </w:footnote>
  <w:footnote w:id="6">
    <w:p w14:paraId="24B0104A" w14:textId="6730E19F" w:rsidR="009B437E" w:rsidRPr="00C40C3A" w:rsidRDefault="009B437E" w:rsidP="009B437E">
      <w:pPr>
        <w:pStyle w:val="FootnoteText"/>
        <w:spacing w:before="0"/>
        <w:rPr>
          <w:lang w:val="es-ES"/>
        </w:rPr>
      </w:pPr>
      <w:r w:rsidRPr="00994857">
        <w:rPr>
          <w:rStyle w:val="FootnoteReference"/>
          <w:sz w:val="20"/>
          <w:lang w:val="es-ES"/>
        </w:rPr>
        <w:footnoteRef/>
      </w:r>
      <w:r w:rsidRPr="00994857">
        <w:rPr>
          <w:sz w:val="20"/>
          <w:lang w:val="es-ES"/>
        </w:rPr>
        <w:t xml:space="preserve"> </w:t>
      </w:r>
      <w:r w:rsidRPr="000E446D">
        <w:rPr>
          <w:szCs w:val="24"/>
          <w:lang w:val="es-ES"/>
        </w:rPr>
        <w:t xml:space="preserve">Véase el Documento </w:t>
      </w:r>
      <w:hyperlink r:id="rId6" w:history="1">
        <w:r w:rsidRPr="000E446D">
          <w:rPr>
            <w:rStyle w:val="Hyperlink"/>
            <w:lang w:val="es-ES"/>
          </w:rPr>
          <w:t>1/3</w:t>
        </w:r>
        <w:r w:rsidRPr="000E446D">
          <w:rPr>
            <w:rStyle w:val="Hyperlink"/>
            <w:lang w:val="es-ES"/>
          </w:rPr>
          <w:t>2</w:t>
        </w:r>
        <w:r w:rsidRPr="000E446D">
          <w:rPr>
            <w:rStyle w:val="Hyperlink"/>
            <w:lang w:val="es-ES"/>
          </w:rPr>
          <w:t>9</w:t>
        </w:r>
      </w:hyperlink>
      <w:r w:rsidR="00C40C3A" w:rsidRPr="00C40C3A">
        <w:rPr>
          <w:lang w:val="es-ES"/>
        </w:rPr>
        <w:t>.</w:t>
      </w:r>
    </w:p>
  </w:footnote>
  <w:footnote w:id="7">
    <w:p w14:paraId="116DB08A" w14:textId="5BCC5D1E" w:rsidR="009B437E" w:rsidRPr="00C40C3A" w:rsidRDefault="009B437E" w:rsidP="009B437E">
      <w:pPr>
        <w:spacing w:before="0"/>
        <w:rPr>
          <w:szCs w:val="24"/>
          <w:lang w:val="es-ES"/>
        </w:rPr>
      </w:pPr>
      <w:r w:rsidRPr="00994857">
        <w:rPr>
          <w:sz w:val="20"/>
          <w:lang w:val="es-ES"/>
        </w:rPr>
        <w:footnoteRef/>
      </w:r>
      <w:r w:rsidRPr="00994857">
        <w:rPr>
          <w:sz w:val="20"/>
          <w:lang w:val="es-ES"/>
        </w:rPr>
        <w:t xml:space="preserve"> </w:t>
      </w:r>
      <w:hyperlink r:id="rId7" w:history="1">
        <w:r w:rsidRPr="00C40C3A">
          <w:rPr>
            <w:rStyle w:val="Hyperlink"/>
            <w:lang w:val="es-ES"/>
          </w:rPr>
          <w:t>https://www.itu.int/itu-d/sites/projectumc/home/the-umc-project/</w:t>
        </w:r>
      </w:hyperlink>
      <w:r w:rsidR="00C40C3A" w:rsidRPr="00C40C3A">
        <w:rPr>
          <w:lang w:val="es-ES"/>
        </w:rPr>
        <w:t>.</w:t>
      </w:r>
    </w:p>
  </w:footnote>
  <w:footnote w:id="8">
    <w:p w14:paraId="381A66D0" w14:textId="12430D89" w:rsidR="009B437E" w:rsidRPr="00C40C3A" w:rsidRDefault="009B437E" w:rsidP="009B437E">
      <w:pPr>
        <w:spacing w:before="0"/>
        <w:rPr>
          <w:szCs w:val="24"/>
          <w:lang w:val="es-ES"/>
        </w:rPr>
      </w:pPr>
      <w:r w:rsidRPr="00994857">
        <w:rPr>
          <w:sz w:val="20"/>
          <w:lang w:val="es-ES"/>
        </w:rPr>
        <w:footnoteRef/>
      </w:r>
      <w:r w:rsidRPr="00994857">
        <w:rPr>
          <w:sz w:val="20"/>
          <w:lang w:val="es-ES"/>
        </w:rPr>
        <w:t xml:space="preserve"> </w:t>
      </w:r>
      <w:hyperlink r:id="rId8" w:history="1">
        <w:r w:rsidRPr="00C40C3A">
          <w:rPr>
            <w:rStyle w:val="Hyperlink"/>
            <w:lang w:val="es-ES"/>
          </w:rPr>
          <w:t>https://www.itu.int/en/ITU-D/Projects/ITU-EC-ACP/PRIDA/Pages/default.aspx</w:t>
        </w:r>
      </w:hyperlink>
      <w:r w:rsidR="00C40C3A" w:rsidRPr="00C40C3A">
        <w:rPr>
          <w:lang w:val="es-ES"/>
        </w:rPr>
        <w:t>.</w:t>
      </w:r>
    </w:p>
  </w:footnote>
  <w:footnote w:id="9">
    <w:p w14:paraId="67E71ABE" w14:textId="78C8125E" w:rsidR="009B437E" w:rsidRPr="00C40C3A" w:rsidRDefault="009B437E" w:rsidP="009B437E">
      <w:pPr>
        <w:spacing w:before="0"/>
        <w:rPr>
          <w:szCs w:val="24"/>
          <w:lang w:val="es-ES"/>
        </w:rPr>
      </w:pPr>
      <w:r w:rsidRPr="00994857">
        <w:rPr>
          <w:sz w:val="20"/>
          <w:lang w:val="es-ES"/>
        </w:rPr>
        <w:footnoteRef/>
      </w:r>
      <w:r w:rsidRPr="00994857">
        <w:rPr>
          <w:sz w:val="20"/>
          <w:lang w:val="es-ES"/>
        </w:rPr>
        <w:t xml:space="preserve"> </w:t>
      </w:r>
      <w:hyperlink r:id="rId9" w:history="1">
        <w:r w:rsidRPr="009247F3">
          <w:rPr>
            <w:rStyle w:val="Hyperlink"/>
            <w:lang w:val="es-ES"/>
          </w:rPr>
          <w:t>https://www.itu.int/generationconnect/</w:t>
        </w:r>
      </w:hyperlink>
      <w:r w:rsidR="00C40C3A" w:rsidRPr="009247F3">
        <w:rPr>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770FD" w14:textId="690C559A" w:rsidR="00721657" w:rsidRPr="00A525CC" w:rsidRDefault="00A525CC" w:rsidP="00307769">
    <w:pPr>
      <w:tabs>
        <w:tab w:val="clear" w:pos="794"/>
        <w:tab w:val="clear" w:pos="1191"/>
        <w:tab w:val="clear" w:pos="1588"/>
        <w:tab w:val="clear" w:pos="1985"/>
        <w:tab w:val="center" w:pos="4820"/>
        <w:tab w:val="right" w:pos="9639"/>
      </w:tabs>
      <w:ind w:right="1"/>
      <w:rPr>
        <w:rStyle w:val="PageNumber"/>
      </w:rPr>
    </w:pPr>
    <w:r w:rsidRPr="00972BCD">
      <w:rPr>
        <w:sz w:val="22"/>
        <w:szCs w:val="22"/>
      </w:rPr>
      <w:tab/>
    </w:r>
    <w:r w:rsidRPr="00A54E72">
      <w:rPr>
        <w:sz w:val="22"/>
        <w:szCs w:val="22"/>
        <w:lang w:val="de-CH"/>
      </w:rPr>
      <w:t>TDAG</w:t>
    </w:r>
    <w:r w:rsidR="003242AB">
      <w:rPr>
        <w:sz w:val="22"/>
        <w:szCs w:val="22"/>
        <w:lang w:val="de-CH"/>
      </w:rPr>
      <w:t>-</w:t>
    </w:r>
    <w:r w:rsidR="00923CF1">
      <w:rPr>
        <w:sz w:val="22"/>
        <w:szCs w:val="22"/>
        <w:lang w:val="de-CH"/>
      </w:rPr>
      <w:t>2</w:t>
    </w:r>
    <w:r w:rsidR="00FD34DF">
      <w:rPr>
        <w:sz w:val="22"/>
        <w:szCs w:val="22"/>
        <w:lang w:val="de-CH"/>
      </w:rPr>
      <w:t>5</w:t>
    </w:r>
    <w:r w:rsidRPr="00A54E72">
      <w:rPr>
        <w:sz w:val="22"/>
        <w:szCs w:val="22"/>
        <w:lang w:val="de-CH"/>
      </w:rPr>
      <w:t>/</w:t>
    </w:r>
    <w:r w:rsidR="009B437E">
      <w:rPr>
        <w:sz w:val="22"/>
        <w:szCs w:val="22"/>
        <w:lang w:val="de-CH"/>
      </w:rPr>
      <w:t>15</w:t>
    </w:r>
    <w:r w:rsidRPr="006D271A">
      <w:rPr>
        <w:sz w:val="22"/>
        <w:szCs w:val="22"/>
        <w:lang w:val="de-CH"/>
      </w:rPr>
      <w:t>-</w:t>
    </w:r>
    <w:r w:rsidR="00842E57">
      <w:rPr>
        <w:sz w:val="22"/>
        <w:szCs w:val="22"/>
        <w:lang w:val="de-CH"/>
      </w:rPr>
      <w:t>S</w:t>
    </w:r>
    <w:r w:rsidRPr="006D271A">
      <w:rPr>
        <w:sz w:val="22"/>
        <w:szCs w:val="22"/>
        <w:lang w:val="de-CH"/>
      </w:rPr>
      <w:tab/>
    </w:r>
    <w:r w:rsidR="00842E57">
      <w:rPr>
        <w:sz w:val="22"/>
        <w:szCs w:val="22"/>
        <w:lang w:val="de-CH"/>
      </w:rPr>
      <w:t>Página</w:t>
    </w:r>
    <w:r w:rsidRPr="006D271A">
      <w:rPr>
        <w:sz w:val="22"/>
        <w:szCs w:val="22"/>
        <w:lang w:val="de-CH"/>
      </w:rPr>
      <w:t xml:space="preserv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sidR="004D7DAB">
      <w:rPr>
        <w:noProof/>
        <w:sz w:val="22"/>
        <w:szCs w:val="22"/>
        <w:lang w:val="de-CH"/>
      </w:rPr>
      <w:t>2</w:t>
    </w:r>
    <w:r w:rsidRPr="00972BCD">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1A5B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6AB7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2D0C2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8816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BA67B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3E77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1607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9FE1F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DA8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0A460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A0544"/>
    <w:multiLevelType w:val="hybridMultilevel"/>
    <w:tmpl w:val="BD82B1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8156EA"/>
    <w:multiLevelType w:val="hybridMultilevel"/>
    <w:tmpl w:val="BF3E45F2"/>
    <w:lvl w:ilvl="0" w:tplc="93E6492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51474BC"/>
    <w:multiLevelType w:val="hybridMultilevel"/>
    <w:tmpl w:val="31BC50BA"/>
    <w:lvl w:ilvl="0" w:tplc="93E6492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7C532F9"/>
    <w:multiLevelType w:val="hybridMultilevel"/>
    <w:tmpl w:val="56E26E14"/>
    <w:lvl w:ilvl="0" w:tplc="01845F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8E43F1F"/>
    <w:multiLevelType w:val="hybridMultilevel"/>
    <w:tmpl w:val="E44E4782"/>
    <w:lvl w:ilvl="0" w:tplc="93E6492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0E131A5"/>
    <w:multiLevelType w:val="hybridMultilevel"/>
    <w:tmpl w:val="AB3468C8"/>
    <w:lvl w:ilvl="0" w:tplc="93E6492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48603F7"/>
    <w:multiLevelType w:val="hybridMultilevel"/>
    <w:tmpl w:val="B3705D7C"/>
    <w:lvl w:ilvl="0" w:tplc="93E6492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47C76E8D"/>
    <w:multiLevelType w:val="hybridMultilevel"/>
    <w:tmpl w:val="636A782C"/>
    <w:lvl w:ilvl="0" w:tplc="FFFFFFFF">
      <w:start w:val="1"/>
      <w:numFmt w:val="lowerLetter"/>
      <w:lvlText w:val="%1)"/>
      <w:lvlJc w:val="left"/>
      <w:pPr>
        <w:ind w:left="720" w:hanging="360"/>
      </w:pPr>
      <w:rPr>
        <w:rFonts w:hint="default"/>
      </w:rPr>
    </w:lvl>
    <w:lvl w:ilvl="1" w:tplc="89E0F2AC">
      <w:numFmt w:val="bullet"/>
      <w:lvlText w:val="-"/>
      <w:lvlJc w:val="left"/>
      <w:pPr>
        <w:ind w:left="1650" w:hanging="570"/>
      </w:pPr>
      <w:rPr>
        <w:rFonts w:ascii="Calibri" w:eastAsiaTheme="minorEastAsia" w:hAnsi="Calibri" w:cs="Calibri" w:hint="default"/>
      </w:rPr>
    </w:lvl>
    <w:lvl w:ilvl="2" w:tplc="A0985CA2">
      <w:start w:val="1"/>
      <w:numFmt w:val="decimal"/>
      <w:lvlText w:val="%3."/>
      <w:lvlJc w:val="left"/>
      <w:pPr>
        <w:ind w:left="2340" w:hanging="360"/>
      </w:pPr>
      <w:rPr>
        <w:rFonts w:hint="default"/>
        <w:color w:val="000000" w:themeColor="text1"/>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82598F"/>
    <w:multiLevelType w:val="hybridMultilevel"/>
    <w:tmpl w:val="940E6DE6"/>
    <w:lvl w:ilvl="0" w:tplc="93E6492E">
      <w:start w:val="1"/>
      <w:numFmt w:val="bullet"/>
      <w:lvlText w:val=""/>
      <w:lvlJc w:val="left"/>
      <w:pPr>
        <w:ind w:left="720" w:hanging="360"/>
      </w:pPr>
      <w:rPr>
        <w:rFonts w:ascii="Symbol" w:hAnsi="Symbol" w:hint="default"/>
      </w:rPr>
    </w:lvl>
    <w:lvl w:ilvl="1" w:tplc="93E6492E">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20" w15:restartNumberingAfterBreak="0">
    <w:nsid w:val="666331D8"/>
    <w:multiLevelType w:val="hybridMultilevel"/>
    <w:tmpl w:val="34E0F35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B975DA2"/>
    <w:multiLevelType w:val="hybridMultilevel"/>
    <w:tmpl w:val="B00A062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F3866C0"/>
    <w:multiLevelType w:val="hybridMultilevel"/>
    <w:tmpl w:val="CFE61F56"/>
    <w:lvl w:ilvl="0" w:tplc="93E6492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32918067">
    <w:abstractNumId w:val="19"/>
  </w:num>
  <w:num w:numId="2" w16cid:durableId="803815946">
    <w:abstractNumId w:val="10"/>
  </w:num>
  <w:num w:numId="3" w16cid:durableId="1218322208">
    <w:abstractNumId w:val="20"/>
  </w:num>
  <w:num w:numId="4" w16cid:durableId="959915478">
    <w:abstractNumId w:val="17"/>
  </w:num>
  <w:num w:numId="5" w16cid:durableId="1325091340">
    <w:abstractNumId w:val="13"/>
  </w:num>
  <w:num w:numId="6" w16cid:durableId="1674838427">
    <w:abstractNumId w:val="15"/>
  </w:num>
  <w:num w:numId="7" w16cid:durableId="872310057">
    <w:abstractNumId w:val="11"/>
  </w:num>
  <w:num w:numId="8" w16cid:durableId="300620321">
    <w:abstractNumId w:val="22"/>
  </w:num>
  <w:num w:numId="9" w16cid:durableId="207492890">
    <w:abstractNumId w:val="12"/>
  </w:num>
  <w:num w:numId="10" w16cid:durableId="76951438">
    <w:abstractNumId w:val="14"/>
  </w:num>
  <w:num w:numId="11" w16cid:durableId="410394392">
    <w:abstractNumId w:val="18"/>
  </w:num>
  <w:num w:numId="12" w16cid:durableId="200360989">
    <w:abstractNumId w:val="16"/>
  </w:num>
  <w:num w:numId="13" w16cid:durableId="1568422476">
    <w:abstractNumId w:val="21"/>
  </w:num>
  <w:num w:numId="14" w16cid:durableId="1485514191">
    <w:abstractNumId w:val="9"/>
  </w:num>
  <w:num w:numId="15" w16cid:durableId="1358433567">
    <w:abstractNumId w:val="7"/>
  </w:num>
  <w:num w:numId="16" w16cid:durableId="1522939273">
    <w:abstractNumId w:val="6"/>
  </w:num>
  <w:num w:numId="17" w16cid:durableId="526871322">
    <w:abstractNumId w:val="5"/>
  </w:num>
  <w:num w:numId="18" w16cid:durableId="377976136">
    <w:abstractNumId w:val="4"/>
  </w:num>
  <w:num w:numId="19" w16cid:durableId="130177615">
    <w:abstractNumId w:val="8"/>
  </w:num>
  <w:num w:numId="20" w16cid:durableId="1272786451">
    <w:abstractNumId w:val="3"/>
  </w:num>
  <w:num w:numId="21" w16cid:durableId="217598151">
    <w:abstractNumId w:val="2"/>
  </w:num>
  <w:num w:numId="22" w16cid:durableId="1022590607">
    <w:abstractNumId w:val="1"/>
  </w:num>
  <w:num w:numId="23" w16cid:durableId="19090259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embedSystemFonts/>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6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C43"/>
    <w:rsid w:val="00002716"/>
    <w:rsid w:val="00003C43"/>
    <w:rsid w:val="00005791"/>
    <w:rsid w:val="00010827"/>
    <w:rsid w:val="00015089"/>
    <w:rsid w:val="0002520B"/>
    <w:rsid w:val="00037A9E"/>
    <w:rsid w:val="00037F91"/>
    <w:rsid w:val="000539F1"/>
    <w:rsid w:val="00054747"/>
    <w:rsid w:val="00055A2A"/>
    <w:rsid w:val="000615C1"/>
    <w:rsid w:val="00061675"/>
    <w:rsid w:val="000743AA"/>
    <w:rsid w:val="0009076F"/>
    <w:rsid w:val="0009225C"/>
    <w:rsid w:val="000A17C4"/>
    <w:rsid w:val="000A36A4"/>
    <w:rsid w:val="000B2352"/>
    <w:rsid w:val="000C7B84"/>
    <w:rsid w:val="000D261B"/>
    <w:rsid w:val="000D58A3"/>
    <w:rsid w:val="000E3ED4"/>
    <w:rsid w:val="000E3F9C"/>
    <w:rsid w:val="000E446D"/>
    <w:rsid w:val="000F1550"/>
    <w:rsid w:val="000F251B"/>
    <w:rsid w:val="000F5FE8"/>
    <w:rsid w:val="000F6644"/>
    <w:rsid w:val="00100833"/>
    <w:rsid w:val="00102F72"/>
    <w:rsid w:val="001031E9"/>
    <w:rsid w:val="00107E85"/>
    <w:rsid w:val="00113EE8"/>
    <w:rsid w:val="0011455A"/>
    <w:rsid w:val="00114A65"/>
    <w:rsid w:val="00126EBF"/>
    <w:rsid w:val="00133061"/>
    <w:rsid w:val="00141699"/>
    <w:rsid w:val="00146CE0"/>
    <w:rsid w:val="00147000"/>
    <w:rsid w:val="00162707"/>
    <w:rsid w:val="00163091"/>
    <w:rsid w:val="001645CB"/>
    <w:rsid w:val="00166305"/>
    <w:rsid w:val="00167545"/>
    <w:rsid w:val="001703C6"/>
    <w:rsid w:val="00173781"/>
    <w:rsid w:val="00175ADF"/>
    <w:rsid w:val="00175CAE"/>
    <w:rsid w:val="001828DB"/>
    <w:rsid w:val="001850FE"/>
    <w:rsid w:val="00185135"/>
    <w:rsid w:val="0019037C"/>
    <w:rsid w:val="001905A9"/>
    <w:rsid w:val="00191273"/>
    <w:rsid w:val="001942A7"/>
    <w:rsid w:val="0019587B"/>
    <w:rsid w:val="001A163D"/>
    <w:rsid w:val="001A441E"/>
    <w:rsid w:val="001A6733"/>
    <w:rsid w:val="001B357F"/>
    <w:rsid w:val="001C3444"/>
    <w:rsid w:val="001C3702"/>
    <w:rsid w:val="001C4656"/>
    <w:rsid w:val="001C46BC"/>
    <w:rsid w:val="001D1E06"/>
    <w:rsid w:val="001F158B"/>
    <w:rsid w:val="001F23E6"/>
    <w:rsid w:val="001F4238"/>
    <w:rsid w:val="00200A38"/>
    <w:rsid w:val="00200A46"/>
    <w:rsid w:val="00202ACB"/>
    <w:rsid w:val="00211B6F"/>
    <w:rsid w:val="00217CC3"/>
    <w:rsid w:val="00220AB6"/>
    <w:rsid w:val="0022120F"/>
    <w:rsid w:val="0022754A"/>
    <w:rsid w:val="00234BB7"/>
    <w:rsid w:val="00236560"/>
    <w:rsid w:val="0023662E"/>
    <w:rsid w:val="00245D0F"/>
    <w:rsid w:val="002548C3"/>
    <w:rsid w:val="00257ACD"/>
    <w:rsid w:val="00262908"/>
    <w:rsid w:val="002650F4"/>
    <w:rsid w:val="002707B1"/>
    <w:rsid w:val="002715FD"/>
    <w:rsid w:val="002770B1"/>
    <w:rsid w:val="00285B33"/>
    <w:rsid w:val="00287A3C"/>
    <w:rsid w:val="002A2FC6"/>
    <w:rsid w:val="002A6510"/>
    <w:rsid w:val="002C1EC7"/>
    <w:rsid w:val="002C3015"/>
    <w:rsid w:val="002C4342"/>
    <w:rsid w:val="002C7EA3"/>
    <w:rsid w:val="002D20AE"/>
    <w:rsid w:val="002D6C61"/>
    <w:rsid w:val="002E2104"/>
    <w:rsid w:val="002E2DAC"/>
    <w:rsid w:val="002E6963"/>
    <w:rsid w:val="002E6F8F"/>
    <w:rsid w:val="002F05D8"/>
    <w:rsid w:val="002F2DE0"/>
    <w:rsid w:val="002F5E25"/>
    <w:rsid w:val="0030353C"/>
    <w:rsid w:val="00307769"/>
    <w:rsid w:val="003125C3"/>
    <w:rsid w:val="00312AE6"/>
    <w:rsid w:val="00317D1A"/>
    <w:rsid w:val="003211FF"/>
    <w:rsid w:val="003242AB"/>
    <w:rsid w:val="00327247"/>
    <w:rsid w:val="00327A9D"/>
    <w:rsid w:val="0033130E"/>
    <w:rsid w:val="0033269C"/>
    <w:rsid w:val="00341DA6"/>
    <w:rsid w:val="00351C79"/>
    <w:rsid w:val="0035516C"/>
    <w:rsid w:val="00355A4C"/>
    <w:rsid w:val="003604FB"/>
    <w:rsid w:val="00360B73"/>
    <w:rsid w:val="00372ED3"/>
    <w:rsid w:val="00380B71"/>
    <w:rsid w:val="0038365A"/>
    <w:rsid w:val="00386A89"/>
    <w:rsid w:val="0039648E"/>
    <w:rsid w:val="003A5AFE"/>
    <w:rsid w:val="003A5D5F"/>
    <w:rsid w:val="003A7FFE"/>
    <w:rsid w:val="003B0A63"/>
    <w:rsid w:val="003B50E1"/>
    <w:rsid w:val="003C1746"/>
    <w:rsid w:val="003C2AA9"/>
    <w:rsid w:val="003C58BF"/>
    <w:rsid w:val="003C6C09"/>
    <w:rsid w:val="003D451D"/>
    <w:rsid w:val="003F2DD8"/>
    <w:rsid w:val="003F3F2D"/>
    <w:rsid w:val="003F50B2"/>
    <w:rsid w:val="00400CCF"/>
    <w:rsid w:val="004010E2"/>
    <w:rsid w:val="00401BFF"/>
    <w:rsid w:val="00404424"/>
    <w:rsid w:val="0041156B"/>
    <w:rsid w:val="004122C5"/>
    <w:rsid w:val="00413B78"/>
    <w:rsid w:val="00416DDE"/>
    <w:rsid w:val="0044411E"/>
    <w:rsid w:val="00450B37"/>
    <w:rsid w:val="00453435"/>
    <w:rsid w:val="00460089"/>
    <w:rsid w:val="00466398"/>
    <w:rsid w:val="0047306D"/>
    <w:rsid w:val="00473791"/>
    <w:rsid w:val="00476E48"/>
    <w:rsid w:val="00481DE9"/>
    <w:rsid w:val="0049128B"/>
    <w:rsid w:val="00493B49"/>
    <w:rsid w:val="00495501"/>
    <w:rsid w:val="004A070A"/>
    <w:rsid w:val="004A320E"/>
    <w:rsid w:val="004A4E9C"/>
    <w:rsid w:val="004B1A3C"/>
    <w:rsid w:val="004B6F0B"/>
    <w:rsid w:val="004D2CC3"/>
    <w:rsid w:val="004D35CB"/>
    <w:rsid w:val="004D7DAB"/>
    <w:rsid w:val="004E20E5"/>
    <w:rsid w:val="004E64EA"/>
    <w:rsid w:val="004E7828"/>
    <w:rsid w:val="004F46AA"/>
    <w:rsid w:val="004F6A70"/>
    <w:rsid w:val="00500AD7"/>
    <w:rsid w:val="00502ABF"/>
    <w:rsid w:val="00504DB0"/>
    <w:rsid w:val="00507C35"/>
    <w:rsid w:val="00507FAE"/>
    <w:rsid w:val="00510735"/>
    <w:rsid w:val="00514D2F"/>
    <w:rsid w:val="0054420E"/>
    <w:rsid w:val="00544D1B"/>
    <w:rsid w:val="00545DC0"/>
    <w:rsid w:val="00545F6C"/>
    <w:rsid w:val="005477D9"/>
    <w:rsid w:val="0055720C"/>
    <w:rsid w:val="00561796"/>
    <w:rsid w:val="005632DD"/>
    <w:rsid w:val="0056423B"/>
    <w:rsid w:val="00573424"/>
    <w:rsid w:val="0057402F"/>
    <w:rsid w:val="00581653"/>
    <w:rsid w:val="005849D6"/>
    <w:rsid w:val="00585367"/>
    <w:rsid w:val="005871A1"/>
    <w:rsid w:val="0058737E"/>
    <w:rsid w:val="00592518"/>
    <w:rsid w:val="00592E87"/>
    <w:rsid w:val="0059420B"/>
    <w:rsid w:val="00594C4D"/>
    <w:rsid w:val="005A33B0"/>
    <w:rsid w:val="005C2DC2"/>
    <w:rsid w:val="005C304A"/>
    <w:rsid w:val="005C3D69"/>
    <w:rsid w:val="005C7C98"/>
    <w:rsid w:val="005D2C3A"/>
    <w:rsid w:val="005D55A4"/>
    <w:rsid w:val="005D57C8"/>
    <w:rsid w:val="005D7761"/>
    <w:rsid w:val="005E0278"/>
    <w:rsid w:val="005E090D"/>
    <w:rsid w:val="005E3CA0"/>
    <w:rsid w:val="005E44B1"/>
    <w:rsid w:val="005E67B0"/>
    <w:rsid w:val="005E7047"/>
    <w:rsid w:val="005E777F"/>
    <w:rsid w:val="005F1CA7"/>
    <w:rsid w:val="005F43DD"/>
    <w:rsid w:val="005F51A9"/>
    <w:rsid w:val="005F59EC"/>
    <w:rsid w:val="005F6BE1"/>
    <w:rsid w:val="005F7416"/>
    <w:rsid w:val="00600C11"/>
    <w:rsid w:val="00606B89"/>
    <w:rsid w:val="00611EAF"/>
    <w:rsid w:val="006162FB"/>
    <w:rsid w:val="00617560"/>
    <w:rsid w:val="00623F30"/>
    <w:rsid w:val="00624FA3"/>
    <w:rsid w:val="00625FB8"/>
    <w:rsid w:val="006261BD"/>
    <w:rsid w:val="00635EDB"/>
    <w:rsid w:val="0064734E"/>
    <w:rsid w:val="00650137"/>
    <w:rsid w:val="006509D7"/>
    <w:rsid w:val="00651CE8"/>
    <w:rsid w:val="0065521B"/>
    <w:rsid w:val="0066406B"/>
    <w:rsid w:val="00671EF6"/>
    <w:rsid w:val="0067205B"/>
    <w:rsid w:val="006748F8"/>
    <w:rsid w:val="00680489"/>
    <w:rsid w:val="00683C32"/>
    <w:rsid w:val="00690BB2"/>
    <w:rsid w:val="00693D09"/>
    <w:rsid w:val="006A02DF"/>
    <w:rsid w:val="006A6549"/>
    <w:rsid w:val="006A7710"/>
    <w:rsid w:val="006A7A61"/>
    <w:rsid w:val="006B1E59"/>
    <w:rsid w:val="006B2FFB"/>
    <w:rsid w:val="006B5AA9"/>
    <w:rsid w:val="006C10A2"/>
    <w:rsid w:val="006C1F18"/>
    <w:rsid w:val="006D40D5"/>
    <w:rsid w:val="006F009A"/>
    <w:rsid w:val="006F3D93"/>
    <w:rsid w:val="007019B1"/>
    <w:rsid w:val="00721657"/>
    <w:rsid w:val="007279A8"/>
    <w:rsid w:val="00727B1A"/>
    <w:rsid w:val="00741337"/>
    <w:rsid w:val="00750580"/>
    <w:rsid w:val="00752258"/>
    <w:rsid w:val="007529E1"/>
    <w:rsid w:val="00762880"/>
    <w:rsid w:val="00762AD6"/>
    <w:rsid w:val="00762E02"/>
    <w:rsid w:val="00772290"/>
    <w:rsid w:val="00777265"/>
    <w:rsid w:val="007805E7"/>
    <w:rsid w:val="0078222A"/>
    <w:rsid w:val="00787D48"/>
    <w:rsid w:val="00795294"/>
    <w:rsid w:val="007A40D1"/>
    <w:rsid w:val="007A4E50"/>
    <w:rsid w:val="007B18A7"/>
    <w:rsid w:val="007B250E"/>
    <w:rsid w:val="007C27FC"/>
    <w:rsid w:val="007C51FF"/>
    <w:rsid w:val="007D50E4"/>
    <w:rsid w:val="007E2DC5"/>
    <w:rsid w:val="007F1CC7"/>
    <w:rsid w:val="008027AC"/>
    <w:rsid w:val="008028CE"/>
    <w:rsid w:val="0080332E"/>
    <w:rsid w:val="008141E0"/>
    <w:rsid w:val="00816EE1"/>
    <w:rsid w:val="00816F88"/>
    <w:rsid w:val="00821996"/>
    <w:rsid w:val="00822323"/>
    <w:rsid w:val="00827BC6"/>
    <w:rsid w:val="008300AD"/>
    <w:rsid w:val="00833024"/>
    <w:rsid w:val="008419B1"/>
    <w:rsid w:val="00842E57"/>
    <w:rsid w:val="00844A56"/>
    <w:rsid w:val="00845B11"/>
    <w:rsid w:val="00852081"/>
    <w:rsid w:val="00872B6E"/>
    <w:rsid w:val="00874DFD"/>
    <w:rsid w:val="008802F9"/>
    <w:rsid w:val="00883086"/>
    <w:rsid w:val="008879FD"/>
    <w:rsid w:val="00894C37"/>
    <w:rsid w:val="008A00EA"/>
    <w:rsid w:val="008A3F93"/>
    <w:rsid w:val="008A6236"/>
    <w:rsid w:val="008A6E1C"/>
    <w:rsid w:val="008A72FD"/>
    <w:rsid w:val="008B2EDF"/>
    <w:rsid w:val="008B47C7"/>
    <w:rsid w:val="008B54CB"/>
    <w:rsid w:val="008B5A3D"/>
    <w:rsid w:val="008B6F67"/>
    <w:rsid w:val="008C4010"/>
    <w:rsid w:val="008C4FDF"/>
    <w:rsid w:val="008C6B1F"/>
    <w:rsid w:val="008D5E4F"/>
    <w:rsid w:val="008E34F0"/>
    <w:rsid w:val="008F14F5"/>
    <w:rsid w:val="008F4CF2"/>
    <w:rsid w:val="008F71C1"/>
    <w:rsid w:val="00902D41"/>
    <w:rsid w:val="00902F49"/>
    <w:rsid w:val="00904230"/>
    <w:rsid w:val="00914004"/>
    <w:rsid w:val="00922EC1"/>
    <w:rsid w:val="00923CF1"/>
    <w:rsid w:val="009247F3"/>
    <w:rsid w:val="009301F1"/>
    <w:rsid w:val="009307DF"/>
    <w:rsid w:val="009359B8"/>
    <w:rsid w:val="00935FF0"/>
    <w:rsid w:val="009431F8"/>
    <w:rsid w:val="00947A35"/>
    <w:rsid w:val="00952667"/>
    <w:rsid w:val="0096201B"/>
    <w:rsid w:val="00962081"/>
    <w:rsid w:val="00966CB5"/>
    <w:rsid w:val="009716D1"/>
    <w:rsid w:val="00975786"/>
    <w:rsid w:val="00981CB7"/>
    <w:rsid w:val="00983E1F"/>
    <w:rsid w:val="00993F46"/>
    <w:rsid w:val="00997358"/>
    <w:rsid w:val="009A452B"/>
    <w:rsid w:val="009B050C"/>
    <w:rsid w:val="009B087F"/>
    <w:rsid w:val="009B2AF4"/>
    <w:rsid w:val="009B437E"/>
    <w:rsid w:val="009C110B"/>
    <w:rsid w:val="009C5441"/>
    <w:rsid w:val="009D119F"/>
    <w:rsid w:val="009D49A2"/>
    <w:rsid w:val="009F3940"/>
    <w:rsid w:val="009F3EB2"/>
    <w:rsid w:val="009F6EB1"/>
    <w:rsid w:val="00A11D05"/>
    <w:rsid w:val="00A13162"/>
    <w:rsid w:val="00A20267"/>
    <w:rsid w:val="00A3158C"/>
    <w:rsid w:val="00A32DF3"/>
    <w:rsid w:val="00A33E32"/>
    <w:rsid w:val="00A35E20"/>
    <w:rsid w:val="00A36F6D"/>
    <w:rsid w:val="00A50CA0"/>
    <w:rsid w:val="00A525CC"/>
    <w:rsid w:val="00A53E7C"/>
    <w:rsid w:val="00A60087"/>
    <w:rsid w:val="00A705E8"/>
    <w:rsid w:val="00A721F4"/>
    <w:rsid w:val="00A9392C"/>
    <w:rsid w:val="00A9462B"/>
    <w:rsid w:val="00A97D59"/>
    <w:rsid w:val="00AA3E09"/>
    <w:rsid w:val="00AA4BEF"/>
    <w:rsid w:val="00AA7095"/>
    <w:rsid w:val="00AB1659"/>
    <w:rsid w:val="00AB4962"/>
    <w:rsid w:val="00AB734E"/>
    <w:rsid w:val="00AB740F"/>
    <w:rsid w:val="00AC6F14"/>
    <w:rsid w:val="00AC7221"/>
    <w:rsid w:val="00AD4677"/>
    <w:rsid w:val="00AE5961"/>
    <w:rsid w:val="00AF0745"/>
    <w:rsid w:val="00AF4971"/>
    <w:rsid w:val="00AF51AE"/>
    <w:rsid w:val="00AF5276"/>
    <w:rsid w:val="00AF7C86"/>
    <w:rsid w:val="00B01046"/>
    <w:rsid w:val="00B20F46"/>
    <w:rsid w:val="00B310F9"/>
    <w:rsid w:val="00B37866"/>
    <w:rsid w:val="00B37B73"/>
    <w:rsid w:val="00B412FB"/>
    <w:rsid w:val="00B42366"/>
    <w:rsid w:val="00B4576B"/>
    <w:rsid w:val="00B46350"/>
    <w:rsid w:val="00B46DF3"/>
    <w:rsid w:val="00B648C7"/>
    <w:rsid w:val="00B66E8F"/>
    <w:rsid w:val="00B80157"/>
    <w:rsid w:val="00B82FB3"/>
    <w:rsid w:val="00B83D5E"/>
    <w:rsid w:val="00B8460A"/>
    <w:rsid w:val="00B8650D"/>
    <w:rsid w:val="00B879B4"/>
    <w:rsid w:val="00B90F07"/>
    <w:rsid w:val="00B9710C"/>
    <w:rsid w:val="00B97BB9"/>
    <w:rsid w:val="00BA0009"/>
    <w:rsid w:val="00BB02B5"/>
    <w:rsid w:val="00BB1863"/>
    <w:rsid w:val="00BB25EE"/>
    <w:rsid w:val="00BB363A"/>
    <w:rsid w:val="00BC06EA"/>
    <w:rsid w:val="00BC10A0"/>
    <w:rsid w:val="00BC7BA2"/>
    <w:rsid w:val="00BD426B"/>
    <w:rsid w:val="00BD79F0"/>
    <w:rsid w:val="00BE2B4D"/>
    <w:rsid w:val="00C015F8"/>
    <w:rsid w:val="00C02C2A"/>
    <w:rsid w:val="00C07E26"/>
    <w:rsid w:val="00C1011C"/>
    <w:rsid w:val="00C12F94"/>
    <w:rsid w:val="00C177C5"/>
    <w:rsid w:val="00C33E29"/>
    <w:rsid w:val="00C34EC3"/>
    <w:rsid w:val="00C4038C"/>
    <w:rsid w:val="00C40C3A"/>
    <w:rsid w:val="00C42BA2"/>
    <w:rsid w:val="00C44066"/>
    <w:rsid w:val="00C44E13"/>
    <w:rsid w:val="00C60A41"/>
    <w:rsid w:val="00C62DE8"/>
    <w:rsid w:val="00C62DFB"/>
    <w:rsid w:val="00C630E6"/>
    <w:rsid w:val="00C63812"/>
    <w:rsid w:val="00C64AF3"/>
    <w:rsid w:val="00C66F4D"/>
    <w:rsid w:val="00C67BB5"/>
    <w:rsid w:val="00C72713"/>
    <w:rsid w:val="00C848EF"/>
    <w:rsid w:val="00C86600"/>
    <w:rsid w:val="00C87BCA"/>
    <w:rsid w:val="00C87EED"/>
    <w:rsid w:val="00C94506"/>
    <w:rsid w:val="00C954BC"/>
    <w:rsid w:val="00CA1F0B"/>
    <w:rsid w:val="00CB110F"/>
    <w:rsid w:val="00CB2A2E"/>
    <w:rsid w:val="00CB338A"/>
    <w:rsid w:val="00CB79C5"/>
    <w:rsid w:val="00CC411F"/>
    <w:rsid w:val="00CC4B75"/>
    <w:rsid w:val="00CC732E"/>
    <w:rsid w:val="00CD2FCD"/>
    <w:rsid w:val="00CD7207"/>
    <w:rsid w:val="00CE0422"/>
    <w:rsid w:val="00CE0DBE"/>
    <w:rsid w:val="00CE5E4D"/>
    <w:rsid w:val="00CF02C4"/>
    <w:rsid w:val="00CF167F"/>
    <w:rsid w:val="00CF6D4A"/>
    <w:rsid w:val="00CF72E5"/>
    <w:rsid w:val="00D013EE"/>
    <w:rsid w:val="00D01F54"/>
    <w:rsid w:val="00D040F7"/>
    <w:rsid w:val="00D04A76"/>
    <w:rsid w:val="00D10FC7"/>
    <w:rsid w:val="00D1519F"/>
    <w:rsid w:val="00D20E99"/>
    <w:rsid w:val="00D21C83"/>
    <w:rsid w:val="00D35BDD"/>
    <w:rsid w:val="00D63006"/>
    <w:rsid w:val="00D636A9"/>
    <w:rsid w:val="00D72301"/>
    <w:rsid w:val="00D8041C"/>
    <w:rsid w:val="00D86DC1"/>
    <w:rsid w:val="00D911DE"/>
    <w:rsid w:val="00D91B97"/>
    <w:rsid w:val="00D93ACC"/>
    <w:rsid w:val="00D93C08"/>
    <w:rsid w:val="00D95DAC"/>
    <w:rsid w:val="00DA0B53"/>
    <w:rsid w:val="00DB1171"/>
    <w:rsid w:val="00DB1519"/>
    <w:rsid w:val="00DB2840"/>
    <w:rsid w:val="00DC1BD3"/>
    <w:rsid w:val="00DC2C1A"/>
    <w:rsid w:val="00DD66B4"/>
    <w:rsid w:val="00DE0E97"/>
    <w:rsid w:val="00DE1972"/>
    <w:rsid w:val="00DE27AB"/>
    <w:rsid w:val="00DF2AB3"/>
    <w:rsid w:val="00DF7250"/>
    <w:rsid w:val="00E00CAA"/>
    <w:rsid w:val="00E03EBF"/>
    <w:rsid w:val="00E05209"/>
    <w:rsid w:val="00E05AC1"/>
    <w:rsid w:val="00E11BCF"/>
    <w:rsid w:val="00E2258E"/>
    <w:rsid w:val="00E260C2"/>
    <w:rsid w:val="00E32596"/>
    <w:rsid w:val="00E35790"/>
    <w:rsid w:val="00E368F7"/>
    <w:rsid w:val="00E36EB8"/>
    <w:rsid w:val="00E37FB8"/>
    <w:rsid w:val="00E40B07"/>
    <w:rsid w:val="00E42326"/>
    <w:rsid w:val="00E43544"/>
    <w:rsid w:val="00E44D89"/>
    <w:rsid w:val="00E477EA"/>
    <w:rsid w:val="00E55807"/>
    <w:rsid w:val="00E63B14"/>
    <w:rsid w:val="00E65CA0"/>
    <w:rsid w:val="00E70D9F"/>
    <w:rsid w:val="00E83810"/>
    <w:rsid w:val="00E86933"/>
    <w:rsid w:val="00E9605B"/>
    <w:rsid w:val="00E97298"/>
    <w:rsid w:val="00E97753"/>
    <w:rsid w:val="00EA0C51"/>
    <w:rsid w:val="00EA7DE7"/>
    <w:rsid w:val="00EB7A8A"/>
    <w:rsid w:val="00EC6FED"/>
    <w:rsid w:val="00EC7F3B"/>
    <w:rsid w:val="00ED5299"/>
    <w:rsid w:val="00EE3A64"/>
    <w:rsid w:val="00EE50E5"/>
    <w:rsid w:val="00EF01CF"/>
    <w:rsid w:val="00F03590"/>
    <w:rsid w:val="00F03622"/>
    <w:rsid w:val="00F077FD"/>
    <w:rsid w:val="00F204F3"/>
    <w:rsid w:val="00F218AB"/>
    <w:rsid w:val="00F238B3"/>
    <w:rsid w:val="00F24FED"/>
    <w:rsid w:val="00F25586"/>
    <w:rsid w:val="00F2651D"/>
    <w:rsid w:val="00F27362"/>
    <w:rsid w:val="00F31498"/>
    <w:rsid w:val="00F32FEF"/>
    <w:rsid w:val="00F41B1C"/>
    <w:rsid w:val="00F42E13"/>
    <w:rsid w:val="00F42F1C"/>
    <w:rsid w:val="00F43B44"/>
    <w:rsid w:val="00F440E5"/>
    <w:rsid w:val="00F448F6"/>
    <w:rsid w:val="00F52741"/>
    <w:rsid w:val="00F53D8A"/>
    <w:rsid w:val="00F626F7"/>
    <w:rsid w:val="00F736F9"/>
    <w:rsid w:val="00F73833"/>
    <w:rsid w:val="00F9211C"/>
    <w:rsid w:val="00F92361"/>
    <w:rsid w:val="00F96E56"/>
    <w:rsid w:val="00FA095D"/>
    <w:rsid w:val="00FA6C8B"/>
    <w:rsid w:val="00FA6CDA"/>
    <w:rsid w:val="00FA7C89"/>
    <w:rsid w:val="00FB4139"/>
    <w:rsid w:val="00FB476E"/>
    <w:rsid w:val="00FC0D90"/>
    <w:rsid w:val="00FC3DA5"/>
    <w:rsid w:val="00FC7D8C"/>
    <w:rsid w:val="00FD34DF"/>
    <w:rsid w:val="00FD3980"/>
    <w:rsid w:val="00FD431E"/>
    <w:rsid w:val="00FD5A2C"/>
    <w:rsid w:val="00FE0D47"/>
    <w:rsid w:val="00FE1D5C"/>
    <w:rsid w:val="00FE2F8B"/>
    <w:rsid w:val="00FE3669"/>
    <w:rsid w:val="00FE5204"/>
    <w:rsid w:val="00FF287F"/>
    <w:rsid w:val="00FF74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2"/>
    </o:shapelayout>
  </w:shapeDefaults>
  <w:decimalSymbol w:val="."/>
  <w:listSeparator w:val=","/>
  <w14:docId w14:val="3FADA8A3"/>
  <w15:docId w15:val="{DDEE480D-52BF-4038-9942-1B7C16C25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7C86"/>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qFormat/>
    <w:rsid w:val="00B37866"/>
    <w:pPr>
      <w:keepNext/>
      <w:keepLines/>
      <w:spacing w:before="280"/>
      <w:ind w:left="794" w:hanging="794"/>
      <w:outlineLvl w:val="0"/>
    </w:pPr>
    <w:rPr>
      <w:b/>
      <w:sz w:val="28"/>
    </w:rPr>
  </w:style>
  <w:style w:type="paragraph" w:styleId="Heading2">
    <w:name w:val="heading 2"/>
    <w:basedOn w:val="Heading1"/>
    <w:next w:val="Normal"/>
    <w:qFormat/>
    <w:rsid w:val="00B37866"/>
    <w:pPr>
      <w:spacing w:before="200"/>
      <w:outlineLvl w:val="1"/>
    </w:pPr>
    <w:rPr>
      <w:sz w:val="24"/>
    </w:rPr>
  </w:style>
  <w:style w:type="paragraph" w:styleId="Heading3">
    <w:name w:val="heading 3"/>
    <w:basedOn w:val="Heading1"/>
    <w:next w:val="Normal"/>
    <w:qFormat/>
    <w:rsid w:val="00B37866"/>
    <w:pPr>
      <w:spacing w:before="200"/>
      <w:outlineLvl w:val="2"/>
    </w:pPr>
    <w:rPr>
      <w:sz w:val="24"/>
    </w:rPr>
  </w:style>
  <w:style w:type="paragraph" w:styleId="Heading4">
    <w:name w:val="heading 4"/>
    <w:basedOn w:val="Heading3"/>
    <w:next w:val="Normal"/>
    <w:qFormat/>
    <w:rsid w:val="00B37866"/>
    <w:pPr>
      <w:tabs>
        <w:tab w:val="clear" w:pos="794"/>
        <w:tab w:val="left" w:pos="992"/>
      </w:tabs>
      <w:ind w:left="992" w:hanging="992"/>
      <w:outlineLvl w:val="3"/>
    </w:pPr>
  </w:style>
  <w:style w:type="paragraph" w:styleId="Heading5">
    <w:name w:val="heading 5"/>
    <w:basedOn w:val="Heading4"/>
    <w:next w:val="Normal"/>
    <w:qFormat/>
    <w:rsid w:val="00B37866"/>
    <w:pPr>
      <w:outlineLvl w:val="4"/>
    </w:pPr>
  </w:style>
  <w:style w:type="paragraph" w:styleId="Heading6">
    <w:name w:val="heading 6"/>
    <w:basedOn w:val="Heading4"/>
    <w:next w:val="Normal"/>
    <w:qFormat/>
    <w:rsid w:val="00B37866"/>
    <w:pPr>
      <w:tabs>
        <w:tab w:val="clear" w:pos="992"/>
        <w:tab w:val="clear" w:pos="1191"/>
      </w:tabs>
      <w:ind w:left="1588" w:hanging="1588"/>
      <w:outlineLvl w:val="5"/>
    </w:pPr>
  </w:style>
  <w:style w:type="paragraph" w:styleId="Heading7">
    <w:name w:val="heading 7"/>
    <w:basedOn w:val="Heading6"/>
    <w:next w:val="Normal"/>
    <w:qFormat/>
    <w:rsid w:val="00B37866"/>
    <w:pPr>
      <w:outlineLvl w:val="6"/>
    </w:pPr>
  </w:style>
  <w:style w:type="paragraph" w:styleId="Heading8">
    <w:name w:val="heading 8"/>
    <w:basedOn w:val="Heading6"/>
    <w:next w:val="Normal"/>
    <w:qFormat/>
    <w:rsid w:val="00B37866"/>
    <w:pPr>
      <w:outlineLvl w:val="7"/>
    </w:pPr>
  </w:style>
  <w:style w:type="paragraph" w:styleId="Heading9">
    <w:name w:val="heading 9"/>
    <w:basedOn w:val="Heading6"/>
    <w:next w:val="Normal"/>
    <w:qFormat/>
    <w:rsid w:val="00B37866"/>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B37866"/>
  </w:style>
  <w:style w:type="paragraph" w:styleId="TOC4">
    <w:name w:val="toc 4"/>
    <w:basedOn w:val="TOC3"/>
    <w:semiHidden/>
    <w:rsid w:val="00B37866"/>
  </w:style>
  <w:style w:type="paragraph" w:styleId="TOC3">
    <w:name w:val="toc 3"/>
    <w:basedOn w:val="TOC2"/>
    <w:rsid w:val="00B37866"/>
  </w:style>
  <w:style w:type="paragraph" w:styleId="TOC2">
    <w:name w:val="toc 2"/>
    <w:basedOn w:val="TOC1"/>
    <w:uiPriority w:val="39"/>
    <w:rsid w:val="00B37866"/>
    <w:pPr>
      <w:spacing w:before="120"/>
    </w:pPr>
  </w:style>
  <w:style w:type="paragraph" w:styleId="TOC1">
    <w:name w:val="toc 1"/>
    <w:basedOn w:val="Normal"/>
    <w:uiPriority w:val="39"/>
    <w:rsid w:val="00B37866"/>
    <w:pPr>
      <w:keepLines/>
      <w:tabs>
        <w:tab w:val="clear" w:pos="794"/>
        <w:tab w:val="clear" w:pos="1191"/>
        <w:tab w:val="clear" w:pos="1588"/>
        <w:tab w:val="clear" w:pos="1985"/>
        <w:tab w:val="left" w:pos="964"/>
        <w:tab w:val="left" w:leader="dot" w:pos="8647"/>
        <w:tab w:val="center" w:pos="9526"/>
      </w:tabs>
      <w:spacing w:before="240"/>
      <w:ind w:left="964" w:hanging="964"/>
    </w:pPr>
  </w:style>
  <w:style w:type="paragraph" w:styleId="TOC7">
    <w:name w:val="toc 7"/>
    <w:basedOn w:val="TOC4"/>
    <w:semiHidden/>
    <w:rsid w:val="00B37866"/>
  </w:style>
  <w:style w:type="paragraph" w:styleId="TOC6">
    <w:name w:val="toc 6"/>
    <w:basedOn w:val="TOC4"/>
    <w:semiHidden/>
    <w:rsid w:val="00B37866"/>
  </w:style>
  <w:style w:type="paragraph" w:styleId="TOC5">
    <w:name w:val="toc 5"/>
    <w:basedOn w:val="TOC4"/>
    <w:semiHidden/>
    <w:rsid w:val="00B37866"/>
  </w:style>
  <w:style w:type="paragraph" w:styleId="Index7">
    <w:name w:val="index 7"/>
    <w:basedOn w:val="Normal"/>
    <w:next w:val="Normal"/>
    <w:semiHidden/>
    <w:rsid w:val="00B37866"/>
    <w:pPr>
      <w:ind w:left="1698"/>
    </w:pPr>
  </w:style>
  <w:style w:type="paragraph" w:styleId="Index6">
    <w:name w:val="index 6"/>
    <w:basedOn w:val="Normal"/>
    <w:next w:val="Normal"/>
    <w:semiHidden/>
    <w:rsid w:val="00B37866"/>
    <w:pPr>
      <w:ind w:left="1415"/>
    </w:pPr>
  </w:style>
  <w:style w:type="paragraph" w:styleId="Index5">
    <w:name w:val="index 5"/>
    <w:basedOn w:val="Normal"/>
    <w:next w:val="Normal"/>
    <w:semiHidden/>
    <w:rsid w:val="00B37866"/>
    <w:pPr>
      <w:ind w:left="1132"/>
    </w:pPr>
  </w:style>
  <w:style w:type="paragraph" w:styleId="Index4">
    <w:name w:val="index 4"/>
    <w:basedOn w:val="Normal"/>
    <w:next w:val="Normal"/>
    <w:semiHidden/>
    <w:rsid w:val="00B37866"/>
    <w:pPr>
      <w:ind w:left="849"/>
    </w:pPr>
  </w:style>
  <w:style w:type="paragraph" w:styleId="Index3">
    <w:name w:val="index 3"/>
    <w:basedOn w:val="Normal"/>
    <w:next w:val="Normal"/>
    <w:semiHidden/>
    <w:rsid w:val="00B37866"/>
    <w:pPr>
      <w:ind w:left="566"/>
    </w:pPr>
  </w:style>
  <w:style w:type="paragraph" w:styleId="Index2">
    <w:name w:val="index 2"/>
    <w:basedOn w:val="Normal"/>
    <w:next w:val="Normal"/>
    <w:semiHidden/>
    <w:rsid w:val="00B37866"/>
    <w:pPr>
      <w:ind w:left="283"/>
    </w:pPr>
  </w:style>
  <w:style w:type="paragraph" w:styleId="Index1">
    <w:name w:val="index 1"/>
    <w:basedOn w:val="Normal"/>
    <w:next w:val="Normal"/>
    <w:semiHidden/>
    <w:rsid w:val="00B37866"/>
  </w:style>
  <w:style w:type="character" w:styleId="LineNumber">
    <w:name w:val="line number"/>
    <w:basedOn w:val="DefaultParagraphFont"/>
    <w:rsid w:val="00B37866"/>
  </w:style>
  <w:style w:type="paragraph" w:styleId="IndexHeading">
    <w:name w:val="index heading"/>
    <w:basedOn w:val="Normal"/>
    <w:next w:val="Index1"/>
    <w:semiHidden/>
    <w:rsid w:val="00B37866"/>
  </w:style>
  <w:style w:type="paragraph" w:styleId="Footer">
    <w:name w:val="footer"/>
    <w:basedOn w:val="Normal"/>
    <w:link w:val="FooterChar"/>
    <w:rsid w:val="00B37866"/>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uiPriority w:val="99"/>
    <w:rsid w:val="00B37866"/>
    <w:pPr>
      <w:tabs>
        <w:tab w:val="clear" w:pos="794"/>
        <w:tab w:val="clear" w:pos="1191"/>
        <w:tab w:val="clear" w:pos="1588"/>
        <w:tab w:val="clear" w:pos="1985"/>
      </w:tabs>
      <w:spacing w:before="0"/>
      <w:jc w:val="center"/>
    </w:pPr>
    <w:rPr>
      <w:sz w:val="18"/>
      <w:lang w:val="fr-FR"/>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F52741"/>
    <w:rPr>
      <w:rFonts w:asciiTheme="minorHAnsi" w:hAnsiTheme="minorHAnsi"/>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uiPriority w:val="99"/>
    <w:qFormat/>
    <w:rsid w:val="00B37866"/>
    <w:pPr>
      <w:keepLines/>
      <w:tabs>
        <w:tab w:val="left" w:pos="255"/>
      </w:tabs>
      <w:ind w:left="255" w:hanging="255"/>
    </w:pPr>
  </w:style>
  <w:style w:type="paragraph" w:styleId="NormalIndent">
    <w:name w:val="Normal Indent"/>
    <w:basedOn w:val="Normal"/>
    <w:rsid w:val="00B37866"/>
    <w:pPr>
      <w:ind w:left="794"/>
    </w:pPr>
  </w:style>
  <w:style w:type="paragraph" w:customStyle="1" w:styleId="enumlev1">
    <w:name w:val="enumlev1"/>
    <w:basedOn w:val="Normal"/>
    <w:link w:val="enumlev1Char"/>
    <w:qFormat/>
    <w:rsid w:val="00B37866"/>
    <w:pPr>
      <w:spacing w:before="80"/>
      <w:ind w:left="794" w:hanging="794"/>
    </w:pPr>
  </w:style>
  <w:style w:type="paragraph" w:customStyle="1" w:styleId="enumlev2">
    <w:name w:val="enumlev2"/>
    <w:basedOn w:val="enumlev1"/>
    <w:rsid w:val="00B37866"/>
    <w:pPr>
      <w:ind w:left="1191" w:hanging="397"/>
    </w:pPr>
  </w:style>
  <w:style w:type="paragraph" w:customStyle="1" w:styleId="enumlev3">
    <w:name w:val="enumlev3"/>
    <w:basedOn w:val="enumlev2"/>
    <w:rsid w:val="00B37866"/>
    <w:pPr>
      <w:ind w:left="1588"/>
    </w:pPr>
  </w:style>
  <w:style w:type="paragraph" w:customStyle="1" w:styleId="Normalaftertitle">
    <w:name w:val="Normal after title"/>
    <w:basedOn w:val="Normal"/>
    <w:next w:val="Normal"/>
    <w:rsid w:val="00B37866"/>
    <w:pPr>
      <w:spacing w:before="280"/>
    </w:pPr>
  </w:style>
  <w:style w:type="paragraph" w:customStyle="1" w:styleId="Equation">
    <w:name w:val="Equation"/>
    <w:basedOn w:val="Normal"/>
    <w:rsid w:val="00B37866"/>
    <w:pPr>
      <w:tabs>
        <w:tab w:val="clear" w:pos="1191"/>
        <w:tab w:val="clear" w:pos="1588"/>
        <w:tab w:val="clear" w:pos="1985"/>
        <w:tab w:val="center" w:pos="4820"/>
        <w:tab w:val="right" w:pos="9639"/>
      </w:tabs>
    </w:pPr>
  </w:style>
  <w:style w:type="paragraph" w:customStyle="1" w:styleId="toc0">
    <w:name w:val="toc 0"/>
    <w:basedOn w:val="Normal"/>
    <w:next w:val="TOC1"/>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rsid w:val="00B37866"/>
    <w:pPr>
      <w:keepNext/>
      <w:keepLines/>
      <w:spacing w:before="480" w:after="80"/>
      <w:jc w:val="center"/>
    </w:pPr>
    <w:rPr>
      <w:caps/>
      <w:sz w:val="28"/>
    </w:rPr>
  </w:style>
  <w:style w:type="paragraph" w:customStyle="1" w:styleId="ASN1">
    <w:name w:val="ASN.1"/>
    <w:basedOn w:val="Normal"/>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rsid w:val="00B37866"/>
    <w:pPr>
      <w:spacing w:before="80"/>
    </w:pPr>
  </w:style>
  <w:style w:type="paragraph" w:styleId="TOC9">
    <w:name w:val="toc 9"/>
    <w:basedOn w:val="TOC3"/>
    <w:next w:val="Normal"/>
    <w:semiHidden/>
    <w:rsid w:val="00B37866"/>
  </w:style>
  <w:style w:type="paragraph" w:customStyle="1" w:styleId="Source">
    <w:name w:val="Source"/>
    <w:basedOn w:val="Normal"/>
    <w:next w:val="Normalaftertitle"/>
    <w:rsid w:val="00EC6FED"/>
    <w:pPr>
      <w:spacing w:before="240" w:after="240"/>
      <w:jc w:val="center"/>
    </w:pPr>
    <w:rPr>
      <w:b/>
      <w:sz w:val="28"/>
    </w:rPr>
  </w:style>
  <w:style w:type="paragraph" w:customStyle="1" w:styleId="Title1">
    <w:name w:val="Title 1"/>
    <w:basedOn w:val="Source"/>
    <w:next w:val="Title2"/>
    <w:rsid w:val="00EC6FED"/>
    <w:pPr>
      <w:tabs>
        <w:tab w:val="clear" w:pos="794"/>
        <w:tab w:val="clear" w:pos="1191"/>
        <w:tab w:val="clear" w:pos="1588"/>
        <w:tab w:val="clear" w:pos="1985"/>
        <w:tab w:val="left" w:pos="567"/>
        <w:tab w:val="left" w:pos="1134"/>
        <w:tab w:val="left" w:pos="1701"/>
        <w:tab w:val="left" w:pos="2268"/>
        <w:tab w:val="left" w:pos="2835"/>
      </w:tabs>
      <w:spacing w:before="120" w:after="120"/>
    </w:pPr>
    <w:rPr>
      <w:rFonts w:cs="Times New Roman Bold"/>
      <w:b w:val="0"/>
    </w:rPr>
  </w:style>
  <w:style w:type="paragraph" w:customStyle="1" w:styleId="Title2">
    <w:name w:val="Title 2"/>
    <w:basedOn w:val="Title1"/>
    <w:next w:val="Title3"/>
    <w:rsid w:val="00B37866"/>
  </w:style>
  <w:style w:type="paragraph" w:customStyle="1" w:styleId="Title3">
    <w:name w:val="Title 3"/>
    <w:basedOn w:val="Title2"/>
    <w:next w:val="Title4"/>
    <w:rsid w:val="00B37866"/>
  </w:style>
  <w:style w:type="paragraph" w:customStyle="1" w:styleId="Title4">
    <w:name w:val="Title 4"/>
    <w:basedOn w:val="Title3"/>
    <w:next w:val="Heading1"/>
    <w:rsid w:val="00B37866"/>
  </w:style>
  <w:style w:type="paragraph" w:customStyle="1" w:styleId="FirstFooter">
    <w:name w:val="FirstFooter"/>
    <w:basedOn w:val="Footer"/>
    <w:rsid w:val="00B37866"/>
    <w:pPr>
      <w:tabs>
        <w:tab w:val="clear" w:pos="5954"/>
        <w:tab w:val="clear" w:pos="9639"/>
      </w:tabs>
      <w:overflowPunct/>
      <w:autoSpaceDE/>
      <w:autoSpaceDN/>
      <w:adjustRightInd/>
      <w:spacing w:before="40"/>
      <w:textAlignment w:val="auto"/>
    </w:pPr>
    <w:rPr>
      <w:caps w:val="0"/>
      <w:noProof w:val="0"/>
    </w:rPr>
  </w:style>
  <w:style w:type="paragraph" w:customStyle="1" w:styleId="Annexref">
    <w:name w:val="Annex_ref"/>
    <w:basedOn w:val="Normal"/>
    <w:next w:val="Annextitle"/>
    <w:rsid w:val="00B37866"/>
    <w:pPr>
      <w:keepNext/>
      <w:keepLines/>
      <w:spacing w:after="280"/>
      <w:jc w:val="center"/>
    </w:pPr>
  </w:style>
  <w:style w:type="paragraph" w:customStyle="1" w:styleId="Annextitle">
    <w:name w:val="Annex_title"/>
    <w:basedOn w:val="Normal"/>
    <w:next w:val="Normalaftertitle"/>
    <w:rsid w:val="00F52741"/>
    <w:pPr>
      <w:keepNext/>
      <w:keepLines/>
      <w:spacing w:before="240" w:after="280"/>
      <w:jc w:val="center"/>
    </w:pPr>
    <w:rPr>
      <w:b/>
      <w:sz w:val="28"/>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rsid w:val="00F52741"/>
    <w:rPr>
      <w:rFonts w:asciiTheme="minorHAnsi" w:hAnsiTheme="minorHAnsi"/>
    </w:rPr>
  </w:style>
  <w:style w:type="paragraph" w:customStyle="1" w:styleId="AppendixNo">
    <w:name w:val="Appendix_No"/>
    <w:basedOn w:val="AnnexNo"/>
    <w:next w:val="Annexref"/>
    <w:rsid w:val="00B37866"/>
  </w:style>
  <w:style w:type="paragraph" w:customStyle="1" w:styleId="Appendixref">
    <w:name w:val="Appendix_ref"/>
    <w:basedOn w:val="Annexref"/>
    <w:next w:val="Annextitle"/>
    <w:rsid w:val="00B37866"/>
  </w:style>
  <w:style w:type="paragraph" w:customStyle="1" w:styleId="Appendixtitle">
    <w:name w:val="Appendix_title"/>
    <w:basedOn w:val="Annextitle"/>
    <w:next w:val="Normalaftertitle"/>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rsid w:val="00F52741"/>
    <w:pPr>
      <w:spacing w:before="480"/>
      <w:jc w:val="center"/>
    </w:pPr>
    <w:rPr>
      <w:b/>
      <w:sz w:val="28"/>
    </w:rPr>
  </w:style>
  <w:style w:type="paragraph" w:customStyle="1" w:styleId="ArtNo">
    <w:name w:val="Art_No"/>
    <w:basedOn w:val="Normal"/>
    <w:next w:val="Arttitle"/>
    <w:rsid w:val="00B37866"/>
    <w:pPr>
      <w:keepNext/>
      <w:keepLines/>
      <w:spacing w:before="480"/>
      <w:jc w:val="center"/>
    </w:pPr>
    <w:rPr>
      <w:caps/>
      <w:sz w:val="28"/>
    </w:rPr>
  </w:style>
  <w:style w:type="paragraph" w:customStyle="1" w:styleId="Arttitle">
    <w:name w:val="Art_title"/>
    <w:basedOn w:val="Normal"/>
    <w:next w:val="Normalaftertitle"/>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rsid w:val="00B37866"/>
    <w:pPr>
      <w:keepNext/>
      <w:keepLines/>
      <w:spacing w:before="160"/>
      <w:ind w:left="794"/>
    </w:pPr>
    <w:rPr>
      <w:i/>
    </w:rPr>
  </w:style>
  <w:style w:type="paragraph" w:customStyle="1" w:styleId="ChapNo">
    <w:name w:val="Chap_No"/>
    <w:basedOn w:val="ArtNo"/>
    <w:next w:val="Chaptitle"/>
    <w:rsid w:val="00F52741"/>
    <w:rPr>
      <w:b/>
    </w:rPr>
  </w:style>
  <w:style w:type="paragraph" w:customStyle="1" w:styleId="Chaptitle">
    <w:name w:val="Chap_title"/>
    <w:basedOn w:val="Arttitle"/>
    <w:next w:val="Normalaftertitle"/>
    <w:rsid w:val="00B37866"/>
  </w:style>
  <w:style w:type="paragraph" w:customStyle="1" w:styleId="ddate">
    <w:name w:val="ddate"/>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semiHidden/>
    <w:rsid w:val="00B37866"/>
    <w:rPr>
      <w:vertAlign w:val="superscript"/>
    </w:rPr>
  </w:style>
  <w:style w:type="paragraph" w:customStyle="1" w:styleId="Equationlegend">
    <w:name w:val="Equation_legend"/>
    <w:basedOn w:val="Normal"/>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37866"/>
    <w:pPr>
      <w:keepNext/>
      <w:keepLines/>
      <w:spacing w:before="480" w:after="120"/>
      <w:jc w:val="center"/>
    </w:pPr>
    <w:rPr>
      <w:caps/>
    </w:rPr>
  </w:style>
  <w:style w:type="paragraph" w:customStyle="1" w:styleId="Figuretitle">
    <w:name w:val="Figure_title"/>
    <w:basedOn w:val="Tabletitle"/>
    <w:next w:val="Normal"/>
    <w:rsid w:val="00F52741"/>
    <w:pPr>
      <w:keepNext w:val="0"/>
      <w:spacing w:after="480"/>
    </w:pPr>
  </w:style>
  <w:style w:type="paragraph" w:customStyle="1" w:styleId="Tabletitle">
    <w:name w:val="Table_title"/>
    <w:basedOn w:val="Normal"/>
    <w:next w:val="Tabletext"/>
    <w:rsid w:val="00F52741"/>
    <w:pPr>
      <w:keepNext/>
      <w:keepLines/>
      <w:spacing w:before="0" w:after="120"/>
      <w:jc w:val="center"/>
    </w:pPr>
    <w:rPr>
      <w:b/>
    </w:rPr>
  </w:style>
  <w:style w:type="paragraph" w:customStyle="1" w:styleId="Tabletext">
    <w:name w:val="Table_text"/>
    <w:basedOn w:val="Normal"/>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B37866"/>
    <w:pPr>
      <w:keepNext w:val="0"/>
    </w:pPr>
  </w:style>
  <w:style w:type="paragraph" w:customStyle="1" w:styleId="Headingb">
    <w:name w:val="Heading_b"/>
    <w:basedOn w:val="Normal"/>
    <w:next w:val="Normal"/>
    <w:rsid w:val="00F52741"/>
    <w:pPr>
      <w:keepNext/>
      <w:spacing w:before="160"/>
    </w:pPr>
    <w:rPr>
      <w:b/>
    </w:rPr>
  </w:style>
  <w:style w:type="paragraph" w:customStyle="1" w:styleId="Headingi">
    <w:name w:val="Heading_i"/>
    <w:basedOn w:val="Normal"/>
    <w:next w:val="Normal"/>
    <w:rsid w:val="00F52741"/>
    <w:pPr>
      <w:keepNext/>
      <w:spacing w:before="160"/>
    </w:pPr>
    <w:rPr>
      <w:i/>
    </w:rPr>
  </w:style>
  <w:style w:type="paragraph" w:customStyle="1" w:styleId="PartNo">
    <w:name w:val="Part_No"/>
    <w:basedOn w:val="AnnexNo"/>
    <w:next w:val="Partref"/>
    <w:rsid w:val="00B37866"/>
  </w:style>
  <w:style w:type="paragraph" w:customStyle="1" w:styleId="Partref">
    <w:name w:val="Part_ref"/>
    <w:basedOn w:val="Annexref"/>
    <w:next w:val="Parttitle"/>
    <w:rsid w:val="00B37866"/>
  </w:style>
  <w:style w:type="paragraph" w:customStyle="1" w:styleId="Parttitle">
    <w:name w:val="Part_title"/>
    <w:basedOn w:val="Annextitle"/>
    <w:next w:val="Normalaftertitle"/>
    <w:rsid w:val="00B37866"/>
  </w:style>
  <w:style w:type="paragraph" w:customStyle="1" w:styleId="RecNo">
    <w:name w:val="Rec_No"/>
    <w:basedOn w:val="Normal"/>
    <w:next w:val="Rectitle"/>
    <w:rsid w:val="00B37866"/>
    <w:pPr>
      <w:keepNext/>
      <w:keepLines/>
      <w:spacing w:before="480"/>
      <w:jc w:val="center"/>
    </w:pPr>
    <w:rPr>
      <w:caps/>
      <w:sz w:val="28"/>
    </w:rPr>
  </w:style>
  <w:style w:type="paragraph" w:customStyle="1" w:styleId="Rectitle">
    <w:name w:val="Rec_title"/>
    <w:basedOn w:val="RecNo"/>
    <w:next w:val="Recref"/>
    <w:rsid w:val="00F52741"/>
    <w:pPr>
      <w:spacing w:before="240"/>
    </w:pPr>
    <w:rPr>
      <w:b/>
      <w:caps w:val="0"/>
    </w:rPr>
  </w:style>
  <w:style w:type="paragraph" w:customStyle="1" w:styleId="Recref">
    <w:name w:val="Rec_ref"/>
    <w:basedOn w:val="Rectitle"/>
    <w:next w:val="Recdate"/>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rsid w:val="00B37866"/>
    <w:pPr>
      <w:jc w:val="right"/>
    </w:pPr>
    <w:rPr>
      <w:sz w:val="22"/>
    </w:rPr>
  </w:style>
  <w:style w:type="paragraph" w:customStyle="1" w:styleId="Questiondate">
    <w:name w:val="Question_date"/>
    <w:basedOn w:val="Recdate"/>
    <w:next w:val="Normalaftertitle"/>
    <w:rsid w:val="00F52741"/>
  </w:style>
  <w:style w:type="paragraph" w:customStyle="1" w:styleId="QuestionNo">
    <w:name w:val="Question_No"/>
    <w:basedOn w:val="RecNo"/>
    <w:next w:val="Questiontitle"/>
    <w:rsid w:val="00B37866"/>
  </w:style>
  <w:style w:type="paragraph" w:customStyle="1" w:styleId="Questiontitle">
    <w:name w:val="Question_title"/>
    <w:basedOn w:val="Rectitle"/>
    <w:next w:val="Questionref"/>
    <w:rsid w:val="00F52741"/>
  </w:style>
  <w:style w:type="paragraph" w:customStyle="1" w:styleId="Questionref">
    <w:name w:val="Question_ref"/>
    <w:basedOn w:val="Recref"/>
    <w:next w:val="Questiondate"/>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rsid w:val="00B37866"/>
    <w:pPr>
      <w:ind w:left="794" w:hanging="794"/>
    </w:pPr>
  </w:style>
  <w:style w:type="paragraph" w:customStyle="1" w:styleId="Reftitle">
    <w:name w:val="Ref_title"/>
    <w:basedOn w:val="Normal"/>
    <w:next w:val="Reftext"/>
    <w:rsid w:val="00B37866"/>
    <w:pPr>
      <w:spacing w:before="480"/>
      <w:jc w:val="center"/>
    </w:pPr>
    <w:rPr>
      <w:caps/>
    </w:rPr>
  </w:style>
  <w:style w:type="paragraph" w:customStyle="1" w:styleId="Repdate">
    <w:name w:val="Rep_date"/>
    <w:basedOn w:val="Recdate"/>
    <w:next w:val="Normalaftertitle"/>
    <w:rsid w:val="00B37866"/>
  </w:style>
  <w:style w:type="paragraph" w:customStyle="1" w:styleId="RepNo">
    <w:name w:val="Rep_No"/>
    <w:basedOn w:val="RecNo"/>
    <w:next w:val="Reptitle"/>
    <w:rsid w:val="00B37866"/>
  </w:style>
  <w:style w:type="paragraph" w:customStyle="1" w:styleId="Reptitle">
    <w:name w:val="Rep_title"/>
    <w:basedOn w:val="Rectitle"/>
    <w:next w:val="Repref"/>
    <w:rsid w:val="00B37866"/>
  </w:style>
  <w:style w:type="paragraph" w:customStyle="1" w:styleId="Repref">
    <w:name w:val="Rep_ref"/>
    <w:basedOn w:val="Recref"/>
    <w:next w:val="Repdate"/>
    <w:rsid w:val="00B37866"/>
  </w:style>
  <w:style w:type="paragraph" w:customStyle="1" w:styleId="Resdate">
    <w:name w:val="Res_date"/>
    <w:basedOn w:val="Recdate"/>
    <w:next w:val="Normalaftertitle"/>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rsid w:val="00B37866"/>
  </w:style>
  <w:style w:type="paragraph" w:customStyle="1" w:styleId="Restitle">
    <w:name w:val="Res_title"/>
    <w:basedOn w:val="Rectitle"/>
    <w:next w:val="Resref"/>
    <w:rsid w:val="00B37866"/>
  </w:style>
  <w:style w:type="paragraph" w:customStyle="1" w:styleId="Resref">
    <w:name w:val="Res_ref"/>
    <w:basedOn w:val="Recref"/>
    <w:next w:val="Resdate"/>
    <w:rsid w:val="00B37866"/>
  </w:style>
  <w:style w:type="paragraph" w:customStyle="1" w:styleId="SectionNo">
    <w:name w:val="Section_No"/>
    <w:basedOn w:val="AnnexNo"/>
    <w:next w:val="Sectiontitle"/>
    <w:rsid w:val="00B37866"/>
  </w:style>
  <w:style w:type="paragraph" w:customStyle="1" w:styleId="Sectiontitle">
    <w:name w:val="Section_title"/>
    <w:basedOn w:val="Annextitle"/>
    <w:next w:val="Normalaftertitle"/>
    <w:rsid w:val="00B37866"/>
  </w:style>
  <w:style w:type="paragraph" w:customStyle="1" w:styleId="SpecialFooter">
    <w:name w:val="Special Footer"/>
    <w:basedOn w:val="Footer"/>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rsid w:val="00B37866"/>
    <w:pPr>
      <w:keepNext/>
      <w:spacing w:before="80" w:after="80"/>
      <w:jc w:val="center"/>
    </w:pPr>
    <w:rPr>
      <w:b/>
    </w:rPr>
  </w:style>
  <w:style w:type="paragraph" w:customStyle="1" w:styleId="Tablelegend">
    <w:name w:val="Table_legend"/>
    <w:basedOn w:val="Tabletext"/>
    <w:rsid w:val="00B37866"/>
    <w:pPr>
      <w:spacing w:before="120"/>
    </w:pPr>
  </w:style>
  <w:style w:type="paragraph" w:customStyle="1" w:styleId="TableNo">
    <w:name w:val="Table_No"/>
    <w:basedOn w:val="Normal"/>
    <w:next w:val="Tabletitle"/>
    <w:rsid w:val="00B37866"/>
    <w:pPr>
      <w:keepNext/>
      <w:spacing w:before="560" w:after="120"/>
      <w:jc w:val="center"/>
    </w:pPr>
    <w:rPr>
      <w:caps/>
    </w:rPr>
  </w:style>
  <w:style w:type="paragraph" w:customStyle="1" w:styleId="Tableref">
    <w:name w:val="Table_ref"/>
    <w:basedOn w:val="Normal"/>
    <w:next w:val="Tabletitle"/>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character" w:customStyle="1" w:styleId="HeaderChar">
    <w:name w:val="Header Char"/>
    <w:basedOn w:val="DefaultParagraphFont"/>
    <w:link w:val="Header"/>
    <w:uiPriority w:val="99"/>
    <w:rsid w:val="00005791"/>
    <w:rPr>
      <w:rFonts w:ascii="Times New Roman" w:hAnsi="Times New Roman"/>
      <w:sz w:val="18"/>
      <w:lang w:val="fr-FR" w:eastAsia="en-US"/>
    </w:rPr>
  </w:style>
  <w:style w:type="character" w:customStyle="1" w:styleId="FooterChar">
    <w:name w:val="Footer Char"/>
    <w:basedOn w:val="DefaultParagraphFont"/>
    <w:link w:val="Footer"/>
    <w:rsid w:val="0056423B"/>
    <w:rPr>
      <w:rFonts w:ascii="Times New Roman" w:hAnsi="Times New Roman"/>
      <w:caps/>
      <w:noProof/>
      <w:sz w:val="16"/>
      <w:lang w:val="fr-FR" w:eastAsia="en-US"/>
    </w:rPr>
  </w:style>
  <w:style w:type="table" w:styleId="TableGrid">
    <w:name w:val="Table Grid"/>
    <w:basedOn w:val="TableNormal"/>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
    <w:basedOn w:val="DefaultParagraphFont"/>
    <w:uiPriority w:val="99"/>
    <w:rsid w:val="00BA0009"/>
    <w:rPr>
      <w:color w:val="0000FF" w:themeColor="hyperlink"/>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aliases w:val="List Paragraph1,Recommendation,List Paragraph11,O5,Para_sk,Resume Title,- Bullets,Equipment,Numbered Indented Text,Figure_name,Citation List,List Paragraph Char Char,Bullets,list1,b1,Number_1,Normal Sentence,Colorful List - Accent 11"/>
    <w:basedOn w:val="Normal"/>
    <w:link w:val="ListParagraphChar"/>
    <w:uiPriority w:val="34"/>
    <w:qFormat/>
    <w:rsid w:val="00A721F4"/>
    <w:pPr>
      <w:tabs>
        <w:tab w:val="clear" w:pos="794"/>
        <w:tab w:val="clear" w:pos="1191"/>
        <w:tab w:val="clear" w:pos="1588"/>
        <w:tab w:val="clear" w:pos="1985"/>
        <w:tab w:val="left" w:pos="1134"/>
        <w:tab w:val="left" w:pos="1871"/>
        <w:tab w:val="left" w:pos="2268"/>
      </w:tabs>
      <w:ind w:left="720"/>
      <w:contextualSpacing/>
    </w:pPr>
  </w:style>
  <w:style w:type="paragraph" w:customStyle="1" w:styleId="AppArtNo">
    <w:name w:val="App_Art_No"/>
    <w:basedOn w:val="ArtNo"/>
    <w:qFormat/>
    <w:rsid w:val="00A50CA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qFormat/>
    <w:rsid w:val="00A50CA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A50CA0"/>
    <w:pPr>
      <w:tabs>
        <w:tab w:val="clear" w:pos="794"/>
        <w:tab w:val="clear" w:pos="1191"/>
        <w:tab w:val="clear" w:pos="1588"/>
        <w:tab w:val="clear" w:pos="1985"/>
        <w:tab w:val="left" w:pos="1134"/>
        <w:tab w:val="left" w:pos="1871"/>
        <w:tab w:val="left" w:pos="2268"/>
      </w:tabs>
    </w:pPr>
  </w:style>
  <w:style w:type="paragraph" w:customStyle="1" w:styleId="Volumetitle">
    <w:name w:val="Volume_title"/>
    <w:basedOn w:val="Normal"/>
    <w:qFormat/>
    <w:rsid w:val="00A50CA0"/>
    <w:pPr>
      <w:tabs>
        <w:tab w:val="clear" w:pos="794"/>
        <w:tab w:val="clear" w:pos="1191"/>
        <w:tab w:val="clear" w:pos="1588"/>
        <w:tab w:val="clear" w:pos="1985"/>
        <w:tab w:val="left" w:pos="1871"/>
      </w:tabs>
      <w:overflowPunct/>
      <w:autoSpaceDE/>
      <w:autoSpaceDN/>
      <w:adjustRightInd/>
      <w:spacing w:before="0"/>
      <w:textAlignment w:val="auto"/>
    </w:pPr>
    <w:rPr>
      <w:b/>
      <w:sz w:val="28"/>
      <w:lang w:val="en-US"/>
    </w:rPr>
  </w:style>
  <w:style w:type="paragraph" w:customStyle="1" w:styleId="Proposal">
    <w:name w:val="Proposal"/>
    <w:basedOn w:val="Normal"/>
    <w:next w:val="Normal"/>
    <w:rsid w:val="00904230"/>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qFormat/>
    <w:rsid w:val="005D2C3A"/>
    <w:pPr>
      <w:tabs>
        <w:tab w:val="clear" w:pos="794"/>
        <w:tab w:val="clear" w:pos="1191"/>
        <w:tab w:val="left" w:pos="1134"/>
        <w:tab w:val="left" w:pos="1871"/>
      </w:tabs>
    </w:pPr>
  </w:style>
  <w:style w:type="character" w:styleId="FollowedHyperlink">
    <w:name w:val="FollowedHyperlink"/>
    <w:basedOn w:val="DefaultParagraphFont"/>
    <w:semiHidden/>
    <w:unhideWhenUsed/>
    <w:rsid w:val="00AD4677"/>
    <w:rPr>
      <w:color w:val="800080" w:themeColor="followedHyperlink"/>
      <w:u w:val="single"/>
    </w:rPr>
  </w:style>
  <w:style w:type="character" w:styleId="UnresolvedMention">
    <w:name w:val="Unresolved Mention"/>
    <w:basedOn w:val="DefaultParagraphFont"/>
    <w:uiPriority w:val="99"/>
    <w:semiHidden/>
    <w:unhideWhenUsed/>
    <w:rsid w:val="003C6C09"/>
    <w:rPr>
      <w:color w:val="605E5C"/>
      <w:shd w:val="clear" w:color="auto" w:fill="E1DFDD"/>
    </w:rPr>
  </w:style>
  <w:style w:type="paragraph" w:customStyle="1" w:styleId="Heading">
    <w:name w:val="Heading"/>
    <w:basedOn w:val="Headingi"/>
    <w:rsid w:val="009B437E"/>
    <w:rPr>
      <w:lang w:val="es-E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uiPriority w:val="99"/>
    <w:qFormat/>
    <w:rsid w:val="009B437E"/>
    <w:rPr>
      <w:rFonts w:asciiTheme="minorHAnsi" w:hAnsiTheme="minorHAnsi"/>
      <w:sz w:val="24"/>
      <w:lang w:val="en-GB" w:eastAsia="en-US"/>
    </w:rPr>
  </w:style>
  <w:style w:type="character" w:customStyle="1" w:styleId="ListParagraphChar">
    <w:name w:val="List Paragraph Char"/>
    <w:aliases w:val="List Paragraph1 Char,Recommendation Char,List Paragraph11 Char,O5 Char,Para_sk Char,Resume Title Char,- Bullets Char,Equipment Char,Numbered Indented Text Char,Figure_name Char,Citation List Char,List Paragraph Char Char Char,b1 Char"/>
    <w:link w:val="ListParagraph"/>
    <w:uiPriority w:val="34"/>
    <w:qFormat/>
    <w:rsid w:val="009B437E"/>
    <w:rPr>
      <w:rFonts w:asciiTheme="minorHAnsi" w:hAnsiTheme="minorHAnsi"/>
      <w:sz w:val="24"/>
      <w:lang w:val="en-GB" w:eastAsia="en-US"/>
    </w:rPr>
  </w:style>
  <w:style w:type="character" w:customStyle="1" w:styleId="enumlev1Char">
    <w:name w:val="enumlev1 Char"/>
    <w:link w:val="enumlev1"/>
    <w:qFormat/>
    <w:rsid w:val="009B437E"/>
    <w:rPr>
      <w:rFonts w:asciiTheme="minorHAnsi" w:hAnsiTheme="minorHAnsi"/>
      <w:sz w:val="24"/>
      <w:lang w:val="en-GB" w:eastAsia="en-US"/>
    </w:rPr>
  </w:style>
  <w:style w:type="paragraph" w:customStyle="1" w:styleId="BDTNormal">
    <w:name w:val="BDT_Normal"/>
    <w:link w:val="BDTNormalChar"/>
    <w:uiPriority w:val="99"/>
    <w:rsid w:val="009B437E"/>
    <w:pPr>
      <w:spacing w:before="120" w:after="120"/>
    </w:pPr>
    <w:rPr>
      <w:rFonts w:ascii="Calibri" w:eastAsia="SimSun" w:hAnsi="Calibri" w:cs="Traditional Arabic"/>
      <w:sz w:val="22"/>
      <w:szCs w:val="30"/>
      <w:lang w:val="es-ES" w:eastAsia="en-US"/>
    </w:rPr>
  </w:style>
  <w:style w:type="character" w:customStyle="1" w:styleId="BDTNormalChar">
    <w:name w:val="BDT_Normal Char"/>
    <w:basedOn w:val="DefaultParagraphFont"/>
    <w:link w:val="BDTNormal"/>
    <w:uiPriority w:val="99"/>
    <w:locked/>
    <w:rsid w:val="009B437E"/>
    <w:rPr>
      <w:rFonts w:ascii="Calibri" w:eastAsia="SimSun" w:hAnsi="Calibri" w:cs="Traditional Arabic"/>
      <w:sz w:val="22"/>
      <w:szCs w:val="30"/>
      <w:lang w:val="es-ES" w:eastAsia="en-US"/>
    </w:rPr>
  </w:style>
  <w:style w:type="paragraph" w:styleId="NormalWeb">
    <w:name w:val="Normal (Web)"/>
    <w:basedOn w:val="Normal"/>
    <w:uiPriority w:val="99"/>
    <w:unhideWhenUsed/>
    <w:rsid w:val="009B437E"/>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hAnsi="Times New Roman"/>
      <w:szCs w:val="24"/>
      <w:lang w:eastAsia="en-GB"/>
    </w:rPr>
  </w:style>
  <w:style w:type="paragraph" w:customStyle="1" w:styleId="Heading2Italic">
    <w:name w:val="Heading 2 + Italic"/>
    <w:basedOn w:val="Heading2"/>
    <w:rsid w:val="009B437E"/>
    <w:rPr>
      <w:i/>
      <w:iCs/>
    </w:rPr>
  </w:style>
  <w:style w:type="paragraph" w:customStyle="1" w:styleId="Figure">
    <w:name w:val="Figure"/>
    <w:basedOn w:val="Normal"/>
    <w:rsid w:val="008F4CF2"/>
    <w:pPr>
      <w:keepNext/>
      <w:keepLines/>
      <w:spacing w:after="120"/>
    </w:pPr>
    <w:rPr>
      <w:noProof/>
      <w:lang w:val="es-ES"/>
    </w:rPr>
  </w:style>
  <w:style w:type="paragraph" w:customStyle="1" w:styleId="Heading20">
    <w:name w:val="Heading_2"/>
    <w:basedOn w:val="Headingb"/>
    <w:rsid w:val="00202ACB"/>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md/D22-TDAG30-C-0048/es" TargetMode="External"/><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hyperlink" Target="https://www.itu.int/en/ITU-D/Conferences/TDAG/Pages/2024/TDAG_WG_SR.aspx" TargetMode="External"/><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hyperlink" Target="https://www.itu.int/en/ITU-D/Conferences/TDAG/Pages/2024/TDAG_WG_DEC.aspx" TargetMode="External"/><Relationship Id="rId47" Type="http://schemas.openxmlformats.org/officeDocument/2006/relationships/hyperlink" Target="https://www.itu.int/en/general-secretariat/ties/ISCGDocumentLibrary/1st%20Meeting%202024/ISCG-24-1-02-1st%20Meeting%202023-Final%20Report.docx" TargetMode="External"/><Relationship Id="rId50" Type="http://schemas.openxmlformats.org/officeDocument/2006/relationships/hyperlink" Target="https://www.itu.int/en/general-secretariat/ties/ISCGDocumentLibrary/1st%20Meeting%202025/ISCG-25-1-02-Final%20Report-3rd%20Meeting%202024-Final.docx"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itu.int/ITU-D/tdag/" TargetMode="External"/><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hyperlink" Target="https://www.itu.int/dms_pub/itu-d/md/22/tdag30/c/D22-TDAG30-C-0048!R2!MSW-S.docx" TargetMode="External"/><Relationship Id="rId32" Type="http://schemas.openxmlformats.org/officeDocument/2006/relationships/hyperlink" Target="https://youtu.be/INyooRqdJo4" TargetMode="External"/><Relationship Id="rId37" Type="http://schemas.openxmlformats.org/officeDocument/2006/relationships/image" Target="media/image17.png"/><Relationship Id="rId40" Type="http://schemas.openxmlformats.org/officeDocument/2006/relationships/hyperlink" Target="https://www.itu.int/en/ITU-D/Conferences/TDAG/Pages/2024/TDAG_WG_futureSGQ.aspx" TargetMode="External"/><Relationship Id="rId45" Type="http://schemas.openxmlformats.org/officeDocument/2006/relationships/hyperlink" Target="https://www.itu.int/md/D22-RPMASP-C-0018/es" TargetMode="External"/><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itu.int/en/ITU-D/conferences/WTDC/WTDC21/Pages/default.aspx" TargetMode="External"/><Relationship Id="rId31" Type="http://schemas.openxmlformats.org/officeDocument/2006/relationships/hyperlink" Target="https://www.itu.int/md/D22-TDAG31-C-0051/es" TargetMode="External"/><Relationship Id="rId44" Type="http://schemas.openxmlformats.org/officeDocument/2006/relationships/hyperlink" Target="https://www.itu.int/md/D22-RPMARB-C-0020/es" TargetMode="Externa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md/D22-TDAG31-C-0051/es"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hyperlink" Target="https://www.itu.int/en/ITU-D/Conferences/TDAG/Pages/2024/TDAG_ICG_GYS.aspx" TargetMode="External"/><Relationship Id="rId48" Type="http://schemas.openxmlformats.org/officeDocument/2006/relationships/hyperlink" Target="https://www.itu.int/en/general-secretariat/ties/ISCGDocumentLibrary/2nd%20Meeting%202024/ISCG-24-2-02-1st%20Meeting%202024-Final%20Report.docx" TargetMode="External"/><Relationship Id="rId8" Type="http://schemas.openxmlformats.org/officeDocument/2006/relationships/webSettings" Target="webSettings.xml"/><Relationship Id="rId51" Type="http://schemas.openxmlformats.org/officeDocument/2006/relationships/hyperlink" Target="https://www.itu.int/en/general-secretariat/ties/Pages/ISCG-documents.aspx"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itu.int/ITU-D/tdag/" TargetMode="External"/><Relationship Id="rId25" Type="http://schemas.openxmlformats.org/officeDocument/2006/relationships/hyperlink" Target="https://youtu.be/zGo4gpVbtSQ" TargetMode="External"/><Relationship Id="rId33" Type="http://schemas.openxmlformats.org/officeDocument/2006/relationships/image" Target="media/image13.png"/><Relationship Id="rId38" Type="http://schemas.openxmlformats.org/officeDocument/2006/relationships/hyperlink" Target="https://www.itu.int/md/D22-TDAG.ICG.GYS-C-0012/es" TargetMode="External"/><Relationship Id="rId46" Type="http://schemas.openxmlformats.org/officeDocument/2006/relationships/hyperlink" Target="https://www.itu.int/md/D22-RPMEUR-C-0030/es" TargetMode="External"/><Relationship Id="rId20" Type="http://schemas.openxmlformats.org/officeDocument/2006/relationships/image" Target="media/image4.png"/><Relationship Id="rId41" Type="http://schemas.openxmlformats.org/officeDocument/2006/relationships/hyperlink" Target="https://www.itu.int/en/ITU-D/Conferences/TDAG/Pages/2024/TDAG_WG_ITUDP.aspx"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tu.int/md/D22-TDAG.EXTRA-C-0010/es"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hyperlink" Target="https://www.itu.int/en/general-secretariat/ties/ISCGDocumentLibrary/3rd%20Meeting%202024/ISCG-24-3-02-2nd%20Meeting%202024-Final%20Report_tsb-R1.doc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Roxanne.Webber@fcc.gov"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tu.int/en/ITU-D/Projects/ITU-EC-ACP/PRIDA/Pages/default.aspx" TargetMode="External"/><Relationship Id="rId3" Type="http://schemas.openxmlformats.org/officeDocument/2006/relationships/hyperlink" Target="https://www.itu.int/en/ITU-D/Regional-Presence/Americas/Pages/EVENTS/2024/cons-awa-2024.aspx" TargetMode="External"/><Relationship Id="rId7" Type="http://schemas.openxmlformats.org/officeDocument/2006/relationships/hyperlink" Target="https://www.itu.int/itu-d/sites/projectumc/home/the-umc-project/" TargetMode="External"/><Relationship Id="rId2" Type="http://schemas.openxmlformats.org/officeDocument/2006/relationships/hyperlink" Target="https://www.itu.int/md/D22-TDAG.WG.SGQ-C-0029/es" TargetMode="External"/><Relationship Id="rId1" Type="http://schemas.openxmlformats.org/officeDocument/2006/relationships/hyperlink" Target="https://www.itu.int/en/ITU-D/Conferences/TDAG/Pages/2024/TDAG_WG_futureSGQ.aspx" TargetMode="External"/><Relationship Id="rId6" Type="http://schemas.openxmlformats.org/officeDocument/2006/relationships/hyperlink" Target="https://www.itu.int/md/D22-SG01-C-0329/es" TargetMode="External"/><Relationship Id="rId5" Type="http://schemas.openxmlformats.org/officeDocument/2006/relationships/hyperlink" Target="https://www.itu.int/en/ITU-D/Study-Groups/2022-2025/Pages/meetings/workshop-products_usage-may23.aspx" TargetMode="External"/><Relationship Id="rId4" Type="http://schemas.openxmlformats.org/officeDocument/2006/relationships/hyperlink" Target="https://www.itu.int/en/ITU-D/Study-Groups/2022-2025/Pages/meetings/workshop-innovation-may23.aspx" TargetMode="External"/><Relationship Id="rId9" Type="http://schemas.openxmlformats.org/officeDocument/2006/relationships/hyperlink" Target="https://www.itu.int/generationconn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21F7F6C5263B4B928A068E40912AB8" ma:contentTypeVersion="17" ma:contentTypeDescription="Create a new document." ma:contentTypeScope="" ma:versionID="48061b00bcf7b8aa18151b08dc79302a">
  <xsd:schema xmlns:xsd="http://www.w3.org/2001/XMLSchema" xmlns:xs="http://www.w3.org/2001/XMLSchema" xmlns:p="http://schemas.microsoft.com/office/2006/metadata/properties" xmlns:ns2="d4ea696a-cca3-460b-a983-57ac2621983a" xmlns:ns3="29399490-13b9-4c73-b71e-403b715b75a7" targetNamespace="http://schemas.microsoft.com/office/2006/metadata/properties" ma:root="true" ma:fieldsID="38f4693b0e822d0bcf798bdc19be79e5" ns2:_="" ns3:_="">
    <xsd:import namespace="d4ea696a-cca3-460b-a983-57ac2621983a"/>
    <xsd:import namespace="29399490-13b9-4c73-b71e-403b715b75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a696a-cca3-460b-a983-57ac262198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399490-13b9-4c73-b71e-403b715b75a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36094f-0688-4081-a569-0c74b76e7ddf}" ma:internalName="TaxCatchAll" ma:showField="CatchAllData" ma:web="29399490-13b9-4c73-b71e-403b715b75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4ea696a-cca3-460b-a983-57ac2621983a">
      <Terms xmlns="http://schemas.microsoft.com/office/infopath/2007/PartnerControls"/>
    </lcf76f155ced4ddcb4097134ff3c332f>
    <TaxCatchAll xmlns="29399490-13b9-4c73-b71e-403b715b75a7"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1F839-2C53-4882-948E-2EDABA10E5F4}">
  <ds:schemaRefs>
    <ds:schemaRef ds:uri="http://schemas.microsoft.com/sharepoint/v3/contenttype/forms"/>
  </ds:schemaRefs>
</ds:datastoreItem>
</file>

<file path=customXml/itemProps2.xml><?xml version="1.0" encoding="utf-8"?>
<ds:datastoreItem xmlns:ds="http://schemas.openxmlformats.org/officeDocument/2006/customXml" ds:itemID="{3E6C997D-E604-400B-9A2A-7CFB50AA37F3}"/>
</file>

<file path=customXml/itemProps3.xml><?xml version="1.0" encoding="utf-8"?>
<ds:datastoreItem xmlns:ds="http://schemas.openxmlformats.org/officeDocument/2006/customXml" ds:itemID="{0F034FE2-13EA-4EDF-9DD0-9E6AD7D2600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E0C5EBE-B1C0-4B7E-B65B-A85F3815F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20</Pages>
  <Words>5579</Words>
  <Characters>33378</Characters>
  <Application>Microsoft Office Word</Application>
  <DocSecurity>0</DocSecurity>
  <Lines>278</Lines>
  <Paragraphs>77</Paragraphs>
  <ScaleCrop>false</ScaleCrop>
  <HeadingPairs>
    <vt:vector size="2" baseType="variant">
      <vt:variant>
        <vt:lpstr>Title</vt:lpstr>
      </vt:variant>
      <vt:variant>
        <vt:i4>1</vt:i4>
      </vt:variant>
    </vt:vector>
  </HeadingPairs>
  <TitlesOfParts>
    <vt:vector size="1" baseType="lpstr">
      <vt:lpstr>TDAG19</vt:lpstr>
    </vt:vector>
  </TitlesOfParts>
  <Manager>General Secretariat - Pool</Manager>
  <Company>International Telecommunication Union (ITU)</Company>
  <LinksUpToDate>false</LinksUpToDate>
  <CharactersWithSpaces>38880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creator>Villaescusa Cerezo, Sara</dc:creator>
  <cp:lastModifiedBy>Marquez Folch, David</cp:lastModifiedBy>
  <cp:revision>6</cp:revision>
  <cp:lastPrinted>2014-11-04T09:22:00Z</cp:lastPrinted>
  <dcterms:created xsi:type="dcterms:W3CDTF">2025-04-25T07:37:00Z</dcterms:created>
  <dcterms:modified xsi:type="dcterms:W3CDTF">2025-04-25T11:03:00Z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y fmtid="{D5CDD505-2E9C-101B-9397-08002B2CF9AE}" pid="8" name="ContentTypeId">
    <vt:lpwstr>0x0101000421F7F6C5263B4B928A068E40912AB8</vt:lpwstr>
  </property>
</Properties>
</file>