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horzAnchor="margin" w:tblpY="-492"/>
        <w:tblW w:w="10031" w:type="dxa"/>
        <w:tblLayout w:type="fixed"/>
        <w:tblLook w:val="0000" w:firstRow="0" w:lastRow="0" w:firstColumn="0" w:lastColumn="0" w:noHBand="0" w:noVBand="0"/>
      </w:tblPr>
      <w:tblGrid>
        <w:gridCol w:w="1985"/>
        <w:gridCol w:w="4678"/>
        <w:gridCol w:w="1984"/>
        <w:gridCol w:w="1384"/>
      </w:tblGrid>
      <w:tr w:rsidR="00AE1244" w:rsidRPr="00C02D9B" w14:paraId="6C364AE5" w14:textId="77777777" w:rsidTr="000D6EAB">
        <w:trPr>
          <w:cantSplit/>
          <w:trHeight w:val="1276"/>
        </w:trPr>
        <w:tc>
          <w:tcPr>
            <w:tcW w:w="1985" w:type="dxa"/>
          </w:tcPr>
          <w:p w14:paraId="186CCF4E" w14:textId="77777777" w:rsidR="00AE1244" w:rsidRPr="00C02D9B" w:rsidRDefault="000E1F4F" w:rsidP="00A259A2">
            <w:pPr>
              <w:spacing w:after="40"/>
              <w:rPr>
                <w:b/>
                <w:bCs/>
                <w:sz w:val="30"/>
                <w:szCs w:val="30"/>
              </w:rPr>
            </w:pPr>
            <w:r w:rsidRPr="00C02D9B">
              <w:rPr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39897BCC" wp14:editId="3C9CCF49">
                  <wp:extent cx="1080000" cy="975600"/>
                  <wp:effectExtent l="0" t="0" r="0" b="0"/>
                  <wp:docPr id="1044120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8" t="10732" r="24949" b="17421"/>
                          <a:stretch/>
                        </pic:blipFill>
                        <pic:spPr bwMode="auto">
                          <a:xfrm>
                            <a:off x="0" y="0"/>
                            <a:ext cx="1080000" cy="9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14:paraId="2159AD71" w14:textId="77777777" w:rsidR="008E1A73" w:rsidRPr="00C02D9B" w:rsidRDefault="008E1A73" w:rsidP="002978E6">
            <w:pPr>
              <w:tabs>
                <w:tab w:val="clear" w:pos="1134"/>
              </w:tabs>
              <w:spacing w:before="240" w:after="240" w:line="240" w:lineRule="atLeast"/>
              <w:ind w:left="34"/>
              <w:rPr>
                <w:b/>
                <w:bCs/>
                <w:sz w:val="30"/>
                <w:szCs w:val="30"/>
              </w:rPr>
            </w:pPr>
            <w:r w:rsidRPr="00C02D9B">
              <w:rPr>
                <w:b/>
                <w:bCs/>
                <w:sz w:val="30"/>
                <w:szCs w:val="30"/>
              </w:rPr>
              <w:t xml:space="preserve">Консультативная группа </w:t>
            </w:r>
            <w:r w:rsidRPr="00C02D9B">
              <w:rPr>
                <w:b/>
                <w:bCs/>
                <w:sz w:val="30"/>
                <w:szCs w:val="30"/>
              </w:rPr>
              <w:br/>
              <w:t>по развитию электросвязи (КГРЭ)</w:t>
            </w:r>
          </w:p>
          <w:p w14:paraId="085F942F" w14:textId="77777777" w:rsidR="00AE1244" w:rsidRPr="00C02D9B" w:rsidRDefault="00AE1244" w:rsidP="00294BF6">
            <w:pPr>
              <w:tabs>
                <w:tab w:val="clear" w:pos="1134"/>
              </w:tabs>
              <w:spacing w:after="48" w:line="240" w:lineRule="atLeast"/>
              <w:ind w:left="34"/>
              <w:rPr>
                <w:b/>
                <w:bCs/>
                <w:szCs w:val="22"/>
              </w:rPr>
            </w:pPr>
            <w:r w:rsidRPr="00C02D9B">
              <w:rPr>
                <w:rFonts w:cstheme="minorHAnsi"/>
                <w:b/>
                <w:bCs/>
                <w:szCs w:val="22"/>
                <w:lang w:eastAsia="zh-CN"/>
              </w:rPr>
              <w:t>32-е собрание, Женева, Швейцария, 12–16 мая 2025 года</w:t>
            </w:r>
          </w:p>
        </w:tc>
        <w:tc>
          <w:tcPr>
            <w:tcW w:w="1384" w:type="dxa"/>
          </w:tcPr>
          <w:p w14:paraId="55C4712A" w14:textId="77777777" w:rsidR="00AE1244" w:rsidRPr="00C02D9B" w:rsidRDefault="00AE1244" w:rsidP="00303F7C">
            <w:pPr>
              <w:spacing w:before="240" w:after="120"/>
              <w:jc w:val="right"/>
              <w:rPr>
                <w:rFonts w:cstheme="minorHAnsi"/>
              </w:rPr>
            </w:pPr>
            <w:bookmarkStart w:id="0" w:name="ditulogo"/>
            <w:bookmarkEnd w:id="0"/>
            <w:r w:rsidRPr="00C02D9B">
              <w:rPr>
                <w:noProof/>
                <w:lang w:eastAsia="fr-FR"/>
              </w:rPr>
              <w:drawing>
                <wp:inline distT="0" distB="0" distL="0" distR="0" wp14:anchorId="5E2F2739" wp14:editId="52009EFB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F5" w:rsidRPr="00C02D9B" w14:paraId="04A95127" w14:textId="77777777" w:rsidTr="005C3173">
        <w:trPr>
          <w:cantSplit/>
        </w:trPr>
        <w:tc>
          <w:tcPr>
            <w:tcW w:w="6663" w:type="dxa"/>
            <w:gridSpan w:val="2"/>
            <w:tcBorders>
              <w:top w:val="single" w:sz="12" w:space="0" w:color="auto"/>
            </w:tcBorders>
          </w:tcPr>
          <w:p w14:paraId="79E42FF2" w14:textId="77777777" w:rsidR="00D83BF5" w:rsidRPr="00C02D9B" w:rsidRDefault="00D83BF5" w:rsidP="00CE66E4">
            <w:pPr>
              <w:spacing w:before="0"/>
              <w:rPr>
                <w:rFonts w:cstheme="minorHAnsi"/>
                <w:b/>
                <w:smallCaps/>
                <w:sz w:val="20"/>
              </w:rPr>
            </w:pPr>
            <w:bookmarkStart w:id="1" w:name="dhead"/>
          </w:p>
        </w:tc>
        <w:tc>
          <w:tcPr>
            <w:tcW w:w="3368" w:type="dxa"/>
            <w:gridSpan w:val="2"/>
            <w:tcBorders>
              <w:top w:val="single" w:sz="12" w:space="0" w:color="auto"/>
            </w:tcBorders>
          </w:tcPr>
          <w:p w14:paraId="42104163" w14:textId="77777777" w:rsidR="00D83BF5" w:rsidRPr="00C02D9B" w:rsidRDefault="00D83BF5" w:rsidP="00CE66E4">
            <w:pPr>
              <w:spacing w:before="0"/>
              <w:rPr>
                <w:rFonts w:cstheme="minorHAnsi"/>
                <w:sz w:val="20"/>
              </w:rPr>
            </w:pPr>
          </w:p>
        </w:tc>
      </w:tr>
      <w:tr w:rsidR="00D87035" w:rsidRPr="00C02D9B" w14:paraId="6690D775" w14:textId="77777777" w:rsidTr="005C3173">
        <w:trPr>
          <w:cantSplit/>
          <w:trHeight w:val="23"/>
        </w:trPr>
        <w:tc>
          <w:tcPr>
            <w:tcW w:w="6663" w:type="dxa"/>
            <w:gridSpan w:val="2"/>
            <w:shd w:val="clear" w:color="auto" w:fill="auto"/>
          </w:tcPr>
          <w:p w14:paraId="6E9B0501" w14:textId="77777777" w:rsidR="00D87035" w:rsidRPr="00C02D9B" w:rsidRDefault="00D87035" w:rsidP="00CE66E4">
            <w:pPr>
              <w:pStyle w:val="Committee"/>
              <w:framePr w:hSpace="0" w:wrap="auto" w:hAnchor="text" w:yAlign="inline"/>
              <w:spacing w:line="240" w:lineRule="auto"/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368" w:type="dxa"/>
            <w:gridSpan w:val="2"/>
          </w:tcPr>
          <w:p w14:paraId="4C1BEE46" w14:textId="04A6DC35" w:rsidR="00D87035" w:rsidRPr="00C02D9B" w:rsidRDefault="005E032D" w:rsidP="00CE66E4">
            <w:pPr>
              <w:tabs>
                <w:tab w:val="left" w:pos="851"/>
              </w:tabs>
              <w:spacing w:before="0"/>
              <w:rPr>
                <w:rFonts w:cstheme="minorHAnsi"/>
                <w:szCs w:val="22"/>
              </w:rPr>
            </w:pPr>
            <w:r w:rsidRPr="00C02D9B">
              <w:rPr>
                <w:b/>
                <w:bCs/>
                <w:szCs w:val="22"/>
              </w:rPr>
              <w:t>Документ</w:t>
            </w:r>
            <w:r w:rsidR="00D87035" w:rsidRPr="00C02D9B">
              <w:rPr>
                <w:b/>
                <w:bCs/>
                <w:szCs w:val="22"/>
              </w:rPr>
              <w:t xml:space="preserve"> </w:t>
            </w:r>
            <w:bookmarkStart w:id="4" w:name="DocRef1"/>
            <w:bookmarkEnd w:id="4"/>
            <w:r w:rsidR="00D87035" w:rsidRPr="00C02D9B">
              <w:rPr>
                <w:b/>
                <w:bCs/>
                <w:szCs w:val="22"/>
              </w:rPr>
              <w:t>TDAG-</w:t>
            </w:r>
            <w:r w:rsidR="00523934" w:rsidRPr="00C02D9B">
              <w:rPr>
                <w:b/>
                <w:bCs/>
                <w:szCs w:val="22"/>
              </w:rPr>
              <w:t>2</w:t>
            </w:r>
            <w:r w:rsidR="0081159E" w:rsidRPr="00C02D9B">
              <w:rPr>
                <w:b/>
                <w:bCs/>
                <w:szCs w:val="22"/>
              </w:rPr>
              <w:t>5</w:t>
            </w:r>
            <w:r w:rsidR="00D87035" w:rsidRPr="00C02D9B">
              <w:rPr>
                <w:b/>
                <w:bCs/>
                <w:szCs w:val="22"/>
              </w:rPr>
              <w:t>/</w:t>
            </w:r>
            <w:bookmarkStart w:id="5" w:name="DocNo1"/>
            <w:bookmarkEnd w:id="5"/>
            <w:r w:rsidR="00617DE5" w:rsidRPr="00C02D9B">
              <w:rPr>
                <w:b/>
                <w:bCs/>
                <w:szCs w:val="22"/>
              </w:rPr>
              <w:t>15</w:t>
            </w:r>
            <w:r w:rsidR="00D87035" w:rsidRPr="00C02D9B">
              <w:rPr>
                <w:b/>
                <w:bCs/>
                <w:szCs w:val="22"/>
              </w:rPr>
              <w:t>-</w:t>
            </w:r>
            <w:r w:rsidRPr="00C02D9B">
              <w:rPr>
                <w:b/>
                <w:bCs/>
                <w:szCs w:val="22"/>
              </w:rPr>
              <w:t>R</w:t>
            </w:r>
          </w:p>
        </w:tc>
      </w:tr>
      <w:tr w:rsidR="00D87035" w:rsidRPr="00C02D9B" w14:paraId="23C8C187" w14:textId="77777777" w:rsidTr="005C3173">
        <w:trPr>
          <w:cantSplit/>
          <w:trHeight w:val="23"/>
        </w:trPr>
        <w:tc>
          <w:tcPr>
            <w:tcW w:w="6663" w:type="dxa"/>
            <w:gridSpan w:val="2"/>
            <w:shd w:val="clear" w:color="auto" w:fill="auto"/>
          </w:tcPr>
          <w:p w14:paraId="5DA69026" w14:textId="77777777" w:rsidR="00D87035" w:rsidRPr="00C02D9B" w:rsidRDefault="00D87035" w:rsidP="00CE66E4">
            <w:pPr>
              <w:tabs>
                <w:tab w:val="left" w:pos="851"/>
              </w:tabs>
              <w:spacing w:before="0"/>
              <w:rPr>
                <w:rFonts w:cstheme="minorHAnsi"/>
                <w:b/>
                <w:szCs w:val="24"/>
              </w:rPr>
            </w:pPr>
            <w:bookmarkStart w:id="6" w:name="ddate" w:colFirst="1" w:colLast="1"/>
            <w:bookmarkStart w:id="7" w:name="dblank" w:colFirst="0" w:colLast="0"/>
            <w:bookmarkEnd w:id="2"/>
            <w:bookmarkEnd w:id="3"/>
          </w:p>
        </w:tc>
        <w:tc>
          <w:tcPr>
            <w:tcW w:w="3368" w:type="dxa"/>
            <w:gridSpan w:val="2"/>
          </w:tcPr>
          <w:p w14:paraId="59F4EA2E" w14:textId="4FF85DB4" w:rsidR="00D87035" w:rsidRPr="00C02D9B" w:rsidRDefault="00617DE5" w:rsidP="00CE66E4">
            <w:pPr>
              <w:spacing w:before="0"/>
              <w:rPr>
                <w:rFonts w:cstheme="minorHAnsi"/>
                <w:szCs w:val="22"/>
              </w:rPr>
            </w:pPr>
            <w:r w:rsidRPr="00C02D9B">
              <w:rPr>
                <w:b/>
                <w:bCs/>
                <w:szCs w:val="22"/>
              </w:rPr>
              <w:t>2 апреля</w:t>
            </w:r>
            <w:r w:rsidR="0081159E" w:rsidRPr="00C02D9B">
              <w:rPr>
                <w:b/>
                <w:bCs/>
                <w:szCs w:val="22"/>
              </w:rPr>
              <w:t xml:space="preserve"> </w:t>
            </w:r>
            <w:r w:rsidR="002955DA" w:rsidRPr="00C02D9B">
              <w:rPr>
                <w:b/>
                <w:bCs/>
                <w:szCs w:val="22"/>
              </w:rPr>
              <w:t>2025</w:t>
            </w:r>
            <w:r w:rsidR="005E032D" w:rsidRPr="00C02D9B">
              <w:rPr>
                <w:b/>
                <w:bCs/>
                <w:szCs w:val="22"/>
              </w:rPr>
              <w:t xml:space="preserve"> года</w:t>
            </w:r>
          </w:p>
        </w:tc>
      </w:tr>
      <w:bookmarkEnd w:id="6"/>
      <w:bookmarkEnd w:id="7"/>
      <w:tr w:rsidR="00D87035" w:rsidRPr="00C02D9B" w14:paraId="5A9E38FD" w14:textId="77777777" w:rsidTr="005C3173">
        <w:trPr>
          <w:cantSplit/>
          <w:trHeight w:val="23"/>
        </w:trPr>
        <w:tc>
          <w:tcPr>
            <w:tcW w:w="6663" w:type="dxa"/>
            <w:gridSpan w:val="2"/>
            <w:shd w:val="clear" w:color="auto" w:fill="auto"/>
          </w:tcPr>
          <w:p w14:paraId="67B51136" w14:textId="77777777" w:rsidR="00D87035" w:rsidRPr="00C02D9B" w:rsidRDefault="00D87035" w:rsidP="00CE66E4">
            <w:pPr>
              <w:tabs>
                <w:tab w:val="left" w:pos="851"/>
              </w:tabs>
              <w:spacing w:before="0"/>
              <w:rPr>
                <w:rFonts w:cstheme="minorHAnsi"/>
                <w:szCs w:val="24"/>
              </w:rPr>
            </w:pPr>
          </w:p>
        </w:tc>
        <w:tc>
          <w:tcPr>
            <w:tcW w:w="3368" w:type="dxa"/>
            <w:gridSpan w:val="2"/>
          </w:tcPr>
          <w:p w14:paraId="28623529" w14:textId="77777777" w:rsidR="00D87035" w:rsidRPr="00C02D9B" w:rsidRDefault="005E032D" w:rsidP="00CE66E4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2"/>
              </w:rPr>
            </w:pPr>
            <w:r w:rsidRPr="00C02D9B">
              <w:rPr>
                <w:b/>
                <w:bCs/>
                <w:szCs w:val="22"/>
              </w:rPr>
              <w:t>Оригинал</w:t>
            </w:r>
            <w:r w:rsidR="00D87035" w:rsidRPr="00C02D9B">
              <w:rPr>
                <w:b/>
                <w:bCs/>
                <w:szCs w:val="22"/>
              </w:rPr>
              <w:t xml:space="preserve">: </w:t>
            </w:r>
            <w:r w:rsidRPr="00C02D9B">
              <w:rPr>
                <w:b/>
                <w:bCs/>
                <w:szCs w:val="22"/>
              </w:rPr>
              <w:t>английский</w:t>
            </w:r>
          </w:p>
        </w:tc>
      </w:tr>
      <w:tr w:rsidR="00D83BF5" w:rsidRPr="00C02D9B" w14:paraId="45A52953" w14:textId="77777777" w:rsidTr="00D87035">
        <w:trPr>
          <w:cantSplit/>
          <w:trHeight w:val="23"/>
        </w:trPr>
        <w:tc>
          <w:tcPr>
            <w:tcW w:w="10031" w:type="dxa"/>
            <w:gridSpan w:val="4"/>
            <w:shd w:val="clear" w:color="auto" w:fill="auto"/>
          </w:tcPr>
          <w:p w14:paraId="02FD2C9D" w14:textId="65D06530" w:rsidR="00D83BF5" w:rsidRPr="00C02D9B" w:rsidRDefault="00617DE5" w:rsidP="006774C6">
            <w:pPr>
              <w:pStyle w:val="Source"/>
            </w:pPr>
            <w:bookmarkStart w:id="8" w:name="dbluepink" w:colFirst="0" w:colLast="0"/>
            <w:bookmarkStart w:id="9" w:name="dorlang" w:colFirst="1" w:colLast="1"/>
            <w:r w:rsidRPr="00C02D9B">
              <w:t>Председатель Консультативной группы по развитию электросвязи (КГРЭ)</w:t>
            </w:r>
          </w:p>
        </w:tc>
      </w:tr>
      <w:tr w:rsidR="00D83BF5" w:rsidRPr="00C02D9B" w14:paraId="681F5AF9" w14:textId="77777777" w:rsidTr="00D87035">
        <w:trPr>
          <w:cantSplit/>
          <w:trHeight w:val="23"/>
        </w:trPr>
        <w:tc>
          <w:tcPr>
            <w:tcW w:w="10031" w:type="dxa"/>
            <w:gridSpan w:val="4"/>
            <w:shd w:val="clear" w:color="auto" w:fill="auto"/>
            <w:vAlign w:val="center"/>
          </w:tcPr>
          <w:p w14:paraId="6C2F2806" w14:textId="1E459F81" w:rsidR="00D83BF5" w:rsidRPr="00C02D9B" w:rsidRDefault="00617DE5" w:rsidP="006774C6">
            <w:pPr>
              <w:pStyle w:val="Title1"/>
              <w:rPr>
                <w:caps/>
              </w:rPr>
            </w:pPr>
            <w:r w:rsidRPr="00C02D9B">
              <w:t>Отчет о деятельности Консультативной группы по развитию электросвязи ‎‎(КГРЭ) для</w:t>
            </w:r>
            <w:r w:rsidR="00445D0A" w:rsidRPr="00C02D9B">
              <w:t> </w:t>
            </w:r>
            <w:r w:rsidRPr="00C02D9B">
              <w:t>ВКРЭ в соответствии с Резолюцией 24 ВКРЭ</w:t>
            </w:r>
          </w:p>
        </w:tc>
      </w:tr>
      <w:tr w:rsidR="00D83BF5" w:rsidRPr="00C02D9B" w14:paraId="7EE17022" w14:textId="77777777" w:rsidTr="00D87035">
        <w:trPr>
          <w:cantSplit/>
          <w:trHeight w:val="23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5F1F8C6" w14:textId="77777777" w:rsidR="00D83BF5" w:rsidRPr="00C02D9B" w:rsidRDefault="00D83BF5" w:rsidP="00403C69">
            <w:pPr>
              <w:pStyle w:val="Title1"/>
              <w:spacing w:before="120" w:after="120"/>
              <w:jc w:val="left"/>
              <w:rPr>
                <w:rFonts w:cs="Times New Roman Bold"/>
                <w:caps/>
                <w:szCs w:val="28"/>
              </w:rPr>
            </w:pPr>
          </w:p>
        </w:tc>
      </w:tr>
      <w:tr w:rsidR="001E252D" w:rsidRPr="00C02D9B" w14:paraId="0B759A85" w14:textId="77777777" w:rsidTr="00D87035">
        <w:trPr>
          <w:cantSplit/>
          <w:trHeight w:val="23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7CF00" w14:textId="77777777" w:rsidR="005E032D" w:rsidRPr="00C02D9B" w:rsidRDefault="005E032D" w:rsidP="00EB4AE6">
            <w:pPr>
              <w:pStyle w:val="Headingb"/>
              <w:rPr>
                <w:szCs w:val="22"/>
                <w:lang w:val="ru-RU"/>
              </w:rPr>
            </w:pPr>
            <w:bookmarkStart w:id="10" w:name="_Toc197528501"/>
            <w:r w:rsidRPr="00C02D9B">
              <w:rPr>
                <w:szCs w:val="22"/>
                <w:lang w:val="ru-RU"/>
              </w:rPr>
              <w:t>Резюме</w:t>
            </w:r>
            <w:bookmarkEnd w:id="10"/>
          </w:p>
          <w:p w14:paraId="3FECF636" w14:textId="062155F1" w:rsidR="001E252D" w:rsidRPr="00C02D9B" w:rsidRDefault="00617DE5" w:rsidP="00EB4AE6">
            <w:pPr>
              <w:rPr>
                <w:szCs w:val="22"/>
              </w:rPr>
            </w:pPr>
            <w:r w:rsidRPr="00C02D9B">
              <w:t>В настоящем отчете содержится краткое изложение работы, проделанной Консультативной группой ‎по</w:t>
            </w:r>
            <w:r w:rsidR="00445D0A" w:rsidRPr="00C02D9B">
              <w:t> </w:t>
            </w:r>
            <w:r w:rsidRPr="00C02D9B">
              <w:t>развитию электросвязи (КГРЭ) за период 2023–2025 годов.</w:t>
            </w:r>
          </w:p>
          <w:p w14:paraId="00AE4CD7" w14:textId="77777777" w:rsidR="005E032D" w:rsidRPr="00C02D9B" w:rsidRDefault="005E032D" w:rsidP="00EB4AE6">
            <w:pPr>
              <w:pStyle w:val="Headingb"/>
              <w:rPr>
                <w:szCs w:val="22"/>
                <w:lang w:val="ru-RU"/>
              </w:rPr>
            </w:pPr>
            <w:bookmarkStart w:id="11" w:name="_Toc197528502"/>
            <w:r w:rsidRPr="00C02D9B">
              <w:rPr>
                <w:szCs w:val="22"/>
                <w:lang w:val="ru-RU"/>
              </w:rPr>
              <w:t>Необходимые действия</w:t>
            </w:r>
            <w:bookmarkEnd w:id="11"/>
          </w:p>
          <w:p w14:paraId="39C671B4" w14:textId="0FFF2C0A" w:rsidR="001E252D" w:rsidRPr="00C02D9B" w:rsidRDefault="00617DE5" w:rsidP="00EB4AE6">
            <w:pPr>
              <w:rPr>
                <w:szCs w:val="22"/>
              </w:rPr>
            </w:pPr>
            <w:r w:rsidRPr="00C02D9B">
              <w:rPr>
                <w:szCs w:val="22"/>
              </w:rPr>
              <w:t>КГРЭ предлагается принять настоящий документ к сведению и</w:t>
            </w:r>
            <w:r w:rsidRPr="00C02D9B">
              <w:t xml:space="preserve"> представить руководящие указания, которые она сочтет необходимыми</w:t>
            </w:r>
            <w:r w:rsidRPr="00C02D9B">
              <w:rPr>
                <w:szCs w:val="22"/>
              </w:rPr>
              <w:t>.</w:t>
            </w:r>
          </w:p>
          <w:p w14:paraId="0D04D692" w14:textId="77777777" w:rsidR="001E252D" w:rsidRPr="00C02D9B" w:rsidRDefault="004A3CDF" w:rsidP="00EB4AE6">
            <w:pPr>
              <w:rPr>
                <w:b/>
                <w:bCs/>
                <w:szCs w:val="22"/>
              </w:rPr>
            </w:pPr>
            <w:r w:rsidRPr="00C02D9B">
              <w:rPr>
                <w:b/>
                <w:bCs/>
                <w:szCs w:val="22"/>
              </w:rPr>
              <w:t>Справочные материалы</w:t>
            </w:r>
          </w:p>
          <w:p w14:paraId="0DA84542" w14:textId="33902CBA" w:rsidR="001E252D" w:rsidRPr="00C02D9B" w:rsidRDefault="00617DE5" w:rsidP="00EB4AE6">
            <w:pPr>
              <w:spacing w:after="120"/>
            </w:pPr>
            <w:hyperlink r:id="rId12" w:history="1">
              <w:r w:rsidRPr="00C02D9B">
                <w:rPr>
                  <w:rStyle w:val="Hyperlink"/>
                </w:rPr>
                <w:t>TDAG-23/48</w:t>
              </w:r>
            </w:hyperlink>
            <w:r w:rsidRPr="00C02D9B">
              <w:t xml:space="preserve">, </w:t>
            </w:r>
            <w:hyperlink r:id="rId13" w:history="1">
              <w:r w:rsidRPr="00C02D9B">
                <w:rPr>
                  <w:rStyle w:val="Hyperlink"/>
                </w:rPr>
                <w:t>TDAG-24/51</w:t>
              </w:r>
            </w:hyperlink>
            <w:r w:rsidRPr="00C02D9B">
              <w:t xml:space="preserve">, </w:t>
            </w:r>
            <w:hyperlink r:id="rId14" w:history="1">
              <w:r w:rsidRPr="00C02D9B">
                <w:rPr>
                  <w:rStyle w:val="Hyperlink"/>
                </w:rPr>
                <w:t>TDAG-Extra/10</w:t>
              </w:r>
            </w:hyperlink>
          </w:p>
        </w:tc>
      </w:tr>
      <w:bookmarkEnd w:id="8"/>
      <w:bookmarkEnd w:id="9"/>
    </w:tbl>
    <w:p w14:paraId="39B593DE" w14:textId="77777777" w:rsidR="001E252D" w:rsidRPr="00C02D9B" w:rsidRDefault="001E252D" w:rsidP="00CE66E4"/>
    <w:p w14:paraId="05F6844B" w14:textId="77777777" w:rsidR="00075C63" w:rsidRPr="00C02D9B" w:rsidRDefault="00075C63" w:rsidP="00CE66E4">
      <w:pPr>
        <w:rPr>
          <w:szCs w:val="24"/>
        </w:rPr>
      </w:pPr>
      <w:r w:rsidRPr="00C02D9B">
        <w:rPr>
          <w:szCs w:val="24"/>
        </w:rPr>
        <w:br w:type="page"/>
      </w:r>
    </w:p>
    <w:p w14:paraId="77CF8A26" w14:textId="4983A041" w:rsidR="00617DE5" w:rsidRPr="00C02D9B" w:rsidRDefault="00617DE5" w:rsidP="00617DE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</w:rPr>
      </w:pPr>
      <w:r w:rsidRPr="00C02D9B">
        <w:rPr>
          <w:b/>
          <w:bCs/>
        </w:rPr>
        <w:lastRenderedPageBreak/>
        <w:t>Содержание</w:t>
      </w:r>
    </w:p>
    <w:p w14:paraId="11D9B2F4" w14:textId="625973E2" w:rsidR="00617DE5" w:rsidRPr="00C02D9B" w:rsidRDefault="00617DE5" w:rsidP="00617DE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right"/>
        <w:textAlignment w:val="auto"/>
      </w:pPr>
      <w:r w:rsidRPr="00C02D9B">
        <w:rPr>
          <w:b/>
          <w:bCs/>
        </w:rPr>
        <w:t>Стр</w:t>
      </w:r>
      <w:r w:rsidRPr="00C02D9B">
        <w:t>.</w:t>
      </w:r>
    </w:p>
    <w:p w14:paraId="2F098EFB" w14:textId="14ED8C5C" w:rsidR="00797A5D" w:rsidRPr="00C02D9B" w:rsidRDefault="00797A5D" w:rsidP="00445D0A">
      <w:pPr>
        <w:pStyle w:val="TOC1"/>
        <w:tabs>
          <w:tab w:val="clear" w:pos="1871"/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r w:rsidRPr="00C02D9B">
        <w:fldChar w:fldCharType="begin"/>
      </w:r>
      <w:r w:rsidRPr="00C02D9B">
        <w:instrText xml:space="preserve"> TOC \h \z \t "Heading_b,1" </w:instrText>
      </w:r>
      <w:r w:rsidRPr="00C02D9B">
        <w:fldChar w:fldCharType="separate"/>
      </w:r>
      <w:hyperlink w:anchor="_Toc197528503" w:history="1">
        <w:r w:rsidRPr="00C02D9B">
          <w:rPr>
            <w:rStyle w:val="Hyperlink"/>
            <w:lang w:eastAsia="ru-RU" w:bidi="ru-RU"/>
          </w:rPr>
          <w:t>Введение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_Toc197528503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3</w:t>
        </w:r>
        <w:r w:rsidRPr="00C02D9B">
          <w:rPr>
            <w:webHidden/>
          </w:rPr>
          <w:fldChar w:fldCharType="end"/>
        </w:r>
      </w:hyperlink>
    </w:p>
    <w:p w14:paraId="1CBEFA71" w14:textId="782E6795" w:rsidR="00797A5D" w:rsidRPr="00C02D9B" w:rsidRDefault="00797A5D" w:rsidP="00445D0A">
      <w:pPr>
        <w:pStyle w:val="TOC1"/>
        <w:tabs>
          <w:tab w:val="clear" w:pos="1871"/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04" w:history="1">
        <w:r w:rsidRPr="00C02D9B">
          <w:rPr>
            <w:rStyle w:val="Hyperlink"/>
            <w:lang w:eastAsia="ru-RU" w:bidi="ru-RU"/>
          </w:rPr>
          <w:t>Круг ведения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_Toc197528504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3</w:t>
        </w:r>
        <w:r w:rsidRPr="00C02D9B">
          <w:rPr>
            <w:webHidden/>
          </w:rPr>
          <w:fldChar w:fldCharType="end"/>
        </w:r>
      </w:hyperlink>
    </w:p>
    <w:p w14:paraId="659A90EC" w14:textId="2FA65A24" w:rsidR="00797A5D" w:rsidRPr="00C02D9B" w:rsidRDefault="00797A5D" w:rsidP="00797A5D">
      <w:pPr>
        <w:pStyle w:val="TOC1"/>
        <w:tabs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05" w:history="1">
        <w:r w:rsidRPr="00C02D9B">
          <w:rPr>
            <w:rStyle w:val="Hyperlink"/>
            <w:lang w:eastAsia="ru-RU" w:bidi="ru-RU"/>
          </w:rPr>
          <w:t>Бюро Консультативной группы по развитию электросвязи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_Toc197528505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3</w:t>
        </w:r>
        <w:r w:rsidRPr="00C02D9B">
          <w:rPr>
            <w:webHidden/>
          </w:rPr>
          <w:fldChar w:fldCharType="end"/>
        </w:r>
      </w:hyperlink>
    </w:p>
    <w:p w14:paraId="75B69FB3" w14:textId="2748A7E1" w:rsidR="00797A5D" w:rsidRPr="00C02D9B" w:rsidRDefault="00797A5D" w:rsidP="00445D0A">
      <w:pPr>
        <w:pStyle w:val="TOC1"/>
        <w:tabs>
          <w:tab w:val="clear" w:pos="1871"/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06" w:history="1">
        <w:r w:rsidRPr="00C02D9B">
          <w:rPr>
            <w:rStyle w:val="Hyperlink"/>
            <w:lang w:eastAsia="ru-RU" w:bidi="ru-RU"/>
          </w:rPr>
          <w:t>Собрания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_Toc197528506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3</w:t>
        </w:r>
        <w:r w:rsidRPr="00C02D9B">
          <w:rPr>
            <w:webHidden/>
          </w:rPr>
          <w:fldChar w:fldCharType="end"/>
        </w:r>
      </w:hyperlink>
    </w:p>
    <w:p w14:paraId="7A197A6E" w14:textId="583507EA" w:rsidR="00797A5D" w:rsidRPr="00C02D9B" w:rsidRDefault="00797A5D" w:rsidP="004C6DFE">
      <w:pPr>
        <w:pStyle w:val="TOC1"/>
        <w:tabs>
          <w:tab w:val="clear" w:pos="1871"/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07" w:history="1">
        <w:r w:rsidRPr="00C02D9B">
          <w:rPr>
            <w:rStyle w:val="Hyperlink"/>
          </w:rPr>
          <w:t>30-е собрание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_Toc197528507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4</w:t>
        </w:r>
        <w:r w:rsidRPr="00C02D9B">
          <w:rPr>
            <w:webHidden/>
          </w:rPr>
          <w:fldChar w:fldCharType="end"/>
        </w:r>
      </w:hyperlink>
    </w:p>
    <w:p w14:paraId="3E7AB716" w14:textId="3F8C787C" w:rsidR="00797A5D" w:rsidRPr="00C02D9B" w:rsidRDefault="00797A5D" w:rsidP="004C6DFE">
      <w:pPr>
        <w:pStyle w:val="TOC1"/>
        <w:tabs>
          <w:tab w:val="clear" w:pos="1871"/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08" w:history="1">
        <w:r w:rsidRPr="00C02D9B">
          <w:rPr>
            <w:rStyle w:val="Hyperlink"/>
            <w:lang w:eastAsia="ru-RU" w:bidi="ru-RU"/>
          </w:rPr>
          <w:t>31-е собрание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_Toc197528508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6</w:t>
        </w:r>
        <w:r w:rsidRPr="00C02D9B">
          <w:rPr>
            <w:webHidden/>
          </w:rPr>
          <w:fldChar w:fldCharType="end"/>
        </w:r>
      </w:hyperlink>
    </w:p>
    <w:p w14:paraId="04CE9AD7" w14:textId="2F1F196C" w:rsidR="00797A5D" w:rsidRPr="00C02D9B" w:rsidRDefault="00797A5D" w:rsidP="00797A5D">
      <w:pPr>
        <w:pStyle w:val="TOC1"/>
        <w:tabs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09" w:history="1">
        <w:r w:rsidRPr="00C02D9B">
          <w:rPr>
            <w:rStyle w:val="Hyperlink"/>
            <w:lang w:eastAsia="ru-RU" w:bidi="ru-RU"/>
          </w:rPr>
          <w:t>Внеочередное собрание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_Toc197528509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10</w:t>
        </w:r>
        <w:r w:rsidRPr="00C02D9B">
          <w:rPr>
            <w:webHidden/>
          </w:rPr>
          <w:fldChar w:fldCharType="end"/>
        </w:r>
      </w:hyperlink>
    </w:p>
    <w:p w14:paraId="0516E767" w14:textId="5B176705" w:rsidR="00797A5D" w:rsidRPr="00C02D9B" w:rsidRDefault="00797A5D" w:rsidP="00797A5D">
      <w:pPr>
        <w:pStyle w:val="TOC1"/>
        <w:tabs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10" w:history="1">
        <w:r w:rsidRPr="00C02D9B">
          <w:rPr>
            <w:rStyle w:val="Hyperlink"/>
            <w:lang w:eastAsia="ru-RU" w:bidi="ru-RU"/>
          </w:rPr>
          <w:t>32-е собрание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_Toc197528510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12</w:t>
        </w:r>
        <w:r w:rsidRPr="00C02D9B">
          <w:rPr>
            <w:webHidden/>
          </w:rPr>
          <w:fldChar w:fldCharType="end"/>
        </w:r>
      </w:hyperlink>
    </w:p>
    <w:p w14:paraId="5AB7FDDC" w14:textId="1A70C49C" w:rsidR="00797A5D" w:rsidRPr="00C02D9B" w:rsidRDefault="00797A5D" w:rsidP="00797A5D">
      <w:pPr>
        <w:pStyle w:val="TOC1"/>
        <w:tabs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11" w:history="1">
        <w:r w:rsidRPr="00C02D9B">
          <w:rPr>
            <w:rStyle w:val="Hyperlink"/>
            <w:lang w:eastAsia="ru-RU" w:bidi="ru-RU"/>
          </w:rPr>
          <w:t>Собрания рабочих групп КГРЭ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_Toc197528511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12</w:t>
        </w:r>
        <w:r w:rsidRPr="00C02D9B">
          <w:rPr>
            <w:webHidden/>
          </w:rPr>
          <w:fldChar w:fldCharType="end"/>
        </w:r>
      </w:hyperlink>
    </w:p>
    <w:p w14:paraId="5F92B78A" w14:textId="12FEB8FC" w:rsidR="00797A5D" w:rsidRPr="00C02D9B" w:rsidRDefault="00797A5D" w:rsidP="00797A5D">
      <w:pPr>
        <w:pStyle w:val="TOC1"/>
        <w:tabs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97528512" w:history="1">
        <w:r w:rsidRPr="00C02D9B">
          <w:rPr>
            <w:rStyle w:val="Hyperlink"/>
            <w:lang w:eastAsia="ru-RU" w:bidi="ru-RU"/>
          </w:rPr>
          <w:t>Выполнение КГРЭ Резолюций 1, 2 и 24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_Toc197528512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12</w:t>
        </w:r>
        <w:r w:rsidRPr="00C02D9B">
          <w:rPr>
            <w:webHidden/>
          </w:rPr>
          <w:fldChar w:fldCharType="end"/>
        </w:r>
      </w:hyperlink>
    </w:p>
    <w:p w14:paraId="54945DAE" w14:textId="3D810136" w:rsidR="00797A5D" w:rsidRPr="00C02D9B" w:rsidRDefault="00797A5D" w:rsidP="00797A5D">
      <w:pPr>
        <w:pStyle w:val="TOC1"/>
        <w:tabs>
          <w:tab w:val="clear" w:pos="7938"/>
          <w:tab w:val="left" w:leader="dot" w:pos="8460"/>
        </w:tabs>
        <w:rPr>
          <w:rFonts w:asciiTheme="minorHAnsi" w:eastAsiaTheme="minorEastAsia" w:hAnsiTheme="minorHAnsi" w:cstheme="minorBidi"/>
          <w:b/>
          <w:bCs/>
          <w:kern w:val="2"/>
          <w:sz w:val="24"/>
          <w:szCs w:val="24"/>
          <w:lang w:eastAsia="en-GB"/>
          <w14:ligatures w14:val="standardContextual"/>
        </w:rPr>
      </w:pPr>
      <w:hyperlink w:anchor="_Toc197528514" w:history="1">
        <w:r w:rsidRPr="00C02D9B">
          <w:rPr>
            <w:rStyle w:val="Hyperlink"/>
            <w:b/>
            <w:bCs/>
          </w:rPr>
          <w:t>Заключение и перспективы</w:t>
        </w:r>
        <w:r w:rsidRPr="00C02D9B">
          <w:rPr>
            <w:webHidden/>
          </w:rPr>
          <w:tab/>
        </w:r>
        <w:r w:rsidRPr="00C02D9B">
          <w:rPr>
            <w:webHidden/>
          </w:rPr>
          <w:tab/>
        </w:r>
        <w:r w:rsidRPr="00C02D9B">
          <w:rPr>
            <w:webHidden/>
          </w:rPr>
          <w:fldChar w:fldCharType="begin"/>
        </w:r>
        <w:r w:rsidRPr="00C02D9B">
          <w:rPr>
            <w:webHidden/>
          </w:rPr>
          <w:instrText xml:space="preserve"> PAGEREF _Toc197528514 \h </w:instrText>
        </w:r>
        <w:r w:rsidRPr="00C02D9B">
          <w:rPr>
            <w:webHidden/>
          </w:rPr>
        </w:r>
        <w:r w:rsidRPr="00C02D9B">
          <w:rPr>
            <w:webHidden/>
          </w:rPr>
          <w:fldChar w:fldCharType="separate"/>
        </w:r>
        <w:r w:rsidR="00EF065B" w:rsidRPr="00C02D9B">
          <w:rPr>
            <w:webHidden/>
          </w:rPr>
          <w:t>19</w:t>
        </w:r>
        <w:r w:rsidRPr="00C02D9B">
          <w:rPr>
            <w:webHidden/>
          </w:rPr>
          <w:fldChar w:fldCharType="end"/>
        </w:r>
      </w:hyperlink>
    </w:p>
    <w:p w14:paraId="7AAAB75B" w14:textId="5ADAC0B0" w:rsidR="00617DE5" w:rsidRPr="00C02D9B" w:rsidRDefault="00797A5D" w:rsidP="00797A5D">
      <w:pPr>
        <w:tabs>
          <w:tab w:val="clear" w:pos="1134"/>
          <w:tab w:val="clear" w:pos="1871"/>
          <w:tab w:val="clear" w:pos="2268"/>
          <w:tab w:val="left" w:leader="dot" w:pos="8460"/>
        </w:tabs>
        <w:overflowPunct/>
        <w:autoSpaceDE/>
        <w:autoSpaceDN/>
        <w:adjustRightInd/>
        <w:spacing w:before="0"/>
        <w:textAlignment w:val="auto"/>
      </w:pPr>
      <w:r w:rsidRPr="00C02D9B">
        <w:fldChar w:fldCharType="end"/>
      </w:r>
    </w:p>
    <w:p w14:paraId="5D3DE026" w14:textId="1CBF86FF" w:rsidR="00617DE5" w:rsidRPr="00C02D9B" w:rsidRDefault="00617DE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C02D9B">
        <w:br w:type="page"/>
      </w:r>
    </w:p>
    <w:p w14:paraId="23AEEA0A" w14:textId="77777777" w:rsidR="00617DE5" w:rsidRPr="00C02D9B" w:rsidRDefault="00617DE5" w:rsidP="00617DE5">
      <w:pPr>
        <w:pStyle w:val="Headingb"/>
        <w:rPr>
          <w:lang w:val="ru-RU" w:eastAsia="ru-RU" w:bidi="ru-RU"/>
        </w:rPr>
      </w:pPr>
      <w:bookmarkStart w:id="12" w:name="_Toc487107147"/>
      <w:bookmarkStart w:id="13" w:name="_Toc86654679"/>
      <w:bookmarkStart w:id="14" w:name="_Toc197528503"/>
      <w:r w:rsidRPr="00C02D9B">
        <w:rPr>
          <w:lang w:val="ru-RU" w:eastAsia="ru-RU" w:bidi="ru-RU"/>
        </w:rPr>
        <w:lastRenderedPageBreak/>
        <w:t>Введение</w:t>
      </w:r>
      <w:bookmarkEnd w:id="12"/>
      <w:bookmarkEnd w:id="13"/>
      <w:bookmarkEnd w:id="14"/>
    </w:p>
    <w:p w14:paraId="0855455F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В настоящем отчете содержится краткое изложение работы, проделанной Консультативной группой по развитию электросвязи (КГРЭ) за период 2023–2025 годов.</w:t>
      </w:r>
    </w:p>
    <w:p w14:paraId="4A5308C8" w14:textId="77777777" w:rsidR="00617DE5" w:rsidRPr="00C02D9B" w:rsidRDefault="00617DE5" w:rsidP="00617DE5">
      <w:pPr>
        <w:pStyle w:val="Headingb"/>
        <w:rPr>
          <w:i/>
          <w:iCs/>
          <w:lang w:val="ru-RU" w:eastAsia="ru-RU" w:bidi="ru-RU"/>
        </w:rPr>
      </w:pPr>
      <w:bookmarkStart w:id="15" w:name="_Toc381803154"/>
      <w:bookmarkStart w:id="16" w:name="_Toc482198379"/>
      <w:bookmarkStart w:id="17" w:name="_Toc485904000"/>
      <w:bookmarkStart w:id="18" w:name="_Toc487107148"/>
      <w:bookmarkStart w:id="19" w:name="_Toc86654680"/>
      <w:bookmarkStart w:id="20" w:name="_Toc197528504"/>
      <w:bookmarkStart w:id="21" w:name="_Toc379236726"/>
      <w:bookmarkStart w:id="22" w:name="_Toc381803155"/>
      <w:r w:rsidRPr="00C02D9B">
        <w:rPr>
          <w:i/>
          <w:iCs/>
          <w:lang w:val="ru-RU" w:eastAsia="ru-RU" w:bidi="ru-RU"/>
        </w:rPr>
        <w:t>Круг ведения КГРЭ</w:t>
      </w:r>
      <w:bookmarkEnd w:id="15"/>
      <w:bookmarkEnd w:id="16"/>
      <w:bookmarkEnd w:id="17"/>
      <w:bookmarkEnd w:id="18"/>
      <w:bookmarkEnd w:id="19"/>
      <w:bookmarkEnd w:id="20"/>
    </w:p>
    <w:p w14:paraId="6E84AE21" w14:textId="1A573DE1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 xml:space="preserve">Круг ведения КГРЭ представлен на </w:t>
      </w:r>
      <w:hyperlink r:id="rId15" w:history="1">
        <w:r w:rsidRPr="00C02D9B">
          <w:rPr>
            <w:rStyle w:val="Hyperlink"/>
            <w:lang w:eastAsia="ru-RU" w:bidi="ru-RU"/>
          </w:rPr>
          <w:t>веб-странице КГРЭ</w:t>
        </w:r>
      </w:hyperlink>
      <w:r w:rsidRPr="00C02D9B">
        <w:rPr>
          <w:lang w:eastAsia="ru-RU" w:bidi="ru-RU"/>
        </w:rPr>
        <w:t>.</w:t>
      </w:r>
    </w:p>
    <w:p w14:paraId="73192125" w14:textId="77777777" w:rsidR="00617DE5" w:rsidRPr="00C02D9B" w:rsidRDefault="00617DE5" w:rsidP="00617DE5">
      <w:pPr>
        <w:pStyle w:val="Headingb"/>
        <w:rPr>
          <w:i/>
          <w:iCs/>
          <w:lang w:val="ru-RU" w:eastAsia="ru-RU" w:bidi="ru-RU"/>
        </w:rPr>
      </w:pPr>
      <w:bookmarkStart w:id="23" w:name="_Toc393975556"/>
      <w:bookmarkStart w:id="24" w:name="_Toc393976765"/>
      <w:bookmarkStart w:id="25" w:name="_Toc402169272"/>
      <w:bookmarkStart w:id="26" w:name="_Toc485904001"/>
      <w:bookmarkStart w:id="27" w:name="_Toc487107149"/>
      <w:bookmarkStart w:id="28" w:name="_Toc86654681"/>
      <w:bookmarkStart w:id="29" w:name="_Toc197528505"/>
      <w:r w:rsidRPr="00C02D9B">
        <w:rPr>
          <w:i/>
          <w:iCs/>
          <w:lang w:val="ru-RU" w:eastAsia="ru-RU" w:bidi="ru-RU"/>
        </w:rPr>
        <w:t>Бюро Консультативной группы по развитию электросвязи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26197DB5" w14:textId="77777777" w:rsidR="00617DE5" w:rsidRPr="00C02D9B" w:rsidRDefault="00617DE5" w:rsidP="00617DE5">
      <w:pPr>
        <w:spacing w:after="120"/>
        <w:rPr>
          <w:lang w:eastAsia="ru-RU" w:bidi="ru-RU"/>
        </w:rPr>
      </w:pPr>
      <w:r w:rsidRPr="00C02D9B">
        <w:rPr>
          <w:lang w:eastAsia="ru-RU" w:bidi="ru-RU"/>
        </w:rPr>
        <w:t>Во исполнение Резолюции 208 (Пересм. Дубай, 2018 г.) ВКРЭ-22 утвердила состав Бюро КГРЭ и назначила следующих Председателя и заместителей Председателя КГРЭ: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884"/>
        <w:gridCol w:w="2961"/>
        <w:gridCol w:w="1983"/>
        <w:gridCol w:w="1806"/>
      </w:tblGrid>
      <w:tr w:rsidR="00617DE5" w:rsidRPr="00C02D9B" w14:paraId="64CD50EF" w14:textId="77777777" w:rsidTr="00C90165">
        <w:tc>
          <w:tcPr>
            <w:tcW w:w="2884" w:type="dxa"/>
            <w:shd w:val="clear" w:color="auto" w:fill="F2F2F2" w:themeFill="background1" w:themeFillShade="F2"/>
            <w:vAlign w:val="center"/>
          </w:tcPr>
          <w:p w14:paraId="3AF84692" w14:textId="77777777" w:rsidR="00617DE5" w:rsidRPr="00C02D9B" w:rsidRDefault="00617DE5" w:rsidP="00617DE5">
            <w:pPr>
              <w:pStyle w:val="Tablehead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Председатель/Заместители Председателя</w:t>
            </w:r>
          </w:p>
        </w:tc>
        <w:tc>
          <w:tcPr>
            <w:tcW w:w="2961" w:type="dxa"/>
            <w:shd w:val="clear" w:color="auto" w:fill="F2F2F2" w:themeFill="background1" w:themeFillShade="F2"/>
            <w:vAlign w:val="center"/>
          </w:tcPr>
          <w:p w14:paraId="61B82342" w14:textId="77777777" w:rsidR="00617DE5" w:rsidRPr="00C02D9B" w:rsidRDefault="00617DE5" w:rsidP="00617DE5">
            <w:pPr>
              <w:pStyle w:val="Tablehead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Фамилия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702D7B1B" w14:textId="77777777" w:rsidR="00617DE5" w:rsidRPr="00C02D9B" w:rsidRDefault="00617DE5" w:rsidP="00617DE5">
            <w:pPr>
              <w:pStyle w:val="Tablehead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Страна</w:t>
            </w:r>
          </w:p>
        </w:tc>
        <w:tc>
          <w:tcPr>
            <w:tcW w:w="1806" w:type="dxa"/>
            <w:shd w:val="clear" w:color="auto" w:fill="F2F2F2" w:themeFill="background1" w:themeFillShade="F2"/>
            <w:vAlign w:val="center"/>
          </w:tcPr>
          <w:p w14:paraId="1BD8BCBD" w14:textId="77777777" w:rsidR="00617DE5" w:rsidRPr="00C02D9B" w:rsidRDefault="00617DE5" w:rsidP="00617DE5">
            <w:pPr>
              <w:pStyle w:val="Tablehead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Регион БРЭ</w:t>
            </w:r>
          </w:p>
        </w:tc>
      </w:tr>
      <w:tr w:rsidR="00617DE5" w:rsidRPr="00C02D9B" w14:paraId="282884E8" w14:textId="77777777" w:rsidTr="00C90165">
        <w:tc>
          <w:tcPr>
            <w:tcW w:w="2884" w:type="dxa"/>
          </w:tcPr>
          <w:p w14:paraId="33A6DC75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Председатель</w:t>
            </w:r>
          </w:p>
        </w:tc>
        <w:tc>
          <w:tcPr>
            <w:tcW w:w="2961" w:type="dxa"/>
          </w:tcPr>
          <w:p w14:paraId="2364431B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 xml:space="preserve">г-жа Роксана Макэлвейн </w:t>
            </w:r>
            <w:r w:rsidRPr="00C02D9B">
              <w:rPr>
                <w:caps/>
                <w:lang w:eastAsia="ru-RU" w:bidi="ru-RU"/>
              </w:rPr>
              <w:t>Веббер</w:t>
            </w:r>
          </w:p>
        </w:tc>
        <w:tc>
          <w:tcPr>
            <w:tcW w:w="1983" w:type="dxa"/>
          </w:tcPr>
          <w:p w14:paraId="586F2B0A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США</w:t>
            </w:r>
          </w:p>
        </w:tc>
        <w:tc>
          <w:tcPr>
            <w:tcW w:w="1806" w:type="dxa"/>
          </w:tcPr>
          <w:p w14:paraId="3BD2FC5E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АМР</w:t>
            </w:r>
          </w:p>
        </w:tc>
      </w:tr>
      <w:tr w:rsidR="00617DE5" w:rsidRPr="00C02D9B" w14:paraId="706683F6" w14:textId="77777777" w:rsidTr="00C90165">
        <w:tc>
          <w:tcPr>
            <w:tcW w:w="2884" w:type="dxa"/>
          </w:tcPr>
          <w:p w14:paraId="357F7B3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76A5E88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 xml:space="preserve">г-жа </w:t>
            </w:r>
            <w:r w:rsidRPr="00C02D9B">
              <w:rPr>
                <w:color w:val="000000"/>
              </w:rPr>
              <w:t>Регина Флёр Ассуму-</w:t>
            </w:r>
            <w:r w:rsidRPr="00C02D9B">
              <w:rPr>
                <w:caps/>
                <w:color w:val="000000"/>
              </w:rPr>
              <w:t>Бессу</w:t>
            </w:r>
          </w:p>
        </w:tc>
        <w:tc>
          <w:tcPr>
            <w:tcW w:w="1983" w:type="dxa"/>
          </w:tcPr>
          <w:p w14:paraId="55D597AB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Кот-д'Ивуар</w:t>
            </w:r>
          </w:p>
        </w:tc>
        <w:tc>
          <w:tcPr>
            <w:tcW w:w="1806" w:type="dxa"/>
          </w:tcPr>
          <w:p w14:paraId="7E28703B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Председатель ИК1</w:t>
            </w:r>
          </w:p>
        </w:tc>
      </w:tr>
      <w:tr w:rsidR="00617DE5" w:rsidRPr="00C02D9B" w14:paraId="00A86B70" w14:textId="77777777" w:rsidTr="00C90165">
        <w:tc>
          <w:tcPr>
            <w:tcW w:w="2884" w:type="dxa"/>
          </w:tcPr>
          <w:p w14:paraId="27E17060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0EA0DE08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г-н Фадель ДИГХАМ</w:t>
            </w:r>
          </w:p>
        </w:tc>
        <w:tc>
          <w:tcPr>
            <w:tcW w:w="1983" w:type="dxa"/>
          </w:tcPr>
          <w:p w14:paraId="4C729380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Египет</w:t>
            </w:r>
          </w:p>
        </w:tc>
        <w:tc>
          <w:tcPr>
            <w:tcW w:w="1806" w:type="dxa"/>
          </w:tcPr>
          <w:p w14:paraId="629170FC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Председатель ИК2</w:t>
            </w:r>
          </w:p>
        </w:tc>
      </w:tr>
      <w:tr w:rsidR="00617DE5" w:rsidRPr="00C02D9B" w14:paraId="1E8E7B6B" w14:textId="77777777" w:rsidTr="00C90165">
        <w:tc>
          <w:tcPr>
            <w:tcW w:w="2884" w:type="dxa"/>
          </w:tcPr>
          <w:p w14:paraId="582E4CC7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034444C4" w14:textId="64473F5A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 xml:space="preserve">г-н </w:t>
            </w:r>
            <w:r w:rsidRPr="00C02D9B">
              <w:rPr>
                <w:color w:val="000000"/>
              </w:rPr>
              <w:t xml:space="preserve">Кристофер Кипкоч </w:t>
            </w:r>
            <w:r w:rsidRPr="00C02D9B">
              <w:rPr>
                <w:caps/>
                <w:color w:val="000000"/>
              </w:rPr>
              <w:t>Кемей</w:t>
            </w:r>
            <w:r w:rsidR="00C90165" w:rsidRPr="00C02D9B">
              <w:rPr>
                <w:rStyle w:val="FootnoteReference"/>
              </w:rPr>
              <w:t>*</w:t>
            </w:r>
          </w:p>
        </w:tc>
        <w:tc>
          <w:tcPr>
            <w:tcW w:w="1983" w:type="dxa"/>
          </w:tcPr>
          <w:p w14:paraId="6D0EC34E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Кения</w:t>
            </w:r>
          </w:p>
        </w:tc>
        <w:tc>
          <w:tcPr>
            <w:tcW w:w="1806" w:type="dxa"/>
          </w:tcPr>
          <w:p w14:paraId="6A6778B4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АФР</w:t>
            </w:r>
          </w:p>
        </w:tc>
      </w:tr>
      <w:tr w:rsidR="00617DE5" w:rsidRPr="00C02D9B" w14:paraId="3157026B" w14:textId="77777777" w:rsidTr="00C90165">
        <w:tc>
          <w:tcPr>
            <w:tcW w:w="2884" w:type="dxa"/>
          </w:tcPr>
          <w:p w14:paraId="5B216C2B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2C3FA595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 xml:space="preserve">г-н </w:t>
            </w:r>
            <w:r w:rsidRPr="00C02D9B">
              <w:rPr>
                <w:color w:val="000000"/>
              </w:rPr>
              <w:t xml:space="preserve">Абдулкарим Айопо </w:t>
            </w:r>
            <w:r w:rsidRPr="00C02D9B">
              <w:rPr>
                <w:caps/>
                <w:color w:val="000000"/>
              </w:rPr>
              <w:t>Олойеде</w:t>
            </w:r>
          </w:p>
        </w:tc>
        <w:tc>
          <w:tcPr>
            <w:tcW w:w="1983" w:type="dxa"/>
          </w:tcPr>
          <w:p w14:paraId="20C0178D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Нигерия</w:t>
            </w:r>
          </w:p>
        </w:tc>
        <w:tc>
          <w:tcPr>
            <w:tcW w:w="1806" w:type="dxa"/>
          </w:tcPr>
          <w:p w14:paraId="04544E93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АФР</w:t>
            </w:r>
          </w:p>
        </w:tc>
      </w:tr>
      <w:tr w:rsidR="00617DE5" w:rsidRPr="00C02D9B" w14:paraId="0031605E" w14:textId="77777777" w:rsidTr="00C90165">
        <w:tc>
          <w:tcPr>
            <w:tcW w:w="2884" w:type="dxa"/>
          </w:tcPr>
          <w:p w14:paraId="7204925E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347015A3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г-жа Агустина БРИЗИО</w:t>
            </w:r>
          </w:p>
        </w:tc>
        <w:tc>
          <w:tcPr>
            <w:tcW w:w="1983" w:type="dxa"/>
          </w:tcPr>
          <w:p w14:paraId="4AFAE0DC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Аргентина</w:t>
            </w:r>
          </w:p>
        </w:tc>
        <w:tc>
          <w:tcPr>
            <w:tcW w:w="1806" w:type="dxa"/>
          </w:tcPr>
          <w:p w14:paraId="15913F2D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АМР</w:t>
            </w:r>
          </w:p>
        </w:tc>
      </w:tr>
      <w:tr w:rsidR="00617DE5" w:rsidRPr="00C02D9B" w14:paraId="2F1BF53F" w14:textId="77777777" w:rsidTr="00C90165">
        <w:tc>
          <w:tcPr>
            <w:tcW w:w="2884" w:type="dxa"/>
          </w:tcPr>
          <w:p w14:paraId="014AA06A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26F8A0B5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г-жа Андреа Мамприм ГРИППА</w:t>
            </w:r>
          </w:p>
        </w:tc>
        <w:tc>
          <w:tcPr>
            <w:tcW w:w="1983" w:type="dxa"/>
          </w:tcPr>
          <w:p w14:paraId="2B3A0952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Бразилия</w:t>
            </w:r>
          </w:p>
        </w:tc>
        <w:tc>
          <w:tcPr>
            <w:tcW w:w="1806" w:type="dxa"/>
          </w:tcPr>
          <w:p w14:paraId="6C846B79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АМР</w:t>
            </w:r>
          </w:p>
        </w:tc>
      </w:tr>
      <w:tr w:rsidR="00617DE5" w:rsidRPr="00C02D9B" w14:paraId="467D95D6" w14:textId="77777777" w:rsidTr="00C90165">
        <w:tc>
          <w:tcPr>
            <w:tcW w:w="2884" w:type="dxa"/>
          </w:tcPr>
          <w:p w14:paraId="5E9C482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2C87F674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г-жа Ке ВАН</w:t>
            </w:r>
          </w:p>
        </w:tc>
        <w:tc>
          <w:tcPr>
            <w:tcW w:w="1983" w:type="dxa"/>
          </w:tcPr>
          <w:p w14:paraId="77067928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Китай</w:t>
            </w:r>
          </w:p>
        </w:tc>
        <w:tc>
          <w:tcPr>
            <w:tcW w:w="1806" w:type="dxa"/>
          </w:tcPr>
          <w:p w14:paraId="4E62FC80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АТР</w:t>
            </w:r>
          </w:p>
        </w:tc>
      </w:tr>
      <w:tr w:rsidR="00617DE5" w:rsidRPr="00C02D9B" w14:paraId="6AAD67C0" w14:textId="77777777" w:rsidTr="00C90165">
        <w:tc>
          <w:tcPr>
            <w:tcW w:w="2884" w:type="dxa"/>
          </w:tcPr>
          <w:p w14:paraId="5AEA1CB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625B85FE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г-н Ахмад Реза ШАРАФАТ</w:t>
            </w:r>
          </w:p>
        </w:tc>
        <w:tc>
          <w:tcPr>
            <w:tcW w:w="1983" w:type="dxa"/>
          </w:tcPr>
          <w:p w14:paraId="6C305D5A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Иран (Исламская Республика)</w:t>
            </w:r>
          </w:p>
        </w:tc>
        <w:tc>
          <w:tcPr>
            <w:tcW w:w="1806" w:type="dxa"/>
          </w:tcPr>
          <w:p w14:paraId="167A3E1C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АТР</w:t>
            </w:r>
          </w:p>
        </w:tc>
      </w:tr>
      <w:tr w:rsidR="00617DE5" w:rsidRPr="00C02D9B" w14:paraId="1704EE8D" w14:textId="77777777" w:rsidTr="00C90165">
        <w:tc>
          <w:tcPr>
            <w:tcW w:w="2884" w:type="dxa"/>
          </w:tcPr>
          <w:p w14:paraId="197217B4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49041DE5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г-н Ахмед Абд Эль-Азиз ГАД</w:t>
            </w:r>
          </w:p>
        </w:tc>
        <w:tc>
          <w:tcPr>
            <w:tcW w:w="1983" w:type="dxa"/>
          </w:tcPr>
          <w:p w14:paraId="3DFBBB4D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Египет</w:t>
            </w:r>
          </w:p>
        </w:tc>
        <w:tc>
          <w:tcPr>
            <w:tcW w:w="1806" w:type="dxa"/>
          </w:tcPr>
          <w:p w14:paraId="7D4D3C08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АРБ</w:t>
            </w:r>
          </w:p>
        </w:tc>
      </w:tr>
      <w:tr w:rsidR="00617DE5" w:rsidRPr="00C02D9B" w14:paraId="66569E57" w14:textId="77777777" w:rsidTr="00C90165">
        <w:tc>
          <w:tcPr>
            <w:tcW w:w="2884" w:type="dxa"/>
          </w:tcPr>
          <w:p w14:paraId="33406393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4838DBC3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 xml:space="preserve">г-жа </w:t>
            </w:r>
            <w:r w:rsidRPr="00C02D9B">
              <w:rPr>
                <w:lang w:bidi="ru-RU"/>
              </w:rPr>
              <w:t xml:space="preserve">Шахад </w:t>
            </w:r>
            <w:r w:rsidRPr="00C02D9B">
              <w:rPr>
                <w:caps/>
                <w:lang w:bidi="ru-RU"/>
              </w:rPr>
              <w:t>Альбалави</w:t>
            </w:r>
          </w:p>
        </w:tc>
        <w:tc>
          <w:tcPr>
            <w:tcW w:w="1983" w:type="dxa"/>
          </w:tcPr>
          <w:p w14:paraId="4853AE1E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Саудовская Аравия</w:t>
            </w:r>
          </w:p>
        </w:tc>
        <w:tc>
          <w:tcPr>
            <w:tcW w:w="1806" w:type="dxa"/>
          </w:tcPr>
          <w:p w14:paraId="4D4B8C6A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АРБ</w:t>
            </w:r>
          </w:p>
        </w:tc>
      </w:tr>
      <w:tr w:rsidR="00617DE5" w:rsidRPr="00C02D9B" w14:paraId="78DB43E9" w14:textId="77777777" w:rsidTr="00C90165">
        <w:tc>
          <w:tcPr>
            <w:tcW w:w="2884" w:type="dxa"/>
          </w:tcPr>
          <w:p w14:paraId="240555A9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7BB3F70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г-н Орозобек Жазыбаевич КАЙЫКОВ</w:t>
            </w:r>
          </w:p>
        </w:tc>
        <w:tc>
          <w:tcPr>
            <w:tcW w:w="1983" w:type="dxa"/>
          </w:tcPr>
          <w:p w14:paraId="4217CD8F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Кыргызская Республика</w:t>
            </w:r>
          </w:p>
        </w:tc>
        <w:tc>
          <w:tcPr>
            <w:tcW w:w="1806" w:type="dxa"/>
          </w:tcPr>
          <w:p w14:paraId="2635CBE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СНГ</w:t>
            </w:r>
          </w:p>
        </w:tc>
      </w:tr>
      <w:tr w:rsidR="00617DE5" w:rsidRPr="00C02D9B" w14:paraId="5FF46308" w14:textId="77777777" w:rsidTr="00C90165">
        <w:tc>
          <w:tcPr>
            <w:tcW w:w="2884" w:type="dxa"/>
          </w:tcPr>
          <w:p w14:paraId="0EC9454C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5A742DA1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г-жа Бланка ГОНСАЛЕС</w:t>
            </w:r>
          </w:p>
        </w:tc>
        <w:tc>
          <w:tcPr>
            <w:tcW w:w="1983" w:type="dxa"/>
          </w:tcPr>
          <w:p w14:paraId="36075C18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Испания</w:t>
            </w:r>
          </w:p>
        </w:tc>
        <w:tc>
          <w:tcPr>
            <w:tcW w:w="1806" w:type="dxa"/>
          </w:tcPr>
          <w:p w14:paraId="5364E00E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ЕВР</w:t>
            </w:r>
          </w:p>
        </w:tc>
      </w:tr>
      <w:tr w:rsidR="00617DE5" w:rsidRPr="00C02D9B" w14:paraId="776AF74C" w14:textId="77777777" w:rsidTr="00C90165">
        <w:tc>
          <w:tcPr>
            <w:tcW w:w="2884" w:type="dxa"/>
          </w:tcPr>
          <w:p w14:paraId="3D8823F7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Заместитель Председателя</w:t>
            </w:r>
          </w:p>
        </w:tc>
        <w:tc>
          <w:tcPr>
            <w:tcW w:w="2961" w:type="dxa"/>
          </w:tcPr>
          <w:p w14:paraId="2AD89073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г-жа Инга РИМКЕВИЧИНЕ</w:t>
            </w:r>
          </w:p>
        </w:tc>
        <w:tc>
          <w:tcPr>
            <w:tcW w:w="1983" w:type="dxa"/>
          </w:tcPr>
          <w:p w14:paraId="512A5DD3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Литва</w:t>
            </w:r>
          </w:p>
        </w:tc>
        <w:tc>
          <w:tcPr>
            <w:tcW w:w="1806" w:type="dxa"/>
          </w:tcPr>
          <w:p w14:paraId="615E3D85" w14:textId="77777777" w:rsidR="00617DE5" w:rsidRPr="00C02D9B" w:rsidRDefault="00617DE5" w:rsidP="00617DE5">
            <w:pPr>
              <w:pStyle w:val="Tabletext"/>
              <w:rPr>
                <w:lang w:eastAsia="ru-RU" w:bidi="ru-RU"/>
              </w:rPr>
            </w:pPr>
            <w:r w:rsidRPr="00C02D9B">
              <w:rPr>
                <w:lang w:eastAsia="ru-RU" w:bidi="ru-RU"/>
              </w:rPr>
              <w:t>ЕВР</w:t>
            </w:r>
          </w:p>
        </w:tc>
      </w:tr>
    </w:tbl>
    <w:p w14:paraId="5D9E1299" w14:textId="1FEDA779" w:rsidR="00617DE5" w:rsidRPr="00C02D9B" w:rsidRDefault="00617DE5" w:rsidP="00445D0A">
      <w:pPr>
        <w:pStyle w:val="Tablelegend"/>
        <w:rPr>
          <w:b/>
          <w:lang w:eastAsia="ru-RU" w:bidi="ru-RU"/>
        </w:rPr>
      </w:pPr>
      <w:bookmarkStart w:id="30" w:name="_Toc482198380"/>
      <w:bookmarkStart w:id="31" w:name="_Toc487107150"/>
      <w:bookmarkStart w:id="32" w:name="_Toc86654682"/>
      <w:r w:rsidRPr="00C02D9B">
        <w:rPr>
          <w:rStyle w:val="FootnoteReference"/>
        </w:rPr>
        <w:t>*</w:t>
      </w:r>
      <w:r w:rsidR="00445D0A" w:rsidRPr="00C02D9B">
        <w:t xml:space="preserve"> </w:t>
      </w:r>
      <w:r w:rsidRPr="00C02D9B">
        <w:rPr>
          <w:lang w:eastAsia="ru-RU" w:bidi="ru-RU"/>
        </w:rPr>
        <w:t>Г-н Кемей вышел на пенсию и покинул свой пост заместителя Председателя КГРЭ и Председателя Рабочей группы КГРЭ по приоритетам МСЭ-D (КГРЭ-РГ-ITUDP). Его вклад в работу КГРЭ получил высокую оценку.</w:t>
      </w:r>
    </w:p>
    <w:p w14:paraId="143C5851" w14:textId="77777777" w:rsidR="00617DE5" w:rsidRPr="00C02D9B" w:rsidRDefault="00617DE5" w:rsidP="00617DE5">
      <w:pPr>
        <w:pStyle w:val="Headingb"/>
        <w:rPr>
          <w:lang w:val="ru-RU" w:eastAsia="ru-RU" w:bidi="ru-RU"/>
        </w:rPr>
      </w:pPr>
      <w:bookmarkStart w:id="33" w:name="_Toc197528506"/>
      <w:r w:rsidRPr="00C02D9B">
        <w:rPr>
          <w:lang w:val="ru-RU" w:eastAsia="ru-RU" w:bidi="ru-RU"/>
        </w:rPr>
        <w:t>Собрания КГРЭ</w:t>
      </w:r>
      <w:bookmarkEnd w:id="21"/>
      <w:bookmarkEnd w:id="22"/>
      <w:bookmarkEnd w:id="30"/>
      <w:bookmarkEnd w:id="31"/>
      <w:bookmarkEnd w:id="32"/>
      <w:bookmarkEnd w:id="33"/>
    </w:p>
    <w:p w14:paraId="6A14E202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 xml:space="preserve">В течение периода, охватываемого настоящим отчетом, КГРЭ провела три очередных собрания и одно внеочередное собрание под председательством г-жи Роксаны Макэлвейн Веббер (Соединенные Штаты Америки). Полное </w:t>
      </w:r>
      <w:r w:rsidRPr="00C02D9B">
        <w:rPr>
          <w:rFonts w:cs="Calibri"/>
          <w:cs/>
          <w:lang w:eastAsia="ru-RU" w:bidi="ru-RU"/>
        </w:rPr>
        <w:t>‎</w:t>
      </w:r>
      <w:r w:rsidRPr="00C02D9B">
        <w:rPr>
          <w:lang w:eastAsia="ru-RU" w:bidi="ru-RU"/>
        </w:rPr>
        <w:t>изложение выводов этих собраний представлено по адресу</w:t>
      </w:r>
      <w:r w:rsidRPr="00C02D9B">
        <w:rPr>
          <w:rFonts w:cs="Calibri"/>
          <w:cs/>
          <w:lang w:eastAsia="ru-RU" w:bidi="ru-RU"/>
        </w:rPr>
        <w:t>‎</w:t>
      </w:r>
      <w:r w:rsidRPr="00C02D9B">
        <w:rPr>
          <w:lang w:eastAsia="ru-RU" w:bidi="ru-RU"/>
        </w:rPr>
        <w:t xml:space="preserve">: </w:t>
      </w:r>
      <w:hyperlink r:id="rId16" w:history="1">
        <w:r w:rsidRPr="00C02D9B">
          <w:rPr>
            <w:color w:val="0000FF"/>
            <w:u w:val="single"/>
            <w:lang w:eastAsia="ru-RU" w:bidi="ru-RU"/>
          </w:rPr>
          <w:t>www.itu.int/ITU-D/tdag/</w:t>
        </w:r>
      </w:hyperlink>
      <w:r w:rsidRPr="00C02D9B">
        <w:rPr>
          <w:lang w:eastAsia="ru-RU" w:bidi="ru-RU"/>
        </w:rPr>
        <w:t>.</w:t>
      </w:r>
    </w:p>
    <w:p w14:paraId="184A728F" w14:textId="77777777" w:rsidR="00617DE5" w:rsidRPr="00C02D9B" w:rsidRDefault="00617DE5" w:rsidP="00C90165">
      <w:pPr>
        <w:pStyle w:val="Headingb"/>
        <w:keepNext/>
        <w:keepLines/>
        <w:rPr>
          <w:lang w:val="ru-RU"/>
        </w:rPr>
      </w:pPr>
      <w:bookmarkStart w:id="34" w:name="_Toc381803156"/>
      <w:bookmarkStart w:id="35" w:name="_Toc379236727"/>
      <w:bookmarkStart w:id="36" w:name="_Toc482198381"/>
      <w:bookmarkStart w:id="37" w:name="_Toc485904003"/>
      <w:bookmarkStart w:id="38" w:name="_Toc487107151"/>
      <w:bookmarkStart w:id="39" w:name="_Toc86654683"/>
      <w:bookmarkStart w:id="40" w:name="_Toc197528507"/>
      <w:r w:rsidRPr="00C02D9B">
        <w:rPr>
          <w:lang w:val="ru-RU"/>
        </w:rPr>
        <w:lastRenderedPageBreak/>
        <w:t>30-е собрание КГРЭ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E2F449D" w14:textId="78E22FA3" w:rsidR="00617DE5" w:rsidRPr="00C02D9B" w:rsidRDefault="00617DE5" w:rsidP="00617DE5">
      <w:pPr>
        <w:pStyle w:val="Figure"/>
        <w:jc w:val="left"/>
        <w:rPr>
          <w:lang w:eastAsia="ru-RU" w:bidi="ru-RU"/>
        </w:rPr>
      </w:pPr>
      <w:r w:rsidRPr="00C02D9B">
        <w:rPr>
          <w:noProof/>
        </w:rPr>
        <w:drawing>
          <wp:inline distT="0" distB="0" distL="0" distR="0" wp14:anchorId="0A499E25" wp14:editId="4544B002">
            <wp:extent cx="6120130" cy="2786726"/>
            <wp:effectExtent l="0" t="0" r="0" b="0"/>
            <wp:docPr id="2070858236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58236" name="Picture 2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055D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a)</w:t>
      </w:r>
      <w:r w:rsidRPr="00C02D9B">
        <w:rPr>
          <w:b/>
          <w:bCs/>
          <w:lang w:eastAsia="ru-RU" w:bidi="ru-RU"/>
        </w:rPr>
        <w:tab/>
        <w:t>Краткий обзор</w:t>
      </w:r>
    </w:p>
    <w:p w14:paraId="4FA2A1D1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Тридцатое собрание Консультативной группы по развитию электросвязи (КГРЭ) проходило в очном формате в Международном центре конференций в Женеве (МЦКЖ) с 19 по 23 июня 2023 года под председательством г</w:t>
      </w:r>
      <w:r w:rsidRPr="00C02D9B">
        <w:rPr>
          <w:lang w:eastAsia="ru-RU" w:bidi="ru-RU"/>
        </w:rPr>
        <w:noBreakHyphen/>
        <w:t>жи Роксаны Макэлвейн Веббер.</w:t>
      </w:r>
    </w:p>
    <w:p w14:paraId="2D26B162" w14:textId="77777777" w:rsidR="00617DE5" w:rsidRPr="00C02D9B" w:rsidRDefault="00617DE5" w:rsidP="00617DE5">
      <w:pPr>
        <w:rPr>
          <w:rFonts w:cstheme="minorHAnsi"/>
        </w:rPr>
      </w:pPr>
      <w:r w:rsidRPr="00C02D9B">
        <w:rPr>
          <w:rFonts w:cstheme="minorHAnsi"/>
        </w:rPr>
        <w:t>Мандат КГРЭ охватывает как рассмотрение приоритетов, стратегий, операций и финансовых вопросов Сектора развития электросвязи (МСЭ-D), так и консультирование Директора Бюро развития электросвязи (БРЭ) по выполнению планов действий, принимаемых всемирными конференциями по развитию электросвязи (ВКРЭ).</w:t>
      </w:r>
    </w:p>
    <w:p w14:paraId="406FCA01" w14:textId="77777777" w:rsidR="00617DE5" w:rsidRPr="00C02D9B" w:rsidRDefault="00617DE5" w:rsidP="00617DE5">
      <w:pPr>
        <w:rPr>
          <w:rFonts w:cs="Segoe UI"/>
        </w:rPr>
      </w:pPr>
      <w:r w:rsidRPr="00C02D9B">
        <w:rPr>
          <w:rFonts w:cs="Segoe UI"/>
        </w:rPr>
        <w:t xml:space="preserve">Это собрание имело обширную повестку дня, поскольку оно было первым собранием КГРЭ после </w:t>
      </w:r>
      <w:hyperlink r:id="rId18" w:history="1">
        <w:r w:rsidRPr="00C02D9B">
          <w:rPr>
            <w:rFonts w:cs="Segoe UI"/>
            <w:color w:val="0000FF"/>
            <w:u w:val="single"/>
          </w:rPr>
          <w:t>Всемирной конференции по развитию электросвязи 2022 года (ВКРЭ-22)</w:t>
        </w:r>
      </w:hyperlink>
      <w:r w:rsidRPr="00C02D9B">
        <w:rPr>
          <w:rFonts w:cs="Segoe UI"/>
        </w:rPr>
        <w:t>, прошедшей в Кигали, Руанда, с 6 по 16 июня 2002 года. В частности, на собрании были рассмотрены итоги ВКРЭ-22 и была дана оценка того, как они будут направлять работу Сектора развития электросвязи МСЭ (МСЭ-D) в ближайшие три года.</w:t>
      </w:r>
    </w:p>
    <w:p w14:paraId="1BA55431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b)</w:t>
      </w:r>
      <w:r w:rsidRPr="00C02D9B">
        <w:rPr>
          <w:b/>
          <w:bCs/>
          <w:lang w:eastAsia="ru-RU" w:bidi="ru-RU"/>
        </w:rPr>
        <w:tab/>
        <w:t>Участники</w:t>
      </w:r>
    </w:p>
    <w:p w14:paraId="309BAEBF" w14:textId="77777777" w:rsidR="00617DE5" w:rsidRPr="00C02D9B" w:rsidRDefault="00617DE5" w:rsidP="00C90165">
      <w:pPr>
        <w:keepNext/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представлена информация об участниках в разбивке по категориям:</w:t>
      </w:r>
    </w:p>
    <w:p w14:paraId="0D3E30B4" w14:textId="307C7DB1" w:rsidR="00617DE5" w:rsidRPr="00C02D9B" w:rsidRDefault="00DB1921" w:rsidP="00C90165">
      <w:pPr>
        <w:pStyle w:val="Figure"/>
        <w:keepNext w:val="0"/>
        <w:keepLines w:val="0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6FC95785" wp14:editId="057D8D27">
            <wp:extent cx="4680980" cy="2711829"/>
            <wp:effectExtent l="0" t="0" r="5715" b="0"/>
            <wp:docPr id="1109021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80" cy="275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F1527" w14:textId="77777777" w:rsidR="00617DE5" w:rsidRPr="00C02D9B" w:rsidRDefault="00617DE5" w:rsidP="00617DE5">
      <w:pPr>
        <w:rPr>
          <w:lang w:eastAsia="ru-RU" w:bidi="ru-RU"/>
        </w:rPr>
      </w:pPr>
      <w:bookmarkStart w:id="41" w:name="_MON_1555436832"/>
      <w:bookmarkEnd w:id="41"/>
      <w:r w:rsidRPr="00C02D9B">
        <w:rPr>
          <w:lang w:eastAsia="ru-RU" w:bidi="ru-RU"/>
        </w:rPr>
        <w:lastRenderedPageBreak/>
        <w:t>На следующей диаграмме представлена разбивка участников по регионам:</w:t>
      </w:r>
    </w:p>
    <w:p w14:paraId="7A3B2FA3" w14:textId="08F43535" w:rsidR="00617DE5" w:rsidRPr="00C02D9B" w:rsidRDefault="00DB1921" w:rsidP="00DB1921">
      <w:pPr>
        <w:pStyle w:val="Figure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02B7B211" wp14:editId="692C4ECC">
            <wp:extent cx="5057250" cy="2286000"/>
            <wp:effectExtent l="0" t="0" r="0" b="0"/>
            <wp:docPr id="1409723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89" cy="229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F8271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представлена разбивка участников по гендерному признаку:</w:t>
      </w:r>
    </w:p>
    <w:p w14:paraId="415BF734" w14:textId="1787FC3F" w:rsidR="00617DE5" w:rsidRPr="00C02D9B" w:rsidRDefault="00DB1921" w:rsidP="00C90165">
      <w:pPr>
        <w:pStyle w:val="Figure"/>
        <w:keepNext w:val="0"/>
        <w:keepLines w:val="0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18E365B7" wp14:editId="1B74F304">
            <wp:extent cx="5057081" cy="2278850"/>
            <wp:effectExtent l="0" t="0" r="0" b="7620"/>
            <wp:docPr id="641803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89" cy="229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74AAE" w14:textId="77777777" w:rsidR="00617DE5" w:rsidRPr="00C02D9B" w:rsidRDefault="00617DE5" w:rsidP="00C90165">
      <w:pPr>
        <w:pStyle w:val="enumlev1"/>
        <w:keepNext/>
        <w:ind w:left="1138" w:hanging="1138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c)</w:t>
      </w:r>
      <w:r w:rsidRPr="00C02D9B">
        <w:rPr>
          <w:b/>
          <w:bCs/>
          <w:lang w:eastAsia="ru-RU" w:bidi="ru-RU"/>
        </w:rPr>
        <w:tab/>
        <w:t>Документы</w:t>
      </w:r>
    </w:p>
    <w:p w14:paraId="7E689EF1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представлено количество документов в разбивке по категориям документов:</w:t>
      </w:r>
    </w:p>
    <w:p w14:paraId="0EA68A6D" w14:textId="7473245E" w:rsidR="00617DE5" w:rsidRPr="00C02D9B" w:rsidRDefault="00DB1921" w:rsidP="006575E1">
      <w:pPr>
        <w:pStyle w:val="Figure"/>
        <w:keepNext w:val="0"/>
        <w:keepLines w:val="0"/>
      </w:pPr>
      <w:r w:rsidRPr="00C02D9B">
        <w:rPr>
          <w:noProof/>
        </w:rPr>
        <w:drawing>
          <wp:inline distT="0" distB="0" distL="0" distR="0" wp14:anchorId="17A1914F" wp14:editId="4B7C394D">
            <wp:extent cx="5049297" cy="2419240"/>
            <wp:effectExtent l="0" t="0" r="0" b="635"/>
            <wp:docPr id="9249841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76" cy="243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937AA" w14:textId="77777777" w:rsidR="00617DE5" w:rsidRPr="00C02D9B" w:rsidRDefault="00617DE5" w:rsidP="006575E1">
      <w:pPr>
        <w:pStyle w:val="enumlev1"/>
        <w:keepNext/>
        <w:keepLines/>
        <w:ind w:left="1138" w:hanging="1138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lastRenderedPageBreak/>
        <w:t>d)</w:t>
      </w:r>
      <w:r w:rsidRPr="00C02D9B">
        <w:rPr>
          <w:b/>
          <w:bCs/>
          <w:lang w:eastAsia="ru-RU" w:bidi="ru-RU"/>
        </w:rPr>
        <w:tab/>
        <w:t>Результаты 30-го собрания КГРЭ</w:t>
      </w:r>
    </w:p>
    <w:p w14:paraId="307933D9" w14:textId="77777777" w:rsidR="00617DE5" w:rsidRPr="00C02D9B" w:rsidRDefault="00617DE5" w:rsidP="00617DE5">
      <w:r w:rsidRPr="00C02D9B">
        <w:rPr>
          <w:lang w:eastAsia="ru-RU" w:bidi="ru-RU"/>
        </w:rPr>
        <w:t>КГРЭ-23 рассмотрело около 50 вкладов и согласовало рекомендации для Директора в отношении ряда вопросов, включая следующее:</w:t>
      </w:r>
    </w:p>
    <w:p w14:paraId="34C6E36D" w14:textId="6E729451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Одобрен четырехгодичный скользящий Оперативный план Сектора развития электросвязи МСЭ (МСЭ-D) на 2024−2027 годы.</w:t>
      </w:r>
    </w:p>
    <w:p w14:paraId="4D0F8D09" w14:textId="65ADCB88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Утверждены ключевые показатели деятельности (KPI) для рамок реализации Кигалийского плана действий.</w:t>
      </w:r>
    </w:p>
    <w:p w14:paraId="68A27433" w14:textId="5766124C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Было согласовано, что БРЭ продолжит подготовку интерактивных информационных панелей для представления отчетности о ходе выполнения приоритетных задач МСЭ-D.</w:t>
      </w:r>
    </w:p>
    <w:p w14:paraId="3B50B1E1" w14:textId="01D8CB0D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Утвержден обзор всех соответствующих мероприятий по созданию потенциала, предусмотренных Резолюциями ВКРЭ-17 и ВКРЭ-22, касающимися кибербезопасности, осуществленных и запланированных в этой области на период до ВКРЭ-25 − обзор, который будет проведен секретариатом БРЭ.</w:t>
      </w:r>
    </w:p>
    <w:p w14:paraId="21C4C70D" w14:textId="74F2523D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Создана и утверждена Рабочая группа КГРЭ по упорядочению Резолюций ВКРЭ под председательством заместителя Председателя КГРЭ Андреа Мамприм Гриппы, а заместители Председателя Рабочей группы будут определены позднее.</w:t>
      </w:r>
    </w:p>
    <w:p w14:paraId="15150E0C" w14:textId="0F49E7ED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Создана Рабочая группа КГРЭ по будущему Вопросов исследовательских комиссий МСЭ-D под председательством представителя Ирана д-ра Ахмада Резы Шарафата, а заместители Председателя будут определены и приступят к работе через некоторое время после следующих собраний исследовательских комиссий, которые состоятся в октябре−ноябре 2023 года.</w:t>
      </w:r>
    </w:p>
    <w:p w14:paraId="63C8B168" w14:textId="77777777" w:rsidR="00617DE5" w:rsidRPr="00C02D9B" w:rsidRDefault="00617DE5" w:rsidP="00617DE5">
      <w:pPr>
        <w:rPr>
          <w:lang w:eastAsia="ru-RU" w:bidi="ru-RU"/>
        </w:rPr>
      </w:pPr>
      <w:r w:rsidRPr="00C02D9B">
        <w:t xml:space="preserve">Полный отчет о собрании на шести официальных языках МСЭ доступен по </w:t>
      </w:r>
      <w:hyperlink r:id="rId23" w:history="1">
        <w:r w:rsidRPr="00C02D9B">
          <w:rPr>
            <w:rStyle w:val="Hyperlink"/>
          </w:rPr>
          <w:t>этой ссылке</w:t>
        </w:r>
      </w:hyperlink>
      <w:r w:rsidRPr="00C02D9B">
        <w:t xml:space="preserve">, а с основными моментами можно ознакомиться </w:t>
      </w:r>
      <w:hyperlink r:id="rId24" w:history="1">
        <w:r w:rsidRPr="00C02D9B">
          <w:rPr>
            <w:rStyle w:val="Hyperlink"/>
          </w:rPr>
          <w:t>здесь</w:t>
        </w:r>
      </w:hyperlink>
      <w:r w:rsidRPr="00C02D9B">
        <w:t>.</w:t>
      </w:r>
    </w:p>
    <w:p w14:paraId="254AD4D3" w14:textId="77777777" w:rsidR="00617DE5" w:rsidRPr="00C02D9B" w:rsidRDefault="00617DE5" w:rsidP="00C90165">
      <w:pPr>
        <w:pStyle w:val="Headingb"/>
        <w:keepNext/>
        <w:rPr>
          <w:lang w:val="ru-RU" w:eastAsia="ru-RU" w:bidi="ru-RU"/>
        </w:rPr>
      </w:pPr>
      <w:bookmarkStart w:id="42" w:name="_Toc482198382"/>
      <w:bookmarkStart w:id="43" w:name="_Toc487107152"/>
      <w:bookmarkStart w:id="44" w:name="_Toc86654684"/>
      <w:bookmarkStart w:id="45" w:name="_Toc197528508"/>
      <w:r w:rsidRPr="00C02D9B">
        <w:rPr>
          <w:lang w:val="ru-RU" w:eastAsia="ru-RU" w:bidi="ru-RU"/>
        </w:rPr>
        <w:t>31-е собрание КГРЭ</w:t>
      </w:r>
      <w:bookmarkEnd w:id="42"/>
      <w:bookmarkEnd w:id="43"/>
      <w:bookmarkEnd w:id="44"/>
      <w:bookmarkEnd w:id="45"/>
    </w:p>
    <w:p w14:paraId="42D367A9" w14:textId="77777777" w:rsidR="00617DE5" w:rsidRPr="00C02D9B" w:rsidRDefault="00617DE5" w:rsidP="00617DE5">
      <w:pPr>
        <w:pStyle w:val="Figure"/>
        <w:rPr>
          <w:lang w:eastAsia="ru-RU" w:bidi="ru-RU"/>
        </w:rPr>
      </w:pPr>
      <w:r w:rsidRPr="00C02D9B">
        <w:rPr>
          <w:noProof/>
        </w:rPr>
        <w:drawing>
          <wp:inline distT="0" distB="0" distL="0" distR="0" wp14:anchorId="6E9B2DB7" wp14:editId="5235C276">
            <wp:extent cx="6120130" cy="2476243"/>
            <wp:effectExtent l="0" t="0" r="0" b="635"/>
            <wp:docPr id="147462796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2796" name="Picture 4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A366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a)</w:t>
      </w:r>
      <w:r w:rsidRPr="00C02D9B">
        <w:rPr>
          <w:b/>
          <w:bCs/>
          <w:lang w:eastAsia="ru-RU" w:bidi="ru-RU"/>
        </w:rPr>
        <w:tab/>
        <w:t>Краткий обзор</w:t>
      </w:r>
    </w:p>
    <w:p w14:paraId="08555434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Тридцать первое собрание Консультативной группы по развитию электросвязи (КГРЭ-24) прошло в очном формате в штаб-квартире МСЭ в Женеве с 20 по 23 мая 2024 года. На этом собрании КГРЭ Члены смогли оценить соответствие реализации Кигалийского плана действий (КПД) Стратегическому плану Союза на основе документов и отчетов, представленных Секретариатом. КГРЭ были представлены отчеты о прогрессе, который был достигнут на различных региональных форумах по вопросам развития, проведенных со времени последнего собрания КГРЭ, а также о многих новых инициативах и подписанных соглашениях о партнерстве. КГРЭ-24 также обсудило вопрос о подготовке к ВКРЭ-25 и примет соответствующее решение.</w:t>
      </w:r>
    </w:p>
    <w:p w14:paraId="4C8C01B1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lastRenderedPageBreak/>
        <w:t>После того, как на 30-м собрании КГРЭ (КГРЭ-23), состоявшемся в Женеве 19–23 июня 2023 года, были созданы две рабочие группы КГРЭ – по упорядочению Резолюций (КГРЭ-РГ-SR) и по будущему Вопросов исследовательских комиссий (КГРЭ-РГ-futureSGQ) – и председатели этих групп представили отчеты о результатах работы.</w:t>
      </w:r>
    </w:p>
    <w:p w14:paraId="3229C2FC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b)</w:t>
      </w:r>
      <w:r w:rsidRPr="00C02D9B">
        <w:rPr>
          <w:b/>
          <w:bCs/>
          <w:lang w:eastAsia="ru-RU" w:bidi="ru-RU"/>
        </w:rPr>
        <w:tab/>
        <w:t>Участники</w:t>
      </w:r>
    </w:p>
    <w:p w14:paraId="072A15AB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представлена информация об участниках в разбивке по категориям:</w:t>
      </w:r>
    </w:p>
    <w:p w14:paraId="748DE59C" w14:textId="297F2877" w:rsidR="00617DE5" w:rsidRPr="00C02D9B" w:rsidRDefault="00DB1921" w:rsidP="00C90165">
      <w:pPr>
        <w:pStyle w:val="Figure"/>
        <w:keepNext w:val="0"/>
        <w:keepLines w:val="0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43B9D1C1" wp14:editId="588B51DF">
            <wp:extent cx="5594380" cy="2969288"/>
            <wp:effectExtent l="0" t="0" r="6350" b="2540"/>
            <wp:docPr id="20941564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02" cy="297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E7D20" w14:textId="77777777" w:rsidR="00617DE5" w:rsidRPr="00C02D9B" w:rsidRDefault="00617DE5" w:rsidP="006575E1">
      <w:pPr>
        <w:keepNext/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представлена разбивка участников по регионам:</w:t>
      </w:r>
    </w:p>
    <w:p w14:paraId="7B02D404" w14:textId="29451665" w:rsidR="00617DE5" w:rsidRPr="00C02D9B" w:rsidRDefault="00DB1921" w:rsidP="006575E1">
      <w:pPr>
        <w:pStyle w:val="Figure"/>
        <w:keepNext w:val="0"/>
        <w:keepLines w:val="0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401EFDBD" wp14:editId="493A366A">
            <wp:extent cx="5589003" cy="2511361"/>
            <wp:effectExtent l="0" t="0" r="0" b="3810"/>
            <wp:docPr id="3765474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96" cy="251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CA1C8" w14:textId="77777777" w:rsidR="00617DE5" w:rsidRPr="00C02D9B" w:rsidRDefault="00617DE5" w:rsidP="006575E1">
      <w:pPr>
        <w:keepNext/>
        <w:rPr>
          <w:lang w:eastAsia="ru-RU" w:bidi="ru-RU"/>
        </w:rPr>
      </w:pPr>
      <w:r w:rsidRPr="00C02D9B">
        <w:rPr>
          <w:lang w:eastAsia="ru-RU" w:bidi="ru-RU"/>
        </w:rPr>
        <w:lastRenderedPageBreak/>
        <w:t>На следующей диаграмме представлена разбивка участников по гендерному признаку:</w:t>
      </w:r>
    </w:p>
    <w:p w14:paraId="4C2737AB" w14:textId="69BB542A" w:rsidR="00617DE5" w:rsidRPr="00C02D9B" w:rsidRDefault="00DB1921" w:rsidP="00DB1921">
      <w:pPr>
        <w:pStyle w:val="Figure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6130A903" wp14:editId="7886E3ED">
            <wp:extent cx="5516089" cy="2484407"/>
            <wp:effectExtent l="0" t="0" r="8890" b="0"/>
            <wp:docPr id="14283031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36" cy="2501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F75F0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c)</w:t>
      </w:r>
      <w:r w:rsidRPr="00C02D9B">
        <w:rPr>
          <w:b/>
          <w:bCs/>
          <w:lang w:eastAsia="ru-RU" w:bidi="ru-RU"/>
        </w:rPr>
        <w:tab/>
        <w:t>Документы</w:t>
      </w:r>
    </w:p>
    <w:p w14:paraId="75AC315B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представлено количество документов в разбивке по категориям документов:</w:t>
      </w:r>
    </w:p>
    <w:p w14:paraId="69EE6099" w14:textId="3063450C" w:rsidR="00617DE5" w:rsidRPr="00C02D9B" w:rsidRDefault="00DB1921" w:rsidP="00C90165">
      <w:pPr>
        <w:pStyle w:val="Figure"/>
        <w:keepNext w:val="0"/>
        <w:keepLines w:val="0"/>
      </w:pPr>
      <w:r w:rsidRPr="00C02D9B">
        <w:rPr>
          <w:noProof/>
        </w:rPr>
        <w:drawing>
          <wp:inline distT="0" distB="0" distL="0" distR="0" wp14:anchorId="50FE5FC4" wp14:editId="5FC2E706">
            <wp:extent cx="5541666" cy="2505030"/>
            <wp:effectExtent l="0" t="0" r="1905" b="0"/>
            <wp:docPr id="11048499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49" cy="251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CC730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d)</w:t>
      </w:r>
      <w:r w:rsidRPr="00C02D9B">
        <w:rPr>
          <w:b/>
          <w:bCs/>
          <w:lang w:eastAsia="ru-RU" w:bidi="ru-RU"/>
        </w:rPr>
        <w:tab/>
        <w:t>Результаты 31-го собрания КГРЭ</w:t>
      </w:r>
    </w:p>
    <w:p w14:paraId="14727513" w14:textId="77777777" w:rsidR="00617DE5" w:rsidRPr="00C02D9B" w:rsidRDefault="00617DE5" w:rsidP="00617DE5">
      <w:pPr>
        <w:rPr>
          <w:szCs w:val="22"/>
        </w:rPr>
      </w:pPr>
      <w:r w:rsidRPr="00C02D9B">
        <w:t>КГРЭ-24 обсудило различные аспекты цифровой трансформации, стратегического планирования и инклюзивности в рамках деятельности МСЭ-D, а также рассмотрело следующие ключевые категории достижений БРЭ:</w:t>
      </w:r>
    </w:p>
    <w:p w14:paraId="06021E77" w14:textId="099D1E8E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Значительный прогресс в реализации Кигалийского плана действий, направленного на расширение возможностей для установления цифровых соединений и преодоление цифрового разрыва.</w:t>
      </w:r>
    </w:p>
    <w:p w14:paraId="1A57766D" w14:textId="0FF6A509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Успехи в реализации проектов по обеспечению возможности установления цифровых соединений, улучшающих доступ к цифровым услугам для жителей отдаленных и недостаточно обслуживаемых районов.</w:t>
      </w:r>
    </w:p>
    <w:p w14:paraId="2866FA1B" w14:textId="0426126E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Мобилизация ресурсов, как упоминалось выше, для поддержки важных инициатив в области цифровой трансформации, включая обеспечение финансирования и налаживание партнерских отношений с Государствами-Членами, структурами частного сектора и международными организациями.</w:t>
      </w:r>
    </w:p>
    <w:p w14:paraId="1195B4BB" w14:textId="439DB65D" w:rsidR="00617DE5" w:rsidRPr="00C02D9B" w:rsidRDefault="00617DE5" w:rsidP="00617DE5">
      <w:pPr>
        <w:pStyle w:val="enumlev1"/>
      </w:pPr>
      <w:r w:rsidRPr="00C02D9B">
        <w:lastRenderedPageBreak/>
        <w:t>−</w:t>
      </w:r>
      <w:r w:rsidRPr="00C02D9B">
        <w:tab/>
        <w:t>Активизация усилий по наращиванию потенциала и обучению заинтересованных сторон цифровым навыкам в различных регионах.</w:t>
      </w:r>
    </w:p>
    <w:p w14:paraId="37431205" w14:textId="1469F4AA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Инновационные решения и партнерские отношения для разработки и внедрения новейших технологий с целью решения задач цифровой трансформации.</w:t>
      </w:r>
    </w:p>
    <w:p w14:paraId="23172A7A" w14:textId="3FDBE04B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Эффективные инициативы, демонстрирующие ощутимые преимущества в регионах, включая проекты, связанные с управлением электронными отходами, системами раннего предупреждения и картографированием инфраструктуры широкополосной связи.</w:t>
      </w:r>
    </w:p>
    <w:p w14:paraId="4AC549EF" w14:textId="77777777" w:rsidR="00617DE5" w:rsidRPr="00C02D9B" w:rsidRDefault="00617DE5" w:rsidP="00617DE5">
      <w:r w:rsidRPr="00C02D9B">
        <w:t>Другие результаты работы:</w:t>
      </w:r>
    </w:p>
    <w:p w14:paraId="0DB237D5" w14:textId="0896B2CC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КГРЭ-24 одобрило проект повестки дня ВКРЭ-25, назначило г-жу Бланку Гонсалес (Испания) и г-жу Шахад Альбалави (Саудовская Аравия) представителями МСЭ-D в Межсекторальной координационной группе (МСКГ) по теме цифровой трансформации, утвердило два ответных заявления о взаимодействии – одно для Совета МСЭ о критериях создания зональных и региональных отделений МСЭ в будущем, а другое – для Консультативной группы по стандартизации электросвязи (КГСЭ), подтверждающее, что цифровая трансформация является неотъемлемой частью мандата МСЭ-D, установленного ВКРЭ-22.</w:t>
      </w:r>
    </w:p>
    <w:p w14:paraId="0914B056" w14:textId="1855F67B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На КГРЭ-24 были созданы три дополнительные группы для усиления групп, созданных на КГРЭ-23 (</w:t>
      </w:r>
      <w:r w:rsidRPr="00C02D9B">
        <w:rPr>
          <w:szCs w:val="18"/>
          <w:lang w:eastAsia="ru-RU" w:bidi="ru-RU"/>
        </w:rPr>
        <w:t>КГРЭ-РГ-futureSGQ</w:t>
      </w:r>
      <w:r w:rsidRPr="00C02D9B">
        <w:rPr>
          <w:sz w:val="20"/>
        </w:rPr>
        <w:t xml:space="preserve"> </w:t>
      </w:r>
      <w:r w:rsidRPr="00C02D9B">
        <w:t xml:space="preserve">и </w:t>
      </w:r>
      <w:r w:rsidRPr="00C02D9B">
        <w:rPr>
          <w:szCs w:val="18"/>
          <w:lang w:eastAsia="ru-RU" w:bidi="ru-RU"/>
        </w:rPr>
        <w:t>КГРЭ-РГ</w:t>
      </w:r>
      <w:r w:rsidRPr="00C02D9B">
        <w:t>-SR) для подготовки ко Всемирной конференции по развитию электросвязи 2025 года (ВКРЭ-25):</w:t>
      </w:r>
    </w:p>
    <w:p w14:paraId="79BD916E" w14:textId="684BE285" w:rsidR="00617DE5" w:rsidRPr="00C02D9B" w:rsidRDefault="00617DE5" w:rsidP="00617DE5">
      <w:pPr>
        <w:pStyle w:val="enumlev2"/>
      </w:pPr>
      <w:r w:rsidRPr="00C02D9B">
        <w:rPr>
          <w:rFonts w:cs="Calibri"/>
        </w:rPr>
        <w:t>•</w:t>
      </w:r>
      <w:r w:rsidRPr="00C02D9B">
        <w:tab/>
        <w:t>Рабочая группа КГРЭ по приоритетам МСЭ-D (КГРЭ-РГ-ITUDP), возглавляемая заместителем Председателя КГРЭ г-ном Кристофером Кемеем (Кения), которому помогают заместители председателя КГРЭ г-жа Бланка Гонсалес (Испания) и д</w:t>
      </w:r>
      <w:r w:rsidR="00C02D9B">
        <w:noBreakHyphen/>
      </w:r>
      <w:r w:rsidRPr="00C02D9B">
        <w:t>р</w:t>
      </w:r>
      <w:r w:rsidR="00C02D9B">
        <w:t> </w:t>
      </w:r>
      <w:r w:rsidRPr="00C02D9B">
        <w:t>Ахмад Шарафат (Иран);</w:t>
      </w:r>
    </w:p>
    <w:p w14:paraId="78812005" w14:textId="4DB01A72" w:rsidR="00617DE5" w:rsidRPr="00C02D9B" w:rsidRDefault="00617DE5" w:rsidP="00617DE5">
      <w:pPr>
        <w:pStyle w:val="enumlev2"/>
      </w:pPr>
      <w:r w:rsidRPr="00C02D9B">
        <w:rPr>
          <w:rFonts w:cs="Calibri"/>
        </w:rPr>
        <w:t>•</w:t>
      </w:r>
      <w:r w:rsidRPr="00C02D9B">
        <w:tab/>
        <w:t>Рабочая группа КГРЭ по Декларации (КГРЭ-РГ-DEC), возглавляемая заместителем Председателя КГРЭ г-ном Абдулкаримом Олойеде (Нигерия); и</w:t>
      </w:r>
    </w:p>
    <w:p w14:paraId="0CB651C9" w14:textId="7AD91BC9" w:rsidR="00617DE5" w:rsidRPr="00C02D9B" w:rsidRDefault="00617DE5" w:rsidP="00617DE5">
      <w:pPr>
        <w:pStyle w:val="enumlev2"/>
      </w:pPr>
      <w:r w:rsidRPr="00C02D9B">
        <w:rPr>
          <w:rFonts w:cs="Calibri"/>
        </w:rPr>
        <w:t>•</w:t>
      </w:r>
      <w:r w:rsidRPr="00C02D9B">
        <w:tab/>
        <w:t>Неофициальная координационная группа КГРЭ по Глобальному молодежному саммиту (КГРЭ-ICG-GYS), работу которой координируют заместители Председателя КГРЭ г-жа Агустина Бризио (Аргентина), г-жа Ке Ван (Китай), г</w:t>
      </w:r>
      <w:r w:rsidR="00C02D9B">
        <w:noBreakHyphen/>
      </w:r>
      <w:r w:rsidRPr="00C02D9B">
        <w:t>н</w:t>
      </w:r>
      <w:r w:rsidR="00C02D9B">
        <w:t> </w:t>
      </w:r>
      <w:r w:rsidRPr="00C02D9B">
        <w:t>Абдулкарим Олойеде (Нигерия) и г-жа Шахад Альбалави (Саудовская Аравия).</w:t>
      </w:r>
    </w:p>
    <w:p w14:paraId="496C4A23" w14:textId="10316B40" w:rsidR="00617DE5" w:rsidRPr="00C02D9B" w:rsidRDefault="00617DE5" w:rsidP="00617DE5">
      <w:pPr>
        <w:rPr>
          <w:lang w:eastAsia="ru-RU" w:bidi="ru-RU"/>
        </w:rPr>
      </w:pPr>
      <w:r w:rsidRPr="00C02D9B">
        <w:t>Полный отчет о собрании на шести официальных языках МСЭ доступен по</w:t>
      </w:r>
      <w:hyperlink r:id="rId30" w:history="1">
        <w:r w:rsidRPr="00C02D9B">
          <w:rPr>
            <w:rStyle w:val="Hyperlink"/>
          </w:rPr>
          <w:t xml:space="preserve"> этой ссылке</w:t>
        </w:r>
      </w:hyperlink>
      <w:r w:rsidRPr="00C02D9B">
        <w:t>, а</w:t>
      </w:r>
      <w:r w:rsidR="00C02D9B">
        <w:t> </w:t>
      </w:r>
      <w:r w:rsidRPr="00C02D9B">
        <w:t>с</w:t>
      </w:r>
      <w:r w:rsidR="00C02D9B">
        <w:t> </w:t>
      </w:r>
      <w:r w:rsidRPr="00C02D9B">
        <w:t xml:space="preserve">основными моментами можно ознакомиться </w:t>
      </w:r>
      <w:hyperlink r:id="rId31" w:history="1">
        <w:r w:rsidRPr="00C02D9B">
          <w:rPr>
            <w:rStyle w:val="Hyperlink"/>
          </w:rPr>
          <w:t>здесь</w:t>
        </w:r>
      </w:hyperlink>
      <w:r w:rsidRPr="00C02D9B">
        <w:t>.</w:t>
      </w:r>
    </w:p>
    <w:p w14:paraId="5A64EA71" w14:textId="77777777" w:rsidR="00617DE5" w:rsidRPr="00C02D9B" w:rsidRDefault="00617DE5" w:rsidP="006575E1">
      <w:pPr>
        <w:pStyle w:val="Headingb"/>
        <w:keepNext/>
        <w:rPr>
          <w:lang w:val="ru-RU" w:eastAsia="ru-RU" w:bidi="ru-RU"/>
        </w:rPr>
      </w:pPr>
      <w:bookmarkStart w:id="46" w:name="_Toc86654685"/>
      <w:bookmarkStart w:id="47" w:name="_Toc197528509"/>
      <w:r w:rsidRPr="00C02D9B">
        <w:rPr>
          <w:lang w:val="ru-RU" w:eastAsia="ru-RU" w:bidi="ru-RU"/>
        </w:rPr>
        <w:lastRenderedPageBreak/>
        <w:t>Внеочередное собрание КГРЭ</w:t>
      </w:r>
      <w:bookmarkEnd w:id="46"/>
      <w:bookmarkEnd w:id="47"/>
    </w:p>
    <w:p w14:paraId="6C82E70F" w14:textId="77777777" w:rsidR="00617DE5" w:rsidRPr="00C02D9B" w:rsidRDefault="00617DE5" w:rsidP="00617DE5">
      <w:pPr>
        <w:pStyle w:val="Figure"/>
        <w:rPr>
          <w:lang w:eastAsia="ru-RU" w:bidi="ru-RU"/>
        </w:rPr>
      </w:pPr>
      <w:r w:rsidRPr="00C02D9B">
        <w:rPr>
          <w:noProof/>
        </w:rPr>
        <w:drawing>
          <wp:inline distT="0" distB="0" distL="0" distR="0" wp14:anchorId="1F6F97CA" wp14:editId="171EF3A2">
            <wp:extent cx="5763186" cy="2886075"/>
            <wp:effectExtent l="0" t="0" r="0" b="0"/>
            <wp:docPr id="50862234" name="Picture 50862234" descr="A screenshot of a video confer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2234" name="Picture 50862234" descr="A screenshot of a video conference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86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2DDF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a)</w:t>
      </w:r>
      <w:r w:rsidRPr="00C02D9B">
        <w:rPr>
          <w:b/>
          <w:bCs/>
          <w:lang w:eastAsia="ru-RU" w:bidi="ru-RU"/>
        </w:rPr>
        <w:tab/>
        <w:t>Краткий обзор</w:t>
      </w:r>
    </w:p>
    <w:p w14:paraId="63D7B4ED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Внеочередное собрание Консультативной группы по развитию электросвязи (КГРЭ) прошло в виртуальном формате 23 января 2025 года с 13 час. 00 мин. до 16 час. 00 мин. (CEST). Цель собрания заключалась в том, чтобы предоставить Неофициальной координационной группе по Глобальному молодежному саммиту (КГРЭ-ICG-GYS) возможность отчитаться перед КГРЭ о своей работе перед проведением ГМС, который состоится в Варадеро, Куба, с 11 по 13 марта 2025 года. Пользуясь этой возможностью, четыре рабочие группы КГРЭ также отчитались о своей текущей работе.</w:t>
      </w:r>
    </w:p>
    <w:p w14:paraId="6544DE1C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b)</w:t>
      </w:r>
      <w:r w:rsidRPr="00C02D9B">
        <w:rPr>
          <w:b/>
          <w:bCs/>
          <w:lang w:eastAsia="ru-RU" w:bidi="ru-RU"/>
        </w:rPr>
        <w:tab/>
        <w:t>Участники</w:t>
      </w:r>
    </w:p>
    <w:p w14:paraId="1E09B53C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представлена информация об участниках в разбивке по категориям:</w:t>
      </w:r>
    </w:p>
    <w:p w14:paraId="757A8933" w14:textId="5CE21A8D" w:rsidR="00617DE5" w:rsidRPr="00C02D9B" w:rsidRDefault="00DB1921" w:rsidP="00C90165">
      <w:pPr>
        <w:pStyle w:val="Figure"/>
        <w:keepNext w:val="0"/>
        <w:keepLines w:val="0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3EA18A34" wp14:editId="7F2640ED">
            <wp:extent cx="6198934" cy="3640347"/>
            <wp:effectExtent l="0" t="0" r="0" b="0"/>
            <wp:docPr id="1267035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24" cy="3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E5186" w14:textId="77777777" w:rsidR="00617DE5" w:rsidRPr="00C02D9B" w:rsidRDefault="00617DE5" w:rsidP="00C90165">
      <w:pPr>
        <w:keepNext/>
        <w:rPr>
          <w:lang w:eastAsia="ru-RU" w:bidi="ru-RU"/>
        </w:rPr>
      </w:pPr>
      <w:r w:rsidRPr="00C02D9B">
        <w:rPr>
          <w:lang w:eastAsia="ru-RU" w:bidi="ru-RU"/>
        </w:rPr>
        <w:lastRenderedPageBreak/>
        <w:t>На следующей диаграмме представлена разбивка участников по регионам:</w:t>
      </w:r>
    </w:p>
    <w:p w14:paraId="69BA8660" w14:textId="4B91F0F0" w:rsidR="00617DE5" w:rsidRPr="00C02D9B" w:rsidRDefault="00DB1921" w:rsidP="00DB1921">
      <w:pPr>
        <w:pStyle w:val="Figure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7C1CA900" wp14:editId="13296A6D">
            <wp:extent cx="5546690" cy="2481788"/>
            <wp:effectExtent l="0" t="0" r="0" b="0"/>
            <wp:docPr id="15056267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94" cy="248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20517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представлена разбивка участников по гендерному признаку:</w:t>
      </w:r>
    </w:p>
    <w:p w14:paraId="354A12A1" w14:textId="5DB51B9E" w:rsidR="00617DE5" w:rsidRPr="00C02D9B" w:rsidRDefault="00DB1921" w:rsidP="00DB1921">
      <w:pPr>
        <w:pStyle w:val="Figure"/>
        <w:rPr>
          <w:lang w:eastAsia="ru-RU" w:bidi="ru-RU"/>
        </w:rPr>
      </w:pPr>
      <w:r w:rsidRPr="00C02D9B">
        <w:rPr>
          <w:noProof/>
          <w:lang w:eastAsia="ru-RU" w:bidi="ru-RU"/>
        </w:rPr>
        <w:drawing>
          <wp:inline distT="0" distB="0" distL="0" distR="0" wp14:anchorId="460BC2E9" wp14:editId="5E430253">
            <wp:extent cx="5578355" cy="2484407"/>
            <wp:effectExtent l="0" t="0" r="3810" b="0"/>
            <wp:docPr id="19271626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6" cy="249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98B11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t>c)</w:t>
      </w:r>
      <w:r w:rsidRPr="00C02D9B">
        <w:rPr>
          <w:b/>
          <w:bCs/>
          <w:lang w:eastAsia="ru-RU" w:bidi="ru-RU"/>
        </w:rPr>
        <w:tab/>
        <w:t>Документы</w:t>
      </w:r>
    </w:p>
    <w:p w14:paraId="6A19108C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следующей диаграмме представлено количество документов в разбивке по категориям документов:</w:t>
      </w:r>
    </w:p>
    <w:p w14:paraId="5E9CB0FC" w14:textId="1183E0FE" w:rsidR="00617DE5" w:rsidRPr="00C02D9B" w:rsidRDefault="00DB1921" w:rsidP="00C90165">
      <w:pPr>
        <w:pStyle w:val="Figure"/>
        <w:keepNext w:val="0"/>
        <w:keepLines w:val="0"/>
      </w:pPr>
      <w:r w:rsidRPr="00C02D9B">
        <w:rPr>
          <w:noProof/>
        </w:rPr>
        <w:drawing>
          <wp:inline distT="0" distB="0" distL="0" distR="0" wp14:anchorId="033CB660" wp14:editId="2DF3A70B">
            <wp:extent cx="5534729" cy="2467154"/>
            <wp:effectExtent l="0" t="0" r="8890" b="9525"/>
            <wp:docPr id="19281536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33" cy="247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EA37E" w14:textId="77777777" w:rsidR="00617DE5" w:rsidRPr="00C02D9B" w:rsidRDefault="00617DE5" w:rsidP="00617DE5">
      <w:pPr>
        <w:pStyle w:val="enumlev1"/>
        <w:rPr>
          <w:b/>
          <w:bCs/>
          <w:lang w:eastAsia="ru-RU" w:bidi="ru-RU"/>
        </w:rPr>
      </w:pPr>
      <w:r w:rsidRPr="00C02D9B">
        <w:rPr>
          <w:b/>
          <w:bCs/>
          <w:lang w:eastAsia="ru-RU" w:bidi="ru-RU"/>
        </w:rPr>
        <w:lastRenderedPageBreak/>
        <w:t>d)</w:t>
      </w:r>
      <w:r w:rsidRPr="00C02D9B">
        <w:rPr>
          <w:b/>
          <w:bCs/>
          <w:lang w:eastAsia="ru-RU" w:bidi="ru-RU"/>
        </w:rPr>
        <w:tab/>
      </w:r>
      <w:r w:rsidRPr="00C02D9B">
        <w:rPr>
          <w:b/>
          <w:bCs/>
          <w:i/>
          <w:iCs/>
          <w:lang w:eastAsia="ru-RU" w:bidi="ru-RU"/>
        </w:rPr>
        <w:t>Результаты внеочередного собрания КГРЭ</w:t>
      </w:r>
    </w:p>
    <w:p w14:paraId="4A12DA7C" w14:textId="77777777" w:rsidR="00617DE5" w:rsidRPr="00C02D9B" w:rsidRDefault="00617DE5" w:rsidP="00617DE5">
      <w:r w:rsidRPr="00C02D9B">
        <w:t>КГРЭ рассмотрела 9 вкладов. Достигнуты следующие результаты:</w:t>
      </w:r>
    </w:p>
    <w:p w14:paraId="5054AC59" w14:textId="175E36A7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 xml:space="preserve">КГРЭ согласовала повестку дня ГМС-25, представленную в документе </w:t>
      </w:r>
      <w:hyperlink r:id="rId37" w:history="1">
        <w:r w:rsidRPr="00C02D9B">
          <w:rPr>
            <w:rStyle w:val="Hyperlink"/>
            <w:szCs w:val="22"/>
          </w:rPr>
          <w:t>TDAG-ICG-GYS/12</w:t>
        </w:r>
      </w:hyperlink>
      <w:r w:rsidRPr="00C02D9B">
        <w:t>.</w:t>
      </w:r>
    </w:p>
    <w:p w14:paraId="5B64C259" w14:textId="009A8AB5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 xml:space="preserve">КГРЭ с удовлетворением приняла к сведению отчеты председателей Рабочей группы КГРЭ по Декларации (КГРЭ-РГ-DEC), Рабочей группы КГРЭ по будущему Вопросов исследовательских комиссий (КГРЭ-РГ-futureSGQ), Рабочей группы КГРЭ по приоритетам МСЭ-D (КГРЭ-РГ-ITUDP) и Рабочей группы КГРЭ по упорядочению Резолюций (КГРЭ-РГ-SR) и отметила прогресс, достигнутый в каждой из рабочих групп. </w:t>
      </w:r>
    </w:p>
    <w:p w14:paraId="4380BF60" w14:textId="43C7EBCA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КГРЭ отметила вклады АТСЭ в работу над проектом Декларации и ее согласованность с усилиями, прилагаемыми к доработке темы и структуры Декларации. КГРЭ также приняла к сведению вклад АТСЭ в работу Рабочей группы КГРЭ по будущему Вопросов исследовательских комиссий. Оба вклада были одобрены как содержащие ценную информацию для продолжающихся обсуждений и ценное дополнение к процессу подготовки к ВКРЭ-25.</w:t>
      </w:r>
    </w:p>
    <w:p w14:paraId="3D3AA70F" w14:textId="77777777" w:rsidR="00617DE5" w:rsidRPr="00C02D9B" w:rsidRDefault="00617DE5" w:rsidP="00617DE5">
      <w:pPr>
        <w:rPr>
          <w:b/>
          <w:bCs/>
          <w:lang w:eastAsia="ru-RU" w:bidi="ru-RU"/>
        </w:rPr>
      </w:pPr>
      <w:r w:rsidRPr="00C02D9B">
        <w:t xml:space="preserve">Полный отчет о собрании на шести официальных языках МСЭ доступен по </w:t>
      </w:r>
      <w:hyperlink r:id="rId38" w:history="1">
        <w:r w:rsidRPr="00C02D9B">
          <w:rPr>
            <w:rStyle w:val="Hyperlink"/>
          </w:rPr>
          <w:t>этой ссылке</w:t>
        </w:r>
      </w:hyperlink>
      <w:r w:rsidRPr="00C02D9B">
        <w:t>.</w:t>
      </w:r>
    </w:p>
    <w:p w14:paraId="0E27B47B" w14:textId="77777777" w:rsidR="00617DE5" w:rsidRPr="00C02D9B" w:rsidRDefault="00617DE5" w:rsidP="00617DE5">
      <w:pPr>
        <w:pStyle w:val="Headingb"/>
        <w:rPr>
          <w:lang w:val="ru-RU" w:eastAsia="ru-RU" w:bidi="ru-RU"/>
        </w:rPr>
      </w:pPr>
      <w:bookmarkStart w:id="48" w:name="_Toc86654686"/>
      <w:bookmarkStart w:id="49" w:name="_Toc197528510"/>
      <w:r w:rsidRPr="00C02D9B">
        <w:rPr>
          <w:lang w:val="ru-RU" w:eastAsia="ru-RU" w:bidi="ru-RU"/>
        </w:rPr>
        <w:t>32-е собрание КГРЭ</w:t>
      </w:r>
      <w:bookmarkEnd w:id="48"/>
      <w:bookmarkEnd w:id="49"/>
    </w:p>
    <w:p w14:paraId="244397D8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Работа над настоящим разделом будет завершена в результате пересмотра настоящего документа по завершении 32-го собрания КГРЭ, которое состоится в Женеве с 12 по 16 мая 2025 года.</w:t>
      </w:r>
    </w:p>
    <w:p w14:paraId="5025060B" w14:textId="77777777" w:rsidR="00617DE5" w:rsidRPr="00C02D9B" w:rsidRDefault="00617DE5" w:rsidP="00617DE5">
      <w:pPr>
        <w:pStyle w:val="Headingb"/>
        <w:rPr>
          <w:lang w:val="ru-RU" w:eastAsia="ru-RU" w:bidi="ru-RU"/>
        </w:rPr>
      </w:pPr>
      <w:bookmarkStart w:id="50" w:name="_Toc86654689"/>
      <w:bookmarkStart w:id="51" w:name="_Toc197528511"/>
      <w:bookmarkStart w:id="52" w:name="_Toc482300245"/>
      <w:bookmarkStart w:id="53" w:name="_Toc487107159"/>
      <w:r w:rsidRPr="00C02D9B">
        <w:rPr>
          <w:lang w:val="ru-RU" w:eastAsia="ru-RU" w:bidi="ru-RU"/>
        </w:rPr>
        <w:t>Собрания рабочих групп КГРЭ</w:t>
      </w:r>
      <w:bookmarkEnd w:id="50"/>
      <w:bookmarkEnd w:id="51"/>
    </w:p>
    <w:p w14:paraId="3765C643" w14:textId="7777777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На собраниях КГРЭ, состоявшихся с 19 по 23 июня 2023 года и с 20 по 23 мая 2024 года, были приняты решения о создании пяти рабочих групп:</w:t>
      </w:r>
    </w:p>
    <w:p w14:paraId="5673D241" w14:textId="77777777" w:rsidR="00617DE5" w:rsidRPr="00C02D9B" w:rsidRDefault="00617DE5" w:rsidP="00617DE5">
      <w:pPr>
        <w:pStyle w:val="enumlev1"/>
      </w:pPr>
      <w:bookmarkStart w:id="54" w:name="lt_pId517"/>
      <w:r w:rsidRPr="00C02D9B">
        <w:t>−</w:t>
      </w:r>
      <w:r w:rsidRPr="00C02D9B">
        <w:tab/>
        <w:t xml:space="preserve">Рабочая группа КГРЭ по упорядочению Резолюций (КГРЭ-РГ-SR) − </w:t>
      </w:r>
      <w:hyperlink r:id="rId39" w:anchor="/ru" w:history="1">
        <w:r w:rsidRPr="00C02D9B">
          <w:rPr>
            <w:rStyle w:val="Hyperlink"/>
          </w:rPr>
          <w:t>веб-страница</w:t>
        </w:r>
      </w:hyperlink>
      <w:r w:rsidRPr="00C02D9B">
        <w:t>;</w:t>
      </w:r>
      <w:bookmarkEnd w:id="54"/>
    </w:p>
    <w:p w14:paraId="3455E041" w14:textId="77777777" w:rsidR="00617DE5" w:rsidRPr="00C02D9B" w:rsidRDefault="00617DE5" w:rsidP="00617DE5">
      <w:pPr>
        <w:pStyle w:val="enumlev1"/>
      </w:pPr>
      <w:bookmarkStart w:id="55" w:name="lt_pId518"/>
      <w:r w:rsidRPr="00C02D9B">
        <w:t>−</w:t>
      </w:r>
      <w:r w:rsidRPr="00C02D9B">
        <w:tab/>
        <w:t xml:space="preserve">Рабочая группа КГРЭ по будущему Вопросов исследовательских комиссий МСЭ-D (КГРЭ-РГ-futureSGQ) − </w:t>
      </w:r>
      <w:hyperlink r:id="rId40" w:anchor="/ru" w:history="1">
        <w:r w:rsidRPr="00C02D9B">
          <w:rPr>
            <w:rStyle w:val="Hyperlink"/>
          </w:rPr>
          <w:t>веб-страница</w:t>
        </w:r>
      </w:hyperlink>
      <w:r w:rsidRPr="00C02D9B">
        <w:t>;</w:t>
      </w:r>
      <w:bookmarkEnd w:id="55"/>
    </w:p>
    <w:p w14:paraId="5D88F2E1" w14:textId="77777777" w:rsidR="00617DE5" w:rsidRPr="00C02D9B" w:rsidRDefault="00617DE5" w:rsidP="00617DE5">
      <w:pPr>
        <w:pStyle w:val="enumlev1"/>
      </w:pPr>
      <w:bookmarkStart w:id="56" w:name="lt_pId519"/>
      <w:r w:rsidRPr="00C02D9B">
        <w:t>−</w:t>
      </w:r>
      <w:r w:rsidRPr="00C02D9B">
        <w:tab/>
        <w:t xml:space="preserve">Рабочая группа КГРЭ по приоритетам МСЭ-D (КГРЭ-РГ-ITUDP) − </w:t>
      </w:r>
      <w:hyperlink r:id="rId41" w:history="1">
        <w:r w:rsidRPr="00C02D9B">
          <w:rPr>
            <w:rStyle w:val="Hyperlink"/>
          </w:rPr>
          <w:t>веб-страница</w:t>
        </w:r>
      </w:hyperlink>
      <w:bookmarkEnd w:id="56"/>
      <w:r w:rsidRPr="00C02D9B">
        <w:t>;</w:t>
      </w:r>
    </w:p>
    <w:p w14:paraId="69DA96B3" w14:textId="77777777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 xml:space="preserve">Рабочая группа КГРЭ по Декларации ВКРЭ (КГРЭ-РГ-DEC) − </w:t>
      </w:r>
      <w:hyperlink r:id="rId42" w:history="1">
        <w:r w:rsidRPr="00C02D9B">
          <w:rPr>
            <w:rStyle w:val="Hyperlink"/>
          </w:rPr>
          <w:t>веб-страница</w:t>
        </w:r>
      </w:hyperlink>
      <w:r w:rsidRPr="00C02D9B">
        <w:t>;</w:t>
      </w:r>
    </w:p>
    <w:p w14:paraId="01D43FA0" w14:textId="77777777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 xml:space="preserve">Неофициальная координационная группа КГРЭ по Глобальному молодежному саммиту (КГРЭ-ICG-GYS) − </w:t>
      </w:r>
      <w:hyperlink r:id="rId43" w:history="1">
        <w:r w:rsidRPr="00C02D9B">
          <w:rPr>
            <w:rStyle w:val="Hyperlink"/>
          </w:rPr>
          <w:t>веб-страница</w:t>
        </w:r>
      </w:hyperlink>
      <w:r w:rsidRPr="00C02D9B">
        <w:t>.</w:t>
      </w:r>
    </w:p>
    <w:p w14:paraId="4699947F" w14:textId="341FC63F" w:rsidR="00617DE5" w:rsidRPr="00C02D9B" w:rsidRDefault="00617DE5" w:rsidP="00617DE5">
      <w:pPr>
        <w:rPr>
          <w:lang w:eastAsia="ru-RU" w:bidi="ru-RU"/>
        </w:rPr>
      </w:pPr>
      <w:r w:rsidRPr="00C02D9B">
        <w:t>Группы использовали электронные методы работы и проводили собрания в виртуальном формате; их полные отчеты были представлены КГРЭ и региональным подготовительным собраниям в разных</w:t>
      </w:r>
      <w:r w:rsidRPr="00C02D9B">
        <w:rPr>
          <w:lang w:eastAsia="ru-RU" w:bidi="ru-RU"/>
        </w:rPr>
        <w:t xml:space="preserve"> регионах и отражены в отчетах КГРЭ, как указано в разделе 2 выше, а также в отчетах РПС по каждому из шести регионов (Африка, Северная и Южная Америка, </w:t>
      </w:r>
      <w:hyperlink r:id="rId44" w:history="1">
        <w:r w:rsidRPr="00C02D9B">
          <w:rPr>
            <w:rStyle w:val="Hyperlink"/>
            <w:lang w:eastAsia="ru-RU" w:bidi="ru-RU"/>
          </w:rPr>
          <w:t>арабские государства</w:t>
        </w:r>
      </w:hyperlink>
      <w:r w:rsidRPr="00C02D9B">
        <w:rPr>
          <w:lang w:eastAsia="ru-RU" w:bidi="ru-RU"/>
        </w:rPr>
        <w:t xml:space="preserve">, </w:t>
      </w:r>
      <w:hyperlink r:id="rId45" w:history="1">
        <w:r w:rsidRPr="00C02D9B">
          <w:rPr>
            <w:rStyle w:val="Hyperlink"/>
            <w:lang w:eastAsia="ru-RU" w:bidi="ru-RU"/>
          </w:rPr>
          <w:t>Азиатско-Тихоокеанский регион</w:t>
        </w:r>
      </w:hyperlink>
      <w:r w:rsidRPr="00C02D9B">
        <w:rPr>
          <w:lang w:eastAsia="ru-RU" w:bidi="ru-RU"/>
        </w:rPr>
        <w:t xml:space="preserve">, СНГ и </w:t>
      </w:r>
      <w:hyperlink r:id="rId46" w:history="1">
        <w:r w:rsidRPr="00C02D9B">
          <w:rPr>
            <w:rStyle w:val="Hyperlink"/>
            <w:lang w:eastAsia="ru-RU" w:bidi="ru-RU"/>
          </w:rPr>
          <w:t>Европа</w:t>
        </w:r>
      </w:hyperlink>
      <w:r w:rsidRPr="00C02D9B">
        <w:rPr>
          <w:lang w:eastAsia="ru-RU" w:bidi="ru-RU"/>
        </w:rPr>
        <w:t>).</w:t>
      </w:r>
    </w:p>
    <w:p w14:paraId="0CE2AEE6" w14:textId="77777777" w:rsidR="00617DE5" w:rsidRPr="00C02D9B" w:rsidRDefault="00617DE5" w:rsidP="00617DE5">
      <w:pPr>
        <w:pStyle w:val="Headingb"/>
        <w:rPr>
          <w:lang w:val="ru-RU" w:eastAsia="ru-RU" w:bidi="ru-RU"/>
        </w:rPr>
      </w:pPr>
      <w:bookmarkStart w:id="57" w:name="_Toc86654690"/>
      <w:bookmarkStart w:id="58" w:name="_Toc197528512"/>
      <w:r w:rsidRPr="00C02D9B">
        <w:rPr>
          <w:lang w:val="ru-RU" w:eastAsia="ru-RU" w:bidi="ru-RU"/>
        </w:rPr>
        <w:t>Выполнение КГРЭ Резолюций 1, 2 и 24</w:t>
      </w:r>
      <w:bookmarkEnd w:id="52"/>
      <w:bookmarkEnd w:id="53"/>
      <w:bookmarkEnd w:id="57"/>
      <w:bookmarkEnd w:id="58"/>
    </w:p>
    <w:p w14:paraId="6F5C611A" w14:textId="77777777" w:rsidR="00617DE5" w:rsidRPr="00C02D9B" w:rsidRDefault="00617DE5" w:rsidP="00617DE5">
      <w:pPr>
        <w:pStyle w:val="Headingb"/>
        <w:rPr>
          <w:lang w:val="ru-RU" w:eastAsia="ru-RU" w:bidi="ru-RU"/>
        </w:rPr>
      </w:pPr>
      <w:bookmarkStart w:id="59" w:name="_Toc485904013"/>
      <w:bookmarkStart w:id="60" w:name="_Toc487107160"/>
      <w:bookmarkStart w:id="61" w:name="_Toc86654691"/>
      <w:bookmarkStart w:id="62" w:name="_Toc197528513"/>
      <w:r w:rsidRPr="00C02D9B">
        <w:rPr>
          <w:lang w:val="ru-RU" w:eastAsia="ru-RU" w:bidi="ru-RU"/>
        </w:rPr>
        <w:t>Базовая информация</w:t>
      </w:r>
      <w:bookmarkEnd w:id="59"/>
      <w:bookmarkEnd w:id="60"/>
      <w:bookmarkEnd w:id="61"/>
      <w:bookmarkEnd w:id="62"/>
    </w:p>
    <w:p w14:paraId="46062173" w14:textId="71E52644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 xml:space="preserve">В соответствии с п. 215JA Статьи 17 Конвенции Международного союза электросвязи Консультативная группа по развитию электросвязи (КГРЭ) </w:t>
      </w:r>
      <w:r w:rsidRPr="00D80714">
        <w:rPr>
          <w:lang w:eastAsia="ru-RU" w:bidi="ru-RU"/>
        </w:rPr>
        <w:t>должна представить Всемирной конференции по развитию электросвязи отчет по</w:t>
      </w:r>
      <w:r w:rsidRPr="00C02D9B">
        <w:rPr>
          <w:lang w:eastAsia="ru-RU" w:bidi="ru-RU"/>
        </w:rPr>
        <w:t xml:space="preserve"> конкретным вопросам, порученным ей ВКРЭ, в соответствии с п. 213А Статьи 16 Конвенции.</w:t>
      </w:r>
    </w:p>
    <w:p w14:paraId="743E0E1E" w14:textId="77777777" w:rsidR="00617DE5" w:rsidRPr="00C02D9B" w:rsidRDefault="00617DE5" w:rsidP="00617DE5">
      <w:r w:rsidRPr="00C02D9B">
        <w:rPr>
          <w:rFonts w:eastAsia="SimSun" w:cs="Calibri"/>
          <w:szCs w:val="24"/>
        </w:rPr>
        <w:t xml:space="preserve">В Резолюции 24 установлены конкретные обязанности КГРЭ, которой поручено осуществлять общий надзор за работой Сектора развития электросвязи (МСЭ-D) в период между двумя последовательными всемирными конференциями по развитию электросвязи (ВКРЭ). В настоящем отчете представлен структурированный анализ действий, решений и постоянного </w:t>
      </w:r>
      <w:r w:rsidRPr="00C02D9B">
        <w:rPr>
          <w:rFonts w:eastAsia="SimSun" w:cs="Calibri"/>
          <w:szCs w:val="24"/>
        </w:rPr>
        <w:lastRenderedPageBreak/>
        <w:t>совершенствования КГРЭ и подчеркивается прозрачность, эффективность и инклюзивность деятельности, направленной на достижение стратегических целей, поставленных МСЭ.</w:t>
      </w:r>
    </w:p>
    <w:p w14:paraId="0BB090D5" w14:textId="6F0BC591" w:rsidR="00617DE5" w:rsidRPr="00C02D9B" w:rsidRDefault="00617DE5" w:rsidP="00617DE5">
      <w:pPr>
        <w:pStyle w:val="Heading1"/>
        <w:rPr>
          <w:color w:val="000000"/>
        </w:rPr>
      </w:pPr>
      <w:r w:rsidRPr="00C02D9B">
        <w:t>1</w:t>
      </w:r>
      <w:r w:rsidRPr="00C02D9B">
        <w:tab/>
        <w:t xml:space="preserve">Поддержание современных, эффективных и гибких руководящих принципов работы (пункт 1 i) 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0FB0FFA4" w14:textId="3A532DF6" w:rsidR="00617DE5" w:rsidRPr="00C02D9B" w:rsidRDefault="00617DE5" w:rsidP="00617DE5">
      <w:r w:rsidRPr="00C02D9B">
        <w:t>На протяжении всего цикла 2023</w:t>
      </w:r>
      <w:r w:rsidR="00CF2C93" w:rsidRPr="00C02D9B">
        <w:t>−</w:t>
      </w:r>
      <w:r w:rsidRPr="00C02D9B">
        <w:t>2025 годов КГРЭ постоянно пересматривала и обновляла свои руководящие принципы работы, с тем чтобы они оставались эффективными и гибкими.</w:t>
      </w:r>
    </w:p>
    <w:p w14:paraId="144BFC44" w14:textId="77777777" w:rsidR="00617DE5" w:rsidRPr="00C02D9B" w:rsidRDefault="00617DE5" w:rsidP="00617DE5">
      <w:r w:rsidRPr="00C02D9B">
        <w:t xml:space="preserve">На КГРЭ-23 (2023 г.) была создана Рабочая группа по упорядочению Резолюций (КГРЭ-РГ-SR) под руководством г-жи Андреи Мамприм Гриппы для устранения дублирования и приведения резолюций МСЭ-D в соответствие с приоритетами Сектора. Группа создала пространство для совместной работы в Microsoft Teams, что позволило наладить сотрудничество между членами в режиме реального времени. На КГРЭ-24 (2024 г.) был утвержден пересмотренный круг ведения, в котором были учтены предложения Государств-Членов в отношении согласования резолюций Секторов МСЭ. </w:t>
      </w:r>
    </w:p>
    <w:p w14:paraId="42196D55" w14:textId="77777777" w:rsidR="00617DE5" w:rsidRPr="00C02D9B" w:rsidRDefault="00617DE5" w:rsidP="00617DE5">
      <w:r w:rsidRPr="00C02D9B">
        <w:t>Расширению межрегионального сотрудничества также способствовали интерактивные региональные форумы по вопросам развития (РФР) и информационные панели, которые предоставили Государствам-Членам широкие возможности для отслеживания хода реализации Кигалийского плана действий (КПД).</w:t>
      </w:r>
    </w:p>
    <w:p w14:paraId="64842B4C" w14:textId="74205661" w:rsidR="00617DE5" w:rsidRPr="00C02D9B" w:rsidRDefault="00617DE5" w:rsidP="00617DE5">
      <w:r w:rsidRPr="00C02D9B">
        <w:t xml:space="preserve">Среди мер по оптимизации следует отметить создание и утверждение всеобъемлющих информационных панелей для мониторинга реализации Кигалийского плана действий (КПД) и оперативных планов МСЭ-D (на 2024−2027 </w:t>
      </w:r>
      <w:r w:rsidR="00D80714">
        <w:t>гг.</w:t>
      </w:r>
      <w:r w:rsidRPr="00C02D9B">
        <w:t>). Эти информационные панели, одобренные на КГРЭ-23 в июне 2023 года и КГРЭ-24 в мае 2024 года, обеспечили получение прозрачной и постоянно обновляемой информации о реализации проектов и исполнении бюджета в режиме реального времени. Кроме того, на внеочередном собрании, состоявшемся в январе 2025 года, КГРЭ представила новую информационную панель проектов, что существенно повысило прозрачность и подотчетность в рамках проектов.</w:t>
      </w:r>
    </w:p>
    <w:p w14:paraId="3D7DDF25" w14:textId="3E29BCA3" w:rsidR="00617DE5" w:rsidRPr="00C02D9B" w:rsidRDefault="00617DE5" w:rsidP="00617DE5">
      <w:pPr>
        <w:pStyle w:val="Heading1"/>
      </w:pPr>
      <w:r w:rsidRPr="00C02D9B">
        <w:t>2</w:t>
      </w:r>
      <w:r w:rsidRPr="00C02D9B">
        <w:tab/>
        <w:t xml:space="preserve">Анализ соотношения между задачами и бюджетными ассигнованиями (пункт 1 ii) раздела </w:t>
      </w:r>
      <w:r w:rsidRPr="00C02D9B">
        <w:rPr>
          <w:i/>
          <w:iCs/>
        </w:rPr>
        <w:t>решает</w:t>
      </w:r>
      <w:r w:rsidRPr="00C02D9B">
        <w:t xml:space="preserve"> Резолюции 24)</w:t>
      </w:r>
    </w:p>
    <w:p w14:paraId="20E674CC" w14:textId="77777777" w:rsidR="00617DE5" w:rsidRPr="00C02D9B" w:rsidRDefault="00617DE5" w:rsidP="00617DE5">
      <w:r w:rsidRPr="00C02D9B">
        <w:t xml:space="preserve">КГРЭ активно анализирует соотношение между стратегическими задачами МСЭ-D и бюджетными ассигнованиями и выносит соответствующие рекомендации. На КГРЭ-23 был тщательно проанализирован и одобрен Оперативный план на 2024 год, содержащий подробную информацию о распределении бюджетных средств между регионами. В ходе КГРЭ-23 был проведен всесторонний обзор Оперативного плана МСЭ-D на 2024−2027 годы, в ходе которого были составлены подробные карты распределения финансовых ресурсов и бюджетных средств между регионами, что обеспечило финансирование таких приоритетов, как цифровая трансформация, кибербезопасность и региональные инициативы. </w:t>
      </w:r>
    </w:p>
    <w:p w14:paraId="441B6E3B" w14:textId="77777777" w:rsidR="00617DE5" w:rsidRPr="00C02D9B" w:rsidRDefault="00617DE5" w:rsidP="00617DE5">
      <w:r w:rsidRPr="00C02D9B">
        <w:t>Информационная панель, представленная в связи с Операционным планом на КГРЭ-24, обеспечила эффективный финансовый мониторинг, отслеживание в режиме реального времени и способствовала внедрению двухгодичной отчетности перед донорами по реализуемым проектам.</w:t>
      </w:r>
    </w:p>
    <w:p w14:paraId="6B60A925" w14:textId="2B6846DC" w:rsidR="00617DE5" w:rsidRPr="00C02D9B" w:rsidRDefault="00617DE5" w:rsidP="00617DE5">
      <w:pPr>
        <w:pStyle w:val="Heading1"/>
      </w:pPr>
      <w:r w:rsidRPr="00C02D9B">
        <w:t>3</w:t>
      </w:r>
      <w:r w:rsidRPr="00C02D9B">
        <w:tab/>
        <w:t>Руководящие указания по реализации четырехгодичного Оперативного плана МСЭ-D (пункт 1 iii) раздела</w:t>
      </w:r>
      <w:r w:rsidRPr="00C02D9B">
        <w:rPr>
          <w:rFonts w:cs="Calibri"/>
          <w:i/>
          <w:iCs/>
          <w:szCs w:val="18"/>
        </w:rPr>
        <w:t xml:space="preserve"> решает</w:t>
      </w:r>
      <w:r w:rsidRPr="00C02D9B">
        <w:t xml:space="preserve"> Резолюции 24)</w:t>
      </w:r>
    </w:p>
    <w:p w14:paraId="7645D6DE" w14:textId="2F3F5A64" w:rsidR="00617DE5" w:rsidRPr="00C02D9B" w:rsidRDefault="00617DE5" w:rsidP="00617DE5">
      <w:pPr>
        <w:rPr>
          <w:color w:val="000000"/>
        </w:rPr>
      </w:pPr>
      <w:r w:rsidRPr="00C02D9B">
        <w:t xml:space="preserve">КГРЭ постоянно давала содержательные рекомендации в отношении скользящего четырехгодичного Оперативного плана. На КГРЭ-23 были одобрены ключевые показатели деятельности (KPI), разработанные для мониторинга реализации Кигалийского плана действий. Для этого на КГРЭ-23 скользящий четырехгодичный Оперативный план был согласован с КПД путем одобрения </w:t>
      </w:r>
      <w:r w:rsidRPr="00C02D9B">
        <w:lastRenderedPageBreak/>
        <w:t>45</w:t>
      </w:r>
      <w:r w:rsidR="00B45D3C" w:rsidRPr="00C02D9B">
        <w:t> </w:t>
      </w:r>
      <w:r w:rsidRPr="00C02D9B">
        <w:t>ключевых показателей деятельности (KPI). Эти KPI, включающие 18 показателей конечных результатов и 27 показателей намеченных результатов деятельности, позволили точно оценивать прогресс. Регулярный мониторинг с помощью всеобъемлющих информационных панелей, представленных на КГРЭ-24, обеспечил соответствие стратегическим целям и позволил эффективно отслеживать прогресс в достижении установленных целевых показателей.</w:t>
      </w:r>
    </w:p>
    <w:p w14:paraId="7050E82C" w14:textId="5878860F" w:rsidR="00617DE5" w:rsidRPr="00C02D9B" w:rsidRDefault="00617DE5" w:rsidP="00617DE5">
      <w:pPr>
        <w:pStyle w:val="Heading1"/>
      </w:pPr>
      <w:r w:rsidRPr="00C02D9B">
        <w:t>4</w:t>
      </w:r>
      <w:r w:rsidRPr="00C02D9B">
        <w:tab/>
        <w:t xml:space="preserve">Периодическая оценка методов работы и реализация Плана действий ВКРЭ (пункт 1 iv) раздела </w:t>
      </w:r>
      <w:r w:rsidRPr="00C02D9B">
        <w:rPr>
          <w:rFonts w:cs="Calibri"/>
          <w:i/>
          <w:iCs/>
          <w:szCs w:val="18"/>
        </w:rPr>
        <w:t>решает</w:t>
      </w:r>
      <w:r w:rsidRPr="00C02D9B">
        <w:t xml:space="preserve"> Резолюции 24)</w:t>
      </w:r>
    </w:p>
    <w:p w14:paraId="6AE7E4FB" w14:textId="77777777" w:rsidR="00617DE5" w:rsidRPr="00C02D9B" w:rsidRDefault="00617DE5" w:rsidP="00617DE5">
      <w:r w:rsidRPr="00C02D9B">
        <w:t>КГРЭ регулярно оценивала свои методы работы, уделяя особое внимание повышению эффективности реализации Плана действий ВКРЭ. Создание Рабочей группы КГРЭ по упорядочению Резолюций (РГ-SR) во время КГРЭ-23 продемонстрировало приверженность КГРЭ повышению эффективности операций. Оценка эффективности и результативности деятельности МСЭ-D была продолжена в ходе интерактивных сессий КГРЭ-24, в результате чего были разработаны практические рекомендации по улучшению работы.</w:t>
      </w:r>
    </w:p>
    <w:p w14:paraId="5D485AE8" w14:textId="77777777" w:rsidR="00617DE5" w:rsidRPr="00C02D9B" w:rsidRDefault="00617DE5" w:rsidP="00617DE5">
      <w:r w:rsidRPr="00C02D9B">
        <w:t>Еще одним заметным событием стало создание Рабочей группы по будущему Вопросов исследовательских комиссий (КГРЭ-РГ-futureSGQ) для рассмотрения мандатов и вопросов исследовательских комиссий. К КГРЭ-24 были подготовлены конкретные предложения, в которых рекомендовалось сократить количество исследуемых вопросов с 14 до 10, фактически объединив дублирующие друг друга вопросы. Кроме того, КГРЭ-24 утвердила четкие руководящие принципы участия в ВКРЭ-25 в гибридном формате, включая правовые и оперативные основы, разработанные с учетом принципа инклюзивности, что отвечает прежде всего интересам развивающихся стран. Такие инициативы, как предложение по оптимизации проведения обзоров, представленное на КГРЭ-24, еще больше снизили административную нагрузку, синхронизировав циклы сбора данных.</w:t>
      </w:r>
    </w:p>
    <w:p w14:paraId="3BD45B83" w14:textId="2416FDED" w:rsidR="00617DE5" w:rsidRPr="00C02D9B" w:rsidRDefault="00617DE5" w:rsidP="00617DE5">
      <w:r w:rsidRPr="00C02D9B">
        <w:t>На протяжении всего периода после ВКРЭ-22, Директор БРЭ на каждом собрании регулярно отчитывалась перед КГРЭ о ходе реализации БРЭ четырехлетнего оперативного плана МСЭ-D, а также об усилиях БРЭ по укреплению партнерских отношений и мобилизации ресурсов для реализации более масштабных и результативных проектов и инициатив.</w:t>
      </w:r>
    </w:p>
    <w:p w14:paraId="5CC77346" w14:textId="2118327C" w:rsidR="00617DE5" w:rsidRPr="00C02D9B" w:rsidRDefault="00617DE5" w:rsidP="00617DE5">
      <w:r w:rsidRPr="00C02D9B">
        <w:t xml:space="preserve">Директор БРЭ также регулярно информировала КГРЭ о новых </w:t>
      </w:r>
      <w:r w:rsidRPr="00C02D9B">
        <w:rPr>
          <w:lang w:eastAsia="ru-RU" w:bidi="ru-RU"/>
        </w:rPr>
        <w:t>инициативах, создаваемых и реализуемых БРЭ, в том числе связанных с вовлечением молодежи, женщин и других конкретных групп населения</w:t>
      </w:r>
      <w:r w:rsidRPr="00C02D9B">
        <w:t>. Эта регулярная отчетность также содержала</w:t>
      </w:r>
      <w:r w:rsidRPr="00C02D9B">
        <w:rPr>
          <w:lang w:eastAsia="ru-RU" w:bidi="ru-RU"/>
        </w:rPr>
        <w:t xml:space="preserve"> информацию, полученную из серии внедренных руководством БРЭ интерактивных информационных панелей, которые в режиме реального времени отслеживают статус деятельности, реализацию проектов и использование ресурсов, выделенных БРЭ. КГРЭ принимала и анализировала эти отчеты на протяжении всего периода, что позволило Группе контролировать ход реализации, а также осуществлять эффективный надзор и консультировать Директора БРЭ в отношении способов улучшения и повышения эффективности реализации мероприятий, включая проекты, программы и региональные инициативы</w:t>
      </w:r>
      <w:r w:rsidRPr="00C02D9B">
        <w:t>.</w:t>
      </w:r>
    </w:p>
    <w:p w14:paraId="6A9E3798" w14:textId="66970FFC" w:rsidR="00617DE5" w:rsidRPr="00C02D9B" w:rsidRDefault="00617DE5" w:rsidP="00617DE5">
      <w:pPr>
        <w:pStyle w:val="Heading1"/>
      </w:pPr>
      <w:r w:rsidRPr="00C02D9B">
        <w:t>5</w:t>
      </w:r>
      <w:r w:rsidRPr="00C02D9B">
        <w:tab/>
        <w:t xml:space="preserve">Оценка методов работы Исследовательских комиссий и усиление синергетического эффекта (Резолюции 1, 2 и пункты 1 v) и 1 vi) 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52C7A306" w14:textId="4B81F9CA" w:rsidR="00617DE5" w:rsidRPr="00C02D9B" w:rsidRDefault="00617DE5" w:rsidP="00617DE5">
      <w:r w:rsidRPr="00C02D9B">
        <w:t xml:space="preserve">КГРЭ постоянно оценивала и оптимизировала структуры исследовательских комиссий с целью повышения эффективности их работы. КГРЭ-24 активно рассматривала важные предложения Государств-Членов по реструктуризации. </w:t>
      </w:r>
      <w:r w:rsidR="00C02D9B" w:rsidRPr="00C02D9B">
        <w:t>КГРЭ</w:t>
      </w:r>
      <w:r w:rsidRPr="00C02D9B">
        <w:t xml:space="preserve"> обеспечила регулярный мониторинг показателей эффективности, отметив улучшение гендерного баланса, в частности, достойный одобрения показатель участия женщин в заседаниях 1-й Исследовательской комиссии – 45%. Принятые по решению КГРЭ-24 меры, направленные на усиление синергетического эффекта, способствовали более тесному сотрудничеству между Секторами МСЭ благодаря усилиям докладчиков по </w:t>
      </w:r>
      <w:r w:rsidRPr="00C02D9B">
        <w:lastRenderedPageBreak/>
        <w:t>взаимодействию и проведению совместных тематических семинаров-практикумов на такие темы, как спутниковая связь и управление использованием спектра.</w:t>
      </w:r>
    </w:p>
    <w:p w14:paraId="4FC61118" w14:textId="22F2B6AF" w:rsidR="00617DE5" w:rsidRPr="00C02D9B" w:rsidRDefault="00617DE5" w:rsidP="00617DE5">
      <w:r w:rsidRPr="00C02D9B">
        <w:t>В рамках согласованных усилий по оптимизации структуры исследовательских комиссий на собрании КГРЭ</w:t>
      </w:r>
      <w:r w:rsidR="00814E6E">
        <w:t>-23 была</w:t>
      </w:r>
      <w:r w:rsidRPr="00C02D9B">
        <w:t xml:space="preserve"> созда</w:t>
      </w:r>
      <w:r w:rsidR="00814E6E">
        <w:t>н</w:t>
      </w:r>
      <w:r w:rsidRPr="00C02D9B">
        <w:t>а Рабоч</w:t>
      </w:r>
      <w:r w:rsidR="00814E6E">
        <w:t>ая</w:t>
      </w:r>
      <w:r w:rsidRPr="00C02D9B">
        <w:t xml:space="preserve"> групп</w:t>
      </w:r>
      <w:r w:rsidR="00814E6E">
        <w:t>а</w:t>
      </w:r>
      <w:r w:rsidRPr="00C02D9B">
        <w:t xml:space="preserve"> по будущему Вопросов исследовательских комиссий (РГ</w:t>
      </w:r>
      <w:r w:rsidR="00814E6E">
        <w:noBreakHyphen/>
      </w:r>
      <w:r w:rsidRPr="00C02D9B">
        <w:t>futureSGQ). Эта группа провела всесторонний анализ и консультации, предложив сократить количество исследовательских вопросов с 14 до 10, что было обсуждено на внеочередном собрании КГРЭ в январе 2025 года. Благодаря этим действиям исследовательские комиссии МСЭ-D стали действовать гораздо более эффективно и согласованно в стратегическом плане.</w:t>
      </w:r>
    </w:p>
    <w:p w14:paraId="7C8A9F7B" w14:textId="77777777" w:rsidR="00617DE5" w:rsidRPr="00C02D9B" w:rsidRDefault="00617DE5" w:rsidP="00617DE5">
      <w:r w:rsidRPr="00C02D9B">
        <w:rPr>
          <w:szCs w:val="22"/>
        </w:rPr>
        <w:t>Рабочая группа КГРЭ по будущему Вопросов исследовательских комиссий весьма тесно сотрудничает с исследовательскими комиссиями МСЭ-D, действуя через заместителей Председателя рабочей группы (а именно председателей ИК1 и ИК2) и координаторов ИК1 и ИК2, назначенных в соответствии с кругом ведения</w:t>
      </w:r>
      <w:r w:rsidRPr="00C02D9B">
        <w:rPr>
          <w:rStyle w:val="FootnoteReference"/>
        </w:rPr>
        <w:footnoteReference w:id="2"/>
      </w:r>
      <w:r w:rsidRPr="00C02D9B">
        <w:rPr>
          <w:rStyle w:val="FootnoteReference"/>
        </w:rPr>
        <w:t xml:space="preserve"> </w:t>
      </w:r>
      <w:r w:rsidRPr="00C02D9B">
        <w:rPr>
          <w:rFonts w:asciiTheme="minorHAnsi" w:hAnsiTheme="minorHAnsi" w:cstheme="minorHAnsi"/>
          <w:szCs w:val="22"/>
        </w:rPr>
        <w:t>этой</w:t>
      </w:r>
      <w:r w:rsidRPr="00C02D9B">
        <w:rPr>
          <w:sz w:val="17"/>
          <w:szCs w:val="17"/>
        </w:rPr>
        <w:t xml:space="preserve"> </w:t>
      </w:r>
      <w:r w:rsidRPr="00C02D9B">
        <w:rPr>
          <w:szCs w:val="22"/>
        </w:rPr>
        <w:t>рабочей группы. Главным результатом этого сотрудничества стали подготовленные по итогам всесторонних консультаций проекты предложений</w:t>
      </w:r>
      <w:r w:rsidRPr="00C02D9B">
        <w:rPr>
          <w:rStyle w:val="FootnoteReference"/>
          <w:rFonts w:cs="Calibri"/>
          <w:szCs w:val="16"/>
        </w:rPr>
        <w:footnoteReference w:id="3"/>
      </w:r>
      <w:r w:rsidRPr="00C02D9B">
        <w:rPr>
          <w:sz w:val="16"/>
          <w:szCs w:val="16"/>
        </w:rPr>
        <w:t xml:space="preserve"> </w:t>
      </w:r>
      <w:r w:rsidRPr="00C02D9B">
        <w:rPr>
          <w:szCs w:val="22"/>
        </w:rPr>
        <w:t>по обновлению приложений к Резолюции 2 и круга ведения исследуемых Вопросов</w:t>
      </w:r>
      <w:r w:rsidRPr="00C02D9B">
        <w:rPr>
          <w:sz w:val="24"/>
        </w:rPr>
        <w:t>.</w:t>
      </w:r>
    </w:p>
    <w:p w14:paraId="6D1522BF" w14:textId="77777777" w:rsidR="00617DE5" w:rsidRPr="00C02D9B" w:rsidRDefault="00617DE5" w:rsidP="00617DE5">
      <w:r w:rsidRPr="00C02D9B">
        <w:rPr>
          <w:rFonts w:eastAsia="SimSun"/>
        </w:rPr>
        <w:t>В рамках КГРЭ-23 было организовано мероприятие в формате интервью под руководством заместителя Председателя КГРЭ г-жи Инги Римкевичене (Литва) для обсуждения текущей и будущей работы исследовательских комиссий (ИК) МСЭ-D. Это интерактивное заседание стало примером инновационного подхода исследовательских комиссий к своей работе, в частности к проведению междисциплинарных и совместных семинаров-практикумов, организованных в связи с собраниями групп Докладчиков, которые проводились в период с 2023 по 2025 год (см. TDAG-25/5 и TDAG-25/6).</w:t>
      </w:r>
    </w:p>
    <w:p w14:paraId="5EE2FD55" w14:textId="77777777" w:rsidR="00617DE5" w:rsidRPr="00C02D9B" w:rsidRDefault="00617DE5" w:rsidP="00617DE5">
      <w:r w:rsidRPr="00C02D9B">
        <w:rPr>
          <w:szCs w:val="22"/>
        </w:rPr>
        <w:t xml:space="preserve">В порядке выполнения новых разделов Резолюции 1, председатели ИК1 и ИК2 представили обновленную информацию о явке членов руководящего состава исследовательских комиссий и о работе координаторов (дополнительные функции заместителей председателей) в своих отчетах КГРЭ. Эта информация позволила получить представление о потенциальных проблемах, связанных с явкой, которые были решены благодаря вмешательству директора БРЭ в форме писем, направленных тем, кто назначал руководящий состав ИК. </w:t>
      </w:r>
    </w:p>
    <w:p w14:paraId="451DA123" w14:textId="64408270" w:rsidR="00617DE5" w:rsidRPr="00C02D9B" w:rsidRDefault="00617DE5" w:rsidP="00617DE5">
      <w:pPr>
        <w:rPr>
          <w:szCs w:val="22"/>
        </w:rPr>
      </w:pPr>
      <w:r w:rsidRPr="00C02D9B">
        <w:rPr>
          <w:szCs w:val="22"/>
        </w:rPr>
        <w:t>Постоянно прилагаются усилия по налаживанию взаимодействия между исследовательскими комиссиями МСЭ-D и другими группами МСЭ. Совместные семинары-практикумы и совместные промежуточные итоговые документы позволяют объединить экспертные знания, оптимизируют затраты и укрепляют сотрудничество. В 2023 и 2024 годах в ходе собраний групп Докладчиков по Вопросам были организованы три совместных и восемь межсекторальных семинаров-практикумов. С</w:t>
      </w:r>
      <w:r w:rsidR="00CF2C93" w:rsidRPr="00C02D9B">
        <w:rPr>
          <w:szCs w:val="22"/>
        </w:rPr>
        <w:t> </w:t>
      </w:r>
      <w:r w:rsidRPr="00C02D9B">
        <w:rPr>
          <w:szCs w:val="22"/>
        </w:rPr>
        <w:t>18 по 20 июня 2024 года в Бразилии состоялся совместный семинар-практикум по Вопросам 6/1 и 3/2</w:t>
      </w:r>
      <w:r w:rsidRPr="00C02D9B">
        <w:rPr>
          <w:rStyle w:val="FootnoteReference"/>
        </w:rPr>
        <w:footnoteReference w:id="4"/>
      </w:r>
      <w:r w:rsidRPr="00C02D9B">
        <w:rPr>
          <w:rFonts w:cstheme="minorBidi"/>
          <w:sz w:val="24"/>
        </w:rPr>
        <w:t xml:space="preserve"> </w:t>
      </w:r>
      <w:r w:rsidRPr="00C02D9B">
        <w:rPr>
          <w:szCs w:val="22"/>
        </w:rPr>
        <w:t>на тему повышения осведомленности потребителей, организованный ANATEL в сотрудничестве с Региональным отделением МСЭ для Северной и Южной Америки.</w:t>
      </w:r>
    </w:p>
    <w:p w14:paraId="1CBB8DD7" w14:textId="77777777" w:rsidR="00617DE5" w:rsidRPr="00C02D9B" w:rsidRDefault="00617DE5" w:rsidP="00617DE5">
      <w:r w:rsidRPr="00C02D9B">
        <w:t xml:space="preserve">Совместные собрания руководящего состава исследовательских комиссий МСЭ-D под председательством Директора Бюро развития электросвязи обеспечивают координацию и сотрудничество между исследовательскими комиссиями МСЭ-D. В настоящее время готовятся два руководящих документа по следующим вопросам, которые требуют совместного рассмотрения для повышения эффективности работы исследовательских комиссий: </w:t>
      </w:r>
    </w:p>
    <w:p w14:paraId="623D2794" w14:textId="53B0E955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Решение проблем, влияющих на эффективность использования продуктов исследовательских комиссий МСЭ-D.</w:t>
      </w:r>
    </w:p>
    <w:p w14:paraId="5F2434A0" w14:textId="3213B6DD" w:rsidR="00617DE5" w:rsidRPr="00C02D9B" w:rsidRDefault="00617DE5" w:rsidP="00617DE5">
      <w:pPr>
        <w:pStyle w:val="enumlev1"/>
      </w:pPr>
      <w:r w:rsidRPr="00C02D9B">
        <w:t>−</w:t>
      </w:r>
      <w:r w:rsidRPr="00C02D9B">
        <w:tab/>
        <w:t>Руководящие указания для Членов МСЭ-D по выдвижению кандидатур на должности Докладчиков и заместителей докладчиков, а также по оценке кандидатов.</w:t>
      </w:r>
    </w:p>
    <w:p w14:paraId="0B03D27E" w14:textId="77777777" w:rsidR="00617DE5" w:rsidRPr="00C02D9B" w:rsidRDefault="00617DE5" w:rsidP="00617DE5">
      <w:pPr>
        <w:rPr>
          <w:szCs w:val="24"/>
        </w:rPr>
      </w:pPr>
      <w:r w:rsidRPr="00C02D9B">
        <w:lastRenderedPageBreak/>
        <w:t>В ходе сессий совместной творческой работы</w:t>
      </w:r>
      <w:r w:rsidRPr="00C02D9B">
        <w:rPr>
          <w:rStyle w:val="FootnoteReference"/>
        </w:rPr>
        <w:footnoteReference w:id="5"/>
      </w:r>
      <w:r w:rsidRPr="00C02D9B">
        <w:t>, приуроченных к первому собранию Группы докладчиков,</w:t>
      </w:r>
      <w:r w:rsidRPr="00C02D9B">
        <w:rPr>
          <w:sz w:val="24"/>
          <w:szCs w:val="24"/>
        </w:rPr>
        <w:t xml:space="preserve"> </w:t>
      </w:r>
      <w:r w:rsidRPr="00C02D9B">
        <w:t>было начато обсуждение вопроса об “инновациях в работе исследовательских комиссий”.</w:t>
      </w:r>
    </w:p>
    <w:p w14:paraId="2CAEE29F" w14:textId="77777777" w:rsidR="00617DE5" w:rsidRPr="00C02D9B" w:rsidRDefault="00617DE5" w:rsidP="00617DE5">
      <w:r w:rsidRPr="00C02D9B">
        <w:t>РГ МСЭ-D продолжали сотрудничать, выполняя Резолюцию 9 ВКРЭ (Пересм. Кигали, 2022 г.), действуя через назначенных координаторов, а именно г-на Роберто Хираяму (Бразилия) для ИК1 и г-на Хидео Иманаку (Япония) и г-на Хаима Мазара (Израиль) для ИК2. Координаторы тесно сотрудничали со специалистами из Отдела будущих сетей и управления использованием спектра, а также с Докладчиками по вопросам исследовательских комиссий</w:t>
      </w:r>
      <w:r w:rsidRPr="00C02D9B">
        <w:rPr>
          <w:rStyle w:val="FootnoteReference"/>
        </w:rPr>
        <w:footnoteReference w:id="6"/>
      </w:r>
      <w:r w:rsidRPr="00C02D9B">
        <w:t>, имеющим непосредственное отношение к Резолюции 9. Информация, относящаяся к управлению использованием спектра, полученная в виде вкладов, была сопоставлена с перечнем тем в Приложении 1 к Резолюции 9 ВКРЭ и будет соответствующим образом представлена</w:t>
      </w:r>
      <w:r w:rsidRPr="00C02D9B">
        <w:rPr>
          <w:rStyle w:val="FootnoteReference"/>
        </w:rPr>
        <w:footnoteReference w:id="7"/>
      </w:r>
      <w:r w:rsidRPr="00C02D9B">
        <w:rPr>
          <w:rStyle w:val="FootnoteReference"/>
        </w:rPr>
        <w:t xml:space="preserve"> </w:t>
      </w:r>
      <w:r w:rsidRPr="00C02D9B">
        <w:t>КГРЭ и директорам БРЭ и БР для рассмотрения.</w:t>
      </w:r>
    </w:p>
    <w:p w14:paraId="4C38C61A" w14:textId="77777777" w:rsidR="00617DE5" w:rsidRPr="00C02D9B" w:rsidRDefault="00617DE5" w:rsidP="00617DE5">
      <w:r w:rsidRPr="00C02D9B">
        <w:t>Участники пленарных заседаний ИК получили обновленную информацию о важнейших инициативах, включая UMC ("Стимулирование и измерение реальной возможности установления соединений")</w:t>
      </w:r>
      <w:r w:rsidRPr="00C02D9B">
        <w:rPr>
          <w:rStyle w:val="FootnoteReference"/>
        </w:rPr>
        <w:footnoteReference w:id="8"/>
      </w:r>
      <w:r w:rsidRPr="00C02D9B">
        <w:t>, PRIDA (Инициатива в области политики и регулирования для цифровой Африки)</w:t>
      </w:r>
      <w:r w:rsidRPr="00C02D9B">
        <w:rPr>
          <w:rStyle w:val="FootnoteReference"/>
        </w:rPr>
        <w:footnoteReference w:id="9"/>
      </w:r>
      <w:r w:rsidRPr="00C02D9B">
        <w:t xml:space="preserve"> и "Поколение подключений"</w:t>
      </w:r>
      <w:r w:rsidRPr="00C02D9B">
        <w:rPr>
          <w:rStyle w:val="FootnoteReference"/>
        </w:rPr>
        <w:footnoteReference w:id="10"/>
      </w:r>
      <w:r w:rsidRPr="00C02D9B">
        <w:t>, с призывом к конструктивному участию в деятельности в рамках этих инициатив. Члены руководящего состава ИК продолжают выступать с докладами на мероприятиях МСЭ, включая РЭД, РФР, РПС, ВВУИО, а также участвовать в серии семинаров-практикумов на тему "Будущее кабельного телевидения", организуемых в рамках стратегии "Единый МСЭ".</w:t>
      </w:r>
    </w:p>
    <w:p w14:paraId="3914B334" w14:textId="45995C84" w:rsidR="00617DE5" w:rsidRPr="00C02D9B" w:rsidRDefault="00617DE5" w:rsidP="00617DE5">
      <w:pPr>
        <w:rPr>
          <w:rFonts w:eastAsia="Times New Roman"/>
          <w:color w:val="000000"/>
        </w:rPr>
      </w:pPr>
      <w:r w:rsidRPr="00C02D9B">
        <w:t>В соответствии с Резолюциями 1 и 2 на основе полученных вкладов и по результатам проведенных семинаров-практикумов были подготовлены четырнадцать заключительных отчетов о результатах работы за период 2022</w:t>
      </w:r>
      <w:r w:rsidR="00D80714">
        <w:t>−</w:t>
      </w:r>
      <w:r w:rsidRPr="00C02D9B">
        <w:t xml:space="preserve">2025 годов, пересмотренный итоговый отчет за 2018-2021 годы и шесть промежуточных (годовых) итоговых документов. Промежуточные итоговые документы доступны в виде бесплатных публикаций на всех официальных языках ООН, а заключительные отчеты о результатах работы также готовятся для публикации. Была дана высокая оценка количеству и качеству полученных вкладов. Было положительно отмечено активное участие членов Сектора </w:t>
      </w:r>
      <w:r w:rsidRPr="00C02D9B">
        <w:br/>
        <w:t>МСЭ-D и ассоциаций</w:t>
      </w:r>
      <w:r w:rsidRPr="00C02D9B">
        <w:rPr>
          <w:rFonts w:eastAsia="Times New Roman"/>
          <w:color w:val="000000" w:themeColor="text1"/>
        </w:rPr>
        <w:t>.</w:t>
      </w:r>
    </w:p>
    <w:p w14:paraId="6A2BB0F9" w14:textId="6EB07C35" w:rsidR="00617DE5" w:rsidRPr="00C02D9B" w:rsidRDefault="00617DE5" w:rsidP="00617DE5">
      <w:pPr>
        <w:pStyle w:val="Heading1"/>
      </w:pPr>
      <w:r w:rsidRPr="00C02D9B">
        <w:t>6</w:t>
      </w:r>
      <w:r w:rsidRPr="00C02D9B">
        <w:tab/>
        <w:t xml:space="preserve">Реструктуризация Рабочих групп КГРЭ и назначения (пункт 1 vii) раздела и пункт 1 xi) 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29312D8E" w14:textId="7CB2A510" w:rsidR="00617DE5" w:rsidRPr="00C02D9B" w:rsidRDefault="00617DE5" w:rsidP="00617DE5">
      <w:r w:rsidRPr="00C02D9B">
        <w:t>Учитывая меняющиеся потребности, КГРЭ активно инициировала структурные преобразования и назначила руководителей вновь созданных рабочих групп. На КГРЭ-23 и КГРЭ-24 были сформированы следующие Рабочие группы: по будущему Вопросов исследовательских комиссий (КГРЭ</w:t>
      </w:r>
      <w:r w:rsidR="00CF2C93" w:rsidRPr="00C02D9B">
        <w:noBreakHyphen/>
      </w:r>
      <w:r w:rsidRPr="00C02D9B">
        <w:t>РГ</w:t>
      </w:r>
      <w:r w:rsidR="00CF2C93" w:rsidRPr="00C02D9B">
        <w:noBreakHyphen/>
      </w:r>
      <w:r w:rsidRPr="00C02D9B">
        <w:t>futureSGQ), под председательством д-ра Ахмада Резы Шарафата, Иран, по приоритетам МСЭ-D (КГРЭ</w:t>
      </w:r>
      <w:r w:rsidR="00CF2C93" w:rsidRPr="00C02D9B">
        <w:noBreakHyphen/>
      </w:r>
      <w:r w:rsidRPr="00C02D9B">
        <w:t>РГ-ITUDP), под председательством г-жи Инги Римкевичене, Литва, по Декларации ВКРЭ (КГРЭ</w:t>
      </w:r>
      <w:r w:rsidR="00CF2C93" w:rsidRPr="00C02D9B">
        <w:noBreakHyphen/>
      </w:r>
      <w:r w:rsidRPr="00C02D9B">
        <w:t>РГ-DEC) под председательством г-на Абдулкарима Олойеде, Нигерия, и по упорядочению Резолюций (КГРЭ</w:t>
      </w:r>
      <w:r w:rsidR="00CF2C93" w:rsidRPr="00C02D9B">
        <w:noBreakHyphen/>
      </w:r>
      <w:r w:rsidRPr="00C02D9B">
        <w:t xml:space="preserve">РГ-SR) под председательством г-жи Андреи Гриппы, Бразилия. На КГРЭ-24 также была учреждена Неофициальная координационная группа КГРЭ по Глобальному молодежному саммиту и Всемирному празднованию (КГРЭ-ICG-GYS), работа которой координируется </w:t>
      </w:r>
      <w:r w:rsidRPr="00C02D9B">
        <w:lastRenderedPageBreak/>
        <w:t>представителями Аргентины, Китая, Нигерии и Саудовской Аравии. Эти группы сыграли решающую роль в подготовке к предстоящей ВКРЭ-25.</w:t>
      </w:r>
    </w:p>
    <w:p w14:paraId="5EAD660B" w14:textId="77777777" w:rsidR="00617DE5" w:rsidRPr="00C02D9B" w:rsidRDefault="00617DE5" w:rsidP="00617DE5">
      <w:pPr>
        <w:rPr>
          <w:color w:val="000000"/>
        </w:rPr>
      </w:pPr>
      <w:r w:rsidRPr="00C02D9B">
        <w:t>КГРЭ-31 назначила г-жу Бланку Гонсалес (Испания) и г-жу Шахад Альбалави (Саудовская Аравия) представителями МСЭ-D в Межсекторальной координационной группе (ISCG), что должно способствовать сотрудничеству между Секторами.</w:t>
      </w:r>
    </w:p>
    <w:p w14:paraId="3D309C72" w14:textId="10EAE222" w:rsidR="00617DE5" w:rsidRPr="00C02D9B" w:rsidRDefault="00617DE5" w:rsidP="00617DE5">
      <w:pPr>
        <w:pStyle w:val="Heading1"/>
      </w:pPr>
      <w:r w:rsidRPr="00C02D9B">
        <w:t>7</w:t>
      </w:r>
      <w:r w:rsidRPr="00C02D9B">
        <w:tab/>
        <w:t xml:space="preserve">Рекомендации в отношении расписаний работы исследовательских комиссий (пункт 1 viii) 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0CEEA333" w14:textId="77777777" w:rsidR="00617DE5" w:rsidRPr="00C02D9B" w:rsidRDefault="00617DE5" w:rsidP="00617DE5">
      <w:r w:rsidRPr="00C02D9B">
        <w:t>КГРЭ тщательно рассмотрела и утвердила подробные повестки дня и планы распределения времени, обеспечив точное соответствие расписаний работы исследовательских комиссий стратегическим приоритетам МСЭ-D. Все это было одобрено на КГРЭ-23, КГРЭ-24 и на внеочередном собрании КГРЭ.</w:t>
      </w:r>
    </w:p>
    <w:p w14:paraId="39F79094" w14:textId="586FD324" w:rsidR="00617DE5" w:rsidRPr="00C02D9B" w:rsidRDefault="00617DE5" w:rsidP="00617DE5">
      <w:pPr>
        <w:pStyle w:val="Heading1"/>
      </w:pPr>
      <w:r w:rsidRPr="00C02D9B">
        <w:t>8</w:t>
      </w:r>
      <w:r w:rsidRPr="00C02D9B">
        <w:tab/>
        <w:t xml:space="preserve">Рекомендации по финансовым и операционным вопросам для Директора БРЭ (пункт 1 ix) 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69724851" w14:textId="77777777" w:rsidR="00617DE5" w:rsidRPr="00C02D9B" w:rsidRDefault="00617DE5" w:rsidP="00617DE5">
      <w:r w:rsidRPr="00C02D9B">
        <w:t>КГРЭ постоянно предоставляла Директору БРЭ исчерпывающие рекомендации по финансовым и операционным вопросам. Это включало анализ бюджетных ассигнований, разработку рекомендаций в отношении стратегий мобилизации ресурсов и содействие внедрению прозрачных методов управления финансовой деятельностью. Примерами положительного воздействия этих рекомендаций стали мобилизация значительного объема финансовых ресурсов, поступающих в виде взносов, и налаживание стратегических партнерских отношений, что было подробно обсуждено во время КГРЭ-23 и КГРЭ-24.</w:t>
      </w:r>
    </w:p>
    <w:p w14:paraId="604D415C" w14:textId="77777777" w:rsidR="00617DE5" w:rsidRPr="00C02D9B" w:rsidRDefault="00617DE5" w:rsidP="00617DE5">
      <w:r w:rsidRPr="00C02D9B">
        <w:t>На своих собраниях КГРЭ отмечала важную роль Членов МСЭ-D (Членов Секторов, Ассоциированных сотрудников и Академических организаций) в работе МСЭ-D. Отмечались устойчивый рост и диверсификация членского состава МСЭ-D на протяжении многих лет в результате согласованных усилий по налаживанию взаимодействия с новыми членами и благодаря инициативам, направленным на поддержание отношений с существующими членами. КГРЭ также отметила все более весомый вклад отрасли и частного сектора в работу МСЭ-D и их все более активное участие в работе Сектора, в частности, в собраниях Отраслевой консультативной группы по вопросам развития и старших сотрудников по регуляторным вопросам из частного сектора (IAGDI-CRO), а также итоговые заявления на высоком уровне. КГРЭ также с удовлетворением отметила действия, предпринятые на глобальном и региональном уровнях для стимулирования налаживания партнерских отношений, в том числе между государственным и частным секторами.</w:t>
      </w:r>
    </w:p>
    <w:p w14:paraId="0ED162E2" w14:textId="77777777" w:rsidR="00617DE5" w:rsidRPr="00C02D9B" w:rsidRDefault="00617DE5" w:rsidP="00617DE5">
      <w:pPr>
        <w:rPr>
          <w:sz w:val="24"/>
          <w:szCs w:val="24"/>
        </w:rPr>
      </w:pPr>
      <w:r w:rsidRPr="00C02D9B">
        <w:t>За этот период деятельность БРЭ по мобилизации ресурсов существенно активизировалась благодаря инициативам, реализуемым в масштабах всего БРЭ с целью налаживания, развития и укрепления партнерских отношений с широким кругом заинтересованных сторон как из развитых, так и из развивающихся стран. Ключевые стратегические действия включали развитие и укрепление отношений с давними партнерами, расширение сотрудничества с учреждениями ООН, а также активный поиск и привлечение новых партнеров.</w:t>
      </w:r>
    </w:p>
    <w:p w14:paraId="11CB2044" w14:textId="754540B9" w:rsidR="00617DE5" w:rsidRPr="00C02D9B" w:rsidRDefault="00617DE5" w:rsidP="00617DE5">
      <w:pPr>
        <w:pStyle w:val="Heading1"/>
      </w:pPr>
      <w:r w:rsidRPr="00C02D9B">
        <w:t>9</w:t>
      </w:r>
      <w:r w:rsidRPr="00C02D9B">
        <w:tab/>
        <w:t xml:space="preserve">Утверждение программы работы и приоритетов (пункт 1 x) 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38A191F7" w14:textId="77777777" w:rsidR="00617DE5" w:rsidRPr="00C02D9B" w:rsidRDefault="00617DE5" w:rsidP="00617DE5">
      <w:pPr>
        <w:rPr>
          <w:color w:val="000000"/>
        </w:rPr>
      </w:pPr>
      <w:r w:rsidRPr="00C02D9B">
        <w:t>КГРЭ систематически одобряла предусмотренные стратегией программы работы и четко формулировала приоритеты деятельности МСЭ-D. В оперативных планах, одобренных КГРЭ-23 и КГРЭ-24, особое внимание было уделено основным областям деятельности, таким как кибербезопасность, цифровая трансформация, наращивание потенциала и региональные инициативы, что подчеркивает приверженность КГРЭ достижению значимых и важных для регионов результатов.</w:t>
      </w:r>
    </w:p>
    <w:p w14:paraId="29699297" w14:textId="32469711" w:rsidR="00617DE5" w:rsidRPr="00C02D9B" w:rsidRDefault="00617DE5" w:rsidP="00617DE5">
      <w:pPr>
        <w:pStyle w:val="Heading1"/>
      </w:pPr>
      <w:r w:rsidRPr="00C02D9B">
        <w:lastRenderedPageBreak/>
        <w:t>10</w:t>
      </w:r>
      <w:r w:rsidRPr="00C02D9B">
        <w:tab/>
        <w:t xml:space="preserve">Электронные методы работы (пункт 1 xii) раздела </w:t>
      </w:r>
      <w:r w:rsidRPr="00C02D9B">
        <w:rPr>
          <w:i/>
          <w:iCs/>
          <w:szCs w:val="18"/>
        </w:rPr>
        <w:t>решает</w:t>
      </w:r>
      <w:r w:rsidRPr="00C02D9B">
        <w:t xml:space="preserve"> Резолюции 24)</w:t>
      </w:r>
    </w:p>
    <w:p w14:paraId="522966DF" w14:textId="77777777" w:rsidR="00617DE5" w:rsidRPr="00C02D9B" w:rsidRDefault="00617DE5" w:rsidP="00617DE5">
      <w:pPr>
        <w:rPr>
          <w:color w:val="000000"/>
        </w:rPr>
      </w:pPr>
      <w:r w:rsidRPr="00C02D9B">
        <w:t>КГРЭ решительно выступала за внедрение и совершенствование электронных методов работы, придавая особое значение инклюзивности и широкому участию. На КГРЭ-24 и внеочередном собрании КГРЭ были обсуждены и доработаны руководящие принципы и инструменты дистанционного участия, виртуального взаимодействия и электронного документооборота, что способствовало более широкому и активному участию развивающихся регионов и повышению эффективности деятельности.</w:t>
      </w:r>
    </w:p>
    <w:p w14:paraId="195C65CF" w14:textId="1C74EC89" w:rsidR="00617DE5" w:rsidRPr="00C02D9B" w:rsidRDefault="00617DE5" w:rsidP="00617DE5">
      <w:pPr>
        <w:pStyle w:val="Heading1"/>
      </w:pPr>
      <w:r w:rsidRPr="00C02D9B">
        <w:t>11</w:t>
      </w:r>
      <w:r w:rsidRPr="00C02D9B">
        <w:tab/>
        <w:t xml:space="preserve">Координация с другими Секторами (пункты 3 и 4 раздела </w:t>
      </w:r>
      <w:r w:rsidRPr="00C02D9B">
        <w:rPr>
          <w:i/>
          <w:iCs/>
        </w:rPr>
        <w:t>решает</w:t>
      </w:r>
      <w:r w:rsidRPr="00C02D9B">
        <w:t xml:space="preserve"> Резолюции 24)</w:t>
      </w:r>
    </w:p>
    <w:p w14:paraId="08BA8627" w14:textId="77777777" w:rsidR="00617DE5" w:rsidRPr="00C02D9B" w:rsidRDefault="00617DE5" w:rsidP="00617DE5">
      <w:r w:rsidRPr="00C02D9B">
        <w:t>КГРЭ активно содействовала межсекторальной координации в рамках МСЭ, обеспечивая стратегическую согласованность и сокращая дублирование усилий. Взаимодействие с Консультативной группой по стандартизации электросвязи (КГСЭ) укрепило роль МСЭ-D в цифровой трансформации, о чем свидетельствуют итоги КГРЭ-24. Постоянное взаимодействие и совместные обсуждения способствовали сотрудничеству между Секторами МСЭ и слаженности их работы на протяжении всего цикла.</w:t>
      </w:r>
    </w:p>
    <w:p w14:paraId="76B9325F" w14:textId="0518B6F1" w:rsidR="00617DE5" w:rsidRPr="00C02D9B" w:rsidRDefault="00617DE5" w:rsidP="00617DE5">
      <w:pPr>
        <w:rPr>
          <w:b/>
        </w:rPr>
      </w:pPr>
      <w:r w:rsidRPr="00C02D9B">
        <w:t>КГРЭ активно способствовала межсекторальному сотрудничеству, что значительно повысило стратегическую согласованность действий различных Секторов МСЭ. На</w:t>
      </w:r>
      <w:r w:rsidR="00814E6E">
        <w:t xml:space="preserve"> 31-м собрании</w:t>
      </w:r>
      <w:r w:rsidRPr="00C02D9B">
        <w:t xml:space="preserve"> КГРЭ были утверждены заявления о стратегическом взаимодействии с КГСЭ и МСКГ, в которых фактически согласованы реализуемые разными секторами инициативы в области цифровой трансформации и определено, какие из исследуемых вопросов дублируются, и какие из них следует исключить во избежание такого дублирования. Заслуживающие внимания совместные инициативы включали сотрудничество с МСЭ</w:t>
      </w:r>
      <w:r w:rsidR="00CF2C93" w:rsidRPr="00C02D9B">
        <w:noBreakHyphen/>
      </w:r>
      <w:r w:rsidRPr="00C02D9B">
        <w:t>R в рамках стратегий управления использованием спектра и МСЭ-T в области стандартов для "умных" устойчивых городов и сообществ (SSCC</w:t>
      </w:r>
      <w:r w:rsidRPr="00C02D9B">
        <w:rPr>
          <w:color w:val="000000"/>
          <w:szCs w:val="24"/>
        </w:rPr>
        <w:t>).</w:t>
      </w:r>
    </w:p>
    <w:p w14:paraId="39CE6D29" w14:textId="25BA6E47" w:rsidR="00617DE5" w:rsidRPr="00C02D9B" w:rsidRDefault="00617DE5" w:rsidP="00617DE5">
      <w:pPr>
        <w:rPr>
          <w:lang w:eastAsia="ru-RU" w:bidi="ru-RU"/>
        </w:rPr>
      </w:pPr>
      <w:r w:rsidRPr="00C02D9B">
        <w:rPr>
          <w:lang w:eastAsia="ru-RU" w:bidi="ru-RU"/>
        </w:rPr>
        <w:t>КГРЭ постоянно рассматривала отчеты Межсекторальной координационной группы по вопросам, представляющим взаимный интерес (МСКГ). В состав этой группы входят представители Консультативной группы по радиосвязи (КГР), Консультативной группы по стандартизации электросвязи (КГСЭ) и Консультативной группы по развитию электросвязи (КГРЭ) и она определяет темы, являющиеся общими для всех трех Секторов и Генерального секретариата, а также механизмы для укрепления сотрудничества и взаимодействия между всеми Секторами по вопросам, представляющим взаимный интерес, с тем чтобы не допускать дублирования усилий и оптимизировать использование ресурсов Союза в соответствии с положениями Резолюции 191 (Пересм. Бухарест, 2022 г.). МСКГ рассматривает текущие и новые виды деятельности и их распределение между МСЭ-R, МСЭ-T и МСЭ-D для утверждения Государствами−Членами МСЭ в соответствии с процедурами утверждения новых и пересмотренных Вопросов. Она также рассматривает отчеты трех Директоров и Целевой группы по межсекторальной координации (ЦГ</w:t>
      </w:r>
      <w:r w:rsidR="00DB1921" w:rsidRPr="00C02D9B">
        <w:rPr>
          <w:lang w:eastAsia="ru-RU" w:bidi="ru-RU"/>
        </w:rPr>
        <w:noBreakHyphen/>
      </w:r>
      <w:r w:rsidRPr="00C02D9B">
        <w:rPr>
          <w:lang w:eastAsia="ru-RU" w:bidi="ru-RU"/>
        </w:rPr>
        <w:t>МСК) о вариантах улучшения сотрудничества на уровне секретариатов для обеспечения максимально тесной координации.</w:t>
      </w:r>
    </w:p>
    <w:p w14:paraId="3F3E811B" w14:textId="77777777" w:rsidR="00617DE5" w:rsidRPr="00C02D9B" w:rsidRDefault="00617DE5" w:rsidP="00617DE5">
      <w:pPr>
        <w:rPr>
          <w:rFonts w:eastAsia="Calibri"/>
          <w:szCs w:val="24"/>
        </w:rPr>
      </w:pPr>
      <w:r w:rsidRPr="00C02D9B">
        <w:t>Были представлены обновленные данные, и КГРЭ обсудила их на своих собраниях. В частности, за отчетный период КГРЭ проанализировала результаты работы МСКГ на перечисленных ниже собраниях</w:t>
      </w:r>
      <w:r w:rsidRPr="00C02D9B">
        <w:rPr>
          <w:rFonts w:eastAsia="Calibri"/>
          <w:szCs w:val="24"/>
        </w:rPr>
        <w:t xml:space="preserve">. </w:t>
      </w:r>
    </w:p>
    <w:p w14:paraId="5BEBC006" w14:textId="77777777" w:rsidR="00617DE5" w:rsidRPr="00C02D9B" w:rsidRDefault="00617DE5" w:rsidP="00617DE5">
      <w:pPr>
        <w:rPr>
          <w:rFonts w:asciiTheme="minorHAnsi" w:hAnsiTheme="minorHAnsi" w:cstheme="minorHAnsi"/>
          <w:szCs w:val="22"/>
        </w:rPr>
      </w:pPr>
      <w:r w:rsidRPr="00C02D9B">
        <w:rPr>
          <w:rFonts w:eastAsia="Calibri"/>
          <w:szCs w:val="24"/>
        </w:rPr>
        <w:t>За период после ВКРЭ-22 МСКГ провела пять собраний:</w:t>
      </w:r>
    </w:p>
    <w:p w14:paraId="7E329080" w14:textId="24DCB146" w:rsidR="00617DE5" w:rsidRPr="00C02D9B" w:rsidRDefault="00617DE5" w:rsidP="00617DE5">
      <w:pPr>
        <w:pStyle w:val="enumlev1"/>
        <w:rPr>
          <w:rFonts w:eastAsiaTheme="minorEastAsia" w:cstheme="minorHAnsi"/>
          <w:szCs w:val="22"/>
        </w:rPr>
      </w:pPr>
      <w:r w:rsidRPr="00C02D9B">
        <w:rPr>
          <w:rFonts w:eastAsia="Calibri" w:cstheme="minorHAnsi"/>
          <w:szCs w:val="22"/>
        </w:rPr>
        <w:t>−</w:t>
      </w:r>
      <w:r w:rsidRPr="00C02D9B">
        <w:rPr>
          <w:rFonts w:eastAsia="Calibri" w:cstheme="minorHAnsi"/>
          <w:szCs w:val="22"/>
        </w:rPr>
        <w:tab/>
        <w:t>2 мая 2023 года (</w:t>
      </w:r>
      <w:hyperlink r:id="rId47" w:history="1">
        <w:r w:rsidRPr="00C02D9B">
          <w:rPr>
            <w:rStyle w:val="Hyperlink"/>
            <w:rFonts w:cstheme="minorHAnsi"/>
            <w:szCs w:val="22"/>
          </w:rPr>
          <w:t>ISCG/23-1/09</w:t>
        </w:r>
      </w:hyperlink>
      <w:r w:rsidRPr="00C02D9B">
        <w:rPr>
          <w:rFonts w:cstheme="minorHAnsi"/>
          <w:szCs w:val="22"/>
        </w:rPr>
        <w:t>)</w:t>
      </w:r>
      <w:r w:rsidR="00CF2C93" w:rsidRPr="00C02D9B">
        <w:rPr>
          <w:rFonts w:cstheme="minorHAnsi"/>
          <w:szCs w:val="22"/>
        </w:rPr>
        <w:t>;</w:t>
      </w:r>
    </w:p>
    <w:p w14:paraId="74DE7509" w14:textId="41899881" w:rsidR="00617DE5" w:rsidRPr="00C02D9B" w:rsidRDefault="00617DE5" w:rsidP="00617DE5">
      <w:pPr>
        <w:pStyle w:val="enumlev1"/>
        <w:rPr>
          <w:rFonts w:cstheme="minorHAnsi"/>
          <w:szCs w:val="22"/>
        </w:rPr>
      </w:pPr>
      <w:r w:rsidRPr="00C02D9B">
        <w:rPr>
          <w:rFonts w:eastAsia="Calibri" w:cstheme="minorHAnsi"/>
          <w:szCs w:val="22"/>
        </w:rPr>
        <w:t>−</w:t>
      </w:r>
      <w:r w:rsidRPr="00C02D9B">
        <w:rPr>
          <w:rFonts w:eastAsia="Calibri" w:cstheme="minorHAnsi"/>
          <w:szCs w:val="22"/>
        </w:rPr>
        <w:tab/>
        <w:t>24 января 2024 года (</w:t>
      </w:r>
      <w:hyperlink r:id="rId48" w:history="1">
        <w:r w:rsidRPr="00C02D9B">
          <w:rPr>
            <w:rStyle w:val="Hyperlink"/>
            <w:rFonts w:cstheme="minorHAnsi"/>
            <w:szCs w:val="22"/>
          </w:rPr>
          <w:t>ISCG/24-2/02</w:t>
        </w:r>
      </w:hyperlink>
      <w:r w:rsidRPr="00C02D9B">
        <w:rPr>
          <w:rFonts w:cstheme="minorHAnsi"/>
          <w:szCs w:val="22"/>
        </w:rPr>
        <w:t>)</w:t>
      </w:r>
      <w:r w:rsidR="00CF2C93" w:rsidRPr="00C02D9B">
        <w:rPr>
          <w:rFonts w:cstheme="minorHAnsi"/>
          <w:szCs w:val="22"/>
        </w:rPr>
        <w:t>;</w:t>
      </w:r>
    </w:p>
    <w:p w14:paraId="153CC1E6" w14:textId="56AC710B" w:rsidR="00617DE5" w:rsidRPr="00C02D9B" w:rsidRDefault="00617DE5" w:rsidP="00617DE5">
      <w:pPr>
        <w:pStyle w:val="enumlev1"/>
        <w:rPr>
          <w:rFonts w:cstheme="minorHAnsi"/>
          <w:szCs w:val="22"/>
        </w:rPr>
      </w:pPr>
      <w:r w:rsidRPr="00C02D9B">
        <w:rPr>
          <w:rFonts w:eastAsia="Calibri" w:cstheme="minorHAnsi"/>
          <w:szCs w:val="22"/>
        </w:rPr>
        <w:t>−</w:t>
      </w:r>
      <w:r w:rsidRPr="00C02D9B">
        <w:rPr>
          <w:rFonts w:eastAsia="Calibri" w:cstheme="minorHAnsi"/>
          <w:szCs w:val="22"/>
        </w:rPr>
        <w:tab/>
        <w:t>21 мая 2024 года (</w:t>
      </w:r>
      <w:hyperlink r:id="rId49" w:history="1">
        <w:r w:rsidRPr="00C02D9B">
          <w:rPr>
            <w:rStyle w:val="Hyperlink"/>
            <w:rFonts w:cstheme="minorHAnsi"/>
            <w:szCs w:val="22"/>
          </w:rPr>
          <w:t>ISCG/24-3/02</w:t>
        </w:r>
      </w:hyperlink>
      <w:r w:rsidRPr="00C02D9B">
        <w:rPr>
          <w:rFonts w:cstheme="minorHAnsi"/>
          <w:szCs w:val="22"/>
        </w:rPr>
        <w:t>)</w:t>
      </w:r>
      <w:r w:rsidR="00CF2C93" w:rsidRPr="00C02D9B">
        <w:rPr>
          <w:rFonts w:cstheme="minorHAnsi"/>
          <w:szCs w:val="22"/>
        </w:rPr>
        <w:t>;</w:t>
      </w:r>
    </w:p>
    <w:p w14:paraId="56E7501F" w14:textId="639AAC92" w:rsidR="00617DE5" w:rsidRPr="00C02D9B" w:rsidRDefault="00617DE5" w:rsidP="00617DE5">
      <w:pPr>
        <w:pStyle w:val="enumlev1"/>
        <w:rPr>
          <w:rFonts w:cstheme="minorHAnsi"/>
          <w:szCs w:val="22"/>
        </w:rPr>
      </w:pPr>
      <w:r w:rsidRPr="00C02D9B">
        <w:rPr>
          <w:rFonts w:eastAsia="Calibri" w:cstheme="minorHAnsi"/>
          <w:szCs w:val="22"/>
        </w:rPr>
        <w:t>−</w:t>
      </w:r>
      <w:r w:rsidRPr="00C02D9B">
        <w:rPr>
          <w:rFonts w:eastAsia="Calibri" w:cstheme="minorHAnsi"/>
          <w:szCs w:val="22"/>
        </w:rPr>
        <w:tab/>
        <w:t>13 ноября 2024 года (</w:t>
      </w:r>
      <w:hyperlink r:id="rId50" w:history="1">
        <w:r w:rsidRPr="00C02D9B">
          <w:rPr>
            <w:rStyle w:val="Hyperlink"/>
            <w:rFonts w:cstheme="minorHAnsi"/>
            <w:szCs w:val="22"/>
          </w:rPr>
          <w:t>ISCG/25-1/02</w:t>
        </w:r>
      </w:hyperlink>
      <w:r w:rsidRPr="00C02D9B">
        <w:rPr>
          <w:rFonts w:cstheme="minorHAnsi"/>
          <w:szCs w:val="22"/>
        </w:rPr>
        <w:t>)</w:t>
      </w:r>
      <w:r w:rsidR="00CF2C93" w:rsidRPr="00C02D9B">
        <w:rPr>
          <w:rFonts w:cstheme="minorHAnsi"/>
          <w:szCs w:val="22"/>
        </w:rPr>
        <w:t>;</w:t>
      </w:r>
    </w:p>
    <w:p w14:paraId="02F99E9D" w14:textId="4145291D" w:rsidR="00617DE5" w:rsidRPr="00C02D9B" w:rsidRDefault="00617DE5" w:rsidP="00617DE5">
      <w:pPr>
        <w:pStyle w:val="enumlev1"/>
        <w:rPr>
          <w:rFonts w:cstheme="minorHAnsi"/>
          <w:szCs w:val="22"/>
        </w:rPr>
      </w:pPr>
      <w:r w:rsidRPr="00C02D9B">
        <w:rPr>
          <w:rFonts w:eastAsia="Calibri" w:cstheme="minorHAnsi"/>
          <w:szCs w:val="22"/>
        </w:rPr>
        <w:t>−</w:t>
      </w:r>
      <w:r w:rsidRPr="00C02D9B">
        <w:rPr>
          <w:rFonts w:eastAsia="Calibri" w:cstheme="minorHAnsi"/>
          <w:szCs w:val="22"/>
        </w:rPr>
        <w:tab/>
        <w:t xml:space="preserve">12 февраля 2025 года (документы МСКГ за февраль см. </w:t>
      </w:r>
      <w:hyperlink r:id="rId51" w:history="1">
        <w:r w:rsidRPr="00C02D9B">
          <w:rPr>
            <w:rStyle w:val="Hyperlink"/>
            <w:rFonts w:eastAsia="Calibri" w:cstheme="minorHAnsi"/>
            <w:szCs w:val="22"/>
          </w:rPr>
          <w:t>здесь</w:t>
        </w:r>
      </w:hyperlink>
      <w:r w:rsidRPr="00C02D9B">
        <w:rPr>
          <w:rFonts w:eastAsia="Calibri" w:cstheme="minorHAnsi"/>
          <w:szCs w:val="22"/>
        </w:rPr>
        <w:t>)</w:t>
      </w:r>
      <w:r w:rsidR="00CF2C93" w:rsidRPr="00C02D9B">
        <w:rPr>
          <w:rFonts w:eastAsia="Calibri" w:cstheme="minorHAnsi"/>
          <w:szCs w:val="22"/>
        </w:rPr>
        <w:t>.</w:t>
      </w:r>
    </w:p>
    <w:p w14:paraId="3D46AF59" w14:textId="77777777" w:rsidR="00617DE5" w:rsidRPr="00C02D9B" w:rsidRDefault="00617DE5" w:rsidP="00617DE5">
      <w:pPr>
        <w:pStyle w:val="Headingb"/>
        <w:rPr>
          <w:lang w:val="ru-RU"/>
        </w:rPr>
      </w:pPr>
      <w:bookmarkStart w:id="63" w:name="_Toc194477927"/>
      <w:bookmarkStart w:id="64" w:name="_Toc197528514"/>
      <w:r w:rsidRPr="00C02D9B">
        <w:rPr>
          <w:lang w:val="ru-RU"/>
        </w:rPr>
        <w:lastRenderedPageBreak/>
        <w:t>Заключение и перспективы</w:t>
      </w:r>
      <w:bookmarkEnd w:id="63"/>
      <w:bookmarkEnd w:id="64"/>
    </w:p>
    <w:p w14:paraId="5BC1B9A8" w14:textId="367F942D" w:rsidR="00617DE5" w:rsidRPr="00C02D9B" w:rsidRDefault="00617DE5" w:rsidP="00617DE5">
      <w:pPr>
        <w:rPr>
          <w:rFonts w:eastAsiaTheme="minorEastAsia"/>
          <w:highlight w:val="yellow"/>
        </w:rPr>
      </w:pPr>
      <w:r w:rsidRPr="00C02D9B">
        <w:t>На протяжении всего цикла 2023−2025 годов КГРЭ эффективно выполняла свои обязанности, изложенные в Резолюции 24, повышая эффективность работы, финансовой подотчетности, обеспечивая стратегическую согласованность и инклюзивность. Итоги КГРЭ-25 (которое состоится 12</w:t>
      </w:r>
      <w:r w:rsidR="00B45D3C" w:rsidRPr="00C02D9B">
        <w:t>−</w:t>
      </w:r>
      <w:r w:rsidRPr="00C02D9B">
        <w:t>16 мая 2025</w:t>
      </w:r>
      <w:r w:rsidR="00CF2C93" w:rsidRPr="00C02D9B">
        <w:t> г.</w:t>
      </w:r>
      <w:r w:rsidRPr="00C02D9B">
        <w:t>) позволят доработать настоящий отчет и предоставят дополнительную информацию, с тем чтобы деятельность КГРЭ продолжала соответствовать стратегическим целям МСЭ и приоритетам Государств-Членов.</w:t>
      </w:r>
    </w:p>
    <w:p w14:paraId="29CD06C5" w14:textId="77777777" w:rsidR="00CE66E4" w:rsidRPr="00C02D9B" w:rsidRDefault="00CE66E4" w:rsidP="00617DE5">
      <w:pPr>
        <w:spacing w:before="720"/>
        <w:jc w:val="center"/>
      </w:pPr>
      <w:r w:rsidRPr="00C02D9B">
        <w:t>______________</w:t>
      </w:r>
    </w:p>
    <w:sectPr w:rsidR="00CE66E4" w:rsidRPr="00C02D9B" w:rsidSect="00CE66E4">
      <w:headerReference w:type="default" r:id="rId52"/>
      <w:footerReference w:type="first" r:id="rId53"/>
      <w:pgSz w:w="11907" w:h="16840" w:code="9"/>
      <w:pgMar w:top="1418" w:right="1134" w:bottom="1418" w:left="1134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E8305" w14:textId="77777777" w:rsidR="00617DE5" w:rsidRDefault="00617DE5">
      <w:r>
        <w:separator/>
      </w:r>
    </w:p>
    <w:p w14:paraId="14452605" w14:textId="77777777" w:rsidR="00617DE5" w:rsidRDefault="00617DE5"/>
  </w:endnote>
  <w:endnote w:type="continuationSeparator" w:id="0">
    <w:p w14:paraId="3F5D0C4E" w14:textId="77777777" w:rsidR="00617DE5" w:rsidRDefault="00617DE5">
      <w:r>
        <w:continuationSeparator/>
      </w:r>
    </w:p>
    <w:p w14:paraId="6FADF216" w14:textId="77777777" w:rsidR="00617DE5" w:rsidRDefault="00617DE5"/>
  </w:endnote>
  <w:endnote w:type="continuationNotice" w:id="1">
    <w:p w14:paraId="029C43E6" w14:textId="77777777" w:rsidR="00617DE5" w:rsidRDefault="00617DE5">
      <w:pPr>
        <w:spacing w:before="0"/>
      </w:pPr>
    </w:p>
    <w:p w14:paraId="3FE592AA" w14:textId="77777777" w:rsidR="00617DE5" w:rsidRDefault="00617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Caption w:val="Фамилия и данные контактного лица по документу"/>
    </w:tblPr>
    <w:tblGrid>
      <w:gridCol w:w="1526"/>
      <w:gridCol w:w="3260"/>
      <w:gridCol w:w="4853"/>
    </w:tblGrid>
    <w:tr w:rsidR="00F723AC" w:rsidRPr="00365AB0" w14:paraId="73E1D010" w14:textId="77777777" w:rsidTr="005539C3">
      <w:tc>
        <w:tcPr>
          <w:tcW w:w="1526" w:type="dxa"/>
          <w:tcBorders>
            <w:top w:val="single" w:sz="4" w:space="0" w:color="000000" w:themeColor="text1"/>
          </w:tcBorders>
        </w:tcPr>
        <w:p w14:paraId="0AA514F5" w14:textId="77777777" w:rsidR="00F723AC" w:rsidRPr="00365AB0" w:rsidRDefault="00F723AC" w:rsidP="00F723AC">
          <w:pPr>
            <w:pStyle w:val="FirstFooter"/>
            <w:rPr>
              <w:sz w:val="18"/>
              <w:szCs w:val="18"/>
            </w:rPr>
          </w:pPr>
          <w:r w:rsidRPr="00365AB0">
            <w:rPr>
              <w:sz w:val="18"/>
              <w:szCs w:val="18"/>
            </w:rPr>
            <w:t>Для контактов:</w:t>
          </w:r>
        </w:p>
      </w:tc>
      <w:tc>
        <w:tcPr>
          <w:tcW w:w="3260" w:type="dxa"/>
          <w:tcBorders>
            <w:top w:val="single" w:sz="4" w:space="0" w:color="000000" w:themeColor="text1"/>
          </w:tcBorders>
        </w:tcPr>
        <w:p w14:paraId="7A21A94E" w14:textId="77777777" w:rsidR="00F723AC" w:rsidRPr="00365AB0" w:rsidRDefault="00F723AC" w:rsidP="00F723AC">
          <w:pPr>
            <w:pStyle w:val="FirstFooter"/>
            <w:ind w:left="3010" w:hanging="3010"/>
            <w:rPr>
              <w:sz w:val="18"/>
              <w:szCs w:val="18"/>
              <w:lang w:val="en-US"/>
            </w:rPr>
          </w:pPr>
          <w:r w:rsidRPr="00365AB0">
            <w:rPr>
              <w:sz w:val="18"/>
              <w:szCs w:val="18"/>
            </w:rPr>
            <w:t>Фамилия/организация/объединение:</w:t>
          </w:r>
        </w:p>
      </w:tc>
      <w:tc>
        <w:tcPr>
          <w:tcW w:w="4853" w:type="dxa"/>
          <w:tcBorders>
            <w:top w:val="single" w:sz="4" w:space="0" w:color="000000" w:themeColor="text1"/>
          </w:tcBorders>
        </w:tcPr>
        <w:p w14:paraId="78691F47" w14:textId="25BC92AC" w:rsidR="00F723AC" w:rsidRPr="00617DE5" w:rsidRDefault="00617DE5" w:rsidP="00F723AC">
          <w:pPr>
            <w:pStyle w:val="FirstFooter"/>
            <w:rPr>
              <w:sz w:val="18"/>
              <w:szCs w:val="18"/>
            </w:rPr>
          </w:pPr>
          <w:r w:rsidRPr="00AF4A0D">
            <w:rPr>
              <w:sz w:val="18"/>
              <w:szCs w:val="18"/>
            </w:rPr>
            <w:t>г-жа Роксана Макэлвейн Веббер (</w:t>
          </w:r>
          <w:r w:rsidRPr="00AF4A0D">
            <w:rPr>
              <w:sz w:val="18"/>
              <w:szCs w:val="18"/>
              <w:lang w:val="en-US"/>
            </w:rPr>
            <w:t>Ms</w:t>
          </w:r>
          <w:r w:rsidRPr="00AF4A0D">
            <w:rPr>
              <w:sz w:val="18"/>
              <w:szCs w:val="18"/>
            </w:rPr>
            <w:t xml:space="preserve"> </w:t>
          </w:r>
          <w:r w:rsidRPr="00AF4A0D">
            <w:rPr>
              <w:sz w:val="18"/>
              <w:szCs w:val="18"/>
              <w:lang w:val="en-US"/>
            </w:rPr>
            <w:t>Roxanne</w:t>
          </w:r>
          <w:r w:rsidRPr="00AF4A0D">
            <w:rPr>
              <w:sz w:val="18"/>
              <w:szCs w:val="18"/>
            </w:rPr>
            <w:t xml:space="preserve"> </w:t>
          </w:r>
          <w:r w:rsidRPr="00AF4A0D">
            <w:rPr>
              <w:sz w:val="18"/>
              <w:szCs w:val="18"/>
              <w:lang w:val="en-US"/>
            </w:rPr>
            <w:t>McElvane</w:t>
          </w:r>
          <w:r w:rsidRPr="00AF4A0D">
            <w:rPr>
              <w:sz w:val="18"/>
              <w:szCs w:val="18"/>
            </w:rPr>
            <w:t xml:space="preserve"> </w:t>
          </w:r>
          <w:r w:rsidRPr="00AF4A0D">
            <w:rPr>
              <w:sz w:val="18"/>
              <w:szCs w:val="18"/>
              <w:lang w:val="en-US"/>
            </w:rPr>
            <w:t>Webber</w:t>
          </w:r>
          <w:r w:rsidRPr="00AF4A0D">
            <w:rPr>
              <w:sz w:val="18"/>
              <w:szCs w:val="18"/>
            </w:rPr>
            <w:t>), Председатель Консультативной группы по развитию электросвязи</w:t>
          </w:r>
        </w:p>
      </w:tc>
      <w:bookmarkStart w:id="65" w:name="OrgName"/>
      <w:bookmarkEnd w:id="65"/>
    </w:tr>
    <w:tr w:rsidR="00F723AC" w:rsidRPr="00365AB0" w14:paraId="6C63C90F" w14:textId="77777777" w:rsidTr="005539C3">
      <w:trPr>
        <w:trHeight w:val="165"/>
      </w:trPr>
      <w:tc>
        <w:tcPr>
          <w:tcW w:w="1526" w:type="dxa"/>
        </w:tcPr>
        <w:p w14:paraId="38F7FDF5" w14:textId="77777777" w:rsidR="00F723AC" w:rsidRPr="00617DE5" w:rsidRDefault="00F723AC" w:rsidP="00F723AC">
          <w:pPr>
            <w:pStyle w:val="FirstFoo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1CD67B7E" w14:textId="77777777" w:rsidR="00F723AC" w:rsidRPr="00365AB0" w:rsidRDefault="00F723AC" w:rsidP="00F723AC">
          <w:pPr>
            <w:pStyle w:val="FirstFooter"/>
            <w:ind w:left="3010" w:hanging="3010"/>
            <w:rPr>
              <w:sz w:val="18"/>
              <w:szCs w:val="18"/>
              <w:lang w:val="en-US"/>
            </w:rPr>
          </w:pPr>
          <w:r w:rsidRPr="00365AB0">
            <w:rPr>
              <w:sz w:val="18"/>
              <w:szCs w:val="18"/>
            </w:rPr>
            <w:t>Тел.:</w:t>
          </w:r>
        </w:p>
      </w:tc>
      <w:tc>
        <w:tcPr>
          <w:tcW w:w="4853" w:type="dxa"/>
        </w:tcPr>
        <w:p w14:paraId="6B4C624B" w14:textId="3C33131E" w:rsidR="00F723AC" w:rsidRPr="00365AB0" w:rsidRDefault="00617DE5" w:rsidP="00F723AC">
          <w:pPr>
            <w:pStyle w:val="FirstFooter"/>
            <w:rPr>
              <w:sz w:val="18"/>
              <w:szCs w:val="18"/>
            </w:rPr>
          </w:pPr>
          <w:r w:rsidRPr="00AF4A0D">
            <w:rPr>
              <w:sz w:val="18"/>
              <w:szCs w:val="18"/>
              <w:lang w:val="en-US"/>
            </w:rPr>
            <w:t>+1 202 418 1489</w:t>
          </w:r>
        </w:p>
      </w:tc>
      <w:bookmarkStart w:id="66" w:name="PhoneNo"/>
      <w:bookmarkEnd w:id="66"/>
    </w:tr>
    <w:tr w:rsidR="00F723AC" w:rsidRPr="00365AB0" w14:paraId="3257ABFB" w14:textId="77777777" w:rsidTr="005539C3">
      <w:tc>
        <w:tcPr>
          <w:tcW w:w="1526" w:type="dxa"/>
        </w:tcPr>
        <w:p w14:paraId="4B25415B" w14:textId="77777777" w:rsidR="00F723AC" w:rsidRPr="00365AB0" w:rsidRDefault="00F723AC" w:rsidP="00F723AC">
          <w:pPr>
            <w:pStyle w:val="FirstFoo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6F49121A" w14:textId="77777777" w:rsidR="00F723AC" w:rsidRPr="00365AB0" w:rsidRDefault="00F723AC" w:rsidP="00F723AC">
          <w:pPr>
            <w:pStyle w:val="FirstFooter"/>
            <w:ind w:left="3010" w:hanging="3010"/>
            <w:rPr>
              <w:sz w:val="18"/>
              <w:szCs w:val="18"/>
            </w:rPr>
          </w:pPr>
          <w:r w:rsidRPr="00365AB0">
            <w:rPr>
              <w:sz w:val="18"/>
              <w:szCs w:val="18"/>
            </w:rPr>
            <w:t>Эл.</w:t>
          </w:r>
          <w:r w:rsidRPr="00365AB0">
            <w:rPr>
              <w:sz w:val="18"/>
              <w:szCs w:val="18"/>
              <w:lang w:val="en-US"/>
            </w:rPr>
            <w:t> </w:t>
          </w:r>
          <w:r w:rsidRPr="00365AB0">
            <w:rPr>
              <w:sz w:val="18"/>
              <w:szCs w:val="18"/>
            </w:rPr>
            <w:t>почта:</w:t>
          </w:r>
        </w:p>
      </w:tc>
      <w:tc>
        <w:tcPr>
          <w:tcW w:w="4853" w:type="dxa"/>
        </w:tcPr>
        <w:p w14:paraId="61486BAD" w14:textId="6A2A183A" w:rsidR="00F723AC" w:rsidRPr="00365AB0" w:rsidRDefault="00617DE5" w:rsidP="00F723AC">
          <w:pPr>
            <w:pStyle w:val="FirstFooter"/>
            <w:rPr>
              <w:sz w:val="18"/>
              <w:szCs w:val="18"/>
            </w:rPr>
          </w:pPr>
          <w:hyperlink r:id="rId1" w:history="1">
            <w:r w:rsidRPr="00AF4A0D">
              <w:rPr>
                <w:rStyle w:val="Hyperlink"/>
                <w:sz w:val="18"/>
                <w:lang w:val="en-US"/>
              </w:rPr>
              <w:t>Roxanne.Webber@fcc.gov</w:t>
            </w:r>
          </w:hyperlink>
        </w:p>
      </w:tc>
      <w:bookmarkStart w:id="67" w:name="Email"/>
      <w:bookmarkEnd w:id="67"/>
    </w:tr>
  </w:tbl>
  <w:p w14:paraId="686D97BE" w14:textId="77777777" w:rsidR="00F723AC" w:rsidRPr="00F723AC" w:rsidRDefault="00F723AC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CD346" w14:textId="77777777" w:rsidR="00617DE5" w:rsidRPr="00CF2C93" w:rsidRDefault="00617DE5" w:rsidP="0054377E">
      <w:pPr>
        <w:spacing w:before="0"/>
        <w:rPr>
          <w:bCs/>
        </w:rPr>
      </w:pPr>
      <w:r w:rsidRPr="00CF2C93">
        <w:rPr>
          <w:bCs/>
        </w:rPr>
        <w:t>_______________</w:t>
      </w:r>
    </w:p>
  </w:footnote>
  <w:footnote w:type="continuationSeparator" w:id="0">
    <w:p w14:paraId="797B01E0" w14:textId="77777777" w:rsidR="00617DE5" w:rsidRDefault="00617DE5" w:rsidP="0054377E">
      <w:pPr>
        <w:spacing w:before="0"/>
      </w:pPr>
      <w:r>
        <w:continuationSeparator/>
      </w:r>
    </w:p>
    <w:p w14:paraId="7F03EA3A" w14:textId="77777777" w:rsidR="00617DE5" w:rsidRDefault="00617DE5"/>
  </w:footnote>
  <w:footnote w:type="continuationNotice" w:id="1">
    <w:p w14:paraId="5F89055D" w14:textId="77777777" w:rsidR="00617DE5" w:rsidRDefault="00617DE5">
      <w:pPr>
        <w:spacing w:before="0"/>
      </w:pPr>
    </w:p>
    <w:p w14:paraId="269FA27E" w14:textId="77777777" w:rsidR="00617DE5" w:rsidRDefault="00617DE5"/>
  </w:footnote>
  <w:footnote w:id="2">
    <w:p w14:paraId="2C0DB114" w14:textId="44F449E1" w:rsidR="00617DE5" w:rsidRPr="00CF2C93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hyperlink r:id="rId1" w:history="1">
        <w:r w:rsidRPr="00DA16A6">
          <w:rPr>
            <w:rStyle w:val="Hyperlink"/>
          </w:rPr>
          <w:t>https://www.itu.int/en/ITU-D/Conferences/TDAG/Pages/2024/TDAG_WG_futureSGQ.aspx</w:t>
        </w:r>
      </w:hyperlink>
      <w:r>
        <w:t>.</w:t>
      </w:r>
    </w:p>
  </w:footnote>
  <w:footnote w:id="3">
    <w:p w14:paraId="244F1D6A" w14:textId="6B1AA715" w:rsidR="00617DE5" w:rsidRPr="00CF2C93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r w:rsidRPr="003B448C">
        <w:t xml:space="preserve">См. </w:t>
      </w:r>
      <w:r w:rsidR="00CF2C93">
        <w:t>Д</w:t>
      </w:r>
      <w:r w:rsidRPr="003B448C">
        <w:t>окумент</w:t>
      </w:r>
      <w:r w:rsidRPr="005653EB">
        <w:t xml:space="preserve"> </w:t>
      </w:r>
      <w:hyperlink r:id="rId2" w:history="1">
        <w:r w:rsidRPr="003B448C">
          <w:rPr>
            <w:rStyle w:val="Hyperlink"/>
          </w:rPr>
          <w:t>TDAG-WG-futureSGQ/</w:t>
        </w:r>
        <w:r w:rsidRPr="003B448C">
          <w:rPr>
            <w:rStyle w:val="Hyperlink"/>
            <w:rFonts w:eastAsia="Malgun Gothic"/>
            <w:lang w:eastAsia="ko-KR"/>
          </w:rPr>
          <w:t>29</w:t>
        </w:r>
      </w:hyperlink>
      <w:r>
        <w:t>.</w:t>
      </w:r>
    </w:p>
  </w:footnote>
  <w:footnote w:id="4">
    <w:p w14:paraId="0A283A7C" w14:textId="6AC31B12" w:rsidR="00617DE5" w:rsidRPr="00CF2C93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hyperlink r:id="rId3" w:history="1">
        <w:r w:rsidRPr="00DA16A6">
          <w:rPr>
            <w:rStyle w:val="Hyperlink"/>
          </w:rPr>
          <w:t>https://www.itu.int/en/ITU-D/Regional-Presence/Americas/Pages/EVENTS/2024/cons-awa-2024.aspx</w:t>
        </w:r>
      </w:hyperlink>
      <w:r>
        <w:t>.</w:t>
      </w:r>
    </w:p>
  </w:footnote>
  <w:footnote w:id="5">
    <w:p w14:paraId="44586BC2" w14:textId="03DA79F8" w:rsidR="00617DE5" w:rsidRPr="00CF2C93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r w:rsidRPr="003B448C">
        <w:t xml:space="preserve">См. </w:t>
      </w:r>
      <w:hyperlink r:id="rId4" w:history="1">
        <w:r w:rsidRPr="005653EB">
          <w:rPr>
            <w:rStyle w:val="Hyperlink"/>
          </w:rPr>
          <w:t>https://www.itu.int/en/ITU-D/Study-Groups/2022-2025/Pages/meetings/workshop-innovation-may23.aspx</w:t>
        </w:r>
      </w:hyperlink>
      <w:r w:rsidRPr="005653EB">
        <w:t xml:space="preserve"> </w:t>
      </w:r>
      <w:r w:rsidRPr="003B448C">
        <w:t>и</w:t>
      </w:r>
      <w:r w:rsidRPr="005653EB">
        <w:t xml:space="preserve"> </w:t>
      </w:r>
      <w:hyperlink r:id="rId5" w:history="1">
        <w:r w:rsidRPr="005653EB">
          <w:rPr>
            <w:rStyle w:val="Hyperlink"/>
          </w:rPr>
          <w:t>https://www.itu.int/en/ITU-D/Study-Groups/2022-2025/Pages/meetings/workshop-products_usage-may23.aspx</w:t>
        </w:r>
      </w:hyperlink>
      <w:r>
        <w:t>.</w:t>
      </w:r>
    </w:p>
  </w:footnote>
  <w:footnote w:id="6">
    <w:p w14:paraId="0F2ABA9C" w14:textId="6F85D5A4" w:rsidR="00617DE5" w:rsidRPr="003B448C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r w:rsidRPr="003B448C">
        <w:t>Вопросы 1/1 (широкополосная связь), 3/1 (электросвязь в чрезвычайных ситуациях), 4/1 (экономические аспекты), 5/1 (установление соединений в отдаленных районах), 1/2 (умные города и сообщества), 2/2 (электронные услуги и приложения) и 7/2 (ЭМП) МСЭ-D.</w:t>
      </w:r>
    </w:p>
  </w:footnote>
  <w:footnote w:id="7">
    <w:p w14:paraId="7545B0EF" w14:textId="7C61D768" w:rsidR="00617DE5" w:rsidRPr="005653EB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r w:rsidRPr="003B448C">
        <w:t xml:space="preserve">См. </w:t>
      </w:r>
      <w:r w:rsidR="00CF2C93">
        <w:t>Д</w:t>
      </w:r>
      <w:r w:rsidRPr="003B448C">
        <w:t xml:space="preserve">окумент </w:t>
      </w:r>
      <w:hyperlink r:id="rId6" w:history="1">
        <w:r w:rsidRPr="003B448C">
          <w:rPr>
            <w:rStyle w:val="Hyperlink"/>
            <w:rFonts w:cstheme="minorHAnsi"/>
          </w:rPr>
          <w:t>1/329</w:t>
        </w:r>
      </w:hyperlink>
      <w:r>
        <w:t>.</w:t>
      </w:r>
    </w:p>
  </w:footnote>
  <w:footnote w:id="8">
    <w:p w14:paraId="0DA1BEDB" w14:textId="5091A119" w:rsidR="00617DE5" w:rsidRPr="003B448C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hyperlink r:id="rId7" w:history="1">
        <w:r w:rsidRPr="00DA16A6">
          <w:rPr>
            <w:rStyle w:val="Hyperlink"/>
          </w:rPr>
          <w:t>https://www.itu.int/itu-d/sites/projectumc/home/the-umc-project/</w:t>
        </w:r>
      </w:hyperlink>
      <w:r>
        <w:t>.</w:t>
      </w:r>
    </w:p>
  </w:footnote>
  <w:footnote w:id="9">
    <w:p w14:paraId="11239F1E" w14:textId="7DDE20B5" w:rsidR="00617DE5" w:rsidRPr="003B448C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hyperlink r:id="rId8" w:history="1">
        <w:r w:rsidRPr="00DA16A6">
          <w:rPr>
            <w:rStyle w:val="Hyperlink"/>
          </w:rPr>
          <w:t>https://www.itu.int/en/ITU-D/Projects/ITU-EC-ACP/PRIDA/Pages/default.aspx</w:t>
        </w:r>
      </w:hyperlink>
      <w:r>
        <w:t>.</w:t>
      </w:r>
    </w:p>
  </w:footnote>
  <w:footnote w:id="10">
    <w:p w14:paraId="1E9C0749" w14:textId="4D99BDC8" w:rsidR="00617DE5" w:rsidRPr="003B448C" w:rsidRDefault="00617DE5" w:rsidP="00CF2C93">
      <w:pPr>
        <w:pStyle w:val="FootnoteText"/>
      </w:pPr>
      <w:r w:rsidRPr="00617DE5">
        <w:rPr>
          <w:rStyle w:val="FootnoteReference"/>
        </w:rPr>
        <w:footnoteRef/>
      </w:r>
      <w:r>
        <w:tab/>
      </w:r>
      <w:hyperlink r:id="rId9" w:history="1">
        <w:r w:rsidRPr="00DA16A6">
          <w:rPr>
            <w:rStyle w:val="Hyperlink"/>
          </w:rPr>
          <w:t>https://www.itu.int/generationconnect/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06F95" w14:textId="7CCED9DD" w:rsidR="00636181" w:rsidRPr="00445D0A" w:rsidRDefault="00636181" w:rsidP="00CE66E4">
    <w:pPr>
      <w:tabs>
        <w:tab w:val="clear" w:pos="1134"/>
        <w:tab w:val="clear" w:pos="1871"/>
        <w:tab w:val="clear" w:pos="2268"/>
        <w:tab w:val="center" w:pos="4820"/>
        <w:tab w:val="right" w:pos="14003"/>
      </w:tabs>
      <w:spacing w:before="0"/>
      <w:rPr>
        <w:smallCaps/>
        <w:spacing w:val="24"/>
        <w:szCs w:val="22"/>
        <w:lang w:val="es-ES_tradnl"/>
      </w:rPr>
    </w:pPr>
    <w:r w:rsidRPr="00445D0A">
      <w:rPr>
        <w:szCs w:val="22"/>
      </w:rPr>
      <w:tab/>
    </w:r>
    <w:r w:rsidRPr="00445D0A">
      <w:rPr>
        <w:szCs w:val="22"/>
        <w:lang w:val="es-ES_tradnl"/>
      </w:rPr>
      <w:t>TDAG-2</w:t>
    </w:r>
    <w:r w:rsidR="003273BC" w:rsidRPr="00445D0A">
      <w:rPr>
        <w:szCs w:val="22"/>
        <w:lang w:val="es-ES_tradnl"/>
      </w:rPr>
      <w:t>5</w:t>
    </w:r>
    <w:r w:rsidRPr="00445D0A">
      <w:rPr>
        <w:szCs w:val="22"/>
        <w:lang w:val="es-ES_tradnl"/>
      </w:rPr>
      <w:t>/</w:t>
    </w:r>
    <w:r w:rsidR="00617DE5" w:rsidRPr="00445D0A">
      <w:rPr>
        <w:szCs w:val="22"/>
      </w:rPr>
      <w:t>15</w:t>
    </w:r>
    <w:r w:rsidRPr="00445D0A">
      <w:rPr>
        <w:szCs w:val="22"/>
        <w:lang w:val="es-ES_tradnl"/>
      </w:rPr>
      <w:t>-</w:t>
    </w:r>
    <w:r w:rsidR="007606A7" w:rsidRPr="00445D0A">
      <w:rPr>
        <w:szCs w:val="22"/>
        <w:lang w:val="es-ES_tradnl"/>
      </w:rPr>
      <w:t>R</w:t>
    </w:r>
    <w:r w:rsidRPr="00445D0A">
      <w:rPr>
        <w:szCs w:val="22"/>
        <w:lang w:val="es-ES_tradnl"/>
      </w:rPr>
      <w:tab/>
    </w:r>
    <w:r w:rsidR="007606A7" w:rsidRPr="00445D0A">
      <w:rPr>
        <w:szCs w:val="22"/>
      </w:rPr>
      <w:t>Страница</w:t>
    </w:r>
    <w:r w:rsidRPr="00445D0A">
      <w:rPr>
        <w:szCs w:val="22"/>
        <w:lang w:val="es-ES_tradnl"/>
      </w:rPr>
      <w:t xml:space="preserve"> </w:t>
    </w:r>
    <w:r w:rsidRPr="00445D0A">
      <w:rPr>
        <w:szCs w:val="22"/>
      </w:rPr>
      <w:fldChar w:fldCharType="begin"/>
    </w:r>
    <w:r w:rsidRPr="00445D0A">
      <w:rPr>
        <w:szCs w:val="22"/>
        <w:lang w:val="es-ES_tradnl"/>
      </w:rPr>
      <w:instrText xml:space="preserve"> PAGE </w:instrText>
    </w:r>
    <w:r w:rsidRPr="00445D0A">
      <w:rPr>
        <w:szCs w:val="22"/>
      </w:rPr>
      <w:fldChar w:fldCharType="separate"/>
    </w:r>
    <w:r w:rsidR="00893B2C" w:rsidRPr="00445D0A">
      <w:rPr>
        <w:noProof/>
        <w:szCs w:val="22"/>
        <w:lang w:val="es-ES_tradnl"/>
      </w:rPr>
      <w:t>19</w:t>
    </w:r>
    <w:r w:rsidRPr="00445D0A">
      <w:rPr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intFractionalCharacterWidth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sDSyMDczsDAwtzQxNTFU0lEKTi0uzszPAykwqgUADu+8fCwAAAA="/>
  </w:docVars>
  <w:rsids>
    <w:rsidRoot w:val="00A066F1"/>
    <w:rsid w:val="00002BBA"/>
    <w:rsid w:val="000041EA"/>
    <w:rsid w:val="00004EB7"/>
    <w:rsid w:val="00005A53"/>
    <w:rsid w:val="00005FBD"/>
    <w:rsid w:val="00011ECB"/>
    <w:rsid w:val="000139F4"/>
    <w:rsid w:val="000150B0"/>
    <w:rsid w:val="00015E52"/>
    <w:rsid w:val="00021004"/>
    <w:rsid w:val="00022A29"/>
    <w:rsid w:val="00025926"/>
    <w:rsid w:val="00025965"/>
    <w:rsid w:val="000355FD"/>
    <w:rsid w:val="0003589F"/>
    <w:rsid w:val="0005184F"/>
    <w:rsid w:val="00051E39"/>
    <w:rsid w:val="00053725"/>
    <w:rsid w:val="00054B72"/>
    <w:rsid w:val="0005581A"/>
    <w:rsid w:val="0005619C"/>
    <w:rsid w:val="0005747E"/>
    <w:rsid w:val="000604E5"/>
    <w:rsid w:val="000617DF"/>
    <w:rsid w:val="0006550B"/>
    <w:rsid w:val="0007000B"/>
    <w:rsid w:val="000735FD"/>
    <w:rsid w:val="00074109"/>
    <w:rsid w:val="00074C4D"/>
    <w:rsid w:val="00075C63"/>
    <w:rsid w:val="00076288"/>
    <w:rsid w:val="00077239"/>
    <w:rsid w:val="000778CA"/>
    <w:rsid w:val="000805BB"/>
    <w:rsid w:val="00080905"/>
    <w:rsid w:val="00081C9D"/>
    <w:rsid w:val="000822BE"/>
    <w:rsid w:val="000829BB"/>
    <w:rsid w:val="00082B11"/>
    <w:rsid w:val="000840A7"/>
    <w:rsid w:val="00085C6A"/>
    <w:rsid w:val="00086491"/>
    <w:rsid w:val="000904F9"/>
    <w:rsid w:val="000909ED"/>
    <w:rsid w:val="00091346"/>
    <w:rsid w:val="00091C80"/>
    <w:rsid w:val="0009581F"/>
    <w:rsid w:val="00095901"/>
    <w:rsid w:val="00097074"/>
    <w:rsid w:val="000A3B54"/>
    <w:rsid w:val="000A3D1B"/>
    <w:rsid w:val="000A59AE"/>
    <w:rsid w:val="000B738A"/>
    <w:rsid w:val="000C03F4"/>
    <w:rsid w:val="000C17EA"/>
    <w:rsid w:val="000C2108"/>
    <w:rsid w:val="000C2592"/>
    <w:rsid w:val="000C42BA"/>
    <w:rsid w:val="000C4FD1"/>
    <w:rsid w:val="000D1759"/>
    <w:rsid w:val="000D38EB"/>
    <w:rsid w:val="000D4875"/>
    <w:rsid w:val="000D6891"/>
    <w:rsid w:val="000D6E8D"/>
    <w:rsid w:val="000D6EAB"/>
    <w:rsid w:val="000E1F4F"/>
    <w:rsid w:val="000E71F8"/>
    <w:rsid w:val="000F29EC"/>
    <w:rsid w:val="000F38EA"/>
    <w:rsid w:val="000F542E"/>
    <w:rsid w:val="000F641B"/>
    <w:rsid w:val="000F73FF"/>
    <w:rsid w:val="000F7F1C"/>
    <w:rsid w:val="00102175"/>
    <w:rsid w:val="00102343"/>
    <w:rsid w:val="001029B3"/>
    <w:rsid w:val="00105DCD"/>
    <w:rsid w:val="001066B3"/>
    <w:rsid w:val="001114AC"/>
    <w:rsid w:val="00112368"/>
    <w:rsid w:val="00114584"/>
    <w:rsid w:val="00114CF7"/>
    <w:rsid w:val="00115411"/>
    <w:rsid w:val="00115B33"/>
    <w:rsid w:val="00116B95"/>
    <w:rsid w:val="00117233"/>
    <w:rsid w:val="00123B68"/>
    <w:rsid w:val="00124AF4"/>
    <w:rsid w:val="00124CAA"/>
    <w:rsid w:val="00125E69"/>
    <w:rsid w:val="00126F2E"/>
    <w:rsid w:val="00127FC6"/>
    <w:rsid w:val="001424DC"/>
    <w:rsid w:val="00143A87"/>
    <w:rsid w:val="00144E69"/>
    <w:rsid w:val="00146F6F"/>
    <w:rsid w:val="0014714E"/>
    <w:rsid w:val="00147DA1"/>
    <w:rsid w:val="00152957"/>
    <w:rsid w:val="00166196"/>
    <w:rsid w:val="001664A7"/>
    <w:rsid w:val="00167327"/>
    <w:rsid w:val="00167A9D"/>
    <w:rsid w:val="00170C5A"/>
    <w:rsid w:val="00171758"/>
    <w:rsid w:val="00174C26"/>
    <w:rsid w:val="0017500F"/>
    <w:rsid w:val="00176991"/>
    <w:rsid w:val="00180444"/>
    <w:rsid w:val="001832B9"/>
    <w:rsid w:val="00185737"/>
    <w:rsid w:val="00187BD9"/>
    <w:rsid w:val="0019060A"/>
    <w:rsid w:val="00190B55"/>
    <w:rsid w:val="00191F5C"/>
    <w:rsid w:val="00192FA9"/>
    <w:rsid w:val="00194CFB"/>
    <w:rsid w:val="001A1FFD"/>
    <w:rsid w:val="001A3858"/>
    <w:rsid w:val="001A4BD2"/>
    <w:rsid w:val="001B2ED3"/>
    <w:rsid w:val="001B643A"/>
    <w:rsid w:val="001B6675"/>
    <w:rsid w:val="001B7EA3"/>
    <w:rsid w:val="001C3B5F"/>
    <w:rsid w:val="001C61EA"/>
    <w:rsid w:val="001D058F"/>
    <w:rsid w:val="001D2025"/>
    <w:rsid w:val="001D520B"/>
    <w:rsid w:val="001E0384"/>
    <w:rsid w:val="001E24AF"/>
    <w:rsid w:val="001E252D"/>
    <w:rsid w:val="001E43DC"/>
    <w:rsid w:val="002009EA"/>
    <w:rsid w:val="00202CA0"/>
    <w:rsid w:val="00207A5D"/>
    <w:rsid w:val="002154A6"/>
    <w:rsid w:val="002162CD"/>
    <w:rsid w:val="00216478"/>
    <w:rsid w:val="00220634"/>
    <w:rsid w:val="00221C1D"/>
    <w:rsid w:val="002226B9"/>
    <w:rsid w:val="00224B7C"/>
    <w:rsid w:val="00224CDD"/>
    <w:rsid w:val="002255B3"/>
    <w:rsid w:val="0023164A"/>
    <w:rsid w:val="002319F6"/>
    <w:rsid w:val="0023409C"/>
    <w:rsid w:val="002346C7"/>
    <w:rsid w:val="002351D4"/>
    <w:rsid w:val="00236E8A"/>
    <w:rsid w:val="00240758"/>
    <w:rsid w:val="00240BC8"/>
    <w:rsid w:val="002420D0"/>
    <w:rsid w:val="00242487"/>
    <w:rsid w:val="00243411"/>
    <w:rsid w:val="00246B32"/>
    <w:rsid w:val="00251A53"/>
    <w:rsid w:val="0025489C"/>
    <w:rsid w:val="0026406F"/>
    <w:rsid w:val="002653F2"/>
    <w:rsid w:val="00266589"/>
    <w:rsid w:val="00267792"/>
    <w:rsid w:val="002712A9"/>
    <w:rsid w:val="00271316"/>
    <w:rsid w:val="00272417"/>
    <w:rsid w:val="00274CC3"/>
    <w:rsid w:val="00276414"/>
    <w:rsid w:val="00283F74"/>
    <w:rsid w:val="00286C1D"/>
    <w:rsid w:val="00286C4C"/>
    <w:rsid w:val="00294BF6"/>
    <w:rsid w:val="00294D5A"/>
    <w:rsid w:val="002955DA"/>
    <w:rsid w:val="00295A71"/>
    <w:rsid w:val="00296313"/>
    <w:rsid w:val="00296DA0"/>
    <w:rsid w:val="00297006"/>
    <w:rsid w:val="002978E6"/>
    <w:rsid w:val="002A0A7A"/>
    <w:rsid w:val="002A0D8C"/>
    <w:rsid w:val="002A27F8"/>
    <w:rsid w:val="002A51DF"/>
    <w:rsid w:val="002A684E"/>
    <w:rsid w:val="002A6C06"/>
    <w:rsid w:val="002B074A"/>
    <w:rsid w:val="002B10D5"/>
    <w:rsid w:val="002B3296"/>
    <w:rsid w:val="002B3C84"/>
    <w:rsid w:val="002B5490"/>
    <w:rsid w:val="002C12ED"/>
    <w:rsid w:val="002C49BA"/>
    <w:rsid w:val="002C4B75"/>
    <w:rsid w:val="002C73F6"/>
    <w:rsid w:val="002C7D5E"/>
    <w:rsid w:val="002D58BE"/>
    <w:rsid w:val="002E4D1D"/>
    <w:rsid w:val="002E51E0"/>
    <w:rsid w:val="002E5411"/>
    <w:rsid w:val="002E7A84"/>
    <w:rsid w:val="002F1BD0"/>
    <w:rsid w:val="003013EE"/>
    <w:rsid w:val="00303F7C"/>
    <w:rsid w:val="00304031"/>
    <w:rsid w:val="00311808"/>
    <w:rsid w:val="00311851"/>
    <w:rsid w:val="00311CD5"/>
    <w:rsid w:val="0031669C"/>
    <w:rsid w:val="00316725"/>
    <w:rsid w:val="00316A69"/>
    <w:rsid w:val="003231C6"/>
    <w:rsid w:val="00323E49"/>
    <w:rsid w:val="003247A5"/>
    <w:rsid w:val="00325939"/>
    <w:rsid w:val="003273BC"/>
    <w:rsid w:val="00331F05"/>
    <w:rsid w:val="00335759"/>
    <w:rsid w:val="00337750"/>
    <w:rsid w:val="0034384D"/>
    <w:rsid w:val="00345D42"/>
    <w:rsid w:val="00346224"/>
    <w:rsid w:val="0034636C"/>
    <w:rsid w:val="0035089A"/>
    <w:rsid w:val="003511BC"/>
    <w:rsid w:val="00356083"/>
    <w:rsid w:val="00361609"/>
    <w:rsid w:val="00364098"/>
    <w:rsid w:val="00366978"/>
    <w:rsid w:val="0037003F"/>
    <w:rsid w:val="00372BCF"/>
    <w:rsid w:val="00373365"/>
    <w:rsid w:val="003748DB"/>
    <w:rsid w:val="00377BD3"/>
    <w:rsid w:val="003807EA"/>
    <w:rsid w:val="003829D8"/>
    <w:rsid w:val="0038304D"/>
    <w:rsid w:val="00384088"/>
    <w:rsid w:val="0038489B"/>
    <w:rsid w:val="00385BE9"/>
    <w:rsid w:val="0039169B"/>
    <w:rsid w:val="00392277"/>
    <w:rsid w:val="00394B90"/>
    <w:rsid w:val="003968CC"/>
    <w:rsid w:val="003A03FF"/>
    <w:rsid w:val="003A04F5"/>
    <w:rsid w:val="003A22FC"/>
    <w:rsid w:val="003A5137"/>
    <w:rsid w:val="003A6BAC"/>
    <w:rsid w:val="003A6BED"/>
    <w:rsid w:val="003A7F8C"/>
    <w:rsid w:val="003B08DA"/>
    <w:rsid w:val="003B11F9"/>
    <w:rsid w:val="003B2B56"/>
    <w:rsid w:val="003B532E"/>
    <w:rsid w:val="003B6306"/>
    <w:rsid w:val="003B6602"/>
    <w:rsid w:val="003B6F14"/>
    <w:rsid w:val="003B6F60"/>
    <w:rsid w:val="003C1870"/>
    <w:rsid w:val="003C5DD6"/>
    <w:rsid w:val="003C6136"/>
    <w:rsid w:val="003D0F8B"/>
    <w:rsid w:val="003D39F2"/>
    <w:rsid w:val="003D5A63"/>
    <w:rsid w:val="003D6425"/>
    <w:rsid w:val="003D66A7"/>
    <w:rsid w:val="003D7EE8"/>
    <w:rsid w:val="003E3B14"/>
    <w:rsid w:val="003F0A6C"/>
    <w:rsid w:val="003F0F49"/>
    <w:rsid w:val="003F1363"/>
    <w:rsid w:val="00403C69"/>
    <w:rsid w:val="00405EC2"/>
    <w:rsid w:val="00406278"/>
    <w:rsid w:val="00406297"/>
    <w:rsid w:val="00412C81"/>
    <w:rsid w:val="004131D4"/>
    <w:rsid w:val="0041348E"/>
    <w:rsid w:val="00414895"/>
    <w:rsid w:val="004208C6"/>
    <w:rsid w:val="00420B7C"/>
    <w:rsid w:val="00421605"/>
    <w:rsid w:val="004269E6"/>
    <w:rsid w:val="00433357"/>
    <w:rsid w:val="00435762"/>
    <w:rsid w:val="00435E45"/>
    <w:rsid w:val="004364D9"/>
    <w:rsid w:val="00437819"/>
    <w:rsid w:val="00437A8D"/>
    <w:rsid w:val="00440C4F"/>
    <w:rsid w:val="00441E8B"/>
    <w:rsid w:val="004445FD"/>
    <w:rsid w:val="00445D0A"/>
    <w:rsid w:val="00446FBA"/>
    <w:rsid w:val="00447308"/>
    <w:rsid w:val="00447990"/>
    <w:rsid w:val="004500BC"/>
    <w:rsid w:val="00451B1B"/>
    <w:rsid w:val="004552B4"/>
    <w:rsid w:val="00460CF8"/>
    <w:rsid w:val="00462253"/>
    <w:rsid w:val="00462CB2"/>
    <w:rsid w:val="004631CC"/>
    <w:rsid w:val="00467DB2"/>
    <w:rsid w:val="00472FC1"/>
    <w:rsid w:val="004755BA"/>
    <w:rsid w:val="004765FF"/>
    <w:rsid w:val="00481E58"/>
    <w:rsid w:val="0048520E"/>
    <w:rsid w:val="00486163"/>
    <w:rsid w:val="00492075"/>
    <w:rsid w:val="0049304E"/>
    <w:rsid w:val="00495290"/>
    <w:rsid w:val="004969AD"/>
    <w:rsid w:val="00496E2A"/>
    <w:rsid w:val="004A0244"/>
    <w:rsid w:val="004A3CDF"/>
    <w:rsid w:val="004A3FF4"/>
    <w:rsid w:val="004A7674"/>
    <w:rsid w:val="004A783D"/>
    <w:rsid w:val="004B13CB"/>
    <w:rsid w:val="004B2466"/>
    <w:rsid w:val="004B3C6F"/>
    <w:rsid w:val="004B4FDF"/>
    <w:rsid w:val="004B4FF2"/>
    <w:rsid w:val="004B716F"/>
    <w:rsid w:val="004B7C16"/>
    <w:rsid w:val="004B7E77"/>
    <w:rsid w:val="004C3355"/>
    <w:rsid w:val="004C6DFE"/>
    <w:rsid w:val="004D04E2"/>
    <w:rsid w:val="004D3C01"/>
    <w:rsid w:val="004D4243"/>
    <w:rsid w:val="004D5D5C"/>
    <w:rsid w:val="004D752D"/>
    <w:rsid w:val="004D7763"/>
    <w:rsid w:val="004E27DE"/>
    <w:rsid w:val="004E2F10"/>
    <w:rsid w:val="004E3276"/>
    <w:rsid w:val="004E4F74"/>
    <w:rsid w:val="004E5959"/>
    <w:rsid w:val="004E704A"/>
    <w:rsid w:val="004F051F"/>
    <w:rsid w:val="004F3D95"/>
    <w:rsid w:val="004F660E"/>
    <w:rsid w:val="004F7270"/>
    <w:rsid w:val="005004A4"/>
    <w:rsid w:val="0050139F"/>
    <w:rsid w:val="0050712D"/>
    <w:rsid w:val="00510692"/>
    <w:rsid w:val="00510F4D"/>
    <w:rsid w:val="00516722"/>
    <w:rsid w:val="00517624"/>
    <w:rsid w:val="00520565"/>
    <w:rsid w:val="00521223"/>
    <w:rsid w:val="00523934"/>
    <w:rsid w:val="00523D3E"/>
    <w:rsid w:val="00524DF1"/>
    <w:rsid w:val="005252E6"/>
    <w:rsid w:val="0052716E"/>
    <w:rsid w:val="00531317"/>
    <w:rsid w:val="00532A8A"/>
    <w:rsid w:val="00533CBA"/>
    <w:rsid w:val="00536513"/>
    <w:rsid w:val="00536DB4"/>
    <w:rsid w:val="00541D24"/>
    <w:rsid w:val="00543159"/>
    <w:rsid w:val="0054377E"/>
    <w:rsid w:val="0054450F"/>
    <w:rsid w:val="0055140B"/>
    <w:rsid w:val="00551447"/>
    <w:rsid w:val="00552F9E"/>
    <w:rsid w:val="00554C4F"/>
    <w:rsid w:val="00561D72"/>
    <w:rsid w:val="00564F36"/>
    <w:rsid w:val="00566EEB"/>
    <w:rsid w:val="00570FA3"/>
    <w:rsid w:val="00571767"/>
    <w:rsid w:val="00576FB4"/>
    <w:rsid w:val="00581664"/>
    <w:rsid w:val="00585238"/>
    <w:rsid w:val="005855FC"/>
    <w:rsid w:val="00586EB9"/>
    <w:rsid w:val="00592321"/>
    <w:rsid w:val="005933B2"/>
    <w:rsid w:val="00593B87"/>
    <w:rsid w:val="005964AB"/>
    <w:rsid w:val="005A1B64"/>
    <w:rsid w:val="005A2BEB"/>
    <w:rsid w:val="005A3485"/>
    <w:rsid w:val="005A5E0C"/>
    <w:rsid w:val="005A6739"/>
    <w:rsid w:val="005B0278"/>
    <w:rsid w:val="005B25C3"/>
    <w:rsid w:val="005B2DD6"/>
    <w:rsid w:val="005B41B7"/>
    <w:rsid w:val="005B44F5"/>
    <w:rsid w:val="005B6D88"/>
    <w:rsid w:val="005C099A"/>
    <w:rsid w:val="005C116F"/>
    <w:rsid w:val="005C13B5"/>
    <w:rsid w:val="005C26D1"/>
    <w:rsid w:val="005C3173"/>
    <w:rsid w:val="005C31A5"/>
    <w:rsid w:val="005C3248"/>
    <w:rsid w:val="005C3F17"/>
    <w:rsid w:val="005C4740"/>
    <w:rsid w:val="005D0BEA"/>
    <w:rsid w:val="005D4916"/>
    <w:rsid w:val="005E032D"/>
    <w:rsid w:val="005E0641"/>
    <w:rsid w:val="005E0D2B"/>
    <w:rsid w:val="005E10C9"/>
    <w:rsid w:val="005E61DD"/>
    <w:rsid w:val="005E6321"/>
    <w:rsid w:val="005F5413"/>
    <w:rsid w:val="005F7D38"/>
    <w:rsid w:val="00600B9C"/>
    <w:rsid w:val="006023DF"/>
    <w:rsid w:val="0060693B"/>
    <w:rsid w:val="006117C6"/>
    <w:rsid w:val="00611CD2"/>
    <w:rsid w:val="00615AB9"/>
    <w:rsid w:val="00616DB7"/>
    <w:rsid w:val="00617602"/>
    <w:rsid w:val="00617DE5"/>
    <w:rsid w:val="00620ECD"/>
    <w:rsid w:val="00621FDD"/>
    <w:rsid w:val="00622B63"/>
    <w:rsid w:val="00624A81"/>
    <w:rsid w:val="0062697F"/>
    <w:rsid w:val="00627881"/>
    <w:rsid w:val="00636181"/>
    <w:rsid w:val="00637E99"/>
    <w:rsid w:val="006422AD"/>
    <w:rsid w:val="006430DA"/>
    <w:rsid w:val="0064322F"/>
    <w:rsid w:val="006449A5"/>
    <w:rsid w:val="00644F99"/>
    <w:rsid w:val="006463EE"/>
    <w:rsid w:val="006575E1"/>
    <w:rsid w:val="00657DE0"/>
    <w:rsid w:val="006608C4"/>
    <w:rsid w:val="006612C2"/>
    <w:rsid w:val="00661FB8"/>
    <w:rsid w:val="00665B75"/>
    <w:rsid w:val="00667F38"/>
    <w:rsid w:val="0067199F"/>
    <w:rsid w:val="006747D8"/>
    <w:rsid w:val="00674AEF"/>
    <w:rsid w:val="00675DB5"/>
    <w:rsid w:val="00676ED7"/>
    <w:rsid w:val="00677048"/>
    <w:rsid w:val="006774C6"/>
    <w:rsid w:val="00680225"/>
    <w:rsid w:val="00685313"/>
    <w:rsid w:val="00690B44"/>
    <w:rsid w:val="006912F3"/>
    <w:rsid w:val="00696E7A"/>
    <w:rsid w:val="006A0D14"/>
    <w:rsid w:val="006A47E5"/>
    <w:rsid w:val="006A6E9B"/>
    <w:rsid w:val="006A747C"/>
    <w:rsid w:val="006B1038"/>
    <w:rsid w:val="006B502E"/>
    <w:rsid w:val="006B5AA9"/>
    <w:rsid w:val="006B73C2"/>
    <w:rsid w:val="006B7C2A"/>
    <w:rsid w:val="006B7CC5"/>
    <w:rsid w:val="006C03CD"/>
    <w:rsid w:val="006C23DA"/>
    <w:rsid w:val="006C7898"/>
    <w:rsid w:val="006C7CA9"/>
    <w:rsid w:val="006D2DD5"/>
    <w:rsid w:val="006D4843"/>
    <w:rsid w:val="006D6130"/>
    <w:rsid w:val="006D6DDA"/>
    <w:rsid w:val="006E099C"/>
    <w:rsid w:val="006E3D45"/>
    <w:rsid w:val="006E64F1"/>
    <w:rsid w:val="006E7629"/>
    <w:rsid w:val="006F0C99"/>
    <w:rsid w:val="006F1889"/>
    <w:rsid w:val="006F7874"/>
    <w:rsid w:val="006F7BD3"/>
    <w:rsid w:val="007034D9"/>
    <w:rsid w:val="00705932"/>
    <w:rsid w:val="007149F9"/>
    <w:rsid w:val="0071531C"/>
    <w:rsid w:val="0071541F"/>
    <w:rsid w:val="007167D5"/>
    <w:rsid w:val="00720DD1"/>
    <w:rsid w:val="007265FE"/>
    <w:rsid w:val="00730009"/>
    <w:rsid w:val="00733A30"/>
    <w:rsid w:val="007372E2"/>
    <w:rsid w:val="007379E5"/>
    <w:rsid w:val="00743072"/>
    <w:rsid w:val="00745AEE"/>
    <w:rsid w:val="00747028"/>
    <w:rsid w:val="007479EA"/>
    <w:rsid w:val="00747A98"/>
    <w:rsid w:val="00750F10"/>
    <w:rsid w:val="0075242F"/>
    <w:rsid w:val="00756ADC"/>
    <w:rsid w:val="007606A7"/>
    <w:rsid w:val="00761CEF"/>
    <w:rsid w:val="007654FE"/>
    <w:rsid w:val="00765BA5"/>
    <w:rsid w:val="007664D4"/>
    <w:rsid w:val="00770D7E"/>
    <w:rsid w:val="007742CA"/>
    <w:rsid w:val="0077509B"/>
    <w:rsid w:val="00776DB1"/>
    <w:rsid w:val="0077768B"/>
    <w:rsid w:val="0077794B"/>
    <w:rsid w:val="00792DB8"/>
    <w:rsid w:val="00793BB0"/>
    <w:rsid w:val="00794ABD"/>
    <w:rsid w:val="00795C00"/>
    <w:rsid w:val="0079605E"/>
    <w:rsid w:val="00797A5D"/>
    <w:rsid w:val="007A7FAF"/>
    <w:rsid w:val="007B12EB"/>
    <w:rsid w:val="007B2EB6"/>
    <w:rsid w:val="007B3BF6"/>
    <w:rsid w:val="007B4578"/>
    <w:rsid w:val="007C0A4D"/>
    <w:rsid w:val="007C2360"/>
    <w:rsid w:val="007C5A7B"/>
    <w:rsid w:val="007D06F0"/>
    <w:rsid w:val="007D35D0"/>
    <w:rsid w:val="007D3C25"/>
    <w:rsid w:val="007D45E3"/>
    <w:rsid w:val="007D5320"/>
    <w:rsid w:val="007D714B"/>
    <w:rsid w:val="007E065B"/>
    <w:rsid w:val="007E0A1D"/>
    <w:rsid w:val="007E28A9"/>
    <w:rsid w:val="007E4F6C"/>
    <w:rsid w:val="007E713F"/>
    <w:rsid w:val="007E7819"/>
    <w:rsid w:val="007E799D"/>
    <w:rsid w:val="007F236E"/>
    <w:rsid w:val="007F2668"/>
    <w:rsid w:val="007F26E3"/>
    <w:rsid w:val="007F535C"/>
    <w:rsid w:val="007F54EB"/>
    <w:rsid w:val="007F735C"/>
    <w:rsid w:val="00800972"/>
    <w:rsid w:val="00804475"/>
    <w:rsid w:val="0081159E"/>
    <w:rsid w:val="00811633"/>
    <w:rsid w:val="00814C00"/>
    <w:rsid w:val="00814E6E"/>
    <w:rsid w:val="00821CEF"/>
    <w:rsid w:val="00823BDC"/>
    <w:rsid w:val="00832828"/>
    <w:rsid w:val="008334AF"/>
    <w:rsid w:val="0083645A"/>
    <w:rsid w:val="0083797D"/>
    <w:rsid w:val="00837AB9"/>
    <w:rsid w:val="00840B0F"/>
    <w:rsid w:val="00840FD0"/>
    <w:rsid w:val="0084590A"/>
    <w:rsid w:val="00845C0D"/>
    <w:rsid w:val="008529D3"/>
    <w:rsid w:val="00854840"/>
    <w:rsid w:val="0085555B"/>
    <w:rsid w:val="00855FDC"/>
    <w:rsid w:val="00860F8A"/>
    <w:rsid w:val="0086299C"/>
    <w:rsid w:val="00863578"/>
    <w:rsid w:val="00863FC4"/>
    <w:rsid w:val="00867B8E"/>
    <w:rsid w:val="008711AE"/>
    <w:rsid w:val="00872FC8"/>
    <w:rsid w:val="00874817"/>
    <w:rsid w:val="00877397"/>
    <w:rsid w:val="00877D80"/>
    <w:rsid w:val="008801D3"/>
    <w:rsid w:val="00880325"/>
    <w:rsid w:val="008806F3"/>
    <w:rsid w:val="00881DBB"/>
    <w:rsid w:val="00882996"/>
    <w:rsid w:val="00883866"/>
    <w:rsid w:val="008845D0"/>
    <w:rsid w:val="0089151A"/>
    <w:rsid w:val="00893B2C"/>
    <w:rsid w:val="00894F96"/>
    <w:rsid w:val="008A0BFE"/>
    <w:rsid w:val="008A2753"/>
    <w:rsid w:val="008A3933"/>
    <w:rsid w:val="008A7165"/>
    <w:rsid w:val="008B20A4"/>
    <w:rsid w:val="008B3713"/>
    <w:rsid w:val="008B43F2"/>
    <w:rsid w:val="008B54AB"/>
    <w:rsid w:val="008B54D9"/>
    <w:rsid w:val="008B61EA"/>
    <w:rsid w:val="008B63AA"/>
    <w:rsid w:val="008B6CFF"/>
    <w:rsid w:val="008C28A0"/>
    <w:rsid w:val="008C3D02"/>
    <w:rsid w:val="008C4ADD"/>
    <w:rsid w:val="008D06CB"/>
    <w:rsid w:val="008D279B"/>
    <w:rsid w:val="008D2B46"/>
    <w:rsid w:val="008D2D24"/>
    <w:rsid w:val="008D678E"/>
    <w:rsid w:val="008E1A73"/>
    <w:rsid w:val="008E33DA"/>
    <w:rsid w:val="008E6B36"/>
    <w:rsid w:val="008E7DF8"/>
    <w:rsid w:val="008F04EE"/>
    <w:rsid w:val="008F238A"/>
    <w:rsid w:val="008F3284"/>
    <w:rsid w:val="008F36FB"/>
    <w:rsid w:val="009006A0"/>
    <w:rsid w:val="00900E22"/>
    <w:rsid w:val="009023DF"/>
    <w:rsid w:val="0090293E"/>
    <w:rsid w:val="0091016B"/>
    <w:rsid w:val="00910408"/>
    <w:rsid w:val="00910B26"/>
    <w:rsid w:val="00912004"/>
    <w:rsid w:val="009238B9"/>
    <w:rsid w:val="009274B4"/>
    <w:rsid w:val="00934743"/>
    <w:rsid w:val="00934EA2"/>
    <w:rsid w:val="009373C9"/>
    <w:rsid w:val="00941B98"/>
    <w:rsid w:val="00942FC1"/>
    <w:rsid w:val="00943545"/>
    <w:rsid w:val="00944A5C"/>
    <w:rsid w:val="00944A99"/>
    <w:rsid w:val="00951816"/>
    <w:rsid w:val="00952A66"/>
    <w:rsid w:val="00953C32"/>
    <w:rsid w:val="00964C68"/>
    <w:rsid w:val="00980AD1"/>
    <w:rsid w:val="00980AD6"/>
    <w:rsid w:val="009828A4"/>
    <w:rsid w:val="00985001"/>
    <w:rsid w:val="00986EBB"/>
    <w:rsid w:val="009907F3"/>
    <w:rsid w:val="00990A55"/>
    <w:rsid w:val="00992F9A"/>
    <w:rsid w:val="009944BE"/>
    <w:rsid w:val="00996913"/>
    <w:rsid w:val="00996ACA"/>
    <w:rsid w:val="00997678"/>
    <w:rsid w:val="009A04EC"/>
    <w:rsid w:val="009A234F"/>
    <w:rsid w:val="009A291A"/>
    <w:rsid w:val="009B28F2"/>
    <w:rsid w:val="009B5126"/>
    <w:rsid w:val="009B71C3"/>
    <w:rsid w:val="009B75FF"/>
    <w:rsid w:val="009C39A2"/>
    <w:rsid w:val="009C4D44"/>
    <w:rsid w:val="009C56E5"/>
    <w:rsid w:val="009C6F7B"/>
    <w:rsid w:val="009D3343"/>
    <w:rsid w:val="009D3429"/>
    <w:rsid w:val="009D5104"/>
    <w:rsid w:val="009E3F7C"/>
    <w:rsid w:val="009E5FC8"/>
    <w:rsid w:val="009E687A"/>
    <w:rsid w:val="009E72E7"/>
    <w:rsid w:val="009F1203"/>
    <w:rsid w:val="009F1542"/>
    <w:rsid w:val="00A00AC6"/>
    <w:rsid w:val="00A03C5C"/>
    <w:rsid w:val="00A04FB0"/>
    <w:rsid w:val="00A066F1"/>
    <w:rsid w:val="00A1280A"/>
    <w:rsid w:val="00A141AF"/>
    <w:rsid w:val="00A15958"/>
    <w:rsid w:val="00A16D29"/>
    <w:rsid w:val="00A20E5E"/>
    <w:rsid w:val="00A2101B"/>
    <w:rsid w:val="00A21E18"/>
    <w:rsid w:val="00A235FD"/>
    <w:rsid w:val="00A259A2"/>
    <w:rsid w:val="00A2618D"/>
    <w:rsid w:val="00A27146"/>
    <w:rsid w:val="00A30305"/>
    <w:rsid w:val="00A31315"/>
    <w:rsid w:val="00A31D2D"/>
    <w:rsid w:val="00A32267"/>
    <w:rsid w:val="00A32291"/>
    <w:rsid w:val="00A33D45"/>
    <w:rsid w:val="00A34772"/>
    <w:rsid w:val="00A35D6D"/>
    <w:rsid w:val="00A4049B"/>
    <w:rsid w:val="00A43642"/>
    <w:rsid w:val="00A44D51"/>
    <w:rsid w:val="00A4600A"/>
    <w:rsid w:val="00A524E6"/>
    <w:rsid w:val="00A53605"/>
    <w:rsid w:val="00A538A6"/>
    <w:rsid w:val="00A54C25"/>
    <w:rsid w:val="00A56C71"/>
    <w:rsid w:val="00A612BB"/>
    <w:rsid w:val="00A62F73"/>
    <w:rsid w:val="00A67FB8"/>
    <w:rsid w:val="00A710E7"/>
    <w:rsid w:val="00A7140C"/>
    <w:rsid w:val="00A7372E"/>
    <w:rsid w:val="00A74739"/>
    <w:rsid w:val="00A76372"/>
    <w:rsid w:val="00A76BD5"/>
    <w:rsid w:val="00A80D65"/>
    <w:rsid w:val="00A81F59"/>
    <w:rsid w:val="00A83E00"/>
    <w:rsid w:val="00A853F5"/>
    <w:rsid w:val="00A9323C"/>
    <w:rsid w:val="00A93364"/>
    <w:rsid w:val="00A93B85"/>
    <w:rsid w:val="00A96F7D"/>
    <w:rsid w:val="00AA05FD"/>
    <w:rsid w:val="00AA0B18"/>
    <w:rsid w:val="00AA4774"/>
    <w:rsid w:val="00AA666F"/>
    <w:rsid w:val="00AA7A11"/>
    <w:rsid w:val="00AB15BE"/>
    <w:rsid w:val="00AB4006"/>
    <w:rsid w:val="00AB4927"/>
    <w:rsid w:val="00AB4EF9"/>
    <w:rsid w:val="00AC007A"/>
    <w:rsid w:val="00AC034F"/>
    <w:rsid w:val="00AC1A8E"/>
    <w:rsid w:val="00AC4C17"/>
    <w:rsid w:val="00AC4DB5"/>
    <w:rsid w:val="00AD0AEB"/>
    <w:rsid w:val="00AD4C7B"/>
    <w:rsid w:val="00AE1244"/>
    <w:rsid w:val="00AE7CD5"/>
    <w:rsid w:val="00AF17A2"/>
    <w:rsid w:val="00AF2081"/>
    <w:rsid w:val="00AF2664"/>
    <w:rsid w:val="00AF45E8"/>
    <w:rsid w:val="00AF57EF"/>
    <w:rsid w:val="00B004E5"/>
    <w:rsid w:val="00B053F3"/>
    <w:rsid w:val="00B10A09"/>
    <w:rsid w:val="00B124F9"/>
    <w:rsid w:val="00B13FFC"/>
    <w:rsid w:val="00B15F9D"/>
    <w:rsid w:val="00B17325"/>
    <w:rsid w:val="00B17BDC"/>
    <w:rsid w:val="00B20035"/>
    <w:rsid w:val="00B20480"/>
    <w:rsid w:val="00B20F6D"/>
    <w:rsid w:val="00B21BEA"/>
    <w:rsid w:val="00B2212C"/>
    <w:rsid w:val="00B232A2"/>
    <w:rsid w:val="00B247C3"/>
    <w:rsid w:val="00B27180"/>
    <w:rsid w:val="00B27EA8"/>
    <w:rsid w:val="00B30ECC"/>
    <w:rsid w:val="00B35A1C"/>
    <w:rsid w:val="00B35BC5"/>
    <w:rsid w:val="00B36A3C"/>
    <w:rsid w:val="00B4012B"/>
    <w:rsid w:val="00B41367"/>
    <w:rsid w:val="00B423AE"/>
    <w:rsid w:val="00B43D73"/>
    <w:rsid w:val="00B44083"/>
    <w:rsid w:val="00B441B1"/>
    <w:rsid w:val="00B45C98"/>
    <w:rsid w:val="00B45D3C"/>
    <w:rsid w:val="00B50520"/>
    <w:rsid w:val="00B5544A"/>
    <w:rsid w:val="00B639E9"/>
    <w:rsid w:val="00B6598C"/>
    <w:rsid w:val="00B66F17"/>
    <w:rsid w:val="00B71863"/>
    <w:rsid w:val="00B7345F"/>
    <w:rsid w:val="00B817CD"/>
    <w:rsid w:val="00B81D00"/>
    <w:rsid w:val="00B825BC"/>
    <w:rsid w:val="00B830CC"/>
    <w:rsid w:val="00B850F8"/>
    <w:rsid w:val="00B86916"/>
    <w:rsid w:val="00B87DA1"/>
    <w:rsid w:val="00B9105F"/>
    <w:rsid w:val="00B911B2"/>
    <w:rsid w:val="00B917E9"/>
    <w:rsid w:val="00B92195"/>
    <w:rsid w:val="00B92520"/>
    <w:rsid w:val="00B951D0"/>
    <w:rsid w:val="00B95DA2"/>
    <w:rsid w:val="00B97C6E"/>
    <w:rsid w:val="00BA231A"/>
    <w:rsid w:val="00BA2D00"/>
    <w:rsid w:val="00BA2FE8"/>
    <w:rsid w:val="00BA48E4"/>
    <w:rsid w:val="00BB1F53"/>
    <w:rsid w:val="00BB29C8"/>
    <w:rsid w:val="00BB3A95"/>
    <w:rsid w:val="00BB42AD"/>
    <w:rsid w:val="00BB4491"/>
    <w:rsid w:val="00BB66DD"/>
    <w:rsid w:val="00BB6DD0"/>
    <w:rsid w:val="00BC00FB"/>
    <w:rsid w:val="00BC0382"/>
    <w:rsid w:val="00BC1DBF"/>
    <w:rsid w:val="00BC31AC"/>
    <w:rsid w:val="00BC401E"/>
    <w:rsid w:val="00BC6488"/>
    <w:rsid w:val="00BD11D6"/>
    <w:rsid w:val="00BD239D"/>
    <w:rsid w:val="00BD31E7"/>
    <w:rsid w:val="00BD50BD"/>
    <w:rsid w:val="00BD618D"/>
    <w:rsid w:val="00BD62C6"/>
    <w:rsid w:val="00BE34A3"/>
    <w:rsid w:val="00BE7042"/>
    <w:rsid w:val="00BE7870"/>
    <w:rsid w:val="00BF095D"/>
    <w:rsid w:val="00BF3618"/>
    <w:rsid w:val="00BF4F16"/>
    <w:rsid w:val="00BF65C9"/>
    <w:rsid w:val="00C0018F"/>
    <w:rsid w:val="00C02828"/>
    <w:rsid w:val="00C02D9B"/>
    <w:rsid w:val="00C03779"/>
    <w:rsid w:val="00C05634"/>
    <w:rsid w:val="00C07B4E"/>
    <w:rsid w:val="00C10393"/>
    <w:rsid w:val="00C14872"/>
    <w:rsid w:val="00C14874"/>
    <w:rsid w:val="00C166D0"/>
    <w:rsid w:val="00C16D39"/>
    <w:rsid w:val="00C20466"/>
    <w:rsid w:val="00C214ED"/>
    <w:rsid w:val="00C227EF"/>
    <w:rsid w:val="00C234E6"/>
    <w:rsid w:val="00C24E20"/>
    <w:rsid w:val="00C324A8"/>
    <w:rsid w:val="00C349B4"/>
    <w:rsid w:val="00C35C13"/>
    <w:rsid w:val="00C36662"/>
    <w:rsid w:val="00C40DF2"/>
    <w:rsid w:val="00C54517"/>
    <w:rsid w:val="00C55DBA"/>
    <w:rsid w:val="00C56E3C"/>
    <w:rsid w:val="00C60AEF"/>
    <w:rsid w:val="00C6240E"/>
    <w:rsid w:val="00C6439C"/>
    <w:rsid w:val="00C64CD8"/>
    <w:rsid w:val="00C65F12"/>
    <w:rsid w:val="00C720B0"/>
    <w:rsid w:val="00C73347"/>
    <w:rsid w:val="00C75E0E"/>
    <w:rsid w:val="00C75FF8"/>
    <w:rsid w:val="00C76A6C"/>
    <w:rsid w:val="00C80652"/>
    <w:rsid w:val="00C80A64"/>
    <w:rsid w:val="00C87447"/>
    <w:rsid w:val="00C90165"/>
    <w:rsid w:val="00C90579"/>
    <w:rsid w:val="00C976EE"/>
    <w:rsid w:val="00C97C68"/>
    <w:rsid w:val="00CA18A2"/>
    <w:rsid w:val="00CA1A47"/>
    <w:rsid w:val="00CA36C5"/>
    <w:rsid w:val="00CA48CF"/>
    <w:rsid w:val="00CB1404"/>
    <w:rsid w:val="00CB1D84"/>
    <w:rsid w:val="00CB3537"/>
    <w:rsid w:val="00CB40E5"/>
    <w:rsid w:val="00CB615D"/>
    <w:rsid w:val="00CB6664"/>
    <w:rsid w:val="00CB76A2"/>
    <w:rsid w:val="00CC247A"/>
    <w:rsid w:val="00CC41F6"/>
    <w:rsid w:val="00CD2733"/>
    <w:rsid w:val="00CD2A68"/>
    <w:rsid w:val="00CD2BC1"/>
    <w:rsid w:val="00CD3139"/>
    <w:rsid w:val="00CD4117"/>
    <w:rsid w:val="00CD7BC2"/>
    <w:rsid w:val="00CD7EC4"/>
    <w:rsid w:val="00CE5ACA"/>
    <w:rsid w:val="00CE5E47"/>
    <w:rsid w:val="00CE66E4"/>
    <w:rsid w:val="00CE7A25"/>
    <w:rsid w:val="00CF020F"/>
    <w:rsid w:val="00CF269A"/>
    <w:rsid w:val="00CF2A29"/>
    <w:rsid w:val="00CF2B5B"/>
    <w:rsid w:val="00CF2C93"/>
    <w:rsid w:val="00CF33C0"/>
    <w:rsid w:val="00CF4A84"/>
    <w:rsid w:val="00D00E2A"/>
    <w:rsid w:val="00D0723D"/>
    <w:rsid w:val="00D10D23"/>
    <w:rsid w:val="00D12A27"/>
    <w:rsid w:val="00D14CE0"/>
    <w:rsid w:val="00D217E0"/>
    <w:rsid w:val="00D233CB"/>
    <w:rsid w:val="00D27D0F"/>
    <w:rsid w:val="00D33DC1"/>
    <w:rsid w:val="00D36333"/>
    <w:rsid w:val="00D42CDE"/>
    <w:rsid w:val="00D42FEE"/>
    <w:rsid w:val="00D43753"/>
    <w:rsid w:val="00D44DE2"/>
    <w:rsid w:val="00D45A9C"/>
    <w:rsid w:val="00D53EAE"/>
    <w:rsid w:val="00D541E4"/>
    <w:rsid w:val="00D5651D"/>
    <w:rsid w:val="00D56836"/>
    <w:rsid w:val="00D61378"/>
    <w:rsid w:val="00D62D8E"/>
    <w:rsid w:val="00D634E2"/>
    <w:rsid w:val="00D67A2E"/>
    <w:rsid w:val="00D71278"/>
    <w:rsid w:val="00D724BE"/>
    <w:rsid w:val="00D73CFE"/>
    <w:rsid w:val="00D74898"/>
    <w:rsid w:val="00D75941"/>
    <w:rsid w:val="00D75EB3"/>
    <w:rsid w:val="00D801ED"/>
    <w:rsid w:val="00D80714"/>
    <w:rsid w:val="00D83BF5"/>
    <w:rsid w:val="00D8609B"/>
    <w:rsid w:val="00D864B0"/>
    <w:rsid w:val="00D87035"/>
    <w:rsid w:val="00D87E9C"/>
    <w:rsid w:val="00D91F0E"/>
    <w:rsid w:val="00D925C2"/>
    <w:rsid w:val="00D936BC"/>
    <w:rsid w:val="00D95534"/>
    <w:rsid w:val="00D9621A"/>
    <w:rsid w:val="00D96530"/>
    <w:rsid w:val="00D96B4B"/>
    <w:rsid w:val="00DA2345"/>
    <w:rsid w:val="00DA273A"/>
    <w:rsid w:val="00DA3AC1"/>
    <w:rsid w:val="00DA3AC4"/>
    <w:rsid w:val="00DA453A"/>
    <w:rsid w:val="00DA561A"/>
    <w:rsid w:val="00DA5C6F"/>
    <w:rsid w:val="00DA6B46"/>
    <w:rsid w:val="00DA7078"/>
    <w:rsid w:val="00DB1086"/>
    <w:rsid w:val="00DB1921"/>
    <w:rsid w:val="00DB2FB8"/>
    <w:rsid w:val="00DB4598"/>
    <w:rsid w:val="00DB4E0A"/>
    <w:rsid w:val="00DB71F7"/>
    <w:rsid w:val="00DB750F"/>
    <w:rsid w:val="00DC19DC"/>
    <w:rsid w:val="00DC2A65"/>
    <w:rsid w:val="00DC3758"/>
    <w:rsid w:val="00DC3FC1"/>
    <w:rsid w:val="00DC574F"/>
    <w:rsid w:val="00DC6EEA"/>
    <w:rsid w:val="00DD08B4"/>
    <w:rsid w:val="00DD269F"/>
    <w:rsid w:val="00DD44AF"/>
    <w:rsid w:val="00DE2AC3"/>
    <w:rsid w:val="00DE434C"/>
    <w:rsid w:val="00DE5692"/>
    <w:rsid w:val="00DE5E67"/>
    <w:rsid w:val="00DE7766"/>
    <w:rsid w:val="00DE79F1"/>
    <w:rsid w:val="00DF02A0"/>
    <w:rsid w:val="00DF1E46"/>
    <w:rsid w:val="00DF21DF"/>
    <w:rsid w:val="00DF2347"/>
    <w:rsid w:val="00DF2D60"/>
    <w:rsid w:val="00DF6F8E"/>
    <w:rsid w:val="00E02014"/>
    <w:rsid w:val="00E03C94"/>
    <w:rsid w:val="00E03CF8"/>
    <w:rsid w:val="00E06AEA"/>
    <w:rsid w:val="00E07105"/>
    <w:rsid w:val="00E11115"/>
    <w:rsid w:val="00E12074"/>
    <w:rsid w:val="00E1307C"/>
    <w:rsid w:val="00E17BAD"/>
    <w:rsid w:val="00E21B22"/>
    <w:rsid w:val="00E236C9"/>
    <w:rsid w:val="00E239BD"/>
    <w:rsid w:val="00E241C9"/>
    <w:rsid w:val="00E26226"/>
    <w:rsid w:val="00E31B77"/>
    <w:rsid w:val="00E36E67"/>
    <w:rsid w:val="00E378D8"/>
    <w:rsid w:val="00E4021C"/>
    <w:rsid w:val="00E4059F"/>
    <w:rsid w:val="00E4165C"/>
    <w:rsid w:val="00E422AC"/>
    <w:rsid w:val="00E425D0"/>
    <w:rsid w:val="00E45D05"/>
    <w:rsid w:val="00E528F8"/>
    <w:rsid w:val="00E5442B"/>
    <w:rsid w:val="00E55816"/>
    <w:rsid w:val="00E55AEF"/>
    <w:rsid w:val="00E61442"/>
    <w:rsid w:val="00E64B4B"/>
    <w:rsid w:val="00E66A93"/>
    <w:rsid w:val="00E71B64"/>
    <w:rsid w:val="00E81961"/>
    <w:rsid w:val="00E82877"/>
    <w:rsid w:val="00E82DE5"/>
    <w:rsid w:val="00E83BBB"/>
    <w:rsid w:val="00E84088"/>
    <w:rsid w:val="00E90BE9"/>
    <w:rsid w:val="00E976C1"/>
    <w:rsid w:val="00EA025D"/>
    <w:rsid w:val="00EA07F0"/>
    <w:rsid w:val="00EA12E5"/>
    <w:rsid w:val="00EA2136"/>
    <w:rsid w:val="00EA36A2"/>
    <w:rsid w:val="00EA3D99"/>
    <w:rsid w:val="00EA66A4"/>
    <w:rsid w:val="00EB00F7"/>
    <w:rsid w:val="00EB0E5E"/>
    <w:rsid w:val="00EB2238"/>
    <w:rsid w:val="00EB4AE6"/>
    <w:rsid w:val="00EB4C45"/>
    <w:rsid w:val="00EC00DF"/>
    <w:rsid w:val="00EC0FC2"/>
    <w:rsid w:val="00EC3585"/>
    <w:rsid w:val="00EC6B65"/>
    <w:rsid w:val="00ED29AB"/>
    <w:rsid w:val="00ED335C"/>
    <w:rsid w:val="00ED44A8"/>
    <w:rsid w:val="00ED5AAF"/>
    <w:rsid w:val="00EE3198"/>
    <w:rsid w:val="00EE4646"/>
    <w:rsid w:val="00EE67EC"/>
    <w:rsid w:val="00EF065B"/>
    <w:rsid w:val="00EF33D5"/>
    <w:rsid w:val="00EF481F"/>
    <w:rsid w:val="00F000EA"/>
    <w:rsid w:val="00F02766"/>
    <w:rsid w:val="00F03EB7"/>
    <w:rsid w:val="00F04067"/>
    <w:rsid w:val="00F0520E"/>
    <w:rsid w:val="00F05BD4"/>
    <w:rsid w:val="00F07F46"/>
    <w:rsid w:val="00F11A98"/>
    <w:rsid w:val="00F13242"/>
    <w:rsid w:val="00F1463E"/>
    <w:rsid w:val="00F15368"/>
    <w:rsid w:val="00F15E05"/>
    <w:rsid w:val="00F16F35"/>
    <w:rsid w:val="00F20CA2"/>
    <w:rsid w:val="00F21A1D"/>
    <w:rsid w:val="00F21D10"/>
    <w:rsid w:val="00F277F9"/>
    <w:rsid w:val="00F339E3"/>
    <w:rsid w:val="00F340C8"/>
    <w:rsid w:val="00F349CB"/>
    <w:rsid w:val="00F354F7"/>
    <w:rsid w:val="00F357E0"/>
    <w:rsid w:val="00F45892"/>
    <w:rsid w:val="00F53615"/>
    <w:rsid w:val="00F579D6"/>
    <w:rsid w:val="00F61818"/>
    <w:rsid w:val="00F623D9"/>
    <w:rsid w:val="00F64274"/>
    <w:rsid w:val="00F64DBC"/>
    <w:rsid w:val="00F659A6"/>
    <w:rsid w:val="00F65C19"/>
    <w:rsid w:val="00F6660F"/>
    <w:rsid w:val="00F66B3A"/>
    <w:rsid w:val="00F67276"/>
    <w:rsid w:val="00F723AC"/>
    <w:rsid w:val="00F7338B"/>
    <w:rsid w:val="00F7440E"/>
    <w:rsid w:val="00F76603"/>
    <w:rsid w:val="00F772D4"/>
    <w:rsid w:val="00F808C6"/>
    <w:rsid w:val="00F83F60"/>
    <w:rsid w:val="00F8476E"/>
    <w:rsid w:val="00F848EE"/>
    <w:rsid w:val="00F84DF8"/>
    <w:rsid w:val="00F91898"/>
    <w:rsid w:val="00F9323D"/>
    <w:rsid w:val="00F94FEF"/>
    <w:rsid w:val="00F971FB"/>
    <w:rsid w:val="00FA4CD4"/>
    <w:rsid w:val="00FA579C"/>
    <w:rsid w:val="00FA668B"/>
    <w:rsid w:val="00FB20E0"/>
    <w:rsid w:val="00FB34B9"/>
    <w:rsid w:val="00FC0BEF"/>
    <w:rsid w:val="00FC24DA"/>
    <w:rsid w:val="00FC4678"/>
    <w:rsid w:val="00FC6545"/>
    <w:rsid w:val="00FD0183"/>
    <w:rsid w:val="00FD037B"/>
    <w:rsid w:val="00FD2546"/>
    <w:rsid w:val="00FD772E"/>
    <w:rsid w:val="00FE3346"/>
    <w:rsid w:val="00FE3926"/>
    <w:rsid w:val="00FE48BE"/>
    <w:rsid w:val="00FE4D2F"/>
    <w:rsid w:val="00FE7205"/>
    <w:rsid w:val="00FE78C7"/>
    <w:rsid w:val="00FF21ED"/>
    <w:rsid w:val="00FF2A26"/>
    <w:rsid w:val="00FF3D55"/>
    <w:rsid w:val="00FF43AC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5B8D15"/>
  <w15:docId w15:val="{2B1DDD2B-189C-45BE-AE9C-2EE3A3BA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Batang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4AE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EB4AE6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EB4AE6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EB4AE6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CB3537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B353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B3537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B353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B353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B353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item">
    <w:name w:val="Agenda_item"/>
    <w:basedOn w:val="Normal"/>
    <w:next w:val="Normal"/>
    <w:qFormat/>
    <w:rsid w:val="00EB4AE6"/>
    <w:pPr>
      <w:overflowPunct/>
      <w:autoSpaceDE/>
      <w:autoSpaceDN/>
      <w:adjustRightInd/>
      <w:spacing w:before="240"/>
      <w:jc w:val="center"/>
      <w:textAlignment w:val="auto"/>
    </w:pPr>
    <w:rPr>
      <w:sz w:val="26"/>
      <w:lang w:val="es-ES_tradnl"/>
    </w:rPr>
  </w:style>
  <w:style w:type="paragraph" w:customStyle="1" w:styleId="AnnexNo">
    <w:name w:val="Annex_No"/>
    <w:basedOn w:val="Normal"/>
    <w:next w:val="Normal"/>
    <w:rsid w:val="00EB4AE6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745AEE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B4AE6"/>
    <w:pPr>
      <w:keepNext/>
      <w:keepLines/>
      <w:spacing w:before="240" w:after="280"/>
      <w:jc w:val="center"/>
    </w:pPr>
    <w:rPr>
      <w:b/>
      <w:sz w:val="26"/>
    </w:rPr>
  </w:style>
  <w:style w:type="character" w:customStyle="1" w:styleId="Appdef">
    <w:name w:val="App_def"/>
    <w:basedOn w:val="DefaultParagraphFont"/>
    <w:rsid w:val="00D96B4B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D96B4B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745AEE"/>
  </w:style>
  <w:style w:type="paragraph" w:customStyle="1" w:styleId="ApptoAnnex">
    <w:name w:val="App_to_Annex"/>
    <w:basedOn w:val="AppendixNo"/>
    <w:next w:val="Normal"/>
    <w:qFormat/>
    <w:rsid w:val="00745AEE"/>
  </w:style>
  <w:style w:type="paragraph" w:customStyle="1" w:styleId="Appendixref">
    <w:name w:val="Appendix_ref"/>
    <w:basedOn w:val="Annexref"/>
    <w:next w:val="Annextitle"/>
    <w:rsid w:val="00745AEE"/>
  </w:style>
  <w:style w:type="paragraph" w:customStyle="1" w:styleId="Appendixtitle">
    <w:name w:val="Appendix_title"/>
    <w:basedOn w:val="Annextitle"/>
    <w:next w:val="Normal"/>
    <w:rsid w:val="00745AEE"/>
  </w:style>
  <w:style w:type="character" w:customStyle="1" w:styleId="Artdef">
    <w:name w:val="Art_def"/>
    <w:basedOn w:val="DefaultParagraphFont"/>
    <w:rsid w:val="00D96B4B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EB4AE6"/>
    <w:pPr>
      <w:spacing w:before="480"/>
      <w:jc w:val="center"/>
    </w:pPr>
    <w:rPr>
      <w:b/>
      <w:sz w:val="26"/>
    </w:rPr>
  </w:style>
  <w:style w:type="paragraph" w:customStyle="1" w:styleId="ArtNo">
    <w:name w:val="Art_No"/>
    <w:basedOn w:val="Normal"/>
    <w:next w:val="Normal"/>
    <w:rsid w:val="00EB4AE6"/>
    <w:pPr>
      <w:keepNext/>
      <w:keepLines/>
      <w:spacing w:before="480"/>
      <w:jc w:val="center"/>
    </w:pPr>
    <w:rPr>
      <w:caps/>
      <w:sz w:val="26"/>
    </w:rPr>
  </w:style>
  <w:style w:type="character" w:customStyle="1" w:styleId="Artref">
    <w:name w:val="Art_ref"/>
    <w:basedOn w:val="DefaultParagraphFont"/>
    <w:rsid w:val="00D96B4B"/>
    <w:rPr>
      <w:rFonts w:asciiTheme="minorHAnsi" w:hAnsiTheme="minorHAnsi"/>
    </w:rPr>
  </w:style>
  <w:style w:type="paragraph" w:customStyle="1" w:styleId="Arttitle">
    <w:name w:val="Art_title"/>
    <w:basedOn w:val="Normal"/>
    <w:next w:val="Normal"/>
    <w:rsid w:val="00EB4AE6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745AEE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D96B4B"/>
    <w:rPr>
      <w:b/>
    </w:rPr>
  </w:style>
  <w:style w:type="paragraph" w:customStyle="1" w:styleId="Chaptitle">
    <w:name w:val="Chap_title"/>
    <w:basedOn w:val="Arttitle"/>
    <w:next w:val="Normal"/>
    <w:rsid w:val="00745AEE"/>
  </w:style>
  <w:style w:type="paragraph" w:customStyle="1" w:styleId="enumlev1">
    <w:name w:val="enumlev1"/>
    <w:basedOn w:val="Normal"/>
    <w:link w:val="enumlev1Char"/>
    <w:qFormat/>
    <w:rsid w:val="00745AEE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745AEE"/>
    <w:pPr>
      <w:ind w:left="1871" w:hanging="737"/>
    </w:pPr>
  </w:style>
  <w:style w:type="paragraph" w:customStyle="1" w:styleId="enumlev3">
    <w:name w:val="enumlev3"/>
    <w:basedOn w:val="enumlev2"/>
    <w:rsid w:val="00745AEE"/>
    <w:pPr>
      <w:ind w:left="2268" w:hanging="397"/>
    </w:pPr>
  </w:style>
  <w:style w:type="paragraph" w:customStyle="1" w:styleId="Equation">
    <w:name w:val="Equation"/>
    <w:basedOn w:val="Normal"/>
    <w:rsid w:val="00745AEE"/>
    <w:pPr>
      <w:tabs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45AEE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190B55"/>
    <w:pPr>
      <w:ind w:left="1134"/>
    </w:pPr>
  </w:style>
  <w:style w:type="paragraph" w:customStyle="1" w:styleId="Figure">
    <w:name w:val="Figure"/>
    <w:basedOn w:val="Normal"/>
    <w:next w:val="Normal"/>
    <w:rsid w:val="00745AEE"/>
    <w:pPr>
      <w:keepNext/>
      <w:keepLines/>
      <w:jc w:val="center"/>
    </w:pPr>
  </w:style>
  <w:style w:type="paragraph" w:customStyle="1" w:styleId="Figurelegend">
    <w:name w:val="Figure_legend"/>
    <w:basedOn w:val="Normal"/>
    <w:rsid w:val="00745AEE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745AEE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Figuretitle">
    <w:name w:val="Figure_title"/>
    <w:basedOn w:val="Normal"/>
    <w:next w:val="Normal"/>
    <w:rsid w:val="002154A6"/>
    <w:pPr>
      <w:keepNext/>
      <w:keepLines/>
      <w:spacing w:before="0" w:after="480"/>
      <w:jc w:val="center"/>
    </w:pPr>
    <w:rPr>
      <w:b/>
      <w:sz w:val="20"/>
    </w:rPr>
  </w:style>
  <w:style w:type="paragraph" w:customStyle="1" w:styleId="Figurewithouttitle">
    <w:name w:val="Figure_without_title"/>
    <w:basedOn w:val="FigureNo"/>
    <w:next w:val="Normal"/>
    <w:rsid w:val="00745AEE"/>
    <w:pPr>
      <w:keepNext w:val="0"/>
    </w:pPr>
  </w:style>
  <w:style w:type="paragraph" w:styleId="Footer">
    <w:name w:val="footer"/>
    <w:basedOn w:val="Normal"/>
    <w:link w:val="FooterChar"/>
    <w:rsid w:val="00745AEE"/>
    <w:pPr>
      <w:tabs>
        <w:tab w:val="clear" w:pos="1134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745AEE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745AEE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Ref,de nota al pie,Style 12,(NECG) Footnote Reference,Style 124,o,fr,Style 13,FR,Style 17,Appel note de bas de p + 11 pt,Italic,Footnote,Appel note de bas de p1,Style 3"/>
    <w:basedOn w:val="DefaultParagraphFont"/>
    <w:qFormat/>
    <w:rsid w:val="00EB4AE6"/>
    <w:rPr>
      <w:rFonts w:asciiTheme="minorHAnsi" w:hAnsiTheme="minorHAnsi"/>
      <w:position w:val="6"/>
      <w:sz w:val="16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,DNV"/>
    <w:basedOn w:val="Normal"/>
    <w:link w:val="FootnoteTextChar"/>
    <w:uiPriority w:val="99"/>
    <w:qFormat/>
    <w:rsid w:val="00EB4AE6"/>
    <w:pPr>
      <w:keepLines/>
      <w:tabs>
        <w:tab w:val="clear" w:pos="1134"/>
        <w:tab w:val="clear" w:pos="1871"/>
        <w:tab w:val="clear" w:pos="2268"/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uiPriority w:val="99"/>
    <w:qFormat/>
    <w:rsid w:val="00EB4AE6"/>
    <w:rPr>
      <w:rFonts w:ascii="Calibri" w:hAnsi="Calibri"/>
      <w:lang w:val="ru-RU" w:eastAsia="en-US"/>
    </w:rPr>
  </w:style>
  <w:style w:type="paragraph" w:styleId="Header">
    <w:name w:val="header"/>
    <w:basedOn w:val="Normal"/>
    <w:link w:val="HeaderChar"/>
    <w:uiPriority w:val="99"/>
    <w:rsid w:val="00745AEE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45AEE"/>
    <w:rPr>
      <w:rFonts w:ascii="Times New Roman" w:hAnsi="Times New Roman"/>
      <w:sz w:val="18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190B55"/>
    <w:pPr>
      <w:spacing w:before="280"/>
    </w:pPr>
  </w:style>
  <w:style w:type="paragraph" w:customStyle="1" w:styleId="Section1">
    <w:name w:val="Section_1"/>
    <w:basedOn w:val="Normal"/>
    <w:rsid w:val="00190B55"/>
    <w:pPr>
      <w:tabs>
        <w:tab w:val="clear" w:pos="1134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190B55"/>
    <w:rPr>
      <w:b w:val="0"/>
      <w:i/>
    </w:rPr>
  </w:style>
  <w:style w:type="paragraph" w:customStyle="1" w:styleId="Section3">
    <w:name w:val="Section_3"/>
    <w:basedOn w:val="Section1"/>
    <w:rsid w:val="00190B55"/>
    <w:rPr>
      <w:b w:val="0"/>
    </w:rPr>
  </w:style>
  <w:style w:type="paragraph" w:customStyle="1" w:styleId="SectionNo">
    <w:name w:val="Section_No"/>
    <w:basedOn w:val="AnnexNo"/>
    <w:next w:val="Normal"/>
    <w:rsid w:val="00190B55"/>
  </w:style>
  <w:style w:type="paragraph" w:customStyle="1" w:styleId="Sectiontitle">
    <w:name w:val="Section_title"/>
    <w:basedOn w:val="Annextitle"/>
    <w:next w:val="Normalaftertitle"/>
    <w:rsid w:val="00190B55"/>
  </w:style>
  <w:style w:type="paragraph" w:customStyle="1" w:styleId="Source">
    <w:name w:val="Source"/>
    <w:basedOn w:val="Normal"/>
    <w:next w:val="Normal"/>
    <w:rsid w:val="00EB4AE6"/>
    <w:pPr>
      <w:spacing w:before="84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190B55"/>
    <w:pPr>
      <w:tabs>
        <w:tab w:val="left" w:pos="1134"/>
        <w:tab w:val="left" w:pos="2268"/>
      </w:tabs>
      <w:jc w:val="both"/>
    </w:pPr>
    <w:rPr>
      <w:caps w:val="0"/>
      <w:noProof w:val="0"/>
    </w:rPr>
  </w:style>
  <w:style w:type="paragraph" w:customStyle="1" w:styleId="Subsection1">
    <w:name w:val="Subsection_1"/>
    <w:basedOn w:val="Section1"/>
    <w:next w:val="Normalaftertitle"/>
    <w:qFormat/>
    <w:rsid w:val="00190B55"/>
  </w:style>
  <w:style w:type="character" w:customStyle="1" w:styleId="Tablefreq">
    <w:name w:val="Table_freq"/>
    <w:basedOn w:val="DefaultParagraphFont"/>
    <w:rsid w:val="00D96B4B"/>
    <w:rPr>
      <w:rFonts w:asciiTheme="minorHAnsi" w:hAnsiTheme="minorHAnsi"/>
      <w:b/>
      <w:color w:val="auto"/>
      <w:sz w:val="20"/>
    </w:rPr>
  </w:style>
  <w:style w:type="paragraph" w:customStyle="1" w:styleId="Tablehead">
    <w:name w:val="Table_head"/>
    <w:basedOn w:val="Normal"/>
    <w:rsid w:val="00D96B4B"/>
    <w:pPr>
      <w:keepNext/>
      <w:spacing w:before="80" w:after="80"/>
      <w:jc w:val="center"/>
    </w:pPr>
    <w:rPr>
      <w:rFonts w:cs="Times New Roman Bold"/>
      <w:b/>
      <w:sz w:val="20"/>
    </w:rPr>
  </w:style>
  <w:style w:type="paragraph" w:customStyle="1" w:styleId="Tablelegend">
    <w:name w:val="Table_legend"/>
    <w:basedOn w:val="Normal"/>
    <w:rsid w:val="00C214ED"/>
    <w:rPr>
      <w:sz w:val="20"/>
    </w:rPr>
  </w:style>
  <w:style w:type="paragraph" w:customStyle="1" w:styleId="TableNo">
    <w:name w:val="Table_No"/>
    <w:basedOn w:val="Normal"/>
    <w:next w:val="Normal"/>
    <w:rsid w:val="001D058F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Normal"/>
    <w:rsid w:val="00190B55"/>
    <w:pPr>
      <w:keepNext/>
      <w:spacing w:before="560"/>
      <w:jc w:val="center"/>
    </w:pPr>
    <w:rPr>
      <w:sz w:val="20"/>
    </w:rPr>
  </w:style>
  <w:style w:type="paragraph" w:customStyle="1" w:styleId="Normalend">
    <w:name w:val="Normal_end"/>
    <w:basedOn w:val="Normal"/>
    <w:next w:val="Normal"/>
    <w:qFormat/>
    <w:rsid w:val="00D801ED"/>
    <w:rPr>
      <w:lang w:val="en-US"/>
    </w:rPr>
  </w:style>
  <w:style w:type="paragraph" w:customStyle="1" w:styleId="Proposal">
    <w:name w:val="Proposal"/>
    <w:basedOn w:val="Normal"/>
    <w:next w:val="Normal"/>
    <w:rsid w:val="00DE5692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DE5692"/>
    <w:pPr>
      <w:tabs>
        <w:tab w:val="clear" w:pos="2268"/>
        <w:tab w:val="left" w:pos="1588"/>
        <w:tab w:val="left" w:pos="1985"/>
      </w:tabs>
    </w:pPr>
  </w:style>
  <w:style w:type="paragraph" w:customStyle="1" w:styleId="Questiondate">
    <w:name w:val="Question_date"/>
    <w:basedOn w:val="Normal"/>
    <w:next w:val="Normalaftertitle"/>
    <w:rsid w:val="004969AD"/>
    <w:pPr>
      <w:keepNext/>
      <w:keepLines/>
      <w:jc w:val="right"/>
    </w:pPr>
  </w:style>
  <w:style w:type="paragraph" w:customStyle="1" w:styleId="QuestionNo">
    <w:name w:val="Question_No"/>
    <w:basedOn w:val="Normal"/>
    <w:next w:val="Normal"/>
    <w:rsid w:val="00EB4AE6"/>
    <w:pPr>
      <w:keepNext/>
      <w:keepLines/>
      <w:spacing w:before="480"/>
      <w:jc w:val="center"/>
    </w:pPr>
    <w:rPr>
      <w:caps/>
      <w:sz w:val="26"/>
    </w:rPr>
  </w:style>
  <w:style w:type="paragraph" w:customStyle="1" w:styleId="Questiontitle">
    <w:name w:val="Question_title"/>
    <w:basedOn w:val="Normal"/>
    <w:next w:val="Normal"/>
    <w:rsid w:val="00EB4AE6"/>
    <w:pPr>
      <w:keepNext/>
      <w:keepLines/>
      <w:spacing w:before="240"/>
      <w:jc w:val="center"/>
    </w:pPr>
    <w:rPr>
      <w:b/>
      <w:sz w:val="26"/>
    </w:rPr>
  </w:style>
  <w:style w:type="paragraph" w:styleId="TOC1">
    <w:name w:val="toc 1"/>
    <w:basedOn w:val="Normal"/>
    <w:uiPriority w:val="39"/>
    <w:rsid w:val="001D058F"/>
    <w:pPr>
      <w:keepLines/>
      <w:tabs>
        <w:tab w:val="clear" w:pos="1134"/>
        <w:tab w:val="clear" w:pos="2268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39"/>
    <w:rsid w:val="001D058F"/>
    <w:pPr>
      <w:spacing w:before="120"/>
    </w:pPr>
  </w:style>
  <w:style w:type="paragraph" w:styleId="TOC3">
    <w:name w:val="toc 3"/>
    <w:basedOn w:val="TOC2"/>
    <w:rsid w:val="001D058F"/>
  </w:style>
  <w:style w:type="paragraph" w:styleId="TOC4">
    <w:name w:val="toc 4"/>
    <w:basedOn w:val="TOC3"/>
    <w:rsid w:val="001D058F"/>
  </w:style>
  <w:style w:type="paragraph" w:styleId="TOC5">
    <w:name w:val="toc 5"/>
    <w:basedOn w:val="TOC4"/>
    <w:rsid w:val="001D058F"/>
  </w:style>
  <w:style w:type="paragraph" w:styleId="TOC6">
    <w:name w:val="toc 6"/>
    <w:basedOn w:val="TOC4"/>
    <w:rsid w:val="001D058F"/>
  </w:style>
  <w:style w:type="paragraph" w:styleId="TOC7">
    <w:name w:val="toc 7"/>
    <w:basedOn w:val="TOC4"/>
    <w:rsid w:val="001D058F"/>
  </w:style>
  <w:style w:type="paragraph" w:styleId="TOC8">
    <w:name w:val="toc 8"/>
    <w:basedOn w:val="TOC4"/>
    <w:rsid w:val="001D058F"/>
  </w:style>
  <w:style w:type="paragraph" w:customStyle="1" w:styleId="Title1">
    <w:name w:val="Title 1"/>
    <w:basedOn w:val="Source"/>
    <w:next w:val="Normal"/>
    <w:rsid w:val="00CB76A2"/>
    <w:pPr>
      <w:spacing w:before="240"/>
    </w:pPr>
    <w:rPr>
      <w:b w:val="0"/>
    </w:rPr>
  </w:style>
  <w:style w:type="paragraph" w:customStyle="1" w:styleId="Title2">
    <w:name w:val="Title 2"/>
    <w:basedOn w:val="Source"/>
    <w:next w:val="Normal"/>
    <w:rsid w:val="001D05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D05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D058F"/>
    <w:rPr>
      <w:b/>
    </w:rPr>
  </w:style>
  <w:style w:type="paragraph" w:customStyle="1" w:styleId="Tabletext">
    <w:name w:val="Table_text"/>
    <w:basedOn w:val="Normal"/>
    <w:rsid w:val="001D058F"/>
    <w:pPr>
      <w:tabs>
        <w:tab w:val="left" w:pos="284"/>
        <w:tab w:val="left" w:pos="85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text"/>
    <w:rsid w:val="00D96B4B"/>
    <w:pPr>
      <w:keepNext/>
      <w:keepLines/>
      <w:spacing w:before="0" w:after="120"/>
      <w:jc w:val="center"/>
    </w:pPr>
    <w:rPr>
      <w:b/>
      <w:sz w:val="20"/>
    </w:rPr>
  </w:style>
  <w:style w:type="paragraph" w:customStyle="1" w:styleId="Headingi">
    <w:name w:val="Heading_i"/>
    <w:basedOn w:val="Normal"/>
    <w:next w:val="Normal"/>
    <w:qFormat/>
    <w:rsid w:val="00EA12E5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link w:val="HeadingbChar"/>
    <w:qFormat/>
    <w:rsid w:val="00D96B4B"/>
    <w:pPr>
      <w:spacing w:before="160"/>
    </w:pPr>
    <w:rPr>
      <w:rFonts w:cs="Times New Roman Bold"/>
      <w:b/>
      <w:lang w:val="fr-CH"/>
    </w:rPr>
  </w:style>
  <w:style w:type="paragraph" w:customStyle="1" w:styleId="Note">
    <w:name w:val="Note"/>
    <w:basedOn w:val="Normal"/>
    <w:next w:val="Normal"/>
    <w:rsid w:val="00FD772E"/>
    <w:pPr>
      <w:tabs>
        <w:tab w:val="left" w:pos="284"/>
      </w:tabs>
      <w:spacing w:before="80"/>
    </w:pPr>
  </w:style>
  <w:style w:type="paragraph" w:customStyle="1" w:styleId="Part1">
    <w:name w:val="Part_1"/>
    <w:basedOn w:val="Section1"/>
    <w:next w:val="Section1"/>
    <w:qFormat/>
    <w:rsid w:val="00DE2AC3"/>
  </w:style>
  <w:style w:type="paragraph" w:customStyle="1" w:styleId="PartNo">
    <w:name w:val="Part_No"/>
    <w:basedOn w:val="AnnexNo"/>
    <w:next w:val="Normal"/>
    <w:rsid w:val="00DE2AC3"/>
  </w:style>
  <w:style w:type="paragraph" w:customStyle="1" w:styleId="Partref">
    <w:name w:val="Part_ref"/>
    <w:basedOn w:val="Annexref"/>
    <w:next w:val="Normal"/>
    <w:rsid w:val="00DE2AC3"/>
  </w:style>
  <w:style w:type="paragraph" w:customStyle="1" w:styleId="Parttitle">
    <w:name w:val="Part_title"/>
    <w:basedOn w:val="Annextitle"/>
    <w:next w:val="Normalaftertitle"/>
    <w:rsid w:val="00DE2AC3"/>
  </w:style>
  <w:style w:type="paragraph" w:customStyle="1" w:styleId="Recdate">
    <w:name w:val="Rec_date"/>
    <w:basedOn w:val="Normal"/>
    <w:next w:val="Normalaftertitle"/>
    <w:rsid w:val="00DE2AC3"/>
    <w:pPr>
      <w:keepNext/>
      <w:keepLines/>
      <w:jc w:val="right"/>
    </w:pPr>
  </w:style>
  <w:style w:type="paragraph" w:customStyle="1" w:styleId="RecNo">
    <w:name w:val="Rec_No"/>
    <w:basedOn w:val="Normal"/>
    <w:next w:val="Normal"/>
    <w:rsid w:val="00EB4AE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Normal"/>
    <w:rsid w:val="00D96B4B"/>
    <w:pPr>
      <w:spacing w:before="240"/>
    </w:pPr>
    <w:rPr>
      <w:b/>
      <w:caps w:val="0"/>
    </w:rPr>
  </w:style>
  <w:style w:type="paragraph" w:customStyle="1" w:styleId="ResNo">
    <w:name w:val="Res_No"/>
    <w:basedOn w:val="RecNo"/>
    <w:next w:val="Normal"/>
    <w:rsid w:val="00DE2AC3"/>
  </w:style>
  <w:style w:type="paragraph" w:customStyle="1" w:styleId="Restitle">
    <w:name w:val="Res_title"/>
    <w:basedOn w:val="Rectitle"/>
    <w:next w:val="Normal"/>
    <w:rsid w:val="00DE2AC3"/>
  </w:style>
  <w:style w:type="paragraph" w:customStyle="1" w:styleId="AppArtNo">
    <w:name w:val="App_Art_No"/>
    <w:basedOn w:val="ArtNo"/>
    <w:qFormat/>
    <w:rsid w:val="00EB4AE6"/>
  </w:style>
  <w:style w:type="paragraph" w:customStyle="1" w:styleId="AppArttitle">
    <w:name w:val="App_Art_title"/>
    <w:basedOn w:val="Arttitle"/>
    <w:qFormat/>
    <w:rsid w:val="00A066F1"/>
  </w:style>
  <w:style w:type="paragraph" w:customStyle="1" w:styleId="Opiniontitle">
    <w:name w:val="Opinion_title"/>
    <w:basedOn w:val="Rectitle"/>
    <w:next w:val="Normalaftertitle"/>
    <w:qFormat/>
    <w:rsid w:val="00EB4AE6"/>
  </w:style>
  <w:style w:type="paragraph" w:customStyle="1" w:styleId="OpinionNo">
    <w:name w:val="Opinion_No"/>
    <w:basedOn w:val="RecNo"/>
    <w:next w:val="Opiniontitle"/>
    <w:qFormat/>
    <w:rsid w:val="00EB4AE6"/>
  </w:style>
  <w:style w:type="paragraph" w:customStyle="1" w:styleId="Volumetitle">
    <w:name w:val="Volume_title"/>
    <w:basedOn w:val="Normal"/>
    <w:qFormat/>
    <w:rsid w:val="00EB4AE6"/>
    <w:pPr>
      <w:tabs>
        <w:tab w:val="clear" w:pos="1134"/>
        <w:tab w:val="clear" w:pos="2268"/>
      </w:tabs>
      <w:overflowPunct/>
      <w:autoSpaceDE/>
      <w:autoSpaceDN/>
      <w:adjustRightInd/>
      <w:spacing w:before="0"/>
      <w:textAlignment w:val="auto"/>
    </w:pPr>
    <w:rPr>
      <w:b/>
      <w:sz w:val="26"/>
      <w:lang w:val="en-US"/>
    </w:rPr>
  </w:style>
  <w:style w:type="paragraph" w:styleId="BalloonText">
    <w:name w:val="Balloon Text"/>
    <w:basedOn w:val="Normal"/>
    <w:link w:val="BalloonTextChar"/>
    <w:uiPriority w:val="99"/>
    <w:rsid w:val="004131D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131D4"/>
    <w:rPr>
      <w:rFonts w:ascii="Tahoma" w:hAnsi="Tahoma" w:cs="Tahoma"/>
      <w:sz w:val="16"/>
      <w:szCs w:val="16"/>
      <w:lang w:val="en-GB" w:eastAsia="en-US"/>
    </w:rPr>
  </w:style>
  <w:style w:type="paragraph" w:customStyle="1" w:styleId="Committee">
    <w:name w:val="Committee"/>
    <w:basedOn w:val="Normal"/>
    <w:qFormat/>
    <w:rsid w:val="004131D4"/>
    <w:pPr>
      <w:framePr w:hSpace="180" w:wrap="around" w:hAnchor="margin" w:y="-675"/>
      <w:tabs>
        <w:tab w:val="left" w:pos="851"/>
      </w:tabs>
      <w:spacing w:before="0" w:line="240" w:lineRule="atLeast"/>
    </w:pPr>
    <w:rPr>
      <w:rFonts w:cstheme="minorHAnsi"/>
      <w:b/>
      <w:szCs w:val="24"/>
    </w:rPr>
  </w:style>
  <w:style w:type="character" w:styleId="Hyperlink">
    <w:name w:val="Hyperlink"/>
    <w:aliases w:val="CEO_Hyperlink,超级链接,超?级链,Style 58,超????,하이퍼링크2,超链接1,超?级链?,Style?,S,하이퍼링크21,ECC Hyperlink,超??级链Ú,fL????,fL?级,超??级链,超?级链ïÈ,õ±?级链,õ±链ïÈ1,õ±???,超?级链Ú,’´?级链,’´????,’´??级链Ú,’´??级"/>
    <w:uiPriority w:val="99"/>
    <w:qFormat/>
    <w:rsid w:val="00D83BF5"/>
    <w:rPr>
      <w:color w:val="0000FF"/>
      <w:u w:val="single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D83BF5"/>
    <w:rPr>
      <w:rFonts w:asciiTheme="minorHAnsi" w:hAnsiTheme="minorHAnsi"/>
      <w:sz w:val="24"/>
      <w:lang w:val="en-GB" w:eastAsia="en-US"/>
    </w:rPr>
  </w:style>
  <w:style w:type="table" w:styleId="TableGrid">
    <w:name w:val="Table Grid"/>
    <w:basedOn w:val="TableNormal"/>
    <w:uiPriority w:val="59"/>
    <w:rsid w:val="001E252D"/>
    <w:rPr>
      <w:rFonts w:ascii="CG Times" w:hAnsi="CG Tim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nhideWhenUsed/>
    <w:rsid w:val="00412C81"/>
    <w:rPr>
      <w:color w:val="800080" w:themeColor="followedHyperlink"/>
      <w:u w:val="single"/>
    </w:rPr>
  </w:style>
  <w:style w:type="paragraph" w:customStyle="1" w:styleId="Default">
    <w:name w:val="Default"/>
    <w:rsid w:val="00DB459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CEOcontributionStart">
    <w:name w:val="CEO_contributionStart"/>
    <w:basedOn w:val="Normal"/>
    <w:rsid w:val="003C1870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360" w:after="120"/>
      <w:textAlignment w:val="auto"/>
    </w:pPr>
    <w:rPr>
      <w:rFonts w:ascii="Verdana" w:eastAsia="SimHei" w:hAnsi="Verdana" w:cs="Simplified Arabic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674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47D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47D8"/>
    <w:rPr>
      <w:rFonts w:asciiTheme="minorHAnsi" w:hAnsiTheme="minorHAns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7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7D8"/>
    <w:rPr>
      <w:rFonts w:asciiTheme="minorHAnsi" w:hAnsiTheme="minorHAnsi"/>
      <w:b/>
      <w:bCs/>
      <w:lang w:val="en-GB" w:eastAsia="en-US"/>
    </w:rPr>
  </w:style>
  <w:style w:type="paragraph" w:styleId="Revision">
    <w:name w:val="Revision"/>
    <w:hidden/>
    <w:uiPriority w:val="99"/>
    <w:semiHidden/>
    <w:rsid w:val="006747D8"/>
    <w:rPr>
      <w:rFonts w:asciiTheme="minorHAnsi" w:hAnsiTheme="minorHAnsi"/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49A5"/>
    <w:rPr>
      <w:color w:val="605E5C"/>
      <w:shd w:val="clear" w:color="auto" w:fill="E1DFDD"/>
    </w:rPr>
  </w:style>
  <w:style w:type="paragraph" w:customStyle="1" w:styleId="CEOAgendaItemN">
    <w:name w:val="CEO_AgendaItemN°"/>
    <w:basedOn w:val="Normal"/>
    <w:rsid w:val="00BF4F16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60" w:after="60"/>
      <w:ind w:right="12"/>
      <w:jc w:val="right"/>
      <w:textAlignment w:val="auto"/>
    </w:pPr>
    <w:rPr>
      <w:rFonts w:ascii="Verdana" w:eastAsia="SimHei" w:hAnsi="Verdana" w:cs="Simplified Arabic"/>
      <w:bCs/>
      <w:sz w:val="19"/>
      <w:szCs w:val="19"/>
      <w:lang w:val="en-US"/>
    </w:rPr>
  </w:style>
  <w:style w:type="character" w:customStyle="1" w:styleId="enumlev1Char">
    <w:name w:val="enumlev1 Char"/>
    <w:link w:val="enumlev1"/>
    <w:qFormat/>
    <w:rsid w:val="00A62F73"/>
    <w:rPr>
      <w:rFonts w:asciiTheme="minorHAnsi" w:hAnsiTheme="minorHAnsi"/>
      <w:sz w:val="24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7345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10D23"/>
    <w:rPr>
      <w:color w:val="605E5C"/>
      <w:shd w:val="clear" w:color="auto" w:fill="E1DFDD"/>
    </w:rPr>
  </w:style>
  <w:style w:type="character" w:customStyle="1" w:styleId="HeadingbChar">
    <w:name w:val="Heading_b Char"/>
    <w:basedOn w:val="DefaultParagraphFont"/>
    <w:link w:val="Headingb"/>
    <w:locked/>
    <w:rsid w:val="005E032D"/>
    <w:rPr>
      <w:rFonts w:asciiTheme="minorHAnsi" w:hAnsiTheme="minorHAnsi" w:cs="Times New Roman Bold"/>
      <w:b/>
      <w:sz w:val="24"/>
      <w:lang w:val="fr-CH" w:eastAsia="en-US"/>
    </w:rPr>
  </w:style>
  <w:style w:type="paragraph" w:styleId="ListParagraph">
    <w:name w:val="List Paragraph"/>
    <w:aliases w:val="List Paragraph1,Recommendation,List Paragraph11,O5,Para_sk,Resume Title,- Bullets,Equipment,Numbered Indented Text,Figure_name,Citation List,List Paragraph Char Char,Bullets,list1,b1,Number_1,Normal Sentence,Colorful List - Accent 11,new"/>
    <w:basedOn w:val="Normal"/>
    <w:link w:val="ListParagraphChar"/>
    <w:uiPriority w:val="34"/>
    <w:qFormat/>
    <w:rsid w:val="00617DE5"/>
    <w:pPr>
      <w:ind w:left="720"/>
      <w:contextualSpacing/>
    </w:pPr>
    <w:rPr>
      <w:rFonts w:asciiTheme="minorHAnsi" w:hAnsiTheme="minorHAnsi"/>
      <w:sz w:val="24"/>
      <w:lang w:val="en-GB"/>
    </w:rPr>
  </w:style>
  <w:style w:type="character" w:customStyle="1" w:styleId="ListParagraphChar">
    <w:name w:val="List Paragraph Char"/>
    <w:aliases w:val="List Paragraph1 Char,Recommendation Char,List Paragraph11 Char,O5 Char,Para_sk Char,Resume Title Char,- Bullets Char,Equipment Char,Numbered Indented Text Char,Figure_name Char,Citation List Char,List Paragraph Char Char Char,b1 Char"/>
    <w:link w:val="ListParagraph"/>
    <w:uiPriority w:val="34"/>
    <w:qFormat/>
    <w:rsid w:val="00617DE5"/>
    <w:rPr>
      <w:rFonts w:asciiTheme="minorHAnsi" w:hAnsiTheme="minorHAnsi"/>
      <w:sz w:val="24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17DE5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GB"/>
    </w:rPr>
  </w:style>
  <w:style w:type="paragraph" w:customStyle="1" w:styleId="BDTNormal">
    <w:name w:val="BDT_Normal"/>
    <w:link w:val="BDTNormalChar"/>
    <w:uiPriority w:val="99"/>
    <w:rsid w:val="00617DE5"/>
    <w:pPr>
      <w:spacing w:before="120" w:after="120"/>
    </w:pPr>
    <w:rPr>
      <w:rFonts w:ascii="Calibri" w:eastAsia="SimSun" w:hAnsi="Calibri" w:cs="Traditional Arabic"/>
      <w:sz w:val="22"/>
      <w:szCs w:val="30"/>
      <w:lang w:val="es-ES" w:eastAsia="en-US"/>
    </w:rPr>
  </w:style>
  <w:style w:type="character" w:customStyle="1" w:styleId="BDTNormalChar">
    <w:name w:val="BDT_Normal Char"/>
    <w:basedOn w:val="DefaultParagraphFont"/>
    <w:link w:val="BDTNormal"/>
    <w:uiPriority w:val="99"/>
    <w:locked/>
    <w:rsid w:val="00617DE5"/>
    <w:rPr>
      <w:rFonts w:ascii="Calibri" w:eastAsia="SimSun" w:hAnsi="Calibri" w:cs="Traditional Arabic"/>
      <w:sz w:val="22"/>
      <w:szCs w:val="30"/>
      <w:lang w:val="es-ES" w:eastAsia="en-US"/>
    </w:rPr>
  </w:style>
  <w:style w:type="paragraph" w:customStyle="1" w:styleId="CEONormal">
    <w:name w:val="CEO_Normal"/>
    <w:link w:val="CEONormalChar"/>
    <w:qFormat/>
    <w:rsid w:val="00617DE5"/>
    <w:rPr>
      <w:rFonts w:ascii="Verdana" w:eastAsia="SimSun" w:hAnsi="Verdana"/>
      <w:sz w:val="19"/>
      <w:szCs w:val="19"/>
      <w:lang w:val="en-GB" w:eastAsia="en-US"/>
    </w:rPr>
  </w:style>
  <w:style w:type="character" w:customStyle="1" w:styleId="CEONormalChar">
    <w:name w:val="CEO_Normal Char"/>
    <w:link w:val="CEONormal"/>
    <w:rsid w:val="00617DE5"/>
    <w:rPr>
      <w:rFonts w:ascii="Verdana" w:eastAsia="SimSun" w:hAnsi="Verdana"/>
      <w:sz w:val="19"/>
      <w:szCs w:val="19"/>
      <w:lang w:val="en-GB" w:eastAsia="en-US"/>
    </w:rPr>
  </w:style>
  <w:style w:type="paragraph" w:styleId="NormalWeb">
    <w:name w:val="Normal (Web)"/>
    <w:basedOn w:val="Normal"/>
    <w:uiPriority w:val="99"/>
    <w:unhideWhenUsed/>
    <w:rsid w:val="00617DE5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617DE5"/>
    <w:rPr>
      <w:b/>
      <w:bCs/>
    </w:rPr>
  </w:style>
  <w:style w:type="character" w:customStyle="1" w:styleId="ms-rtethemeforecolor-2-0">
    <w:name w:val="ms-rtethemeforecolor-2-0"/>
    <w:basedOn w:val="DefaultParagraphFont"/>
    <w:rsid w:val="00617DE5"/>
  </w:style>
  <w:style w:type="paragraph" w:styleId="Date">
    <w:name w:val="Date"/>
    <w:basedOn w:val="Normal"/>
    <w:link w:val="DateChar"/>
    <w:rsid w:val="00617DE5"/>
    <w:pPr>
      <w:framePr w:hSpace="181" w:wrap="notBeside" w:vAnchor="page" w:hAnchor="page" w:x="1135" w:y="852"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843"/>
        <w:tab w:val="left" w:pos="1985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rFonts w:eastAsia="Times New Roman"/>
      <w:sz w:val="20"/>
      <w:szCs w:val="22"/>
    </w:rPr>
  </w:style>
  <w:style w:type="character" w:customStyle="1" w:styleId="DateChar">
    <w:name w:val="Date Char"/>
    <w:basedOn w:val="DefaultParagraphFont"/>
    <w:link w:val="Date"/>
    <w:rsid w:val="00617DE5"/>
    <w:rPr>
      <w:rFonts w:ascii="Calibri" w:eastAsia="Times New Roman" w:hAnsi="Calibri"/>
      <w:szCs w:val="22"/>
      <w:lang w:val="ru-RU" w:eastAsia="en-US"/>
    </w:rPr>
  </w:style>
  <w:style w:type="paragraph" w:customStyle="1" w:styleId="firstfooter0">
    <w:name w:val="firstfooter"/>
    <w:basedOn w:val="Normal"/>
    <w:rsid w:val="00617DE5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617DE5"/>
    <w:rPr>
      <w:rFonts w:ascii="Calibri" w:hAnsi="Calibri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617DE5"/>
    <w:rPr>
      <w:rFonts w:ascii="Calibri" w:hAnsi="Calibri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617DE5"/>
    <w:rPr>
      <w:rFonts w:ascii="Calibri" w:hAnsi="Calibri"/>
      <w:b/>
      <w:sz w:val="22"/>
      <w:lang w:val="ru-RU" w:eastAsia="en-US"/>
    </w:rPr>
  </w:style>
  <w:style w:type="paragraph" w:customStyle="1" w:styleId="MinusFootnote">
    <w:name w:val="MinusFootnote"/>
    <w:basedOn w:val="Normal"/>
    <w:rsid w:val="00617DE5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-1701" w:hanging="284"/>
    </w:pPr>
    <w:rPr>
      <w:rFonts w:eastAsia="Times New Roman"/>
      <w:szCs w:val="22"/>
    </w:rPr>
  </w:style>
  <w:style w:type="character" w:styleId="PageNumber">
    <w:name w:val="page number"/>
    <w:basedOn w:val="DefaultParagraphFont"/>
    <w:rsid w:val="00617DE5"/>
    <w:rPr>
      <w:rFonts w:asciiTheme="minorHAnsi" w:hAnsiTheme="minorHAnsi"/>
    </w:rPr>
  </w:style>
  <w:style w:type="paragraph" w:customStyle="1" w:styleId="Part">
    <w:name w:val="Part"/>
    <w:basedOn w:val="Normal"/>
    <w:next w:val="Normal"/>
    <w:rsid w:val="00617DE5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600"/>
      <w:jc w:val="center"/>
    </w:pPr>
    <w:rPr>
      <w:rFonts w:eastAsia="Times New Roman"/>
      <w:caps/>
      <w:sz w:val="26"/>
      <w:szCs w:val="22"/>
    </w:rPr>
  </w:style>
  <w:style w:type="paragraph" w:customStyle="1" w:styleId="Reftext">
    <w:name w:val="Ref_text"/>
    <w:basedOn w:val="Normal"/>
    <w:rsid w:val="00617DE5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567" w:hanging="567"/>
    </w:pPr>
    <w:rPr>
      <w:rFonts w:eastAsia="Times New Roman"/>
      <w:szCs w:val="22"/>
    </w:rPr>
  </w:style>
  <w:style w:type="paragraph" w:customStyle="1" w:styleId="Reftitle">
    <w:name w:val="Ref_title"/>
    <w:basedOn w:val="Normal"/>
    <w:next w:val="Reftext"/>
    <w:rsid w:val="00617DE5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eastAsia="Times New Roman"/>
      <w:caps/>
      <w:sz w:val="28"/>
      <w:szCs w:val="22"/>
    </w:rPr>
  </w:style>
  <w:style w:type="paragraph" w:customStyle="1" w:styleId="Section10">
    <w:name w:val="Section 1"/>
    <w:basedOn w:val="ChapNo"/>
    <w:next w:val="Normal"/>
    <w:rsid w:val="00617DE5"/>
    <w:pPr>
      <w:keepNext w:val="0"/>
      <w:keepLines w:val="0"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600"/>
    </w:pPr>
    <w:rPr>
      <w:rFonts w:eastAsia="Times New Roman"/>
      <w:b w:val="0"/>
      <w:caps w:val="0"/>
      <w:szCs w:val="22"/>
    </w:rPr>
  </w:style>
  <w:style w:type="paragraph" w:customStyle="1" w:styleId="Section20">
    <w:name w:val="Section 2"/>
    <w:basedOn w:val="Section10"/>
    <w:next w:val="Normal"/>
    <w:rsid w:val="00617DE5"/>
    <w:pPr>
      <w:spacing w:before="240"/>
    </w:pPr>
    <w:rPr>
      <w:b/>
      <w:i/>
    </w:rPr>
  </w:style>
  <w:style w:type="paragraph" w:customStyle="1" w:styleId="toc0">
    <w:name w:val="toc 0"/>
    <w:basedOn w:val="Normal"/>
    <w:next w:val="TOC1"/>
    <w:rsid w:val="00617DE5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  <w:tab w:val="right" w:pos="9781"/>
      </w:tabs>
    </w:pPr>
    <w:rPr>
      <w:rFonts w:eastAsia="Times New Roman"/>
      <w:b/>
      <w:szCs w:val="22"/>
    </w:rPr>
  </w:style>
  <w:style w:type="paragraph" w:customStyle="1" w:styleId="CEONormalabc">
    <w:name w:val="CEO_Normal_abc"/>
    <w:basedOn w:val="Normal"/>
    <w:link w:val="CEONormalabcChar"/>
    <w:uiPriority w:val="99"/>
    <w:rsid w:val="00617DE5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60" w:line="259" w:lineRule="auto"/>
      <w:ind w:left="717" w:hanging="360"/>
      <w:textAlignment w:val="auto"/>
    </w:pPr>
    <w:rPr>
      <w:rFonts w:ascii="Verdana" w:eastAsia="SimSun" w:hAnsi="Verdana" w:cstheme="minorBidi"/>
      <w:sz w:val="19"/>
      <w:szCs w:val="19"/>
      <w:lang w:val="en-GB" w:eastAsia="zh-CN"/>
    </w:rPr>
  </w:style>
  <w:style w:type="character" w:customStyle="1" w:styleId="CEONormalabcChar">
    <w:name w:val="CEO_Normal_abc Char"/>
    <w:basedOn w:val="DefaultParagraphFont"/>
    <w:link w:val="CEONormalabc"/>
    <w:uiPriority w:val="99"/>
    <w:locked/>
    <w:rsid w:val="00617DE5"/>
    <w:rPr>
      <w:rFonts w:ascii="Verdana" w:eastAsia="SimSun" w:hAnsi="Verdana" w:cstheme="minorBidi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md/D22-TDAG31-C-0051/" TargetMode="External"/><Relationship Id="rId18" Type="http://schemas.openxmlformats.org/officeDocument/2006/relationships/hyperlink" Target="https://www.itu.int/ru/ITU-D/conferences/WTDC/WTDC21/Pages/default.aspx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itu.int/en/ITU-D/Conferences/TDAG/Pages/2024/TDAG_WG_SR.aspx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hyperlink" Target="https://www.itu.int/en/ITU-D/Conferences/TDAG/Pages/2024/TDAG_WG_DEC.aspx" TargetMode="External"/><Relationship Id="rId47" Type="http://schemas.openxmlformats.org/officeDocument/2006/relationships/hyperlink" Target="https://www.itu.int/en/general-secretariat/ties/ISCGDocumentLibrary/1st%20Meeting%202024/ISCG-24-1-02-1st%20Meeting%202023-Final%20Report.docx" TargetMode="External"/><Relationship Id="rId50" Type="http://schemas.openxmlformats.org/officeDocument/2006/relationships/hyperlink" Target="https://www.itu.int/en/general-secretariat/ties/ISCGDocumentLibrary/1st%20Meeting%202025/ISCG-25-1-02-Final%20Report-3rd%20Meeting%202024-Final.docx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itu.int/ITU-D/tdag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2.jpeg"/><Relationship Id="rId24" Type="http://schemas.openxmlformats.org/officeDocument/2006/relationships/hyperlink" Target="https://youtu.be/zGo4gpVbtSQ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itu.int/md/D22-TDAG.ICG.GYS-C-0012/" TargetMode="External"/><Relationship Id="rId40" Type="http://schemas.openxmlformats.org/officeDocument/2006/relationships/hyperlink" Target="https://www.itu.int/en/ITU-D/Conferences/TDAG/Pages/2024/TDAG_WG_futureSGQ.aspx" TargetMode="External"/><Relationship Id="rId45" Type="http://schemas.openxmlformats.org/officeDocument/2006/relationships/hyperlink" Target="https://www.itu.int/md/meetingdoc.asp?lang=en&amp;parent=D22-RPMASP-C-0018" TargetMode="External"/><Relationship Id="rId53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hyperlink" Target="https://youtu.be/INyooRqdJo4" TargetMode="External"/><Relationship Id="rId44" Type="http://schemas.openxmlformats.org/officeDocument/2006/relationships/hyperlink" Target="https://www.itu.int/md/meetingdoc.asp?lang=en&amp;parent=D22-RPMARB-C-0020" TargetMode="External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tu.int/md/D22-TDAG.EXTRA-C-0010/e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www.itu.int/md/meetingdoc.asp?lang=en&amp;parent=D22-TDAG31-C-0051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www.itu.int/en/ITU-D/Conferences/TDAG/Pages/2024/TDAG_ICG_GYS.aspx" TargetMode="External"/><Relationship Id="rId48" Type="http://schemas.openxmlformats.org/officeDocument/2006/relationships/hyperlink" Target="https://www.itu.int/en/general-secretariat/ties/ISCGDocumentLibrary/2nd%20Meeting%202024/ISCG-24-2-02-1st%20Meeting%202024-Final%20Report.docx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itu.int/en/general-secretariat/ties/Pages/ISCG-documents.aspx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itu.int/md/D22-TDAG30-C-0048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hyperlink" Target="https://www.itu.int/dms_pub/itu-d/md/22/tdag.extra/c/D22-TDAG.EXTRA-C-0010!R1!MSW-E.docx" TargetMode="External"/><Relationship Id="rId46" Type="http://schemas.openxmlformats.org/officeDocument/2006/relationships/hyperlink" Target="https://www.itu.int/md/meetingdoc.asp?lang=en&amp;parent=D22-RPMEUR-C-0030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itu.int/en/ITU-D/Conferences/TDAG/Pages/TDAG_WG_SOP.aspx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itu.int/ITU-D/tdag/" TargetMode="External"/><Relationship Id="rId23" Type="http://schemas.openxmlformats.org/officeDocument/2006/relationships/hyperlink" Target="https://www.itu.int/dms_pub/itu-d/md/22/tdag30/c/D22-TDAG30-C-0048!R2!MSW-E.docx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www.itu.int/en/general-secretariat/ties/ISCGDocumentLibrary/3rd%20Meeting%202024/ISCG-24-3-02-2nd%20Meeting%202024-Final%20Report_tsb-R1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xanne.Webber@fcc.gov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ITU-D/Projects/ITU-EC-ACP/PRIDA/Pages/default.aspx" TargetMode="External"/><Relationship Id="rId3" Type="http://schemas.openxmlformats.org/officeDocument/2006/relationships/hyperlink" Target="https://www.itu.int/en/ITU-D/Regional-Presence/Americas/Pages/EVENTS/2024/cons-awa-2024.aspx" TargetMode="External"/><Relationship Id="rId7" Type="http://schemas.openxmlformats.org/officeDocument/2006/relationships/hyperlink" Target="https://www.itu.int/itu-d/sites/projectumc/home/the-umc-project/" TargetMode="External"/><Relationship Id="rId2" Type="http://schemas.openxmlformats.org/officeDocument/2006/relationships/hyperlink" Target="https://www.itu.int/md/D22-TDAG.WG.SGQ-C-0029/en" TargetMode="External"/><Relationship Id="rId1" Type="http://schemas.openxmlformats.org/officeDocument/2006/relationships/hyperlink" Target="https://www.itu.int/en/ITU-D/Conferences/TDAG/Pages/2024/TDAG_WG_futureSGQ.aspx" TargetMode="External"/><Relationship Id="rId6" Type="http://schemas.openxmlformats.org/officeDocument/2006/relationships/hyperlink" Target="https://www.itu.int/md/D22-SG01-C-0329/" TargetMode="External"/><Relationship Id="rId5" Type="http://schemas.openxmlformats.org/officeDocument/2006/relationships/hyperlink" Target="https://www.itu.int/en/ITU-D/Study-Groups/2022-2025/Pages/meetings/workshop-products_usage-may23.aspx" TargetMode="External"/><Relationship Id="rId4" Type="http://schemas.openxmlformats.org/officeDocument/2006/relationships/hyperlink" Target="https://www.itu.int/en/ITU-D/Study-Groups/2022-2025/Pages/meetings/workshop-innovation-may23.aspx" TargetMode="External"/><Relationship Id="rId9" Type="http://schemas.openxmlformats.org/officeDocument/2006/relationships/hyperlink" Target="https://www.itu.int/generationconne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ea696a-cca3-460b-a983-57ac2621983a">
      <Terms xmlns="http://schemas.microsoft.com/office/infopath/2007/PartnerControls"/>
    </lcf76f155ced4ddcb4097134ff3c332f>
    <TaxCatchAll xmlns="29399490-13b9-4c73-b71e-403b715b75a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1F7F6C5263B4B928A068E40912AB8" ma:contentTypeVersion="17" ma:contentTypeDescription="Create a new document." ma:contentTypeScope="" ma:versionID="48061b00bcf7b8aa18151b08dc79302a">
  <xsd:schema xmlns:xsd="http://www.w3.org/2001/XMLSchema" xmlns:xs="http://www.w3.org/2001/XMLSchema" xmlns:p="http://schemas.microsoft.com/office/2006/metadata/properties" xmlns:ns2="d4ea696a-cca3-460b-a983-57ac2621983a" xmlns:ns3="29399490-13b9-4c73-b71e-403b715b75a7" targetNamespace="http://schemas.microsoft.com/office/2006/metadata/properties" ma:root="true" ma:fieldsID="38f4693b0e822d0bcf798bdc19be79e5" ns2:_="" ns3:_="">
    <xsd:import namespace="d4ea696a-cca3-460b-a983-57ac2621983a"/>
    <xsd:import namespace="29399490-13b9-4c73-b71e-403b715b7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a696a-cca3-460b-a983-57ac262198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e895586-ec57-4162-862b-459531235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99490-13b9-4c73-b71e-403b715b7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d36094f-0688-4081-a569-0c74b76e7ddf}" ma:internalName="TaxCatchAll" ma:showField="CatchAllData" ma:web="29399490-13b9-4c73-b71e-403b715b7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7C67D6-CEFE-4AFE-8EC3-4585BFEF5B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12A876-AB41-4784-9C7F-CAA56FAF50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A2F48D-2367-488F-A57D-018012C192A6}"/>
</file>

<file path=customXml/itemProps4.xml><?xml version="1.0" encoding="utf-8"?>
<ds:datastoreItem xmlns:ds="http://schemas.openxmlformats.org/officeDocument/2006/customXml" ds:itemID="{91D358B6-82FD-4ED4-B974-7341365ED9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19</Pages>
  <Words>4375</Words>
  <Characters>33581</Characters>
  <Application>Microsoft Office Word</Application>
  <DocSecurity>0</DocSecurity>
  <Lines>279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>General Secretariat - Pool</Manager>
  <Company/>
  <LinksUpToDate>false</LinksUpToDate>
  <CharactersWithSpaces>37881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Rudometova, Alisa</dc:creator>
  <cp:lastModifiedBy>NA</cp:lastModifiedBy>
  <cp:revision>14</cp:revision>
  <cp:lastPrinted>2019-01-16T07:57:00Z</cp:lastPrinted>
  <dcterms:created xsi:type="dcterms:W3CDTF">2025-05-07T13:58:00Z</dcterms:created>
  <dcterms:modified xsi:type="dcterms:W3CDTF">2025-05-08T08:31:00Z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PE_WRC07.dotm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0x0101000421F7F6C5263B4B928A068E40912AB8</vt:lpwstr>
  </property>
  <property fmtid="{D5CDD505-2E9C-101B-9397-08002B2CF9AE}" pid="10" name="_dlc_DocIdItemGuid">
    <vt:lpwstr>1277586e-23f4-4a9c-8b22-c68c4fc349db</vt:lpwstr>
  </property>
  <property fmtid="{D5CDD505-2E9C-101B-9397-08002B2CF9AE}" pid="11" name="Mendeley Recent Style Id 0_1">
    <vt:lpwstr>http://www.zotero.org/styles/american-medical-association</vt:lpwstr>
  </property>
  <property fmtid="{D5CDD505-2E9C-101B-9397-08002B2CF9AE}" pid="12" name="Mendeley Recent Style Name 0_1">
    <vt:lpwstr>American Medical Association</vt:lpwstr>
  </property>
  <property fmtid="{D5CDD505-2E9C-101B-9397-08002B2CF9AE}" pid="13" name="Mendeley Recent Style Id 1_1">
    <vt:lpwstr>http://www.zotero.org/styles/american-political-science-association</vt:lpwstr>
  </property>
  <property fmtid="{D5CDD505-2E9C-101B-9397-08002B2CF9AE}" pid="14" name="Mendeley Recent Style Name 1_1">
    <vt:lpwstr>American Political Science Association</vt:lpwstr>
  </property>
  <property fmtid="{D5CDD505-2E9C-101B-9397-08002B2CF9AE}" pid="15" name="Mendeley Recent Style Id 2_1">
    <vt:lpwstr>http://www.zotero.org/styles/apa</vt:lpwstr>
  </property>
  <property fmtid="{D5CDD505-2E9C-101B-9397-08002B2CF9AE}" pid="16" name="Mendeley Recent Style Name 2_1">
    <vt:lpwstr>American Psychological Association 6th edition</vt:lpwstr>
  </property>
  <property fmtid="{D5CDD505-2E9C-101B-9397-08002B2CF9AE}" pid="17" name="Mendeley Recent Style Id 3_1">
    <vt:lpwstr>http://www.zotero.org/styles/american-sociological-association</vt:lpwstr>
  </property>
  <property fmtid="{D5CDD505-2E9C-101B-9397-08002B2CF9AE}" pid="18" name="Mendeley Recent Style Name 3_1">
    <vt:lpwstr>American Sociological Association</vt:lpwstr>
  </property>
  <property fmtid="{D5CDD505-2E9C-101B-9397-08002B2CF9AE}" pid="19" name="Mendeley Recent Style Id 4_1">
    <vt:lpwstr>http://www.zotero.org/styles/chicago-author-date</vt:lpwstr>
  </property>
  <property fmtid="{D5CDD505-2E9C-101B-9397-08002B2CF9AE}" pid="20" name="Mendeley Recent Style Name 4_1">
    <vt:lpwstr>Chicago Manual of Style 16th edition (author-date)</vt:lpwstr>
  </property>
  <property fmtid="{D5CDD505-2E9C-101B-9397-08002B2CF9AE}" pid="21" name="Mendeley Recent Style Id 5_1">
    <vt:lpwstr>http://www.zotero.org/styles/harvard1</vt:lpwstr>
  </property>
  <property fmtid="{D5CDD505-2E9C-101B-9397-08002B2CF9AE}" pid="22" name="Mendeley Recent Style Name 5_1">
    <vt:lpwstr>Harvard Reference format 1 (author-date)</vt:lpwstr>
  </property>
  <property fmtid="{D5CDD505-2E9C-101B-9397-08002B2CF9AE}" pid="23" name="Mendeley Recent Style Id 6_1">
    <vt:lpwstr>http://www.zotero.org/styles/ieee</vt:lpwstr>
  </property>
  <property fmtid="{D5CDD505-2E9C-101B-9397-08002B2CF9AE}" pid="24" name="Mendeley Recent Style Name 6_1">
    <vt:lpwstr>IEEE</vt:lpwstr>
  </property>
  <property fmtid="{D5CDD505-2E9C-101B-9397-08002B2CF9AE}" pid="25" name="Mendeley Recent Style Id 7_1">
    <vt:lpwstr>http://www.zotero.org/styles/modern-humanities-research-association</vt:lpwstr>
  </property>
  <property fmtid="{D5CDD505-2E9C-101B-9397-08002B2CF9AE}" pid="26" name="Mendeley Recent Style Name 7_1">
    <vt:lpwstr>Modern Humanities Research Association 3rd edition (note with bibliography)</vt:lpwstr>
  </property>
  <property fmtid="{D5CDD505-2E9C-101B-9397-08002B2CF9AE}" pid="27" name="Mendeley Recent Style Id 8_1">
    <vt:lpwstr>http://www.zotero.org/styles/modern-language-association</vt:lpwstr>
  </property>
  <property fmtid="{D5CDD505-2E9C-101B-9397-08002B2CF9AE}" pid="28" name="Mendeley Recent Style Name 8_1">
    <vt:lpwstr>Modern Language Association 7th edition</vt:lpwstr>
  </property>
  <property fmtid="{D5CDD505-2E9C-101B-9397-08002B2CF9AE}" pid="29" name="Mendeley Recent Style Id 9_1">
    <vt:lpwstr>http://www.zotero.org/styles/nature</vt:lpwstr>
  </property>
  <property fmtid="{D5CDD505-2E9C-101B-9397-08002B2CF9AE}" pid="30" name="Mendeley Recent Style Name 9_1">
    <vt:lpwstr>Nature</vt:lpwstr>
  </property>
</Properties>
</file>